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CF2" w:rsidTr="0010095E">
        <w:trPr>
          <w:trHeight w:hRule="exact" w:val="1418"/>
        </w:trPr>
        <w:tc>
          <w:tcPr>
            <w:tcW w:w="6804" w:type="dxa"/>
            <w:shd w:val="clear" w:color="auto" w:fill="auto"/>
            <w:vAlign w:val="center"/>
          </w:tcPr>
          <w:p w:rsidR="00751A4A" w:rsidRPr="00037CF2" w:rsidRDefault="004D0AA4" w:rsidP="0010095E">
            <w:pPr>
              <w:pStyle w:val="EPName"/>
            </w:pPr>
            <w:r w:rsidRPr="00037CF2">
              <w:t>Europäisches Parlament</w:t>
            </w:r>
          </w:p>
          <w:p w:rsidR="00751A4A" w:rsidRPr="00037CF2" w:rsidRDefault="00817416" w:rsidP="00756632">
            <w:pPr>
              <w:pStyle w:val="EPTerm"/>
              <w:rPr>
                <w:rStyle w:val="HideTWBExt"/>
                <w:noProof w:val="0"/>
                <w:vanish w:val="0"/>
                <w:color w:val="auto"/>
              </w:rPr>
            </w:pPr>
            <w:r w:rsidRPr="00966B50">
              <w:t>2019</w:t>
            </w:r>
            <w:r w:rsidRPr="00037CF2">
              <w:t>-</w:t>
            </w:r>
            <w:r w:rsidRPr="00966B50">
              <w:t>2024</w:t>
            </w:r>
          </w:p>
        </w:tc>
        <w:tc>
          <w:tcPr>
            <w:tcW w:w="2268" w:type="dxa"/>
            <w:shd w:val="clear" w:color="auto" w:fill="auto"/>
          </w:tcPr>
          <w:p w:rsidR="00751A4A" w:rsidRPr="00037CF2" w:rsidRDefault="00187494" w:rsidP="0010095E">
            <w:pPr>
              <w:pStyle w:val="EPLogo"/>
            </w:pPr>
            <w:r w:rsidRPr="00037C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7CF2" w:rsidRDefault="00D058B8" w:rsidP="004C5D52">
      <w:pPr>
        <w:pStyle w:val="LineTop"/>
      </w:pPr>
    </w:p>
    <w:p w:rsidR="00680577" w:rsidRPr="00037CF2" w:rsidRDefault="004D0AA4" w:rsidP="00680577">
      <w:pPr>
        <w:pStyle w:val="EPBodyTA1"/>
      </w:pPr>
      <w:r w:rsidRPr="00037CF2">
        <w:t>ANGENOMMENE TEXTE</w:t>
      </w:r>
    </w:p>
    <w:p w:rsidR="00D058B8" w:rsidRPr="00037CF2" w:rsidRDefault="00D058B8" w:rsidP="00D058B8">
      <w:pPr>
        <w:pStyle w:val="LineBottom"/>
      </w:pPr>
    </w:p>
    <w:p w:rsidR="004D0AA4" w:rsidRPr="00037CF2" w:rsidRDefault="004D0AA4" w:rsidP="004D0AA4">
      <w:pPr>
        <w:pStyle w:val="ATHeading1"/>
      </w:pPr>
      <w:bookmarkStart w:id="0" w:name="TANumber"/>
      <w:r w:rsidRPr="00037CF2">
        <w:t>P</w:t>
      </w:r>
      <w:r w:rsidRPr="00966B50">
        <w:t>9</w:t>
      </w:r>
      <w:r w:rsidRPr="00037CF2">
        <w:t>_TA(</w:t>
      </w:r>
      <w:r w:rsidRPr="00966B50">
        <w:t>2024</w:t>
      </w:r>
      <w:r w:rsidRPr="00037CF2">
        <w:t>)</w:t>
      </w:r>
      <w:bookmarkEnd w:id="0"/>
      <w:r w:rsidR="00235408">
        <w:t>0204</w:t>
      </w:r>
    </w:p>
    <w:p w:rsidR="004D0AA4" w:rsidRPr="00037CF2" w:rsidRDefault="004D0AA4" w:rsidP="004D0AA4">
      <w:pPr>
        <w:pStyle w:val="ATHeading2"/>
      </w:pPr>
      <w:bookmarkStart w:id="1" w:name="title"/>
      <w:r w:rsidRPr="00037CF2">
        <w:t>Bodenüberwachung und -resilienz (Bodenüberwachungsrichtlinie)</w:t>
      </w:r>
      <w:bookmarkEnd w:id="1"/>
    </w:p>
    <w:p w:rsidR="004D0AA4" w:rsidRPr="00037CF2" w:rsidRDefault="004D0AA4" w:rsidP="004D0AA4">
      <w:pPr>
        <w:rPr>
          <w:i/>
          <w:vanish/>
        </w:rPr>
      </w:pPr>
      <w:r w:rsidRPr="00037CF2">
        <w:rPr>
          <w:i/>
        </w:rPr>
        <w:fldChar w:fldCharType="begin"/>
      </w:r>
      <w:r w:rsidRPr="00037CF2">
        <w:rPr>
          <w:i/>
        </w:rPr>
        <w:instrText xml:space="preserve"> TC"(</w:instrText>
      </w:r>
      <w:bookmarkStart w:id="2" w:name="DocNumber"/>
      <w:r w:rsidRPr="00037CF2">
        <w:rPr>
          <w:i/>
        </w:rPr>
        <w:instrText>A</w:instrText>
      </w:r>
      <w:r w:rsidRPr="00966B50">
        <w:rPr>
          <w:i/>
        </w:rPr>
        <w:instrText>9</w:instrText>
      </w:r>
      <w:r w:rsidRPr="00037CF2">
        <w:rPr>
          <w:i/>
        </w:rPr>
        <w:instrText>-</w:instrText>
      </w:r>
      <w:r w:rsidRPr="00966B50">
        <w:rPr>
          <w:i/>
        </w:rPr>
        <w:instrText>0138</w:instrText>
      </w:r>
      <w:r w:rsidRPr="00037CF2">
        <w:rPr>
          <w:i/>
        </w:rPr>
        <w:instrText>/</w:instrText>
      </w:r>
      <w:r w:rsidRPr="00966B50">
        <w:rPr>
          <w:i/>
        </w:rPr>
        <w:instrText>2024</w:instrText>
      </w:r>
      <w:bookmarkEnd w:id="2"/>
      <w:r w:rsidRPr="00037CF2">
        <w:rPr>
          <w:i/>
        </w:rPr>
        <w:instrText xml:space="preserve"> - Berichterstatter: Martin Hojsík)"\l</w:instrText>
      </w:r>
      <w:r w:rsidRPr="00966B50">
        <w:rPr>
          <w:i/>
        </w:rPr>
        <w:instrText>3</w:instrText>
      </w:r>
      <w:r w:rsidRPr="00037CF2">
        <w:rPr>
          <w:i/>
        </w:rPr>
        <w:instrText xml:space="preserve"> \n&gt; \* MERGEFORMAT </w:instrText>
      </w:r>
      <w:r w:rsidRPr="00037CF2">
        <w:rPr>
          <w:i/>
        </w:rPr>
        <w:fldChar w:fldCharType="end"/>
      </w:r>
    </w:p>
    <w:p w:rsidR="004D0AA4" w:rsidRPr="00037CF2" w:rsidRDefault="004D0AA4" w:rsidP="004D0AA4">
      <w:pPr>
        <w:rPr>
          <w:vanish/>
        </w:rPr>
      </w:pPr>
      <w:bookmarkStart w:id="3" w:name="Commission"/>
      <w:r w:rsidRPr="00037CF2">
        <w:rPr>
          <w:vanish/>
        </w:rPr>
        <w:t>Ausschuss für Umweltfragen, öffentliche Gesundheit und Lebensmittelsicherheit</w:t>
      </w:r>
      <w:bookmarkEnd w:id="3"/>
    </w:p>
    <w:p w:rsidR="004D0AA4" w:rsidRPr="00037CF2" w:rsidRDefault="004D0AA4" w:rsidP="004D0AA4">
      <w:pPr>
        <w:rPr>
          <w:vanish/>
        </w:rPr>
      </w:pPr>
      <w:bookmarkStart w:id="4" w:name="PE"/>
      <w:r w:rsidRPr="00037CF2">
        <w:rPr>
          <w:vanish/>
        </w:rPr>
        <w:t>PE</w:t>
      </w:r>
      <w:r w:rsidRPr="00966B50">
        <w:rPr>
          <w:vanish/>
        </w:rPr>
        <w:t>754</w:t>
      </w:r>
      <w:r w:rsidRPr="00037CF2">
        <w:rPr>
          <w:vanish/>
        </w:rPr>
        <w:t>.</w:t>
      </w:r>
      <w:r w:rsidRPr="00966B50">
        <w:rPr>
          <w:vanish/>
        </w:rPr>
        <w:t>698</w:t>
      </w:r>
      <w:bookmarkEnd w:id="4"/>
    </w:p>
    <w:p w:rsidR="004D0AA4" w:rsidRPr="00037CF2" w:rsidRDefault="004D0AA4" w:rsidP="004D0AA4">
      <w:pPr>
        <w:pStyle w:val="ATHeading3"/>
      </w:pPr>
      <w:bookmarkStart w:id="5" w:name="Sujet"/>
      <w:r w:rsidRPr="00037CF2">
        <w:t xml:space="preserve">Legislative Entschließung des Europäischen Parlaments vom </w:t>
      </w:r>
      <w:r w:rsidRPr="00966B50">
        <w:t>10</w:t>
      </w:r>
      <w:r w:rsidRPr="00037CF2">
        <w:t xml:space="preserve">. April </w:t>
      </w:r>
      <w:r w:rsidRPr="00966B50">
        <w:t>2024</w:t>
      </w:r>
      <w:r w:rsidRPr="00037CF2">
        <w:t xml:space="preserve"> zu dem Vorschlag für eine Richtlinie des Europäischen Parlaments und des Rates zur Bodenüberwachung und -resilienz (Bodenüberwachungsgesetz)</w:t>
      </w:r>
      <w:bookmarkEnd w:id="5"/>
      <w:r w:rsidRPr="00037CF2">
        <w:t xml:space="preserve"> </w:t>
      </w:r>
      <w:bookmarkStart w:id="6" w:name="References"/>
      <w:r w:rsidRPr="00037CF2">
        <w:t>(COM(</w:t>
      </w:r>
      <w:r w:rsidRPr="00966B50">
        <w:t>2023</w:t>
      </w:r>
      <w:r w:rsidRPr="00037CF2">
        <w:t>)</w:t>
      </w:r>
      <w:r w:rsidRPr="00966B50">
        <w:t>0416</w:t>
      </w:r>
      <w:r w:rsidRPr="00037CF2">
        <w:t xml:space="preserve"> – C</w:t>
      </w:r>
      <w:r w:rsidRPr="00966B50">
        <w:t>9</w:t>
      </w:r>
      <w:r w:rsidRPr="00037CF2">
        <w:t>-</w:t>
      </w:r>
      <w:r w:rsidRPr="00966B50">
        <w:t>0234</w:t>
      </w:r>
      <w:r w:rsidRPr="00037CF2">
        <w:t>/</w:t>
      </w:r>
      <w:r w:rsidRPr="00966B50">
        <w:t>2023</w:t>
      </w:r>
      <w:r w:rsidRPr="00037CF2">
        <w:t xml:space="preserve"> – </w:t>
      </w:r>
      <w:r w:rsidRPr="00966B50">
        <w:t>2023</w:t>
      </w:r>
      <w:r w:rsidRPr="00037CF2">
        <w:t>/</w:t>
      </w:r>
      <w:r w:rsidRPr="00966B50">
        <w:t>0232</w:t>
      </w:r>
      <w:r w:rsidRPr="00037CF2">
        <w:t>(COD))</w:t>
      </w:r>
      <w:bookmarkEnd w:id="6"/>
    </w:p>
    <w:p w:rsidR="002825CF" w:rsidRPr="00037CF2" w:rsidRDefault="002825CF" w:rsidP="002825CF">
      <w:pPr>
        <w:pStyle w:val="NormalBold"/>
      </w:pPr>
      <w:bookmarkStart w:id="7" w:name="TextBodyBegin"/>
      <w:bookmarkEnd w:id="7"/>
      <w:r w:rsidRPr="00037CF2">
        <w:t>(Ordentliches Gesetzgebungsverfahren: erste Lesung)</w:t>
      </w:r>
    </w:p>
    <w:p w:rsidR="002825CF" w:rsidRPr="00037CF2" w:rsidRDefault="002825CF" w:rsidP="002825CF">
      <w:pPr>
        <w:pStyle w:val="EPComma"/>
      </w:pPr>
      <w:r w:rsidRPr="00037CF2">
        <w:rPr>
          <w:i/>
        </w:rPr>
        <w:t>Das Europäische Parlament</w:t>
      </w:r>
      <w:r w:rsidRPr="00037CF2">
        <w:t>,</w:t>
      </w:r>
    </w:p>
    <w:p w:rsidR="002825CF" w:rsidRPr="00037CF2" w:rsidRDefault="002825CF" w:rsidP="002825CF">
      <w:pPr>
        <w:pStyle w:val="NormalHanging12a"/>
      </w:pPr>
      <w:r w:rsidRPr="00037CF2">
        <w:t>–</w:t>
      </w:r>
      <w:r w:rsidRPr="00037CF2">
        <w:tab/>
        <w:t>unter Hinweis auf den Vorschlag der Kommission an das Europäische Parlament und den Rat (COM(</w:t>
      </w:r>
      <w:r w:rsidRPr="00966B50">
        <w:t>2023</w:t>
      </w:r>
      <w:r w:rsidRPr="00037CF2">
        <w:t>)</w:t>
      </w:r>
      <w:r w:rsidRPr="00966B50">
        <w:t>0416</w:t>
      </w:r>
      <w:r w:rsidRPr="00037CF2">
        <w:t>),</w:t>
      </w:r>
    </w:p>
    <w:p w:rsidR="002825CF" w:rsidRPr="00037CF2" w:rsidRDefault="002825CF" w:rsidP="002825CF">
      <w:pPr>
        <w:pStyle w:val="NormalHanging12a"/>
      </w:pPr>
      <w:r w:rsidRPr="00037CF2">
        <w:t>–</w:t>
      </w:r>
      <w:r w:rsidRPr="00037CF2">
        <w:tab/>
        <w:t>gestützt auf Artikel </w:t>
      </w:r>
      <w:r w:rsidRPr="00966B50">
        <w:t>294</w:t>
      </w:r>
      <w:r w:rsidRPr="00037CF2">
        <w:t xml:space="preserve"> Absatz </w:t>
      </w:r>
      <w:r w:rsidRPr="00966B50">
        <w:t>2</w:t>
      </w:r>
      <w:r w:rsidRPr="00037CF2">
        <w:t xml:space="preserve"> und Artikel </w:t>
      </w:r>
      <w:r w:rsidRPr="00966B50">
        <w:t>192</w:t>
      </w:r>
      <w:r w:rsidRPr="00037CF2">
        <w:t xml:space="preserve"> Absatz </w:t>
      </w:r>
      <w:r w:rsidRPr="00966B50">
        <w:t>1</w:t>
      </w:r>
      <w:r w:rsidRPr="00037CF2">
        <w:t xml:space="preserve"> des Vertrags über die Arbeitsweise der Europäischen Union, auf deren Grundlage ihm der Vorschlag der Kommission unterbreitet wurde (C</w:t>
      </w:r>
      <w:r w:rsidRPr="00966B50">
        <w:t>9</w:t>
      </w:r>
      <w:r w:rsidRPr="00037CF2">
        <w:noBreakHyphen/>
      </w:r>
      <w:r w:rsidRPr="00966B50">
        <w:t>0234</w:t>
      </w:r>
      <w:r w:rsidRPr="00037CF2">
        <w:t>/</w:t>
      </w:r>
      <w:r w:rsidRPr="00966B50">
        <w:t>2023</w:t>
      </w:r>
      <w:r w:rsidRPr="00037CF2">
        <w:t>),</w:t>
      </w:r>
    </w:p>
    <w:p w:rsidR="002825CF" w:rsidRPr="00037CF2" w:rsidRDefault="002825CF" w:rsidP="002825CF">
      <w:pPr>
        <w:pStyle w:val="NormalHanging12a"/>
      </w:pPr>
      <w:r w:rsidRPr="00037CF2">
        <w:t>–</w:t>
      </w:r>
      <w:r w:rsidRPr="00037CF2">
        <w:tab/>
        <w:t>unter Hinweis auf Artikel </w:t>
      </w:r>
      <w:r w:rsidRPr="00966B50">
        <w:t>294</w:t>
      </w:r>
      <w:r w:rsidRPr="00037CF2">
        <w:t xml:space="preserve"> Absatz </w:t>
      </w:r>
      <w:r w:rsidRPr="00966B50">
        <w:t>3</w:t>
      </w:r>
      <w:r w:rsidRPr="00037CF2">
        <w:t xml:space="preserve"> des Vertrags über die Arbeitsweise der Europäischen Union,</w:t>
      </w:r>
    </w:p>
    <w:p w:rsidR="002825CF" w:rsidRPr="00037CF2" w:rsidRDefault="002825CF" w:rsidP="002825CF">
      <w:pPr>
        <w:pStyle w:val="NormalHanging12a"/>
      </w:pPr>
      <w:r w:rsidRPr="00037CF2">
        <w:t>–</w:t>
      </w:r>
      <w:r w:rsidRPr="00037CF2">
        <w:tab/>
        <w:t>unter Hinweis auf die von der niederländischen Ersten und Zweiten Kammer im Rahmen des Protokolls Nr. </w:t>
      </w:r>
      <w:r w:rsidRPr="00966B50">
        <w:t>2</w:t>
      </w:r>
      <w:r w:rsidRPr="00037CF2">
        <w:t xml:space="preserve"> über die Anwendung der Grundsätze der Subsidiarität und der Verhältnismäßigkeit vorgelegte begründete Stellungnahme, in der geltend gemacht wird, dass der Entwurf eines Gesetzgebungsakts nicht mit dem Subsidiaritätsprinzip vereinbar ist,</w:t>
      </w:r>
    </w:p>
    <w:p w:rsidR="002825CF" w:rsidRPr="00037CF2" w:rsidRDefault="002825CF" w:rsidP="002825CF">
      <w:pPr>
        <w:pStyle w:val="NormalHanging12a"/>
      </w:pPr>
      <w:r w:rsidRPr="00037CF2">
        <w:t>–</w:t>
      </w:r>
      <w:r w:rsidRPr="00037CF2">
        <w:tab/>
        <w:t>nach Stellungnahme des Europäischen Wirtschafts- und Sozialausschusses</w:t>
      </w:r>
      <w:r w:rsidR="001C48ED">
        <w:t xml:space="preserve"> vom </w:t>
      </w:r>
      <w:r w:rsidR="001C48ED" w:rsidRPr="00966B50">
        <w:t>25</w:t>
      </w:r>
      <w:r w:rsidR="001C48ED">
        <w:t xml:space="preserve">. Oktober </w:t>
      </w:r>
      <w:r w:rsidR="001C48ED" w:rsidRPr="00966B50">
        <w:t>2023</w:t>
      </w:r>
      <w:r w:rsidRPr="00037CF2">
        <w:rPr>
          <w:rStyle w:val="FootnoteReference"/>
        </w:rPr>
        <w:footnoteReference w:id="1"/>
      </w:r>
      <w:r w:rsidRPr="00037CF2">
        <w:t>,</w:t>
      </w:r>
    </w:p>
    <w:p w:rsidR="002825CF" w:rsidRPr="00037CF2" w:rsidRDefault="002825CF" w:rsidP="002825CF">
      <w:pPr>
        <w:pStyle w:val="NormalHanging12a"/>
      </w:pPr>
      <w:r w:rsidRPr="00037CF2">
        <w:t>–</w:t>
      </w:r>
      <w:r w:rsidRPr="00037CF2">
        <w:tab/>
        <w:t>nach Anhörung des Ausschusses der Regionen,</w:t>
      </w:r>
    </w:p>
    <w:p w:rsidR="002825CF" w:rsidRPr="00037CF2" w:rsidRDefault="002825CF" w:rsidP="002825CF">
      <w:pPr>
        <w:pStyle w:val="NormalHanging12a"/>
      </w:pPr>
      <w:r w:rsidRPr="00037CF2">
        <w:t>–</w:t>
      </w:r>
      <w:r w:rsidRPr="00037CF2">
        <w:tab/>
        <w:t>gestützt auf Artikel </w:t>
      </w:r>
      <w:r w:rsidRPr="00966B50">
        <w:t>59</w:t>
      </w:r>
      <w:r w:rsidRPr="00037CF2">
        <w:t xml:space="preserve"> seiner Geschäftsordnung,</w:t>
      </w:r>
    </w:p>
    <w:p w:rsidR="002825CF" w:rsidRPr="00037CF2" w:rsidRDefault="002825CF" w:rsidP="002825CF">
      <w:pPr>
        <w:pStyle w:val="NormalHanging12a"/>
      </w:pPr>
      <w:r w:rsidRPr="00037CF2">
        <w:t>–</w:t>
      </w:r>
      <w:r w:rsidRPr="00037CF2">
        <w:tab/>
        <w:t xml:space="preserve">unter Hinweis auf die Stellungnahme des Ausschusses für Landwirtschaft und ländliche </w:t>
      </w:r>
      <w:r w:rsidRPr="00037CF2">
        <w:lastRenderedPageBreak/>
        <w:t>Entwicklung,</w:t>
      </w:r>
    </w:p>
    <w:p w:rsidR="002825CF" w:rsidRPr="00037CF2" w:rsidRDefault="002825CF" w:rsidP="002825CF">
      <w:pPr>
        <w:pStyle w:val="NormalHanging12a"/>
      </w:pPr>
      <w:r w:rsidRPr="00037CF2">
        <w:t>–</w:t>
      </w:r>
      <w:r w:rsidRPr="00037CF2">
        <w:tab/>
        <w:t>unter Hinweis auf den Bericht des Ausschusses für Umweltfragen, öffentliche Gesundheit und Lebensmittelsicherheit (A</w:t>
      </w:r>
      <w:r w:rsidRPr="00966B50">
        <w:t>9</w:t>
      </w:r>
      <w:r w:rsidRPr="00037CF2">
        <w:t>‑</w:t>
      </w:r>
      <w:r w:rsidRPr="00966B50">
        <w:t>0138</w:t>
      </w:r>
      <w:r w:rsidRPr="00037CF2">
        <w:t>/</w:t>
      </w:r>
      <w:r w:rsidRPr="00966B50">
        <w:t>2024</w:t>
      </w:r>
      <w:r w:rsidRPr="00037CF2">
        <w:t>),</w:t>
      </w:r>
    </w:p>
    <w:p w:rsidR="002825CF" w:rsidRPr="00037CF2" w:rsidRDefault="002825CF" w:rsidP="002825CF">
      <w:pPr>
        <w:pStyle w:val="NormalHanging12a"/>
      </w:pPr>
      <w:r w:rsidRPr="00966B50">
        <w:t>1</w:t>
      </w:r>
      <w:r w:rsidRPr="00037CF2">
        <w:t>.</w:t>
      </w:r>
      <w:r w:rsidRPr="00037CF2">
        <w:tab/>
        <w:t>legt den folgenden Standpunkt in erster Lesung fest;</w:t>
      </w:r>
    </w:p>
    <w:p w:rsidR="002825CF" w:rsidRPr="00037CF2" w:rsidRDefault="002825CF" w:rsidP="002825CF">
      <w:pPr>
        <w:pStyle w:val="NormalHanging12a"/>
      </w:pPr>
      <w:r w:rsidRPr="00966B50">
        <w:t>2</w:t>
      </w:r>
      <w:r w:rsidRPr="00037CF2">
        <w:t>.</w:t>
      </w:r>
      <w:r w:rsidRPr="00037CF2">
        <w:tab/>
        <w:t>fordert die Kommission auf, es erneut zu befassen, falls sie ihren Vorschlag ersetzt, entscheidend ändert oder beabsichtigt, ihn entscheidend zu ändern;</w:t>
      </w:r>
    </w:p>
    <w:p w:rsidR="001C2358" w:rsidRDefault="002825CF" w:rsidP="002825CF">
      <w:pPr>
        <w:pStyle w:val="NormalHanging12a"/>
        <w:sectPr w:rsidR="001C2358" w:rsidSect="00037CF2">
          <w:footnotePr>
            <w:numRestart w:val="eachSect"/>
          </w:footnotePr>
          <w:pgSz w:w="11906" w:h="16838" w:code="9"/>
          <w:pgMar w:top="1134" w:right="1418" w:bottom="1418" w:left="1418" w:header="1134" w:footer="567" w:gutter="0"/>
          <w:cols w:space="720"/>
          <w:noEndnote/>
          <w:docGrid w:linePitch="326"/>
        </w:sectPr>
      </w:pPr>
      <w:r w:rsidRPr="00966B50">
        <w:t>3</w:t>
      </w:r>
      <w:r w:rsidRPr="00037CF2">
        <w:t>.</w:t>
      </w:r>
      <w:r w:rsidRPr="00037CF2">
        <w:tab/>
        <w:t>beauftragt seine Präsidentin, den Standpunkt des Parlaments dem Rat und der Kommission sowie den nationalen Parlamenten zu übermitteln.</w:t>
      </w:r>
    </w:p>
    <w:p w:rsidR="001C2358" w:rsidRDefault="001C2358" w:rsidP="001C2358">
      <w:pPr>
        <w:pStyle w:val="NormalWeb"/>
        <w:rPr>
          <w:b/>
          <w:color w:val="000000"/>
          <w:lang w:val="de-DE"/>
        </w:rPr>
      </w:pPr>
      <w:r>
        <w:rPr>
          <w:b/>
          <w:color w:val="000000"/>
          <w:lang w:val="de-DE"/>
        </w:rPr>
        <w:lastRenderedPageBreak/>
        <w:t>P9_TC1-COD(2023)0232</w:t>
      </w:r>
    </w:p>
    <w:p w:rsidR="001C2358" w:rsidRPr="001C2358" w:rsidRDefault="001C2358" w:rsidP="001C2358">
      <w:pPr>
        <w:pStyle w:val="NormalHanging12a"/>
        <w:ind w:left="0" w:firstLine="0"/>
        <w:rPr>
          <w:b/>
          <w:szCs w:val="24"/>
          <w:lang w:eastAsia="en-US"/>
        </w:rPr>
      </w:pPr>
      <w:r>
        <w:rPr>
          <w:b/>
          <w:color w:val="000000"/>
          <w:szCs w:val="24"/>
        </w:rPr>
        <w:t xml:space="preserve">Standpunkt des Europäischen Parlaments festgelegt in erster Lesung am </w:t>
      </w:r>
      <w:r w:rsidR="009D67FB">
        <w:rPr>
          <w:b/>
          <w:color w:val="000000"/>
          <w:szCs w:val="24"/>
        </w:rPr>
        <w:t>10. April</w:t>
      </w:r>
      <w:r>
        <w:rPr>
          <w:b/>
          <w:color w:val="000000"/>
          <w:szCs w:val="24"/>
        </w:rPr>
        <w:t xml:space="preserve"> 2024 im Hinblick auf den Erlass der </w:t>
      </w:r>
      <w:r w:rsidR="009D67FB">
        <w:rPr>
          <w:b/>
          <w:color w:val="000000"/>
          <w:szCs w:val="24"/>
        </w:rPr>
        <w:t>Richtlinie</w:t>
      </w:r>
      <w:r>
        <w:rPr>
          <w:b/>
          <w:color w:val="000000"/>
          <w:szCs w:val="24"/>
        </w:rPr>
        <w:t xml:space="preserve"> (EU) 2024/... des Europäischen Parlaments und des Rates </w:t>
      </w:r>
      <w:r w:rsidRPr="001C2358">
        <w:rPr>
          <w:b/>
          <w:szCs w:val="24"/>
          <w:lang w:eastAsia="en-US"/>
        </w:rPr>
        <w:t>zur Bodenüberwachung und -resilienz (Bodenüberwachungsgesetz)</w:t>
      </w:r>
    </w:p>
    <w:p w:rsidR="001C2358" w:rsidRPr="001C2358" w:rsidRDefault="001C2358" w:rsidP="001C2358">
      <w:pPr>
        <w:keepNext/>
        <w:spacing w:before="600" w:after="120" w:line="360" w:lineRule="auto"/>
        <w:rPr>
          <w:szCs w:val="24"/>
          <w:lang w:eastAsia="en-US"/>
        </w:rPr>
      </w:pPr>
      <w:r w:rsidRPr="001C2358">
        <w:rPr>
          <w:szCs w:val="24"/>
          <w:lang w:eastAsia="en-US"/>
        </w:rPr>
        <w:t>DAS EUROPÄISCHE PARLAMENT UND DER RAT DER EUROPÄISCHEN UNION —</w:t>
      </w:r>
    </w:p>
    <w:p w:rsidR="001C2358" w:rsidRPr="001C2358" w:rsidRDefault="001C2358" w:rsidP="001C2358">
      <w:pPr>
        <w:spacing w:before="120" w:after="120" w:line="360" w:lineRule="auto"/>
        <w:rPr>
          <w:lang w:eastAsia="en-US"/>
        </w:rPr>
      </w:pPr>
      <w:r w:rsidRPr="001C2358">
        <w:rPr>
          <w:lang w:eastAsia="en-US"/>
        </w:rPr>
        <w:t>gestützt auf den Vertrag über die Arbeitsweise der Europäischen Union, insbesondere auf Artikel 192 Absatz 1,</w:t>
      </w:r>
    </w:p>
    <w:p w:rsidR="001C2358" w:rsidRPr="001C2358" w:rsidRDefault="001C2358" w:rsidP="001C2358">
      <w:pPr>
        <w:spacing w:before="120" w:after="120" w:line="360" w:lineRule="auto"/>
        <w:rPr>
          <w:lang w:eastAsia="en-US"/>
        </w:rPr>
      </w:pPr>
      <w:r w:rsidRPr="001C2358">
        <w:rPr>
          <w:lang w:eastAsia="en-US"/>
        </w:rPr>
        <w:t>auf Vorschlag der Europäischen Kommission,</w:t>
      </w:r>
    </w:p>
    <w:p w:rsidR="001C2358" w:rsidRPr="001C2358" w:rsidRDefault="001C2358" w:rsidP="001C2358">
      <w:pPr>
        <w:spacing w:before="120" w:after="120" w:line="360" w:lineRule="auto"/>
        <w:rPr>
          <w:lang w:eastAsia="en-US"/>
        </w:rPr>
      </w:pPr>
      <w:r w:rsidRPr="001C2358">
        <w:rPr>
          <w:lang w:eastAsia="en-US"/>
        </w:rPr>
        <w:t>nach Zuleitung des Entwurfs des Gesetzgebungsakts an die nationalen Parlamente,</w:t>
      </w:r>
    </w:p>
    <w:p w:rsidR="001C2358" w:rsidRPr="001C2358" w:rsidRDefault="001C2358" w:rsidP="001C2358">
      <w:pPr>
        <w:spacing w:before="120" w:after="120" w:line="360" w:lineRule="auto"/>
        <w:rPr>
          <w:lang w:eastAsia="en-US"/>
        </w:rPr>
      </w:pPr>
      <w:r w:rsidRPr="001C2358">
        <w:rPr>
          <w:lang w:eastAsia="en-US"/>
        </w:rPr>
        <w:t>nach Stellungnahme des Europäischen Wirtschafts- und Sozialausschusses</w:t>
      </w:r>
      <w:r w:rsidRPr="001C2358">
        <w:rPr>
          <w:vertAlign w:val="superscript"/>
          <w:lang w:val="en-GB" w:eastAsia="en-US"/>
        </w:rPr>
        <w:footnoteReference w:id="2"/>
      </w:r>
      <w:r w:rsidRPr="001C2358">
        <w:rPr>
          <w:lang w:eastAsia="en-US"/>
        </w:rPr>
        <w:t>,</w:t>
      </w:r>
    </w:p>
    <w:p w:rsidR="001C2358" w:rsidRPr="001C2358" w:rsidRDefault="001C2358" w:rsidP="001C2358">
      <w:pPr>
        <w:spacing w:before="120" w:after="120" w:line="360" w:lineRule="auto"/>
        <w:rPr>
          <w:lang w:eastAsia="en-US"/>
        </w:rPr>
      </w:pPr>
      <w:r w:rsidRPr="001C2358">
        <w:rPr>
          <w:lang w:eastAsia="en-US"/>
        </w:rPr>
        <w:t>nach Stellungnahme des Ausschusses der Regionen</w:t>
      </w:r>
      <w:r w:rsidRPr="001C2358">
        <w:rPr>
          <w:vertAlign w:val="superscript"/>
          <w:lang w:val="en-GB" w:eastAsia="en-US"/>
        </w:rPr>
        <w:footnoteReference w:id="3"/>
      </w:r>
      <w:r w:rsidRPr="001C2358">
        <w:rPr>
          <w:lang w:eastAsia="en-US"/>
        </w:rPr>
        <w:t>,</w:t>
      </w:r>
    </w:p>
    <w:p w:rsidR="001C2358" w:rsidRPr="001C2358" w:rsidRDefault="001C2358" w:rsidP="001C2358">
      <w:pPr>
        <w:spacing w:before="120" w:after="120" w:line="360" w:lineRule="auto"/>
        <w:rPr>
          <w:lang w:eastAsia="en-US"/>
        </w:rPr>
      </w:pPr>
      <w:r w:rsidRPr="001C2358">
        <w:rPr>
          <w:lang w:eastAsia="en-US"/>
        </w:rPr>
        <w:t>gemäß dem ordentlichen Gesetzgebungsverfahren,</w:t>
      </w:r>
    </w:p>
    <w:p w:rsidR="001C2358" w:rsidRDefault="001C2358">
      <w:pPr>
        <w:widowControl/>
        <w:rPr>
          <w:lang w:eastAsia="en-US"/>
        </w:rPr>
      </w:pPr>
      <w:r>
        <w:rPr>
          <w:lang w:eastAsia="en-US"/>
        </w:rPr>
        <w:br w:type="page"/>
      </w:r>
    </w:p>
    <w:p w:rsidR="001C2358" w:rsidRPr="001C2358" w:rsidRDefault="001C2358" w:rsidP="001C2358">
      <w:pPr>
        <w:spacing w:before="120" w:after="120" w:line="360" w:lineRule="auto"/>
        <w:rPr>
          <w:lang w:eastAsia="en-US"/>
        </w:rPr>
      </w:pPr>
      <w:r w:rsidRPr="001C2358">
        <w:rPr>
          <w:lang w:eastAsia="en-US"/>
        </w:rPr>
        <w:lastRenderedPageBreak/>
        <w:t>in Erwägung nachstehender Gründe:</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Boden ist eine lebenswichtige, begrenzte, nicht erneuerbare und unersetzliche Ressource, die für die Wirtschaft, die Umwelt und die Gesellschaft von entscheidender Bedeutung ist.</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 xml:space="preserve">Gesunde Böden befinden sich in einem guten chemischen, biologischen und physikalischen Zustand, sodass sie Ökosystemleistungen erbringen können, die für Mensch und Umwelt lebenswichtig sind, z. B. sichere, nahrhafte und ausreichende Lebensmittel, Biomasse, sauberes Wasser, Nährstoffkreislauf, Kohlenstoffspeicherung und ein Lebensraum für die biologische Vielfalt. </w:t>
      </w:r>
      <w:r w:rsidRPr="001C2358">
        <w:rPr>
          <w:b/>
          <w:i/>
          <w:szCs w:val="24"/>
          <w:lang w:eastAsia="en-US"/>
        </w:rPr>
        <w:t xml:space="preserve">Der Boden ist für die Ernährungssicherheit von entscheidender Bedeutung. Schätzungsweise sind jedoch </w:t>
      </w:r>
      <w:r w:rsidRPr="001C2358">
        <w:rPr>
          <w:szCs w:val="24"/>
          <w:lang w:eastAsia="en-US"/>
        </w:rPr>
        <w:t xml:space="preserve">60 bis 70 % der Böden in der </w:t>
      </w:r>
      <w:r w:rsidRPr="001C2358">
        <w:rPr>
          <w:strike/>
          <w:szCs w:val="24"/>
          <w:lang w:eastAsia="en-US"/>
        </w:rPr>
        <w:t>Union sind jedoch</w:t>
      </w:r>
      <w:r w:rsidRPr="001C2358">
        <w:rPr>
          <w:b/>
          <w:i/>
          <w:szCs w:val="24"/>
          <w:lang w:eastAsia="en-US"/>
        </w:rPr>
        <w:t>EU</w:t>
      </w:r>
      <w:r w:rsidRPr="001C2358">
        <w:rPr>
          <w:szCs w:val="24"/>
          <w:lang w:eastAsia="en-US"/>
        </w:rPr>
        <w:t xml:space="preserve"> geschädigt und verschlechtern sich weiter.</w:t>
      </w:r>
      <w:r>
        <w:rPr>
          <w:b/>
          <w:szCs w:val="24"/>
          <w:lang w:eastAsia="en-US"/>
        </w:rPr>
        <w:t xml:space="preserve"> [Abänd. 1]</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(3)</w:t>
      </w:r>
      <w:r w:rsidRPr="001C2358">
        <w:rPr>
          <w:szCs w:val="24"/>
          <w:lang w:eastAsia="en-US"/>
        </w:rPr>
        <w:tab/>
        <w:t xml:space="preserve">Durch die Bodendegradation entstehen der </w:t>
      </w:r>
      <w:r w:rsidRPr="001C2358">
        <w:rPr>
          <w:strike/>
          <w:szCs w:val="24"/>
          <w:lang w:eastAsia="en-US"/>
        </w:rPr>
        <w:t>Union</w:t>
      </w:r>
      <w:r w:rsidRPr="001C2358">
        <w:rPr>
          <w:b/>
          <w:i/>
          <w:szCs w:val="24"/>
          <w:lang w:eastAsia="en-US"/>
        </w:rPr>
        <w:t>EU</w:t>
      </w:r>
      <w:r w:rsidRPr="001C2358">
        <w:rPr>
          <w:szCs w:val="24"/>
          <w:lang w:eastAsia="en-US"/>
        </w:rPr>
        <w:t xml:space="preserve"> jedes Jahr Kosten im zweistelligen Milliardenbereich. Die Bodengesundheit wirkt sich auf die Erbringung von Ökosystemleistungen und den damit verbundenen bedeutenden wirtschaftlichen Nutzen aus. </w:t>
      </w:r>
      <w:r w:rsidRPr="001C2358">
        <w:rPr>
          <w:strike/>
          <w:szCs w:val="24"/>
          <w:lang w:eastAsia="en-US"/>
        </w:rPr>
        <w:t>Eine nachhaltige Bewirtschaftung und Regenerierung der Böden ist daher</w:t>
      </w:r>
      <w:r w:rsidRPr="001C2358">
        <w:rPr>
          <w:b/>
          <w:i/>
          <w:szCs w:val="24"/>
          <w:lang w:eastAsia="en-US"/>
        </w:rPr>
        <w:t>Ihre Verbesserung ist</w:t>
      </w:r>
      <w:r w:rsidRPr="001C2358">
        <w:rPr>
          <w:szCs w:val="24"/>
          <w:lang w:eastAsia="en-US"/>
        </w:rPr>
        <w:t xml:space="preserve"> wirtschaftlich sinnvoll und kann den Preis und den Wert der Flächen in der </w:t>
      </w:r>
      <w:r w:rsidRPr="001C2358">
        <w:rPr>
          <w:strike/>
          <w:szCs w:val="24"/>
          <w:lang w:eastAsia="en-US"/>
        </w:rPr>
        <w:t>Union</w:t>
      </w:r>
      <w:r w:rsidRPr="001C2358">
        <w:rPr>
          <w:b/>
          <w:i/>
          <w:szCs w:val="24"/>
          <w:lang w:eastAsia="en-US"/>
        </w:rPr>
        <w:t>EU</w:t>
      </w:r>
      <w:r w:rsidRPr="001C2358">
        <w:rPr>
          <w:szCs w:val="24"/>
          <w:lang w:eastAsia="en-US"/>
        </w:rPr>
        <w:t xml:space="preserve"> erheblich steigern.</w:t>
      </w:r>
      <w:r w:rsidRPr="001C2358">
        <w:rPr>
          <w:b/>
          <w:i/>
          <w:szCs w:val="24"/>
          <w:lang w:eastAsia="en-US"/>
        </w:rPr>
        <w:t xml:space="preserve"> Außerdem kann die Erzeugung von nur einem Zentimeter Oberboden bis zu 1 000 Jahre dauern, wohingegen der Prozess der Bodendegradation und der vollständige Bodenverlust rasch erfolgen können.</w:t>
      </w:r>
      <w:r>
        <w:rPr>
          <w:b/>
          <w:szCs w:val="24"/>
          <w:lang w:eastAsia="en-US"/>
        </w:rPr>
        <w:t xml:space="preserve"> [Abänd. 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(4)</w:t>
      </w:r>
      <w:r w:rsidRPr="001C2358">
        <w:rPr>
          <w:szCs w:val="24"/>
          <w:lang w:eastAsia="en-US"/>
        </w:rPr>
        <w:tab/>
        <w:t>Im europäischen Grünen Deal</w:t>
      </w:r>
      <w:r w:rsidRPr="001C2358">
        <w:rPr>
          <w:szCs w:val="24"/>
          <w:vertAlign w:val="superscript"/>
          <w:lang w:val="en-GB" w:eastAsia="en-US"/>
        </w:rPr>
        <w:footnoteReference w:id="4"/>
      </w:r>
      <w:r w:rsidRPr="001C2358">
        <w:rPr>
          <w:szCs w:val="24"/>
          <w:lang w:eastAsia="en-US"/>
        </w:rPr>
        <w:t xml:space="preserve"> wurde ein ehrgeiziger Fahrplan festgelegt, mit dem sich die Union zu einer fairen und wohlhabenden Gesellschaft mit einer modernen, ressourceneffizienten und wettbewerbsfähigen Wirtschaft wandeln soll und gleichzeitig das Naturkapital der Union geschützt, bewahrt und verbessert und die Gesundheit und das Wohlergehen der Menschen geschützt werden sollen. Im Rahmen des europäischen Grünen Deals hat die Kommission die EU-Biodiversitätsstrategie für 2030</w:t>
      </w:r>
      <w:r w:rsidRPr="001C2358">
        <w:rPr>
          <w:szCs w:val="24"/>
          <w:vertAlign w:val="superscript"/>
          <w:lang w:val="en-GB" w:eastAsia="en-US"/>
        </w:rPr>
        <w:footnoteReference w:id="5"/>
      </w:r>
      <w:r w:rsidRPr="001C2358">
        <w:rPr>
          <w:szCs w:val="24"/>
          <w:lang w:eastAsia="en-US"/>
        </w:rPr>
        <w:t>, die Strategie „Vom Hof auf den Tisch“</w:t>
      </w:r>
      <w:r w:rsidRPr="001C2358">
        <w:rPr>
          <w:szCs w:val="24"/>
          <w:vertAlign w:val="superscript"/>
          <w:lang w:val="en-GB" w:eastAsia="en-US"/>
        </w:rPr>
        <w:footnoteReference w:id="6"/>
      </w:r>
      <w:r w:rsidRPr="001C2358">
        <w:rPr>
          <w:szCs w:val="24"/>
          <w:lang w:eastAsia="en-US"/>
        </w:rPr>
        <w:t>, den Null-Schadstoff-Aktionsplan</w:t>
      </w:r>
      <w:r w:rsidRPr="001C2358">
        <w:rPr>
          <w:szCs w:val="24"/>
          <w:vertAlign w:val="superscript"/>
          <w:lang w:val="en-GB" w:eastAsia="en-US"/>
        </w:rPr>
        <w:footnoteReference w:id="7"/>
      </w:r>
      <w:r w:rsidRPr="001C2358">
        <w:rPr>
          <w:szCs w:val="24"/>
          <w:lang w:eastAsia="en-US"/>
        </w:rPr>
        <w:t>, die EU-Strategie für die Anpassung an den Klimawandel</w:t>
      </w:r>
      <w:r w:rsidRPr="001C2358">
        <w:rPr>
          <w:szCs w:val="24"/>
          <w:vertAlign w:val="superscript"/>
          <w:lang w:val="en-GB" w:eastAsia="en-US"/>
        </w:rPr>
        <w:footnoteReference w:id="8"/>
      </w:r>
      <w:r w:rsidRPr="001C2358">
        <w:rPr>
          <w:szCs w:val="24"/>
          <w:lang w:eastAsia="en-US"/>
        </w:rPr>
        <w:t xml:space="preserve"> und die EU-Bodenstrategie für 2030</w:t>
      </w:r>
      <w:r w:rsidRPr="001C2358">
        <w:rPr>
          <w:szCs w:val="24"/>
          <w:vertAlign w:val="superscript"/>
          <w:lang w:val="en-GB" w:eastAsia="en-US"/>
        </w:rPr>
        <w:footnoteReference w:id="9"/>
      </w:r>
      <w:r w:rsidRPr="001C2358">
        <w:rPr>
          <w:szCs w:val="24"/>
          <w:lang w:eastAsia="en-US"/>
        </w:rPr>
        <w:t xml:space="preserve"> angenommen.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(5)</w:t>
      </w:r>
      <w:r w:rsidRPr="001C2358">
        <w:rPr>
          <w:szCs w:val="24"/>
          <w:lang w:eastAsia="en-US"/>
        </w:rPr>
        <w:tab/>
        <w:t>Die Union ist auch zur Umsetzung der Agenda 2030 für nachhaltige Entwicklung und von deren Zielen für nachhaltige Entwicklung</w:t>
      </w:r>
      <w:r w:rsidRPr="001C2358">
        <w:rPr>
          <w:szCs w:val="24"/>
          <w:vertAlign w:val="superscript"/>
          <w:lang w:val="en-GB" w:eastAsia="en-US"/>
        </w:rPr>
        <w:footnoteReference w:id="10"/>
      </w:r>
      <w:r w:rsidRPr="001C2358">
        <w:rPr>
          <w:szCs w:val="24"/>
          <w:lang w:eastAsia="en-US"/>
        </w:rPr>
        <w:t xml:space="preserve"> verpflichtet. Gesunde Böden tragen unmittelbar zur Verwirklichung mehrerer Nachhaltigkeitsziele bei, insbesondere SDG 2 (kein Hunger), SDG 3 (Gesundheit und Wohlergehen), SDG 6 (sauberes Wasser und Sanitäreinrichtungen), SDG 11 (nachhaltige Städte und Gemeinden), SDG 12 (nachhaltige/r Konsum und Produktion), SDG 13 (Maßnahmen zum Klimaschutz) und SDG 15 (Leben an Land). Nachhaltigkeitsziel 15.3 zielt darauf ab, die Wüstenbildung zu bekämpfen, die geschädigten Flächen und Böden </w:t>
      </w:r>
      <w:r w:rsidRPr="001C2358">
        <w:rPr>
          <w:szCs w:val="24"/>
          <w:lang w:eastAsia="en-US"/>
        </w:rPr>
        <w:lastRenderedPageBreak/>
        <w:t>einschließlich der von Wüstenbildung, Dürre und Überschwemmungen betroffenen Flächen zu sanieren und eine Welt anzustreben, in der die Landverödung bis 2030 neutralisiert wird.</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(6)</w:t>
      </w:r>
      <w:r w:rsidRPr="001C2358">
        <w:rPr>
          <w:szCs w:val="24"/>
          <w:lang w:eastAsia="en-US"/>
        </w:rPr>
        <w:tab/>
        <w:t>Die Union und ihre Mitgliedstaaten als Vertragsparteien des mit dem Beschluss 93/626/EWG des Rates</w:t>
      </w:r>
      <w:r w:rsidRPr="001C2358">
        <w:rPr>
          <w:szCs w:val="24"/>
          <w:vertAlign w:val="superscript"/>
          <w:lang w:val="en-GB" w:eastAsia="en-US"/>
        </w:rPr>
        <w:footnoteReference w:id="11"/>
      </w:r>
      <w:r w:rsidRPr="001C2358">
        <w:rPr>
          <w:szCs w:val="24"/>
          <w:lang w:eastAsia="en-US"/>
        </w:rPr>
        <w:t xml:space="preserve"> geschlossenen Übereinkommens über die biologische Vielfalt haben auf der 15. Konferenz der Vertragsparteien dem „Globalen Biodiversitätsrahmen von Kunming-Montreal“</w:t>
      </w:r>
      <w:r w:rsidRPr="001C2358">
        <w:rPr>
          <w:szCs w:val="24"/>
          <w:vertAlign w:val="superscript"/>
          <w:lang w:val="en-GB" w:eastAsia="en-US"/>
        </w:rPr>
        <w:footnoteReference w:id="12"/>
      </w:r>
      <w:r w:rsidRPr="001C2358">
        <w:rPr>
          <w:szCs w:val="24"/>
          <w:lang w:eastAsia="en-US"/>
        </w:rPr>
        <w:t xml:space="preserve"> zugestimmt, der mehrere maßnahmenorientierte globale Ziele für 2030 umfasst, die für die Bodengesundheit von Bedeutung sind. Der Nutzen der Natur für die Menschen, einschließlich der Bodengesundheit, sollte wiederhergestellt, erhalten und verbessert werden.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(7)</w:t>
      </w:r>
      <w:r w:rsidRPr="001C2358">
        <w:rPr>
          <w:szCs w:val="24"/>
          <w:lang w:eastAsia="en-US"/>
        </w:rPr>
        <w:tab/>
        <w:t>Die Union und ihre Mitgliedstaaten haben sich als Vertragsparteien des mit dem Beschluss 98/216/EG des Rates</w:t>
      </w:r>
      <w:r w:rsidRPr="001C2358">
        <w:rPr>
          <w:szCs w:val="24"/>
          <w:vertAlign w:val="superscript"/>
          <w:lang w:val="en-GB" w:eastAsia="en-US"/>
        </w:rPr>
        <w:footnoteReference w:id="13"/>
      </w:r>
      <w:r w:rsidRPr="001C2358">
        <w:rPr>
          <w:szCs w:val="24"/>
          <w:lang w:eastAsia="en-US"/>
        </w:rPr>
        <w:t xml:space="preserve"> geschlossenen Übereinkommens der Vereinten Nationen zur Bekämpfung der Wüstenbildung (UNCCD) verpflichtet, die Wüstenbildung zu bekämpfen und die Auswirkungen der Dürre in den betroffenen Ländern abzumildern. Dreizehn Mitgliedstaaten</w:t>
      </w:r>
      <w:r w:rsidRPr="001C2358">
        <w:rPr>
          <w:szCs w:val="24"/>
          <w:vertAlign w:val="superscript"/>
          <w:lang w:val="en-GB" w:eastAsia="en-US"/>
        </w:rPr>
        <w:footnoteReference w:id="14"/>
      </w:r>
      <w:r w:rsidRPr="001C2358">
        <w:rPr>
          <w:szCs w:val="24"/>
          <w:lang w:eastAsia="en-US"/>
        </w:rPr>
        <w:t xml:space="preserve"> haben im Rahmen des UNCCD erklärt, dass sie von der Wüstenbildung betroffen sind.</w:t>
      </w:r>
    </w:p>
    <w:p w:rsidR="001C2358" w:rsidRPr="001C2358" w:rsidRDefault="001C2358" w:rsidP="001C2358">
      <w:pPr>
        <w:spacing w:before="120" w:after="120" w:line="360" w:lineRule="auto"/>
        <w:ind w:left="850" w:hanging="850"/>
        <w:rPr>
          <w:szCs w:val="24"/>
          <w:lang w:eastAsia="en-US"/>
        </w:rPr>
      </w:pPr>
      <w:r w:rsidRPr="001C2358">
        <w:rPr>
          <w:szCs w:val="24"/>
          <w:lang w:eastAsia="en-US"/>
        </w:rPr>
        <w:t>(8)</w:t>
      </w:r>
      <w:r w:rsidRPr="001C2358">
        <w:rPr>
          <w:szCs w:val="24"/>
          <w:lang w:eastAsia="en-US"/>
        </w:rPr>
        <w:tab/>
        <w:t>Im Zusammenhang mit dem Rahmenübereinkommen der Vereinten Nationen über Klimaänderungen (UNFCCC) werden Land und Boden gleichzeitig als Quelle und als Senke von Kohlenstoff betrachtet. Die Union und die Mitgliedstaaten haben sich als Vertragsparteien verpflichtet, die nachhaltige Bewirtschaftung, Erhaltung und Verbesserung von Kohlenstoffsenken und -speichern zu fördern.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(9)</w:t>
      </w:r>
      <w:r w:rsidRPr="001C2358">
        <w:rPr>
          <w:szCs w:val="24"/>
          <w:lang w:eastAsia="en-US"/>
        </w:rPr>
        <w:tab/>
        <w:t>In der EU-Biodiversitätsstrategie für 2030 wird darauf hingewiesen, dass es an der Zeit ist, die Anstrengungen zum Schutz der Bodenfruchtbarkeit, zur Verringerung der Bodenerosion und zur Erhöhung der organischen Substanz des Bodens durch die Einführung nachhaltiger Bodenbewirtschaftungspraktiken zu verstärken. Ferner wird darin festgestellt, dass erhebliche Fortschritte bei der Erfassung von Standorten mit kontaminierten Böden, der Wiederherstellung geschädigter Böden, der Festlegung der Bedingungen für den guten ökologischen Zustand von Böden, der Einführung von Wiederherstellungszielen und der Verbesserung der Überwachung der Bodengesundheit erforderlich sind.</w:t>
      </w:r>
    </w:p>
    <w:p w:rsidR="001C2358" w:rsidRPr="001C2358" w:rsidRDefault="001C2358" w:rsidP="001C2358">
      <w:pPr>
        <w:spacing w:before="120" w:after="120" w:line="360" w:lineRule="auto"/>
        <w:ind w:left="850" w:hanging="850"/>
        <w:rPr>
          <w:szCs w:val="24"/>
          <w:lang w:eastAsia="en-US"/>
        </w:rPr>
      </w:pPr>
      <w:r w:rsidRPr="001C2358">
        <w:rPr>
          <w:szCs w:val="24"/>
          <w:lang w:eastAsia="en-US"/>
        </w:rPr>
        <w:t>(10)</w:t>
      </w:r>
      <w:r w:rsidRPr="001C2358">
        <w:rPr>
          <w:szCs w:val="24"/>
          <w:lang w:eastAsia="en-US"/>
        </w:rPr>
        <w:tab/>
        <w:t>In der EU-Bodenstrategie für 2030 wird die langfristige Vision festgelegt, dass bis 2050 alle Bodenökosysteme in der EU in einem gesunden Zustand und somit widerstandsfähiger sein sollen. Gesunde Böden tragen als Schlüssellösung dazu bei, die Ziele der EU zu verwirklichen: Erreichen von Klimaneutralität und Klimaresilienz, Entwicklung einer sauberen und kreislauforientierten (Bio-)Ökonomie, Umkehr des Biodiversitätsverlusts, Schutz der menschlichen Gesundheit, Aufhalten der Wüstenbildung und Umkehr der Bodendegradation.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(11)</w:t>
      </w:r>
      <w:r w:rsidRPr="001C2358">
        <w:rPr>
          <w:szCs w:val="24"/>
          <w:lang w:eastAsia="en-US"/>
        </w:rPr>
        <w:tab/>
        <w:t>Finanzielle Mittel sind für den Übergang zu gesunden Böden von entscheidender Bedeutung. Der mehrjährige Finanzrahmen bietet mehrere Finanzierungsmöglichkeiten für den Schutz, die nachhaltige Bewirtschaftung und die Regenerierung von Böden. Ein „Boden-Deal für Europa“ ist eine der fünf EU-Missionen des Programms Horizont Europa und ist speziell auf die Förderung der Bodengesundheit ausgerichtet. Die Boden-Mission ist ein wichtiges Instrument für die Umsetzung dieser Richtlinie. Ziel ist es, den Übergang zu gesunden Böden zu fördern, indem ein ehrgeiziges Forschungs- und Innovationsprogramm finanziert, ein Netzwerk von 100 Reallaboren und Leuchtturmbetrieben in ländlichen und städtischen Gebieten eingerichtet, die Entwicklung eines harmonisierten Bodenüberwachungsrahmens vorangetrieben und das Bewusstsein für die Bedeutung des Bodens geschärft wird. Weitere Unionsprogramme mit Zielen, die zu gesunden Böden beitragen, sind die Gemeinsame Agrarpolitik, die Kohäsionsfonds, das Programm für die Umwelt- und Klimapolitik, das Arbeitsprogramm von Horizont Europa, das Instrument für technische Unterstützung, die Aufbau- und Resilienzfazilität und InvestEU.</w:t>
      </w:r>
      <w:r w:rsidRPr="001C2358">
        <w:rPr>
          <w:b/>
          <w:i/>
          <w:szCs w:val="24"/>
          <w:lang w:eastAsia="en-US"/>
        </w:rPr>
        <w:t xml:space="preserve"> Da das Ziel, dass sich alle Böden in der EU in einem gesunden Zustand befinden, von gemeinsamem Interesse ist, muss die Mobilisierung von Ressourcen verstärkt werden, um die Einführung von nachhaltigen Bodenbewirtschaftungs- und Regenerierungsverfahren zu fördern, unter anderem durch die Bereitstellung von Unterstützung durch die Europäische Investitionsbank über Risikominderungsmechanismen. Die Kommission sollte den allgemeinen Finanzbedarf und die Finanzlücken bewerten und erforderlichenfalls für den Zeitraum nach 2027 zusätzliche Finanzmittel im Rahmen des mehrjährigen Finanzrahmens einrichten und Maßnahmen ergreifen, um die Politikkohärenz in Bezug auf die Ziele dieser Richtlinie sicherzustellen.</w:t>
      </w:r>
      <w:r>
        <w:rPr>
          <w:b/>
          <w:szCs w:val="24"/>
          <w:lang w:eastAsia="en-US"/>
        </w:rPr>
        <w:t xml:space="preserve"> [Abänd. 3]</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(12)</w:t>
      </w:r>
      <w:r w:rsidRPr="001C2358">
        <w:rPr>
          <w:szCs w:val="24"/>
          <w:lang w:eastAsia="en-US"/>
        </w:rPr>
        <w:tab/>
        <w:t>In der Bodenstrategie für 2030 wurde angekündigt, dass die Kommission einen Legislativvorschlag zur Bodengesundheit vorlegen würde, um die Ziele der Bodenstrategie zu verwirklichen und bis 2050 eine gute Bodengesundheit in der gesamten EU zu erreichen. In seiner Entschließung vom 28. April 2021 zum Bodenschutz</w:t>
      </w:r>
      <w:r w:rsidRPr="001C2358">
        <w:rPr>
          <w:szCs w:val="24"/>
          <w:vertAlign w:val="superscript"/>
          <w:lang w:val="en-GB" w:eastAsia="en-US"/>
        </w:rPr>
        <w:footnoteReference w:id="15"/>
      </w:r>
      <w:r w:rsidRPr="001C2358">
        <w:rPr>
          <w:szCs w:val="24"/>
          <w:lang w:eastAsia="en-US"/>
        </w:rPr>
        <w:t xml:space="preserve"> unterstrich das Europäische Parlament die Bedeutung des Schutzes der Böden und der Förderung gesunder Böden in der </w:t>
      </w:r>
      <w:r w:rsidRPr="001C2358">
        <w:rPr>
          <w:strike/>
          <w:szCs w:val="24"/>
          <w:lang w:eastAsia="en-US"/>
        </w:rPr>
        <w:t>Union</w:t>
      </w:r>
      <w:r w:rsidRPr="001C2358">
        <w:rPr>
          <w:b/>
          <w:i/>
          <w:szCs w:val="24"/>
          <w:lang w:eastAsia="en-US"/>
        </w:rPr>
        <w:t>EU</w:t>
      </w:r>
      <w:r w:rsidRPr="001C2358">
        <w:rPr>
          <w:szCs w:val="24"/>
          <w:lang w:eastAsia="en-US"/>
        </w:rPr>
        <w:t>, da die Schädigung dieses lebendigen Ökosystems andauert, auch wenn einige Mitgliedstaaten in begrenztem Umfang Maßnahmen verschiedener Art ergriffen haben. Das Europäische Parlament forderte die Kommission auf, unter Achtung der Grundsätze der Subsidiarität einen einheitlichen EU-Rechtsrahmen für den Schutz und die nachhaltige Nutzung des Bodens auszuarbeiten, in dem die wichtigsten Gefährdungen für den Boden behandelt werden.</w:t>
      </w:r>
      <w:r w:rsidRPr="001C2358">
        <w:rPr>
          <w:b/>
          <w:i/>
          <w:szCs w:val="24"/>
          <w:lang w:eastAsia="en-US"/>
        </w:rPr>
        <w:t xml:space="preserve"> Vor allem betonte das Parlament die Risiken, die sich für einen funktionierenden Binnenmarkt aus dem Fehlen gleicher Rahmenbedingungen zwischen den Mitgliedstaaten und ihren unterschiedlichen Bodenschutzregelungen ergeben, sowie das große Potenzial, einen fairen Wettbewerb im Privatsektor zu fördern, innovative Lösungen und Fachwissen zu entwickeln und den Export von Technologien in Länder außerhalb der EU zu stärken.</w:t>
      </w:r>
      <w:r>
        <w:rPr>
          <w:b/>
          <w:szCs w:val="24"/>
          <w:lang w:eastAsia="en-US"/>
        </w:rPr>
        <w:t xml:space="preserve"> [Abänd. 4]</w:t>
      </w:r>
    </w:p>
    <w:p w:rsidR="001C2358" w:rsidRPr="001C2358" w:rsidRDefault="001C2358" w:rsidP="001C2358">
      <w:pPr>
        <w:spacing w:before="120" w:after="120" w:line="360" w:lineRule="auto"/>
        <w:ind w:left="850" w:hanging="850"/>
        <w:rPr>
          <w:szCs w:val="24"/>
          <w:lang w:eastAsia="en-US"/>
        </w:rPr>
      </w:pPr>
      <w:r w:rsidRPr="001C2358">
        <w:rPr>
          <w:szCs w:val="24"/>
          <w:lang w:eastAsia="en-US"/>
        </w:rPr>
        <w:t>(13)</w:t>
      </w:r>
      <w:r w:rsidRPr="001C2358">
        <w:rPr>
          <w:szCs w:val="24"/>
          <w:lang w:eastAsia="en-US"/>
        </w:rPr>
        <w:tab/>
        <w:t>In seinen Schlussfolgerungen vom 23. Oktober 2020</w:t>
      </w:r>
      <w:r w:rsidRPr="001C2358">
        <w:rPr>
          <w:szCs w:val="24"/>
          <w:vertAlign w:val="superscript"/>
          <w:lang w:val="en-GB" w:eastAsia="en-US"/>
        </w:rPr>
        <w:footnoteReference w:id="16"/>
      </w:r>
      <w:r w:rsidRPr="001C2358">
        <w:rPr>
          <w:szCs w:val="24"/>
          <w:lang w:eastAsia="en-US"/>
        </w:rPr>
        <w:t xml:space="preserve"> unterstützte der Rat die Kommission dabei, ihre Bemühungen zu verstärken, die Böden und die biologische Vielfalt in Böden als unerlässliche nicht erneuerbare Ressource besser zu schützen.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(14)</w:t>
      </w:r>
      <w:r w:rsidRPr="001C2358">
        <w:rPr>
          <w:szCs w:val="24"/>
          <w:lang w:eastAsia="en-US"/>
        </w:rPr>
        <w:tab/>
        <w:t>In der Verordnung (EU) 2021/1119 des Europäischen Parlaments und des Rates</w:t>
      </w:r>
      <w:r w:rsidRPr="001C2358">
        <w:rPr>
          <w:szCs w:val="24"/>
          <w:vertAlign w:val="superscript"/>
          <w:lang w:val="en-GB" w:eastAsia="en-US"/>
        </w:rPr>
        <w:footnoteReference w:id="17"/>
      </w:r>
      <w:r w:rsidRPr="001C2358">
        <w:rPr>
          <w:szCs w:val="24"/>
          <w:lang w:eastAsia="en-US"/>
        </w:rPr>
        <w:t xml:space="preserve"> wird ein verbindliches Ziel der Klimaneutralität in der Union bis 2050 und negativer Emissionen nach diesem Datum sowie zur Priorisierung rascher und vorhersehbarer Emissionsreduktionen und zur gleichzeitigen Verbesserung des Abbaus von Treibhausgasen durch natürliche Senken festgelegt. Eine nachhaltige Bodenbewirtschaftung führt zu einer verstärkten Kohlenstoffbindung und in den meisten Fällen zu positiven Nebeneffekten für die Ökosysteme und die biologische Vielfalt. In der Mitteilung der Kommission über nachhaltige Kohlenstoffkreisläufe</w:t>
      </w:r>
      <w:r w:rsidRPr="001C2358">
        <w:rPr>
          <w:szCs w:val="24"/>
          <w:vertAlign w:val="superscript"/>
          <w:lang w:val="en-GB" w:eastAsia="en-US"/>
        </w:rPr>
        <w:footnoteReference w:id="18"/>
      </w:r>
      <w:r w:rsidRPr="001C2358">
        <w:rPr>
          <w:szCs w:val="24"/>
          <w:lang w:eastAsia="en-US"/>
        </w:rPr>
        <w:t xml:space="preserve"> wurde die Notwendigkeit einer klaren und transparenten Ermittlung der Tätigkeiten hervorgehoben, mit denen eindeutig CO</w:t>
      </w:r>
      <w:r w:rsidRPr="001C2358">
        <w:rPr>
          <w:szCs w:val="24"/>
          <w:vertAlign w:val="subscript"/>
          <w:lang w:eastAsia="en-US"/>
        </w:rPr>
        <w:t>2</w:t>
      </w:r>
      <w:r w:rsidRPr="001C2358">
        <w:rPr>
          <w:szCs w:val="24"/>
          <w:lang w:eastAsia="en-US"/>
        </w:rPr>
        <w:t xml:space="preserve"> aus der Atmosphäre entfernt wird, wie etwa die Entwicklung eines EU-Rahmens für die Zertifizierung des CO</w:t>
      </w:r>
      <w:r w:rsidRPr="001C2358">
        <w:rPr>
          <w:szCs w:val="24"/>
          <w:vertAlign w:val="subscript"/>
          <w:lang w:eastAsia="en-US"/>
        </w:rPr>
        <w:t>2</w:t>
      </w:r>
      <w:r w:rsidRPr="001C2358">
        <w:rPr>
          <w:szCs w:val="24"/>
          <w:lang w:eastAsia="en-US"/>
        </w:rPr>
        <w:t>-Abbaus mithilfe natürlicher Ökosysteme, einschließlich der Böden. Darüber hinaus wird in der überarbeiteten Verordnung über Landnutzung, Landnutzungsänderungen und Forstwirtschaft nicht nur das CO</w:t>
      </w:r>
      <w:r w:rsidRPr="001C2358">
        <w:rPr>
          <w:szCs w:val="24"/>
          <w:vertAlign w:val="subscript"/>
          <w:lang w:eastAsia="en-US"/>
        </w:rPr>
        <w:t>2</w:t>
      </w:r>
      <w:r w:rsidRPr="001C2358">
        <w:rPr>
          <w:szCs w:val="24"/>
          <w:lang w:eastAsia="en-US"/>
        </w:rPr>
        <w:t xml:space="preserve"> im Boden für die Erreichung der Ziele auf dem Weg zu einem klimaneutralen Europa in den Mittelpunkt gestellt, sondern auch die Mitgliedstaaten aufgefordert, ein System zur Überwachung des Kohlenstoffbestands in Böden einzurichten, das unter anderem den statistischen Datensatz der Flächenstichprobenerhebung über die Bodennutzung/‑bedeckung (LUCAS) nutzt.</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(15)</w:t>
      </w:r>
      <w:r w:rsidRPr="001C2358">
        <w:rPr>
          <w:szCs w:val="24"/>
          <w:lang w:eastAsia="en-US"/>
        </w:rPr>
        <w:tab/>
        <w:t>In der Mitteilung der Kommission über die Anpassung an den Klimawandel</w:t>
      </w:r>
      <w:r w:rsidRPr="001C2358">
        <w:rPr>
          <w:szCs w:val="24"/>
          <w:vertAlign w:val="superscript"/>
          <w:lang w:val="en-GB" w:eastAsia="en-US"/>
        </w:rPr>
        <w:footnoteReference w:id="19"/>
      </w:r>
      <w:r w:rsidRPr="001C2358">
        <w:rPr>
          <w:szCs w:val="24"/>
          <w:lang w:eastAsia="en-US"/>
        </w:rPr>
        <w:t xml:space="preserve"> wurde betont, dass die Nutzung naturbasierter Lösungen im Binnenland, einschließlich der Wiederherstellung der schwammähnlichen Funktion der Böden, die Versorgung mit sauberem und frischem Wasser verbessern, das Hochwasserrisiko verringern und die Auswirkungen von Dürren abmildern wird. Es ist wichtig, die Kapazität der Böden zur Speicherung und Reinigung von Wasser sowie zur Verringerung von Verschmutzungen zu maximieren.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(16)</w:t>
      </w:r>
      <w:r w:rsidRPr="001C2358">
        <w:rPr>
          <w:szCs w:val="24"/>
          <w:lang w:eastAsia="en-US"/>
        </w:rPr>
        <w:tab/>
        <w:t>Im von der Kommission angenommenen Null-Schadstoff-Aktionsplan wird eine Vision für 2050 festgelegt, nach der die Verschmutzung von Luft, Wasser und Boden auf ein Niveau gesenkt wird, das als nicht mehr schädlich für die Gesundheit und die natürlichen Ökosysteme gilt und die für unseren Planeten hinnehmbaren Grenzen respektiert, sodass eine schadstofffreie Umwelt geschaffen wird.</w:t>
      </w:r>
    </w:p>
    <w:p w:rsidR="001C2358" w:rsidRPr="001C2358" w:rsidRDefault="001C2358" w:rsidP="001C2358">
      <w:pPr>
        <w:spacing w:before="120" w:after="120" w:line="360" w:lineRule="auto"/>
        <w:ind w:left="850" w:hanging="850"/>
        <w:rPr>
          <w:szCs w:val="24"/>
          <w:lang w:eastAsia="en-US"/>
        </w:rPr>
      </w:pPr>
      <w:r w:rsidRPr="001C2358">
        <w:rPr>
          <w:szCs w:val="24"/>
          <w:lang w:eastAsia="en-US"/>
        </w:rPr>
        <w:t>(17)</w:t>
      </w:r>
      <w:r w:rsidRPr="001C2358">
        <w:rPr>
          <w:szCs w:val="24"/>
          <w:lang w:eastAsia="en-US"/>
        </w:rPr>
        <w:tab/>
        <w:t>In der Mitteilung der Kommission über die Gewährleistung der Ernährungssicherheit und die Stärkung der Widerstandsfähigkeit der Lebensmittelsysteme</w:t>
      </w:r>
      <w:r w:rsidRPr="001C2358">
        <w:rPr>
          <w:szCs w:val="24"/>
          <w:vertAlign w:val="superscript"/>
          <w:lang w:val="en-GB" w:eastAsia="en-US"/>
        </w:rPr>
        <w:footnoteReference w:id="20"/>
      </w:r>
      <w:r w:rsidRPr="001C2358">
        <w:rPr>
          <w:szCs w:val="24"/>
          <w:lang w:eastAsia="en-US"/>
        </w:rPr>
        <w:t xml:space="preserve"> wurde betont, dass die Nachhaltigkeit der Lebensmittel für die Ernährungssicherheit unabdingbar ist. Gesunde Böden machen das Lebensmittelsystem der Union widerstandsfähiger, da sie die Grundlage für nahrhafte und ausreichende Lebensmittel bilden.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(18)</w:t>
      </w:r>
      <w:r w:rsidRPr="001C2358">
        <w:rPr>
          <w:szCs w:val="24"/>
          <w:lang w:eastAsia="en-US"/>
        </w:rPr>
        <w:tab/>
        <w:t xml:space="preserve">Es ist </w:t>
      </w:r>
      <w:r w:rsidRPr="001C2358">
        <w:rPr>
          <w:strike/>
          <w:szCs w:val="24"/>
          <w:lang w:eastAsia="en-US"/>
        </w:rPr>
        <w:t>notwendig</w:t>
      </w:r>
      <w:r w:rsidRPr="001C2358">
        <w:rPr>
          <w:b/>
          <w:i/>
          <w:szCs w:val="24"/>
          <w:lang w:eastAsia="en-US"/>
        </w:rPr>
        <w:t>entscheidend</w:t>
      </w:r>
      <w:r w:rsidRPr="001C2358">
        <w:rPr>
          <w:szCs w:val="24"/>
          <w:lang w:eastAsia="en-US"/>
        </w:rPr>
        <w:t>,</w:t>
      </w:r>
      <w:r w:rsidRPr="001C2358">
        <w:rPr>
          <w:b/>
          <w:i/>
          <w:szCs w:val="24"/>
          <w:lang w:eastAsia="en-US"/>
        </w:rPr>
        <w:t xml:space="preserve"> geeignete</w:t>
      </w:r>
      <w:r w:rsidRPr="001C2358">
        <w:rPr>
          <w:szCs w:val="24"/>
          <w:lang w:eastAsia="en-US"/>
        </w:rPr>
        <w:t xml:space="preserve"> Maßnahmen zur</w:t>
      </w:r>
      <w:r w:rsidRPr="001C2358">
        <w:rPr>
          <w:b/>
          <w:i/>
          <w:szCs w:val="24"/>
          <w:lang w:eastAsia="en-US"/>
        </w:rPr>
        <w:t xml:space="preserve"> EU-weiten harmonisierten</w:t>
      </w:r>
      <w:r w:rsidRPr="001C2358">
        <w:rPr>
          <w:szCs w:val="24"/>
          <w:lang w:eastAsia="en-US"/>
        </w:rPr>
        <w:t xml:space="preserve"> Überwachung und Bewertung der Bodengesundheit, zur nachhaltigen Bewirtschaftung der Böden und zur Beseitigung kontaminierter Standorte festzulegen, um bis 2050 gesunde Böden zu erreichen, diese in einem gesunden Zustand zu halten und die Ziele der </w:t>
      </w:r>
      <w:r w:rsidRPr="001C2358">
        <w:rPr>
          <w:strike/>
          <w:szCs w:val="24"/>
          <w:lang w:eastAsia="en-US"/>
        </w:rPr>
        <w:t>Union</w:t>
      </w:r>
      <w:r w:rsidRPr="001C2358">
        <w:rPr>
          <w:b/>
          <w:i/>
          <w:szCs w:val="24"/>
          <w:lang w:eastAsia="en-US"/>
        </w:rPr>
        <w:t>EU</w:t>
      </w:r>
      <w:r w:rsidRPr="001C2358">
        <w:rPr>
          <w:szCs w:val="24"/>
          <w:lang w:eastAsia="en-US"/>
        </w:rPr>
        <w:t xml:space="preserve"> in den Bereichen Klima und biologische Vielfalt zu erreichen, Dürren und Naturkatastrophen vorzubeugen und darauf zu reagieren, die menschliche Gesundheit zu schützen und für Lebensmittel- und Ernährungssicherheit zu sorgen.</w:t>
      </w:r>
      <w:r>
        <w:rPr>
          <w:b/>
          <w:szCs w:val="24"/>
          <w:lang w:eastAsia="en-US"/>
        </w:rPr>
        <w:t xml:space="preserve"> [Abänd. 5]</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(19)</w:t>
      </w:r>
      <w:r w:rsidRPr="001C2358">
        <w:rPr>
          <w:szCs w:val="24"/>
          <w:lang w:eastAsia="en-US"/>
        </w:rPr>
        <w:tab/>
        <w:t xml:space="preserve">Böden beherbergen mehr als 25 % der gesamten biologischen Vielfalt und sind der zweitgrößte Kohlenstoffspeicher der Erde. Weil gesunde Böden Kohlenstoff abscheiden und speichern können, tragen sie zur Verwirklichung der Ziele der </w:t>
      </w:r>
      <w:r w:rsidRPr="001C2358">
        <w:rPr>
          <w:strike/>
          <w:szCs w:val="24"/>
          <w:lang w:eastAsia="en-US"/>
        </w:rPr>
        <w:t>Union</w:t>
      </w:r>
      <w:r w:rsidRPr="001C2358">
        <w:rPr>
          <w:b/>
          <w:i/>
          <w:szCs w:val="24"/>
          <w:lang w:eastAsia="en-US"/>
        </w:rPr>
        <w:t>EU</w:t>
      </w:r>
      <w:r w:rsidRPr="001C2358">
        <w:rPr>
          <w:szCs w:val="24"/>
          <w:lang w:eastAsia="en-US"/>
        </w:rPr>
        <w:t xml:space="preserve"> im Bereich des Klimawandels bei</w:t>
      </w:r>
      <w:r w:rsidRPr="001C2358">
        <w:rPr>
          <w:b/>
          <w:i/>
          <w:szCs w:val="24"/>
          <w:lang w:eastAsia="en-US"/>
        </w:rPr>
        <w:t>. Die biologische Vielfalt in Böden umfasst Mikroorganismen wie Bakterien, Pilze, Protozoen und Nematodenpopulationen sowie größere Organismen wie Regenwürmer, Insekten und Pflanzenwurzeln, die gemeinsam zur ökologischen und funktionalen Vielfalt der Bodenökosysteme beitragen</w:t>
      </w:r>
      <w:r w:rsidRPr="001C2358">
        <w:rPr>
          <w:szCs w:val="24"/>
          <w:lang w:eastAsia="en-US"/>
        </w:rPr>
        <w:t>. Gesunde Böden bieten auch einen günstigen Lebensraum, in dem Organismen gedeihen können, und sind von entscheidender Bedeutung für die Verbesserung der biologischen Vielfalt und der Stabilität der Ökosysteme. Die biologische Vielfalt im Boden und jene darüber sind eng miteinander verknüpft und interagieren durch wechselseitige Beziehungen (z. B. über Mykorrhizalpilze, die Pflanzenwurzeln miteinander verbinden).</w:t>
      </w:r>
      <w:r>
        <w:rPr>
          <w:b/>
          <w:szCs w:val="24"/>
          <w:lang w:eastAsia="en-US"/>
        </w:rPr>
        <w:t xml:space="preserve"> [Abänd. 6]</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(19a)</w:t>
      </w:r>
      <w:r w:rsidRPr="001C2358">
        <w:rPr>
          <w:szCs w:val="24"/>
          <w:lang w:eastAsia="en-US"/>
        </w:rPr>
        <w:tab/>
      </w:r>
      <w:r w:rsidRPr="001C2358">
        <w:rPr>
          <w:b/>
          <w:i/>
          <w:szCs w:val="24"/>
          <w:lang w:eastAsia="en-US"/>
        </w:rPr>
        <w:t>Die organische Bodensubstanz ist für die Erbringung von Ökosystemleistungen und -funktionen des Bodens enorm wichtig, da dadurch die Degradation, Erosion und Verdichtung des Bodens verringert und gleichzeitig sein Pufferungsvermögen, seine Wasserspeicherkapazität und seine Kationenumtauschkapazität und der Anteil von organischem Kohlenstoff im Boden erhöht werden, was letztlich zu höheren Ernteerträgen führen kann. Darüber hinaus wirkt sich die organische Substanz im Boden positiv auf die biologische Vielfalt des Bodens aus und könnte den in den Böden gebundenen Kohlenstoff erhöhen und so zum Klimaschutz beitragen.</w:t>
      </w:r>
      <w:r>
        <w:rPr>
          <w:b/>
          <w:szCs w:val="24"/>
          <w:lang w:eastAsia="en-US"/>
        </w:rPr>
        <w:t xml:space="preserve"> [Abänd. 7]</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(20)</w:t>
      </w:r>
      <w:r w:rsidRPr="001C2358">
        <w:rPr>
          <w:szCs w:val="24"/>
          <w:lang w:eastAsia="en-US"/>
        </w:rPr>
        <w:tab/>
        <w:t>Überschwemmungen, Waldbrände und extreme Wetterereignisse sind die besorgniserregendsten Risiken im Hinblick auf Naturkatastrophen in ganz Europa. Die Besorgnis über Dürren und Wasserknappheit nimmt in der gesamten Union rasch zu. Im Jahr 2020 betrachteten 24 Mitgliedstaaten Dürren und Wasserknappheit als wichtige aufkommende oder klimabedingte Katastrophenrisiken; im Jahr 2015 waren es gerade einmal 11 Mitgliedstaaten. Gesunde Böden sind von entscheidender Bedeutung für die Widerstandsfähigkeit gegenüber Dürren und Naturkatastrophen. Verfahren, die das Wasserrückhaltevermögen von und die Nährstoffverfügbarkeit in Böden, die Bodenstruktur, die biologische Vielfalt und die Kohlenstoffbindung im Boden verbessern, erhöhen die Widerstandsfähigkeit von Ökosystemen, Pflanzen und Kulturen gegenüber Dürren, Naturkatastrophen, Hitzewellen und extremen Wetterereignissen, die in Zukunft aufgrund des Klimawandels häufiger auftreten werden. Ohne eine geeignete Bodenbewirtschaftung führen Dürren und Naturkatastrophen wiederum zu einer Verschlechterung der Bodenqualität und schaden der Bodengesundheit. Die Verbesserung der Bodengesundheit trägt dazu bei, die wirtschaftlichen Verluste und Todesfälle im Zusammenhang mit extremen Klimaereignissen zu mindern, die sich zwischen 1980 und 2021 in der Union auf rund 560 Mrd. EUR und mehr als 182 000 Todesopfer beliefen.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(21)</w:t>
      </w:r>
      <w:r w:rsidRPr="001C2358">
        <w:rPr>
          <w:szCs w:val="24"/>
          <w:lang w:eastAsia="en-US"/>
        </w:rPr>
        <w:tab/>
        <w:t>Die Bodengesundheit trägt unmittelbar zur Gesundheit und zum Wohlbefinden des Menschen bei. Gesunde Böden liefern sichere und nahrhafte Lebensmittel und können Kontaminanten filtern, wodurch die Trinkwasserqualität erhalten bleibt. Bodenkontamination kann die menschliche Gesundheit durch Aufnahme über den Mund, Einatmen oder Hautkontakt schädigen. Die Exposition des Menschen gegenüber einer gesunden mikrobiellen Gemeinschaft im Boden ist für die Entwicklung des Immunsystems und der Resistenz gegen bestimmte Krankheiten und Allergien von Vorteil. Gesunde Böden fördern das Wachstum von Bäumen, Blumen und Gräsern und schaffen grüne Infrastrukturen, die einen ästhetischen Wert, Wohlbefinden und Lebensqualität bieten.</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(21a)</w:t>
      </w:r>
      <w:r w:rsidRPr="001C2358">
        <w:rPr>
          <w:szCs w:val="24"/>
          <w:lang w:eastAsia="en-US"/>
        </w:rPr>
        <w:tab/>
      </w:r>
      <w:r w:rsidRPr="001C2358">
        <w:rPr>
          <w:b/>
          <w:i/>
          <w:szCs w:val="24"/>
          <w:lang w:eastAsia="en-US"/>
        </w:rPr>
        <w:t>Es wurde häufig beobachtet, dass Per- und Polyfluoralkylsubstanzen (PFAS) das Grundwasser, das Oberflächenwasser und den Boden verunreinigen. Sie können die Bodeneigenschaften und -strukturen verändern, wobei einige der berichteten Auswirkungen eine Abnahme der Bodenatmung und der wasserstabilen Aggregate sowie einen Anstieg des pH-Werts im Boden umfassen.</w:t>
      </w:r>
      <w:r>
        <w:rPr>
          <w:b/>
          <w:szCs w:val="24"/>
          <w:lang w:eastAsia="en-US"/>
        </w:rPr>
        <w:t xml:space="preserve"> [Abänd. 8]</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(22)</w:t>
      </w:r>
      <w:r w:rsidRPr="001C2358">
        <w:rPr>
          <w:szCs w:val="24"/>
          <w:lang w:eastAsia="en-US"/>
        </w:rPr>
        <w:tab/>
        <w:t xml:space="preserve">Die Bodendegradation wirkt sich auf Fruchtbarkeit, Erträge, Schädlingsresistenz und den Nährwert von Lebensmitteln aus. Da 95 % unserer Lebensmittel direkt oder indirekt auf Böden erzeugt werden und die Weltbevölkerung weiter wächst, ist es von entscheidender Bedeutung, dass diese endliche natürliche Ressource gesund bleibt, um die Ernährungssicherheit langfristig zu gewährleisten und die Produktivität und Rentabilität der Landwirtschaft der </w:t>
      </w:r>
      <w:r w:rsidRPr="001C2358">
        <w:rPr>
          <w:strike/>
          <w:szCs w:val="24"/>
          <w:lang w:eastAsia="en-US"/>
        </w:rPr>
        <w:t>Union</w:t>
      </w:r>
      <w:r w:rsidRPr="001C2358">
        <w:rPr>
          <w:b/>
          <w:i/>
          <w:szCs w:val="24"/>
          <w:lang w:eastAsia="en-US"/>
        </w:rPr>
        <w:t>EU</w:t>
      </w:r>
      <w:r w:rsidRPr="001C2358">
        <w:rPr>
          <w:szCs w:val="24"/>
          <w:lang w:eastAsia="en-US"/>
        </w:rPr>
        <w:t xml:space="preserve"> zu sichern. Nachhaltige Bodenbewirtschaftungspraktiken</w:t>
      </w:r>
      <w:r w:rsidRPr="001C2358">
        <w:rPr>
          <w:b/>
          <w:i/>
          <w:szCs w:val="24"/>
          <w:lang w:eastAsia="en-US"/>
        </w:rPr>
        <w:t>, darunter die in der Gemeinsamen Agrarpolitik festgelegten Praktiken,</w:t>
      </w:r>
      <w:r w:rsidRPr="001C2358">
        <w:rPr>
          <w:szCs w:val="24"/>
          <w:lang w:eastAsia="en-US"/>
        </w:rPr>
        <w:t xml:space="preserve"> erhalten oder verbessern die Bodengesundheit und tragen zur Nachhaltigkeit und Widerstandsfähigkeit des Lebensmittelsystems bei.</w:t>
      </w:r>
      <w:r w:rsidRPr="001C2358">
        <w:rPr>
          <w:b/>
          <w:i/>
          <w:szCs w:val="24"/>
          <w:lang w:eastAsia="en-US"/>
        </w:rPr>
        <w:t xml:space="preserve"> Die Reduzierung von Nährstoffverlusten und Pestizidrückständen ist in diesem Zusammenhang von entscheidender Bedeutung.</w:t>
      </w:r>
      <w:r>
        <w:rPr>
          <w:b/>
          <w:szCs w:val="24"/>
          <w:lang w:eastAsia="en-US"/>
        </w:rPr>
        <w:t xml:space="preserve"> [Abänd. 9]</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(23)</w:t>
      </w:r>
      <w:r w:rsidRPr="001C2358">
        <w:rPr>
          <w:szCs w:val="24"/>
          <w:lang w:eastAsia="en-US"/>
        </w:rPr>
        <w:tab/>
        <w:t xml:space="preserve">Langfristiges Ziel der Richtlinie </w:t>
      </w:r>
      <w:r w:rsidRPr="001C2358">
        <w:rPr>
          <w:strike/>
          <w:szCs w:val="24"/>
          <w:lang w:eastAsia="en-US"/>
        </w:rPr>
        <w:t>ist es, bis 2050</w:t>
      </w:r>
      <w:r w:rsidRPr="001C2358">
        <w:rPr>
          <w:b/>
          <w:i/>
          <w:szCs w:val="24"/>
          <w:lang w:eastAsia="en-US"/>
        </w:rPr>
        <w:t>sind EU-weit</w:t>
      </w:r>
      <w:r w:rsidRPr="001C2358">
        <w:rPr>
          <w:szCs w:val="24"/>
          <w:lang w:eastAsia="en-US"/>
        </w:rPr>
        <w:t xml:space="preserve"> gesunde Böden </w:t>
      </w:r>
      <w:r w:rsidRPr="001C2358">
        <w:rPr>
          <w:strike/>
          <w:szCs w:val="24"/>
          <w:lang w:eastAsia="en-US"/>
        </w:rPr>
        <w:t>zu erreichen</w:t>
      </w:r>
      <w:r w:rsidRPr="001C2358">
        <w:rPr>
          <w:b/>
          <w:i/>
          <w:szCs w:val="24"/>
          <w:lang w:eastAsia="en-US"/>
        </w:rPr>
        <w:t>bis 2050</w:t>
      </w:r>
      <w:r w:rsidRPr="001C2358">
        <w:rPr>
          <w:szCs w:val="24"/>
          <w:lang w:eastAsia="en-US"/>
        </w:rPr>
        <w:t xml:space="preserve">. Angesichts der begrenzten Kenntnisse über den Zustand der Böden sowie über die Wirksamkeit und die Kosten der Maßnahmen zur Wiederherstellung ihrer Gesundheit wird in der Richtlinie ein schrittweiser Ansatz verfolgt. In der ersten Phase wird der Schwerpunkt auf der Einrichtung des Bodenüberwachungsrahmens und der Bewertung der Bodensituation in der gesamten EU liegen. </w:t>
      </w:r>
      <w:r w:rsidRPr="001C2358">
        <w:rPr>
          <w:strike/>
          <w:szCs w:val="24"/>
          <w:lang w:eastAsia="en-US"/>
        </w:rPr>
        <w:t xml:space="preserve">Darüber hinaus enthält </w:t>
      </w:r>
      <w:r w:rsidRPr="001C2358">
        <w:rPr>
          <w:szCs w:val="24"/>
          <w:lang w:eastAsia="en-US"/>
        </w:rPr>
        <w:t>Die</w:t>
      </w:r>
      <w:r w:rsidRPr="001C2358">
        <w:rPr>
          <w:b/>
          <w:i/>
          <w:szCs w:val="24"/>
          <w:lang w:eastAsia="en-US"/>
        </w:rPr>
        <w:t xml:space="preserve"> Mitgliedstaaten sollten unter Berücksichtigung der in Anhang III dieser</w:t>
      </w:r>
      <w:r w:rsidRPr="001C2358">
        <w:rPr>
          <w:szCs w:val="24"/>
          <w:lang w:eastAsia="en-US"/>
        </w:rPr>
        <w:t xml:space="preserve"> Richtlinie </w:t>
      </w:r>
      <w:r w:rsidRPr="001C2358">
        <w:rPr>
          <w:strike/>
          <w:szCs w:val="24"/>
          <w:lang w:eastAsia="en-US"/>
        </w:rPr>
        <w:t>Anforderungen zur Festlegung von Maßnahmen zur nachhaltigen Bodenbewirtschaftung und zur Regenerierung ungesunder</w:t>
      </w:r>
      <w:r w:rsidRPr="001C2358">
        <w:rPr>
          <w:b/>
          <w:i/>
          <w:szCs w:val="24"/>
          <w:lang w:eastAsia="en-US"/>
        </w:rPr>
        <w:t>festgelegten unverbindlichen Grundsätze nachhaltige Bodenbewirtschaftungsmethoden festlegen. Den Mitgliedstaaten wird die Flexibilität eingeräumt, über konkrete Methoden zu entscheiden, die gegebenenfalls unter Berücksichtigung der örtlichen Gegebenheiten und ihrer Durchführbarkeit anzuwenden sind, um das Ziel gesunder</w:t>
      </w:r>
      <w:r w:rsidRPr="001C2358">
        <w:rPr>
          <w:szCs w:val="24"/>
          <w:lang w:eastAsia="en-US"/>
        </w:rPr>
        <w:t xml:space="preserve"> Böden</w:t>
      </w:r>
      <w:r w:rsidRPr="001C2358">
        <w:rPr>
          <w:strike/>
          <w:szCs w:val="24"/>
          <w:lang w:eastAsia="en-US"/>
        </w:rPr>
        <w:t>, sobald ihr Zustand feststeht, jedoch ohne Verpflichtung,</w:t>
      </w:r>
      <w:r w:rsidRPr="001C2358">
        <w:rPr>
          <w:szCs w:val="24"/>
          <w:lang w:eastAsia="en-US"/>
        </w:rPr>
        <w:t xml:space="preserve"> bis 2050 </w:t>
      </w:r>
      <w:r w:rsidRPr="001C2358">
        <w:rPr>
          <w:strike/>
          <w:szCs w:val="24"/>
          <w:lang w:eastAsia="en-US"/>
        </w:rPr>
        <w:t>gesunde Böden zu erreichen, und ohne Zwischenziele</w:t>
      </w:r>
      <w:r w:rsidRPr="001C2358">
        <w:rPr>
          <w:b/>
          <w:i/>
          <w:szCs w:val="24"/>
          <w:lang w:eastAsia="en-US"/>
        </w:rPr>
        <w:t>zu erleichtern</w:t>
      </w:r>
      <w:r w:rsidRPr="001C2358">
        <w:rPr>
          <w:szCs w:val="24"/>
          <w:lang w:eastAsia="en-US"/>
        </w:rPr>
        <w:t xml:space="preserve">. Dieser verhältnismäßige Ansatz wird es ermöglichen, eine nachhaltige Bodenbewirtschaftung und die Regenerierung </w:t>
      </w:r>
      <w:r w:rsidRPr="001C2358">
        <w:rPr>
          <w:strike/>
          <w:szCs w:val="24"/>
          <w:lang w:eastAsia="en-US"/>
        </w:rPr>
        <w:t>ungesunder</w:t>
      </w:r>
      <w:r w:rsidRPr="001C2358">
        <w:rPr>
          <w:b/>
          <w:i/>
          <w:szCs w:val="24"/>
          <w:lang w:eastAsia="en-US"/>
        </w:rPr>
        <w:t>von</w:t>
      </w:r>
      <w:r w:rsidRPr="001C2358">
        <w:rPr>
          <w:szCs w:val="24"/>
          <w:lang w:eastAsia="en-US"/>
        </w:rPr>
        <w:t xml:space="preserve"> Böden</w:t>
      </w:r>
      <w:r w:rsidRPr="001C2358">
        <w:rPr>
          <w:b/>
          <w:i/>
          <w:szCs w:val="24"/>
          <w:lang w:eastAsia="en-US"/>
        </w:rPr>
        <w:t>, die nicht gesund sind,</w:t>
      </w:r>
      <w:r w:rsidRPr="001C2358">
        <w:rPr>
          <w:szCs w:val="24"/>
          <w:lang w:eastAsia="en-US"/>
        </w:rPr>
        <w:t xml:space="preserve"> gut vorzubereiten, Anreize dafür zu schaffen und sie in Gang zu setzen. Sobald die Ergebnisse der ersten Bewertung von Böden und Trends vorliegen, wird die Kommission in einer zweiten Phase eine Bestandsaufnahme der Fortschritte bei der Verwirklichung der Zielvorgaben für 2050 und der dabei gewonnenen Erfahrungen vornehmen und gegebenenfalls eine Überarbeitung der Richtlinie vorschlagen, um </w:t>
      </w:r>
      <w:r w:rsidRPr="001C2358">
        <w:rPr>
          <w:strike/>
          <w:szCs w:val="24"/>
          <w:lang w:eastAsia="en-US"/>
        </w:rPr>
        <w:t>die Fortschritte</w:t>
      </w:r>
      <w:r w:rsidRPr="001C2358">
        <w:rPr>
          <w:b/>
          <w:i/>
          <w:szCs w:val="24"/>
          <w:lang w:eastAsia="en-US"/>
        </w:rPr>
        <w:t>das Ziel</w:t>
      </w:r>
      <w:r w:rsidRPr="001C2358">
        <w:rPr>
          <w:szCs w:val="24"/>
          <w:lang w:eastAsia="en-US"/>
        </w:rPr>
        <w:t xml:space="preserve"> bis 2050 zu </w:t>
      </w:r>
      <w:r w:rsidRPr="001C2358">
        <w:rPr>
          <w:strike/>
          <w:szCs w:val="24"/>
          <w:lang w:eastAsia="en-US"/>
        </w:rPr>
        <w:t>beschleunigen</w:t>
      </w:r>
      <w:r w:rsidRPr="001C2358">
        <w:rPr>
          <w:b/>
          <w:i/>
          <w:szCs w:val="24"/>
          <w:lang w:eastAsia="en-US"/>
        </w:rPr>
        <w:t>erreichen</w:t>
      </w:r>
      <w:r w:rsidRPr="001C2358">
        <w:rPr>
          <w:szCs w:val="24"/>
          <w:lang w:eastAsia="en-US"/>
        </w:rPr>
        <w:t>.</w:t>
      </w:r>
      <w:r>
        <w:rPr>
          <w:b/>
          <w:szCs w:val="24"/>
          <w:lang w:eastAsia="en-US"/>
        </w:rPr>
        <w:t xml:space="preserve"> [Abänd. 10]</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(24)</w:t>
      </w:r>
      <w:r w:rsidRPr="001C2358">
        <w:rPr>
          <w:szCs w:val="24"/>
          <w:lang w:eastAsia="en-US"/>
        </w:rPr>
        <w:tab/>
        <w:t>Die Bewältigung der Belastungen der Böden und die Ermittlung geeigneter Maßnahmen zur Erhaltung oder Wiederherstellung der Bodengesundheit erfordern, dass der Vielfalt der Bodentypen, den besonderen lokalen und klimatischen Bedingungen sowie der Landnutzung oder Bodenbedeckung Rechnung getragen werden. Daher sollten die Mitgliedstaaten Bodenbezirke einrichten</w:t>
      </w:r>
      <w:r w:rsidRPr="001C2358">
        <w:rPr>
          <w:b/>
          <w:i/>
          <w:szCs w:val="24"/>
          <w:lang w:eastAsia="en-US"/>
        </w:rPr>
        <w:t>, die den pedoklimatische Bedingungen und der Bodenvielfalt im gesamten Staatsgebiet angemessen Rechnung tragen können</w:t>
      </w:r>
      <w:r w:rsidRPr="001C2358">
        <w:rPr>
          <w:szCs w:val="24"/>
          <w:lang w:eastAsia="en-US"/>
        </w:rPr>
        <w:t xml:space="preserve">. Bodenbezirke sollten die grundlegenden Verwaltungseinheiten für die Bodenbewirtschaftung und für die Ergreifung von Maßnahmen bilden, um die Anforderungen dieser Richtlinie zu erfüllen, insbesondere in Bezug auf die Überwachung und Bewertung der Bodengesundheit. </w:t>
      </w:r>
      <w:r w:rsidRPr="001C2358">
        <w:rPr>
          <w:strike/>
          <w:szCs w:val="24"/>
          <w:lang w:eastAsia="en-US"/>
        </w:rPr>
        <w:t>Die Anzahl, die geografische Ausdehnung und die Grenzen der Bodenbezirke sollten für jeden Mitgliedstaat festgelegt werden, um die Durchführung der Verordnung (EU) .../... des Europäischen Parlaments und des Rates</w:t>
      </w:r>
      <w:r>
        <w:rPr>
          <w:rStyle w:val="FootnoteReference"/>
          <w:strike/>
          <w:szCs w:val="24"/>
          <w:lang w:eastAsia="en-US"/>
        </w:rPr>
        <w:footnoteReference w:customMarkFollows="1" w:id="21"/>
        <w:t>+</w:t>
      </w:r>
      <w:r w:rsidRPr="001C2358">
        <w:rPr>
          <w:strike/>
          <w:szCs w:val="24"/>
          <w:lang w:eastAsia="en-US"/>
        </w:rPr>
        <w:t xml:space="preserve"> zu erleichtern. </w:t>
      </w:r>
      <w:r w:rsidRPr="001C2358">
        <w:rPr>
          <w:szCs w:val="24"/>
          <w:lang w:eastAsia="en-US"/>
        </w:rPr>
        <w:t xml:space="preserve">In jedem Mitgliedstaat sollte es unter Berücksichtigung der Größe des Mitgliedstaats eine Mindestzahl von Bodenbezirken geben. </w:t>
      </w:r>
      <w:r w:rsidRPr="001C2358">
        <w:rPr>
          <w:strike/>
          <w:szCs w:val="24"/>
          <w:lang w:eastAsia="en-US"/>
        </w:rPr>
        <w:t>Die Mindestzahl der Bodenbezirke in jedem</w:t>
      </w:r>
      <w:r w:rsidRPr="001C2358">
        <w:rPr>
          <w:b/>
          <w:i/>
          <w:szCs w:val="24"/>
          <w:lang w:eastAsia="en-US"/>
        </w:rPr>
        <w:t>Diese Mindestanzahl von Bodenbezirken für jeden</w:t>
      </w:r>
      <w:r w:rsidRPr="001C2358">
        <w:rPr>
          <w:szCs w:val="24"/>
          <w:lang w:eastAsia="en-US"/>
        </w:rPr>
        <w:t xml:space="preserve"> Mitgliedstaat entspricht der </w:t>
      </w:r>
      <w:r w:rsidRPr="001C2358">
        <w:rPr>
          <w:strike/>
          <w:szCs w:val="24"/>
          <w:lang w:eastAsia="en-US"/>
        </w:rPr>
        <w:t>Anzahl der NUTS-1-</w:t>
      </w:r>
      <w:r w:rsidRPr="001C2358">
        <w:rPr>
          <w:b/>
          <w:i/>
          <w:szCs w:val="24"/>
          <w:lang w:eastAsia="en-US"/>
        </w:rPr>
        <w:t xml:space="preserve">Zahl der </w:t>
      </w:r>
      <w:r w:rsidRPr="001C2358">
        <w:rPr>
          <w:szCs w:val="24"/>
          <w:lang w:eastAsia="en-US"/>
        </w:rPr>
        <w:t>Gebietseinheiten</w:t>
      </w:r>
      <w:r w:rsidRPr="001C2358">
        <w:rPr>
          <w:b/>
          <w:i/>
          <w:szCs w:val="24"/>
          <w:lang w:eastAsia="en-US"/>
        </w:rPr>
        <w:t xml:space="preserve"> der NUTS-1-Ebene</w:t>
      </w:r>
      <w:r w:rsidRPr="001C2358">
        <w:rPr>
          <w:szCs w:val="24"/>
          <w:lang w:eastAsia="en-US"/>
        </w:rPr>
        <w:t xml:space="preserve"> gemäß der Verordnung (EG) Nr. 1059/2003 des Europäischen Parlaments und des Rates</w:t>
      </w:r>
      <w:r w:rsidRPr="001C2358">
        <w:rPr>
          <w:szCs w:val="24"/>
          <w:vertAlign w:val="superscript"/>
          <w:lang w:val="en-GB" w:eastAsia="en-US"/>
        </w:rPr>
        <w:footnoteReference w:id="22"/>
      </w:r>
      <w:r w:rsidRPr="001C2358">
        <w:rPr>
          <w:szCs w:val="24"/>
          <w:lang w:eastAsia="en-US"/>
        </w:rPr>
        <w:t>.</w:t>
      </w:r>
      <w:r w:rsidRPr="001C2358">
        <w:rPr>
          <w:b/>
          <w:i/>
          <w:szCs w:val="24"/>
          <w:lang w:eastAsia="en-US"/>
        </w:rPr>
        <w:t xml:space="preserve"> Die Mitgliedstaaten können beschließen, ihre Bodenbezirke entsprechend ihrer Anzahl an NUTS-2-Gebietseinheiten einzurichten, um ihren örtlichen Gegebenheiten und den Zuständigkeiten ihrer nationalen Behörden Rechnung zu tragen.</w:t>
      </w:r>
      <w:r>
        <w:rPr>
          <w:b/>
          <w:szCs w:val="24"/>
          <w:lang w:eastAsia="en-US"/>
        </w:rPr>
        <w:t xml:space="preserve"> [Abänd. 11]</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(24a)</w:t>
      </w:r>
      <w:r w:rsidRPr="001C2358">
        <w:rPr>
          <w:szCs w:val="24"/>
          <w:lang w:eastAsia="en-US"/>
        </w:rPr>
        <w:tab/>
      </w:r>
      <w:r w:rsidRPr="001C2358">
        <w:rPr>
          <w:b/>
          <w:i/>
          <w:szCs w:val="24"/>
          <w:lang w:eastAsia="en-US"/>
        </w:rPr>
        <w:t>Die Bodenbezirke sind die geeignetste Ebene für die Verabschiedung von Maßnahmenprogrammen und erforderlichenfalls von Zwischenzielen, auch über lokale Bodenbezirkspläne unter Berücksichtigung der örtlichen Gegebenheiten und der Standpunkte lokaler Interessenträger, damit die jeweiligen Böden in eine bessere Kategorie eingestuft werden können. Da die Wiederherstellung kritisch geschädigter Böden mehr Zeit in Anspruch nimmt, sollte ein ausreichender Zeitrahmen von bis zu zehn Jahren festgelegt werden, um sicherzustellen, dass sich ihre ökologische Einstufung verbessert. Für Böden, die als kontaminiert registriert wurden und für die es spezifische Bewirtschaftungs- und Minderungspläne gibt, kann ein anderer Zeitplan gelten.</w:t>
      </w:r>
      <w:r>
        <w:rPr>
          <w:b/>
          <w:szCs w:val="24"/>
          <w:lang w:eastAsia="en-US"/>
        </w:rPr>
        <w:t xml:space="preserve"> [Abänd. 12]</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(25)</w:t>
      </w:r>
      <w:r w:rsidRPr="001C2358">
        <w:rPr>
          <w:szCs w:val="24"/>
          <w:lang w:eastAsia="en-US"/>
        </w:rPr>
        <w:tab/>
        <w:t>Um eine angemessene Bodenbewirtschaftung zu gewährleisten, sollten die Mitgliedstaaten verpflichtet werden, für jeden der Bodenbezirke eine zuständige Behörde zu benennen. Die Mitgliedstaaten sollten die Möglichkeit haben, auf geeigneter Ebene, auch auf nationaler oder regionaler Ebene, weitere zuständige Behörden zu benennen</w:t>
      </w:r>
      <w:r w:rsidRPr="001C2358">
        <w:rPr>
          <w:b/>
          <w:i/>
          <w:szCs w:val="24"/>
          <w:lang w:eastAsia="en-US"/>
        </w:rPr>
        <w:t>, und zwar auch über die Hoheitsgebiete der Mitgliedstaaten hinweg</w:t>
      </w:r>
      <w:r w:rsidRPr="001C2358">
        <w:rPr>
          <w:szCs w:val="24"/>
          <w:lang w:eastAsia="en-US"/>
        </w:rPr>
        <w:t>.</w:t>
      </w:r>
      <w:r w:rsidRPr="001C2358">
        <w:rPr>
          <w:b/>
          <w:i/>
          <w:szCs w:val="24"/>
          <w:lang w:eastAsia="en-US"/>
        </w:rPr>
        <w:t xml:space="preserve"> Um die Kosten so gering wie möglich zu halten, sollten die Mitgliedstaaten in erster Linie Behörden benennen, die bereits eingerichtet sind. Eine Behörde kann für mehrere Bereiche zuständig sein, was die Kohärenz bei der Umsetzung dieser Richtlinie verbessern könnte. Falls die Mitgliedstaaten die Aufteilung der Zuständigkeiten zwischen den zuständigen Behörden ändern, sollten sie diese Änderungen der Kommission mitteilen, damit die Informationen aktuell bleiben.</w:t>
      </w:r>
      <w:r>
        <w:rPr>
          <w:b/>
          <w:szCs w:val="24"/>
          <w:lang w:eastAsia="en-US"/>
        </w:rPr>
        <w:t xml:space="preserve"> [Abänd. 13]</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(26)</w:t>
      </w:r>
      <w:r w:rsidRPr="001C2358">
        <w:rPr>
          <w:szCs w:val="24"/>
          <w:lang w:eastAsia="en-US"/>
        </w:rPr>
        <w:tab/>
        <w:t>Für eine gemeinsame Definition des gesunden Bodenzustands muss ein Mindestsatz gemeinsamer messbarer Kriterien festgelegt werden, die zu einem kritischen Verlust der Fähigkeit des Bodens führen, als lebenswichtiges Ökosystem zu funktionieren und Ökosystemleistungen zu erbringen, wenn sie nicht eingehalten werden. Diese Kriterien sollten den aktuellen Stand der Bodenforschung widerspiegeln und darauf aufbauen.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(27)</w:t>
      </w:r>
      <w:r w:rsidRPr="001C2358">
        <w:rPr>
          <w:szCs w:val="24"/>
          <w:lang w:eastAsia="en-US"/>
        </w:rPr>
        <w:tab/>
      </w:r>
      <w:r w:rsidRPr="001C2358">
        <w:rPr>
          <w:strike/>
          <w:szCs w:val="24"/>
          <w:lang w:eastAsia="en-US"/>
        </w:rPr>
        <w:t>Zur Beschreibung der Bodendegradation müssen</w:t>
      </w:r>
      <w:r w:rsidRPr="001C2358">
        <w:rPr>
          <w:b/>
          <w:i/>
          <w:szCs w:val="24"/>
          <w:lang w:eastAsia="en-US"/>
        </w:rPr>
        <w:t>Um einen gemeinsamen Rahmen zu schaffen und die Vergleichbarkeit der Daten zu ermöglichen, sollte die Kommission im Wege von delegierten Rechtsakten eine Methode zur Festlegung von Schwellenwerten für</w:t>
      </w:r>
      <w:r w:rsidRPr="001C2358">
        <w:rPr>
          <w:szCs w:val="24"/>
          <w:lang w:eastAsia="en-US"/>
        </w:rPr>
        <w:t xml:space="preserve"> Bodendeskriptoren </w:t>
      </w:r>
      <w:r w:rsidRPr="001C2358">
        <w:rPr>
          <w:strike/>
          <w:szCs w:val="24"/>
          <w:lang w:eastAsia="en-US"/>
        </w:rPr>
        <w:t>festgelegt werden, die gemessen oder geschätzt werden können</w:t>
      </w:r>
      <w:r w:rsidRPr="001C2358">
        <w:rPr>
          <w:b/>
          <w:i/>
          <w:szCs w:val="24"/>
          <w:lang w:eastAsia="en-US"/>
        </w:rPr>
        <w:t>für jeden ökologischen Zustand des Bodens festlegen</w:t>
      </w:r>
      <w:r w:rsidRPr="001C2358">
        <w:rPr>
          <w:szCs w:val="24"/>
          <w:lang w:eastAsia="en-US"/>
        </w:rPr>
        <w:t>.</w:t>
      </w:r>
      <w:r w:rsidRPr="001C2358">
        <w:rPr>
          <w:strike/>
          <w:szCs w:val="24"/>
          <w:lang w:eastAsia="en-US"/>
        </w:rPr>
        <w:t xml:space="preserve"> Auch wenn es erhebliche Unterschiede zwischen Bodentypen, klimatischen Bedingungen und Landnutzungen gibt, ist es nach den derzeitigen</w:t>
      </w:r>
      <w:r w:rsidRPr="001C2358">
        <w:rPr>
          <w:b/>
          <w:i/>
          <w:szCs w:val="24"/>
          <w:lang w:eastAsia="en-US"/>
        </w:rPr>
        <w:t xml:space="preserve"> Es ist wichtig, dass diese Methode den neuesten</w:t>
      </w:r>
      <w:r w:rsidRPr="001C2358">
        <w:rPr>
          <w:szCs w:val="24"/>
          <w:lang w:eastAsia="en-US"/>
        </w:rPr>
        <w:t xml:space="preserve"> wissenschaftlichen Erkenntnissen </w:t>
      </w:r>
      <w:r w:rsidRPr="001C2358">
        <w:rPr>
          <w:strike/>
          <w:szCs w:val="24"/>
          <w:lang w:eastAsia="en-US"/>
        </w:rPr>
        <w:t>möglich, auf Unionsebene Kriterien für einige</w:t>
      </w:r>
      <w:r w:rsidRPr="001C2358">
        <w:rPr>
          <w:b/>
          <w:i/>
          <w:szCs w:val="24"/>
          <w:lang w:eastAsia="en-US"/>
        </w:rPr>
        <w:t>Rechnung trägt und Mittel zur Berücksichtigung unterschiedlicher klimatischer Bedingungen und Bodenarten vorsieht. Nach</w:t>
      </w:r>
      <w:r w:rsidRPr="001C2358">
        <w:rPr>
          <w:szCs w:val="24"/>
          <w:lang w:eastAsia="en-US"/>
        </w:rPr>
        <w:t xml:space="preserve"> dieser </w:t>
      </w:r>
      <w:r w:rsidRPr="001C2358">
        <w:rPr>
          <w:strike/>
          <w:szCs w:val="24"/>
          <w:lang w:eastAsia="en-US"/>
        </w:rPr>
        <w:t>Bodendeskriptoren festzulegen.</w:t>
      </w:r>
      <w:r w:rsidRPr="001C2358">
        <w:rPr>
          <w:b/>
          <w:i/>
          <w:szCs w:val="24"/>
          <w:lang w:eastAsia="en-US"/>
        </w:rPr>
        <w:t>Methode sollten</w:t>
      </w:r>
      <w:r w:rsidRPr="001C2358">
        <w:rPr>
          <w:szCs w:val="24"/>
          <w:lang w:eastAsia="en-US"/>
        </w:rPr>
        <w:t xml:space="preserve"> die Mitgliedstaaten </w:t>
      </w:r>
      <w:r w:rsidRPr="001C2358">
        <w:rPr>
          <w:strike/>
          <w:szCs w:val="24"/>
          <w:lang w:eastAsia="en-US"/>
        </w:rPr>
        <w:t>sollten jedoch die Möglichkeit haben, die Kriterien für einige dieser</w:t>
      </w:r>
      <w:r w:rsidRPr="001C2358">
        <w:rPr>
          <w:b/>
          <w:i/>
          <w:szCs w:val="24"/>
          <w:lang w:eastAsia="en-US"/>
        </w:rPr>
        <w:t>Entwürfe von Schwellenwerten für</w:t>
      </w:r>
      <w:r w:rsidRPr="001C2358">
        <w:rPr>
          <w:szCs w:val="24"/>
          <w:lang w:eastAsia="en-US"/>
        </w:rPr>
        <w:t xml:space="preserve"> Bodendeskriptoren </w:t>
      </w:r>
      <w:r w:rsidRPr="001C2358">
        <w:rPr>
          <w:strike/>
          <w:szCs w:val="24"/>
          <w:lang w:eastAsia="en-US"/>
        </w:rPr>
        <w:t>auf der Grundlage spezifischer nationaler oder lokaler</w:t>
      </w:r>
      <w:r w:rsidRPr="001C2358">
        <w:rPr>
          <w:b/>
          <w:i/>
          <w:szCs w:val="24"/>
          <w:lang w:eastAsia="en-US"/>
        </w:rPr>
        <w:t>für jeden ökologischen Zustand des Bodens unter Berücksichtigung der klimatischen</w:t>
      </w:r>
      <w:r w:rsidRPr="001C2358">
        <w:rPr>
          <w:szCs w:val="24"/>
          <w:lang w:eastAsia="en-US"/>
        </w:rPr>
        <w:t xml:space="preserve"> Bedingungen</w:t>
      </w:r>
      <w:r w:rsidRPr="001C2358">
        <w:rPr>
          <w:b/>
          <w:i/>
          <w:szCs w:val="24"/>
          <w:lang w:eastAsia="en-US"/>
        </w:rPr>
        <w:t>, der Art des Bodens, der Art der Fläche und der wissenschaftlichen Erkenntnisse ermitteln und der Kommission vorlegen. Um für gleiche Wettbewerbsbedingungen</w:t>
      </w:r>
      <w:r w:rsidRPr="001C2358">
        <w:rPr>
          <w:strike/>
          <w:szCs w:val="24"/>
          <w:lang w:eastAsia="en-US"/>
        </w:rPr>
        <w:t xml:space="preserve"> anzupassen und die Kriterien für andere Bodendeskriptoren festzulegen, für die zum gegenwärtigen Zeitpunkt keine gemeinsamen Kriterien auf EU-Ebene festgelegt werden können. Für diejenigen Deskriptoren, bei denen derzeit keine klaren Kriterien für die Unterscheidung</w:t>
      </w:r>
      <w:r w:rsidRPr="001C2358">
        <w:rPr>
          <w:szCs w:val="24"/>
          <w:lang w:eastAsia="en-US"/>
        </w:rPr>
        <w:t xml:space="preserve"> zwischen </w:t>
      </w:r>
      <w:r w:rsidRPr="001C2358">
        <w:rPr>
          <w:strike/>
          <w:szCs w:val="24"/>
          <w:lang w:eastAsia="en-US"/>
        </w:rPr>
        <w:t>gesundem und ungesundem Zustand ermittelt werden</w:t>
      </w:r>
      <w:r w:rsidRPr="001C2358">
        <w:rPr>
          <w:b/>
          <w:i/>
          <w:szCs w:val="24"/>
          <w:lang w:eastAsia="en-US"/>
        </w:rPr>
        <w:t>den Mitgliedstaaten zu sorgen und zu verhindern, dass die Mitgliedstaaten Schwellenwerte festlegen, die eine sehr unterschiedliche Kategorisierung ähnlicher Böden ermöglichen und dadurch die Anstrengungen zur Verbesserung des ökologischen Zustands des Bodens beeinträchtigen, sollte die Kommission die vorgeschlagenen Schwellenwerte und ihre wissenschaftliche Begründung bewerten. Die Kommission sollte die Mitgliedstaaten um zusätzliche Informationen oder eine Überarbeitung ihrer Entwürfe von Schwellenwerten ersuchen</w:t>
      </w:r>
      <w:r w:rsidRPr="001C2358">
        <w:rPr>
          <w:szCs w:val="24"/>
          <w:lang w:eastAsia="en-US"/>
        </w:rPr>
        <w:t xml:space="preserve"> können</w:t>
      </w:r>
      <w:r w:rsidRPr="001C2358">
        <w:rPr>
          <w:strike/>
          <w:szCs w:val="24"/>
          <w:lang w:eastAsia="en-US"/>
        </w:rPr>
        <w:t>, sind lediglich Überwachung und Bewertung erforderlich. Dies wird die Entwicklung solcher Kriterien in Zukunft erleichtern</w:t>
      </w:r>
      <w:r w:rsidRPr="001C2358">
        <w:rPr>
          <w:b/>
          <w:i/>
          <w:szCs w:val="24"/>
          <w:lang w:eastAsia="en-US"/>
        </w:rPr>
        <w:t>. Die Kommission sollte die Schwellenwerte genehmigen, sofern ihre Anmerkungen angemessen berücksichtigt wurden</w:t>
      </w:r>
      <w:r w:rsidRPr="001C2358">
        <w:rPr>
          <w:szCs w:val="24"/>
          <w:lang w:eastAsia="en-US"/>
        </w:rPr>
        <w:t>.</w:t>
      </w:r>
      <w:r>
        <w:rPr>
          <w:b/>
          <w:szCs w:val="24"/>
          <w:lang w:eastAsia="en-US"/>
        </w:rPr>
        <w:t xml:space="preserve"> [Abänd. 14]</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(27a)</w:t>
      </w:r>
      <w:r w:rsidRPr="001C2358">
        <w:rPr>
          <w:szCs w:val="24"/>
          <w:lang w:eastAsia="en-US"/>
        </w:rPr>
        <w:tab/>
      </w:r>
      <w:r w:rsidRPr="001C2358">
        <w:rPr>
          <w:b/>
          <w:i/>
          <w:szCs w:val="24"/>
          <w:lang w:eastAsia="en-US"/>
        </w:rPr>
        <w:t>Es bedarf einer integrierten Betrachtung der Bewertung der Bodengesundheit, die über die reine Berücksichtigung von Degradationsfaktoren hinausgeht und einen klaren Weg für ihre Verbesserung bietet. Die Gesamtbewertung des ökologischen Zustands des Bodens sollte daher in fünf Klassen eingeteilt werden, und zwar „sehr guter ökologischer Zustand“, „guter ökologischer Zustand“, „moderater ökologischer Zustand“, „geschädigte Böden“ und „kritisch geschädigte Böden“, wobei unter anderem vorhandene Degradationsfaktoren und Bodenfunktionen zu berücksichtigen sind.</w:t>
      </w:r>
      <w:r>
        <w:rPr>
          <w:b/>
          <w:szCs w:val="24"/>
          <w:lang w:eastAsia="en-US"/>
        </w:rPr>
        <w:t xml:space="preserve"> [Abänd. 15]</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(27b)</w:t>
      </w:r>
      <w:r w:rsidRPr="001C2358">
        <w:rPr>
          <w:szCs w:val="24"/>
          <w:lang w:eastAsia="en-US"/>
        </w:rPr>
        <w:tab/>
      </w:r>
      <w:r w:rsidRPr="001C2358">
        <w:rPr>
          <w:b/>
          <w:i/>
          <w:szCs w:val="24"/>
          <w:lang w:eastAsia="en-US"/>
        </w:rPr>
        <w:t>Um die Autonomie der Mitgliedstaaten zu wahren, die bereit sind, umfassendere Überwachungssysteme einzuführen, sollten die Mitgliedstaaten zwischen drei Überwachungsebenen wählen können. Ebene 1 enthält einen Mindestsatz von Bodendeskriptoren. In Ebene 2 werden 20 % der Probenahmestellen gemäß dem LUCAS-Programm bestimmt und zweimal für die kontinuierliche Überwachung und die Einrichtung von Übertragungsfunktionen beprobt, während die verbleibenden 80 % der Probenahmestellen vom Mitgliedstaat bestimmt werden, auch für die kontinuierliche Überwachung und gemäß den in den Anhängen dieser Richtlinie festgelegten Kriterien. In den Ebenen 1 und 2 sind 20 % der Probenahmestellen für eine gezielte Überwachung bestimmt, die es den Mitgliedstaaten ermöglicht, risikobasierte Bewertungen auszuweiten, Untersuchungen durchzuführen oder gezielt Gebiete von besonderem Interesse in Augenschein zu nehmen. Durch die Festlegung eines mehrstufigen Ansatzes erhöht sich die Zahl der bewerteten Bodendeskriptoren, aber auch den Grad der Autonomie, über die die Mitgliedstaaten bei der Festlegung der Schwellenwerte für den ökologischen Zustand der Böden verfügen. Das Hauptziel eines solchen mehrstufigen Ansatzes besteht darin, es allen Mitgliedstaaten zu ermöglichen, ihre Überwachungssysteme umzusetzen und die derzeitigen nationalen Systeme, mit denen die Böden bereits überwacht werden, zu nutzen. Mit der Ebene 2 wird es möglich sein, Lücken in Bezug auf Anwendungsbereich und Umfang der in Betracht gezogenen Bodendeskriptoren zu schließen. In Ebene 3 wird die Anzahl der Bodendeskriptoren weiter erhöht, um bestimmte Aspekte der Bodenüberwachungssysteme zu präzisieren.</w:t>
      </w:r>
      <w:r>
        <w:rPr>
          <w:b/>
          <w:szCs w:val="24"/>
          <w:lang w:eastAsia="en-US"/>
        </w:rPr>
        <w:t xml:space="preserve"> [Abänd. 16]</w:t>
      </w:r>
    </w:p>
    <w:p w:rsidR="001C2358" w:rsidRDefault="001C2358">
      <w:pPr>
        <w:widowControl/>
        <w:rPr>
          <w:strike/>
          <w:szCs w:val="24"/>
          <w:lang w:eastAsia="en-US"/>
        </w:rPr>
      </w:pPr>
      <w:r>
        <w:rPr>
          <w:strike/>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trike/>
          <w:szCs w:val="24"/>
          <w:lang w:eastAsia="en-US"/>
        </w:rPr>
        <w:lastRenderedPageBreak/>
        <w:t>(28)</w:t>
      </w:r>
      <w:r w:rsidRPr="001C2358">
        <w:rPr>
          <w:szCs w:val="24"/>
          <w:lang w:eastAsia="en-US"/>
        </w:rPr>
        <w:tab/>
      </w:r>
      <w:r w:rsidRPr="001C2358">
        <w:rPr>
          <w:strike/>
          <w:szCs w:val="24"/>
          <w:lang w:eastAsia="en-US"/>
        </w:rPr>
        <w:t>Um Anreize zu schaffen, sollten die Mitgliedstaaten Mechanismen zur Anerkennung der Bemühungen von Landbesitzern und Landbewirtschaftern, den Boden in einem gesunden Zustand zu erhalten, auch in Form einer Bodengesundheitszertifizierung, die den Rechtsrahmen der Union für CO2-Entnahmen ergänzt, und zur Unterstützung der Umsetzung der in Artikel 29 der Richtlinie (EU) 2018/2001 des Europäischen Parlaments und des Rates</w:t>
      </w:r>
      <w:r w:rsidRPr="001C2358">
        <w:rPr>
          <w:szCs w:val="24"/>
          <w:vertAlign w:val="superscript"/>
          <w:lang w:val="en-GB" w:eastAsia="en-US"/>
        </w:rPr>
        <w:footnoteReference w:id="23"/>
      </w:r>
      <w:r w:rsidRPr="001C2358">
        <w:rPr>
          <w:strike/>
          <w:szCs w:val="24"/>
          <w:lang w:eastAsia="en-US"/>
        </w:rPr>
        <w:t xml:space="preserve"> festgelegten Nachhaltigkeitskriterien für erneuerbare Energien einrichten. Die Kommission sollte die Bodengesundheitszertifizierung unter anderem durch den Austausch von Informationen und die Förderung bewährter Verfahren, die Sensibilisierung und die Bewertung der Durchführbarkeit der Entwicklung einer Anerkennung von Zertifizierungssystemen auf Unionsebene erleichtern. Synergien zwischen verschiedenen Zertifizierungssystemen sollten so weit wie möglich genutzt werden, um den Verwaltungsaufwand für diejenigen zu verringern, die einschlägige Zertifizierungen beantragen.</w:t>
      </w:r>
      <w:r w:rsidRPr="001C2358">
        <w:rPr>
          <w:b/>
          <w:szCs w:val="24"/>
          <w:lang w:eastAsia="en-US"/>
        </w:rPr>
        <w:t xml:space="preserve"> [Abänd. 17]</w:t>
      </w:r>
    </w:p>
    <w:p w:rsidR="001C2358" w:rsidRPr="001C2358" w:rsidRDefault="001C2358" w:rsidP="001C2358">
      <w:pPr>
        <w:spacing w:before="120" w:after="120" w:line="360" w:lineRule="auto"/>
        <w:ind w:left="850" w:hanging="850"/>
        <w:rPr>
          <w:szCs w:val="24"/>
          <w:lang w:eastAsia="en-US"/>
        </w:rPr>
      </w:pPr>
      <w:r w:rsidRPr="001C2358">
        <w:rPr>
          <w:szCs w:val="24"/>
          <w:lang w:eastAsia="en-US"/>
        </w:rPr>
        <w:t>(29)</w:t>
      </w:r>
      <w:r w:rsidRPr="001C2358">
        <w:rPr>
          <w:szCs w:val="24"/>
          <w:lang w:eastAsia="en-US"/>
        </w:rPr>
        <w:tab/>
        <w:t>Einige Böden weisen besondere Merkmale auf, entweder weil sie von Natur aus atypisch sind und seltene Lebensräume für die biologische Vielfalt oder einzigartige Landschaften darstellen oder weil sie vom Menschen stark verändert wurden. Diese Merkmale sollten im Zusammenhang mit der Definition gesunder Böden und den Anforderungen zur Erreichung eines gesunden Bodenzustands berücksichtigt werden.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(30)</w:t>
      </w:r>
      <w:r w:rsidRPr="001C2358">
        <w:rPr>
          <w:szCs w:val="24"/>
          <w:lang w:eastAsia="en-US"/>
        </w:rPr>
        <w:tab/>
        <w:t xml:space="preserve">Der Boden ist eine begrenzte Ressource, die einem ständig wachsenden Wettbewerb um verschiedene Nutzungen ausgesetzt ist. Der Flächenverbrauch ist ein Vorgang, der oft vom Bedarf der wirtschaftlichen Entwicklung bestimmt ist und durch den natürliche und naturnahe Gebiete (einschließlich land- und forstwirtschaftlicher Flächen, Gärten und Parks) in künstlich angelegte Flächen umgewandelt werden, wobei der Boden als Fläche für Bauten und Infrastrukturen oder als eine Fläche, die als direkte Rohstoffquelle dient oder historisches Erbe beherbergt, genutzt wird. Diese Umwandlung kann zu einem – oft unwiderruflichen – Verlust der Fähigkeit der Böden führen, andere Ökosystemleistungen zu erbringen (Bereitstellung von Lebensmitteln und Biomasse, Wasser- und Nährstoffkreislauf, Grundlage für biologische Vielfalt und Kohlenstoffspeicherung). Insbesondere betrifft der Flächenverbrauch häufig die fruchtbarsten landwirtschaftlichen Böden, was die Ernährungssicherheit gefährdet. Durch versiegelte Böden werden menschliche Siedlungen auch höheren Hochwassersspitzen und intensiveren Wärmeinseleffekten ausgesetzt. Daher ist es notwendig, den Flächenverbrauch und die Bodenversiegelung und ihre Auswirkungen auf die Fähigkeit des Bodens, Ökosystemleistungen zu erbringen, zu überwachen. Ferner sollten bestimmte Grundsätze festgelegt werden, um die Auswirkungen des Flächenverbrauchs </w:t>
      </w:r>
      <w:r w:rsidRPr="001C2358">
        <w:rPr>
          <w:strike/>
          <w:szCs w:val="24"/>
          <w:lang w:eastAsia="en-US"/>
        </w:rPr>
        <w:t>im Rahmen einer nachhaltigen</w:t>
      </w:r>
      <w:r w:rsidRPr="001C2358">
        <w:rPr>
          <w:b/>
          <w:i/>
          <w:szCs w:val="24"/>
          <w:lang w:eastAsia="en-US"/>
        </w:rPr>
        <w:t>abzumildern und eine nachhaltige</w:t>
      </w:r>
      <w:r w:rsidRPr="001C2358">
        <w:rPr>
          <w:szCs w:val="24"/>
          <w:lang w:eastAsia="en-US"/>
        </w:rPr>
        <w:t xml:space="preserve"> Bodenbewirtschaftung </w:t>
      </w:r>
      <w:r w:rsidRPr="001C2358">
        <w:rPr>
          <w:strike/>
          <w:szCs w:val="24"/>
          <w:lang w:eastAsia="en-US"/>
        </w:rPr>
        <w:t>abzumildern</w:t>
      </w:r>
      <w:r w:rsidRPr="001C2358">
        <w:rPr>
          <w:b/>
          <w:i/>
          <w:szCs w:val="24"/>
          <w:lang w:eastAsia="en-US"/>
        </w:rPr>
        <w:t>zu ergänzen</w:t>
      </w:r>
      <w:r w:rsidRPr="001C2358">
        <w:rPr>
          <w:szCs w:val="24"/>
          <w:lang w:eastAsia="en-US"/>
        </w:rPr>
        <w:t>.</w:t>
      </w:r>
      <w:r>
        <w:rPr>
          <w:b/>
          <w:szCs w:val="24"/>
          <w:lang w:eastAsia="en-US"/>
        </w:rPr>
        <w:t xml:space="preserve"> [Abänd. 18]</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(31)</w:t>
      </w:r>
      <w:r w:rsidRPr="001C2358">
        <w:rPr>
          <w:szCs w:val="24"/>
          <w:lang w:eastAsia="en-US"/>
        </w:rPr>
        <w:tab/>
        <w:t>Die Bodengesundheit sollte sorgfältig mithilfe des Überwachungsnetzes bewertet werden und gleichzeitig sollten die Kosten einer solchen Überwachung auf einem angemessenen Niveau gehalten werden. Daher sollten Kriterien für Probenahmestellen festgelegt werden, die für den Bodenzustand bei verschiedenen Bodentypen, klimatischen Bedingungen und Landnutzungen repräsentativ sind. Das Netz der Probenahmestellen sollte nach geostatistischen Methoden bestimmt werden und so dicht sein, dass die Fläche gesunder Böden auf nationaler Ebene mit einer Unsicherheit von höchstens 5 % geschätzt werden kann. Dieser Wert wird allgemein als statistisch fundierte Schätzung und hinreichende Gewähr dafür angesehen, dass das Ziel erreicht wurde.</w:t>
      </w:r>
      <w:r w:rsidRPr="001C2358">
        <w:rPr>
          <w:b/>
          <w:i/>
          <w:szCs w:val="24"/>
          <w:lang w:eastAsia="en-US"/>
        </w:rPr>
        <w:t xml:space="preserve"> Es ist wichtig, dass die Methodik und der Rahmen für die Bodenüberwachung harmonisierte Probenahmekriterien, einschließlich der Probenahmetiefe, umfassen.</w:t>
      </w:r>
      <w:r>
        <w:rPr>
          <w:b/>
          <w:szCs w:val="24"/>
          <w:lang w:eastAsia="en-US"/>
        </w:rPr>
        <w:t xml:space="preserve"> [Abänd. 19]</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(31a)</w:t>
      </w:r>
      <w:r w:rsidRPr="001C2358">
        <w:rPr>
          <w:szCs w:val="24"/>
          <w:lang w:eastAsia="en-US"/>
        </w:rPr>
        <w:tab/>
      </w:r>
      <w:r w:rsidRPr="001C2358">
        <w:rPr>
          <w:b/>
          <w:i/>
          <w:szCs w:val="24"/>
          <w:lang w:eastAsia="en-US"/>
        </w:rPr>
        <w:t>Die Archive der Böden bieten eine Momentaufnahme der Böden zu einem bestimmten Zeitpunkt und an einem bestimmten Ort, sodass die Mitgliedstaaten eine Bodenprobe für verschiedene Zwecke verwenden und die Probenahme vor Ort optimieren können, wodurch die langfristigen Kosten der Vor-Ort-Überwachung gesenkt werden. Dank der Archive der Böden können Forscher außerdem Böden der Vergangenheit in Bezug auf die Gegenwart neu bewerten, einerseits für ein besseres Verständnis der langfristigen Veränderungen der Böden, andererseits für andere Forschungszwecke, einschließlich der medizinischen Forschung. Daher ist es unerlässlich, dass die Kommission, einschließlich Dienststellen wie die Gemeinsame Forschungsstelle (JRC), zusammen mit den Mitgliedstaaten und der Europäischen Bodenbeobachtungsstelle dafür sorgt, dass die Proben, DNA-Extrakte und Rohdaten, die zur Überprüfung der Einhaltung des Umweltrechts der EU und der Mitgliedstaaten genommen wurden, in physischen Archiven aufbewahrt werden und dass die Proben und Rohdaten dieses Archivs für weitere Forschung und Innovation zur Verfügung stehen.</w:t>
      </w:r>
      <w:r>
        <w:rPr>
          <w:b/>
          <w:szCs w:val="24"/>
          <w:lang w:eastAsia="en-US"/>
        </w:rPr>
        <w:t xml:space="preserve"> [Abänd. 20]</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(32)</w:t>
      </w:r>
      <w:r w:rsidRPr="001C2358">
        <w:rPr>
          <w:szCs w:val="24"/>
          <w:lang w:eastAsia="en-US"/>
        </w:rPr>
        <w:tab/>
        <w:t>Die Kommission sollte</w:t>
      </w:r>
      <w:r w:rsidRPr="001C2358">
        <w:rPr>
          <w:b/>
          <w:i/>
          <w:szCs w:val="24"/>
          <w:lang w:eastAsia="en-US"/>
        </w:rPr>
        <w:t xml:space="preserve"> ergänzend zu den bestehenden nationalen Verzeichnissen</w:t>
      </w:r>
      <w:r w:rsidRPr="001C2358">
        <w:rPr>
          <w:szCs w:val="24"/>
          <w:lang w:eastAsia="en-US"/>
        </w:rPr>
        <w:t xml:space="preserve"> die Überwachung der Bodengesundheit durch die Mitgliedstaaten fördern und unterstützen, indem sie die regelmäßige Bodenbeprobung vor Ort und damit zusammenhängende Bodenmessungen (LUCAS-Bodenerhebung) im Rahmen des Programms für die Flächenstichprobenerhebung über die Bodennutzung/-bedeckung (LUCAS-Programm) fortsetzt und verbessert. Zu diesem Zweck </w:t>
      </w:r>
      <w:r w:rsidRPr="001C2358">
        <w:rPr>
          <w:strike/>
          <w:szCs w:val="24"/>
          <w:lang w:eastAsia="en-US"/>
        </w:rPr>
        <w:t>wird</w:t>
      </w:r>
      <w:r w:rsidRPr="001C2358">
        <w:rPr>
          <w:b/>
          <w:i/>
          <w:szCs w:val="24"/>
          <w:lang w:eastAsia="en-US"/>
        </w:rPr>
        <w:t>sollte</w:t>
      </w:r>
      <w:r w:rsidRPr="001C2358">
        <w:rPr>
          <w:szCs w:val="24"/>
          <w:lang w:eastAsia="en-US"/>
        </w:rPr>
        <w:t xml:space="preserve"> das LUCAS-Programm verbessert und aktualisiert</w:t>
      </w:r>
      <w:r w:rsidRPr="001C2358">
        <w:rPr>
          <w:b/>
          <w:i/>
          <w:szCs w:val="24"/>
          <w:lang w:eastAsia="en-US"/>
        </w:rPr>
        <w:t xml:space="preserve"> werden</w:t>
      </w:r>
      <w:r w:rsidRPr="001C2358">
        <w:rPr>
          <w:szCs w:val="24"/>
          <w:lang w:eastAsia="en-US"/>
        </w:rPr>
        <w:t>, um es vollständig an die spezifischen Qualitätsanforderungen</w:t>
      </w:r>
      <w:r w:rsidRPr="001C2358">
        <w:rPr>
          <w:b/>
          <w:i/>
          <w:szCs w:val="24"/>
          <w:lang w:eastAsia="en-US"/>
        </w:rPr>
        <w:t xml:space="preserve"> und alle Deskriptoren</w:t>
      </w:r>
      <w:r w:rsidRPr="001C2358">
        <w:rPr>
          <w:szCs w:val="24"/>
          <w:lang w:eastAsia="en-US"/>
        </w:rPr>
        <w:t xml:space="preserve"> anzupassen, die für die Zwecke dieser Richtlinie zu erfüllen sind. Um die Belastung zu verringern, sollte es den Mitgliedstaaten gestattet sein, die im Rahmen der erweiterten LUCAS-Bodenerhebung gesammelten Gesundheitsdaten zu berücksichtigen. </w:t>
      </w:r>
      <w:r w:rsidRPr="001C2358">
        <w:rPr>
          <w:b/>
          <w:i/>
          <w:szCs w:val="24"/>
          <w:lang w:eastAsia="en-US"/>
        </w:rPr>
        <w:t xml:space="preserve">Bei der LUCAS-Bodenerhebung werden mindestens 20 % der Menge nationaler Stichproben entnommen und analysiert, was zur Überwachung durch die Mitgliedstaaten beiträgt. Die Analyse durch LUCAS ist von wesentlicher Bedeutung, damit die Mitgliedstaaten gültige Übertragungsfunktionen berechnen und kalibrieren und somit weiterhin alternative Überwachungskonzepte gemäß Ebene 2 verwenden können. Auf Ersuchen eines Mitgliedstaats sollte die Kommission während der ersten nationalen Überwachungsrunde weitere Unterstützung bei bis zu 50 % der Probenahmen leisten. </w:t>
      </w:r>
      <w:r w:rsidRPr="001C2358">
        <w:rPr>
          <w:szCs w:val="24"/>
          <w:lang w:eastAsia="en-US"/>
        </w:rPr>
        <w:t xml:space="preserve">Die auf diese Weise unterstützten Mitgliedstaaten sollten die erforderlichen rechtlichen Vorkehrungen treffen, um sicherzustellen, dass die Kommission solche Bodenproben vor Ort </w:t>
      </w:r>
      <w:r w:rsidRPr="001C2358">
        <w:rPr>
          <w:b/>
          <w:i/>
          <w:szCs w:val="24"/>
          <w:lang w:eastAsia="en-US"/>
        </w:rPr>
        <w:t xml:space="preserve">mit Zustimmung der Landbesitzer und </w:t>
      </w:r>
      <w:r w:rsidRPr="001C2358">
        <w:rPr>
          <w:szCs w:val="24"/>
          <w:lang w:eastAsia="en-US"/>
        </w:rPr>
        <w:t xml:space="preserve">im Einklang mit den geltenden nationalen Rechtsvorschriften oder Rechtsvorschriften der </w:t>
      </w:r>
      <w:r w:rsidRPr="001C2358">
        <w:rPr>
          <w:strike/>
          <w:szCs w:val="24"/>
          <w:lang w:eastAsia="en-US"/>
        </w:rPr>
        <w:t>Union</w:t>
      </w:r>
      <w:r w:rsidRPr="001C2358">
        <w:rPr>
          <w:b/>
          <w:i/>
          <w:szCs w:val="24"/>
          <w:lang w:eastAsia="en-US"/>
        </w:rPr>
        <w:t>EU</w:t>
      </w:r>
      <w:r w:rsidRPr="001C2358">
        <w:rPr>
          <w:szCs w:val="24"/>
          <w:lang w:eastAsia="en-US"/>
        </w:rPr>
        <w:t xml:space="preserve"> durchführen kann, auch auf Feldern in Privatbesitz.</w:t>
      </w:r>
      <w:r>
        <w:rPr>
          <w:b/>
          <w:szCs w:val="24"/>
          <w:lang w:eastAsia="en-US"/>
        </w:rPr>
        <w:t xml:space="preserve"> [Abänd. 21]</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(33)</w:t>
      </w:r>
      <w:r w:rsidRPr="001C2358">
        <w:rPr>
          <w:szCs w:val="24"/>
          <w:lang w:eastAsia="en-US"/>
        </w:rPr>
        <w:tab/>
        <w:t>Die Kommission entwickelt derzeit Fernerkundungsdienste im Rahmen von Copernicus als nutzerorientiertes Programm und unterstützt auch damit die Mitgliedstaaten. Um die Überwachung der Bodengesundheit zu beschleunigen und wirksamer zu gestalten, sollten die Mitgliedstaaten gegebenenfalls Fernerkundungsdaten, einschließlich der Ergebnisse der Copernicus-Dienste, für die Überwachung einschlägiger Bodendeskriptoren und für die Bewertung der Bodengesundheit verwenden. Die Kommission und die Europäische Umweltagentur sollten die Erforschung und Entwicklung von Produkten zur Fernerkundung des Bodens fördern, um die Mitgliedstaaten bei der Überwachung der einschlägigen Bodendeskriptoren zu unterstützen.</w:t>
      </w:r>
      <w:r w:rsidRPr="001C2358">
        <w:rPr>
          <w:b/>
          <w:i/>
          <w:szCs w:val="24"/>
          <w:lang w:eastAsia="en-US"/>
        </w:rPr>
        <w:t xml:space="preserve"> Die Kommission und die Mitgliedstaaten sollten den Einsatz zuverlässiger und verfügbarer digitaler Technologien wie elektronischer Datenbanken, geografischer Informationssysteme, automatisierter Bilderkennung oder Umwelt-DNA weiter unterstützen, um den Wissensaustausch und die Transparenz im Hinblick auf die Bodengesundheit zu verbessern und die Kosten für Bodenmessungen und ‑überwachung zu senken.</w:t>
      </w:r>
      <w:r>
        <w:rPr>
          <w:b/>
          <w:szCs w:val="24"/>
          <w:lang w:eastAsia="en-US"/>
        </w:rPr>
        <w:t xml:space="preserve"> [Abänd. 22]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(34)</w:t>
      </w:r>
      <w:r w:rsidRPr="001C2358">
        <w:rPr>
          <w:szCs w:val="24"/>
          <w:lang w:eastAsia="en-US"/>
        </w:rPr>
        <w:tab/>
        <w:t>Aufbauend auf der bestehenden EU-Bodenbeobachtungsstelle und deren Modernisierung sollte die Kommission ein digitales Portal für Bodengesundheitsdaten einrichten, das mit der EU-Datenstrategie</w:t>
      </w:r>
      <w:r w:rsidRPr="001C2358">
        <w:rPr>
          <w:szCs w:val="24"/>
          <w:vertAlign w:val="superscript"/>
          <w:lang w:val="en-GB" w:eastAsia="en-US"/>
        </w:rPr>
        <w:footnoteReference w:id="24"/>
      </w:r>
      <w:r w:rsidRPr="001C2358">
        <w:rPr>
          <w:szCs w:val="24"/>
          <w:lang w:eastAsia="en-US"/>
        </w:rPr>
        <w:t xml:space="preserve"> und den EU-Datenräumen kompatibel und ein Knotenpunkt für den Zugang zu Bodendaten aus verschiedenen Quellen sein sollte. </w:t>
      </w:r>
      <w:r w:rsidRPr="001C2358">
        <w:rPr>
          <w:b/>
          <w:i/>
          <w:szCs w:val="24"/>
          <w:lang w:eastAsia="en-US"/>
        </w:rPr>
        <w:t xml:space="preserve">Die Bodengesundheitsdaten sollten in einem Format öffentlich zugänglich gemacht werden, das von der Forschungsgemeinschaft, Landbesitzern und -bewirtschaftern, Beratern, die im Rahmen der landwirtschaftlichen Betriebsberatung tätig sind, und der Öffentlichkeit genutzt werden kann, wobei die Einhaltung der Rechtsvorschriften der EU über den Schutz personenbezogener Daten sicherzustellen ist. </w:t>
      </w:r>
      <w:r w:rsidRPr="001C2358">
        <w:rPr>
          <w:szCs w:val="24"/>
          <w:lang w:eastAsia="en-US"/>
        </w:rPr>
        <w:t>Dieses Portal sollte in erster Linie</w:t>
      </w:r>
      <w:r w:rsidRPr="001C2358">
        <w:rPr>
          <w:strike/>
          <w:szCs w:val="24"/>
          <w:lang w:eastAsia="en-US"/>
        </w:rPr>
        <w:t xml:space="preserve"> alle</w:t>
      </w:r>
      <w:r w:rsidRPr="001C2358">
        <w:rPr>
          <w:szCs w:val="24"/>
          <w:lang w:eastAsia="en-US"/>
        </w:rPr>
        <w:t xml:space="preserve"> von den Mitgliedstaaten und der Kommission gemäß dieser Richtlinie erhobenen </w:t>
      </w:r>
      <w:r w:rsidRPr="001C2358">
        <w:rPr>
          <w:b/>
          <w:i/>
          <w:szCs w:val="24"/>
          <w:lang w:eastAsia="en-US"/>
        </w:rPr>
        <w:t xml:space="preserve">relevanten </w:t>
      </w:r>
      <w:r w:rsidRPr="001C2358">
        <w:rPr>
          <w:szCs w:val="24"/>
          <w:lang w:eastAsia="en-US"/>
        </w:rPr>
        <w:t>Daten beinhalten</w:t>
      </w:r>
      <w:r w:rsidRPr="001C2358">
        <w:rPr>
          <w:b/>
          <w:i/>
          <w:szCs w:val="24"/>
          <w:lang w:eastAsia="en-US"/>
        </w:rPr>
        <w:t xml:space="preserve"> und als Plattform für die Einrichtung eines Instrumentariums für nachhaltige Bodenbewirtschaftung dienen, das aktuelle kontextspezifische Informationen über nachhaltige Bodenbewirtschaftungspraktiken auf der Grundlage unterschiedlicher Bodenarten, Landnutzung und klimatischer Bedingungen liefert</w:t>
      </w:r>
      <w:r w:rsidRPr="001C2358">
        <w:rPr>
          <w:szCs w:val="24"/>
          <w:lang w:eastAsia="en-US"/>
        </w:rPr>
        <w:t>. Es sollte auch möglich sein, auf freiwilliger Basis andere einschlägige Bodendaten, die von den Mitgliedstaaten oder anderen Parteien erhoben wurden (insbesondere Daten aus Projekten im Rahmen von Horizont Europa und der Mission „Ein Boden-Deal für Europa“), in das Portal zu integrieren, sofern diese Daten bestimmte Anforderungen in Bezug auf Format und Spezifikationen erfüllen. Diese Anforderungen sollten von der Kommission im Wege von Durchführungsrechtsakten festgelegt werden.</w:t>
      </w:r>
      <w:r w:rsidRPr="001C2358">
        <w:rPr>
          <w:b/>
          <w:i/>
          <w:szCs w:val="24"/>
          <w:lang w:eastAsia="en-US"/>
        </w:rPr>
        <w:t xml:space="preserve"> Die Mitgliedstaaten und die Kommission sollten sicherstellen, dass Forschungseinrichtungen einfachen und freien Zugang zu sämtlichen Daten haben.</w:t>
      </w:r>
      <w:r>
        <w:rPr>
          <w:b/>
          <w:szCs w:val="24"/>
          <w:lang w:eastAsia="en-US"/>
        </w:rPr>
        <w:t xml:space="preserve"> [Abänd. 23]</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(35)</w:t>
      </w:r>
      <w:r w:rsidRPr="001C2358">
        <w:rPr>
          <w:szCs w:val="24"/>
          <w:lang w:eastAsia="en-US"/>
        </w:rPr>
        <w:tab/>
        <w:t>Außerdem ist es notwendig, die in den Mitgliedstaaten verwendeten Bodenüberwachungssysteme besser zu harmonisieren</w:t>
      </w:r>
      <w:r w:rsidRPr="001C2358">
        <w:rPr>
          <w:strike/>
          <w:szCs w:val="24"/>
          <w:lang w:eastAsia="en-US"/>
        </w:rPr>
        <w:t xml:space="preserve"> und</w:t>
      </w:r>
      <w:r w:rsidRPr="001C2358">
        <w:rPr>
          <w:b/>
          <w:i/>
          <w:szCs w:val="24"/>
          <w:lang w:eastAsia="en-US"/>
        </w:rPr>
        <w:t>,</w:t>
      </w:r>
      <w:r w:rsidRPr="001C2358">
        <w:rPr>
          <w:szCs w:val="24"/>
          <w:lang w:eastAsia="en-US"/>
        </w:rPr>
        <w:t xml:space="preserve"> die Synergien zwischen den Überwachungssystemen der </w:t>
      </w:r>
      <w:r w:rsidRPr="001C2358">
        <w:rPr>
          <w:strike/>
          <w:szCs w:val="24"/>
          <w:lang w:eastAsia="en-US"/>
        </w:rPr>
        <w:t>Union</w:t>
      </w:r>
      <w:r w:rsidRPr="001C2358">
        <w:rPr>
          <w:b/>
          <w:i/>
          <w:szCs w:val="24"/>
          <w:lang w:eastAsia="en-US"/>
        </w:rPr>
        <w:t>EU</w:t>
      </w:r>
      <w:r w:rsidRPr="001C2358">
        <w:rPr>
          <w:szCs w:val="24"/>
          <w:lang w:eastAsia="en-US"/>
        </w:rPr>
        <w:t xml:space="preserve"> und der Mitgliedstaaten zu nutzen</w:t>
      </w:r>
      <w:r w:rsidRPr="001C2358">
        <w:rPr>
          <w:b/>
          <w:i/>
          <w:szCs w:val="24"/>
          <w:lang w:eastAsia="en-US"/>
        </w:rPr>
        <w:t xml:space="preserve"> und von den bestehenden harmonisierten Überwachungsinstrumenten wie dem LUCAS-Programm umfassenden Gebrauch zu machen</w:t>
      </w:r>
      <w:r w:rsidRPr="001C2358">
        <w:rPr>
          <w:szCs w:val="24"/>
          <w:lang w:eastAsia="en-US"/>
        </w:rPr>
        <w:t>, um unionsweit besser vergleichbare Daten zu erhalten.</w:t>
      </w:r>
      <w:r w:rsidRPr="001C2358">
        <w:rPr>
          <w:b/>
          <w:i/>
          <w:szCs w:val="24"/>
          <w:lang w:eastAsia="en-US"/>
        </w:rPr>
        <w:t xml:space="preserve"> Darüber hinaus würde eine Harmonisierung der Überwachungssysteme in den Mitgliedstaaten dazu beitragen, die Investitionen in fortgeschrittene Bodenüberwachungstechniken und ‑technologien zu erhöhen.</w:t>
      </w:r>
      <w:r>
        <w:rPr>
          <w:b/>
          <w:szCs w:val="24"/>
          <w:lang w:eastAsia="en-US"/>
        </w:rPr>
        <w:t xml:space="preserve"> [Abänd. 24]</w:t>
      </w:r>
    </w:p>
    <w:p w:rsidR="001C2358" w:rsidRPr="001C2358" w:rsidRDefault="001C2358" w:rsidP="001C2358">
      <w:pPr>
        <w:spacing w:before="120" w:after="120" w:line="360" w:lineRule="auto"/>
        <w:ind w:left="850" w:hanging="850"/>
        <w:rPr>
          <w:b/>
          <w:szCs w:val="24"/>
          <w:lang w:eastAsia="en-US"/>
        </w:rPr>
      </w:pPr>
      <w:r w:rsidRPr="001C2358">
        <w:rPr>
          <w:strike/>
          <w:szCs w:val="24"/>
          <w:lang w:eastAsia="en-US"/>
        </w:rPr>
        <w:t>(36)</w:t>
      </w:r>
      <w:r w:rsidRPr="001C2358">
        <w:rPr>
          <w:szCs w:val="24"/>
          <w:lang w:eastAsia="en-US"/>
        </w:rPr>
        <w:tab/>
      </w:r>
      <w:r w:rsidRPr="001C2358">
        <w:rPr>
          <w:strike/>
          <w:szCs w:val="24"/>
          <w:lang w:eastAsia="en-US"/>
        </w:rPr>
        <w:t>Damit die bei der Überwachung im Rahmen dieser Richtlinie gewonnenen Bodengesundheitsdaten im größtmöglichen Umfang genutzt werden können, sollten die Mitgliedstaaten verpflichtet werden, relevanten Interessenträgern wie Landwirten, Forstwirten, Landbesitzern und lokalen Behörden den Zugang zu diesen Daten zu erleichtern.</w:t>
      </w:r>
      <w:r w:rsidRPr="001C2358">
        <w:rPr>
          <w:b/>
          <w:szCs w:val="24"/>
          <w:lang w:eastAsia="en-US"/>
        </w:rPr>
        <w:t xml:space="preserve"> [Abänd. 25]</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(37)</w:t>
      </w:r>
      <w:r w:rsidRPr="001C2358">
        <w:rPr>
          <w:szCs w:val="24"/>
          <w:lang w:eastAsia="en-US"/>
        </w:rPr>
        <w:tab/>
        <w:t xml:space="preserve">Um die Bodengesundheit zu erhalten oder zu verbessern, müssen Böden nachhaltig bewirtschaftet werden. Eine nachhaltige Bodenbewirtschaftung wird die langfristige Bereitstellung von Bodenleistungen ermöglichen, einschließlich einer besseren Luft- und Wasserqualität und Ernährungssicherheit. Daher sollten </w:t>
      </w:r>
      <w:r w:rsidRPr="001C2358">
        <w:rPr>
          <w:b/>
          <w:i/>
          <w:szCs w:val="24"/>
          <w:lang w:eastAsia="en-US"/>
        </w:rPr>
        <w:t xml:space="preserve">unverbindliche </w:t>
      </w:r>
      <w:r w:rsidRPr="001C2358">
        <w:rPr>
          <w:szCs w:val="24"/>
          <w:lang w:eastAsia="en-US"/>
        </w:rPr>
        <w:t>Grundsätze der nachhaltigen Bodenbewirtschaftung festgelegt werden, die als Richtschnur für die Bodenbewirtschaftungspraktiken dienen.</w:t>
      </w:r>
      <w:r>
        <w:rPr>
          <w:b/>
          <w:szCs w:val="24"/>
          <w:lang w:eastAsia="en-US"/>
        </w:rPr>
        <w:t xml:space="preserve"> [Abänd. 26]</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(38)</w:t>
      </w:r>
      <w:r w:rsidRPr="001C2358">
        <w:rPr>
          <w:szCs w:val="24"/>
          <w:lang w:eastAsia="en-US"/>
        </w:rPr>
        <w:tab/>
        <w:t xml:space="preserve">Wirtschaftsinstrumente, einschließlich derjenigen im Rahmen der Gemeinsamen Agrarpolitik (GAP), mit denen Landwirte unterstützt werden, spielen beim Übergang zu einer nachhaltigen Bewirtschaftung landwirtschaftlicher Böden und – in geringerem Maße – forstwirtschaftlicher Böden eine entscheidende Rolle. Ziel der GAP ist es, die Bodengesundheit durch die Umsetzung von Konditionalität, Öko-Regelungen und Maßnahmen zur Entwicklung des ländlichen Raums zu fördern. Finanzielle Unterstützung für Land- und Forstwirte, die nachhaltige Bodenbewirtschaftungspraktiken anwenden, kann auch vom Privatsektor generiert werden. Freiwillige Nachhaltigkeitssiegel in der Lebensmittel-, Holz-, biobasierten und Energieindustrie, die beispielsweise von privaten Interessenträgern eingeführt werden, können den </w:t>
      </w:r>
      <w:r w:rsidRPr="001C2358">
        <w:rPr>
          <w:strike/>
          <w:szCs w:val="24"/>
          <w:lang w:eastAsia="en-US"/>
        </w:rPr>
        <w:t>in</w:t>
      </w:r>
      <w:r w:rsidRPr="001C2358">
        <w:rPr>
          <w:b/>
          <w:i/>
          <w:szCs w:val="24"/>
          <w:lang w:eastAsia="en-US"/>
        </w:rPr>
        <w:t>Beiträgen zur Verbesserung der Bodengesundheit gemäß</w:t>
      </w:r>
      <w:r w:rsidRPr="001C2358">
        <w:rPr>
          <w:szCs w:val="24"/>
          <w:lang w:eastAsia="en-US"/>
        </w:rPr>
        <w:t xml:space="preserve"> dieser Richtlinie</w:t>
      </w:r>
      <w:r w:rsidRPr="001C2358">
        <w:rPr>
          <w:strike/>
          <w:szCs w:val="24"/>
          <w:lang w:eastAsia="en-US"/>
        </w:rPr>
        <w:t xml:space="preserve"> festgelegten Grundsätzen der nachhaltigen Bodenbewirtschaftung</w:t>
      </w:r>
      <w:r w:rsidRPr="001C2358">
        <w:rPr>
          <w:szCs w:val="24"/>
          <w:lang w:eastAsia="en-US"/>
        </w:rPr>
        <w:t xml:space="preserve"> Rechnung tragen. Dadurch können Lebensmittel-, Holz- und andere Biomasseerzeuger, die diese Grundsätze bei ihrer Produktion befolgen, dies im Wert ihrer Erzeugnisse wiedergeben. Zusätzliche Mittel für ein Netz realer Standorte zur Erprobung, Demonstration und zum Ausbau von Lösungen, auch im Bereich der klimaeffizienten Landwirtschaft, werden über die Reallabore und Leuchtturmbetriebe der Mission „Ein Boden-Deal für Europa“ bereitgestellt. Unbeschadet des Verursacherprinzips sollten die Mitgliedstaaten Landbesitzer und Landnutzer, die von Maßnahmen im Rahmen dieser Richtlinie betroffen sind, unterstützen und beraten, wobei insbesondere den Bedürfnissen und begrenzten Kapazitäten kleiner und mittlerer Unternehmen Rechnung zu tragen ist.</w:t>
      </w:r>
      <w:r>
        <w:rPr>
          <w:b/>
          <w:szCs w:val="24"/>
          <w:lang w:eastAsia="en-US"/>
        </w:rPr>
        <w:t xml:space="preserve"> [Abänd. 27]</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(39)</w:t>
      </w:r>
      <w:r w:rsidRPr="001C2358">
        <w:rPr>
          <w:szCs w:val="24"/>
          <w:lang w:eastAsia="en-US"/>
        </w:rPr>
        <w:tab/>
        <w:t>Gemäß der Verordnung (EU) 2021/2115 des Europäischen Parlaments und des Rates</w:t>
      </w:r>
      <w:r w:rsidRPr="001C2358">
        <w:rPr>
          <w:szCs w:val="24"/>
          <w:vertAlign w:val="superscript"/>
          <w:lang w:val="en-GB" w:eastAsia="en-US"/>
        </w:rPr>
        <w:footnoteReference w:id="25"/>
      </w:r>
      <w:r w:rsidRPr="001C2358">
        <w:rPr>
          <w:szCs w:val="24"/>
          <w:lang w:eastAsia="en-US"/>
        </w:rPr>
        <w:t xml:space="preserve"> müssen die Mitgliedstaaten in ihren GAP-Strategieplänen darlegen, wie die Umwelt- und Klimaarchitektur dieser Pläne zur Erreichung der langfristigen nationalen Zielwerte beitragen soll, die in den in Anhang XIII der genannten Verordnung aufgeführten Gesetzgebungsakten festgelegt sind oder sich aus ihnen ergeben, und mit diesen Zielwerten vereinbar sein soll.</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(39a)</w:t>
      </w:r>
      <w:r w:rsidRPr="001C2358">
        <w:rPr>
          <w:szCs w:val="24"/>
          <w:lang w:eastAsia="en-US"/>
        </w:rPr>
        <w:tab/>
      </w:r>
      <w:r w:rsidRPr="001C2358">
        <w:rPr>
          <w:b/>
          <w:i/>
          <w:szCs w:val="24"/>
          <w:lang w:eastAsia="en-US"/>
        </w:rPr>
        <w:t>Die in der Verordnung (EU) 2021/2115 festgelegten guten landwirtschaftlichen und ökologischen Zustände (GLÖZ) 5, 6 und 7 umfassen Standards zur Verbesserung der Bodenbewirtschaftung, um das Risiko von Bodenverschlechterung und Erosion zu verringern, u. a. durch Berücksichtigung der Hangneigung und eine Mindestbodenbewirtschaftung, die den standortspezifischen Bedingungen Rechnung trägt, um die Erosion zu begrenzen, eine Mindestbodenbedeckung, um nackten Boden zu vermeiden, den Schutz der Böden in den empfindlichsten Perioden sowie eine Fruchtfolge auf Ackerland. Darüber hinaus sind der GLÖZ 1 zum Schutz von Dauergrünland und der GLÖZ 2 zum Schutz von Feuchtgebieten und Mooren sowie von Böden mit hohem Gehalt an organischer Substanz für den Bodenschutz von Bedeutung.</w:t>
      </w:r>
      <w:r>
        <w:rPr>
          <w:b/>
          <w:szCs w:val="24"/>
          <w:lang w:eastAsia="en-US"/>
        </w:rPr>
        <w:t xml:space="preserve"> [Abänd. 28]</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(40)</w:t>
      </w:r>
      <w:r w:rsidRPr="001C2358">
        <w:rPr>
          <w:szCs w:val="24"/>
          <w:lang w:eastAsia="en-US"/>
        </w:rPr>
        <w:tab/>
      </w:r>
      <w:r w:rsidRPr="001C2358">
        <w:rPr>
          <w:strike/>
          <w:szCs w:val="24"/>
          <w:lang w:eastAsia="en-US"/>
        </w:rPr>
        <w:t xml:space="preserve">Um sicherzustellen, dass die besten nachhaltigen Bodenbewirtschaftungspraktiken umgesetzt werden, sollten </w:t>
      </w:r>
      <w:r w:rsidRPr="001C2358">
        <w:rPr>
          <w:szCs w:val="24"/>
          <w:lang w:eastAsia="en-US"/>
        </w:rPr>
        <w:t>Die Mitgliedstaaten</w:t>
      </w:r>
      <w:r w:rsidRPr="001C2358">
        <w:rPr>
          <w:b/>
          <w:i/>
          <w:szCs w:val="24"/>
          <w:lang w:eastAsia="en-US"/>
        </w:rPr>
        <w:t xml:space="preserve"> sollten</w:t>
      </w:r>
      <w:r w:rsidRPr="001C2358">
        <w:rPr>
          <w:szCs w:val="24"/>
          <w:lang w:eastAsia="en-US"/>
        </w:rPr>
        <w:t xml:space="preserve"> verpflichtet werden, die Auswirkungen der Bodenbewirtschaftungspraktiken genau zu überwachen und die Praktiken und Empfehlungen erforderlichenfalls unter Berücksichtigung neuer Erkenntnisse aus Forschung und Innovation anzupassen. In diesem Zusammenhang werden von der Mission „Ein Boden-Deal für Europa“ im Rahmen von Horizont Europa und insbesondere von ihren Reallaboren und Aktivitäten zur Unterstützung der Bodenüberwachung, der Bildung zum Thema Boden und der Bürgerbeteiligung wertvolle Beiträge erwartet.</w:t>
      </w:r>
      <w:r>
        <w:rPr>
          <w:b/>
          <w:szCs w:val="24"/>
          <w:lang w:eastAsia="en-US"/>
        </w:rPr>
        <w:t xml:space="preserve"> [Abänd. 29]</w:t>
      </w:r>
    </w:p>
    <w:p w:rsidR="001C2358" w:rsidRPr="001C2358" w:rsidRDefault="001C2358" w:rsidP="001C2358">
      <w:pPr>
        <w:spacing w:before="120" w:after="120" w:line="360" w:lineRule="auto"/>
        <w:ind w:left="850" w:hanging="850"/>
        <w:rPr>
          <w:szCs w:val="24"/>
          <w:lang w:eastAsia="en-US"/>
        </w:rPr>
      </w:pPr>
      <w:r w:rsidRPr="001C2358">
        <w:rPr>
          <w:szCs w:val="24"/>
          <w:lang w:eastAsia="en-US"/>
        </w:rPr>
        <w:t>(41)</w:t>
      </w:r>
      <w:r w:rsidRPr="001C2358">
        <w:rPr>
          <w:szCs w:val="24"/>
          <w:lang w:eastAsia="en-US"/>
        </w:rPr>
        <w:tab/>
        <w:t>Durch die Regenerierung wird der gesunde Zustand geschädigter Böden wiederhergestellt. Bei der Festlegung von Maßnahmen zur Bodenregenerierung sollten die Mitgliedstaaten verpflichtet werden, das Ergebnis der Bewertung der Bodengesundheit zu berücksichtigen und diese Regenerierungsmaßnahmen an die besonderen Merkmale der Situation, des Typs, der Nutzung und des Zustands des Bodens sowie die lokalen, klimatischen und ökologischen Bedingungen anzupassen.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(42)</w:t>
      </w:r>
      <w:r w:rsidRPr="001C2358">
        <w:rPr>
          <w:szCs w:val="24"/>
          <w:lang w:eastAsia="en-US"/>
        </w:rPr>
        <w:tab/>
        <w:t xml:space="preserve">Um Synergien zwischen den verschiedenen im Rahmen anderer Rechtsvorschriften der </w:t>
      </w:r>
      <w:r w:rsidRPr="001C2358">
        <w:rPr>
          <w:strike/>
          <w:szCs w:val="24"/>
          <w:lang w:eastAsia="en-US"/>
        </w:rPr>
        <w:t>Union</w:t>
      </w:r>
      <w:r w:rsidRPr="001C2358">
        <w:rPr>
          <w:b/>
          <w:i/>
          <w:szCs w:val="24"/>
          <w:lang w:eastAsia="en-US"/>
        </w:rPr>
        <w:t>EU</w:t>
      </w:r>
      <w:r w:rsidRPr="001C2358">
        <w:rPr>
          <w:szCs w:val="24"/>
          <w:lang w:eastAsia="en-US"/>
        </w:rPr>
        <w:t xml:space="preserve"> erlassenen Maßnahmen, die sich auf die Bodengesundheit auswirken können, und den Maßnahmen zur nachhaltigen Bewirtschaftung und Regenerierung von Böden in der </w:t>
      </w:r>
      <w:r w:rsidRPr="001C2358">
        <w:rPr>
          <w:strike/>
          <w:szCs w:val="24"/>
          <w:lang w:eastAsia="en-US"/>
        </w:rPr>
        <w:t>Union</w:t>
      </w:r>
      <w:r w:rsidRPr="001C2358">
        <w:rPr>
          <w:b/>
          <w:i/>
          <w:szCs w:val="24"/>
          <w:lang w:eastAsia="en-US"/>
        </w:rPr>
        <w:t>EU</w:t>
      </w:r>
      <w:r w:rsidRPr="001C2358">
        <w:rPr>
          <w:szCs w:val="24"/>
          <w:lang w:eastAsia="en-US"/>
        </w:rPr>
        <w:t xml:space="preserve"> zu gewährleisten, sollten die Mitgliedstaaten sicherstellen, dass die Methoden der nachhaltigen Bodenbewirtschaftung und </w:t>
      </w:r>
      <w:r w:rsidRPr="001C2358">
        <w:rPr>
          <w:strike/>
          <w:szCs w:val="24"/>
          <w:lang w:eastAsia="en-US"/>
        </w:rPr>
        <w:t>‑</w:t>
      </w:r>
      <w:r w:rsidRPr="001C2358">
        <w:rPr>
          <w:b/>
          <w:i/>
          <w:szCs w:val="24"/>
          <w:lang w:eastAsia="en-US"/>
        </w:rPr>
        <w:t>-</w:t>
      </w:r>
      <w:r w:rsidRPr="001C2358">
        <w:rPr>
          <w:szCs w:val="24"/>
          <w:lang w:eastAsia="en-US"/>
        </w:rPr>
        <w:t>regenerierung mit den gemäß der Verordnung (EU) .../... des Europäischen Parlaments und des Rates</w:t>
      </w:r>
      <w:r w:rsidRPr="001C2358">
        <w:rPr>
          <w:szCs w:val="24"/>
          <w:vertAlign w:val="superscript"/>
          <w:lang w:val="en-GB" w:eastAsia="en-US"/>
        </w:rPr>
        <w:footnoteReference w:id="26"/>
      </w:r>
      <w:r w:rsidRPr="001C2358">
        <w:rPr>
          <w:szCs w:val="24"/>
          <w:lang w:eastAsia="en-US"/>
        </w:rPr>
        <w:t>+ angenommenen nationalen Wiederherstellungsplänen</w:t>
      </w:r>
      <w:r w:rsidRPr="001C2358">
        <w:rPr>
          <w:b/>
          <w:i/>
          <w:szCs w:val="24"/>
          <w:lang w:eastAsia="en-US"/>
        </w:rPr>
        <w:t>, den gemäß Artikel 6 des Übereinkommens der Vereinten Nationen über die biologische Vielfalt aufgestellten nationalen Strategien und Aktionspläne zur Erhaltung der biologischen Vielfalt</w:t>
      </w:r>
      <w:r w:rsidRPr="001C2358">
        <w:rPr>
          <w:szCs w:val="24"/>
          <w:lang w:eastAsia="en-US"/>
        </w:rPr>
        <w:t>, den von den Mitgliedstaaten im Rahmen der Gemeinsamen Agrarpolitik gemäß der Verordnung (EU) 2021/2115 zu erstellenden Strategieplänen, den Regeln der guten fachlichen Praxis in der Landwirtschaft und den Aktionsprogrammen für die als gefährdet ausgewiesenen Gebiete gemäß der Richtlinie 91/676/EWG des Rates</w:t>
      </w:r>
      <w:r w:rsidRPr="001C2358">
        <w:rPr>
          <w:szCs w:val="24"/>
          <w:vertAlign w:val="superscript"/>
          <w:lang w:val="en-GB" w:eastAsia="en-US"/>
        </w:rPr>
        <w:footnoteReference w:id="27"/>
      </w:r>
      <w:r w:rsidRPr="001C2358">
        <w:rPr>
          <w:szCs w:val="24"/>
          <w:lang w:eastAsia="en-US"/>
        </w:rPr>
        <w:t>, den Erhaltungsmaßnahmen und dem prioritären Aktionsrahmen für Natura-2000-Gebiete gemäß der Richtlinie 92/43/EWG des Rates</w:t>
      </w:r>
      <w:r w:rsidRPr="001C2358">
        <w:rPr>
          <w:szCs w:val="24"/>
          <w:vertAlign w:val="superscript"/>
          <w:lang w:val="en-GB" w:eastAsia="en-US"/>
        </w:rPr>
        <w:footnoteReference w:id="28"/>
      </w:r>
      <w:r w:rsidRPr="001C2358">
        <w:rPr>
          <w:szCs w:val="24"/>
          <w:lang w:eastAsia="en-US"/>
        </w:rPr>
        <w:t>, den Maßnahmen zur Erreichung eines guten ökologischen und chemischen Zustands von Wasserkörpern in Bewirtschaftungsplänen für die Einzugsgebiete gemäß der Richtlinie 2000/60/EG des Europäischen Parlaments und des Rates</w:t>
      </w:r>
      <w:r w:rsidRPr="001C2358">
        <w:rPr>
          <w:szCs w:val="24"/>
          <w:vertAlign w:val="superscript"/>
          <w:lang w:val="en-GB" w:eastAsia="en-US"/>
        </w:rPr>
        <w:footnoteReference w:id="29"/>
      </w:r>
      <w:r w:rsidRPr="001C2358">
        <w:rPr>
          <w:szCs w:val="24"/>
          <w:lang w:eastAsia="en-US"/>
        </w:rPr>
        <w:t>, den Maßnahmen zum Hochwasserrisikomanagement gemäß der Richtlinie 2007/60/EG des Europäischen Parlaments und des Rates</w:t>
      </w:r>
      <w:r w:rsidRPr="001C2358">
        <w:rPr>
          <w:szCs w:val="24"/>
          <w:vertAlign w:val="superscript"/>
          <w:lang w:val="en-GB" w:eastAsia="en-US"/>
        </w:rPr>
        <w:footnoteReference w:id="30"/>
      </w:r>
      <w:r w:rsidRPr="001C2358">
        <w:rPr>
          <w:szCs w:val="24"/>
          <w:lang w:eastAsia="en-US"/>
        </w:rPr>
        <w:t xml:space="preserve">, den Dürremanagementplänen gemäß </w:t>
      </w:r>
      <w:r w:rsidRPr="001C2358">
        <w:rPr>
          <w:szCs w:val="24"/>
          <w:lang w:eastAsia="en-US"/>
        </w:rPr>
        <w:lastRenderedPageBreak/>
        <w:t>der Strategie der Union zur Anpassung an den Klimawandel</w:t>
      </w:r>
      <w:r w:rsidRPr="001C2358">
        <w:rPr>
          <w:szCs w:val="24"/>
          <w:vertAlign w:val="superscript"/>
          <w:lang w:val="en-GB" w:eastAsia="en-US"/>
        </w:rPr>
        <w:footnoteReference w:id="31"/>
      </w:r>
      <w:r w:rsidRPr="001C2358">
        <w:rPr>
          <w:szCs w:val="24"/>
          <w:lang w:eastAsia="en-US"/>
        </w:rPr>
        <w:t>, den nationalen Aktionsprogrammen gemäß Artikel 10 des Übereinkommens der Vereinten Nationen zur Bekämpfung der Wüstenbildung, den Zielvorgaben gemäß der Verordnung (EU) 2018/841 des Europäischen Parlaments und des Rates</w:t>
      </w:r>
      <w:r w:rsidRPr="001C2358">
        <w:rPr>
          <w:szCs w:val="24"/>
          <w:vertAlign w:val="superscript"/>
          <w:lang w:val="en-GB" w:eastAsia="en-US"/>
        </w:rPr>
        <w:footnoteReference w:id="32"/>
      </w:r>
      <w:r w:rsidRPr="001C2358">
        <w:rPr>
          <w:szCs w:val="24"/>
          <w:lang w:eastAsia="en-US"/>
        </w:rPr>
        <w:t xml:space="preserve"> und der Verordnung (EU) 2018/842 des Europäischen Parlaments und des Rates</w:t>
      </w:r>
      <w:r w:rsidRPr="001C2358">
        <w:rPr>
          <w:szCs w:val="24"/>
          <w:vertAlign w:val="superscript"/>
          <w:lang w:val="en-GB" w:eastAsia="en-US"/>
        </w:rPr>
        <w:footnoteReference w:id="33"/>
      </w:r>
      <w:r w:rsidRPr="001C2358">
        <w:rPr>
          <w:szCs w:val="24"/>
          <w:lang w:eastAsia="en-US"/>
        </w:rPr>
        <w:t>, den integrierten nationalen Energie- und Klimaplänen gemäß der Verordnung (EU) 2018/1999 des Europäischen Parlaments und des Rates</w:t>
      </w:r>
      <w:r w:rsidRPr="001C2358">
        <w:rPr>
          <w:szCs w:val="24"/>
          <w:vertAlign w:val="superscript"/>
          <w:lang w:val="en-GB" w:eastAsia="en-US"/>
        </w:rPr>
        <w:footnoteReference w:id="34"/>
      </w:r>
      <w:r w:rsidRPr="001C2358">
        <w:rPr>
          <w:szCs w:val="24"/>
          <w:lang w:eastAsia="en-US"/>
        </w:rPr>
        <w:t>, den nationalen Luftreinhalteprogrammen gemäß der Richtlinie (EU) 2016/2284 des Europäischen Parlaments und des Rates</w:t>
      </w:r>
      <w:r w:rsidRPr="001C2358">
        <w:rPr>
          <w:szCs w:val="24"/>
          <w:vertAlign w:val="superscript"/>
          <w:lang w:val="en-GB" w:eastAsia="en-US"/>
        </w:rPr>
        <w:footnoteReference w:id="35"/>
      </w:r>
      <w:r w:rsidRPr="001C2358">
        <w:rPr>
          <w:szCs w:val="24"/>
          <w:lang w:eastAsia="en-US"/>
        </w:rPr>
        <w:t>, den Risikobewertungen und der Katastrophenrisikomanagementplanung gemäß dem Beschluss Nr. 1313/2013/EU des Europäischen Parlaments und des Rates</w:t>
      </w:r>
      <w:r w:rsidRPr="001C2358">
        <w:rPr>
          <w:szCs w:val="24"/>
          <w:vertAlign w:val="superscript"/>
          <w:lang w:val="en-GB" w:eastAsia="en-US"/>
        </w:rPr>
        <w:footnoteReference w:id="36"/>
      </w:r>
      <w:r w:rsidRPr="001C2358">
        <w:rPr>
          <w:szCs w:val="24"/>
          <w:lang w:eastAsia="en-US"/>
        </w:rPr>
        <w:t xml:space="preserve"> und den nationalen Aktionsplänen gemäß der </w:t>
      </w:r>
      <w:r w:rsidRPr="001C2358">
        <w:rPr>
          <w:strike/>
          <w:szCs w:val="24"/>
          <w:lang w:eastAsia="en-US"/>
        </w:rPr>
        <w:t>Verordnung (EU) .../...</w:t>
      </w:r>
      <w:r w:rsidRPr="001C2358">
        <w:rPr>
          <w:b/>
          <w:i/>
          <w:szCs w:val="24"/>
          <w:lang w:eastAsia="en-US"/>
        </w:rPr>
        <w:t>Richtlinie 2009/128/EG</w:t>
      </w:r>
      <w:r w:rsidRPr="001C2358">
        <w:rPr>
          <w:szCs w:val="24"/>
          <w:lang w:eastAsia="en-US"/>
        </w:rPr>
        <w:t xml:space="preserve"> </w:t>
      </w:r>
      <w:r w:rsidRPr="001C2358">
        <w:rPr>
          <w:szCs w:val="24"/>
          <w:lang w:eastAsia="en-US"/>
        </w:rPr>
        <w:lastRenderedPageBreak/>
        <w:t>des Europäischen Parlaments und des Rates</w:t>
      </w:r>
      <w:r w:rsidR="009571FC">
        <w:rPr>
          <w:rStyle w:val="FootnoteReference"/>
          <w:szCs w:val="24"/>
          <w:lang w:eastAsia="en-US"/>
        </w:rPr>
        <w:footnoteReference w:id="37"/>
      </w:r>
      <w:r w:rsidRPr="001C2358">
        <w:rPr>
          <w:szCs w:val="24"/>
          <w:lang w:eastAsia="en-US"/>
        </w:rPr>
        <w:t xml:space="preserve"> kohärent sind. Die nachhaltige Bodenbewirtschaftung und </w:t>
      </w:r>
      <w:r w:rsidRPr="001C2358">
        <w:rPr>
          <w:strike/>
          <w:szCs w:val="24"/>
          <w:lang w:eastAsia="en-US"/>
        </w:rPr>
        <w:t>‑</w:t>
      </w:r>
      <w:r w:rsidRPr="001C2358">
        <w:rPr>
          <w:b/>
          <w:i/>
          <w:szCs w:val="24"/>
          <w:lang w:eastAsia="en-US"/>
        </w:rPr>
        <w:t>-</w:t>
      </w:r>
      <w:r w:rsidRPr="001C2358">
        <w:rPr>
          <w:szCs w:val="24"/>
          <w:lang w:eastAsia="en-US"/>
        </w:rPr>
        <w:t>regenerierung sollte so weit wie möglich in diese Programme, Pläne und Maßnahmen integriert werden, soweit sie zur Erreichung ihrer Ziele beitragen. Folglich sollten einschlägige Indikatoren und Daten, wie z. B. bodenbezogene Ergebnisindikatoren im Rahmen der GAP-Verordnung und statistische Daten zu landwirtschaftlichen Betriebsmitteln und zur landwirtschaftlichen Erzeugung, die gemäß der Verordnung (EU) 2022/2379 des Europäischen Parlaments und des Rates</w:t>
      </w:r>
      <w:r w:rsidRPr="001C2358">
        <w:rPr>
          <w:szCs w:val="24"/>
          <w:vertAlign w:val="superscript"/>
          <w:lang w:val="en-GB" w:eastAsia="en-US"/>
        </w:rPr>
        <w:footnoteReference w:id="38"/>
      </w:r>
      <w:r w:rsidRPr="001C2358">
        <w:rPr>
          <w:szCs w:val="24"/>
          <w:lang w:eastAsia="en-US"/>
        </w:rPr>
        <w:t xml:space="preserve"> gemeldet werden, den zuständigen Behörden zugänglich sein, die für nachhaltige Bodenbewirtschaftungs- und </w:t>
      </w:r>
      <w:r w:rsidRPr="001C2358">
        <w:rPr>
          <w:strike/>
          <w:szCs w:val="24"/>
          <w:lang w:eastAsia="en-US"/>
        </w:rPr>
        <w:t>‑</w:t>
      </w:r>
      <w:r w:rsidRPr="001C2358">
        <w:rPr>
          <w:b/>
          <w:i/>
          <w:szCs w:val="24"/>
          <w:lang w:eastAsia="en-US"/>
        </w:rPr>
        <w:t>-</w:t>
      </w:r>
      <w:r w:rsidRPr="001C2358">
        <w:rPr>
          <w:szCs w:val="24"/>
          <w:lang w:eastAsia="en-US"/>
        </w:rPr>
        <w:t>regenerierungsverfahren und die Bewertung der Bodengesundheit zuständig sind, um diese Daten und Indikatoren miteinander zu verknüpfen und so eine möglichst genaue Bewertung der Wirksamkeit der gewählten Maßnahmen zu ermöglichen.</w:t>
      </w:r>
      <w:r>
        <w:rPr>
          <w:b/>
          <w:szCs w:val="24"/>
          <w:lang w:eastAsia="en-US"/>
        </w:rPr>
        <w:t xml:space="preserve"> [Abänd. 30]</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(43)</w:t>
      </w:r>
      <w:r w:rsidRPr="001C2358">
        <w:rPr>
          <w:szCs w:val="24"/>
          <w:lang w:eastAsia="en-US"/>
        </w:rPr>
        <w:tab/>
        <w:t xml:space="preserve">Kontaminierte Standorte sind das Erbe jahrzehntelanger industrieller Tätigkeiten in der EU und können heute und in Zukunft zu Risiken für die menschliche </w:t>
      </w:r>
      <w:r w:rsidRPr="001C2358">
        <w:rPr>
          <w:b/>
          <w:i/>
          <w:szCs w:val="24"/>
          <w:lang w:eastAsia="en-US"/>
        </w:rPr>
        <w:t xml:space="preserve">und tierische </w:t>
      </w:r>
      <w:r w:rsidRPr="001C2358">
        <w:rPr>
          <w:szCs w:val="24"/>
          <w:lang w:eastAsia="en-US"/>
        </w:rPr>
        <w:t xml:space="preserve">Gesundheit und die Umwelt führen. Daher ist es notwendig, </w:t>
      </w:r>
      <w:r w:rsidRPr="001C2358">
        <w:rPr>
          <w:strike/>
          <w:szCs w:val="24"/>
          <w:lang w:eastAsia="en-US"/>
        </w:rPr>
        <w:t>zunächst</w:t>
      </w:r>
      <w:r w:rsidRPr="001C2358">
        <w:rPr>
          <w:b/>
          <w:i/>
          <w:szCs w:val="24"/>
          <w:lang w:eastAsia="en-US"/>
        </w:rPr>
        <w:t>auf der Grundlage vorhandenen Wissens neue</w:t>
      </w:r>
      <w:r w:rsidRPr="001C2358">
        <w:rPr>
          <w:szCs w:val="24"/>
          <w:lang w:eastAsia="en-US"/>
        </w:rPr>
        <w:t xml:space="preserve"> potenziell kontaminierte Standorte zu ermitteln und zu untersuchen und im Falle einer bestätigten Kontamination die Risiken zu bewerten und Maßnahmen zu ergreifen, um </w:t>
      </w:r>
      <w:r w:rsidRPr="001C2358">
        <w:rPr>
          <w:strike/>
          <w:szCs w:val="24"/>
          <w:lang w:eastAsia="en-US"/>
        </w:rPr>
        <w:t>unannehmbaren Risiken</w:t>
      </w:r>
      <w:r w:rsidRPr="001C2358">
        <w:rPr>
          <w:b/>
          <w:i/>
          <w:szCs w:val="24"/>
          <w:lang w:eastAsia="en-US"/>
        </w:rPr>
        <w:t>dieser</w:t>
      </w:r>
      <w:r w:rsidRPr="001C2358">
        <w:rPr>
          <w:szCs w:val="24"/>
          <w:lang w:eastAsia="en-US"/>
        </w:rPr>
        <w:t xml:space="preserve"> entgegenzuwirken. Die Bodenuntersuchung kann belegen, dass ein potenziell kontaminierter Standort doch nicht kontaminiert ist. In diesem Fall sollte der Standort vom Mitgliedstaat nicht mehr als potenziell kontaminiert gekennzeichnet werden, es sei denn, es besteht aufgrund neuer Erkenntnisse ein Verdacht auf eine Kontamination.</w:t>
      </w:r>
      <w:r>
        <w:rPr>
          <w:b/>
          <w:szCs w:val="24"/>
          <w:lang w:eastAsia="en-US"/>
        </w:rPr>
        <w:t xml:space="preserve"> [Abänd. 31]</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(44)</w:t>
      </w:r>
      <w:r w:rsidRPr="001C2358">
        <w:rPr>
          <w:szCs w:val="24"/>
          <w:lang w:eastAsia="en-US"/>
        </w:rPr>
        <w:tab/>
        <w:t>Um potenziell kontaminierte Standorte zu ermitteln, sollten die Mitgliedstaaten unter anderem anhand historischer Forschung, früherer industrieller Vorfälle und Unfälle, Umweltgenehmigungen</w:t>
      </w:r>
      <w:r w:rsidRPr="001C2358">
        <w:rPr>
          <w:b/>
          <w:i/>
          <w:szCs w:val="24"/>
          <w:lang w:eastAsia="en-US"/>
        </w:rPr>
        <w:t>, Gesundheitsuntersuchungen</w:t>
      </w:r>
      <w:r w:rsidRPr="001C2358">
        <w:rPr>
          <w:szCs w:val="24"/>
          <w:lang w:eastAsia="en-US"/>
        </w:rPr>
        <w:t xml:space="preserve"> und Meldungen der Öffentlichkeit oder der Behörden Nachweise sammeln.</w:t>
      </w:r>
      <w:r>
        <w:rPr>
          <w:b/>
          <w:szCs w:val="24"/>
          <w:lang w:eastAsia="en-US"/>
        </w:rPr>
        <w:t xml:space="preserve"> [Abänd. 32]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(45)</w:t>
      </w:r>
      <w:r w:rsidRPr="001C2358">
        <w:rPr>
          <w:szCs w:val="24"/>
          <w:lang w:eastAsia="en-US"/>
        </w:rPr>
        <w:tab/>
        <w:t>Um sicherzustellen, dass Bodenuntersuchungen an potenziell kontaminierten Standorten rechtzeitig und wirksam durchgeführt werden</w:t>
      </w:r>
      <w:r w:rsidRPr="001C2358">
        <w:rPr>
          <w:b/>
          <w:i/>
          <w:szCs w:val="24"/>
          <w:lang w:eastAsia="en-US"/>
        </w:rPr>
        <w:t>, wie dies in der Entschließung des Europäischen Parlaments vom 28. April 2021 zum Bodenschutz gefordert wird</w:t>
      </w:r>
      <w:r w:rsidRPr="001C2358">
        <w:rPr>
          <w:szCs w:val="24"/>
          <w:lang w:eastAsia="en-US"/>
        </w:rPr>
        <w:t xml:space="preserve">, sollten die Mitgliedstaaten zusätzlich zu der Verpflichtung, die Frist für die Durchführung dieser Untersuchungen festzulegen, verpflichtet sein, spezifische Ereignisse festzulegen, die ebenfalls eine solche Untersuchung nach sich ziehen. Solche auslösenden Ereignisse können die Beantragung oder Überprüfung einer Umwelt- oder Baugenehmigung oder einer nach den Rechtsvorschriften der </w:t>
      </w:r>
      <w:r w:rsidRPr="001C2358">
        <w:rPr>
          <w:strike/>
          <w:szCs w:val="24"/>
          <w:lang w:eastAsia="en-US"/>
        </w:rPr>
        <w:t>Union</w:t>
      </w:r>
      <w:r w:rsidRPr="001C2358">
        <w:rPr>
          <w:b/>
          <w:i/>
          <w:szCs w:val="24"/>
          <w:lang w:eastAsia="en-US"/>
        </w:rPr>
        <w:t>EU</w:t>
      </w:r>
      <w:r w:rsidRPr="001C2358">
        <w:rPr>
          <w:szCs w:val="24"/>
          <w:lang w:eastAsia="en-US"/>
        </w:rPr>
        <w:t xml:space="preserve"> oder der Mitgliedstaaten erforderlichen Genehmigung, Bodenaushubtätigkeiten, Landnutzungsänderungen oder Grundstücks- oder Immobilientransaktionen umfassen. Bodenuntersuchungen können in verschiedenen Phasen durchgeführt werden, z. B. einer Schreibtischstudie, einem Besuch vor Ort, einer Vor- oder Erkundungsuntersuchung, einer eingehenderen oder beschreibenden Untersuchung sowie Feld- oder Laborversuchen. Berichte über den Ausgangszustand und Überwachungsmaßnahmen, die gemäß der Richtlinie 2010/75/EU des Europäischen Parlaments und des Rates</w:t>
      </w:r>
      <w:r w:rsidRPr="001C2358">
        <w:rPr>
          <w:szCs w:val="24"/>
          <w:vertAlign w:val="superscript"/>
          <w:lang w:val="en-GB" w:eastAsia="en-US"/>
        </w:rPr>
        <w:footnoteReference w:id="39"/>
      </w:r>
      <w:r w:rsidRPr="001C2358">
        <w:rPr>
          <w:szCs w:val="24"/>
          <w:lang w:eastAsia="en-US"/>
        </w:rPr>
        <w:t xml:space="preserve"> durchgeführt werden, könnten gegebenenfalls auch als Bodenuntersuchung angesehen werden.</w:t>
      </w:r>
      <w:r>
        <w:rPr>
          <w:b/>
          <w:szCs w:val="24"/>
          <w:lang w:eastAsia="en-US"/>
        </w:rPr>
        <w:t xml:space="preserve"> [Abänd. 33]</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(46)</w:t>
      </w:r>
      <w:r w:rsidRPr="001C2358">
        <w:rPr>
          <w:szCs w:val="24"/>
          <w:lang w:eastAsia="en-US"/>
        </w:rPr>
        <w:tab/>
        <w:t>Beim Umgang mit potenziell und tatsächlich kontaminierten Standorten ist Flexibilität erforderlich, um Kosten, Nutzen und lokalen Besonderheiten Rechnung zu tragen. Die Mitgliedstaaten sollten daher beim Umgang mit potenziell und tatsächlich kontaminierten Standorten</w:t>
      </w:r>
      <w:r w:rsidRPr="001C2358">
        <w:rPr>
          <w:strike/>
          <w:szCs w:val="24"/>
          <w:lang w:eastAsia="en-US"/>
        </w:rPr>
        <w:t xml:space="preserve"> zumindest</w:t>
      </w:r>
      <w:r w:rsidRPr="001C2358">
        <w:rPr>
          <w:szCs w:val="24"/>
          <w:lang w:eastAsia="en-US"/>
        </w:rPr>
        <w:t xml:space="preserve"> einen risikobasierten Ansatz verfolgen, der den Unterschieden zwischen diesen beiden Kategorien Rechnung trägt und es ermöglicht, Ressourcen unter Berücksichtigung des spezifischen ökologischen, wirtschaftlichen und sozialen Zusammenhangs zuzuweisen. Entscheidungen sollten auf der Grundlage der Art und des Umfangs der potenziellen Risiken für die menschliche Gesundheit und die Umwelt </w:t>
      </w:r>
      <w:r w:rsidRPr="001C2358">
        <w:rPr>
          <w:b/>
          <w:i/>
          <w:szCs w:val="24"/>
          <w:lang w:eastAsia="en-US"/>
        </w:rPr>
        <w:t xml:space="preserve">in Zusammenarbeit mit lokalen Angehörigen der Gesundheitsberufe, den Gesundheitsbehörden und der Wissenschaftsgemeinde </w:t>
      </w:r>
      <w:r w:rsidRPr="001C2358">
        <w:rPr>
          <w:szCs w:val="24"/>
          <w:lang w:eastAsia="en-US"/>
        </w:rPr>
        <w:t>getroffen werden, die sich aus der Exposition gegenüber Bodenkontaminanten ergeben (z. B. Exposition gefährdeter Bevölkerungsgruppen wie Schwangerer, Menschen mit Behinderungen, älterer Menschen und Kinder)</w:t>
      </w:r>
      <w:r w:rsidRPr="001C2358">
        <w:rPr>
          <w:b/>
          <w:i/>
          <w:szCs w:val="24"/>
          <w:lang w:eastAsia="en-US"/>
        </w:rPr>
        <w:t>, einschließlich der Exposition und der der kumulierten Auswirkungen auf die menschliche Gesundheit, die Bodenökosysteme und die entsprechenden Ökosystemleistungen</w:t>
      </w:r>
      <w:r w:rsidRPr="001C2358">
        <w:rPr>
          <w:szCs w:val="24"/>
          <w:lang w:eastAsia="en-US"/>
        </w:rPr>
        <w:t xml:space="preserve">. Die Kosten-Nutzen-Analyse von Sanierungsmaßnahmen sollte </w:t>
      </w:r>
      <w:r w:rsidRPr="001C2358">
        <w:rPr>
          <w:strike/>
          <w:szCs w:val="24"/>
          <w:lang w:eastAsia="en-US"/>
        </w:rPr>
        <w:t>positiv</w:t>
      </w:r>
      <w:r w:rsidRPr="001C2358">
        <w:rPr>
          <w:b/>
          <w:i/>
          <w:szCs w:val="24"/>
          <w:lang w:eastAsia="en-US"/>
        </w:rPr>
        <w:t>ausgewogen</w:t>
      </w:r>
      <w:r w:rsidRPr="001C2358">
        <w:rPr>
          <w:szCs w:val="24"/>
          <w:lang w:eastAsia="en-US"/>
        </w:rPr>
        <w:t xml:space="preserve"> ausfallen</w:t>
      </w:r>
      <w:r w:rsidRPr="001C2358">
        <w:rPr>
          <w:b/>
          <w:i/>
          <w:szCs w:val="24"/>
          <w:lang w:eastAsia="en-US"/>
        </w:rPr>
        <w:t>, wobei die Vorteile für künftige Generationen zu berücksichtigen sind</w:t>
      </w:r>
      <w:r w:rsidRPr="001C2358">
        <w:rPr>
          <w:szCs w:val="24"/>
          <w:lang w:eastAsia="en-US"/>
        </w:rPr>
        <w:t xml:space="preserve">. Die optimale Sanierungslösung sollte nachhaltig sein und im Rahmen eines ausgewogenen Entscheidungsprozesses unter Berücksichtigung der ökologischen, wirtschaftlichen und sozialen Auswirkungen ausgewählt werden. Bei der Bewirtschaftung potenziell und tatsächlich kontaminierter Standorte sollten das Verursacherprinzip sowie die Grundsätze der Vorsorge und der Verhältnismäßigkeit beachtet werden. Die Mitgliedstaaten sollten die spezifische Methode für die Ermittlung der standortspezifischen Risiken kontaminierter Standorte festlegen. Die Mitgliedstaaten sollten auf der Grundlage wissenschaftlicher Erkenntnisse, des Vorsorgeprinzips, </w:t>
      </w:r>
      <w:r w:rsidRPr="001C2358">
        <w:rPr>
          <w:strike/>
          <w:szCs w:val="24"/>
          <w:lang w:eastAsia="en-US"/>
        </w:rPr>
        <w:t>lokaler Besonderheiten</w:t>
      </w:r>
      <w:r w:rsidRPr="001C2358">
        <w:rPr>
          <w:b/>
          <w:i/>
          <w:szCs w:val="24"/>
          <w:lang w:eastAsia="en-US"/>
        </w:rPr>
        <w:t>der Meinung der Gesundheitsbehörden und der Angehörigen der Gesundheitsberufe</w:t>
      </w:r>
      <w:r w:rsidRPr="001C2358">
        <w:rPr>
          <w:szCs w:val="24"/>
          <w:lang w:eastAsia="en-US"/>
        </w:rPr>
        <w:t xml:space="preserve"> sowie der gegenwärtigen und künftigen Landnutzung auch festlegen, was ein unannehmbares von einem kontaminierten Standort ausgehendes Risiko darstellt. Um die Risiken kontaminierter Standorte für die </w:t>
      </w:r>
      <w:r w:rsidRPr="001C2358">
        <w:rPr>
          <w:strike/>
          <w:szCs w:val="24"/>
          <w:lang w:eastAsia="en-US"/>
        </w:rPr>
        <w:t xml:space="preserve">menschliche </w:t>
      </w:r>
      <w:r w:rsidRPr="001C2358">
        <w:rPr>
          <w:szCs w:val="24"/>
          <w:lang w:eastAsia="en-US"/>
        </w:rPr>
        <w:t>Gesundheit</w:t>
      </w:r>
      <w:r w:rsidRPr="001C2358">
        <w:rPr>
          <w:b/>
          <w:i/>
          <w:szCs w:val="24"/>
          <w:lang w:eastAsia="en-US"/>
        </w:rPr>
        <w:t xml:space="preserve"> von Mensch und Tier</w:t>
      </w:r>
      <w:r w:rsidRPr="001C2358">
        <w:rPr>
          <w:szCs w:val="24"/>
          <w:lang w:eastAsia="en-US"/>
        </w:rPr>
        <w:t xml:space="preserve"> und die Umwelt auf ein annehmbares Maß zu verringern, sollten die Mitgliedstaaten angemessene Maßnahmen zur Risikominderung</w:t>
      </w:r>
      <w:r w:rsidRPr="001C2358">
        <w:rPr>
          <w:strike/>
          <w:szCs w:val="24"/>
          <w:lang w:eastAsia="en-US"/>
        </w:rPr>
        <w:t>, einschließlich der Sanierung,</w:t>
      </w:r>
      <w:r w:rsidRPr="001C2358">
        <w:rPr>
          <w:szCs w:val="24"/>
          <w:lang w:eastAsia="en-US"/>
        </w:rPr>
        <w:t xml:space="preserve"> ergreifen</w:t>
      </w:r>
      <w:r w:rsidRPr="001C2358">
        <w:rPr>
          <w:b/>
          <w:i/>
          <w:szCs w:val="24"/>
          <w:lang w:eastAsia="en-US"/>
        </w:rPr>
        <w:t>, wobei unter anderem der In- oder Ex-situ-Sanierung Vorrang einzuräumen ist</w:t>
      </w:r>
      <w:r w:rsidRPr="001C2358">
        <w:rPr>
          <w:szCs w:val="24"/>
          <w:lang w:eastAsia="en-US"/>
        </w:rPr>
        <w:t xml:space="preserve">. Maßnahmen, die im Rahmen anderer Rechtsvorschriften der Union ergriffen werden, </w:t>
      </w:r>
      <w:r w:rsidRPr="001C2358">
        <w:rPr>
          <w:szCs w:val="24"/>
          <w:lang w:eastAsia="en-US"/>
        </w:rPr>
        <w:lastRenderedPageBreak/>
        <w:t>sollten als Maßnahmen zur Risikominderung im Sinne dieser Richtlinie eingestuft werden können, wenn diese Maßnahmen die von kontaminierten Standorten ausgehenden Risiken wirksam verringern.</w:t>
      </w:r>
      <w:r>
        <w:rPr>
          <w:b/>
          <w:szCs w:val="24"/>
          <w:lang w:eastAsia="en-US"/>
        </w:rPr>
        <w:t xml:space="preserve"> [Abänd. 34]</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(46a)</w:t>
      </w:r>
      <w:r w:rsidRPr="001C2358">
        <w:rPr>
          <w:szCs w:val="24"/>
          <w:lang w:eastAsia="en-US"/>
        </w:rPr>
        <w:tab/>
      </w:r>
      <w:r w:rsidRPr="001C2358">
        <w:rPr>
          <w:b/>
          <w:i/>
          <w:szCs w:val="24"/>
          <w:lang w:eastAsia="en-US"/>
        </w:rPr>
        <w:t>Mit den Grundsätzen zur Minderung des Flächenverbrauchs sollten die Ernährungssicherheit der EU gefördert und dabei nachhaltiger Wohnraum, die wesentliche Infrastruktur und Projekte im Bereich der erneuerbaren Energien berücksichtigt werden.</w:t>
      </w:r>
      <w:r>
        <w:rPr>
          <w:b/>
          <w:szCs w:val="24"/>
          <w:lang w:eastAsia="en-US"/>
        </w:rPr>
        <w:t xml:space="preserve"> [Abänd. 35]</w:t>
      </w:r>
    </w:p>
    <w:p w:rsidR="001C2358" w:rsidRPr="001C2358" w:rsidRDefault="001C2358" w:rsidP="001C2358">
      <w:pPr>
        <w:spacing w:before="120" w:after="120" w:line="360" w:lineRule="auto"/>
        <w:ind w:left="850" w:hanging="850"/>
        <w:rPr>
          <w:szCs w:val="24"/>
          <w:lang w:eastAsia="en-US"/>
        </w:rPr>
      </w:pPr>
      <w:r w:rsidRPr="001C2358">
        <w:rPr>
          <w:szCs w:val="24"/>
          <w:lang w:eastAsia="en-US"/>
        </w:rPr>
        <w:t>(47)</w:t>
      </w:r>
      <w:r w:rsidRPr="001C2358">
        <w:rPr>
          <w:szCs w:val="24"/>
          <w:lang w:eastAsia="en-US"/>
        </w:rPr>
        <w:tab/>
        <w:t>Die gemäß dieser Richtlinie ergriffenen Maßnahmen sollten auch anderen politischen Zielen der EU Rechnung tragen, wie den mit der [Verordnung (EU) xxxx/xxxx</w:t>
      </w:r>
      <w:r w:rsidRPr="001C2358">
        <w:rPr>
          <w:szCs w:val="24"/>
          <w:vertAlign w:val="superscript"/>
          <w:lang w:val="en-GB" w:eastAsia="en-US"/>
        </w:rPr>
        <w:footnoteReference w:id="40"/>
      </w:r>
      <w:r w:rsidRPr="001C2358">
        <w:rPr>
          <w:szCs w:val="24"/>
          <w:lang w:eastAsia="en-US"/>
        </w:rPr>
        <w:t>+] verfolgten Vorgaben, die auf die Gewährleistung einer sicheren und nachhaltigen Versorgung der europäischen Industrie mit kritischen Rohstoffen abzielen.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(48)</w:t>
      </w:r>
      <w:r w:rsidRPr="001C2358">
        <w:rPr>
          <w:szCs w:val="24"/>
          <w:lang w:eastAsia="en-US"/>
        </w:rPr>
        <w:tab/>
        <w:t>Transparenz ist ein wesentlicher Bestandteil der Bodenpolitik und gewährleistet die öffentliche Rechenschaftspflicht und Sensibilisierung, faire Marktbedingungen und die Überwachung der Fortschritte. Daher sollten die Mitgliedstaaten ein nationales Register kontaminierter und potenziell kontaminierter Standorte einrichten und pflegen, das standortspezifische Informationen enthält, die in einer georeferenzierten Online-Geodatenbank öffentlich zugänglich gemacht werden sollten. Das Register sollte die Angaben enthalten, die erforderlich sind, damit sich die Öffentlichkeit über das Vorhandensein und die Bewirtschaftung potenziell und tatsächlich kontaminierter Standorte informieren kann. Da das Vorhandensein von Bodenkontamination an potenziell kontaminierten Standorten noch nicht bestätigt ist, sondern nur vermutet wird, muss der Unterschied zwischen tatsächlich und potenziell kontaminierten Standorten der Öffentlichkeit mitgeteilt und gut erläutert werden, um unnötige Bedenken zu vermeiden.</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(48a)</w:t>
      </w:r>
      <w:r w:rsidRPr="001C2358">
        <w:rPr>
          <w:szCs w:val="24"/>
          <w:lang w:eastAsia="en-US"/>
        </w:rPr>
        <w:tab/>
      </w:r>
      <w:r w:rsidRPr="001C2358">
        <w:rPr>
          <w:b/>
          <w:i/>
          <w:szCs w:val="24"/>
          <w:lang w:eastAsia="en-US"/>
        </w:rPr>
        <w:t>Um Böden vor Verschmutzung durch neue Chemikalien zu schützen, die erhebliche Risiken für die Gesundheit von Mensch und Tier verursachen und die umgebende Luft, Oberflächengewässer, das Grundwasser und somit auch die Ozeane verunreinigen können, sollten politische Mechanismen zur Ermittlung und Bewertung solcher Stoffe, die zunehmend Anlass zur Besorgnis geben, festgelegt werden. Daher sollte ein Ansatz für die Bodenverunreinigung entwickelt werden, der die Überwachung und Analyse dieser Stoffe oder Stoffgruppen über Kontrolllisten ermöglicht, wie dies bereits bei Oberflächengewässern und Grundwasser der Fall ist. Die in die Kontrollliste aufzunehmenden Stoffe oder Stoffgruppen sollten unter den Stoffen ausgewählt werden, die nach den verfügbaren Informationen ein erhebliches Risiko für oder durch die Bodenumwelt auf EU-Ebene darstellen könnten und für die keine ausreichenden Überwachungsdaten vorliegen. Die Anzahl solcher Stoffe oder Stoffgruppen, die im Rahmen der Kontrolllisten zu überwachen und zu analysieren sind, sollte nicht begrenzt werden.</w:t>
      </w:r>
      <w:r>
        <w:rPr>
          <w:b/>
          <w:szCs w:val="24"/>
          <w:lang w:eastAsia="en-US"/>
        </w:rPr>
        <w:t xml:space="preserve"> [Abänd. 37]</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(48b)</w:t>
      </w:r>
      <w:r w:rsidRPr="001C2358">
        <w:rPr>
          <w:szCs w:val="24"/>
          <w:lang w:eastAsia="en-US"/>
        </w:rPr>
        <w:tab/>
      </w:r>
      <w:r w:rsidRPr="001C2358">
        <w:rPr>
          <w:b/>
          <w:i/>
          <w:szCs w:val="24"/>
          <w:lang w:eastAsia="en-US"/>
        </w:rPr>
        <w:t>Stoffe wie persistente organische Schadstoffe, Materialien und Partikel, einschließlich Mikroplastik oder Nanoplastik, stellen ein eindeutiges Risiko für die Bodengesundheit, aber auch für wesentliche Tätigkeiten wie die Entwicklung der Landwirtschaft dar. Ihr Vorkommen in Böden kann Auswirkungen auf die Bodenfruchtbarkeit haben und dadurch die Gesundheit und die gesunde Entwicklung der Kulturen gefährden. Daher ist es von wesentlicher Bedeutung, dass diese Richtlinie einen Rahmen für Stoffe und Materialien vorsieht, die in die Überwachung von Bodenkontaminanten einbezogen werden, sowie gegebenenfalls für die Festlegung von Umweltqualitätsnormen und Maßnahmen zur Vorbeugung und Beseitigung von Bodenverunreinigungen durch bekannte und neu auftretende Bedrohungen.</w:t>
      </w:r>
      <w:r>
        <w:rPr>
          <w:b/>
          <w:szCs w:val="24"/>
          <w:lang w:eastAsia="en-US"/>
        </w:rPr>
        <w:t xml:space="preserve"> [Abänd. 38]</w:t>
      </w:r>
    </w:p>
    <w:p w:rsidR="001C2358" w:rsidRPr="001C2358" w:rsidRDefault="001C2358" w:rsidP="001C2358">
      <w:pPr>
        <w:spacing w:before="120" w:after="120" w:line="360" w:lineRule="auto"/>
        <w:ind w:left="850" w:hanging="850"/>
        <w:rPr>
          <w:szCs w:val="24"/>
          <w:lang w:eastAsia="en-US"/>
        </w:rPr>
      </w:pPr>
      <w:r w:rsidRPr="001C2358">
        <w:rPr>
          <w:szCs w:val="24"/>
          <w:lang w:eastAsia="en-US"/>
        </w:rPr>
        <w:t>(49)</w:t>
      </w:r>
      <w:r w:rsidRPr="001C2358">
        <w:rPr>
          <w:szCs w:val="24"/>
          <w:lang w:eastAsia="en-US"/>
        </w:rPr>
        <w:tab/>
        <w:t>Die Mitgliedstaaten sind nach Artikel 19 Absatz 1 des Vertrags über die Europäische Union (EUV) verpflichtet, Rechtsbehelfe bereitzustellen, die ausreichen, um einen wirksamen Rechtsschutz in den vom Unionsrecht erfassten Bereichen zu gewährleisten. Darüber hinaus sollten Mitglieder der betroffenen Öffentlichkeit im Einklang mit dem Übereinkommen über den Zugang zu Informationen, die Öffentlichkeitsbeteiligung an Entscheidungsverfahren und den Zugang zu Gerichten in Umweltangelegenheiten</w:t>
      </w:r>
      <w:r w:rsidRPr="001C2358">
        <w:rPr>
          <w:szCs w:val="24"/>
          <w:vertAlign w:val="superscript"/>
          <w:lang w:val="en-GB" w:eastAsia="en-US"/>
        </w:rPr>
        <w:footnoteReference w:id="41"/>
      </w:r>
      <w:r w:rsidRPr="001C2358">
        <w:rPr>
          <w:szCs w:val="24"/>
          <w:lang w:eastAsia="en-US"/>
        </w:rPr>
        <w:t xml:space="preserve"> (Übereinkommen von Aarhus) als Beitrag zum Schutz des Rechts, in einer für die Gesundheit und das Wohlbefinden des Einzelnen angemessenen Umwelt zu leben, Zugang zu Gerichten haben.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(50)</w:t>
      </w:r>
      <w:r w:rsidRPr="001C2358">
        <w:rPr>
          <w:szCs w:val="24"/>
          <w:lang w:eastAsia="en-US"/>
        </w:rPr>
        <w:tab/>
        <w:t>Die Richtlinie (EU) 2019/1024 des Europäischen Parlaments und des Rates</w:t>
      </w:r>
      <w:r w:rsidRPr="001C2358">
        <w:rPr>
          <w:szCs w:val="24"/>
          <w:vertAlign w:val="superscript"/>
          <w:lang w:val="en-GB" w:eastAsia="en-US"/>
        </w:rPr>
        <w:footnoteReference w:id="42"/>
      </w:r>
      <w:r w:rsidRPr="001C2358">
        <w:rPr>
          <w:szCs w:val="24"/>
          <w:lang w:eastAsia="en-US"/>
        </w:rPr>
        <w:t xml:space="preserve"> schreibt die Freigabe von Daten des öffentlichen Sektors in freien und offenen Formaten vor. Das allgemeine Ziel besteht darin, die EU-Datenwirtschaft weiter zu stärken, indem die für die Weiterverwendung verfügbare Menge von </w:t>
      </w:r>
      <w:r w:rsidRPr="001C2358">
        <w:rPr>
          <w:b/>
          <w:i/>
          <w:szCs w:val="24"/>
          <w:lang w:eastAsia="en-US"/>
        </w:rPr>
        <w:t xml:space="preserve">interoperablen </w:t>
      </w:r>
      <w:r w:rsidRPr="001C2358">
        <w:rPr>
          <w:szCs w:val="24"/>
          <w:lang w:eastAsia="en-US"/>
        </w:rPr>
        <w:t>Daten des öffentlichen Sektors gesteigert, für einen fairen Wettbewerb und einen leichten Zugang zu Informationen des öffentlichen Sektors gesorgt und die grenzüberschreitende Innovation auf der Grundlage von Daten verbessert wird</w:t>
      </w:r>
      <w:r w:rsidRPr="001C2358">
        <w:rPr>
          <w:strike/>
          <w:szCs w:val="24"/>
          <w:lang w:eastAsia="en-US"/>
        </w:rPr>
        <w:t>. Der Hauptgrundsatz besteht darin, dass Behördendaten standardmäßig und konzeptionell offen sein sollten</w:t>
      </w:r>
      <w:r w:rsidRPr="001C2358">
        <w:rPr>
          <w:szCs w:val="24"/>
          <w:lang w:eastAsia="en-US"/>
        </w:rPr>
        <w:t>. Mit der Richtlinie 2003/4/EG des Europäischen Parlaments und des Rates</w:t>
      </w:r>
      <w:r w:rsidRPr="001C2358">
        <w:rPr>
          <w:szCs w:val="24"/>
          <w:vertAlign w:val="superscript"/>
          <w:lang w:val="en-GB" w:eastAsia="en-US"/>
        </w:rPr>
        <w:footnoteReference w:id="43"/>
      </w:r>
      <w:r w:rsidRPr="001C2358">
        <w:rPr>
          <w:szCs w:val="24"/>
          <w:lang w:eastAsia="en-US"/>
        </w:rPr>
        <w:t xml:space="preserve"> soll das Recht auf Zugang zu Umweltinformationen in den Mitgliedstaaten im Einklang mit dem Übereinkommen von Aarhus gewährleistet werden. Das Übereinkommen von Aarhus und die Richtlinie 2003/4/EG enthalten breit gefasste Verpflichtungen sowohl zur Bereitstellung von Umweltinformationen auf Anfrage als auch zur aktiven Verbreitung solcher Informationen. Die Richtlinie 2007/2/EG des Europäischen Parlaments und des Rates</w:t>
      </w:r>
      <w:r w:rsidRPr="001C2358">
        <w:rPr>
          <w:szCs w:val="24"/>
          <w:vertAlign w:val="superscript"/>
          <w:lang w:val="en-GB" w:eastAsia="en-US"/>
        </w:rPr>
        <w:footnoteReference w:id="44"/>
      </w:r>
      <w:r w:rsidRPr="001C2358">
        <w:rPr>
          <w:szCs w:val="24"/>
          <w:lang w:eastAsia="en-US"/>
        </w:rPr>
        <w:t xml:space="preserve"> hat ebenfalls einen breiten Geltungsbereich, der die gemeinsame Nutzung von Geodaten, einschließlich Datensätzen zu verschiedenen Umweltthemen, umfasst. Die Bestimmungen der vorliegenden Richtlinie, die den Zugang zu Informationen und die gemeinsame Nutzung von Daten betreffen, müssen diese Richtlinien ergänzen und dürfen keinen gesonderten Rechtsrahmen schaffen. Die Bestimmungen der vorliegenden Richtlinie über Informationen für die Öffentlichkeit und Informationen über die Überwachung der Durchführung sollten daher unbeschadet der Richtlinien (EU) 2019/1024, 2003/4/EG und 2007/2/EG gelten.</w:t>
      </w:r>
      <w:r>
        <w:rPr>
          <w:b/>
          <w:szCs w:val="24"/>
          <w:lang w:eastAsia="en-US"/>
        </w:rPr>
        <w:t xml:space="preserve"> [Abänd. 39]</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(51)</w:t>
      </w:r>
      <w:r w:rsidRPr="001C2358">
        <w:rPr>
          <w:szCs w:val="24"/>
          <w:lang w:eastAsia="en-US"/>
        </w:rPr>
        <w:tab/>
        <w:t>Um die notwendige Anpassung der Vorschriften für die Überwachung der Bodengesundheit</w:t>
      </w:r>
      <w:r w:rsidRPr="001C2358">
        <w:rPr>
          <w:strike/>
          <w:szCs w:val="24"/>
          <w:lang w:eastAsia="en-US"/>
        </w:rPr>
        <w:t>, die nachhaltige Bodenbewirtschaftung und die</w:t>
      </w:r>
      <w:r w:rsidRPr="001C2358">
        <w:rPr>
          <w:b/>
          <w:i/>
          <w:szCs w:val="24"/>
          <w:lang w:eastAsia="en-US"/>
        </w:rPr>
        <w:t xml:space="preserve"> sowie die Bewertung und</w:t>
      </w:r>
      <w:r w:rsidRPr="001C2358">
        <w:rPr>
          <w:szCs w:val="24"/>
          <w:lang w:eastAsia="en-US"/>
        </w:rPr>
        <w:t xml:space="preserve"> Bewirtschaftung kontaminierter Standorte sicherzustellen, sollte der Kommission die Befugnis übertragen werden, gemäß Artikel 290 des Vertrags über die Arbeitsweise der Europäischen Union Rechtsakte zur Änderung </w:t>
      </w:r>
      <w:r w:rsidRPr="001C2358">
        <w:rPr>
          <w:b/>
          <w:i/>
          <w:szCs w:val="24"/>
          <w:lang w:eastAsia="en-US"/>
        </w:rPr>
        <w:t xml:space="preserve">oder Ergänzung </w:t>
      </w:r>
      <w:r w:rsidRPr="001C2358">
        <w:rPr>
          <w:szCs w:val="24"/>
          <w:lang w:eastAsia="en-US"/>
        </w:rPr>
        <w:t>dieser Richtlinie zu erlassen, um</w:t>
      </w:r>
      <w:r w:rsidRPr="001C2358">
        <w:rPr>
          <w:b/>
          <w:i/>
          <w:szCs w:val="24"/>
          <w:lang w:eastAsia="en-US"/>
        </w:rPr>
        <w:t xml:space="preserve"> eine Methode zur Festlegung von Schwellenwerten für die von den Mitgliedstaaten festzulegenden Bodendeskriptoren zu beschließen und</w:t>
      </w:r>
      <w:r w:rsidRPr="001C2358">
        <w:rPr>
          <w:szCs w:val="24"/>
          <w:lang w:eastAsia="en-US"/>
        </w:rPr>
        <w:t xml:space="preserve"> die Methoden zur Überwachung der Bodengesundheit</w:t>
      </w:r>
      <w:r w:rsidRPr="001C2358">
        <w:rPr>
          <w:strike/>
          <w:szCs w:val="24"/>
          <w:lang w:eastAsia="en-US"/>
        </w:rPr>
        <w:t>, die Liste der Grundsätze für eine nachhaltige Bodenbewirtschaftung</w:t>
      </w:r>
      <w:r w:rsidRPr="001C2358">
        <w:rPr>
          <w:szCs w:val="24"/>
          <w:lang w:eastAsia="en-US"/>
        </w:rPr>
        <w:t xml:space="preserve">, die indikative Liste der Risikominderungsmaßnahmen, die Phasen und Anforderungen für die standortspezifische Risikobewertung und </w:t>
      </w:r>
      <w:r w:rsidRPr="001C2358">
        <w:rPr>
          <w:strike/>
          <w:szCs w:val="24"/>
          <w:lang w:eastAsia="en-US"/>
        </w:rPr>
        <w:t>den Inhalt des Registers tatsächlich und potenziell kontaminierter Standorte</w:t>
      </w:r>
      <w:r w:rsidRPr="001C2358">
        <w:rPr>
          <w:b/>
          <w:i/>
          <w:szCs w:val="24"/>
          <w:lang w:eastAsia="en-US"/>
        </w:rPr>
        <w:t>die Festlegung der zulässigen Mindestwerte in Bezug auf die Definition eines unannehmbaren Risikos für die Gesundheit und die Umwelt, das von kontaminierten Standorten ausgeht,</w:t>
      </w:r>
      <w:r w:rsidRPr="001C2358">
        <w:rPr>
          <w:szCs w:val="24"/>
          <w:lang w:eastAsia="en-US"/>
        </w:rPr>
        <w:t xml:space="preserve"> an den technischen und wissenschaftlichen Fortschritt anzupassen.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w:t>
      </w:r>
      <w:r w:rsidRPr="001C2358">
        <w:rPr>
          <w:szCs w:val="24"/>
          <w:vertAlign w:val="superscript"/>
          <w:lang w:val="en-GB" w:eastAsia="en-US"/>
        </w:rPr>
        <w:footnoteReference w:id="45"/>
      </w:r>
      <w:r w:rsidRPr="001C2358">
        <w:rPr>
          <w:szCs w:val="24"/>
          <w:lang w:eastAsia="en-US"/>
        </w:rPr>
        <w:t>.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rPr>
          <w:b/>
          <w:szCs w:val="24"/>
          <w:lang w:eastAsia="en-US"/>
        </w:rPr>
        <w:t xml:space="preserve"> [Abänd. 40]</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(52)</w:t>
      </w:r>
      <w:r w:rsidRPr="001C2358">
        <w:rPr>
          <w:szCs w:val="24"/>
          <w:lang w:eastAsia="en-US"/>
        </w:rPr>
        <w:tab/>
        <w:t>Zur Gewährleistung einheitlicher Bedingungen für die Durchführung dieser Richtlinie sollten der Kommission Durchführungsbefugnisse übertragen werden, um Format, Struktur und die genauen Modalitäten für die elektronische Übermittlung von Daten und Informationen an die Kommission festzulegen. Diese Befugnisse sollten nach Maßgabe der Verordnung (EU) Nr. 182/2011 des Europäischen Parlaments und des Rates</w:t>
      </w:r>
      <w:r w:rsidRPr="001C2358">
        <w:rPr>
          <w:szCs w:val="24"/>
          <w:vertAlign w:val="superscript"/>
          <w:lang w:val="en-GB" w:eastAsia="en-US"/>
        </w:rPr>
        <w:footnoteReference w:id="46"/>
      </w:r>
      <w:r w:rsidRPr="001C2358">
        <w:rPr>
          <w:szCs w:val="24"/>
          <w:lang w:eastAsia="en-US"/>
        </w:rPr>
        <w:t xml:space="preserve"> ausgeübt werden.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(53)</w:t>
      </w:r>
      <w:r w:rsidRPr="001C2358">
        <w:rPr>
          <w:szCs w:val="24"/>
          <w:lang w:eastAsia="en-US"/>
        </w:rPr>
        <w:tab/>
        <w:t xml:space="preserve">Die Kommission sollte die Richtlinie sechs Jahre nach ihrem Inkrafttreten auf der Grundlage der Ergebnisse der Bewertung der Bodengesundheit einer faktengestützten Evaluierung unterziehen und sie gegebenenfalls überarbeiten. Bei der Evaluierung </w:t>
      </w:r>
      <w:r w:rsidRPr="001C2358">
        <w:rPr>
          <w:strike/>
          <w:szCs w:val="24"/>
          <w:lang w:eastAsia="en-US"/>
        </w:rPr>
        <w:t>sollte</w:t>
      </w:r>
      <w:r w:rsidRPr="001C2358">
        <w:rPr>
          <w:b/>
          <w:i/>
          <w:szCs w:val="24"/>
          <w:lang w:eastAsia="en-US"/>
        </w:rPr>
        <w:t>sollten</w:t>
      </w:r>
      <w:r w:rsidRPr="001C2358">
        <w:rPr>
          <w:szCs w:val="24"/>
          <w:lang w:eastAsia="en-US"/>
        </w:rPr>
        <w:t xml:space="preserve"> insbesondere </w:t>
      </w:r>
      <w:r w:rsidRPr="001C2358">
        <w:rPr>
          <w:strike/>
          <w:szCs w:val="24"/>
          <w:lang w:eastAsia="en-US"/>
        </w:rPr>
        <w:t>geprüft</w:t>
      </w:r>
      <w:r w:rsidRPr="001C2358">
        <w:rPr>
          <w:b/>
          <w:i/>
          <w:szCs w:val="24"/>
          <w:lang w:eastAsia="en-US"/>
        </w:rPr>
        <w:t>die Lücken und Maßnahmen bewertet</w:t>
      </w:r>
      <w:r w:rsidRPr="001C2358">
        <w:rPr>
          <w:szCs w:val="24"/>
          <w:lang w:eastAsia="en-US"/>
        </w:rPr>
        <w:t xml:space="preserve"> werden, </w:t>
      </w:r>
      <w:r w:rsidRPr="001C2358">
        <w:rPr>
          <w:strike/>
          <w:szCs w:val="24"/>
          <w:lang w:eastAsia="en-US"/>
        </w:rPr>
        <w:t>ob spezifischere Anforderungen festgelegt werden müssen</w:t>
      </w:r>
      <w:r w:rsidRPr="001C2358">
        <w:rPr>
          <w:b/>
          <w:i/>
          <w:szCs w:val="24"/>
          <w:lang w:eastAsia="en-US"/>
        </w:rPr>
        <w:t>die erforderlich sind</w:t>
      </w:r>
      <w:r w:rsidRPr="001C2358">
        <w:rPr>
          <w:szCs w:val="24"/>
          <w:lang w:eastAsia="en-US"/>
        </w:rPr>
        <w:t>, damit</w:t>
      </w:r>
      <w:r w:rsidRPr="001C2358">
        <w:rPr>
          <w:strike/>
          <w:szCs w:val="24"/>
          <w:lang w:eastAsia="en-US"/>
        </w:rPr>
        <w:t xml:space="preserve"> ungesunde Böden regeneriert werden und</w:t>
      </w:r>
      <w:r w:rsidRPr="001C2358">
        <w:rPr>
          <w:szCs w:val="24"/>
          <w:lang w:eastAsia="en-US"/>
        </w:rPr>
        <w:t xml:space="preserve"> das Ziel gesunder Böden bis 2050 erreicht wird. Bei der Evaluierung sollte auch geprüft werden, ob die Definition gesunder Böden an den wissenschaftlichen und technischen Fortschritt angepasst werden muss, indem Bestimmungen über bestimmte Deskriptoren oder Kriterien auf der Grundlage neuer wissenschaftlicher Erkenntnisse zum Schutz der Böden oder aufgrund eines spezifischen Problems eines Mitgliedstaats durch neue Umwelt- oder Klimabedingungen hinzugefügt werden. Gemäß Nummer 22 der Interinstitutionellen Vereinbarung über bessere Rechtsetzung sollte diese Evaluierung auf den Kriterien der Effizienz, der Effektivität, der Relevanz, der Kohärenz und des EU-Mehrwerts beruhen und die Grundlage für die Abschätzung der Folgen möglicher weiterer Maßnahmen bilden.</w:t>
      </w:r>
      <w:r>
        <w:rPr>
          <w:b/>
          <w:szCs w:val="24"/>
          <w:lang w:eastAsia="en-US"/>
        </w:rPr>
        <w:t xml:space="preserve"> [Abänd. 41]</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(54)</w:t>
      </w:r>
      <w:r w:rsidRPr="001C2358">
        <w:rPr>
          <w:szCs w:val="24"/>
          <w:lang w:eastAsia="en-US"/>
        </w:rPr>
        <w:tab/>
        <w:t>Es bedarf koordinierter Maßnahmen aller Mitgliedstaaten, um die Vision umzusetzen, dass alle Böden bis 2050 gesund sind, und um die langfristige Bereitstellung von Ökosystemleistungen durch Böden in der gesamten Union sicherzustellen. Die einzelnen Maßnahmen der Mitgliedstaaten haben sich als unzureichend erwiesen, da die Bodendegradation andauert und sich sogar verschlimmert. Da die Ziele dieser Richtlinie von den Mitgliedstaaten nicht ausreichend verwirklicht werden können, sondern vielmehr wegen des Umfangs oder der Wirkungen der Maßnahme auf Unionsebene besser zu verwirklichen sind, kann die Union im Einklang mit dem in Artikel 5 EUV verankerten Subsidiaritätsprinzip tätig werden. Entsprechend dem in demselben Artikel genannten Grundsatz der Verhältnismäßigkeit geht diese Richtlinie nicht über das für die Verwirklichung dieser Ziele erforderliche Maß hinaus.</w:t>
      </w:r>
    </w:p>
    <w:p w:rsidR="001C2358" w:rsidRPr="001C2358" w:rsidRDefault="001C2358" w:rsidP="001C2358">
      <w:pPr>
        <w:spacing w:before="120" w:after="120" w:line="360" w:lineRule="auto"/>
        <w:ind w:left="850" w:hanging="850"/>
        <w:rPr>
          <w:szCs w:val="24"/>
          <w:lang w:eastAsia="en-US"/>
        </w:rPr>
      </w:pPr>
      <w:r w:rsidRPr="001C2358">
        <w:rPr>
          <w:szCs w:val="24"/>
          <w:lang w:eastAsia="en-US"/>
        </w:rPr>
        <w:t>(55)</w:t>
      </w:r>
      <w:r w:rsidRPr="001C2358">
        <w:rPr>
          <w:szCs w:val="24"/>
          <w:lang w:eastAsia="en-US"/>
        </w:rPr>
        <w:tab/>
        <w:t>Gemäß der Gemeinsamen Politischen Erklärung vom 28. September 2011 der Mitgliedstaaten und der Kommission zu erläuternden Dokumenten</w:t>
      </w:r>
      <w:r w:rsidRPr="001C2358">
        <w:rPr>
          <w:szCs w:val="24"/>
          <w:vertAlign w:val="superscript"/>
          <w:lang w:val="en-GB" w:eastAsia="en-US"/>
        </w:rPr>
        <w:footnoteReference w:id="47"/>
      </w:r>
      <w:r w:rsidRPr="001C2358">
        <w:rPr>
          <w:szCs w:val="24"/>
          <w:lang w:eastAsia="en-US"/>
        </w:rPr>
        <w:t xml:space="preserve"> haben sich die Mitgliedstaaten verpflichtet, in begründeten Fällen zusätzlich zur Mitteilung ihrer Umsetzungsmaßnahmen ein oder mehrere Dokumente zu übermitteln, in denen der Zusammenhang zwischen den Bestandteilen einer Richtlinie und den entsprechenden Teilen nationaler Umsetzungsinstrumente erläutert wird. Bei dieser Richtlinie hält der Gesetzgeber die Übermittlung derartiger Dokumente für gerechtfertigt —</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(55a)</w:t>
      </w:r>
      <w:r w:rsidRPr="001C2358">
        <w:rPr>
          <w:szCs w:val="24"/>
          <w:lang w:eastAsia="en-US"/>
        </w:rPr>
        <w:tab/>
      </w:r>
      <w:r w:rsidRPr="001C2358">
        <w:rPr>
          <w:b/>
          <w:i/>
          <w:szCs w:val="24"/>
          <w:lang w:eastAsia="en-US"/>
        </w:rPr>
        <w:t>Mit dieser Richtlinie soll das langfristige Ziel eines gesunden Bodens in der EU bis 2050 auf der Grundlage eines kohärenten Rahmens für die Bodenüberwachung und die Verbesserung seiner Gesundheit erreicht werden. Da es sich um eine Richtlinie handelt, ist sie gemäß Artikel 288 des Vertrags über die Arbeitsweise der Europäischen Union hinsichtlich des in den Mitgliedstaaten, an die sie gerichtet ist, zu erreichenden Ziele verbindlich, wobei die nationalen Behörden die Möglichkeit haben, die Form und die Mittel zur Erreichung dieses Ziels zu wählen. Es wird daher Sache der Mitgliedstaaten sein, eigene Rechtsvorschriften zu erarbeiten, wie die in dieser Richtlinie festgelegten Ziele erreicht werden können. Das vorgeschlagene Instrument in Form einer Richtlinie räumt den Mitgliedstaaten viel Flexibilität ein, um die jeweils besten Maßnahmen für das eigene Land zu ermitteln und diese an die örtlichen Gegebenheiten anzupassen. Dies ist von entscheidender Bedeutung, um den regionalen und lokalen Besonderheiten in Bezug auf Bodenvariabilität, Landnutzung, klimatische Bedingungen und sozioökonomische Aspekte Rechnung zu tragen. Die Art des Instruments bringt es mit sich, dass die in dieser Richtlinie festgelegten Grundsätze keine unmittelbaren Verpflichtungen für den Einzelnen nach sich ziehen.</w:t>
      </w:r>
      <w:r>
        <w:rPr>
          <w:b/>
          <w:szCs w:val="24"/>
          <w:lang w:eastAsia="en-US"/>
        </w:rPr>
        <w:t xml:space="preserve"> [Abänd. 42]</w:t>
      </w:r>
    </w:p>
    <w:p w:rsidR="001C2358" w:rsidRPr="001C2358" w:rsidRDefault="001C2358" w:rsidP="001C2358">
      <w:pPr>
        <w:keepNext/>
        <w:widowControl/>
        <w:spacing w:before="120" w:after="120" w:line="360" w:lineRule="auto"/>
        <w:rPr>
          <w:szCs w:val="24"/>
          <w:lang w:eastAsia="en-US"/>
        </w:rPr>
      </w:pPr>
      <w:r w:rsidRPr="001C2358">
        <w:rPr>
          <w:szCs w:val="24"/>
          <w:lang w:eastAsia="en-US"/>
        </w:rPr>
        <w:t>HABEN FOLGENDE RICHTLINIE ERLASSEN: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Kapitel I</w:t>
      </w:r>
      <w:r w:rsidRPr="001C2358">
        <w:rPr>
          <w:szCs w:val="24"/>
          <w:lang w:eastAsia="en-US"/>
        </w:rPr>
        <w:br/>
        <w:t>Allgemeine Bestimmungen</w:t>
      </w:r>
    </w:p>
    <w:p w:rsidR="001C2358" w:rsidRPr="001C2358" w:rsidRDefault="001C2358" w:rsidP="001C2358">
      <w:pPr>
        <w:spacing w:before="120" w:after="120" w:line="360" w:lineRule="auto"/>
        <w:jc w:val="center"/>
        <w:rPr>
          <w:szCs w:val="24"/>
          <w:lang w:eastAsia="en-US"/>
        </w:rPr>
      </w:pPr>
      <w:r w:rsidRPr="001C2358">
        <w:rPr>
          <w:szCs w:val="24"/>
          <w:lang w:eastAsia="en-US"/>
        </w:rPr>
        <w:t>Artikel 1</w:t>
      </w:r>
      <w:r w:rsidRPr="001C2358">
        <w:rPr>
          <w:szCs w:val="24"/>
          <w:lang w:eastAsia="en-US"/>
        </w:rPr>
        <w:br/>
        <w:t>Ziel und Gegenstand</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Ziel der Richtlinie ist es, einen </w:t>
      </w:r>
      <w:r w:rsidRPr="001C2358">
        <w:rPr>
          <w:b/>
          <w:i/>
          <w:szCs w:val="24"/>
          <w:lang w:eastAsia="en-US"/>
        </w:rPr>
        <w:t xml:space="preserve">eindeutigen, </w:t>
      </w:r>
      <w:r w:rsidRPr="001C2358">
        <w:rPr>
          <w:szCs w:val="24"/>
          <w:lang w:eastAsia="en-US"/>
        </w:rPr>
        <w:t>robusten</w:t>
      </w:r>
      <w:r w:rsidRPr="001C2358">
        <w:rPr>
          <w:strike/>
          <w:szCs w:val="24"/>
          <w:lang w:eastAsia="en-US"/>
        </w:rPr>
        <w:t xml:space="preserve"> und</w:t>
      </w:r>
      <w:r w:rsidRPr="001C2358">
        <w:rPr>
          <w:b/>
          <w:i/>
          <w:szCs w:val="24"/>
          <w:lang w:eastAsia="en-US"/>
        </w:rPr>
        <w:t>,</w:t>
      </w:r>
      <w:r w:rsidRPr="001C2358">
        <w:rPr>
          <w:szCs w:val="24"/>
          <w:lang w:eastAsia="en-US"/>
        </w:rPr>
        <w:t xml:space="preserve"> kohärenten </w:t>
      </w:r>
      <w:r w:rsidRPr="001C2358">
        <w:rPr>
          <w:strike/>
          <w:szCs w:val="24"/>
          <w:lang w:eastAsia="en-US"/>
        </w:rPr>
        <w:t>Bodenüberwachungsrahmen</w:t>
      </w:r>
      <w:r w:rsidRPr="001C2358">
        <w:rPr>
          <w:b/>
          <w:i/>
          <w:szCs w:val="24"/>
          <w:lang w:eastAsia="en-US"/>
        </w:rPr>
        <w:t>und flexiblen Rahmen zur Bodenüberwachung und -bewertung</w:t>
      </w:r>
      <w:r w:rsidRPr="001C2358">
        <w:rPr>
          <w:szCs w:val="24"/>
          <w:lang w:eastAsia="en-US"/>
        </w:rPr>
        <w:t xml:space="preserve"> für alle Böden in der gesamten EU zu schaffen</w:t>
      </w:r>
      <w:r w:rsidRPr="001C2358">
        <w:rPr>
          <w:b/>
          <w:i/>
          <w:szCs w:val="24"/>
          <w:lang w:eastAsia="en-US"/>
        </w:rPr>
        <w:t>, um so</w:t>
      </w:r>
      <w:r w:rsidRPr="001C2358">
        <w:rPr>
          <w:strike/>
          <w:szCs w:val="24"/>
          <w:lang w:eastAsia="en-US"/>
        </w:rPr>
        <w:t xml:space="preserve"> und</w:t>
      </w:r>
      <w:r w:rsidRPr="001C2358">
        <w:rPr>
          <w:szCs w:val="24"/>
          <w:lang w:eastAsia="en-US"/>
        </w:rPr>
        <w:t xml:space="preserve"> die Bodengesundheit in der Union kontinuierlich zu verbessern; dadurch sollen bis 2050 gesunde Böden erreicht und ein gesunder Zustand der Böden aufrechterhalten</w:t>
      </w:r>
      <w:r w:rsidRPr="001C2358">
        <w:rPr>
          <w:b/>
          <w:i/>
          <w:szCs w:val="24"/>
          <w:lang w:eastAsia="en-US"/>
        </w:rPr>
        <w:t xml:space="preserve"> und eine Verschlechterung vermieden</w:t>
      </w:r>
      <w:r w:rsidRPr="001C2358">
        <w:rPr>
          <w:szCs w:val="24"/>
          <w:lang w:eastAsia="en-US"/>
        </w:rPr>
        <w:t xml:space="preserve"> werden, sodass die Böden vielfältige Ökosystemleistungen in einem Umfang erbringen können, der den ökologischen, gesellschaftlichen und wirtschaftlichen Bedürfnissen gerecht wird, sowie die Auswirkungen des Klimawandels und des Verlusts an biologischer Vielfalt verhindern und abmildern und die Widerstandsfähigkeit gegen Naturkatastrophen und die Ernährungssicherheit erhöhen können; zudem soll die Bodenkontamination auf ein Niveau reduziert werden, das nicht mehr als schädlich für die menschliche Gesundheit und die Umwelt gilt.</w:t>
      </w:r>
    </w:p>
    <w:p w:rsidR="001C2358" w:rsidRPr="001C2358" w:rsidRDefault="001C2358" w:rsidP="001C2358">
      <w:pPr>
        <w:spacing w:before="120" w:after="120" w:line="360" w:lineRule="auto"/>
        <w:ind w:left="850"/>
        <w:rPr>
          <w:b/>
          <w:szCs w:val="24"/>
          <w:lang w:eastAsia="en-US"/>
        </w:rPr>
      </w:pPr>
      <w:r w:rsidRPr="001C2358">
        <w:rPr>
          <w:b/>
          <w:i/>
          <w:szCs w:val="24"/>
          <w:lang w:eastAsia="en-US"/>
        </w:rPr>
        <w:t>Mit dieser Richtlinie wird daher ein Rahmen geschaffen, innerhalb dessen die Mitgliedstaaten Maßnahmen ergreifen müssen, die technisch machbar sind und auf einer Kosten-Nutzen-Analyse beruhen, damit bis 2050 gesunde Böden erreicht werden.</w:t>
      </w:r>
      <w:r>
        <w:rPr>
          <w:b/>
          <w:szCs w:val="24"/>
          <w:lang w:eastAsia="en-US"/>
        </w:rPr>
        <w:t xml:space="preserve"> [Abänd. 43]</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lastRenderedPageBreak/>
        <w:t>(1a)</w:t>
      </w:r>
      <w:r w:rsidRPr="001C2358">
        <w:rPr>
          <w:szCs w:val="24"/>
          <w:lang w:eastAsia="en-US"/>
        </w:rPr>
        <w:tab/>
      </w:r>
      <w:r w:rsidRPr="001C2358">
        <w:rPr>
          <w:b/>
          <w:i/>
          <w:szCs w:val="24"/>
          <w:lang w:eastAsia="en-US"/>
        </w:rPr>
        <w:t xml:space="preserve">Diese Richtlinie trägt zur Erfüllung bzw. Erreichung internationaler und unionsweiter Verpflichtungen und Ziele bei, darunter jene in: </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a)</w:t>
      </w:r>
      <w:r w:rsidRPr="001C2358">
        <w:rPr>
          <w:szCs w:val="24"/>
          <w:lang w:eastAsia="en-US"/>
        </w:rPr>
        <w:tab/>
      </w:r>
      <w:r w:rsidRPr="001C2358">
        <w:rPr>
          <w:b/>
          <w:i/>
          <w:szCs w:val="24"/>
          <w:lang w:eastAsia="en-US"/>
        </w:rPr>
        <w:t>dem Globalen Biodiversitätsrahmen von Kunming-Montreal,</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b)</w:t>
      </w:r>
      <w:r w:rsidRPr="001C2358">
        <w:rPr>
          <w:szCs w:val="24"/>
          <w:lang w:eastAsia="en-US"/>
        </w:rPr>
        <w:tab/>
      </w:r>
      <w:r w:rsidRPr="001C2358">
        <w:rPr>
          <w:b/>
          <w:i/>
          <w:szCs w:val="24"/>
          <w:lang w:eastAsia="en-US"/>
        </w:rPr>
        <w:t>dem Übereinkommen von Paris,</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c)</w:t>
      </w:r>
      <w:r w:rsidRPr="001C2358">
        <w:rPr>
          <w:szCs w:val="24"/>
          <w:lang w:eastAsia="en-US"/>
        </w:rPr>
        <w:tab/>
      </w:r>
      <w:r w:rsidRPr="001C2358">
        <w:rPr>
          <w:b/>
          <w:i/>
          <w:szCs w:val="24"/>
          <w:lang w:eastAsia="en-US"/>
        </w:rPr>
        <w:t>der UN-Konvention zur Bekämpfung der Wüstenbildung (UNCCD),</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d)</w:t>
      </w:r>
      <w:r w:rsidRPr="001C2358">
        <w:rPr>
          <w:szCs w:val="24"/>
          <w:lang w:eastAsia="en-US"/>
        </w:rPr>
        <w:tab/>
      </w:r>
      <w:r w:rsidRPr="001C2358">
        <w:rPr>
          <w:b/>
          <w:i/>
          <w:szCs w:val="24"/>
          <w:lang w:eastAsia="en-US"/>
        </w:rPr>
        <w:t>dem 7. Umweltaktionsprogramm der EU (Beschluss Nr. 1386/2013/EU),</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e)</w:t>
      </w:r>
      <w:r w:rsidRPr="001C2358">
        <w:rPr>
          <w:szCs w:val="24"/>
          <w:lang w:eastAsia="en-US"/>
        </w:rPr>
        <w:tab/>
      </w:r>
      <w:r w:rsidRPr="001C2358">
        <w:rPr>
          <w:b/>
          <w:i/>
          <w:szCs w:val="24"/>
          <w:lang w:eastAsia="en-US"/>
        </w:rPr>
        <w:t>dem 8. Umweltaktionsprogramm der EU (Beschluss (EU) 2022/591),</w:t>
      </w:r>
    </w:p>
    <w:p w:rsidR="001C2358" w:rsidRPr="001C2358" w:rsidRDefault="001C2358" w:rsidP="001C2358">
      <w:pPr>
        <w:spacing w:before="120" w:after="120" w:line="360" w:lineRule="auto"/>
        <w:ind w:left="1416" w:hanging="566"/>
        <w:rPr>
          <w:b/>
          <w:szCs w:val="24"/>
          <w:lang w:eastAsia="en-US"/>
        </w:rPr>
      </w:pPr>
      <w:r w:rsidRPr="001C2358">
        <w:rPr>
          <w:b/>
          <w:i/>
          <w:szCs w:val="24"/>
          <w:lang w:eastAsia="en-US"/>
        </w:rPr>
        <w:t>f)</w:t>
      </w:r>
      <w:r w:rsidRPr="001C2358">
        <w:rPr>
          <w:szCs w:val="24"/>
          <w:lang w:eastAsia="en-US"/>
        </w:rPr>
        <w:tab/>
      </w:r>
      <w:r w:rsidRPr="001C2358">
        <w:rPr>
          <w:b/>
          <w:i/>
          <w:szCs w:val="24"/>
          <w:lang w:eastAsia="en-US"/>
        </w:rPr>
        <w:t>dem Fahrplan für ein ressourcenschonendes Europa (COM(2011)0571).</w:t>
      </w:r>
      <w:r>
        <w:rPr>
          <w:b/>
          <w:szCs w:val="24"/>
          <w:lang w:eastAsia="en-US"/>
        </w:rPr>
        <w:t xml:space="preserve"> [Abänd. 44]</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Diese Richtlinie enthält Maßnahmen in folgenden Bereichen:</w:t>
      </w:r>
    </w:p>
    <w:p w:rsidR="001C2358" w:rsidRPr="001C2358" w:rsidRDefault="001C2358" w:rsidP="001C2358">
      <w:pPr>
        <w:spacing w:before="120" w:after="120" w:line="360" w:lineRule="auto"/>
        <w:ind w:left="1416" w:hanging="566"/>
        <w:rPr>
          <w:b/>
          <w:szCs w:val="24"/>
          <w:lang w:eastAsia="en-US"/>
        </w:rPr>
      </w:pPr>
      <w:r w:rsidRPr="001C2358">
        <w:rPr>
          <w:szCs w:val="24"/>
          <w:lang w:eastAsia="en-US"/>
        </w:rPr>
        <w:t>a)</w:t>
      </w:r>
      <w:r w:rsidRPr="001C2358">
        <w:rPr>
          <w:szCs w:val="24"/>
          <w:lang w:eastAsia="en-US"/>
        </w:rPr>
        <w:tab/>
        <w:t>Überwachung</w:t>
      </w:r>
      <w:r w:rsidRPr="001C2358">
        <w:rPr>
          <w:b/>
          <w:i/>
          <w:szCs w:val="24"/>
          <w:lang w:eastAsia="en-US"/>
        </w:rPr>
        <w:t>, Aufrechterhaltung, Verbesserung, Wiederherstellung</w:t>
      </w:r>
      <w:r w:rsidRPr="001C2358">
        <w:rPr>
          <w:szCs w:val="24"/>
          <w:lang w:eastAsia="en-US"/>
        </w:rPr>
        <w:t xml:space="preserve"> und Bewertung der Bodengesundheit</w:t>
      </w:r>
      <w:r w:rsidRPr="001C2358">
        <w:rPr>
          <w:b/>
          <w:i/>
          <w:szCs w:val="24"/>
          <w:lang w:eastAsia="en-US"/>
        </w:rPr>
        <w:t xml:space="preserve"> auf der Grundlage des ökologischen Zustands des Bodens</w:t>
      </w:r>
      <w:r w:rsidRPr="001C2358">
        <w:rPr>
          <w:szCs w:val="24"/>
          <w:lang w:eastAsia="en-US"/>
        </w:rPr>
        <w:t>;</w:t>
      </w:r>
      <w:r>
        <w:rPr>
          <w:b/>
          <w:szCs w:val="24"/>
          <w:lang w:eastAsia="en-US"/>
        </w:rPr>
        <w:t xml:space="preserve"> [Abänd. 45]</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nachhaltige Bodenbewirtschaftung;</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kontaminierte Standorte.</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2</w:t>
      </w:r>
      <w:r w:rsidRPr="001C2358">
        <w:rPr>
          <w:szCs w:val="24"/>
          <w:lang w:eastAsia="en-US"/>
        </w:rPr>
        <w:br/>
        <w:t>Geltungsbereich</w:t>
      </w:r>
    </w:p>
    <w:p w:rsidR="001C2358" w:rsidRPr="001C2358" w:rsidRDefault="001C2358" w:rsidP="001C2358">
      <w:pPr>
        <w:spacing w:before="120" w:after="120" w:line="360" w:lineRule="auto"/>
        <w:rPr>
          <w:szCs w:val="24"/>
          <w:lang w:eastAsia="en-US"/>
        </w:rPr>
      </w:pPr>
      <w:r w:rsidRPr="001C2358">
        <w:rPr>
          <w:szCs w:val="24"/>
          <w:lang w:eastAsia="en-US"/>
        </w:rPr>
        <w:t>Diese Richtlinie gilt für alle Böden im Hoheitsgebiet der Mitgliedstaaten.</w:t>
      </w:r>
    </w:p>
    <w:p w:rsidR="001C2358" w:rsidRPr="001C2358" w:rsidRDefault="001C2358" w:rsidP="001C2358">
      <w:pPr>
        <w:spacing w:before="120" w:after="120" w:line="360" w:lineRule="auto"/>
        <w:jc w:val="center"/>
        <w:rPr>
          <w:szCs w:val="24"/>
          <w:lang w:eastAsia="en-US"/>
        </w:rPr>
      </w:pPr>
      <w:r w:rsidRPr="001C2358">
        <w:rPr>
          <w:szCs w:val="24"/>
          <w:lang w:eastAsia="en-US"/>
        </w:rPr>
        <w:t>Artikel 3</w:t>
      </w:r>
      <w:r w:rsidRPr="001C2358">
        <w:rPr>
          <w:szCs w:val="24"/>
          <w:lang w:eastAsia="en-US"/>
        </w:rPr>
        <w:br/>
        <w:t>Begriffsbestimmungen</w:t>
      </w:r>
    </w:p>
    <w:p w:rsidR="001C2358" w:rsidRPr="001C2358" w:rsidRDefault="001C2358" w:rsidP="001C2358">
      <w:pPr>
        <w:spacing w:before="120" w:after="120" w:line="360" w:lineRule="auto"/>
        <w:rPr>
          <w:szCs w:val="24"/>
          <w:lang w:eastAsia="en-US"/>
        </w:rPr>
      </w:pPr>
      <w:r w:rsidRPr="001C2358">
        <w:rPr>
          <w:szCs w:val="24"/>
          <w:lang w:eastAsia="en-US"/>
        </w:rPr>
        <w:t>Für die Zwecke dieser Richtlinie bezeichnet der Ausdruck</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„Boden“ die oberste Schicht der Erdkruste, die sich zwischen dem Grundgestein und der Landoberfläche befindet und die aus Mineralpartikeln, organischem Material, Wasser, Luft und lebenden Organismen besteht</w:t>
      </w:r>
      <w:r w:rsidRPr="001C2358">
        <w:rPr>
          <w:b/>
          <w:i/>
          <w:szCs w:val="24"/>
          <w:lang w:eastAsia="en-US"/>
        </w:rPr>
        <w:t>, mit Ausnahme von Rohstofflagerstätten</w:t>
      </w:r>
      <w:r w:rsidRPr="001C2358">
        <w:rPr>
          <w:szCs w:val="24"/>
          <w:lang w:eastAsia="en-US"/>
        </w:rPr>
        <w:t>;</w:t>
      </w:r>
      <w:r>
        <w:rPr>
          <w:b/>
          <w:szCs w:val="24"/>
          <w:lang w:eastAsia="en-US"/>
        </w:rPr>
        <w:t xml:space="preserve"> [Abänd. 217 und 266]</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lastRenderedPageBreak/>
        <w:t>1a.</w:t>
      </w:r>
      <w:r w:rsidRPr="001C2358">
        <w:rPr>
          <w:szCs w:val="24"/>
          <w:lang w:eastAsia="en-US"/>
        </w:rPr>
        <w:tab/>
      </w:r>
      <w:r w:rsidRPr="001C2358">
        <w:rPr>
          <w:b/>
          <w:i/>
          <w:szCs w:val="24"/>
          <w:lang w:eastAsia="en-US"/>
        </w:rPr>
        <w:t>„ökologischer Zustand des Bodens“ die ökologische Qualität eines Bodens, die anhand der Vielfalt des Bodens, seiner biologischen und funktionalen Aktivität, dem Lebensraum und des Vorhandenseins von Schädigungsfaktoren bewertet und nach folgender Klassifizierung bestimmt wird:</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a)</w:t>
      </w:r>
      <w:r w:rsidRPr="001C2358">
        <w:rPr>
          <w:szCs w:val="24"/>
          <w:lang w:eastAsia="en-US"/>
        </w:rPr>
        <w:tab/>
      </w:r>
      <w:r w:rsidRPr="001C2358">
        <w:rPr>
          <w:b/>
          <w:i/>
          <w:szCs w:val="24"/>
          <w:lang w:eastAsia="en-US"/>
        </w:rPr>
        <w:t>„hoher ökologischer Zustand des Bodens“ für Böden mit hoher biologischer und funktioneller Aktivität;</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b)</w:t>
      </w:r>
      <w:r w:rsidRPr="001C2358">
        <w:rPr>
          <w:szCs w:val="24"/>
          <w:lang w:eastAsia="en-US"/>
        </w:rPr>
        <w:tab/>
      </w:r>
      <w:r w:rsidRPr="001C2358">
        <w:rPr>
          <w:b/>
          <w:i/>
          <w:szCs w:val="24"/>
          <w:lang w:eastAsia="en-US"/>
        </w:rPr>
        <w:t>„guter ökologischer Zustand des Bodens“ für Böden in einem insgesamt guten ökologischen Zustand, die jedoch Hinweise auf leichte negative Auswirkungen eines oder mehrerer Schädigungsfaktoren aufweisen;</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c)</w:t>
      </w:r>
      <w:r w:rsidRPr="001C2358">
        <w:rPr>
          <w:szCs w:val="24"/>
          <w:lang w:eastAsia="en-US"/>
        </w:rPr>
        <w:tab/>
      </w:r>
      <w:r w:rsidRPr="001C2358">
        <w:rPr>
          <w:b/>
          <w:i/>
          <w:szCs w:val="24"/>
          <w:lang w:eastAsia="en-US"/>
        </w:rPr>
        <w:t>„mäßiger ökologischer Zustand des Bodens“ für Böden mit leichten negativen Auswirkungen von Schädigungsfaktoren;</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d)</w:t>
      </w:r>
      <w:r w:rsidRPr="001C2358">
        <w:rPr>
          <w:szCs w:val="24"/>
          <w:lang w:eastAsia="en-US"/>
        </w:rPr>
        <w:tab/>
      </w:r>
      <w:r w:rsidRPr="001C2358">
        <w:rPr>
          <w:b/>
          <w:i/>
          <w:szCs w:val="24"/>
          <w:lang w:eastAsia="en-US"/>
        </w:rPr>
        <w:t>„geschädigte Böden“ für Böden mit eindeutigen Belegen für negative Auswirkungen eines einzigen Schädigungsfaktors;</w:t>
      </w:r>
    </w:p>
    <w:p w:rsidR="001C2358" w:rsidRPr="001C2358" w:rsidRDefault="001C2358" w:rsidP="001C2358">
      <w:pPr>
        <w:spacing w:before="120" w:after="120" w:line="360" w:lineRule="auto"/>
        <w:ind w:left="1416" w:hanging="566"/>
        <w:rPr>
          <w:b/>
          <w:szCs w:val="24"/>
          <w:lang w:eastAsia="en-US"/>
        </w:rPr>
      </w:pPr>
      <w:r w:rsidRPr="001C2358">
        <w:rPr>
          <w:b/>
          <w:i/>
          <w:szCs w:val="24"/>
          <w:lang w:eastAsia="en-US"/>
        </w:rPr>
        <w:t>e)</w:t>
      </w:r>
      <w:r w:rsidRPr="001C2358">
        <w:rPr>
          <w:szCs w:val="24"/>
          <w:lang w:eastAsia="en-US"/>
        </w:rPr>
        <w:tab/>
      </w:r>
      <w:r w:rsidRPr="001C2358">
        <w:rPr>
          <w:b/>
          <w:i/>
          <w:szCs w:val="24"/>
          <w:lang w:eastAsia="en-US"/>
        </w:rPr>
        <w:t>„kritisch geschädigte Böden“ für Böden mit eindeutigen Hinweisen auf negative Auswirkungen von mehr als einem Schädigungsfaktor;</w:t>
      </w:r>
      <w:r>
        <w:rPr>
          <w:b/>
          <w:szCs w:val="24"/>
          <w:lang w:eastAsia="en-US"/>
        </w:rPr>
        <w:t xml:space="preserve"> [Abänd. 46]</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1b.</w:t>
      </w:r>
      <w:r w:rsidRPr="001C2358">
        <w:rPr>
          <w:szCs w:val="24"/>
          <w:lang w:eastAsia="en-US"/>
        </w:rPr>
        <w:tab/>
      </w:r>
      <w:r w:rsidRPr="001C2358">
        <w:rPr>
          <w:b/>
          <w:i/>
          <w:szCs w:val="24"/>
          <w:lang w:eastAsia="en-US"/>
        </w:rPr>
        <w:t>„ökologische Bodenfunktionen“ die Gesamtheit miteinander verbundener Prozesse und Wechselwirkungen innerhalb des Ökosystems des Bodens, die das Leben erhalten, die biologische Vielfalt des Bodens unterstützen und deren Ergebnis sind und die allgemeine Gesundheit und Produktivität der terrestrischen Umwelt erhalten, z. B. Nährstoffkreislauf, Zersetzung organischer Substanzen, Bildung der Bodenstruktur, Wasserfilterung und -reinigung, Kohlenstoffbindung und Bereitstellung von Lebensräumen und Ressourcen für eine Vielzahl von Organismen;</w:t>
      </w:r>
      <w:r>
        <w:rPr>
          <w:b/>
          <w:szCs w:val="24"/>
          <w:lang w:eastAsia="en-US"/>
        </w:rPr>
        <w:t xml:space="preserve"> [Abänd. 47]</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„Ökosystem“ ein komplexes dynamisches Wirkungsgefüge von Pflanzen-, Tier- und Mikroorganismengemeinschaften und ihrer abiotischen Umwelt, die eine funktionelle Einheit bilden;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3.</w:t>
      </w:r>
      <w:r w:rsidRPr="001C2358">
        <w:rPr>
          <w:szCs w:val="24"/>
          <w:lang w:eastAsia="en-US"/>
        </w:rPr>
        <w:tab/>
        <w:t>„</w:t>
      </w:r>
      <w:r w:rsidRPr="001C2358">
        <w:rPr>
          <w:strike/>
          <w:szCs w:val="24"/>
          <w:lang w:eastAsia="en-US"/>
        </w:rPr>
        <w:t>Ökosystemleistungen</w:t>
      </w:r>
      <w:r w:rsidRPr="001C2358">
        <w:rPr>
          <w:b/>
          <w:i/>
          <w:szCs w:val="24"/>
          <w:lang w:eastAsia="en-US"/>
        </w:rPr>
        <w:t>Ökosystemdienstleistungen</w:t>
      </w:r>
      <w:r w:rsidRPr="001C2358">
        <w:rPr>
          <w:szCs w:val="24"/>
          <w:lang w:eastAsia="en-US"/>
        </w:rPr>
        <w:t>“ die</w:t>
      </w:r>
      <w:r w:rsidRPr="001C2358">
        <w:rPr>
          <w:b/>
          <w:i/>
          <w:szCs w:val="24"/>
          <w:lang w:eastAsia="en-US"/>
        </w:rPr>
        <w:t xml:space="preserve"> direkten und</w:t>
      </w:r>
      <w:r w:rsidRPr="001C2358">
        <w:rPr>
          <w:szCs w:val="24"/>
          <w:lang w:eastAsia="en-US"/>
        </w:rPr>
        <w:t xml:space="preserve"> indirekten Beiträge von Ökosystemen</w:t>
      </w:r>
      <w:r w:rsidRPr="001C2358">
        <w:rPr>
          <w:b/>
          <w:i/>
          <w:szCs w:val="24"/>
          <w:lang w:eastAsia="en-US"/>
        </w:rPr>
        <w:t xml:space="preserve"> zum Gemeinwohl und</w:t>
      </w:r>
      <w:r w:rsidRPr="001C2358">
        <w:rPr>
          <w:szCs w:val="24"/>
          <w:lang w:eastAsia="en-US"/>
        </w:rPr>
        <w:t xml:space="preserve"> zu den wirtschaftlichen, sozialen, kulturellen</w:t>
      </w:r>
      <w:r w:rsidRPr="001C2358">
        <w:rPr>
          <w:b/>
          <w:i/>
          <w:szCs w:val="24"/>
          <w:lang w:eastAsia="en-US"/>
        </w:rPr>
        <w:t>, umweltbezogenen</w:t>
      </w:r>
      <w:r w:rsidRPr="001C2358">
        <w:rPr>
          <w:szCs w:val="24"/>
          <w:lang w:eastAsia="en-US"/>
        </w:rPr>
        <w:t xml:space="preserve"> und sonstigen Vorteilen, die Menschen aus diesen Ökosystemen ziehen;</w:t>
      </w:r>
      <w:r>
        <w:rPr>
          <w:b/>
          <w:szCs w:val="24"/>
          <w:lang w:eastAsia="en-US"/>
        </w:rPr>
        <w:t xml:space="preserve"> [Abänd. 48]</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3a.</w:t>
      </w:r>
      <w:r w:rsidRPr="001C2358">
        <w:rPr>
          <w:szCs w:val="24"/>
          <w:lang w:eastAsia="en-US"/>
        </w:rPr>
        <w:tab/>
      </w:r>
      <w:r w:rsidRPr="001C2358">
        <w:rPr>
          <w:b/>
          <w:i/>
          <w:szCs w:val="24"/>
          <w:lang w:eastAsia="en-US"/>
        </w:rPr>
        <w:t>„Biodiversität des Bodens“ die Veränderung des Bodenlebens, von Genen bis zu Gemeinschaften, und die ökologischen Komplexe, zu denen sie gehören, d. h. von Bodenmikrohabitaten bis zu Landschaften;</w:t>
      </w:r>
      <w:r>
        <w:rPr>
          <w:b/>
          <w:szCs w:val="24"/>
          <w:lang w:eastAsia="en-US"/>
        </w:rPr>
        <w:t xml:space="preserve"> [Abänd. 49]</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4.</w:t>
      </w:r>
      <w:r w:rsidRPr="001C2358">
        <w:rPr>
          <w:szCs w:val="24"/>
          <w:lang w:eastAsia="en-US"/>
        </w:rPr>
        <w:tab/>
        <w:t>„Bodengesundheit“</w:t>
      </w:r>
      <w:r w:rsidRPr="001C2358">
        <w:rPr>
          <w:b/>
          <w:i/>
          <w:szCs w:val="24"/>
          <w:lang w:eastAsia="en-US"/>
        </w:rPr>
        <w:t xml:space="preserve"> unter Berücksichtigung der Landnutzung</w:t>
      </w:r>
      <w:r w:rsidRPr="001C2358">
        <w:rPr>
          <w:szCs w:val="24"/>
          <w:lang w:eastAsia="en-US"/>
        </w:rPr>
        <w:t xml:space="preserve"> den physikalischen, chemischen</w:t>
      </w:r>
      <w:r w:rsidRPr="001C2358">
        <w:rPr>
          <w:b/>
          <w:i/>
          <w:szCs w:val="24"/>
          <w:lang w:eastAsia="en-US"/>
        </w:rPr>
        <w:t>, funktionalen</w:t>
      </w:r>
      <w:r w:rsidRPr="001C2358">
        <w:rPr>
          <w:szCs w:val="24"/>
          <w:lang w:eastAsia="en-US"/>
        </w:rPr>
        <w:t xml:space="preserve"> und biologischen Zustand des Bodens und die sich daraus ergebende Fähigkeit des Bodens, als lebenswichtiges Ökosystem zu funktionieren und Ökosystemleistungen zu erbringen;</w:t>
      </w:r>
      <w:r>
        <w:rPr>
          <w:b/>
          <w:szCs w:val="24"/>
          <w:lang w:eastAsia="en-US"/>
        </w:rPr>
        <w:t xml:space="preserve"> [Abänd. 50]</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5.</w:t>
      </w:r>
      <w:r w:rsidRPr="001C2358">
        <w:rPr>
          <w:szCs w:val="24"/>
          <w:lang w:eastAsia="en-US"/>
        </w:rPr>
        <w:tab/>
        <w:t xml:space="preserve">„nachhaltige Bodenbewirtschaftung“ Bodenbewirtschaftungspraktiken, die </w:t>
      </w:r>
      <w:r w:rsidRPr="001C2358">
        <w:rPr>
          <w:b/>
          <w:i/>
          <w:szCs w:val="24"/>
          <w:lang w:eastAsia="en-US"/>
        </w:rPr>
        <w:t xml:space="preserve">darauf abzielen, </w:t>
      </w:r>
      <w:r w:rsidRPr="001C2358">
        <w:rPr>
          <w:szCs w:val="24"/>
          <w:lang w:eastAsia="en-US"/>
        </w:rPr>
        <w:t xml:space="preserve">die Ökosystemleistungen des Bodens </w:t>
      </w:r>
      <w:r w:rsidRPr="001C2358">
        <w:rPr>
          <w:b/>
          <w:i/>
          <w:szCs w:val="24"/>
          <w:lang w:eastAsia="en-US"/>
        </w:rPr>
        <w:t xml:space="preserve">zu </w:t>
      </w:r>
      <w:r w:rsidRPr="001C2358">
        <w:rPr>
          <w:szCs w:val="24"/>
          <w:lang w:eastAsia="en-US"/>
        </w:rPr>
        <w:t xml:space="preserve">erhalten oder </w:t>
      </w:r>
      <w:r w:rsidRPr="001C2358">
        <w:rPr>
          <w:b/>
          <w:i/>
          <w:szCs w:val="24"/>
          <w:lang w:eastAsia="en-US"/>
        </w:rPr>
        <w:t xml:space="preserve">zu </w:t>
      </w:r>
      <w:r w:rsidRPr="001C2358">
        <w:rPr>
          <w:szCs w:val="24"/>
          <w:lang w:eastAsia="en-US"/>
        </w:rPr>
        <w:t xml:space="preserve">verbessern, </w:t>
      </w:r>
      <w:r w:rsidRPr="001C2358">
        <w:rPr>
          <w:strike/>
          <w:szCs w:val="24"/>
          <w:lang w:eastAsia="en-US"/>
        </w:rPr>
        <w:t>ohne die Funktionen zu beeinträchtigen, die diese Leistungen ermöglichen, oder sich schädlich auf andere Umwelteigenschaften auszuwirken</w:t>
      </w:r>
      <w:r w:rsidRPr="001C2358">
        <w:rPr>
          <w:b/>
          <w:i/>
          <w:szCs w:val="24"/>
          <w:lang w:eastAsia="en-US"/>
        </w:rPr>
        <w:t>wobei die sozioökonomischen Auswirkungen berücksichtigt werden</w:t>
      </w:r>
      <w:r w:rsidRPr="001C2358">
        <w:rPr>
          <w:szCs w:val="24"/>
          <w:lang w:eastAsia="en-US"/>
        </w:rPr>
        <w:t>;</w:t>
      </w:r>
      <w:r>
        <w:rPr>
          <w:b/>
          <w:szCs w:val="24"/>
          <w:lang w:eastAsia="en-US"/>
        </w:rPr>
        <w:t xml:space="preserve"> [Abänd. 247]</w:t>
      </w:r>
    </w:p>
    <w:p w:rsidR="001C2358" w:rsidRPr="001C2358" w:rsidRDefault="001C2358" w:rsidP="001C2358">
      <w:pPr>
        <w:spacing w:before="120" w:after="120" w:line="360" w:lineRule="auto"/>
        <w:ind w:left="850" w:hanging="850"/>
        <w:rPr>
          <w:szCs w:val="24"/>
          <w:lang w:eastAsia="en-US"/>
        </w:rPr>
      </w:pPr>
      <w:r w:rsidRPr="001C2358">
        <w:rPr>
          <w:szCs w:val="24"/>
          <w:lang w:eastAsia="en-US"/>
        </w:rPr>
        <w:t>6.</w:t>
      </w:r>
      <w:r w:rsidRPr="001C2358">
        <w:rPr>
          <w:szCs w:val="24"/>
          <w:lang w:eastAsia="en-US"/>
        </w:rPr>
        <w:tab/>
        <w:t>„Bodenbewirtschaftungspraktiken“ Praktiken, die sich auf die physikalischen, chemischen oder biologischen Eigenschaften des Bodens auswirken;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7.</w:t>
      </w:r>
      <w:r w:rsidRPr="001C2358">
        <w:rPr>
          <w:szCs w:val="24"/>
          <w:lang w:eastAsia="en-US"/>
        </w:rPr>
        <w:tab/>
        <w:t>„bewirtschaftete Böden“ Böden, für die Bodenbewirtschaftungspraktiken durchgeführt werden;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8.</w:t>
      </w:r>
      <w:r w:rsidRPr="001C2358">
        <w:rPr>
          <w:szCs w:val="24"/>
          <w:lang w:eastAsia="en-US"/>
        </w:rPr>
        <w:tab/>
        <w:t>„Bodenbezirk“ einen Teil des Hoheitsgebiets eines Mitgliedstaats</w:t>
      </w:r>
      <w:r w:rsidRPr="001C2358">
        <w:rPr>
          <w:b/>
          <w:i/>
          <w:szCs w:val="24"/>
          <w:lang w:eastAsia="en-US"/>
        </w:rPr>
        <w:t xml:space="preserve"> oder mehrerer Mitgliedstaaten</w:t>
      </w:r>
      <w:r w:rsidRPr="001C2358">
        <w:rPr>
          <w:szCs w:val="24"/>
          <w:lang w:eastAsia="en-US"/>
        </w:rPr>
        <w:t>, den dieser</w:t>
      </w:r>
      <w:r w:rsidRPr="001C2358">
        <w:rPr>
          <w:b/>
          <w:i/>
          <w:szCs w:val="24"/>
          <w:lang w:eastAsia="en-US"/>
        </w:rPr>
        <w:t xml:space="preserve"> Mitgliedstaat bzw. diese Mitgliedstaaten</w:t>
      </w:r>
      <w:r w:rsidRPr="001C2358">
        <w:rPr>
          <w:szCs w:val="24"/>
          <w:lang w:eastAsia="en-US"/>
        </w:rPr>
        <w:t xml:space="preserve"> im Einklang mit dieser Richtlinie abgegrenzt hat</w:t>
      </w:r>
      <w:r w:rsidRPr="001C2358">
        <w:rPr>
          <w:b/>
          <w:i/>
          <w:szCs w:val="24"/>
          <w:lang w:eastAsia="en-US"/>
        </w:rPr>
        <w:t xml:space="preserve"> bzw. haben</w:t>
      </w:r>
      <w:r w:rsidRPr="001C2358">
        <w:rPr>
          <w:szCs w:val="24"/>
          <w:lang w:eastAsia="en-US"/>
        </w:rPr>
        <w:t>;</w:t>
      </w:r>
      <w:r>
        <w:rPr>
          <w:b/>
          <w:szCs w:val="24"/>
          <w:lang w:eastAsia="en-US"/>
        </w:rPr>
        <w:t xml:space="preserve"> [Abänd. 52]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9.</w:t>
      </w:r>
      <w:r w:rsidRPr="001C2358">
        <w:rPr>
          <w:szCs w:val="24"/>
          <w:lang w:eastAsia="en-US"/>
        </w:rPr>
        <w:tab/>
        <w:t>„Bewertung der Bodengesundheit“ die Evaluierung der Bodengesundheit auf der Grundlage von Messungen oder Schätzungen von Bodendeskriptoren;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10.</w:t>
      </w:r>
      <w:r w:rsidRPr="001C2358">
        <w:rPr>
          <w:szCs w:val="24"/>
          <w:lang w:eastAsia="en-US"/>
        </w:rPr>
        <w:tab/>
        <w:t xml:space="preserve">„kontaminierter Standort“ eine abgegrenzte Fläche einer oder mehrerer Parzellen, auf der Bodenkontamination aufgrund </w:t>
      </w:r>
      <w:r w:rsidRPr="001C2358">
        <w:rPr>
          <w:strike/>
          <w:szCs w:val="24"/>
          <w:lang w:eastAsia="en-US"/>
        </w:rPr>
        <w:t>punktueller anthropogener Tätigkeiten</w:t>
      </w:r>
      <w:r w:rsidRPr="001C2358">
        <w:rPr>
          <w:szCs w:val="24"/>
          <w:lang w:eastAsia="en-US"/>
        </w:rPr>
        <w:t xml:space="preserve"> </w:t>
      </w:r>
      <w:r w:rsidRPr="001C2358">
        <w:rPr>
          <w:b/>
          <w:bCs/>
          <w:i/>
          <w:iCs/>
          <w:szCs w:val="24"/>
          <w:shd w:val="clear" w:color="auto" w:fill="FFFFFF"/>
        </w:rPr>
        <w:t>eines Stoffes oder Materials im Boden in einer Konzentration</w:t>
      </w:r>
      <w:r>
        <w:rPr>
          <w:rFonts w:ascii="Arial" w:hAnsi="Arial" w:cs="Arial"/>
          <w:b/>
          <w:bCs/>
          <w:i/>
          <w:iCs/>
          <w:color w:val="666666"/>
          <w:sz w:val="18"/>
          <w:szCs w:val="18"/>
          <w:shd w:val="clear" w:color="auto" w:fill="FFFFFF"/>
        </w:rPr>
        <w:t xml:space="preserve"> </w:t>
      </w:r>
      <w:r w:rsidRPr="001C2358">
        <w:rPr>
          <w:szCs w:val="24"/>
          <w:lang w:eastAsia="en-US"/>
        </w:rPr>
        <w:t>nachgewiesen wurde</w:t>
      </w:r>
      <w:r w:rsidRPr="001C2358">
        <w:rPr>
          <w:b/>
          <w:i/>
          <w:szCs w:val="24"/>
          <w:lang w:eastAsia="en-US"/>
        </w:rPr>
        <w:t>, die für die menschliche Gesundheit oder die Umwelt schädlich sein kann</w:t>
      </w:r>
      <w:r w:rsidRPr="001C2358">
        <w:rPr>
          <w:szCs w:val="24"/>
          <w:lang w:eastAsia="en-US"/>
        </w:rPr>
        <w:t>;</w:t>
      </w:r>
      <w:r>
        <w:rPr>
          <w:b/>
          <w:szCs w:val="24"/>
          <w:lang w:eastAsia="en-US"/>
        </w:rPr>
        <w:t xml:space="preserve"> [Abänd. 53]</w:t>
      </w:r>
    </w:p>
    <w:p w:rsidR="001C2358" w:rsidRPr="001C2358" w:rsidRDefault="001C2358" w:rsidP="001C2358">
      <w:pPr>
        <w:spacing w:before="120" w:after="120" w:line="360" w:lineRule="auto"/>
        <w:ind w:left="850" w:hanging="850"/>
        <w:rPr>
          <w:szCs w:val="24"/>
          <w:lang w:eastAsia="en-US"/>
        </w:rPr>
      </w:pPr>
      <w:r w:rsidRPr="001C2358">
        <w:rPr>
          <w:szCs w:val="24"/>
          <w:lang w:eastAsia="en-US"/>
        </w:rPr>
        <w:t>11.</w:t>
      </w:r>
      <w:r w:rsidRPr="001C2358">
        <w:rPr>
          <w:szCs w:val="24"/>
          <w:lang w:eastAsia="en-US"/>
        </w:rPr>
        <w:tab/>
        <w:t>„Bodendeskriptor“ einen Parameter, der ein physikalisches, chemisches oder biologisches Merkmal der Bodengesundheit beschreibt;</w:t>
      </w:r>
    </w:p>
    <w:p w:rsidR="001C2358" w:rsidRPr="001C2358" w:rsidRDefault="001C2358" w:rsidP="001C2358">
      <w:pPr>
        <w:spacing w:before="120" w:after="120" w:line="360" w:lineRule="auto"/>
        <w:ind w:left="850" w:hanging="850"/>
        <w:rPr>
          <w:szCs w:val="24"/>
          <w:lang w:eastAsia="en-US"/>
        </w:rPr>
      </w:pPr>
      <w:r w:rsidRPr="001C2358">
        <w:rPr>
          <w:szCs w:val="24"/>
          <w:lang w:eastAsia="en-US"/>
        </w:rPr>
        <w:t>12.</w:t>
      </w:r>
      <w:r w:rsidRPr="001C2358">
        <w:rPr>
          <w:szCs w:val="24"/>
          <w:lang w:eastAsia="en-US"/>
        </w:rPr>
        <w:tab/>
        <w:t>„Land“ die Erdoberfläche, die nicht von Wasser bedeckt ist;</w:t>
      </w:r>
    </w:p>
    <w:p w:rsidR="001C2358" w:rsidRPr="001C2358" w:rsidRDefault="001C2358" w:rsidP="001C2358">
      <w:pPr>
        <w:spacing w:before="120" w:after="120" w:line="360" w:lineRule="auto"/>
        <w:ind w:left="850" w:hanging="850"/>
        <w:rPr>
          <w:szCs w:val="24"/>
          <w:lang w:eastAsia="en-US"/>
        </w:rPr>
      </w:pPr>
      <w:r w:rsidRPr="001C2358">
        <w:rPr>
          <w:szCs w:val="24"/>
          <w:lang w:eastAsia="en-US"/>
        </w:rPr>
        <w:t>13.</w:t>
      </w:r>
      <w:r w:rsidRPr="001C2358">
        <w:rPr>
          <w:szCs w:val="24"/>
          <w:lang w:eastAsia="en-US"/>
        </w:rPr>
        <w:tab/>
        <w:t>„Bodenbedeckung“ die physikalische und biologische Bedeckung der Erdoberfläche;</w:t>
      </w:r>
    </w:p>
    <w:p w:rsidR="001C2358" w:rsidRPr="001C2358" w:rsidRDefault="001C2358" w:rsidP="001C2358">
      <w:pPr>
        <w:spacing w:before="120" w:after="120" w:line="360" w:lineRule="auto"/>
        <w:ind w:left="850" w:hanging="850"/>
        <w:rPr>
          <w:szCs w:val="24"/>
          <w:lang w:eastAsia="en-US"/>
        </w:rPr>
      </w:pPr>
      <w:r w:rsidRPr="001C2358">
        <w:rPr>
          <w:szCs w:val="24"/>
          <w:lang w:eastAsia="en-US"/>
        </w:rPr>
        <w:t>14.</w:t>
      </w:r>
      <w:r w:rsidRPr="001C2358">
        <w:rPr>
          <w:szCs w:val="24"/>
          <w:lang w:eastAsia="en-US"/>
        </w:rPr>
        <w:tab/>
        <w:t>„natürliche Fläche“ ein Gebiet, in dem menschliche Aktivitäten die primären ökologischen Funktionen und die Artenzusammensetzung nicht wesentlich verändert haben;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15.</w:t>
      </w:r>
      <w:r w:rsidRPr="001C2358">
        <w:rPr>
          <w:szCs w:val="24"/>
          <w:lang w:eastAsia="en-US"/>
        </w:rPr>
        <w:tab/>
        <w:t>„naturnahe Fläche“ ein Gebiet, in dem menschliche Tätigkeiten ökologische Gefüge in ihrer Zusammensetzung, ihrem Gleichgewicht oder ihrer Funktion wesentlich verändert haben, diese aber in Bezug auf die biologische Vielfalt und die von ihnen erbrachten Ökosystemleistungen weiterhin einen potenziell hohen Wert haben;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16.</w:t>
      </w:r>
      <w:r w:rsidRPr="001C2358">
        <w:rPr>
          <w:szCs w:val="24"/>
          <w:lang w:eastAsia="en-US"/>
        </w:rPr>
        <w:tab/>
        <w:t>„künstlich angelegte Fläche“ eine bebaute oder für Infrastruktur genutzte Fläche oder eine Fläche, die als direkte Rohstoffquelle dient oder historisches Erbe beherbergt, sodass die Böden keine anderen Ökosystemleistungen erbringen können;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17.</w:t>
      </w:r>
      <w:r w:rsidRPr="001C2358">
        <w:rPr>
          <w:szCs w:val="24"/>
          <w:lang w:eastAsia="en-US"/>
        </w:rPr>
        <w:tab/>
        <w:t>„Flächenverbrauch“ die Umwandlung natürlicher und naturnaher Flächen in künstlich angelegte Flächen;</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17a.</w:t>
      </w:r>
      <w:r w:rsidRPr="001C2358">
        <w:rPr>
          <w:szCs w:val="24"/>
          <w:lang w:eastAsia="en-US"/>
        </w:rPr>
        <w:tab/>
      </w:r>
      <w:r w:rsidRPr="001C2358">
        <w:rPr>
          <w:b/>
          <w:i/>
          <w:szCs w:val="24"/>
          <w:lang w:eastAsia="en-US"/>
        </w:rPr>
        <w:t>„Bodenversiegelung“ die Bedeckung von Flächen mit undurchlässigem Material, insbesondere im Zusammenhang mit der Nutzung der Fläche als Plattform für Gebäude und Infrastruktur;</w:t>
      </w:r>
      <w:r>
        <w:rPr>
          <w:b/>
          <w:szCs w:val="24"/>
          <w:lang w:eastAsia="en-US"/>
        </w:rPr>
        <w:t xml:space="preserve"> [Abänd. 54]</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17b.</w:t>
      </w:r>
      <w:r w:rsidRPr="001C2358">
        <w:rPr>
          <w:szCs w:val="24"/>
          <w:lang w:eastAsia="en-US"/>
        </w:rPr>
        <w:tab/>
      </w:r>
      <w:r w:rsidRPr="001C2358">
        <w:rPr>
          <w:b/>
          <w:i/>
          <w:szCs w:val="24"/>
          <w:lang w:eastAsia="en-US"/>
        </w:rPr>
        <w:t>„Bodenentsiegelung“ die Umwandlung von Flächen, die ihre natürlichen Bodenfunktionen, z. B. Infiltration, Versickerung und hydrologische Funktion, nicht mehr erfüllen, in funktionsfähigen Boden;</w:t>
      </w:r>
      <w:r>
        <w:rPr>
          <w:b/>
          <w:szCs w:val="24"/>
          <w:lang w:eastAsia="en-US"/>
        </w:rPr>
        <w:t xml:space="preserve"> [Abänd. 55]</w:t>
      </w:r>
    </w:p>
    <w:p w:rsidR="001C2358" w:rsidRPr="001C2358" w:rsidRDefault="001C2358" w:rsidP="001C2358">
      <w:pPr>
        <w:spacing w:before="120" w:after="120" w:line="360" w:lineRule="auto"/>
        <w:ind w:left="850" w:hanging="850"/>
        <w:rPr>
          <w:szCs w:val="24"/>
          <w:lang w:eastAsia="en-US"/>
        </w:rPr>
      </w:pPr>
      <w:r w:rsidRPr="001C2358">
        <w:rPr>
          <w:szCs w:val="24"/>
          <w:lang w:eastAsia="en-US"/>
        </w:rPr>
        <w:t>18.</w:t>
      </w:r>
      <w:r w:rsidRPr="001C2358">
        <w:rPr>
          <w:szCs w:val="24"/>
          <w:lang w:eastAsia="en-US"/>
        </w:rPr>
        <w:tab/>
        <w:t>„Übertragungsfunktion“ eine mathematische Regel, mit der der Wert einer Messung, die mit einer von der Referenzmethode abweichenden Methode durchgeführt wurde, in den Wert umgewandelt werden kann, der sich aus einer Messung nach der Referenzmethode ergeben würde;</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19.</w:t>
      </w:r>
      <w:r w:rsidRPr="001C2358">
        <w:rPr>
          <w:szCs w:val="24"/>
          <w:lang w:eastAsia="en-US"/>
        </w:rPr>
        <w:tab/>
        <w:t xml:space="preserve">„betroffene Öffentlichkeit“ die von der Bodendegradation betroffene oder wahrscheinlich betroffene Öffentlichkeit oder die Öffentlichkeit mit einem Interesse an den Entscheidungsverfahren im Zusammenhang mit der Umsetzung der Verpflichtungen aus dieser Richtlinie, einschließlich </w:t>
      </w:r>
      <w:r w:rsidRPr="001C2358">
        <w:rPr>
          <w:b/>
          <w:i/>
          <w:szCs w:val="24"/>
          <w:lang w:eastAsia="en-US"/>
        </w:rPr>
        <w:t xml:space="preserve">Bürger, </w:t>
      </w:r>
      <w:r w:rsidRPr="001C2358">
        <w:rPr>
          <w:szCs w:val="24"/>
          <w:lang w:eastAsia="en-US"/>
        </w:rPr>
        <w:t>Landbesitzer</w:t>
      </w:r>
      <w:r w:rsidRPr="001C2358">
        <w:rPr>
          <w:b/>
          <w:i/>
          <w:szCs w:val="24"/>
          <w:lang w:eastAsia="en-US"/>
        </w:rPr>
        <w:t>, Landbewirtschafter</w:t>
      </w:r>
      <w:r w:rsidRPr="001C2358">
        <w:rPr>
          <w:szCs w:val="24"/>
          <w:lang w:eastAsia="en-US"/>
        </w:rPr>
        <w:t xml:space="preserve"> und Landnutzer sowie </w:t>
      </w:r>
      <w:r w:rsidRPr="001C2358">
        <w:rPr>
          <w:strike/>
          <w:szCs w:val="24"/>
          <w:lang w:eastAsia="en-US"/>
        </w:rPr>
        <w:t>Nichtregierungsorganisationen</w:t>
      </w:r>
      <w:r w:rsidRPr="001C2358">
        <w:rPr>
          <w:b/>
          <w:i/>
          <w:szCs w:val="24"/>
          <w:lang w:eastAsia="en-US"/>
        </w:rPr>
        <w:t>nichtstaatliche Organisationen</w:t>
      </w:r>
      <w:r w:rsidRPr="001C2358">
        <w:rPr>
          <w:szCs w:val="24"/>
          <w:lang w:eastAsia="en-US"/>
        </w:rPr>
        <w:t xml:space="preserve">, die sich für den Schutz der </w:t>
      </w:r>
      <w:r w:rsidRPr="001C2358">
        <w:rPr>
          <w:strike/>
          <w:szCs w:val="24"/>
          <w:lang w:eastAsia="en-US"/>
        </w:rPr>
        <w:t xml:space="preserve">menschlichen </w:t>
      </w:r>
      <w:r w:rsidRPr="001C2358">
        <w:rPr>
          <w:szCs w:val="24"/>
          <w:lang w:eastAsia="en-US"/>
        </w:rPr>
        <w:t>Gesundheit</w:t>
      </w:r>
      <w:r w:rsidRPr="001C2358">
        <w:rPr>
          <w:b/>
          <w:i/>
          <w:szCs w:val="24"/>
          <w:lang w:eastAsia="en-US"/>
        </w:rPr>
        <w:t xml:space="preserve"> von Mensch oder Tier</w:t>
      </w:r>
      <w:r w:rsidRPr="001C2358">
        <w:rPr>
          <w:szCs w:val="24"/>
          <w:lang w:eastAsia="en-US"/>
        </w:rPr>
        <w:t xml:space="preserve"> oder der Umwelt einsetzen und alle Anforderungen des nationalen Rechts erfüllen;</w:t>
      </w:r>
      <w:r>
        <w:rPr>
          <w:b/>
          <w:szCs w:val="24"/>
          <w:lang w:eastAsia="en-US"/>
        </w:rPr>
        <w:t xml:space="preserve"> [Abänd. 56]</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19a.</w:t>
      </w:r>
      <w:r w:rsidRPr="001C2358">
        <w:rPr>
          <w:szCs w:val="24"/>
          <w:lang w:eastAsia="en-US"/>
        </w:rPr>
        <w:tab/>
      </w:r>
      <w:r w:rsidRPr="001C2358">
        <w:rPr>
          <w:b/>
          <w:i/>
          <w:szCs w:val="24"/>
          <w:lang w:eastAsia="en-US"/>
        </w:rPr>
        <w:t>„Öffentlichkeit“ bezeichnet eine oder mehrere natürliche oder juristische Personen und, in Übereinstimmung mit den innerstaatlichen Rechtsvorschriften oder der innerstaatlichen Praxis, Vereinigungen, Organisationen oder Gruppen, die sich aus diesen Personen zusammensetzen;</w:t>
      </w:r>
      <w:r>
        <w:rPr>
          <w:b/>
          <w:szCs w:val="24"/>
          <w:lang w:eastAsia="en-US"/>
        </w:rPr>
        <w:t xml:space="preserve"> [Abänd. 57]</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20.</w:t>
      </w:r>
      <w:r w:rsidRPr="001C2358">
        <w:rPr>
          <w:szCs w:val="24"/>
          <w:lang w:eastAsia="en-US"/>
        </w:rPr>
        <w:tab/>
        <w:t xml:space="preserve">„Bodenkontamination“ das Vorhandensein </w:t>
      </w:r>
      <w:r w:rsidRPr="001C2358">
        <w:rPr>
          <w:strike/>
          <w:szCs w:val="24"/>
          <w:lang w:eastAsia="en-US"/>
        </w:rPr>
        <w:t xml:space="preserve">einer Chemikalie oder </w:t>
      </w:r>
      <w:r w:rsidRPr="001C2358">
        <w:rPr>
          <w:szCs w:val="24"/>
          <w:lang w:eastAsia="en-US"/>
        </w:rPr>
        <w:t>eines Stoffes</w:t>
      </w:r>
      <w:r w:rsidRPr="001C2358">
        <w:rPr>
          <w:b/>
          <w:i/>
          <w:szCs w:val="24"/>
          <w:lang w:eastAsia="en-US"/>
        </w:rPr>
        <w:t xml:space="preserve"> oder Materials</w:t>
      </w:r>
      <w:r w:rsidRPr="001C2358">
        <w:rPr>
          <w:szCs w:val="24"/>
          <w:lang w:eastAsia="en-US"/>
        </w:rPr>
        <w:t xml:space="preserve"> im Boden in einer Konzentration, die </w:t>
      </w:r>
      <w:r w:rsidRPr="001C2358">
        <w:rPr>
          <w:strike/>
          <w:szCs w:val="24"/>
          <w:lang w:eastAsia="en-US"/>
        </w:rPr>
        <w:t>für die menschliche</w:t>
      </w:r>
      <w:r w:rsidRPr="001C2358">
        <w:rPr>
          <w:b/>
          <w:i/>
          <w:szCs w:val="24"/>
          <w:lang w:eastAsia="en-US"/>
        </w:rPr>
        <w:t>direkt oder indirekt zu schädlichen Auswirkungen auf die</w:t>
      </w:r>
      <w:r w:rsidRPr="001C2358">
        <w:rPr>
          <w:szCs w:val="24"/>
          <w:lang w:eastAsia="en-US"/>
        </w:rPr>
        <w:t xml:space="preserve"> Gesundheit</w:t>
      </w:r>
      <w:r w:rsidRPr="001C2358">
        <w:rPr>
          <w:b/>
          <w:i/>
          <w:szCs w:val="24"/>
          <w:lang w:eastAsia="en-US"/>
        </w:rPr>
        <w:t xml:space="preserve"> von Mensch oder Tier</w:t>
      </w:r>
      <w:r w:rsidRPr="001C2358">
        <w:rPr>
          <w:szCs w:val="24"/>
          <w:lang w:eastAsia="en-US"/>
        </w:rPr>
        <w:t xml:space="preserve"> oder die Umwelt </w:t>
      </w:r>
      <w:r w:rsidRPr="001C2358">
        <w:rPr>
          <w:strike/>
          <w:szCs w:val="24"/>
          <w:lang w:eastAsia="en-US"/>
        </w:rPr>
        <w:t>schädlich sein</w:t>
      </w:r>
      <w:r w:rsidRPr="001C2358">
        <w:rPr>
          <w:b/>
          <w:i/>
          <w:szCs w:val="24"/>
          <w:lang w:eastAsia="en-US"/>
        </w:rPr>
        <w:t>führen</w:t>
      </w:r>
      <w:r w:rsidRPr="001C2358">
        <w:rPr>
          <w:szCs w:val="24"/>
          <w:lang w:eastAsia="en-US"/>
        </w:rPr>
        <w:t xml:space="preserve"> kann;</w:t>
      </w:r>
      <w:r>
        <w:rPr>
          <w:b/>
          <w:szCs w:val="24"/>
          <w:lang w:eastAsia="en-US"/>
        </w:rPr>
        <w:t xml:space="preserve"> [Abänd. 58]</w:t>
      </w:r>
    </w:p>
    <w:p w:rsidR="001C2358" w:rsidRPr="001C2358" w:rsidRDefault="001C2358" w:rsidP="001C2358">
      <w:pPr>
        <w:spacing w:before="120" w:after="120" w:line="360" w:lineRule="auto"/>
        <w:ind w:left="850" w:hanging="850"/>
        <w:rPr>
          <w:szCs w:val="24"/>
          <w:lang w:eastAsia="en-US"/>
        </w:rPr>
      </w:pPr>
      <w:r w:rsidRPr="001C2358">
        <w:rPr>
          <w:szCs w:val="24"/>
          <w:lang w:eastAsia="en-US"/>
        </w:rPr>
        <w:t>21.</w:t>
      </w:r>
      <w:r w:rsidRPr="001C2358">
        <w:rPr>
          <w:szCs w:val="24"/>
          <w:lang w:eastAsia="en-US"/>
        </w:rPr>
        <w:tab/>
        <w:t>„Kontaminant“ einen Stoff, der Bodenkontamination verursachen kann;</w:t>
      </w:r>
    </w:p>
    <w:p w:rsidR="001C2358" w:rsidRPr="001C2358" w:rsidRDefault="001C2358" w:rsidP="001C2358">
      <w:pPr>
        <w:spacing w:before="120" w:after="120" w:line="360" w:lineRule="auto"/>
        <w:ind w:left="850" w:hanging="850"/>
        <w:rPr>
          <w:szCs w:val="24"/>
          <w:lang w:eastAsia="en-US"/>
        </w:rPr>
      </w:pPr>
      <w:r w:rsidRPr="001C2358">
        <w:rPr>
          <w:szCs w:val="24"/>
          <w:lang w:eastAsia="en-US"/>
        </w:rPr>
        <w:t>22.</w:t>
      </w:r>
      <w:r w:rsidRPr="001C2358">
        <w:rPr>
          <w:szCs w:val="24"/>
          <w:lang w:eastAsia="en-US"/>
        </w:rPr>
        <w:tab/>
        <w:t>„Regenerierung“ eine absichtliche Maßnahme zur Wiederherstellung eines gesunden Zustands für geschädigte Böden;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23.</w:t>
      </w:r>
      <w:r w:rsidRPr="001C2358">
        <w:rPr>
          <w:szCs w:val="24"/>
          <w:lang w:eastAsia="en-US"/>
        </w:rPr>
        <w:tab/>
        <w:t xml:space="preserve">„Risiko“ die Möglichkeit schädlicher Auswirkungen auf die </w:t>
      </w:r>
      <w:r w:rsidRPr="001C2358">
        <w:rPr>
          <w:strike/>
          <w:szCs w:val="24"/>
          <w:lang w:eastAsia="en-US"/>
        </w:rPr>
        <w:t xml:space="preserve">menschliche </w:t>
      </w:r>
      <w:r w:rsidRPr="001C2358">
        <w:rPr>
          <w:szCs w:val="24"/>
          <w:lang w:eastAsia="en-US"/>
        </w:rPr>
        <w:t>Gesundheit</w:t>
      </w:r>
      <w:r w:rsidRPr="001C2358">
        <w:rPr>
          <w:b/>
          <w:i/>
          <w:szCs w:val="24"/>
          <w:lang w:eastAsia="en-US"/>
        </w:rPr>
        <w:t xml:space="preserve"> von Mensch oder Tier</w:t>
      </w:r>
      <w:r w:rsidRPr="001C2358">
        <w:rPr>
          <w:szCs w:val="24"/>
          <w:lang w:eastAsia="en-US"/>
        </w:rPr>
        <w:t xml:space="preserve"> oder die Umwelt infolge der Exposition gegenüber Bodenkontamination;</w:t>
      </w:r>
      <w:r>
        <w:rPr>
          <w:b/>
          <w:szCs w:val="24"/>
          <w:lang w:eastAsia="en-US"/>
        </w:rPr>
        <w:t xml:space="preserve"> [Abänd. 59]</w:t>
      </w:r>
    </w:p>
    <w:p w:rsidR="001C2358" w:rsidRPr="001C2358" w:rsidRDefault="001C2358" w:rsidP="001C2358">
      <w:pPr>
        <w:spacing w:before="120" w:after="120" w:line="360" w:lineRule="auto"/>
        <w:ind w:left="850" w:hanging="850"/>
        <w:rPr>
          <w:szCs w:val="24"/>
          <w:lang w:eastAsia="en-US"/>
        </w:rPr>
      </w:pPr>
      <w:r w:rsidRPr="001C2358">
        <w:rPr>
          <w:szCs w:val="24"/>
          <w:lang w:eastAsia="en-US"/>
        </w:rPr>
        <w:t>24.</w:t>
      </w:r>
      <w:r w:rsidRPr="001C2358">
        <w:rPr>
          <w:szCs w:val="24"/>
          <w:lang w:eastAsia="en-US"/>
        </w:rPr>
        <w:tab/>
        <w:t>„Bodenuntersuchung“ ein Verfahren zur Bewertung des Vorhandenseins und der Konzentration von Kontaminanten im Boden, das in der Regel in verschiedenen Phasen durchgeführt wird;</w:t>
      </w:r>
    </w:p>
    <w:p w:rsidR="001C2358" w:rsidRPr="001C2358" w:rsidRDefault="001C2358" w:rsidP="001C2358">
      <w:pPr>
        <w:spacing w:before="120" w:after="120" w:line="360" w:lineRule="auto"/>
        <w:ind w:left="850" w:hanging="850"/>
        <w:rPr>
          <w:szCs w:val="24"/>
          <w:lang w:eastAsia="en-US"/>
        </w:rPr>
      </w:pPr>
      <w:r w:rsidRPr="001C2358">
        <w:rPr>
          <w:szCs w:val="24"/>
          <w:lang w:eastAsia="en-US"/>
        </w:rPr>
        <w:t>25.</w:t>
      </w:r>
      <w:r w:rsidRPr="001C2358">
        <w:rPr>
          <w:szCs w:val="24"/>
          <w:lang w:eastAsia="en-US"/>
        </w:rPr>
        <w:tab/>
        <w:t>„geografisch explizit“ Daten, die so referenziert und gespeichert werden, dass sie mit spezifischer Genauigkeit und Präzision kartografisch dargestellt und lokalisiert werden können;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26.</w:t>
      </w:r>
      <w:r w:rsidRPr="001C2358">
        <w:rPr>
          <w:szCs w:val="24"/>
          <w:lang w:eastAsia="en-US"/>
        </w:rPr>
        <w:tab/>
        <w:t xml:space="preserve">„Bodensanierung“ eine Regenerierungsmaßnahme, mit der die Konzentration von Kontaminanten im Boden </w:t>
      </w:r>
      <w:r w:rsidRPr="001C2358">
        <w:rPr>
          <w:b/>
          <w:i/>
          <w:szCs w:val="24"/>
          <w:lang w:eastAsia="en-US"/>
        </w:rPr>
        <w:t xml:space="preserve">unter eine Toxizitätsgrenze </w:t>
      </w:r>
      <w:r w:rsidRPr="001C2358">
        <w:rPr>
          <w:szCs w:val="24"/>
          <w:lang w:eastAsia="en-US"/>
        </w:rPr>
        <w:t>verringert, isoliert oder immobilisiert werden</w:t>
      </w:r>
      <w:r w:rsidRPr="001C2358">
        <w:rPr>
          <w:b/>
          <w:i/>
          <w:szCs w:val="24"/>
          <w:lang w:eastAsia="en-US"/>
        </w:rPr>
        <w:t>, bei der eine erhebliche Gefährdung von Organismen, die mit dem Boden in Berührung kommen, ausgeschlossen werden kann, mit dem Ziel, den ökologischen Zustand zu verbessern</w:t>
      </w:r>
      <w:r w:rsidRPr="001C2358">
        <w:rPr>
          <w:szCs w:val="24"/>
          <w:lang w:eastAsia="en-US"/>
        </w:rPr>
        <w:t>.</w:t>
      </w:r>
      <w:r>
        <w:rPr>
          <w:b/>
          <w:szCs w:val="24"/>
          <w:lang w:eastAsia="en-US"/>
        </w:rPr>
        <w:t xml:space="preserve"> [Abänd. 60]</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4</w:t>
      </w:r>
      <w:r w:rsidRPr="001C2358">
        <w:rPr>
          <w:szCs w:val="24"/>
          <w:lang w:eastAsia="en-US"/>
        </w:rPr>
        <w:br/>
        <w:t>Bodenbezirke</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Die Mitgliedstaaten grenzen in </w:t>
      </w:r>
      <w:r w:rsidRPr="001C2358">
        <w:rPr>
          <w:strike/>
          <w:szCs w:val="24"/>
          <w:lang w:eastAsia="en-US"/>
        </w:rPr>
        <w:t>ihrem gesamten Hoheitsgebiet</w:t>
      </w:r>
      <w:r w:rsidRPr="001C2358">
        <w:rPr>
          <w:b/>
          <w:i/>
          <w:szCs w:val="24"/>
          <w:lang w:eastAsia="en-US"/>
        </w:rPr>
        <w:t>Absprache mit den lokalen, regionalen und regionenübergreifenden Behörden</w:t>
      </w:r>
      <w:r w:rsidRPr="001C2358">
        <w:rPr>
          <w:szCs w:val="24"/>
          <w:lang w:eastAsia="en-US"/>
        </w:rPr>
        <w:t xml:space="preserve"> Bodenbezirke ab</w:t>
      </w:r>
      <w:r w:rsidRPr="001C2358">
        <w:rPr>
          <w:b/>
          <w:i/>
          <w:szCs w:val="24"/>
          <w:lang w:eastAsia="en-US"/>
        </w:rPr>
        <w:t>, die sich gegebenenfalls auf bestehende Verwaltungseinheiten in ihrem Hoheitsgebiet und in grenzüberschreitenden Gebieten mit benachbarten Mitgliedstaaten stützen</w:t>
      </w:r>
      <w:r w:rsidRPr="001C2358">
        <w:rPr>
          <w:szCs w:val="24"/>
          <w:lang w:eastAsia="en-US"/>
        </w:rPr>
        <w:t>.</w:t>
      </w:r>
      <w:r>
        <w:rPr>
          <w:b/>
          <w:szCs w:val="24"/>
          <w:lang w:eastAsia="en-US"/>
        </w:rPr>
        <w:t xml:space="preserve"> [Abänd. 61]</w:t>
      </w:r>
    </w:p>
    <w:p w:rsidR="001C2358" w:rsidRPr="001C2358" w:rsidRDefault="001C2358" w:rsidP="001C2358">
      <w:pPr>
        <w:spacing w:before="120" w:after="120" w:line="360" w:lineRule="auto"/>
        <w:ind w:left="850"/>
        <w:rPr>
          <w:b/>
          <w:szCs w:val="24"/>
          <w:lang w:eastAsia="en-US"/>
        </w:rPr>
      </w:pPr>
      <w:r w:rsidRPr="001C2358">
        <w:rPr>
          <w:strike/>
          <w:szCs w:val="24"/>
          <w:lang w:eastAsia="en-US"/>
        </w:rPr>
        <w:t>Die Anzahl der Bodenbezirke in jedem Mitgliedstaat entspricht mindestens der Anzahl der NUTS-1-Gebietseinheiten gemäß der Verordnung (EG) Nr. 1059/2003.</w:t>
      </w:r>
      <w:r>
        <w:rPr>
          <w:b/>
          <w:strike/>
          <w:szCs w:val="24"/>
          <w:lang w:eastAsia="en-US"/>
        </w:rPr>
        <w:t xml:space="preserve"> </w:t>
      </w:r>
      <w:r w:rsidRPr="001C2358">
        <w:rPr>
          <w:b/>
          <w:szCs w:val="24"/>
          <w:lang w:eastAsia="en-US"/>
        </w:rPr>
        <w:t>[Abänd. 221/rev1]</w:t>
      </w:r>
    </w:p>
    <w:p w:rsidR="001C2358" w:rsidRPr="008360A3" w:rsidRDefault="001C2358" w:rsidP="001C2358">
      <w:pPr>
        <w:spacing w:before="120" w:after="120" w:line="360" w:lineRule="auto"/>
        <w:ind w:left="850" w:hanging="850"/>
        <w:rPr>
          <w:b/>
          <w:szCs w:val="24"/>
          <w:lang w:val="en-GB" w:eastAsia="en-US"/>
        </w:rPr>
      </w:pPr>
      <w:r w:rsidRPr="001C2358">
        <w:rPr>
          <w:szCs w:val="24"/>
          <w:lang w:eastAsia="en-US"/>
        </w:rPr>
        <w:t>(2)</w:t>
      </w:r>
      <w:r w:rsidRPr="001C2358">
        <w:rPr>
          <w:szCs w:val="24"/>
          <w:lang w:eastAsia="en-US"/>
        </w:rPr>
        <w:tab/>
        <w:t xml:space="preserve">Bei der Festlegung der geografischen Ausdehnung der Bodenbezirke können die Mitgliedstaaten bestehende </w:t>
      </w:r>
      <w:r w:rsidRPr="001C2358">
        <w:rPr>
          <w:b/>
          <w:i/>
          <w:szCs w:val="24"/>
          <w:lang w:eastAsia="en-US"/>
        </w:rPr>
        <w:t xml:space="preserve">Landnutzung, Leitungsstrukturen und </w:t>
      </w:r>
      <w:r w:rsidRPr="001C2358">
        <w:rPr>
          <w:szCs w:val="24"/>
          <w:lang w:eastAsia="en-US"/>
        </w:rPr>
        <w:t xml:space="preserve">Verwaltungseinheiten berücksichtigen und sie bemühen sich </w:t>
      </w:r>
      <w:r w:rsidRPr="001C2358">
        <w:rPr>
          <w:b/>
          <w:i/>
          <w:szCs w:val="24"/>
          <w:lang w:eastAsia="en-US"/>
        </w:rPr>
        <w:t xml:space="preserve">vorrangig </w:t>
      </w:r>
      <w:r w:rsidRPr="001C2358">
        <w:rPr>
          <w:szCs w:val="24"/>
          <w:lang w:eastAsia="en-US"/>
        </w:rPr>
        <w:t>um Homogenität hinsichtlich folgender Parameter:</w:t>
      </w:r>
      <w:r>
        <w:rPr>
          <w:b/>
          <w:szCs w:val="24"/>
          <w:lang w:eastAsia="en-US"/>
        </w:rPr>
        <w:t xml:space="preserve"> [Abänd. </w:t>
      </w:r>
      <w:r w:rsidRPr="008360A3">
        <w:rPr>
          <w:b/>
          <w:szCs w:val="24"/>
          <w:lang w:val="en-GB" w:eastAsia="en-US"/>
        </w:rPr>
        <w:t>63]</w:t>
      </w:r>
    </w:p>
    <w:p w:rsidR="001C2358" w:rsidRPr="001C2358" w:rsidRDefault="001C2358" w:rsidP="001C2358">
      <w:pPr>
        <w:spacing w:before="120" w:after="120" w:line="360" w:lineRule="auto"/>
        <w:ind w:left="1416" w:hanging="566"/>
        <w:rPr>
          <w:szCs w:val="24"/>
          <w:lang w:val="en-GB" w:eastAsia="en-US"/>
        </w:rPr>
      </w:pPr>
      <w:r w:rsidRPr="001C2358">
        <w:rPr>
          <w:szCs w:val="24"/>
          <w:lang w:val="en-GB" w:eastAsia="en-US"/>
        </w:rPr>
        <w:t>a)</w:t>
      </w:r>
      <w:r w:rsidRPr="001C2358">
        <w:rPr>
          <w:szCs w:val="24"/>
          <w:lang w:val="en-GB" w:eastAsia="en-US"/>
        </w:rPr>
        <w:tab/>
        <w:t>Bodentyp im Sinne der World Reference Base for Soil Resources</w:t>
      </w:r>
      <w:r w:rsidRPr="001C2358">
        <w:rPr>
          <w:szCs w:val="24"/>
          <w:vertAlign w:val="superscript"/>
          <w:lang w:val="en-GB" w:eastAsia="en-US"/>
        </w:rPr>
        <w:footnoteReference w:id="48"/>
      </w:r>
      <w:r w:rsidRPr="001C2358">
        <w:rPr>
          <w:szCs w:val="24"/>
          <w:lang w:val="en-GB" w:eastAsia="en-US"/>
        </w:rPr>
        <w:t>;</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klimatische Bedingungen;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Umweltzone gemäß Alterra-Bericht 2281</w:t>
      </w:r>
      <w:r w:rsidRPr="001C2358">
        <w:rPr>
          <w:szCs w:val="24"/>
          <w:vertAlign w:val="superscript"/>
          <w:lang w:val="en-GB" w:eastAsia="en-US"/>
        </w:rPr>
        <w:footnoteReference w:id="49"/>
      </w:r>
      <w:r w:rsidRPr="001C2358">
        <w:rPr>
          <w:szCs w:val="24"/>
          <w:lang w:eastAsia="en-US"/>
        </w:rPr>
        <w:t>;</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1416" w:hanging="566"/>
        <w:rPr>
          <w:szCs w:val="24"/>
          <w:lang w:eastAsia="en-US"/>
        </w:rPr>
      </w:pPr>
      <w:r w:rsidRPr="001C2358">
        <w:rPr>
          <w:szCs w:val="24"/>
          <w:lang w:eastAsia="en-US"/>
        </w:rPr>
        <w:lastRenderedPageBreak/>
        <w:t>d)</w:t>
      </w:r>
      <w:r w:rsidRPr="001C2358">
        <w:rPr>
          <w:szCs w:val="24"/>
          <w:lang w:eastAsia="en-US"/>
        </w:rPr>
        <w:tab/>
        <w:t>Bodennutzung oder -bedeckung im Sinne der Flächenstichprobenerhebung über die Bodennutzung/-bedeckung (LUCAS)</w:t>
      </w:r>
      <w:r>
        <w:rPr>
          <w:szCs w:val="24"/>
          <w:lang w:eastAsia="en-US"/>
        </w:rPr>
        <w:t>;</w:t>
      </w:r>
    </w:p>
    <w:p w:rsidR="001C2358" w:rsidRPr="001C2358" w:rsidRDefault="001C2358" w:rsidP="001C2358">
      <w:pPr>
        <w:spacing w:before="120" w:after="120" w:line="360" w:lineRule="auto"/>
        <w:ind w:left="1416" w:hanging="566"/>
        <w:rPr>
          <w:b/>
          <w:szCs w:val="24"/>
          <w:lang w:eastAsia="en-US"/>
        </w:rPr>
      </w:pPr>
      <w:r w:rsidRPr="001C2358">
        <w:rPr>
          <w:b/>
          <w:i/>
          <w:szCs w:val="24"/>
          <w:lang w:eastAsia="en-US"/>
        </w:rPr>
        <w:t>da)</w:t>
      </w:r>
      <w:r w:rsidRPr="001C2358">
        <w:rPr>
          <w:szCs w:val="24"/>
          <w:lang w:eastAsia="en-US"/>
        </w:rPr>
        <w:tab/>
      </w:r>
      <w:r w:rsidRPr="001C2358">
        <w:rPr>
          <w:b/>
          <w:i/>
          <w:szCs w:val="24"/>
          <w:lang w:eastAsia="en-US"/>
        </w:rPr>
        <w:t>Flussgebietseinheiten gemäß der Richtlinie 2000/60/EG und Wasserkörper, die für die Entnahme von Wasser für den menschlichen Verbrauch genutzt werden, gemäß der Richtlinie (EU) 2020/2184</w:t>
      </w:r>
      <w:r>
        <w:rPr>
          <w:b/>
          <w:i/>
          <w:szCs w:val="24"/>
          <w:lang w:eastAsia="en-US"/>
        </w:rPr>
        <w:t>;</w:t>
      </w:r>
      <w:r>
        <w:rPr>
          <w:b/>
          <w:szCs w:val="24"/>
          <w:lang w:eastAsia="en-US"/>
        </w:rPr>
        <w:t xml:space="preserve"> [Abänd. 64]</w:t>
      </w:r>
    </w:p>
    <w:p w:rsidR="001C2358" w:rsidRPr="001C2358" w:rsidRDefault="001C2358" w:rsidP="001C2358">
      <w:pPr>
        <w:spacing w:before="120" w:after="120" w:line="360" w:lineRule="auto"/>
        <w:ind w:left="1416" w:hanging="566"/>
        <w:rPr>
          <w:b/>
          <w:szCs w:val="24"/>
          <w:lang w:eastAsia="en-US"/>
        </w:rPr>
      </w:pPr>
      <w:r w:rsidRPr="001C2358">
        <w:rPr>
          <w:b/>
          <w:i/>
          <w:szCs w:val="24"/>
          <w:lang w:eastAsia="en-US"/>
        </w:rPr>
        <w:t>db)</w:t>
      </w:r>
      <w:r w:rsidRPr="001C2358">
        <w:rPr>
          <w:szCs w:val="24"/>
          <w:lang w:eastAsia="en-US"/>
        </w:rPr>
        <w:tab/>
      </w:r>
      <w:r w:rsidRPr="001C2358">
        <w:rPr>
          <w:b/>
          <w:i/>
          <w:szCs w:val="24"/>
          <w:lang w:eastAsia="en-US"/>
        </w:rPr>
        <w:t>Vorhandensein abgelegener Archipele mit dazwischen verstreuten Inseln, wobei jede Insel einem Bodenbezirk entspricht;</w:t>
      </w:r>
      <w:r>
        <w:rPr>
          <w:b/>
          <w:szCs w:val="24"/>
          <w:lang w:eastAsia="en-US"/>
        </w:rPr>
        <w:t xml:space="preserve"> [Abänd. 224/rev1]</w:t>
      </w:r>
    </w:p>
    <w:p w:rsidR="001C2358" w:rsidRPr="001C2358" w:rsidRDefault="001C2358" w:rsidP="001C2358">
      <w:pPr>
        <w:spacing w:before="120" w:after="120" w:line="360" w:lineRule="auto"/>
        <w:ind w:left="1416" w:hanging="566"/>
        <w:rPr>
          <w:b/>
          <w:szCs w:val="24"/>
          <w:lang w:eastAsia="en-US"/>
        </w:rPr>
      </w:pPr>
      <w:r w:rsidRPr="001C2358">
        <w:rPr>
          <w:b/>
          <w:i/>
          <w:szCs w:val="24"/>
          <w:lang w:eastAsia="en-US"/>
        </w:rPr>
        <w:t>dc)</w:t>
      </w:r>
      <w:r w:rsidRPr="001C2358">
        <w:rPr>
          <w:szCs w:val="24"/>
          <w:lang w:eastAsia="en-US"/>
        </w:rPr>
        <w:tab/>
      </w:r>
      <w:r w:rsidRPr="001C2358">
        <w:rPr>
          <w:b/>
          <w:i/>
          <w:szCs w:val="24"/>
          <w:lang w:eastAsia="en-US"/>
        </w:rPr>
        <w:t>Verwendung von Copernicus bei der Abgrenzung der Bodenbezirke</w:t>
      </w:r>
      <w:r>
        <w:rPr>
          <w:b/>
          <w:i/>
          <w:szCs w:val="24"/>
          <w:lang w:eastAsia="en-US"/>
        </w:rPr>
        <w:t>.</w:t>
      </w:r>
      <w:r>
        <w:rPr>
          <w:b/>
          <w:szCs w:val="24"/>
          <w:lang w:eastAsia="en-US"/>
        </w:rPr>
        <w:t xml:space="preserve"> [Abänd. 226/rev1]</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(2a)</w:t>
      </w:r>
      <w:r w:rsidRPr="001C2358">
        <w:rPr>
          <w:szCs w:val="24"/>
          <w:lang w:eastAsia="en-US"/>
        </w:rPr>
        <w:tab/>
      </w:r>
      <w:r w:rsidRPr="001C2358">
        <w:rPr>
          <w:b/>
          <w:i/>
          <w:szCs w:val="24"/>
          <w:lang w:eastAsia="en-US"/>
        </w:rPr>
        <w:t>Die Mitgliedstaaten stellen gegebenenfalls sicher, dass Bodenbezirke benachbarter Mitgliedstaaten, in denen grenzübergreifende Auswirkungen auf den Boden, eine vergleichbare grenzübergreifende Landnutzung oder ähnliche Werte für die in Absatz 2 Buchstaben a bis d genannten Parameter auftreten, zusammenarbeiten, um bewährte Verfahren auszutauschen. Die Mitgliedstaaten stellen ferner sicher, dass die Bodenbezirke grenzübergreifend einen kohärenten Ansatz verfolgen.</w:t>
      </w:r>
      <w:r>
        <w:rPr>
          <w:b/>
          <w:szCs w:val="24"/>
          <w:lang w:eastAsia="en-US"/>
        </w:rPr>
        <w:t xml:space="preserve"> [Abänd. 65]</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(2b)</w:t>
      </w:r>
      <w:r w:rsidRPr="001C2358">
        <w:rPr>
          <w:szCs w:val="24"/>
          <w:lang w:eastAsia="en-US"/>
        </w:rPr>
        <w:tab/>
      </w:r>
      <w:r w:rsidRPr="001C2358">
        <w:rPr>
          <w:b/>
          <w:i/>
          <w:szCs w:val="24"/>
          <w:lang w:eastAsia="en-US"/>
        </w:rPr>
        <w:t>Die Kommission unterstützt die Mitgliedstaaten dabei, eine grenzübergreifende Zusammenarbeit der Bodenbezirke sicherzustellen, und erleichtert die Harmonisierung der Überwachungssysteme, der Übertragungsfunktionen, des Überwachungskonzepts und der Klassifizierung des ökologischen Zustands auf der Ebene der in Anhang I aufgeführten Bodendeskriptoren.</w:t>
      </w:r>
      <w:r>
        <w:rPr>
          <w:b/>
          <w:szCs w:val="24"/>
          <w:lang w:eastAsia="en-US"/>
        </w:rPr>
        <w:t xml:space="preserve"> [Abänd. 66]</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5</w:t>
      </w:r>
      <w:r w:rsidRPr="001C2358">
        <w:rPr>
          <w:szCs w:val="24"/>
          <w:lang w:eastAsia="en-US"/>
        </w:rPr>
        <w:br/>
        <w:t>Zuständige Behörden</w:t>
      </w:r>
    </w:p>
    <w:p w:rsidR="001C2358" w:rsidRPr="001C2358" w:rsidRDefault="001C2358" w:rsidP="001C2358">
      <w:pPr>
        <w:spacing w:before="120" w:after="120" w:line="360" w:lineRule="auto"/>
        <w:rPr>
          <w:b/>
          <w:szCs w:val="24"/>
          <w:lang w:eastAsia="en-US"/>
        </w:rPr>
      </w:pPr>
      <w:r w:rsidRPr="001C2358">
        <w:rPr>
          <w:szCs w:val="24"/>
          <w:lang w:eastAsia="en-US"/>
        </w:rPr>
        <w:t>Die Mitgliedstaaten benennen auf geeigneter Ebene die für die Wahrnehmung der in dieser Richtlinie festgelegten Pflichten zuständigen Behörden</w:t>
      </w:r>
      <w:r w:rsidRPr="001C2358">
        <w:rPr>
          <w:b/>
          <w:i/>
          <w:szCs w:val="24"/>
          <w:lang w:eastAsia="en-US"/>
        </w:rPr>
        <w:t xml:space="preserve"> und berücksichtigen dabei bestehende Verwaltungsunterteilungen und Zuständigkeiten, auch wenn es sich um grenzüberschreitende Bodenbezirke handelt</w:t>
      </w:r>
      <w:r w:rsidRPr="001C2358">
        <w:rPr>
          <w:szCs w:val="24"/>
          <w:lang w:eastAsia="en-US"/>
        </w:rPr>
        <w:t>.</w:t>
      </w:r>
      <w:r>
        <w:rPr>
          <w:b/>
          <w:szCs w:val="24"/>
          <w:lang w:eastAsia="en-US"/>
        </w:rPr>
        <w:t xml:space="preserve"> [Abänd. 68]</w:t>
      </w:r>
    </w:p>
    <w:p w:rsidR="001C2358" w:rsidRPr="001C2358" w:rsidRDefault="001C2358" w:rsidP="001C2358">
      <w:pPr>
        <w:spacing w:before="120" w:after="120" w:line="360" w:lineRule="auto"/>
        <w:rPr>
          <w:b/>
          <w:szCs w:val="24"/>
          <w:lang w:eastAsia="en-US"/>
        </w:rPr>
      </w:pPr>
      <w:r w:rsidRPr="001C2358">
        <w:rPr>
          <w:szCs w:val="24"/>
          <w:lang w:eastAsia="en-US"/>
        </w:rPr>
        <w:t>Die Mitgliedstaaten benennen für jeden gemäß Artikel 4 abgegrenzten Bodenbezirk eine zuständige Behörde.</w:t>
      </w:r>
      <w:r w:rsidRPr="001C2358">
        <w:rPr>
          <w:b/>
          <w:i/>
          <w:szCs w:val="24"/>
          <w:lang w:eastAsia="en-US"/>
        </w:rPr>
        <w:t xml:space="preserve"> Die Mitgliedstaaten können eine zuständige Behörde für mehrere Bodenbezirke benennen.</w:t>
      </w:r>
      <w:r>
        <w:rPr>
          <w:b/>
          <w:szCs w:val="24"/>
          <w:lang w:eastAsia="en-US"/>
        </w:rPr>
        <w:t xml:space="preserve"> [Abänd. 69]</w:t>
      </w:r>
    </w:p>
    <w:p w:rsidR="001C2358" w:rsidRPr="001C2358" w:rsidRDefault="001C2358" w:rsidP="001C2358">
      <w:pPr>
        <w:spacing w:before="120" w:after="120" w:line="360" w:lineRule="auto"/>
        <w:rPr>
          <w:b/>
          <w:szCs w:val="24"/>
          <w:lang w:eastAsia="en-US"/>
        </w:rPr>
      </w:pPr>
      <w:r w:rsidRPr="001C2358">
        <w:rPr>
          <w:b/>
          <w:i/>
          <w:szCs w:val="24"/>
          <w:lang w:eastAsia="en-US"/>
        </w:rPr>
        <w:t>Die Mitgliedstaaten übermitteln der Kommission gemäß Artikel 18 Absatz 3 Buchstabe b die Liste der zuständigen Behörden gemäß den Absätzen 1 und 2 des vorliegenden Artikels. Die Kommission führt eine aktualisierte Liste der zuständigen Behörden auf ihrer Internetseite.</w:t>
      </w:r>
      <w:r>
        <w:rPr>
          <w:b/>
          <w:szCs w:val="24"/>
          <w:lang w:eastAsia="en-US"/>
        </w:rPr>
        <w:t xml:space="preserve"> [Abänd. 70]</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 xml:space="preserve">Kapitel II </w:t>
      </w:r>
      <w:r w:rsidRPr="001C2358">
        <w:rPr>
          <w:szCs w:val="24"/>
          <w:lang w:eastAsia="en-US"/>
        </w:rPr>
        <w:br/>
        <w:t>Überwachung und Bewertung der Bodengesundheit</w:t>
      </w:r>
    </w:p>
    <w:p w:rsidR="001C2358" w:rsidRPr="001C2358" w:rsidRDefault="001C2358" w:rsidP="001C2358">
      <w:pPr>
        <w:spacing w:before="120" w:after="120" w:line="360" w:lineRule="auto"/>
        <w:jc w:val="center"/>
        <w:rPr>
          <w:szCs w:val="24"/>
          <w:lang w:eastAsia="en-US"/>
        </w:rPr>
      </w:pPr>
      <w:r w:rsidRPr="001C2358">
        <w:rPr>
          <w:szCs w:val="24"/>
          <w:lang w:eastAsia="en-US"/>
        </w:rPr>
        <w:t>Artikel 6</w:t>
      </w:r>
      <w:r w:rsidRPr="001C2358">
        <w:rPr>
          <w:szCs w:val="24"/>
          <w:lang w:eastAsia="en-US"/>
        </w:rPr>
        <w:br/>
        <w:t>Überwachungsrahmen für Bodengesundheit und Flächenverbrauch</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Die Mitgliedstaaten richten auf der Grundlage der gemäß Artikel 4 Absatz 1 abgegrenzten Bodenbezirke einen Überwachungsrahmen ein, um sicherzustellen, dass die Bodengesundheit im Einklang mit diesem Artikel und den Anhängen I und II regelmäßig und genau überwacht wird</w:t>
      </w:r>
      <w:r w:rsidRPr="001C2358">
        <w:rPr>
          <w:b/>
          <w:i/>
          <w:szCs w:val="24"/>
          <w:lang w:eastAsia="en-US"/>
        </w:rPr>
        <w:t>, und ergänzen den in der Richtlinie 2000/60/EG festgelegten Bewertungsansatz</w:t>
      </w:r>
      <w:r w:rsidRPr="001C2358">
        <w:rPr>
          <w:szCs w:val="24"/>
          <w:lang w:eastAsia="en-US"/>
        </w:rPr>
        <w:t>.</w:t>
      </w:r>
      <w:r>
        <w:rPr>
          <w:b/>
          <w:szCs w:val="24"/>
          <w:lang w:eastAsia="en-US"/>
        </w:rPr>
        <w:t xml:space="preserve"> [Abänd. 71]</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Die Mitgliedstaaten überwachen Bodengesundheit und Flächenverbrauch in jedem Bodenbezirk.</w:t>
      </w:r>
      <w:r w:rsidRPr="001C2358">
        <w:rPr>
          <w:b/>
          <w:i/>
          <w:szCs w:val="24"/>
          <w:lang w:eastAsia="en-US"/>
        </w:rPr>
        <w:t xml:space="preserve"> Die Mitgliedstaaten nutzen das Fachwissen der nationalen Forschungsinstitute, die bestehenden nationalen Überwachungssysteme und verfügbare Daten. Die von den Mitgliedstaaten durchgeführten Überwachungstätigkeiten dürfen nicht zu einer finanziellen Belastung für die Landbewirtschafter führen.</w:t>
      </w:r>
      <w:r>
        <w:rPr>
          <w:b/>
          <w:szCs w:val="24"/>
          <w:lang w:eastAsia="en-US"/>
        </w:rPr>
        <w:t xml:space="preserve"> [Abänd. 72]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(3)</w:t>
      </w:r>
      <w:r w:rsidRPr="001C2358">
        <w:rPr>
          <w:szCs w:val="24"/>
          <w:lang w:eastAsia="en-US"/>
        </w:rPr>
        <w:tab/>
        <w:t>Der Überwachungsrahmen stützt sich auf Folgendes:</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die in Artikel 7 genannten Bodendeskriptoren und Bodengesundheitskriterien;</w:t>
      </w:r>
    </w:p>
    <w:p w:rsidR="001C2358" w:rsidRPr="001C2358" w:rsidRDefault="001C2358" w:rsidP="001C2358">
      <w:pPr>
        <w:spacing w:before="120" w:after="120" w:line="360" w:lineRule="auto"/>
        <w:ind w:left="1416" w:hanging="566"/>
        <w:rPr>
          <w:b/>
          <w:szCs w:val="24"/>
          <w:lang w:eastAsia="en-US"/>
        </w:rPr>
      </w:pPr>
      <w:r w:rsidRPr="001C2358">
        <w:rPr>
          <w:szCs w:val="24"/>
          <w:lang w:eastAsia="en-US"/>
        </w:rPr>
        <w:t>b)</w:t>
      </w:r>
      <w:r w:rsidRPr="001C2358">
        <w:rPr>
          <w:szCs w:val="24"/>
          <w:lang w:eastAsia="en-US"/>
        </w:rPr>
        <w:tab/>
        <w:t>die gemäß Artikel 8 Absatz 2 festzulegenden Bodenprobenahmestellen</w:t>
      </w:r>
      <w:r w:rsidRPr="001C2358">
        <w:rPr>
          <w:b/>
          <w:i/>
          <w:szCs w:val="24"/>
          <w:lang w:eastAsia="en-US"/>
        </w:rPr>
        <w:t xml:space="preserve"> und -tiefen</w:t>
      </w:r>
      <w:r w:rsidRPr="001C2358">
        <w:rPr>
          <w:szCs w:val="24"/>
          <w:lang w:eastAsia="en-US"/>
        </w:rPr>
        <w:t>;</w:t>
      </w:r>
      <w:r>
        <w:rPr>
          <w:b/>
          <w:szCs w:val="24"/>
          <w:lang w:eastAsia="en-US"/>
        </w:rPr>
        <w:t xml:space="preserve"> [Abänd. 73]</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etwaige von der Kommission gemäß Absatz 4 dieses Artikels durchgeführte Bodenmessungen;</w:t>
      </w:r>
    </w:p>
    <w:p w:rsidR="001C2358" w:rsidRPr="001C2358" w:rsidRDefault="001C2358" w:rsidP="001C2358">
      <w:pPr>
        <w:spacing w:before="120" w:after="120" w:line="360" w:lineRule="auto"/>
        <w:ind w:left="1416" w:hanging="566"/>
        <w:rPr>
          <w:b/>
          <w:szCs w:val="24"/>
          <w:lang w:eastAsia="en-US"/>
        </w:rPr>
      </w:pPr>
      <w:r w:rsidRPr="001C2358">
        <w:rPr>
          <w:szCs w:val="24"/>
          <w:lang w:eastAsia="en-US"/>
        </w:rPr>
        <w:t>d)</w:t>
      </w:r>
      <w:r w:rsidRPr="001C2358">
        <w:rPr>
          <w:szCs w:val="24"/>
          <w:lang w:eastAsia="en-US"/>
        </w:rPr>
        <w:tab/>
        <w:t>etwaige</w:t>
      </w:r>
      <w:r w:rsidRPr="001C2358">
        <w:rPr>
          <w:b/>
          <w:i/>
          <w:szCs w:val="24"/>
          <w:lang w:eastAsia="en-US"/>
        </w:rPr>
        <w:t xml:space="preserve"> wissenschaftlich fundierte</w:t>
      </w:r>
      <w:r w:rsidRPr="001C2358">
        <w:rPr>
          <w:szCs w:val="24"/>
          <w:lang w:eastAsia="en-US"/>
        </w:rPr>
        <w:t xml:space="preserve"> Fernerkundungsdaten und -produkte gemäß Absatz 5 dieses Artikels;</w:t>
      </w:r>
      <w:r>
        <w:rPr>
          <w:b/>
          <w:szCs w:val="24"/>
          <w:lang w:eastAsia="en-US"/>
        </w:rPr>
        <w:t xml:space="preserve"> [Abänd. 74]</w:t>
      </w:r>
    </w:p>
    <w:p w:rsidR="001C2358" w:rsidRPr="001C2358" w:rsidRDefault="001C2358" w:rsidP="001C2358">
      <w:pPr>
        <w:spacing w:before="120" w:after="120" w:line="360" w:lineRule="auto"/>
        <w:ind w:left="1416" w:hanging="566"/>
        <w:rPr>
          <w:szCs w:val="24"/>
          <w:lang w:eastAsia="en-US"/>
        </w:rPr>
      </w:pPr>
      <w:r w:rsidRPr="001C2358">
        <w:rPr>
          <w:szCs w:val="24"/>
          <w:lang w:eastAsia="en-US"/>
        </w:rPr>
        <w:t>e)</w:t>
      </w:r>
      <w:r w:rsidRPr="001C2358">
        <w:rPr>
          <w:szCs w:val="24"/>
          <w:lang w:eastAsia="en-US"/>
        </w:rPr>
        <w:tab/>
        <w:t>die in Artikel 7 Absatz 1 genannten Indikatoren für Flächenverbrauch und Bodenversiegelung.</w:t>
      </w:r>
    </w:p>
    <w:p w:rsidR="001C2358" w:rsidRPr="001C2358" w:rsidRDefault="001C2358" w:rsidP="001C2358">
      <w:pPr>
        <w:spacing w:before="120" w:after="120" w:line="360" w:lineRule="auto"/>
        <w:ind w:left="850" w:hanging="850"/>
        <w:rPr>
          <w:b/>
          <w:szCs w:val="24"/>
          <w:lang w:eastAsia="en-US"/>
        </w:rPr>
      </w:pPr>
      <w:r w:rsidRPr="001C2358">
        <w:rPr>
          <w:strike/>
          <w:szCs w:val="24"/>
          <w:lang w:eastAsia="en-US"/>
        </w:rPr>
        <w:t>(4)</w:t>
      </w:r>
      <w:r w:rsidRPr="001C2358">
        <w:rPr>
          <w:szCs w:val="24"/>
          <w:lang w:eastAsia="en-US"/>
        </w:rPr>
        <w:tab/>
      </w:r>
      <w:r w:rsidRPr="001C2358">
        <w:rPr>
          <w:strike/>
          <w:szCs w:val="24"/>
          <w:lang w:eastAsia="en-US"/>
        </w:rPr>
        <w:t>Die Kommission führt mit Zustimmung der betreffenden Mitgliedstaaten und auf der Grundlage der einschlägigen Deskriptoren und Methoden gemäß den Artikeln 7 und 8 regelmäßige Messungen an vor Ort entnommenen Bodenproben durch, um die Mitgliedstaaten bei der Überwachung der Bodengesundheit zu unterstützen. Gibt ein Mitgliedstaat im Einklang mit diesem Absatz seine Zustimmung, so stellt er sicher, dass die Kommission solche Bodenproben vor Ort entnehmen kann.</w:t>
      </w:r>
      <w:r>
        <w:rPr>
          <w:b/>
          <w:strike/>
          <w:szCs w:val="24"/>
          <w:lang w:eastAsia="en-US"/>
        </w:rPr>
        <w:t xml:space="preserve"> </w:t>
      </w:r>
      <w:r w:rsidRPr="001C2358">
        <w:rPr>
          <w:b/>
          <w:szCs w:val="24"/>
          <w:lang w:eastAsia="en-US"/>
        </w:rPr>
        <w:t>[Abänd. 227/rev1]</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lastRenderedPageBreak/>
        <w:t>4a.</w:t>
      </w:r>
      <w:r w:rsidRPr="001C2358">
        <w:rPr>
          <w:szCs w:val="24"/>
          <w:lang w:eastAsia="en-US"/>
        </w:rPr>
        <w:tab/>
      </w:r>
      <w:r w:rsidRPr="001C2358">
        <w:rPr>
          <w:b/>
          <w:i/>
          <w:szCs w:val="24"/>
          <w:lang w:eastAsia="en-US"/>
        </w:rPr>
        <w:t>Die Kommission stellt sicher, dass die erste Bodenmessung gemäß Absatz 4 bis zum ... [Amt für Veröffentlichungen: Bitte Datum einfügen: drei Jahre nach Inkrafttreten der Richtlinie] durchgeführt wird.</w:t>
      </w:r>
    </w:p>
    <w:p w:rsidR="001C2358" w:rsidRPr="001C2358" w:rsidRDefault="001C2358" w:rsidP="001C2358">
      <w:pPr>
        <w:spacing w:before="120" w:after="120" w:line="360" w:lineRule="auto"/>
        <w:ind w:left="850"/>
        <w:rPr>
          <w:szCs w:val="24"/>
          <w:lang w:eastAsia="en-US"/>
        </w:rPr>
      </w:pPr>
      <w:r w:rsidRPr="001C2358">
        <w:rPr>
          <w:b/>
          <w:i/>
          <w:szCs w:val="24"/>
          <w:lang w:eastAsia="en-US"/>
        </w:rPr>
        <w:t>Die Kommission hilft den Mitgliedstaaten bei der Überwachung, indem sie die Probenahme und Analyse von mindestens 20 % der nationalen Probenahmen zur Verfügung stellt.</w:t>
      </w:r>
    </w:p>
    <w:p w:rsidR="001C2358" w:rsidRPr="001C2358" w:rsidRDefault="001C2358" w:rsidP="001C2358">
      <w:pPr>
        <w:spacing w:before="120" w:after="120" w:line="360" w:lineRule="auto"/>
        <w:ind w:left="850"/>
        <w:rPr>
          <w:b/>
          <w:szCs w:val="24"/>
          <w:lang w:eastAsia="en-US"/>
        </w:rPr>
      </w:pPr>
      <w:r w:rsidRPr="001C2358">
        <w:rPr>
          <w:b/>
          <w:i/>
          <w:szCs w:val="24"/>
          <w:lang w:eastAsia="en-US"/>
        </w:rPr>
        <w:t>Auf Ersuchen eines Mitgliedstaats leistet die Kommission während der ersten nationalen Überwachungsrunde weitere Unterstützung bei bis zu 50 % der Probenahmen.</w:t>
      </w:r>
      <w:r>
        <w:rPr>
          <w:b/>
          <w:szCs w:val="24"/>
          <w:lang w:eastAsia="en-US"/>
        </w:rPr>
        <w:t xml:space="preserve"> [Abänd. 76]</w:t>
      </w:r>
    </w:p>
    <w:p w:rsidR="001C2358" w:rsidRPr="001C2358" w:rsidRDefault="001C2358" w:rsidP="001C2358">
      <w:pPr>
        <w:spacing w:before="120" w:after="120" w:line="360" w:lineRule="auto"/>
        <w:ind w:left="850" w:hanging="850"/>
        <w:rPr>
          <w:szCs w:val="24"/>
          <w:lang w:eastAsia="en-US"/>
        </w:rPr>
      </w:pPr>
      <w:r w:rsidRPr="001C2358">
        <w:rPr>
          <w:szCs w:val="24"/>
          <w:lang w:eastAsia="en-US"/>
        </w:rPr>
        <w:t>(5)</w:t>
      </w:r>
      <w:r w:rsidRPr="001C2358">
        <w:rPr>
          <w:szCs w:val="24"/>
          <w:lang w:eastAsia="en-US"/>
        </w:rPr>
        <w:tab/>
        <w:t>Die Kommission und die Europäische Umweltagentur (EUA) nutzen vorhandene weltraumgestützte Daten und Produkte im Rahmen der Copernicus-Komponente des mit der Verordnung (EU) 2021/696 eingerichteten Weltraumprogramms der EU, um Bodenfernerkundungsprodukte zu erforschen und zu entwickeln und die Mitgliedstaaten so bei der Überwachung der einschlägigen Bodendeskriptoren zu unterstützen.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(6)</w:t>
      </w:r>
      <w:r w:rsidRPr="001C2358">
        <w:rPr>
          <w:szCs w:val="24"/>
          <w:lang w:eastAsia="en-US"/>
        </w:rPr>
        <w:tab/>
        <w:t xml:space="preserve">Die Kommission und die EUA richten auf der Grundlage vorhandener Daten innerhalb von zwei Jahren nach Inkrafttreten dieser Richtlinie ein digitales Portal für Bodengesundheitsdaten ein, das </w:t>
      </w:r>
      <w:r w:rsidRPr="001C2358">
        <w:rPr>
          <w:b/>
          <w:i/>
          <w:szCs w:val="24"/>
          <w:lang w:eastAsia="en-US"/>
        </w:rPr>
        <w:t>im Einklang mit der Verordnung (EG) Nr. 223/2009 des Europäischen Parlaments und des Rates</w:t>
      </w:r>
      <w:r w:rsidRPr="001C2358">
        <w:rPr>
          <w:szCs w:val="24"/>
          <w:vertAlign w:val="superscript"/>
          <w:lang w:val="en-GB" w:eastAsia="en-US"/>
        </w:rPr>
        <w:footnoteReference w:id="50"/>
      </w:r>
      <w:r w:rsidRPr="001C2358">
        <w:rPr>
          <w:szCs w:val="24"/>
          <w:lang w:eastAsia="en-US"/>
        </w:rPr>
        <w:t>mindestens Zugriff auf folgende verfügbare Bodengesundheitsdaten in georeferenziertem Geodatenformat gewährt:</w:t>
      </w:r>
      <w:r>
        <w:rPr>
          <w:b/>
          <w:szCs w:val="24"/>
          <w:lang w:eastAsia="en-US"/>
        </w:rPr>
        <w:t xml:space="preserve"> [Abänd. 77]</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Bodenmessungen nach Artikel 8 Absatz 2;</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Bodenmessungen nach Absatz 4 des vorliegenden Artikels;</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einschlägige Bodenfernerkundungsdaten und -produkte gemäß Absatz 5 dieses Artikels.</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(6a)</w:t>
      </w:r>
      <w:r w:rsidRPr="001C2358">
        <w:rPr>
          <w:szCs w:val="24"/>
          <w:lang w:eastAsia="en-US"/>
        </w:rPr>
        <w:tab/>
      </w:r>
      <w:r w:rsidRPr="001C2358">
        <w:rPr>
          <w:b/>
          <w:i/>
          <w:szCs w:val="24"/>
          <w:lang w:eastAsia="en-US"/>
        </w:rPr>
        <w:t>Der in den Absätzen 3 bis 6 genannte Bodenüberwachungsrahmen stützt sich auf bestehende Überwachungsrahmen auf Unionsebene und nationaler Ebene, einschließlich der Daten der LUCAS-Bodenbeobachtungsstelle.</w:t>
      </w:r>
      <w:r>
        <w:rPr>
          <w:b/>
          <w:szCs w:val="24"/>
          <w:lang w:eastAsia="en-US"/>
        </w:rPr>
        <w:t xml:space="preserve"> [Abänd. 78]</w:t>
      </w:r>
    </w:p>
    <w:p w:rsidR="001C2358" w:rsidRPr="001C2358" w:rsidRDefault="001C2358" w:rsidP="001C2358">
      <w:pPr>
        <w:spacing w:before="120" w:after="120" w:line="360" w:lineRule="auto"/>
        <w:ind w:left="850" w:hanging="850"/>
        <w:rPr>
          <w:szCs w:val="24"/>
          <w:lang w:eastAsia="en-US"/>
        </w:rPr>
      </w:pPr>
      <w:r w:rsidRPr="001C2358">
        <w:rPr>
          <w:szCs w:val="24"/>
          <w:lang w:eastAsia="en-US"/>
        </w:rPr>
        <w:t>(7)</w:t>
      </w:r>
      <w:r w:rsidRPr="001C2358">
        <w:rPr>
          <w:szCs w:val="24"/>
          <w:lang w:eastAsia="en-US"/>
        </w:rPr>
        <w:tab/>
        <w:t>Das in Absatz 6 genannte digitale Portal für Bodengesundheitsdaten kann auch Zugriff auf andere bodengesundheitsbezogene Daten als die dort genannten Daten gewähren, wenn diese Daten in den von der Kommission gemäß Absatz 8 festgelegten Formaten oder Methoden übertragen oder erhoben wurden.</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lastRenderedPageBreak/>
        <w:t>(7a)</w:t>
      </w:r>
      <w:r w:rsidRPr="001C2358">
        <w:rPr>
          <w:szCs w:val="24"/>
          <w:lang w:eastAsia="en-US"/>
        </w:rPr>
        <w:tab/>
      </w:r>
      <w:r w:rsidRPr="001C2358">
        <w:rPr>
          <w:b/>
          <w:i/>
          <w:szCs w:val="24"/>
          <w:lang w:eastAsia="en-US"/>
        </w:rPr>
        <w:t>Das digitale Portal für Bodengesundheitsdaten enthält das in Artikel 10a genannte Instrumentarium für nachhaltige Bodenbewirtschaftung.</w:t>
      </w:r>
      <w:r>
        <w:rPr>
          <w:b/>
          <w:szCs w:val="24"/>
          <w:lang w:eastAsia="en-US"/>
        </w:rPr>
        <w:t xml:space="preserve"> [Abänd. 79]</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(8)</w:t>
      </w:r>
      <w:r w:rsidRPr="001C2358">
        <w:rPr>
          <w:szCs w:val="24"/>
          <w:lang w:eastAsia="en-US"/>
        </w:rPr>
        <w:tab/>
        <w:t>Die Kommission erlässt Durchführungsrechtsakte zur Festlegung von Formaten oder Methoden für die Übertragung oder Erhebung der in Absatz 7 genannten Daten oder für die Integration dieser Daten in das digitale Portal für Bodengesundheitsdaten</w:t>
      </w:r>
      <w:r w:rsidRPr="001C2358">
        <w:rPr>
          <w:b/>
          <w:i/>
          <w:szCs w:val="24"/>
          <w:lang w:eastAsia="en-US"/>
        </w:rPr>
        <w:t xml:space="preserve"> und stellt sicher, dass das Unionsrecht zum Schutz personenbezogener Daten eingehalten wird</w:t>
      </w:r>
      <w:r w:rsidRPr="001C2358">
        <w:rPr>
          <w:szCs w:val="24"/>
          <w:lang w:eastAsia="en-US"/>
        </w:rPr>
        <w:t>. Diese Durchführungsrechtsakte werden gemäß dem in Artikel 21 genannten Prüfverfahren erlassen.</w:t>
      </w:r>
      <w:r>
        <w:rPr>
          <w:b/>
          <w:szCs w:val="24"/>
          <w:lang w:eastAsia="en-US"/>
        </w:rPr>
        <w:t xml:space="preserve"> [Abänd. 80]</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(8a)</w:t>
      </w:r>
      <w:r w:rsidRPr="001C2358">
        <w:rPr>
          <w:szCs w:val="24"/>
          <w:lang w:eastAsia="en-US"/>
        </w:rPr>
        <w:tab/>
      </w:r>
      <w:r w:rsidRPr="001C2358">
        <w:rPr>
          <w:b/>
          <w:i/>
          <w:szCs w:val="24"/>
          <w:lang w:eastAsia="en-US"/>
        </w:rPr>
        <w:t>Die Kommission stellt den Mitgliedstaaten die erforderlichen Kapazitätsaufbau-, Unterstützungs- und Beratungsdienste zur Verfügung und unterstützt ihre Überwachungsinitiativen sowie die multilaterale Harmonisierung von Vorschriften, Methoden und Archiven und schließt dadurch bestehende Datenlücken und Engpässe bei den Arbeitsabläufen durch den Austausch gemeinsamen Fachwissens. Zu diesem Zweck baut die Kommission auf bestehenden Mechanismen auf, einschließlich der Initiative „Soil BON“.</w:t>
      </w:r>
      <w:r>
        <w:rPr>
          <w:b/>
          <w:szCs w:val="24"/>
          <w:lang w:eastAsia="en-US"/>
        </w:rPr>
        <w:t xml:space="preserve"> [Abänd. 81]</w:t>
      </w:r>
    </w:p>
    <w:p w:rsidR="001C2358" w:rsidRDefault="001C2358">
      <w:pPr>
        <w:widowControl/>
        <w:rPr>
          <w:b/>
          <w:i/>
          <w:szCs w:val="24"/>
          <w:lang w:eastAsia="en-US"/>
        </w:rPr>
      </w:pPr>
      <w:r>
        <w:rPr>
          <w:b/>
          <w:i/>
          <w:szCs w:val="24"/>
          <w:lang w:eastAsia="en-US"/>
        </w:rPr>
        <w:br w:type="page"/>
      </w:r>
    </w:p>
    <w:p w:rsidR="001C2358" w:rsidRPr="001C2358" w:rsidRDefault="001C2358" w:rsidP="001C2358">
      <w:pPr>
        <w:spacing w:before="120" w:after="120" w:line="360" w:lineRule="auto"/>
        <w:jc w:val="center"/>
        <w:rPr>
          <w:szCs w:val="24"/>
          <w:lang w:eastAsia="en-US"/>
        </w:rPr>
      </w:pPr>
      <w:r w:rsidRPr="001C2358">
        <w:rPr>
          <w:b/>
          <w:i/>
          <w:szCs w:val="24"/>
          <w:lang w:eastAsia="en-US"/>
        </w:rPr>
        <w:lastRenderedPageBreak/>
        <w:t>Artikel 6a</w:t>
      </w:r>
      <w:r w:rsidRPr="001C2358">
        <w:rPr>
          <w:szCs w:val="24"/>
          <w:lang w:eastAsia="en-US"/>
        </w:rPr>
        <w:br/>
      </w:r>
      <w:r w:rsidRPr="001C2358">
        <w:rPr>
          <w:b/>
          <w:i/>
          <w:szCs w:val="24"/>
          <w:lang w:eastAsia="en-US"/>
        </w:rPr>
        <w:t>Effiziente Nutzung und Konservierung von Bodenproben</w:t>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t>(1)</w:t>
      </w:r>
      <w:r w:rsidRPr="001C2358">
        <w:rPr>
          <w:szCs w:val="24"/>
          <w:lang w:eastAsia="en-US"/>
        </w:rPr>
        <w:tab/>
      </w:r>
      <w:r w:rsidRPr="001C2358">
        <w:rPr>
          <w:b/>
          <w:i/>
          <w:szCs w:val="24"/>
          <w:lang w:eastAsia="en-US"/>
        </w:rPr>
        <w:t>Die Kommission ergreift gemeinsam mit den Mitgliedstaaten und der Europäischen Bodenbeobachtungsstelle Maßnahmen, um sicherzustellen, dass die physischen Archive von Böden, DNA-Extraktionen und das digitale Archiv der Rohdaten sowohl auf Unionsebene als auch auf nationaler Ebene für weitere Forschung und Innovation verfügbar bleiben. Die Kommission und die Mitgliedstaaten stellen sicher, dass die Proben so gelagert werden, damit sie langfristig nachhaltig genutzt werden können.</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(2)</w:t>
      </w:r>
      <w:r w:rsidRPr="001C2358">
        <w:rPr>
          <w:szCs w:val="24"/>
          <w:lang w:eastAsia="en-US"/>
        </w:rPr>
        <w:tab/>
      </w:r>
      <w:r w:rsidRPr="001C2358">
        <w:rPr>
          <w:b/>
          <w:i/>
          <w:szCs w:val="24"/>
          <w:lang w:eastAsia="en-US"/>
        </w:rPr>
        <w:t>Bis zum ... [Amt für Veröffentlichungen: Bitte das Datum = zwölf Monate nach Inkrafttreten dieser Richtlinie einfügen] stellt die Kommission Leitlinien mit Referenzprotokollen für die möglichst kosteneffiziente Nutzung von Bodenproben bereit.</w:t>
      </w:r>
      <w:r>
        <w:rPr>
          <w:b/>
          <w:szCs w:val="24"/>
          <w:lang w:eastAsia="en-US"/>
        </w:rPr>
        <w:t xml:space="preserve"> [Abänd. 82]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b/>
          <w:szCs w:val="24"/>
          <w:lang w:eastAsia="en-US"/>
        </w:rPr>
      </w:pPr>
      <w:r w:rsidRPr="001C2358">
        <w:rPr>
          <w:szCs w:val="24"/>
          <w:lang w:eastAsia="en-US"/>
        </w:rPr>
        <w:lastRenderedPageBreak/>
        <w:t>Artikel 7</w:t>
      </w:r>
      <w:r w:rsidRPr="001C2358">
        <w:rPr>
          <w:szCs w:val="24"/>
          <w:lang w:eastAsia="en-US"/>
        </w:rPr>
        <w:br/>
        <w:t xml:space="preserve">Bodendeskriptoren, Kriterien für </w:t>
      </w:r>
      <w:r w:rsidRPr="001C2358">
        <w:rPr>
          <w:strike/>
          <w:szCs w:val="24"/>
          <w:lang w:eastAsia="en-US"/>
        </w:rPr>
        <w:t>einen gesunden Bodenzustand</w:t>
      </w:r>
      <w:r w:rsidRPr="001C2358">
        <w:rPr>
          <w:b/>
          <w:i/>
          <w:szCs w:val="24"/>
          <w:lang w:eastAsia="en-US"/>
        </w:rPr>
        <w:t>den ökologischen Zustand des Bodens</w:t>
      </w:r>
      <w:r w:rsidRPr="001C2358">
        <w:rPr>
          <w:szCs w:val="24"/>
          <w:lang w:eastAsia="en-US"/>
        </w:rPr>
        <w:t>, Indikatoren für Flächenverbrauch und Bodenversiegelung</w:t>
      </w:r>
      <w:r>
        <w:rPr>
          <w:b/>
          <w:szCs w:val="24"/>
          <w:lang w:eastAsia="en-US"/>
        </w:rPr>
        <w:t xml:space="preserve"> [Abänd. 83]</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Bei der Überwachung und Bewertung </w:t>
      </w:r>
      <w:r w:rsidRPr="001C2358">
        <w:rPr>
          <w:strike/>
          <w:szCs w:val="24"/>
          <w:lang w:eastAsia="en-US"/>
        </w:rPr>
        <w:t>der Bodengesundheit wenden</w:t>
      </w:r>
      <w:r w:rsidRPr="001C2358">
        <w:rPr>
          <w:b/>
          <w:i/>
          <w:szCs w:val="24"/>
          <w:lang w:eastAsia="en-US"/>
        </w:rPr>
        <w:t>des Bodens können</w:t>
      </w:r>
      <w:r w:rsidRPr="001C2358">
        <w:rPr>
          <w:szCs w:val="24"/>
          <w:lang w:eastAsia="en-US"/>
        </w:rPr>
        <w:t xml:space="preserve"> die Mitgliedstaaten die in Anhang I aufgeführten Bodendeskriptoren </w:t>
      </w:r>
      <w:r w:rsidRPr="001C2358">
        <w:rPr>
          <w:strike/>
          <w:szCs w:val="24"/>
          <w:lang w:eastAsia="en-US"/>
        </w:rPr>
        <w:t>und Bodengesundheitskriterien an</w:t>
      </w:r>
      <w:r w:rsidRPr="001C2358">
        <w:rPr>
          <w:b/>
          <w:i/>
          <w:szCs w:val="24"/>
          <w:lang w:eastAsia="en-US"/>
        </w:rPr>
        <w:t>verwenden, die die Bodenmerkmale der einzelnen Bodentypen auf nationaler Ebene am besten abbilden</w:t>
      </w:r>
      <w:r w:rsidRPr="001C2358">
        <w:rPr>
          <w:szCs w:val="24"/>
          <w:lang w:eastAsia="en-US"/>
        </w:rPr>
        <w:t>.</w:t>
      </w:r>
      <w:r>
        <w:rPr>
          <w:b/>
          <w:szCs w:val="24"/>
          <w:lang w:eastAsia="en-US"/>
        </w:rPr>
        <w:t xml:space="preserve"> [Abänd. 228]</w:t>
      </w:r>
    </w:p>
    <w:p w:rsidR="001C2358" w:rsidRPr="001C2358" w:rsidRDefault="001C2358" w:rsidP="001C2358">
      <w:pPr>
        <w:spacing w:before="120" w:after="120" w:line="360" w:lineRule="auto"/>
        <w:ind w:left="850"/>
        <w:rPr>
          <w:szCs w:val="24"/>
          <w:lang w:eastAsia="en-US"/>
        </w:rPr>
      </w:pPr>
      <w:r w:rsidRPr="001C2358">
        <w:rPr>
          <w:szCs w:val="24"/>
          <w:lang w:eastAsia="en-US"/>
        </w:rPr>
        <w:t>Bei der Überwachung des Flächenverbrauchs wenden die Mitgliedstaaten die in Anhang I genannten Indikatoren für Flächenverbrauch und Bodenversiegelung an.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 xml:space="preserve">Die Mitgliedstaaten </w:t>
      </w:r>
      <w:r w:rsidRPr="001C2358">
        <w:rPr>
          <w:strike/>
          <w:szCs w:val="24"/>
          <w:lang w:eastAsia="en-US"/>
        </w:rPr>
        <w:t>können die</w:t>
      </w:r>
      <w:r w:rsidRPr="001C2358">
        <w:rPr>
          <w:b/>
          <w:i/>
          <w:szCs w:val="24"/>
          <w:lang w:eastAsia="en-US"/>
        </w:rPr>
        <w:t>wählen die geeignete Stufe für das Bodenüberwachungskonzept aus, für das sie gemäß den Bedingungen</w:t>
      </w:r>
      <w:r w:rsidRPr="001C2358">
        <w:rPr>
          <w:szCs w:val="24"/>
          <w:lang w:eastAsia="en-US"/>
        </w:rPr>
        <w:t xml:space="preserve"> in Anhang I </w:t>
      </w:r>
      <w:r w:rsidRPr="001C2358">
        <w:rPr>
          <w:strike/>
          <w:szCs w:val="24"/>
          <w:lang w:eastAsia="en-US"/>
        </w:rPr>
        <w:t>Teil A genannten</w:t>
      </w:r>
      <w:r w:rsidRPr="001C2358">
        <w:rPr>
          <w:b/>
          <w:i/>
          <w:szCs w:val="24"/>
          <w:lang w:eastAsia="en-US"/>
        </w:rPr>
        <w:t>infrage kommen, und stellen sicher, dass sie mindestens alle</w:t>
      </w:r>
      <w:r w:rsidRPr="001C2358">
        <w:rPr>
          <w:szCs w:val="24"/>
          <w:lang w:eastAsia="en-US"/>
        </w:rPr>
        <w:t xml:space="preserve"> Bodendeskriptoren </w:t>
      </w:r>
      <w:r w:rsidRPr="001C2358">
        <w:rPr>
          <w:strike/>
          <w:szCs w:val="24"/>
          <w:lang w:eastAsia="en-US"/>
        </w:rPr>
        <w:t xml:space="preserve">und Bodengesundheitskriterien </w:t>
      </w:r>
      <w:r w:rsidRPr="001C2358">
        <w:rPr>
          <w:szCs w:val="24"/>
          <w:lang w:eastAsia="en-US"/>
        </w:rPr>
        <w:t>gemäß</w:t>
      </w:r>
      <w:r w:rsidRPr="001C2358">
        <w:rPr>
          <w:strike/>
          <w:szCs w:val="24"/>
          <w:lang w:eastAsia="en-US"/>
        </w:rPr>
        <w:t xml:space="preserve"> den in den Spalten 2 und 3 der Tabelle in</w:t>
      </w:r>
      <w:r w:rsidRPr="001C2358">
        <w:rPr>
          <w:szCs w:val="24"/>
          <w:lang w:eastAsia="en-US"/>
        </w:rPr>
        <w:t xml:space="preserve"> Anhang I Teil A </w:t>
      </w:r>
      <w:r w:rsidRPr="001C2358">
        <w:rPr>
          <w:strike/>
          <w:szCs w:val="24"/>
          <w:lang w:eastAsia="en-US"/>
        </w:rPr>
        <w:t>genannten Spezifikationen anpassen</w:t>
      </w:r>
      <w:r w:rsidRPr="001C2358">
        <w:rPr>
          <w:b/>
          <w:i/>
          <w:szCs w:val="24"/>
          <w:lang w:eastAsia="en-US"/>
        </w:rPr>
        <w:t>beinhalten</w:t>
      </w:r>
      <w:r w:rsidRPr="001C2358">
        <w:rPr>
          <w:szCs w:val="24"/>
          <w:lang w:eastAsia="en-US"/>
        </w:rPr>
        <w:t>.</w:t>
      </w:r>
      <w:r>
        <w:rPr>
          <w:b/>
          <w:szCs w:val="24"/>
          <w:lang w:eastAsia="en-US"/>
        </w:rPr>
        <w:t xml:space="preserve"> [Abänd. 85]</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(3)</w:t>
      </w:r>
      <w:r w:rsidRPr="001C2358">
        <w:rPr>
          <w:szCs w:val="24"/>
          <w:lang w:eastAsia="en-US"/>
        </w:rPr>
        <w:tab/>
        <w:t xml:space="preserve">Die Mitgliedstaaten legen die organischen Kontaminanten für den Bodenkontaminationsdeskriptor gemäß Anhang I Teil </w:t>
      </w:r>
      <w:r w:rsidRPr="001C2358">
        <w:rPr>
          <w:strike/>
          <w:szCs w:val="24"/>
          <w:lang w:eastAsia="en-US"/>
        </w:rPr>
        <w:t>B</w:t>
      </w:r>
      <w:r w:rsidRPr="001C2358">
        <w:rPr>
          <w:b/>
          <w:i/>
          <w:szCs w:val="24"/>
          <w:lang w:eastAsia="en-US"/>
        </w:rPr>
        <w:t>A</w:t>
      </w:r>
      <w:r w:rsidRPr="001C2358">
        <w:rPr>
          <w:szCs w:val="24"/>
          <w:lang w:eastAsia="en-US"/>
        </w:rPr>
        <w:t xml:space="preserve"> fest.</w:t>
      </w:r>
      <w:r>
        <w:rPr>
          <w:b/>
          <w:szCs w:val="24"/>
          <w:lang w:eastAsia="en-US"/>
        </w:rPr>
        <w:t xml:space="preserve"> [Abänd. 86]</w:t>
      </w:r>
    </w:p>
    <w:p w:rsidR="001C2358" w:rsidRDefault="001C2358">
      <w:pPr>
        <w:widowControl/>
        <w:rPr>
          <w:strike/>
          <w:szCs w:val="24"/>
          <w:lang w:eastAsia="en-US"/>
        </w:rPr>
      </w:pPr>
      <w:r>
        <w:rPr>
          <w:strike/>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trike/>
          <w:szCs w:val="24"/>
          <w:lang w:eastAsia="en-US"/>
        </w:rPr>
        <w:lastRenderedPageBreak/>
        <w:t>(4)</w:t>
      </w:r>
      <w:r w:rsidRPr="001C2358">
        <w:rPr>
          <w:szCs w:val="24"/>
          <w:lang w:eastAsia="en-US"/>
        </w:rPr>
        <w:tab/>
      </w:r>
      <w:r w:rsidRPr="001C2358">
        <w:rPr>
          <w:strike/>
          <w:szCs w:val="24"/>
          <w:lang w:eastAsia="en-US"/>
        </w:rPr>
        <w:t>Die Mitgliedstaaten legen Bodengesundheitskriterien für die in Anhang I Teil B aufgeführten Bodendeskriptoren gemäß den Bestimmungen in Spalte 3 der Tabelle in Anhang I Teil B fest.</w:t>
      </w:r>
      <w:r>
        <w:rPr>
          <w:b/>
          <w:strike/>
          <w:szCs w:val="24"/>
          <w:lang w:eastAsia="en-US"/>
        </w:rPr>
        <w:t xml:space="preserve"> </w:t>
      </w:r>
      <w:r w:rsidRPr="001C2358">
        <w:rPr>
          <w:b/>
          <w:szCs w:val="24"/>
          <w:lang w:eastAsia="en-US"/>
        </w:rPr>
        <w:t>[Abänd. 87]</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(5)</w:t>
      </w:r>
      <w:r w:rsidRPr="001C2358">
        <w:rPr>
          <w:szCs w:val="24"/>
          <w:lang w:eastAsia="en-US"/>
        </w:rPr>
        <w:tab/>
        <w:t xml:space="preserve">Die Mitgliedstaaten können zusätzliche Bodendeskriptoren und Indikatoren für den Flächenverbrauch festlegen und zwar unter anderem die in Anhang I </w:t>
      </w:r>
      <w:r w:rsidRPr="001C2358">
        <w:rPr>
          <w:strike/>
          <w:szCs w:val="24"/>
          <w:lang w:eastAsia="en-US"/>
        </w:rPr>
        <w:t>Teile C und</w:t>
      </w:r>
      <w:r w:rsidRPr="001C2358">
        <w:rPr>
          <w:b/>
          <w:i/>
          <w:szCs w:val="24"/>
          <w:lang w:eastAsia="en-US"/>
        </w:rPr>
        <w:t>Teil</w:t>
      </w:r>
      <w:r w:rsidRPr="001C2358">
        <w:rPr>
          <w:szCs w:val="24"/>
          <w:lang w:eastAsia="en-US"/>
        </w:rPr>
        <w:t xml:space="preserve"> D aufgeführten</w:t>
      </w:r>
      <w:r w:rsidRPr="001C2358">
        <w:rPr>
          <w:strike/>
          <w:szCs w:val="24"/>
          <w:lang w:eastAsia="en-US"/>
        </w:rPr>
        <w:t xml:space="preserve"> fakultativen</w:t>
      </w:r>
      <w:r w:rsidRPr="001C2358">
        <w:rPr>
          <w:szCs w:val="24"/>
          <w:lang w:eastAsia="en-US"/>
        </w:rPr>
        <w:t xml:space="preserve"> Deskriptoren und Indikatoren</w:t>
      </w:r>
      <w:r w:rsidRPr="001C2358">
        <w:rPr>
          <w:strike/>
          <w:szCs w:val="24"/>
          <w:lang w:eastAsia="en-US"/>
        </w:rPr>
        <w:t xml:space="preserve"> („zusätzliche Bodendeskriptoren“ und „zusätzliche Indikatoren für den Flächenverbrauch“)</w:t>
      </w:r>
      <w:r w:rsidRPr="001C2358">
        <w:rPr>
          <w:szCs w:val="24"/>
          <w:lang w:eastAsia="en-US"/>
        </w:rPr>
        <w:t>.</w:t>
      </w:r>
      <w:r>
        <w:rPr>
          <w:b/>
          <w:szCs w:val="24"/>
          <w:lang w:eastAsia="en-US"/>
        </w:rPr>
        <w:t xml:space="preserve"> [Abänd. 88]</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(6)</w:t>
      </w:r>
      <w:r w:rsidRPr="001C2358">
        <w:rPr>
          <w:szCs w:val="24"/>
          <w:lang w:eastAsia="en-US"/>
        </w:rPr>
        <w:tab/>
        <w:t xml:space="preserve">Die Mitgliedstaaten unterrichten die Kommission, wenn sie gemäß den Absätzen 2 bis 5 dieses Artikels </w:t>
      </w:r>
      <w:r w:rsidRPr="001C2358">
        <w:rPr>
          <w:b/>
          <w:i/>
          <w:szCs w:val="24"/>
          <w:lang w:eastAsia="en-US"/>
        </w:rPr>
        <w:t xml:space="preserve">und gemäß Artikel 9 </w:t>
      </w:r>
      <w:r w:rsidRPr="001C2358">
        <w:rPr>
          <w:szCs w:val="24"/>
          <w:lang w:eastAsia="en-US"/>
        </w:rPr>
        <w:t>Bodendeskriptoren, Indikatoren für den Flächenverbrauch und Bodengesundheitskriterien festlegen.</w:t>
      </w:r>
      <w:r>
        <w:rPr>
          <w:b/>
          <w:szCs w:val="24"/>
          <w:lang w:eastAsia="en-US"/>
        </w:rPr>
        <w:t xml:space="preserve"> [Abänd. 89]</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8</w:t>
      </w:r>
      <w:r w:rsidRPr="001C2358">
        <w:rPr>
          <w:szCs w:val="24"/>
          <w:lang w:eastAsia="en-US"/>
        </w:rPr>
        <w:br/>
        <w:t>Messungen und Methoden</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Die Mitgliedstaaten legen</w:t>
      </w:r>
      <w:r w:rsidRPr="001C2358">
        <w:rPr>
          <w:b/>
          <w:i/>
          <w:szCs w:val="24"/>
          <w:lang w:eastAsia="en-US"/>
        </w:rPr>
        <w:t xml:space="preserve"> unter Berücksichtigung von Risikobewertungen auf der Grundlage bestehender Überwachungssysteme</w:t>
      </w:r>
      <w:r w:rsidRPr="001C2358">
        <w:rPr>
          <w:szCs w:val="24"/>
          <w:lang w:eastAsia="en-US"/>
        </w:rPr>
        <w:t xml:space="preserve"> Probenahmestellen nach der in Anhang </w:t>
      </w:r>
      <w:r w:rsidRPr="001C2358">
        <w:rPr>
          <w:strike/>
          <w:szCs w:val="24"/>
          <w:lang w:eastAsia="en-US"/>
        </w:rPr>
        <w:t>II Teil A</w:t>
      </w:r>
      <w:r w:rsidRPr="001C2358">
        <w:rPr>
          <w:b/>
          <w:i/>
          <w:szCs w:val="24"/>
          <w:lang w:eastAsia="en-US"/>
        </w:rPr>
        <w:t>I</w:t>
      </w:r>
      <w:r w:rsidRPr="001C2358">
        <w:rPr>
          <w:szCs w:val="24"/>
          <w:lang w:eastAsia="en-US"/>
        </w:rPr>
        <w:t xml:space="preserve"> beschriebenen Methode </w:t>
      </w:r>
      <w:r w:rsidRPr="001C2358">
        <w:rPr>
          <w:b/>
          <w:i/>
          <w:szCs w:val="24"/>
          <w:lang w:eastAsia="en-US"/>
        </w:rPr>
        <w:t xml:space="preserve">gemäß der für das Bodenüberwachungskonzept ausgewählten Stufe </w:t>
      </w:r>
      <w:r w:rsidRPr="001C2358">
        <w:rPr>
          <w:szCs w:val="24"/>
          <w:lang w:eastAsia="en-US"/>
        </w:rPr>
        <w:t>fest.</w:t>
      </w:r>
      <w:r>
        <w:rPr>
          <w:b/>
          <w:szCs w:val="24"/>
          <w:lang w:eastAsia="en-US"/>
        </w:rPr>
        <w:t xml:space="preserve"> [Abänd. 90]</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Die Mitgliedstaaten führen Bodenmessungen durch, indem sie an den in Absatz 1 genannten Probenahmestellen Bodenproben entnehmen und Daten erheben, verarbeiten und analysieren, um folgende Werte zu ermitteln:</w:t>
      </w:r>
    </w:p>
    <w:p w:rsidR="001C2358" w:rsidRPr="001C2358" w:rsidRDefault="001C2358" w:rsidP="001C2358">
      <w:pPr>
        <w:spacing w:before="120" w:after="120" w:line="360" w:lineRule="auto"/>
        <w:ind w:left="1416" w:hanging="566"/>
        <w:rPr>
          <w:b/>
          <w:szCs w:val="24"/>
          <w:lang w:eastAsia="en-US"/>
        </w:rPr>
      </w:pPr>
      <w:r w:rsidRPr="001C2358">
        <w:rPr>
          <w:szCs w:val="24"/>
          <w:lang w:eastAsia="en-US"/>
        </w:rPr>
        <w:t>a)</w:t>
      </w:r>
      <w:r w:rsidRPr="001C2358">
        <w:rPr>
          <w:szCs w:val="24"/>
          <w:lang w:eastAsia="en-US"/>
        </w:rPr>
        <w:tab/>
        <w:t xml:space="preserve">Werte der Bodendeskriptoren gemäß </w:t>
      </w:r>
      <w:r w:rsidRPr="001C2358">
        <w:rPr>
          <w:b/>
          <w:i/>
          <w:szCs w:val="24"/>
          <w:lang w:eastAsia="en-US"/>
        </w:rPr>
        <w:t xml:space="preserve">der für die Bodenüberwachung gewählten Stufe gemäß </w:t>
      </w:r>
      <w:r w:rsidRPr="001C2358">
        <w:rPr>
          <w:szCs w:val="24"/>
          <w:lang w:eastAsia="en-US"/>
        </w:rPr>
        <w:t>Anhang I;</w:t>
      </w:r>
      <w:r>
        <w:rPr>
          <w:b/>
          <w:szCs w:val="24"/>
          <w:lang w:eastAsia="en-US"/>
        </w:rPr>
        <w:t xml:space="preserve"> [Abänd. 91]</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gegebenenfalls Werte der zusätzlichen Bodendeskriptoren;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Werte der Indikatoren für Flächenverbrauch und Bodenversiegelung gemäß Anhang I Teil D.</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(3)</w:t>
      </w:r>
      <w:r w:rsidRPr="001C2358">
        <w:rPr>
          <w:szCs w:val="24"/>
          <w:lang w:eastAsia="en-US"/>
        </w:rPr>
        <w:tab/>
        <w:t>Die Mitgliedstaaten befolgen die nachstehenden Verfahren und Bestimmungen:</w:t>
      </w:r>
    </w:p>
    <w:p w:rsidR="001C2358" w:rsidRPr="001C2358" w:rsidRDefault="001C2358" w:rsidP="001C2358">
      <w:pPr>
        <w:spacing w:before="120" w:after="120" w:line="360" w:lineRule="auto"/>
        <w:ind w:left="1416" w:hanging="566"/>
        <w:rPr>
          <w:b/>
          <w:szCs w:val="24"/>
          <w:lang w:eastAsia="en-US"/>
        </w:rPr>
      </w:pPr>
      <w:r w:rsidRPr="001C2358">
        <w:rPr>
          <w:szCs w:val="24"/>
          <w:lang w:eastAsia="en-US"/>
        </w:rPr>
        <w:t>a)</w:t>
      </w:r>
      <w:r w:rsidRPr="001C2358">
        <w:rPr>
          <w:szCs w:val="24"/>
          <w:lang w:eastAsia="en-US"/>
        </w:rPr>
        <w:tab/>
        <w:t>Methoden zur Bestimmung oder Schätzung der Werte der Bodendeskriptoren gemäß Anhang II</w:t>
      </w:r>
      <w:r w:rsidRPr="001C2358">
        <w:rPr>
          <w:strike/>
          <w:szCs w:val="24"/>
          <w:lang w:eastAsia="en-US"/>
        </w:rPr>
        <w:t xml:space="preserve"> Teil B</w:t>
      </w:r>
      <w:r w:rsidRPr="001C2358">
        <w:rPr>
          <w:szCs w:val="24"/>
          <w:lang w:eastAsia="en-US"/>
        </w:rPr>
        <w:t>;</w:t>
      </w:r>
      <w:r>
        <w:rPr>
          <w:b/>
          <w:szCs w:val="24"/>
          <w:lang w:eastAsia="en-US"/>
        </w:rPr>
        <w:t xml:space="preserve"> [Abänd. 92]</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methodische Mindestkriterien für die Bestimmung der Werte der Indikatoren für Flächenverbrauch und Bodenversiegelung gemäß Anhang II Teil C;</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etwaige von der Kommission gemäß Absatz 6 festgelegte Anforderungen.</w:t>
      </w:r>
    </w:p>
    <w:p w:rsidR="001C2358" w:rsidRPr="001C2358" w:rsidRDefault="001C2358" w:rsidP="001C2358">
      <w:pPr>
        <w:spacing w:before="120" w:after="120" w:line="360" w:lineRule="auto"/>
        <w:ind w:left="850"/>
        <w:rPr>
          <w:b/>
          <w:szCs w:val="24"/>
          <w:lang w:eastAsia="en-US"/>
        </w:rPr>
      </w:pPr>
      <w:r w:rsidRPr="001C2358">
        <w:rPr>
          <w:szCs w:val="24"/>
          <w:lang w:eastAsia="en-US"/>
        </w:rPr>
        <w:t>Die Mitgliedstaaten können andere als die in Unterabsatz 1 Buchstaben a und b genannten Methoden anwenden, sofern validierte Übertragungsfunktionen wie in Anhang II Teil B Spalte 4 vorgeschrieben verfügbar sind</w:t>
      </w:r>
      <w:r w:rsidRPr="001C2358">
        <w:rPr>
          <w:b/>
          <w:i/>
          <w:szCs w:val="24"/>
          <w:lang w:eastAsia="en-US"/>
        </w:rPr>
        <w:t xml:space="preserve"> oder durch den Vergleich von auf nationaler Ebene erhobenen Daten mit der von der Kommission koordinierten Überwachung vor Ort geschätzt werden können</w:t>
      </w:r>
      <w:r w:rsidRPr="001C2358">
        <w:rPr>
          <w:szCs w:val="24"/>
          <w:lang w:eastAsia="en-US"/>
        </w:rPr>
        <w:t>.</w:t>
      </w:r>
      <w:r>
        <w:rPr>
          <w:b/>
          <w:szCs w:val="24"/>
          <w:lang w:eastAsia="en-US"/>
        </w:rPr>
        <w:t xml:space="preserve"> [Abänd. 93]</w:t>
      </w:r>
    </w:p>
    <w:p w:rsidR="001C2358" w:rsidRPr="001C2358" w:rsidRDefault="001C2358" w:rsidP="001C2358">
      <w:pPr>
        <w:spacing w:before="120" w:after="120" w:line="360" w:lineRule="auto"/>
        <w:ind w:left="850" w:hanging="850"/>
        <w:rPr>
          <w:szCs w:val="24"/>
          <w:lang w:eastAsia="en-US"/>
        </w:rPr>
      </w:pPr>
      <w:r w:rsidRPr="001C2358">
        <w:rPr>
          <w:szCs w:val="24"/>
          <w:lang w:eastAsia="en-US"/>
        </w:rPr>
        <w:t>(4)</w:t>
      </w:r>
      <w:r w:rsidRPr="001C2358">
        <w:rPr>
          <w:szCs w:val="24"/>
          <w:lang w:eastAsia="en-US"/>
        </w:rPr>
        <w:tab/>
        <w:t xml:space="preserve">Die Mitgliedstaaten stellen sicher, dass die ersten Bodenmessungen spätestens bis zum ... (Amt für Veröffentlichungen: Bitte Datum einfügen: </w:t>
      </w:r>
      <w:r w:rsidRPr="001C2358">
        <w:rPr>
          <w:strike/>
          <w:szCs w:val="24"/>
          <w:lang w:eastAsia="en-US"/>
        </w:rPr>
        <w:t>4</w:t>
      </w:r>
      <w:r w:rsidRPr="001C2358">
        <w:rPr>
          <w:b/>
          <w:i/>
          <w:szCs w:val="24"/>
          <w:lang w:eastAsia="en-US"/>
        </w:rPr>
        <w:t>3</w:t>
      </w:r>
      <w:r w:rsidRPr="001C2358">
        <w:rPr>
          <w:szCs w:val="24"/>
          <w:lang w:eastAsia="en-US"/>
        </w:rPr>
        <w:t xml:space="preserve"> Jahre nach Inkrafttreten der Richtlinie) durchgeführt werden.</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(5)</w:t>
      </w:r>
      <w:r w:rsidRPr="001C2358">
        <w:rPr>
          <w:szCs w:val="24"/>
          <w:lang w:eastAsia="en-US"/>
        </w:rPr>
        <w:tab/>
        <w:t xml:space="preserve">Die Mitgliedstaaten stellen sicher, dass mindestens alle </w:t>
      </w:r>
      <w:r w:rsidRPr="001C2358">
        <w:rPr>
          <w:strike/>
          <w:szCs w:val="24"/>
          <w:lang w:eastAsia="en-US"/>
        </w:rPr>
        <w:t>fünf</w:t>
      </w:r>
      <w:r w:rsidRPr="001C2358">
        <w:rPr>
          <w:b/>
          <w:i/>
          <w:szCs w:val="24"/>
          <w:lang w:eastAsia="en-US"/>
        </w:rPr>
        <w:t>sechs</w:t>
      </w:r>
      <w:r w:rsidRPr="001C2358">
        <w:rPr>
          <w:szCs w:val="24"/>
          <w:lang w:eastAsia="en-US"/>
        </w:rPr>
        <w:t xml:space="preserve"> Jahre</w:t>
      </w:r>
      <w:r w:rsidRPr="001C2358">
        <w:rPr>
          <w:b/>
          <w:i/>
          <w:szCs w:val="24"/>
          <w:lang w:eastAsia="en-US"/>
        </w:rPr>
        <w:t xml:space="preserve"> oder früher, wenn eine Veränderung des Bodenzustands vermutet wird,</w:t>
      </w:r>
      <w:r w:rsidRPr="001C2358">
        <w:rPr>
          <w:szCs w:val="24"/>
          <w:lang w:eastAsia="en-US"/>
        </w:rPr>
        <w:t xml:space="preserve"> neue Bodenmessungen durchgeführt werden.</w:t>
      </w:r>
      <w:r w:rsidRPr="001C2358">
        <w:rPr>
          <w:b/>
          <w:i/>
          <w:szCs w:val="24"/>
          <w:lang w:eastAsia="en-US"/>
        </w:rPr>
        <w:t xml:space="preserve"> Die Mitgliedstaaten erleichtern außerdem die von der Kommission koordinierte Bodenüberwachung vor Ort.</w:t>
      </w:r>
    </w:p>
    <w:p w:rsidR="001C2358" w:rsidRPr="001C2358" w:rsidRDefault="001C2358" w:rsidP="001C2358">
      <w:pPr>
        <w:spacing w:before="120" w:after="120" w:line="360" w:lineRule="auto"/>
        <w:ind w:left="850"/>
        <w:rPr>
          <w:b/>
          <w:szCs w:val="24"/>
          <w:lang w:eastAsia="en-US"/>
        </w:rPr>
      </w:pPr>
      <w:r w:rsidRPr="001C2358">
        <w:rPr>
          <w:szCs w:val="24"/>
          <w:lang w:eastAsia="en-US"/>
        </w:rPr>
        <w:t xml:space="preserve">Die Mitgliedstaaten stellen sicher, dass die Werte der Indikatoren für Flächenverbrauch und Bodenversiegelung mindestens </w:t>
      </w:r>
      <w:r w:rsidRPr="001C2358">
        <w:rPr>
          <w:strike/>
          <w:szCs w:val="24"/>
          <w:lang w:eastAsia="en-US"/>
        </w:rPr>
        <w:t>einmal jährlich</w:t>
      </w:r>
      <w:r w:rsidRPr="001C2358">
        <w:rPr>
          <w:b/>
          <w:i/>
          <w:szCs w:val="24"/>
          <w:lang w:eastAsia="en-US"/>
        </w:rPr>
        <w:t>alle zwei Jahre</w:t>
      </w:r>
      <w:r w:rsidRPr="001C2358">
        <w:rPr>
          <w:szCs w:val="24"/>
          <w:lang w:eastAsia="en-US"/>
        </w:rPr>
        <w:t xml:space="preserve"> aktualisiert werden.</w:t>
      </w:r>
      <w:r>
        <w:rPr>
          <w:b/>
          <w:szCs w:val="24"/>
          <w:lang w:eastAsia="en-US"/>
        </w:rPr>
        <w:t xml:space="preserve"> [Abänd. 95]</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(6)</w:t>
      </w:r>
      <w:r w:rsidRPr="001C2358">
        <w:rPr>
          <w:szCs w:val="24"/>
          <w:lang w:eastAsia="en-US"/>
        </w:rPr>
        <w:tab/>
        <w:t>Der Kommission wird die Befugnis übertragen, gemäß Artikel 20 delegierte Rechtsakte zur Änderung des Anhangs II und zur Anpassung der darin genannten Referenzmethoden an den wissenschaftlichen und technischen Fortschritt zu erlassen</w:t>
      </w:r>
      <w:r w:rsidRPr="001C2358">
        <w:rPr>
          <w:strike/>
          <w:szCs w:val="24"/>
          <w:lang w:eastAsia="en-US"/>
        </w:rPr>
        <w:t>, insbesondere wenn die Werte von Bodendeskriptoren durch Fernerkundung gemäß Artikel 6 Absatz 5 bestimmt werden können</w:t>
      </w:r>
      <w:r w:rsidRPr="001C2358">
        <w:rPr>
          <w:szCs w:val="24"/>
          <w:lang w:eastAsia="en-US"/>
        </w:rPr>
        <w:t>.</w:t>
      </w:r>
      <w:r>
        <w:rPr>
          <w:b/>
          <w:szCs w:val="24"/>
          <w:lang w:eastAsia="en-US"/>
        </w:rPr>
        <w:t xml:space="preserve"> [Abänd. 96]</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9</w:t>
      </w:r>
      <w:r w:rsidRPr="001C2358">
        <w:rPr>
          <w:szCs w:val="24"/>
          <w:lang w:eastAsia="en-US"/>
        </w:rPr>
        <w:br/>
        <w:t>Bewertung der Bodengesundheit</w:t>
      </w:r>
    </w:p>
    <w:p w:rsidR="001C2358" w:rsidRPr="001C2358"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Die Mitgliedstaaten bewerten</w:t>
      </w:r>
      <w:r w:rsidRPr="001C2358">
        <w:rPr>
          <w:b/>
          <w:i/>
          <w:szCs w:val="24"/>
          <w:lang w:eastAsia="en-US"/>
        </w:rPr>
        <w:t xml:space="preserve"> gemäß der für das Bodenüberwachungskonzept ausgewählten Stufe</w:t>
      </w:r>
      <w:r w:rsidRPr="001C2358">
        <w:rPr>
          <w:szCs w:val="24"/>
          <w:lang w:eastAsia="en-US"/>
        </w:rPr>
        <w:t xml:space="preserve"> die Bodengesundheit in all ihren Bodenbezirken auf Grundlage der im Zusammenhang mit der Überwachung gemäß den Artikeln 6, 7 und 8 für jeden der in Anhang I </w:t>
      </w:r>
      <w:r w:rsidRPr="001C2358">
        <w:rPr>
          <w:strike/>
          <w:szCs w:val="24"/>
          <w:lang w:eastAsia="en-US"/>
        </w:rPr>
        <w:t xml:space="preserve">Teile A und B </w:t>
      </w:r>
      <w:r w:rsidRPr="001C2358">
        <w:rPr>
          <w:szCs w:val="24"/>
          <w:lang w:eastAsia="en-US"/>
        </w:rPr>
        <w:t>genannten Bodendeskriptoren erhobenen Daten</w:t>
      </w:r>
      <w:r w:rsidRPr="001C2358">
        <w:rPr>
          <w:b/>
          <w:i/>
          <w:szCs w:val="24"/>
          <w:lang w:eastAsia="en-US"/>
        </w:rPr>
        <w:t>, und zwar unter Berücksichtigung der historischen und natürlichen Gegebenheiten des Bodens</w:t>
      </w:r>
      <w:r w:rsidRPr="001C2358">
        <w:rPr>
          <w:szCs w:val="24"/>
          <w:lang w:eastAsia="en-US"/>
        </w:rPr>
        <w:t>.</w:t>
      </w:r>
      <w:r>
        <w:rPr>
          <w:b/>
          <w:szCs w:val="24"/>
          <w:lang w:eastAsia="en-US"/>
        </w:rPr>
        <w:t xml:space="preserve"> [Abänd. 97]</w:t>
      </w:r>
    </w:p>
    <w:p w:rsidR="001C2358" w:rsidRPr="001C2358" w:rsidRDefault="001C2358" w:rsidP="001C2358">
      <w:pPr>
        <w:spacing w:before="120" w:after="120" w:line="360" w:lineRule="auto"/>
        <w:ind w:left="850"/>
        <w:rPr>
          <w:b/>
          <w:szCs w:val="24"/>
          <w:lang w:eastAsia="en-US"/>
        </w:rPr>
      </w:pPr>
      <w:r w:rsidRPr="001C2358">
        <w:rPr>
          <w:b/>
          <w:i/>
          <w:szCs w:val="24"/>
          <w:lang w:eastAsia="en-US"/>
        </w:rPr>
        <w:t xml:space="preserve">Bei der Bewertung des ökologischen Zustands des Bodens berücksichtigen </w:t>
      </w:r>
      <w:r w:rsidRPr="001C2358">
        <w:rPr>
          <w:szCs w:val="24"/>
          <w:lang w:eastAsia="en-US"/>
        </w:rPr>
        <w:t>die Mitgliedstaaten</w:t>
      </w:r>
      <w:r w:rsidRPr="001C2358">
        <w:rPr>
          <w:strike/>
          <w:szCs w:val="24"/>
          <w:lang w:eastAsia="en-US"/>
        </w:rPr>
        <w:t xml:space="preserve"> berücksichtigen</w:t>
      </w:r>
      <w:r w:rsidRPr="001C2358">
        <w:rPr>
          <w:szCs w:val="24"/>
          <w:lang w:eastAsia="en-US"/>
        </w:rPr>
        <w:t xml:space="preserve"> außerdem die im Zusammenhang mit den Bodenuntersuchungen gemäß Artikel 14 erhobenen Daten.</w:t>
      </w:r>
      <w:r>
        <w:rPr>
          <w:b/>
          <w:szCs w:val="24"/>
          <w:lang w:eastAsia="en-US"/>
        </w:rPr>
        <w:t xml:space="preserve"> [Abänd. 98]</w:t>
      </w:r>
    </w:p>
    <w:p w:rsidR="001C2358" w:rsidRPr="001C2358" w:rsidRDefault="001C2358" w:rsidP="001C2358">
      <w:pPr>
        <w:spacing w:before="120" w:after="120" w:line="360" w:lineRule="auto"/>
        <w:ind w:left="850"/>
        <w:rPr>
          <w:b/>
          <w:szCs w:val="24"/>
          <w:lang w:eastAsia="en-US"/>
        </w:rPr>
      </w:pPr>
      <w:r w:rsidRPr="001C2358">
        <w:rPr>
          <w:szCs w:val="24"/>
          <w:lang w:eastAsia="en-US"/>
        </w:rPr>
        <w:t xml:space="preserve">Die Mitgliedstaaten stellen sicher, dass die </w:t>
      </w:r>
      <w:r w:rsidRPr="001C2358">
        <w:rPr>
          <w:strike/>
          <w:szCs w:val="24"/>
          <w:lang w:eastAsia="en-US"/>
        </w:rPr>
        <w:t>Bodengesundheitsbewertungen</w:t>
      </w:r>
      <w:r w:rsidRPr="001C2358">
        <w:rPr>
          <w:b/>
          <w:i/>
          <w:szCs w:val="24"/>
          <w:lang w:eastAsia="en-US"/>
        </w:rPr>
        <w:t>Bewertungen des ökologischen Zustands des Bodens</w:t>
      </w:r>
      <w:r w:rsidRPr="001C2358">
        <w:rPr>
          <w:szCs w:val="24"/>
          <w:lang w:eastAsia="en-US"/>
        </w:rPr>
        <w:t xml:space="preserve"> mindestens alle </w:t>
      </w:r>
      <w:r w:rsidRPr="001C2358">
        <w:rPr>
          <w:strike/>
          <w:szCs w:val="24"/>
          <w:lang w:eastAsia="en-US"/>
        </w:rPr>
        <w:t>fünf</w:t>
      </w:r>
      <w:r w:rsidRPr="001C2358">
        <w:rPr>
          <w:b/>
          <w:i/>
          <w:szCs w:val="24"/>
          <w:lang w:eastAsia="en-US"/>
        </w:rPr>
        <w:t>sechs</w:t>
      </w:r>
      <w:r w:rsidRPr="001C2358">
        <w:rPr>
          <w:szCs w:val="24"/>
          <w:lang w:eastAsia="en-US"/>
        </w:rPr>
        <w:t xml:space="preserve"> Jahre und die erste Bewertung</w:t>
      </w:r>
      <w:r w:rsidRPr="001C2358">
        <w:rPr>
          <w:strike/>
          <w:szCs w:val="24"/>
          <w:lang w:eastAsia="en-US"/>
        </w:rPr>
        <w:t xml:space="preserve"> der Bodengesundheit</w:t>
      </w:r>
      <w:r w:rsidRPr="001C2358">
        <w:rPr>
          <w:szCs w:val="24"/>
          <w:lang w:eastAsia="en-US"/>
        </w:rPr>
        <w:t xml:space="preserve"> bis zum ... (Amt für Veröffentlichungen: Bitte Datum einfügen: 5 Jahre nach Inkrafttreten der Richtlinie) durchgeführt wird</w:t>
      </w:r>
      <w:r w:rsidRPr="001C2358">
        <w:rPr>
          <w:b/>
          <w:i/>
          <w:szCs w:val="24"/>
          <w:lang w:eastAsia="en-US"/>
        </w:rPr>
        <w:t xml:space="preserve"> und diesen Bewertungen Berichte über die jeweiligen Verbesserungen, Trends, Fortschritte oder Rückschritte beigelegt werden</w:t>
      </w:r>
      <w:r w:rsidRPr="001C2358">
        <w:rPr>
          <w:szCs w:val="24"/>
          <w:lang w:eastAsia="en-US"/>
        </w:rPr>
        <w:t>.</w:t>
      </w:r>
      <w:r>
        <w:rPr>
          <w:b/>
          <w:szCs w:val="24"/>
          <w:lang w:eastAsia="en-US"/>
        </w:rPr>
        <w:t xml:space="preserve"> [Abänd. 99]</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(2)</w:t>
      </w:r>
      <w:r w:rsidRPr="001C2358">
        <w:rPr>
          <w:szCs w:val="24"/>
          <w:lang w:eastAsia="en-US"/>
        </w:rPr>
        <w:tab/>
        <w:t xml:space="preserve">Böden gelten als gesund im Sinne dieser Richtlinie, wenn </w:t>
      </w:r>
      <w:r w:rsidRPr="001C2358">
        <w:rPr>
          <w:strike/>
          <w:szCs w:val="24"/>
          <w:lang w:eastAsia="en-US"/>
        </w:rPr>
        <w:t>alle folgenden Bedingungen erfüllt sind:</w:t>
      </w:r>
      <w:r w:rsidRPr="001C2358">
        <w:rPr>
          <w:b/>
          <w:i/>
          <w:szCs w:val="24"/>
          <w:lang w:eastAsia="en-US"/>
        </w:rPr>
        <w:t>sie entweder in guten oder sehr guten ökologischen Zustand eingestuft werden.</w:t>
      </w:r>
    </w:p>
    <w:p w:rsidR="001C2358" w:rsidRPr="001C2358" w:rsidRDefault="001C2358" w:rsidP="001C2358">
      <w:pPr>
        <w:spacing w:before="120" w:after="120" w:line="360" w:lineRule="auto"/>
        <w:ind w:left="1416" w:hanging="566"/>
        <w:rPr>
          <w:szCs w:val="24"/>
          <w:lang w:eastAsia="en-US"/>
        </w:rPr>
      </w:pPr>
      <w:r w:rsidRPr="001C2358">
        <w:rPr>
          <w:strike/>
          <w:szCs w:val="24"/>
          <w:lang w:eastAsia="en-US"/>
        </w:rPr>
        <w:t>a)</w:t>
      </w:r>
      <w:r w:rsidRPr="001C2358">
        <w:rPr>
          <w:szCs w:val="24"/>
          <w:lang w:eastAsia="en-US"/>
        </w:rPr>
        <w:tab/>
      </w:r>
      <w:r w:rsidRPr="001C2358">
        <w:rPr>
          <w:strike/>
          <w:szCs w:val="24"/>
          <w:lang w:eastAsia="en-US"/>
        </w:rPr>
        <w:t>Die Werte aller in Anhang I Teil A aufgeführten Bodendeskriptoren erfüllen die dort festgelegten und gegebenenfalls gemäß Artikel 7 angepassten Kriterien.</w:t>
      </w:r>
    </w:p>
    <w:p w:rsidR="001C2358" w:rsidRPr="001C2358" w:rsidRDefault="001C2358" w:rsidP="001C2358">
      <w:pPr>
        <w:spacing w:before="120" w:after="120" w:line="360" w:lineRule="auto"/>
        <w:ind w:left="1416" w:hanging="566"/>
        <w:rPr>
          <w:b/>
          <w:szCs w:val="24"/>
          <w:lang w:eastAsia="en-US"/>
        </w:rPr>
      </w:pPr>
      <w:r w:rsidRPr="001C2358">
        <w:rPr>
          <w:strike/>
          <w:szCs w:val="24"/>
          <w:lang w:eastAsia="en-US"/>
        </w:rPr>
        <w:t>b)</w:t>
      </w:r>
      <w:r w:rsidRPr="001C2358">
        <w:rPr>
          <w:szCs w:val="24"/>
          <w:lang w:eastAsia="en-US"/>
        </w:rPr>
        <w:tab/>
      </w:r>
      <w:r w:rsidRPr="001C2358">
        <w:rPr>
          <w:strike/>
          <w:szCs w:val="24"/>
          <w:lang w:eastAsia="en-US"/>
        </w:rPr>
        <w:t>Die Werte aller in Anhang I Teil B aufgeführten Bodendeskriptoren erfüllen die gemäß Artikel 7 festgelegten Kriterien („gesunder Boden“).</w:t>
      </w:r>
      <w:r>
        <w:rPr>
          <w:b/>
          <w:strike/>
          <w:szCs w:val="24"/>
          <w:lang w:eastAsia="en-US"/>
        </w:rPr>
        <w:t xml:space="preserve"> </w:t>
      </w:r>
      <w:r w:rsidRPr="001C2358">
        <w:rPr>
          <w:b/>
          <w:szCs w:val="24"/>
          <w:lang w:eastAsia="en-US"/>
        </w:rPr>
        <w:t>[Abänd. 100]</w:t>
      </w:r>
    </w:p>
    <w:p w:rsidR="001C2358" w:rsidRPr="001C2358" w:rsidRDefault="001C2358" w:rsidP="001C2358">
      <w:pPr>
        <w:spacing w:before="120" w:after="120" w:line="360" w:lineRule="auto"/>
        <w:ind w:left="850"/>
        <w:rPr>
          <w:b/>
          <w:szCs w:val="24"/>
          <w:lang w:eastAsia="en-US"/>
        </w:rPr>
      </w:pPr>
      <w:r w:rsidRPr="001C2358">
        <w:rPr>
          <w:strike/>
          <w:szCs w:val="24"/>
          <w:lang w:eastAsia="en-US"/>
        </w:rPr>
        <w:t>Abweichend von Unterabsatz 1 werden bei der Bewertung von Böden innerhalb einer in Anhang I Spalte 4 aufgeführten Bodenfläche die in Spalte 3 für diese Fläche festgelegten Werte nicht berücksichtigt.</w:t>
      </w:r>
      <w:r w:rsidRPr="001C2358">
        <w:rPr>
          <w:b/>
          <w:szCs w:val="24"/>
          <w:lang w:eastAsia="en-US"/>
        </w:rPr>
        <w:t xml:space="preserve"> [Abänd. 101]</w:t>
      </w:r>
    </w:p>
    <w:p w:rsidR="001C2358" w:rsidRPr="001C2358" w:rsidRDefault="001C2358" w:rsidP="001C2358">
      <w:pPr>
        <w:spacing w:before="120" w:after="120" w:line="360" w:lineRule="auto"/>
        <w:ind w:left="850"/>
        <w:rPr>
          <w:b/>
          <w:szCs w:val="24"/>
          <w:lang w:eastAsia="en-US"/>
        </w:rPr>
      </w:pPr>
      <w:r w:rsidRPr="001C2358">
        <w:rPr>
          <w:strike/>
          <w:szCs w:val="24"/>
          <w:lang w:eastAsia="en-US"/>
        </w:rPr>
        <w:t>Böden gelten als ungesund, wenn mindestens eines der in Unterabsatz 1 genannten Kriterien nicht erfüllt ist („ungesunder Boden“).</w:t>
      </w:r>
      <w:r>
        <w:rPr>
          <w:b/>
          <w:strike/>
          <w:szCs w:val="24"/>
          <w:lang w:eastAsia="en-US"/>
        </w:rPr>
        <w:t xml:space="preserve"> </w:t>
      </w:r>
      <w:r w:rsidRPr="001C2358">
        <w:rPr>
          <w:b/>
          <w:szCs w:val="24"/>
          <w:lang w:eastAsia="en-US"/>
        </w:rPr>
        <w:t>[Abänd. 102]</w:t>
      </w:r>
    </w:p>
    <w:p w:rsidR="001C2358" w:rsidRDefault="001C2358">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b/>
          <w:szCs w:val="24"/>
          <w:lang w:eastAsia="en-US"/>
        </w:rPr>
      </w:pPr>
      <w:r w:rsidRPr="001C2358">
        <w:rPr>
          <w:szCs w:val="24"/>
          <w:lang w:eastAsia="en-US"/>
        </w:rPr>
        <w:lastRenderedPageBreak/>
        <w:t>(3)</w:t>
      </w:r>
      <w:r w:rsidRPr="001C2358">
        <w:rPr>
          <w:szCs w:val="24"/>
          <w:lang w:eastAsia="en-US"/>
        </w:rPr>
        <w:tab/>
        <w:t xml:space="preserve">Die Mitgliedstaaten analysieren die Werte der in Anhang I </w:t>
      </w:r>
      <w:r w:rsidRPr="001C2358">
        <w:rPr>
          <w:strike/>
          <w:szCs w:val="24"/>
          <w:lang w:eastAsia="en-US"/>
        </w:rPr>
        <w:t>Teil</w:t>
      </w:r>
      <w:r w:rsidRPr="001C2358">
        <w:rPr>
          <w:b/>
          <w:i/>
          <w:szCs w:val="24"/>
          <w:lang w:eastAsia="en-US"/>
        </w:rPr>
        <w:t>Teile A, B und</w:t>
      </w:r>
      <w:r w:rsidRPr="001C2358">
        <w:rPr>
          <w:szCs w:val="24"/>
          <w:lang w:eastAsia="en-US"/>
        </w:rPr>
        <w:t xml:space="preserve"> C aufgeführten Bodendeskriptoren</w:t>
      </w:r>
      <w:r w:rsidRPr="001C2358">
        <w:rPr>
          <w:b/>
          <w:i/>
          <w:szCs w:val="24"/>
          <w:lang w:eastAsia="en-US"/>
        </w:rPr>
        <w:t xml:space="preserve"> gemäß der für die Bodenüberwachung gewählten Stufe</w:t>
      </w:r>
      <w:r w:rsidRPr="001C2358">
        <w:rPr>
          <w:szCs w:val="24"/>
          <w:lang w:eastAsia="en-US"/>
        </w:rPr>
        <w:t xml:space="preserve"> und prüfen unter Berücksichtigung der einschlägigen Daten und verfügbaren wissenschaftlichen Erkenntnisse, ob ein kritischer Verlust von </w:t>
      </w:r>
      <w:r w:rsidRPr="001C2358">
        <w:rPr>
          <w:b/>
          <w:i/>
          <w:szCs w:val="24"/>
          <w:lang w:eastAsia="en-US"/>
        </w:rPr>
        <w:t xml:space="preserve">Bodendiversität und </w:t>
      </w:r>
      <w:r w:rsidRPr="001C2358">
        <w:rPr>
          <w:szCs w:val="24"/>
          <w:lang w:eastAsia="en-US"/>
        </w:rPr>
        <w:t>Ökosystemleistungen vorliegt.</w:t>
      </w:r>
      <w:r>
        <w:rPr>
          <w:b/>
          <w:szCs w:val="24"/>
          <w:lang w:eastAsia="en-US"/>
        </w:rPr>
        <w:t xml:space="preserve"> [Abänd. 103]</w:t>
      </w:r>
    </w:p>
    <w:p w:rsidR="001C2358" w:rsidRPr="001C2358" w:rsidRDefault="001C2358" w:rsidP="001C2358">
      <w:pPr>
        <w:spacing w:before="120" w:after="120" w:line="360" w:lineRule="auto"/>
        <w:ind w:left="850"/>
        <w:rPr>
          <w:szCs w:val="24"/>
          <w:lang w:eastAsia="en-US"/>
        </w:rPr>
      </w:pPr>
      <w:r w:rsidRPr="001C2358">
        <w:rPr>
          <w:szCs w:val="24"/>
          <w:lang w:eastAsia="en-US"/>
        </w:rPr>
        <w:t>Die Mitgliedstaaten analysieren die Werte der Indikatoren für Flächenverbrauch und Bodenversiegelung gemäß Anhang I Teil D und bewerten deren Auswirkungen auf den Verlust von Ökosystemleistungen sowie auf die in der Verordnung (EU) 2018/841 festgelegten Ziele und Vorgaben.</w:t>
      </w:r>
    </w:p>
    <w:p w:rsidR="001C2358" w:rsidRPr="008D037E" w:rsidRDefault="001C2358" w:rsidP="001C2358">
      <w:pPr>
        <w:spacing w:before="120" w:after="120" w:line="360" w:lineRule="auto"/>
        <w:ind w:left="850" w:hanging="850"/>
        <w:rPr>
          <w:b/>
          <w:szCs w:val="24"/>
          <w:lang w:eastAsia="en-US"/>
        </w:rPr>
      </w:pPr>
      <w:r w:rsidRPr="001C2358">
        <w:rPr>
          <w:szCs w:val="24"/>
          <w:lang w:eastAsia="en-US"/>
        </w:rPr>
        <w:t>(4)</w:t>
      </w:r>
      <w:r w:rsidRPr="001C2358">
        <w:rPr>
          <w:szCs w:val="24"/>
          <w:lang w:eastAsia="en-US"/>
        </w:rPr>
        <w:tab/>
        <w:t xml:space="preserve">Auf der Grundlage der gemäß diesem Artikel durchgeführten Bewertung der Bodengesundheit ermittelt die zuständige Behörde – gegebenenfalls in Abstimmung mit den lokalen, regionalen und nationalen Behörden – für jeden Bodenbezirk die Flächen </w:t>
      </w:r>
      <w:r w:rsidRPr="001C2358">
        <w:rPr>
          <w:strike/>
          <w:szCs w:val="24"/>
          <w:lang w:eastAsia="en-US"/>
        </w:rPr>
        <w:t>mit ungesunden Böden</w:t>
      </w:r>
      <w:r w:rsidRPr="001C2358">
        <w:rPr>
          <w:b/>
          <w:i/>
          <w:szCs w:val="24"/>
          <w:lang w:eastAsia="en-US"/>
        </w:rPr>
        <w:t>, die sich nicht in sehr gutem oder gutem ökologischen Zustand befinden,</w:t>
      </w:r>
      <w:r>
        <w:rPr>
          <w:szCs w:val="24"/>
          <w:lang w:eastAsia="en-US"/>
        </w:rPr>
        <w:t xml:space="preserve"> </w:t>
      </w:r>
      <w:r w:rsidRPr="001C2358">
        <w:rPr>
          <w:szCs w:val="24"/>
          <w:lang w:eastAsia="en-US"/>
        </w:rPr>
        <w:t>und informiert die Öffentlichkeit gemäß Artikel 19 darüber.</w:t>
      </w:r>
      <w:r w:rsidR="008D037E">
        <w:rPr>
          <w:b/>
          <w:szCs w:val="24"/>
          <w:lang w:eastAsia="en-US"/>
        </w:rPr>
        <w:t xml:space="preserve"> [Abänd. 104]</w:t>
      </w:r>
    </w:p>
    <w:p w:rsidR="001C2358" w:rsidRPr="001C2358" w:rsidRDefault="001C2358" w:rsidP="001C2358">
      <w:pPr>
        <w:spacing w:before="120" w:after="120" w:line="360" w:lineRule="auto"/>
        <w:ind w:left="850" w:hanging="850"/>
        <w:rPr>
          <w:b/>
          <w:szCs w:val="24"/>
          <w:lang w:eastAsia="en-US"/>
        </w:rPr>
      </w:pPr>
      <w:r w:rsidRPr="001C2358">
        <w:rPr>
          <w:b/>
          <w:i/>
          <w:szCs w:val="24"/>
          <w:lang w:eastAsia="en-US"/>
        </w:rPr>
        <w:t>(4a)</w:t>
      </w:r>
      <w:r w:rsidRPr="001C2358">
        <w:rPr>
          <w:szCs w:val="24"/>
          <w:lang w:eastAsia="en-US"/>
        </w:rPr>
        <w:tab/>
      </w:r>
      <w:r w:rsidRPr="001C2358">
        <w:rPr>
          <w:b/>
          <w:i/>
          <w:szCs w:val="24"/>
          <w:lang w:eastAsia="en-US"/>
        </w:rPr>
        <w:t>Die Kommission erlässt bis zum 31. Dezember 2026 gemäß Artikel 20 delegierte Rechtsakte, um diese Verordnung durch Festlegung einer Methode zur Bestimmung der Schwellenwerte für die in Anhang I aufgeführten Bodendeskriptoren für jeden ökologischen Zustand des Bodens zu ergänzen. Die Methode trägt den neuesten wissenschaftlichen Erkenntnissen und den unterschiedlichen klimatischen Bedingungen und Bodenarten Rechnung.</w:t>
      </w:r>
      <w:r>
        <w:rPr>
          <w:b/>
          <w:szCs w:val="24"/>
          <w:lang w:eastAsia="en-US"/>
        </w:rPr>
        <w:t xml:space="preserve"> [Abänd. 10</w:t>
      </w:r>
      <w:r w:rsidR="008D037E">
        <w:rPr>
          <w:b/>
          <w:szCs w:val="24"/>
          <w:lang w:eastAsia="en-US"/>
        </w:rPr>
        <w:t>5</w:t>
      </w:r>
      <w:r>
        <w:rPr>
          <w:b/>
          <w:szCs w:val="24"/>
          <w:lang w:eastAsia="en-US"/>
        </w:rPr>
        <w:t>]</w:t>
      </w:r>
    </w:p>
    <w:p w:rsidR="008D037E" w:rsidRDefault="008D037E">
      <w:pPr>
        <w:widowControl/>
        <w:rPr>
          <w:b/>
          <w:i/>
          <w:szCs w:val="24"/>
          <w:lang w:eastAsia="en-US"/>
        </w:rPr>
      </w:pPr>
      <w:r>
        <w:rPr>
          <w:b/>
          <w:i/>
          <w:szCs w:val="24"/>
          <w:lang w:eastAsia="en-US"/>
        </w:rPr>
        <w:br w:type="page"/>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lastRenderedPageBreak/>
        <w:t>(4b)</w:t>
      </w:r>
      <w:r w:rsidRPr="001C2358">
        <w:rPr>
          <w:szCs w:val="24"/>
          <w:lang w:eastAsia="en-US"/>
        </w:rPr>
        <w:tab/>
      </w:r>
      <w:r w:rsidRPr="001C2358">
        <w:rPr>
          <w:b/>
          <w:i/>
          <w:szCs w:val="24"/>
          <w:lang w:eastAsia="en-US"/>
        </w:rPr>
        <w:t>Die Mitgliedstaaten legen der Kommission bis zum 30. Juni 2028 Entwürfe von Schwellenwerten für die in Anhang I aufgeführten Bodendeskriptoren vor, wobei sie die klimatischen Bedingungen, die Art des Bodens und der Landfläche sowie die wissenschaftliche Begründung und die Belege, auf die sie ihre Wahl gestützt haben, berücksichtigen.</w:t>
      </w:r>
      <w:r w:rsidR="008D037E">
        <w:rPr>
          <w:b/>
          <w:szCs w:val="24"/>
          <w:lang w:eastAsia="en-US"/>
        </w:rPr>
        <w:t xml:space="preserve"> [Abänd. 106]</w:t>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t>(4c)</w:t>
      </w:r>
      <w:r w:rsidRPr="001C2358">
        <w:rPr>
          <w:szCs w:val="24"/>
          <w:lang w:eastAsia="en-US"/>
        </w:rPr>
        <w:tab/>
      </w:r>
      <w:r w:rsidRPr="001C2358">
        <w:rPr>
          <w:b/>
          <w:i/>
          <w:szCs w:val="24"/>
          <w:lang w:eastAsia="en-US"/>
        </w:rPr>
        <w:t>Innerhalb von sechs Monaten nach Vorlage der in Absatz 4b genannten Entwürfe der Schwellenwerte nimmt die Kommission zu den Entwürfen der Schwellenwerte Stellung, bewertet die wissenschaftliche Begründung und sorgt für gleiche Wettbewerbsbedingungen im Binnenmarkt. Auf Antrag der Kommission stellen die Mitgliedstaaten der Kommission alle erforderlichen zusätzlichen Informationen zur Verfügung und überarbeiten gegebenenfalls die vorgeschlagenen Schwellenwerte.</w:t>
      </w:r>
      <w:r w:rsidR="008D037E">
        <w:rPr>
          <w:b/>
          <w:szCs w:val="24"/>
          <w:lang w:eastAsia="en-US"/>
        </w:rPr>
        <w:t xml:space="preserve"> [Abänd. 107]</w:t>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t>(4d)</w:t>
      </w:r>
      <w:r w:rsidRPr="001C2358">
        <w:rPr>
          <w:szCs w:val="24"/>
          <w:lang w:eastAsia="en-US"/>
        </w:rPr>
        <w:tab/>
      </w:r>
      <w:r w:rsidRPr="001C2358">
        <w:rPr>
          <w:b/>
          <w:i/>
          <w:szCs w:val="24"/>
          <w:lang w:eastAsia="en-US"/>
        </w:rPr>
        <w:t>Sofern etwaigen Stellungnahmen der Kommission gemäß Absatz 4c angemessen Rechnung getragen wurde, genehmigt die Kommission im Wege von Durchführungsrechtsakten spätestens bis zum 31. Dezember 2029 die Schwellenwerte.</w:t>
      </w:r>
      <w:r w:rsidR="008D037E">
        <w:rPr>
          <w:b/>
          <w:szCs w:val="24"/>
          <w:lang w:eastAsia="en-US"/>
        </w:rPr>
        <w:t xml:space="preserve"> [Abänd. 108]</w:t>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t>(4e)</w:t>
      </w:r>
      <w:r w:rsidRPr="001C2358">
        <w:rPr>
          <w:szCs w:val="24"/>
          <w:lang w:eastAsia="en-US"/>
        </w:rPr>
        <w:tab/>
      </w:r>
      <w:r w:rsidRPr="001C2358">
        <w:rPr>
          <w:b/>
          <w:i/>
          <w:szCs w:val="24"/>
          <w:lang w:eastAsia="en-US"/>
        </w:rPr>
        <w:t>Bei der Anwendung einer Stufe 2 für das Bodenüberwachungskonzept können die Mitgliedstaaten bis zu 20 % von den gemäß Absatz 4d festgelegten Schwellenwerten abweichen.</w:t>
      </w:r>
      <w:r w:rsidR="008D037E">
        <w:rPr>
          <w:b/>
          <w:szCs w:val="24"/>
          <w:lang w:eastAsia="en-US"/>
        </w:rPr>
        <w:t xml:space="preserve"> [Abänd. 110]</w:t>
      </w:r>
    </w:p>
    <w:p w:rsidR="008D037E" w:rsidRDefault="008D037E">
      <w:pPr>
        <w:widowControl/>
        <w:rPr>
          <w:strike/>
          <w:szCs w:val="24"/>
          <w:lang w:eastAsia="en-US"/>
        </w:rPr>
      </w:pPr>
      <w:r>
        <w:rPr>
          <w:strike/>
          <w:szCs w:val="24"/>
          <w:lang w:eastAsia="en-US"/>
        </w:rPr>
        <w:br w:type="page"/>
      </w:r>
    </w:p>
    <w:p w:rsidR="001C2358" w:rsidRPr="008D037E" w:rsidRDefault="001C2358" w:rsidP="001C2358">
      <w:pPr>
        <w:spacing w:before="120" w:after="120" w:line="360" w:lineRule="auto"/>
        <w:ind w:left="850" w:hanging="850"/>
        <w:rPr>
          <w:b/>
          <w:szCs w:val="24"/>
          <w:lang w:eastAsia="en-US"/>
        </w:rPr>
      </w:pPr>
      <w:r w:rsidRPr="001C2358">
        <w:rPr>
          <w:strike/>
          <w:szCs w:val="24"/>
          <w:lang w:eastAsia="en-US"/>
        </w:rPr>
        <w:lastRenderedPageBreak/>
        <w:t>(5)</w:t>
      </w:r>
      <w:r w:rsidRPr="001C2358">
        <w:rPr>
          <w:szCs w:val="24"/>
          <w:lang w:eastAsia="en-US"/>
        </w:rPr>
        <w:tab/>
      </w:r>
      <w:r w:rsidRPr="001C2358">
        <w:rPr>
          <w:strike/>
          <w:szCs w:val="24"/>
          <w:lang w:eastAsia="en-US"/>
        </w:rPr>
        <w:t>Die Mitgliedstaaten richten einen Mechanismus für Landbesitzer und -bewirtschafter zur freiwilligen Zertifizierung der Bodengesundheit gemäß den Bedingungen in Absatz 2 dieses Artikels ein.</w:t>
      </w:r>
      <w:r w:rsidR="008D037E" w:rsidRPr="008D037E">
        <w:rPr>
          <w:b/>
          <w:szCs w:val="24"/>
          <w:lang w:eastAsia="en-US"/>
        </w:rPr>
        <w:t xml:space="preserve"> [Abänd. 111]</w:t>
      </w:r>
    </w:p>
    <w:p w:rsidR="001C2358" w:rsidRPr="008D037E" w:rsidRDefault="001C2358" w:rsidP="001C2358">
      <w:pPr>
        <w:spacing w:before="120" w:after="120" w:line="360" w:lineRule="auto"/>
        <w:ind w:left="850"/>
        <w:rPr>
          <w:b/>
          <w:szCs w:val="24"/>
          <w:lang w:eastAsia="en-US"/>
        </w:rPr>
      </w:pPr>
      <w:r w:rsidRPr="001C2358">
        <w:rPr>
          <w:strike/>
          <w:szCs w:val="24"/>
          <w:lang w:eastAsia="en-US"/>
        </w:rPr>
        <w:t>Die Kommission kann Durchführungsrechtsakte erlassen, um das Format der Bodengesundheitszertifizierung zu vereinheitlichen. Diese Durchführungsrechtsakte werden gemäß dem in Artikel 21 genannten Prüfverfahren erlassen.</w:t>
      </w:r>
      <w:r w:rsidR="008D037E">
        <w:rPr>
          <w:b/>
          <w:strike/>
          <w:szCs w:val="24"/>
          <w:lang w:eastAsia="en-US"/>
        </w:rPr>
        <w:t xml:space="preserve"> </w:t>
      </w:r>
      <w:r w:rsidR="008D037E" w:rsidRPr="008D037E">
        <w:rPr>
          <w:b/>
          <w:szCs w:val="24"/>
          <w:lang w:eastAsia="en-US"/>
        </w:rPr>
        <w:t>[Abänd. 112]</w:t>
      </w:r>
    </w:p>
    <w:p w:rsidR="001C2358" w:rsidRPr="008D037E" w:rsidRDefault="001C2358" w:rsidP="001C2358">
      <w:pPr>
        <w:spacing w:before="120" w:after="120" w:line="360" w:lineRule="auto"/>
        <w:ind w:left="850" w:hanging="850"/>
        <w:rPr>
          <w:b/>
          <w:szCs w:val="24"/>
          <w:lang w:eastAsia="en-US"/>
        </w:rPr>
      </w:pPr>
      <w:r w:rsidRPr="001C2358">
        <w:rPr>
          <w:szCs w:val="24"/>
          <w:lang w:eastAsia="en-US"/>
        </w:rPr>
        <w:t>(6)</w:t>
      </w:r>
      <w:r w:rsidRPr="001C2358">
        <w:rPr>
          <w:szCs w:val="24"/>
          <w:lang w:eastAsia="en-US"/>
        </w:rPr>
        <w:tab/>
        <w:t xml:space="preserve">Die Mitgliedstaaten übermitteln den betreffenden Landbesitzern und Landbewirtschaftern </w:t>
      </w:r>
      <w:r w:rsidRPr="001C2358">
        <w:rPr>
          <w:strike/>
          <w:szCs w:val="24"/>
          <w:lang w:eastAsia="en-US"/>
        </w:rPr>
        <w:t xml:space="preserve">auf deren Ersuchen </w:t>
      </w:r>
      <w:r w:rsidRPr="001C2358">
        <w:rPr>
          <w:szCs w:val="24"/>
          <w:lang w:eastAsia="en-US"/>
        </w:rPr>
        <w:t>Bodengesundheitsdaten und deren Bewertung gemäß den Artikeln 6 bis 9</w:t>
      </w:r>
      <w:r w:rsidRPr="001C2358">
        <w:rPr>
          <w:b/>
          <w:i/>
          <w:szCs w:val="24"/>
          <w:lang w:eastAsia="en-US"/>
        </w:rPr>
        <w:t xml:space="preserve"> und stellen diese kostenlos zur Verfügung</w:t>
      </w:r>
      <w:r w:rsidRPr="001C2358">
        <w:rPr>
          <w:szCs w:val="24"/>
          <w:lang w:eastAsia="en-US"/>
        </w:rPr>
        <w:t>, insbesondere zur Unterstützung bei der Bereitstellung der in Artikel 10 Absatz 3 genannten Beratung.</w:t>
      </w:r>
      <w:r w:rsidRPr="001C2358">
        <w:rPr>
          <w:b/>
          <w:i/>
          <w:szCs w:val="24"/>
          <w:lang w:eastAsia="en-US"/>
        </w:rPr>
        <w:t xml:space="preserve"> Die Mitgliedstaaten stellen sicher, dass Forschungseinrichtungen kostenlos einfachen und ständigen Zugang zu Proben, DNA-Extraktionen und Rohdaten haben.</w:t>
      </w:r>
      <w:r w:rsidR="008D037E">
        <w:rPr>
          <w:b/>
          <w:szCs w:val="24"/>
          <w:lang w:eastAsia="en-US"/>
        </w:rPr>
        <w:t xml:space="preserve"> [Abänd. 113]</w:t>
      </w:r>
    </w:p>
    <w:p w:rsidR="008D037E" w:rsidRDefault="008D037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 xml:space="preserve">KAPITEL III </w:t>
      </w:r>
      <w:r w:rsidRPr="001C2358">
        <w:rPr>
          <w:szCs w:val="24"/>
          <w:lang w:eastAsia="en-US"/>
        </w:rPr>
        <w:br/>
        <w:t>Nachhaltige Bodenbewirtschaftung</w:t>
      </w:r>
    </w:p>
    <w:p w:rsidR="001C2358" w:rsidRPr="001C2358" w:rsidRDefault="001C2358" w:rsidP="001C2358">
      <w:pPr>
        <w:spacing w:before="120" w:after="120" w:line="360" w:lineRule="auto"/>
        <w:jc w:val="center"/>
        <w:rPr>
          <w:szCs w:val="24"/>
          <w:lang w:eastAsia="en-US"/>
        </w:rPr>
      </w:pPr>
      <w:r w:rsidRPr="001C2358">
        <w:rPr>
          <w:szCs w:val="24"/>
          <w:lang w:eastAsia="en-US"/>
        </w:rPr>
        <w:t>Artikel 10</w:t>
      </w:r>
      <w:r w:rsidRPr="001C2358">
        <w:rPr>
          <w:szCs w:val="24"/>
          <w:lang w:eastAsia="en-US"/>
        </w:rPr>
        <w:br/>
        <w:t xml:space="preserve">Nachhaltige Bodenbewirtschaftung </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(1)</w:t>
      </w:r>
      <w:r w:rsidRPr="001C2358">
        <w:rPr>
          <w:szCs w:val="24"/>
          <w:lang w:eastAsia="en-US"/>
        </w:rPr>
        <w:tab/>
      </w:r>
      <w:r w:rsidRPr="001C2358">
        <w:rPr>
          <w:strike/>
          <w:szCs w:val="24"/>
          <w:lang w:eastAsia="en-US"/>
        </w:rPr>
        <w:t>Ab dem (Amt für Veröffentlichungen: Bitte Datum einfügen: 4 Jahre nach Inkrafttreten der Richtlinie) ergreifen die Mitgliedstaaten unter Berücksichtigung von Typ, Nutzung und Zustand der Böden mindestens folgende Maßnahmen:</w:t>
      </w:r>
    </w:p>
    <w:p w:rsidR="001C2358" w:rsidRPr="001C2358" w:rsidRDefault="001C2358" w:rsidP="001C2358">
      <w:pPr>
        <w:spacing w:before="120" w:after="120" w:line="360" w:lineRule="auto"/>
        <w:ind w:left="1416" w:hanging="566"/>
        <w:rPr>
          <w:szCs w:val="24"/>
          <w:lang w:eastAsia="en-US"/>
        </w:rPr>
      </w:pPr>
      <w:r w:rsidRPr="001C2358">
        <w:rPr>
          <w:strike/>
          <w:szCs w:val="24"/>
          <w:lang w:eastAsia="en-US"/>
        </w:rPr>
        <w:t>a)</w:t>
      </w:r>
      <w:r w:rsidRPr="001C2358">
        <w:rPr>
          <w:szCs w:val="24"/>
          <w:lang w:eastAsia="en-US"/>
        </w:rPr>
        <w:tab/>
      </w:r>
      <w:r w:rsidRPr="001C2358">
        <w:rPr>
          <w:strike/>
          <w:szCs w:val="24"/>
          <w:lang w:eastAsia="en-US"/>
        </w:rPr>
        <w:t>Festlegung nachhaltiger Bodenbewirtschaftungspraktiken unter Einhaltung der in Anhang III aufgeführten Grundsätze für eine nachhaltige Bodenbewirtschaftung, die schrittweise auf allen bewirtschafteten Böden anzuwenden sind, sowie auf Grundlage der Ergebnisse der gemäß Artikel 9 durchgeführten Bewertung der Bodengesundheit Festlegung von Regenerierungsverfahren, die schrittweise für die ungesunden Böden der Mitgliedstaaten einzuführen sind;</w:t>
      </w:r>
    </w:p>
    <w:p w:rsidR="001C2358" w:rsidRPr="001C2358" w:rsidRDefault="001C2358" w:rsidP="001C2358">
      <w:pPr>
        <w:spacing w:before="120" w:after="120" w:line="360" w:lineRule="auto"/>
        <w:ind w:left="1416" w:hanging="566"/>
        <w:rPr>
          <w:szCs w:val="24"/>
          <w:lang w:eastAsia="en-US"/>
        </w:rPr>
      </w:pPr>
      <w:r w:rsidRPr="001C2358">
        <w:rPr>
          <w:strike/>
          <w:szCs w:val="24"/>
          <w:lang w:eastAsia="en-US"/>
        </w:rPr>
        <w:t>b)</w:t>
      </w:r>
      <w:r w:rsidRPr="001C2358">
        <w:rPr>
          <w:szCs w:val="24"/>
          <w:lang w:eastAsia="en-US"/>
        </w:rPr>
        <w:tab/>
      </w:r>
      <w:r w:rsidRPr="001C2358">
        <w:rPr>
          <w:strike/>
          <w:szCs w:val="24"/>
          <w:lang w:eastAsia="en-US"/>
        </w:rPr>
        <w:t>Festlegung von Bodenbewirtschaftungs- und sonstigen Praktiken, die sich negativ auf die Bodengesundheit auswirken und von Bodenbewirtschaftern zu vermeiden sind.</w:t>
      </w:r>
    </w:p>
    <w:p w:rsidR="001C2358" w:rsidRPr="001C2358" w:rsidRDefault="001C2358" w:rsidP="001C2358">
      <w:pPr>
        <w:spacing w:before="120" w:after="120" w:line="360" w:lineRule="auto"/>
        <w:ind w:left="850"/>
        <w:rPr>
          <w:szCs w:val="24"/>
          <w:lang w:eastAsia="en-US"/>
        </w:rPr>
      </w:pPr>
      <w:r w:rsidRPr="001C2358">
        <w:rPr>
          <w:strike/>
          <w:szCs w:val="24"/>
          <w:lang w:eastAsia="en-US"/>
        </w:rPr>
        <w:t>Bei der Festlegung der in diesem Absatz genannten Praktiken und Maßnahmen berücksichtigen die Mitgliedstaaten die in Anhang IV aufgeführten Programme, Pläne, Zielvorgaben und Maßnahmen sowie die neuesten wissenschaftlichen Erkenntnisse einschließlich der Ergebnisse der Mission von Horizont Europa „Ein Boden-Deal für Europa“.</w:t>
      </w:r>
    </w:p>
    <w:p w:rsidR="001C2358" w:rsidRPr="001C2358" w:rsidRDefault="001C2358" w:rsidP="001C2358">
      <w:pPr>
        <w:spacing w:before="120" w:after="120" w:line="360" w:lineRule="auto"/>
        <w:ind w:left="850"/>
        <w:rPr>
          <w:szCs w:val="24"/>
          <w:lang w:eastAsia="en-US"/>
        </w:rPr>
      </w:pPr>
      <w:r w:rsidRPr="001C2358">
        <w:rPr>
          <w:strike/>
          <w:szCs w:val="24"/>
          <w:lang w:eastAsia="en-US"/>
        </w:rPr>
        <w:t>Die Mitgliedstaaten ermitteln Synergien mit den in Anhang IV aufgeführten Programmen, Plänen und Maßnahmen. Die Daten aus der Überwachung der Bodengesundheit, die Ergebnisse der Bewertungen der Bodengesundheit, die in Artikel 9 genannte Analyse sowie die Maßnahmen zur nachhaltigen Bodenbewirtschaftung fließen in die Ausarbeitung der Programme, Pläne und Maßnahmen gemäß Anhang IV ein.</w:t>
      </w:r>
    </w:p>
    <w:p w:rsidR="001C2358" w:rsidRPr="008D037E" w:rsidRDefault="001C2358" w:rsidP="001C2358">
      <w:pPr>
        <w:spacing w:before="120" w:after="120" w:line="360" w:lineRule="auto"/>
        <w:ind w:left="850"/>
        <w:rPr>
          <w:b/>
          <w:szCs w:val="24"/>
          <w:lang w:eastAsia="en-US"/>
        </w:rPr>
      </w:pPr>
      <w:r w:rsidRPr="001C2358">
        <w:rPr>
          <w:strike/>
          <w:szCs w:val="24"/>
          <w:lang w:eastAsia="en-US"/>
        </w:rPr>
        <w:t xml:space="preserve">Die Mitgliedstaaten stellen sicher, dass die Ausarbeitung der in Unterabsatz 1 genannten Praktiken offen, inklusiv und wirksam erfolgt und dass die betroffene Öffentlichkeit, insbesondere Landbesitzer und -bewirtschafter, eingebunden wird und ihr frühzeitig und in effektiver Weise Möglichkeiten geboten werden, sich an der </w:t>
      </w:r>
      <w:r w:rsidRPr="001C2358">
        <w:rPr>
          <w:strike/>
          <w:szCs w:val="24"/>
          <w:lang w:eastAsia="en-US"/>
        </w:rPr>
        <w:lastRenderedPageBreak/>
        <w:t>Ausarbeitung zu beteiligen.</w:t>
      </w:r>
      <w:r w:rsidR="008D037E" w:rsidRPr="008D037E">
        <w:rPr>
          <w:b/>
          <w:szCs w:val="24"/>
          <w:lang w:eastAsia="en-US"/>
        </w:rPr>
        <w:t xml:space="preserve"> [Abänd. 248]</w:t>
      </w:r>
    </w:p>
    <w:p w:rsidR="008D037E" w:rsidRDefault="008D037E">
      <w:pPr>
        <w:widowControl/>
        <w:rPr>
          <w:szCs w:val="24"/>
          <w:lang w:eastAsia="en-US"/>
        </w:rPr>
      </w:pPr>
      <w:r>
        <w:rPr>
          <w:szCs w:val="24"/>
          <w:lang w:eastAsia="en-US"/>
        </w:rPr>
        <w:br w:type="page"/>
      </w:r>
    </w:p>
    <w:p w:rsidR="001C2358" w:rsidRPr="008D037E" w:rsidRDefault="001C2358" w:rsidP="001C2358">
      <w:pPr>
        <w:spacing w:before="120" w:after="120" w:line="360" w:lineRule="auto"/>
        <w:ind w:left="850" w:hanging="850"/>
        <w:rPr>
          <w:b/>
          <w:szCs w:val="24"/>
          <w:lang w:eastAsia="en-US"/>
        </w:rPr>
      </w:pPr>
      <w:r w:rsidRPr="001C2358">
        <w:rPr>
          <w:szCs w:val="24"/>
          <w:lang w:eastAsia="en-US"/>
        </w:rPr>
        <w:lastRenderedPageBreak/>
        <w:t>(2)</w:t>
      </w:r>
      <w:r w:rsidRPr="001C2358">
        <w:rPr>
          <w:szCs w:val="24"/>
          <w:lang w:eastAsia="en-US"/>
        </w:rPr>
        <w:tab/>
        <w:t xml:space="preserve">Die Mitgliedstaaten sorgen </w:t>
      </w:r>
      <w:r w:rsidRPr="001C2358">
        <w:rPr>
          <w:b/>
          <w:i/>
          <w:szCs w:val="24"/>
          <w:lang w:eastAsia="en-US"/>
        </w:rPr>
        <w:t xml:space="preserve">in all ihren Bodenbezirken </w:t>
      </w:r>
      <w:r w:rsidRPr="001C2358">
        <w:rPr>
          <w:szCs w:val="24"/>
          <w:lang w:eastAsia="en-US"/>
        </w:rPr>
        <w:t>für einen einfachen</w:t>
      </w:r>
      <w:r w:rsidRPr="001C2358">
        <w:rPr>
          <w:b/>
          <w:i/>
          <w:szCs w:val="24"/>
          <w:lang w:eastAsia="en-US"/>
        </w:rPr>
        <w:t xml:space="preserve"> und gleichberechtigten</w:t>
      </w:r>
      <w:r w:rsidRPr="001C2358">
        <w:rPr>
          <w:szCs w:val="24"/>
          <w:lang w:eastAsia="en-US"/>
        </w:rPr>
        <w:t xml:space="preserve"> Zugang zu unparteiischer und unabhängiger Beratung zu nachhaltiger Bodenbewirtschaftung, zu Schulungen sowie Kapazitätsaufbau für Bodenbewirtschafter, Landbesitzer</w:t>
      </w:r>
      <w:r w:rsidRPr="001C2358">
        <w:rPr>
          <w:b/>
          <w:i/>
          <w:szCs w:val="24"/>
          <w:lang w:eastAsia="en-US"/>
        </w:rPr>
        <w:t>, Landbewirtschafter</w:t>
      </w:r>
      <w:r w:rsidRPr="001C2358">
        <w:rPr>
          <w:szCs w:val="24"/>
          <w:lang w:eastAsia="en-US"/>
        </w:rPr>
        <w:t xml:space="preserve"> und zuständige Behörden.</w:t>
      </w:r>
      <w:r w:rsidR="008D037E">
        <w:rPr>
          <w:b/>
          <w:szCs w:val="24"/>
          <w:lang w:eastAsia="en-US"/>
        </w:rPr>
        <w:t xml:space="preserve"> [Abänd. 120 und 249]</w:t>
      </w:r>
    </w:p>
    <w:p w:rsidR="001C2358" w:rsidRPr="001C2358" w:rsidRDefault="001C2358" w:rsidP="001C2358">
      <w:pPr>
        <w:spacing w:before="120" w:after="120" w:line="360" w:lineRule="auto"/>
        <w:ind w:left="850"/>
        <w:rPr>
          <w:szCs w:val="24"/>
          <w:lang w:eastAsia="en-US"/>
        </w:rPr>
      </w:pPr>
      <w:r w:rsidRPr="001C2358">
        <w:rPr>
          <w:szCs w:val="24"/>
          <w:lang w:eastAsia="en-US"/>
        </w:rPr>
        <w:t>Die Mitgliedstaaten ergreifen außerdem folgende Maßnahmen: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Sensibilisierung für die zahlreichen mittel- und langfristigen Vorteile einer nachhaltigen Bodenbewirtschaftung und das Erfordernis, Böden nachhaltig zu bewirtschaften;</w:t>
      </w:r>
    </w:p>
    <w:p w:rsidR="001C2358" w:rsidRPr="008D037E" w:rsidRDefault="001C2358" w:rsidP="001C2358">
      <w:pPr>
        <w:spacing w:before="120" w:after="120" w:line="360" w:lineRule="auto"/>
        <w:ind w:left="1416" w:hanging="566"/>
        <w:rPr>
          <w:b/>
          <w:szCs w:val="24"/>
          <w:lang w:eastAsia="en-US"/>
        </w:rPr>
      </w:pPr>
      <w:r w:rsidRPr="001C2358">
        <w:rPr>
          <w:szCs w:val="24"/>
          <w:lang w:eastAsia="en-US"/>
        </w:rPr>
        <w:t>b)</w:t>
      </w:r>
      <w:r w:rsidRPr="001C2358">
        <w:rPr>
          <w:szCs w:val="24"/>
          <w:lang w:eastAsia="en-US"/>
        </w:rPr>
        <w:tab/>
      </w:r>
      <w:r w:rsidRPr="001C2358">
        <w:rPr>
          <w:b/>
          <w:i/>
          <w:szCs w:val="24"/>
          <w:lang w:eastAsia="en-US"/>
        </w:rPr>
        <w:t xml:space="preserve">Förderung von Forschung, Innovation und Bürgerwissenschaft sowie </w:t>
      </w:r>
      <w:r w:rsidRPr="001C2358">
        <w:rPr>
          <w:szCs w:val="24"/>
          <w:lang w:eastAsia="en-US"/>
        </w:rPr>
        <w:t xml:space="preserve">Förderung der </w:t>
      </w:r>
      <w:r w:rsidRPr="001C2358">
        <w:rPr>
          <w:strike/>
          <w:szCs w:val="24"/>
          <w:lang w:eastAsia="en-US"/>
        </w:rPr>
        <w:t xml:space="preserve">Forschung und </w:t>
      </w:r>
      <w:r w:rsidRPr="001C2358">
        <w:rPr>
          <w:szCs w:val="24"/>
          <w:lang w:eastAsia="en-US"/>
        </w:rPr>
        <w:t xml:space="preserve">Einführung </w:t>
      </w:r>
      <w:r w:rsidRPr="001C2358">
        <w:rPr>
          <w:strike/>
          <w:szCs w:val="24"/>
          <w:lang w:eastAsia="en-US"/>
        </w:rPr>
        <w:t>ganzheitlicher</w:t>
      </w:r>
      <w:r w:rsidRPr="001C2358">
        <w:rPr>
          <w:b/>
          <w:i/>
          <w:szCs w:val="24"/>
          <w:lang w:eastAsia="en-US"/>
        </w:rPr>
        <w:t>nachhaltiger</w:t>
      </w:r>
      <w:r w:rsidRPr="001C2358">
        <w:rPr>
          <w:szCs w:val="24"/>
          <w:lang w:eastAsia="en-US"/>
        </w:rPr>
        <w:t xml:space="preserve"> Bodenbewirtschaftungskonzepte;</w:t>
      </w:r>
      <w:r w:rsidR="008D037E">
        <w:rPr>
          <w:b/>
          <w:szCs w:val="24"/>
          <w:lang w:eastAsia="en-US"/>
        </w:rPr>
        <w:t xml:space="preserve"> [Abänd. 121 und 250]</w:t>
      </w:r>
    </w:p>
    <w:p w:rsidR="001C2358" w:rsidRPr="008D037E" w:rsidRDefault="001C2358" w:rsidP="001C2358">
      <w:pPr>
        <w:spacing w:before="120" w:after="120" w:line="360" w:lineRule="auto"/>
        <w:ind w:left="1416" w:hanging="566"/>
        <w:rPr>
          <w:b/>
          <w:szCs w:val="24"/>
          <w:lang w:eastAsia="en-US"/>
        </w:rPr>
      </w:pPr>
      <w:r w:rsidRPr="001C2358">
        <w:rPr>
          <w:szCs w:val="24"/>
          <w:lang w:eastAsia="en-US"/>
        </w:rPr>
        <w:t>c)</w:t>
      </w:r>
      <w:r w:rsidRPr="001C2358">
        <w:rPr>
          <w:szCs w:val="24"/>
          <w:lang w:eastAsia="en-US"/>
        </w:rPr>
        <w:tab/>
        <w:t>Bereitstellung einer regelmäßig aktualisierten Bestandsaufnahme der verfügbaren Finanzierungsinstrumente und Tätigkeiten zur Unterstützung der Umsetzung einer nachhaltigen Bodenbewirtschaftung</w:t>
      </w:r>
      <w:r w:rsidRPr="001C2358">
        <w:rPr>
          <w:b/>
          <w:i/>
          <w:szCs w:val="24"/>
          <w:lang w:eastAsia="en-US"/>
        </w:rPr>
        <w:t xml:space="preserve"> und anderer Tätigkeiten zur Unterstützung der Umsetzung dieser Richtlinie, einschließlich Forschung und Bürgerwissenschaft</w:t>
      </w:r>
      <w:r w:rsidRPr="001C2358">
        <w:rPr>
          <w:szCs w:val="24"/>
          <w:lang w:eastAsia="en-US"/>
        </w:rPr>
        <w:t>.</w:t>
      </w:r>
      <w:r w:rsidR="008D037E">
        <w:rPr>
          <w:b/>
          <w:szCs w:val="24"/>
          <w:lang w:eastAsia="en-US"/>
        </w:rPr>
        <w:t xml:space="preserve"> [Abänd. 122]</w:t>
      </w:r>
    </w:p>
    <w:p w:rsidR="008D037E" w:rsidRDefault="008D037E">
      <w:pPr>
        <w:widowControl/>
        <w:rPr>
          <w:strike/>
          <w:szCs w:val="24"/>
          <w:lang w:eastAsia="en-US"/>
        </w:rPr>
      </w:pPr>
      <w:r>
        <w:rPr>
          <w:strike/>
          <w:szCs w:val="24"/>
          <w:lang w:eastAsia="en-US"/>
        </w:rPr>
        <w:br w:type="page"/>
      </w:r>
    </w:p>
    <w:p w:rsidR="001C2358" w:rsidRPr="008D037E" w:rsidRDefault="001C2358" w:rsidP="001C2358">
      <w:pPr>
        <w:spacing w:before="120" w:after="120" w:line="360" w:lineRule="auto"/>
        <w:ind w:left="850" w:hanging="850"/>
        <w:rPr>
          <w:b/>
          <w:szCs w:val="24"/>
          <w:lang w:eastAsia="en-US"/>
        </w:rPr>
      </w:pPr>
      <w:r w:rsidRPr="001C2358">
        <w:rPr>
          <w:strike/>
          <w:szCs w:val="24"/>
          <w:lang w:eastAsia="en-US"/>
        </w:rPr>
        <w:lastRenderedPageBreak/>
        <w:t>(3)</w:t>
      </w:r>
      <w:r w:rsidRPr="001C2358">
        <w:rPr>
          <w:szCs w:val="24"/>
          <w:lang w:eastAsia="en-US"/>
        </w:rPr>
        <w:tab/>
      </w:r>
      <w:r w:rsidRPr="001C2358">
        <w:rPr>
          <w:strike/>
          <w:szCs w:val="24"/>
          <w:lang w:eastAsia="en-US"/>
        </w:rPr>
        <w:t>Die Mitgliedstaaten bewerten regelmäßig die Wirksamkeit der gemäß diesem Artikel ergriffenen Maßnahmen und überprüfen und überarbeiten diese gegebenenfalls unter Berücksichtigung der Überwachung und Bewertung der Bodengesundheit gemäß den Artikeln 6 bis 9.</w:t>
      </w:r>
      <w:r w:rsidR="008D037E">
        <w:rPr>
          <w:b/>
          <w:strike/>
          <w:szCs w:val="24"/>
          <w:lang w:eastAsia="en-US"/>
        </w:rPr>
        <w:t xml:space="preserve"> </w:t>
      </w:r>
      <w:r w:rsidR="008D037E" w:rsidRPr="008D037E">
        <w:rPr>
          <w:b/>
          <w:szCs w:val="24"/>
          <w:lang w:eastAsia="en-US"/>
        </w:rPr>
        <w:t>[Abänd. 251]</w:t>
      </w:r>
    </w:p>
    <w:p w:rsidR="001C2358" w:rsidRPr="008D037E" w:rsidRDefault="001C2358" w:rsidP="001C2358">
      <w:pPr>
        <w:spacing w:before="120" w:after="120" w:line="360" w:lineRule="auto"/>
        <w:ind w:left="850" w:hanging="850"/>
        <w:rPr>
          <w:b/>
          <w:szCs w:val="24"/>
          <w:lang w:eastAsia="en-US"/>
        </w:rPr>
      </w:pPr>
      <w:r w:rsidRPr="001C2358">
        <w:rPr>
          <w:strike/>
          <w:szCs w:val="24"/>
          <w:lang w:eastAsia="en-US"/>
        </w:rPr>
        <w:t>(4)</w:t>
      </w:r>
      <w:r w:rsidRPr="001C2358">
        <w:rPr>
          <w:szCs w:val="24"/>
          <w:lang w:eastAsia="en-US"/>
        </w:rPr>
        <w:tab/>
      </w:r>
      <w:r w:rsidRPr="001C2358">
        <w:rPr>
          <w:strike/>
          <w:szCs w:val="24"/>
          <w:lang w:eastAsia="en-US"/>
        </w:rPr>
        <w:t>Der Kommission wird die Befugnis übertragen, gemäß Artikel 20 delegierte Rechtsakte zur Änderung des Anhangs III und zur Anpassung der Grundsätze der nachhaltigen Bodenbewirtschaftung an den wissenschaftlichen und technischen Fortschritt zu erlassen.</w:t>
      </w:r>
      <w:r w:rsidR="008D037E">
        <w:rPr>
          <w:b/>
          <w:strike/>
          <w:szCs w:val="24"/>
          <w:lang w:eastAsia="en-US"/>
        </w:rPr>
        <w:t xml:space="preserve"> </w:t>
      </w:r>
      <w:r w:rsidR="008D037E" w:rsidRPr="008D037E">
        <w:rPr>
          <w:b/>
          <w:szCs w:val="24"/>
          <w:lang w:eastAsia="en-US"/>
        </w:rPr>
        <w:t>[Abänd. 123 und 252]</w:t>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t>(4a)</w:t>
      </w:r>
      <w:r w:rsidRPr="001C2358">
        <w:rPr>
          <w:szCs w:val="24"/>
          <w:lang w:eastAsia="en-US"/>
        </w:rPr>
        <w:tab/>
      </w:r>
      <w:r w:rsidRPr="001C2358">
        <w:rPr>
          <w:b/>
          <w:i/>
          <w:szCs w:val="24"/>
          <w:lang w:eastAsia="en-US"/>
        </w:rPr>
        <w:t>Die Kommission unterstützt die Mitgliedstaaten auf Anfrage bei der Entwicklung spezifischer Maßnahmen im Zusammenhang mit den in Anhang III aufgeführten Grundsätzen der nachhaltigen Bodenbewirtschaftung und stellt ihnen Leitlinien zur Verfügung.</w:t>
      </w:r>
      <w:r w:rsidR="008D037E">
        <w:rPr>
          <w:b/>
          <w:szCs w:val="24"/>
          <w:lang w:eastAsia="en-US"/>
        </w:rPr>
        <w:t xml:space="preserve"> [Abänd. 124]</w:t>
      </w:r>
    </w:p>
    <w:p w:rsidR="001C2358" w:rsidRPr="001C2358" w:rsidRDefault="001C2358" w:rsidP="001C2358">
      <w:pPr>
        <w:spacing w:before="120" w:after="120" w:line="360" w:lineRule="auto"/>
        <w:jc w:val="center"/>
        <w:rPr>
          <w:szCs w:val="24"/>
          <w:lang w:eastAsia="en-US"/>
        </w:rPr>
      </w:pPr>
      <w:r w:rsidRPr="001C2358">
        <w:rPr>
          <w:b/>
          <w:i/>
          <w:szCs w:val="24"/>
          <w:lang w:eastAsia="en-US"/>
        </w:rPr>
        <w:t>Artikel 10a</w:t>
      </w:r>
      <w:r w:rsidRPr="001C2358">
        <w:rPr>
          <w:szCs w:val="24"/>
          <w:lang w:eastAsia="en-US"/>
        </w:rPr>
        <w:br/>
      </w:r>
      <w:r w:rsidRPr="001C2358">
        <w:rPr>
          <w:b/>
          <w:i/>
          <w:szCs w:val="24"/>
          <w:lang w:eastAsia="en-US"/>
        </w:rPr>
        <w:t>Instrumentarium für nachhaltige Bodenbewirtschaftung</w:t>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t>(1)</w:t>
      </w:r>
      <w:r w:rsidRPr="001C2358">
        <w:rPr>
          <w:szCs w:val="24"/>
          <w:lang w:eastAsia="en-US"/>
        </w:rPr>
        <w:tab/>
      </w:r>
      <w:r w:rsidRPr="001C2358">
        <w:rPr>
          <w:b/>
          <w:i/>
          <w:szCs w:val="24"/>
          <w:lang w:eastAsia="en-US"/>
        </w:rPr>
        <w:t>Um die Umsetzung dieser Richtlinie zu unterstützen, richtet die Kommission ein Instrumentarium für nachhaltige Bodenbewirtschaftung ein, das den Bodenbewirtschaftern praktische Informationen über die Anwendung von Methoden der nachhaltigen Bodenbewirtschaftung an die Hand gibt und von den Mitgliedstaaten bereitgestellte Informationen umfasst.</w:t>
      </w:r>
    </w:p>
    <w:p w:rsidR="008D037E" w:rsidRDefault="008D037E">
      <w:pPr>
        <w:widowControl/>
        <w:rPr>
          <w:b/>
          <w:i/>
          <w:szCs w:val="24"/>
          <w:lang w:eastAsia="en-US"/>
        </w:rPr>
      </w:pPr>
      <w:r>
        <w:rPr>
          <w:b/>
          <w:i/>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lastRenderedPageBreak/>
        <w:t>(2)</w:t>
      </w:r>
      <w:r w:rsidRPr="001C2358">
        <w:rPr>
          <w:szCs w:val="24"/>
          <w:lang w:eastAsia="en-US"/>
        </w:rPr>
        <w:tab/>
      </w:r>
      <w:r w:rsidRPr="001C2358">
        <w:rPr>
          <w:b/>
          <w:i/>
          <w:szCs w:val="24"/>
          <w:lang w:eastAsia="en-US"/>
        </w:rPr>
        <w:t>Das Instrumentarium umfasst</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a)</w:t>
      </w:r>
      <w:r w:rsidRPr="001C2358">
        <w:rPr>
          <w:szCs w:val="24"/>
          <w:lang w:eastAsia="en-US"/>
        </w:rPr>
        <w:tab/>
      </w:r>
      <w:r w:rsidRPr="001C2358">
        <w:rPr>
          <w:b/>
          <w:i/>
          <w:szCs w:val="24"/>
          <w:lang w:eastAsia="en-US"/>
        </w:rPr>
        <w:t>Empfehlungen und Beispiele für bewährte Verfahren der zuständigen Behörden der Mitgliedstaaten, die die Auswirkungen von Methoden der Bodenbewirtschaftung überwachen, sowie Informationen über die Auswirkungen solcher Methoden auf verschiedene Ökosystemleistungen und Gefährdungen für den Boden,</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b)</w:t>
      </w:r>
      <w:r w:rsidRPr="001C2358">
        <w:rPr>
          <w:szCs w:val="24"/>
          <w:lang w:eastAsia="en-US"/>
        </w:rPr>
        <w:tab/>
      </w:r>
      <w:r w:rsidRPr="001C2358">
        <w:rPr>
          <w:b/>
          <w:i/>
          <w:szCs w:val="24"/>
          <w:lang w:eastAsia="en-US"/>
        </w:rPr>
        <w:t>die kontextspezifischen Informationen über Kombinationen von Bodenart, Landnutzung und klimatischen Bedingungen,</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c)</w:t>
      </w:r>
      <w:r w:rsidRPr="001C2358">
        <w:rPr>
          <w:szCs w:val="24"/>
          <w:lang w:eastAsia="en-US"/>
        </w:rPr>
        <w:tab/>
      </w:r>
      <w:r w:rsidRPr="001C2358">
        <w:rPr>
          <w:b/>
          <w:i/>
          <w:szCs w:val="24"/>
          <w:lang w:eastAsia="en-US"/>
        </w:rPr>
        <w:t>neue Fachkenntnisse aus Forschung und Innovation, einschließlich der Mission „Ein Boden-Deal für Europa“ im Rahmen von Horizont Europa,</w:t>
      </w:r>
    </w:p>
    <w:p w:rsidR="001C2358" w:rsidRPr="001C2358" w:rsidRDefault="001C2358" w:rsidP="001C2358">
      <w:pPr>
        <w:spacing w:before="120" w:after="120" w:line="360" w:lineRule="auto"/>
        <w:ind w:left="1416" w:hanging="566"/>
        <w:rPr>
          <w:szCs w:val="24"/>
          <w:lang w:eastAsia="en-US"/>
        </w:rPr>
      </w:pPr>
      <w:r w:rsidRPr="001C2358">
        <w:rPr>
          <w:b/>
          <w:i/>
          <w:szCs w:val="24"/>
          <w:lang w:eastAsia="en-US"/>
        </w:rPr>
        <w:t>d)</w:t>
      </w:r>
      <w:r w:rsidRPr="001C2358">
        <w:rPr>
          <w:szCs w:val="24"/>
          <w:lang w:eastAsia="en-US"/>
        </w:rPr>
        <w:tab/>
      </w:r>
      <w:r w:rsidRPr="001C2358">
        <w:rPr>
          <w:b/>
          <w:i/>
          <w:szCs w:val="24"/>
          <w:lang w:eastAsia="en-US"/>
        </w:rPr>
        <w:t>sonstige relevante Informationen, die von der Kommission erhoben oder der Kommission von den Mitgliedstaaten zur Verfügung gestellt werden.</w:t>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t>3.</w:t>
      </w:r>
      <w:r w:rsidRPr="001C2358">
        <w:rPr>
          <w:szCs w:val="24"/>
          <w:lang w:eastAsia="en-US"/>
        </w:rPr>
        <w:tab/>
      </w:r>
      <w:r w:rsidRPr="001C2358">
        <w:rPr>
          <w:b/>
          <w:i/>
          <w:szCs w:val="24"/>
          <w:lang w:eastAsia="en-US"/>
        </w:rPr>
        <w:t>Das Instrumentarium ist kostenlos öffentlich zugänglich und wird in das digitale Portal für Bodengesundheitsdaten aufgenommen, das gemäß Artikel 6 Absatz 6 eingerichtet wurde.</w:t>
      </w:r>
    </w:p>
    <w:p w:rsidR="001C2358" w:rsidRPr="008D037E" w:rsidRDefault="001C2358" w:rsidP="001C2358">
      <w:pPr>
        <w:spacing w:before="120" w:after="120" w:line="360" w:lineRule="auto"/>
        <w:ind w:left="850"/>
        <w:rPr>
          <w:b/>
          <w:szCs w:val="24"/>
          <w:lang w:eastAsia="en-US"/>
        </w:rPr>
      </w:pPr>
      <w:r w:rsidRPr="001C2358">
        <w:rPr>
          <w:b/>
          <w:i/>
          <w:szCs w:val="24"/>
          <w:lang w:eastAsia="en-US"/>
        </w:rPr>
        <w:t>Die Kommission aktualisiert das Instrumentarium aktiv und ergreift alle geeigneten Maßnahmen, um den Inhalt des Instrumentariums bei Landbewirtschaftern bekannt zu machen.</w:t>
      </w:r>
      <w:r w:rsidR="008D037E">
        <w:rPr>
          <w:b/>
          <w:szCs w:val="24"/>
          <w:lang w:eastAsia="en-US"/>
        </w:rPr>
        <w:t xml:space="preserve"> [Abänd. 125]</w:t>
      </w:r>
    </w:p>
    <w:p w:rsidR="008D037E" w:rsidRDefault="008D037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11</w:t>
      </w:r>
      <w:r w:rsidRPr="001C2358">
        <w:rPr>
          <w:szCs w:val="24"/>
          <w:lang w:eastAsia="en-US"/>
        </w:rPr>
        <w:br/>
      </w:r>
      <w:r w:rsidRPr="001C2358">
        <w:rPr>
          <w:strike/>
          <w:szCs w:val="24"/>
          <w:lang w:eastAsia="en-US"/>
        </w:rPr>
        <w:t xml:space="preserve">Grundsätze zur </w:t>
      </w:r>
      <w:r w:rsidRPr="001C2358">
        <w:rPr>
          <w:szCs w:val="24"/>
          <w:lang w:eastAsia="en-US"/>
        </w:rPr>
        <w:t>Minderung des Flächenverbrauchs</w:t>
      </w:r>
    </w:p>
    <w:p w:rsidR="001C2358" w:rsidRPr="008D037E" w:rsidRDefault="001C2358" w:rsidP="001C2358">
      <w:pPr>
        <w:spacing w:before="120" w:after="120" w:line="360" w:lineRule="auto"/>
        <w:rPr>
          <w:b/>
          <w:szCs w:val="24"/>
          <w:lang w:eastAsia="en-US"/>
        </w:rPr>
      </w:pPr>
      <w:r w:rsidRPr="001C2358">
        <w:rPr>
          <w:strike/>
          <w:szCs w:val="24"/>
          <w:lang w:eastAsia="en-US"/>
        </w:rPr>
        <w:t xml:space="preserve">Die Mitgliedstaaten stellen sicher, dass </w:t>
      </w:r>
      <w:r w:rsidRPr="001C2358">
        <w:rPr>
          <w:szCs w:val="24"/>
          <w:lang w:eastAsia="en-US"/>
        </w:rPr>
        <w:t xml:space="preserve">Bei Flächenverbrauch </w:t>
      </w:r>
      <w:r w:rsidRPr="001C2358">
        <w:rPr>
          <w:b/>
          <w:i/>
          <w:szCs w:val="24"/>
          <w:lang w:eastAsia="en-US"/>
        </w:rPr>
        <w:t xml:space="preserve">prüfen die Mitgliedstaaten unter Berücksichtigung lokaler Besonderheiten und sozioökonomischer Auswirkungen </w:t>
      </w:r>
      <w:r w:rsidRPr="001C2358">
        <w:rPr>
          <w:szCs w:val="24"/>
          <w:lang w:eastAsia="en-US"/>
        </w:rPr>
        <w:t xml:space="preserve">die folgenden </w:t>
      </w:r>
      <w:r w:rsidRPr="001C2358">
        <w:rPr>
          <w:strike/>
          <w:szCs w:val="24"/>
          <w:lang w:eastAsia="en-US"/>
        </w:rPr>
        <w:t>Grundsätze eingehalten werden</w:t>
      </w:r>
      <w:r w:rsidRPr="001C2358">
        <w:rPr>
          <w:b/>
          <w:i/>
          <w:szCs w:val="24"/>
          <w:lang w:eastAsia="en-US"/>
        </w:rPr>
        <w:t>Maßnahmen</w:t>
      </w:r>
      <w:r w:rsidRPr="001C2358">
        <w:rPr>
          <w:szCs w:val="24"/>
          <w:lang w:eastAsia="en-US"/>
        </w:rPr>
        <w:t>:</w:t>
      </w:r>
      <w:r w:rsidR="008D037E">
        <w:rPr>
          <w:b/>
          <w:szCs w:val="24"/>
          <w:lang w:eastAsia="en-US"/>
        </w:rPr>
        <w:t xml:space="preserve"> [Abänd. 127]</w:t>
      </w:r>
    </w:p>
    <w:p w:rsidR="001C2358" w:rsidRPr="008D037E" w:rsidRDefault="001C2358" w:rsidP="001C2358">
      <w:pPr>
        <w:spacing w:before="120" w:after="120" w:line="360" w:lineRule="auto"/>
        <w:ind w:left="850" w:hanging="850"/>
        <w:rPr>
          <w:b/>
          <w:szCs w:val="24"/>
          <w:lang w:eastAsia="en-US"/>
        </w:rPr>
      </w:pPr>
      <w:r w:rsidRPr="001C2358">
        <w:rPr>
          <w:szCs w:val="24"/>
          <w:lang w:eastAsia="en-US"/>
        </w:rPr>
        <w:t>a)</w:t>
      </w:r>
      <w:r w:rsidRPr="001C2358">
        <w:rPr>
          <w:szCs w:val="24"/>
          <w:lang w:eastAsia="en-US"/>
        </w:rPr>
        <w:tab/>
        <w:t xml:space="preserve">Vermeidung des Verlusts der Fähigkeit des Bodens, zahlreiche Ökosystemleistungen </w:t>
      </w:r>
      <w:r w:rsidRPr="001C2358">
        <w:rPr>
          <w:b/>
          <w:i/>
          <w:szCs w:val="24"/>
          <w:lang w:eastAsia="en-US"/>
        </w:rPr>
        <w:t xml:space="preserve">und andere Leistungen </w:t>
      </w:r>
      <w:r w:rsidRPr="001C2358">
        <w:rPr>
          <w:szCs w:val="24"/>
          <w:lang w:eastAsia="en-US"/>
        </w:rPr>
        <w:t>wie unter anderem</w:t>
      </w:r>
      <w:r w:rsidRPr="001C2358">
        <w:rPr>
          <w:b/>
          <w:i/>
          <w:szCs w:val="24"/>
          <w:lang w:eastAsia="en-US"/>
        </w:rPr>
        <w:t xml:space="preserve"> die Landwirtschaft,</w:t>
      </w:r>
      <w:r w:rsidRPr="001C2358">
        <w:rPr>
          <w:szCs w:val="24"/>
          <w:lang w:eastAsia="en-US"/>
        </w:rPr>
        <w:t xml:space="preserve"> die Erzeugung von Nahrungsmitteln</w:t>
      </w:r>
      <w:r w:rsidRPr="001C2358">
        <w:rPr>
          <w:b/>
          <w:i/>
          <w:szCs w:val="24"/>
          <w:lang w:eastAsia="en-US"/>
        </w:rPr>
        <w:t xml:space="preserve"> und nachhaltige Forstwirtschaft</w:t>
      </w:r>
      <w:r w:rsidRPr="001C2358">
        <w:rPr>
          <w:szCs w:val="24"/>
          <w:lang w:eastAsia="en-US"/>
        </w:rPr>
        <w:t xml:space="preserve"> zu erbringen, oder dessen Verringerung auf das </w:t>
      </w:r>
      <w:r w:rsidRPr="001C2358">
        <w:rPr>
          <w:strike/>
          <w:szCs w:val="24"/>
          <w:lang w:eastAsia="en-US"/>
        </w:rPr>
        <w:t>kleinste,</w:t>
      </w:r>
      <w:r w:rsidRPr="001C2358">
        <w:rPr>
          <w:b/>
          <w:i/>
          <w:szCs w:val="24"/>
          <w:lang w:eastAsia="en-US"/>
        </w:rPr>
        <w:t>geringste</w:t>
      </w:r>
      <w:r w:rsidRPr="001C2358">
        <w:rPr>
          <w:szCs w:val="24"/>
          <w:lang w:eastAsia="en-US"/>
        </w:rPr>
        <w:t xml:space="preserve"> technisch</w:t>
      </w:r>
      <w:r w:rsidRPr="001C2358">
        <w:rPr>
          <w:b/>
          <w:i/>
          <w:szCs w:val="24"/>
          <w:lang w:eastAsia="en-US"/>
        </w:rPr>
        <w:t>, sozial</w:t>
      </w:r>
      <w:r w:rsidRPr="001C2358">
        <w:rPr>
          <w:szCs w:val="24"/>
          <w:lang w:eastAsia="en-US"/>
        </w:rPr>
        <w:t xml:space="preserve"> und wirtschaftlich mögliche Maß, unter Anwendung folgender Mittel:</w:t>
      </w:r>
      <w:r w:rsidR="008D037E">
        <w:rPr>
          <w:b/>
          <w:szCs w:val="24"/>
          <w:lang w:eastAsia="en-US"/>
        </w:rPr>
        <w:t xml:space="preserve"> [Abänd. 128 und 254]</w:t>
      </w:r>
    </w:p>
    <w:p w:rsidR="001C2358" w:rsidRPr="008D037E" w:rsidRDefault="001C2358" w:rsidP="001C2358">
      <w:pPr>
        <w:spacing w:before="120" w:after="120" w:line="360" w:lineRule="auto"/>
        <w:ind w:left="1416" w:hanging="566"/>
        <w:rPr>
          <w:b/>
          <w:szCs w:val="24"/>
          <w:lang w:eastAsia="en-US"/>
        </w:rPr>
      </w:pPr>
      <w:r w:rsidRPr="001C2358">
        <w:rPr>
          <w:szCs w:val="24"/>
          <w:lang w:eastAsia="en-US"/>
        </w:rPr>
        <w:t>i)</w:t>
      </w:r>
      <w:r w:rsidRPr="001C2358">
        <w:rPr>
          <w:szCs w:val="24"/>
          <w:lang w:eastAsia="en-US"/>
        </w:rPr>
        <w:tab/>
      </w:r>
      <w:r w:rsidRPr="001C2358">
        <w:rPr>
          <w:b/>
          <w:i/>
          <w:szCs w:val="24"/>
          <w:lang w:eastAsia="en-US"/>
        </w:rPr>
        <w:t xml:space="preserve">weitestgehende </w:t>
      </w:r>
      <w:r w:rsidRPr="001C2358">
        <w:rPr>
          <w:szCs w:val="24"/>
          <w:lang w:eastAsia="en-US"/>
        </w:rPr>
        <w:t>Verringerung der vom Flächenverbrauch betroffenen Fläche</w:t>
      </w:r>
      <w:r w:rsidRPr="001C2358">
        <w:rPr>
          <w:strike/>
          <w:szCs w:val="24"/>
          <w:lang w:eastAsia="en-US"/>
        </w:rPr>
        <w:t xml:space="preserve"> auf ein Mindestmaß</w:t>
      </w:r>
      <w:r w:rsidRPr="001C2358">
        <w:rPr>
          <w:szCs w:val="24"/>
          <w:lang w:eastAsia="en-US"/>
        </w:rPr>
        <w:t>;</w:t>
      </w:r>
      <w:r w:rsidR="008D037E">
        <w:rPr>
          <w:b/>
          <w:szCs w:val="24"/>
          <w:lang w:eastAsia="en-US"/>
        </w:rPr>
        <w:t xml:space="preserve"> [Abänd. 129]</w:t>
      </w:r>
    </w:p>
    <w:p w:rsidR="001C2358" w:rsidRPr="008D037E" w:rsidRDefault="001C2358" w:rsidP="001C2358">
      <w:pPr>
        <w:spacing w:before="120" w:after="120" w:line="360" w:lineRule="auto"/>
        <w:ind w:left="1416" w:hanging="566"/>
        <w:rPr>
          <w:b/>
          <w:szCs w:val="24"/>
          <w:lang w:eastAsia="en-US"/>
        </w:rPr>
      </w:pPr>
      <w:r w:rsidRPr="001C2358">
        <w:rPr>
          <w:szCs w:val="24"/>
          <w:lang w:eastAsia="en-US"/>
        </w:rPr>
        <w:t>ii)</w:t>
      </w:r>
      <w:r w:rsidRPr="001C2358">
        <w:rPr>
          <w:szCs w:val="24"/>
          <w:lang w:eastAsia="en-US"/>
        </w:rPr>
        <w:tab/>
      </w:r>
      <w:r w:rsidRPr="001C2358">
        <w:rPr>
          <w:strike/>
          <w:szCs w:val="24"/>
          <w:lang w:eastAsia="en-US"/>
        </w:rPr>
        <w:t>Auswahl</w:t>
      </w:r>
      <w:r w:rsidRPr="001C2358">
        <w:rPr>
          <w:b/>
          <w:i/>
          <w:szCs w:val="24"/>
          <w:lang w:eastAsia="en-US"/>
        </w:rPr>
        <w:t>Priorisierung</w:t>
      </w:r>
      <w:r w:rsidRPr="001C2358">
        <w:rPr>
          <w:szCs w:val="24"/>
          <w:lang w:eastAsia="en-US"/>
        </w:rPr>
        <w:t xml:space="preserve"> von Gebieten, in denen der Verlust von Ökosystemleistungen möglichst gering gehalten würde;</w:t>
      </w:r>
      <w:r w:rsidR="008D037E">
        <w:rPr>
          <w:b/>
          <w:szCs w:val="24"/>
          <w:lang w:eastAsia="en-US"/>
        </w:rPr>
        <w:t xml:space="preserve"> [Abänd. 130]</w:t>
      </w:r>
    </w:p>
    <w:p w:rsidR="001C2358" w:rsidRPr="008D037E" w:rsidRDefault="001C2358" w:rsidP="001C2358">
      <w:pPr>
        <w:spacing w:before="120" w:after="120" w:line="360" w:lineRule="auto"/>
        <w:ind w:left="1416" w:hanging="566"/>
        <w:rPr>
          <w:b/>
          <w:szCs w:val="24"/>
          <w:lang w:eastAsia="en-US"/>
        </w:rPr>
      </w:pPr>
      <w:r w:rsidRPr="001C2358">
        <w:rPr>
          <w:szCs w:val="24"/>
          <w:lang w:eastAsia="en-US"/>
        </w:rPr>
        <w:t>iii)</w:t>
      </w:r>
      <w:r w:rsidRPr="001C2358">
        <w:rPr>
          <w:szCs w:val="24"/>
          <w:lang w:eastAsia="en-US"/>
        </w:rPr>
        <w:tab/>
        <w:t xml:space="preserve">Durchführung des Flächenverbrauchs auf eine Art und Weise, </w:t>
      </w:r>
      <w:r w:rsidRPr="001C2358">
        <w:rPr>
          <w:strike/>
          <w:szCs w:val="24"/>
          <w:lang w:eastAsia="en-US"/>
        </w:rPr>
        <w:t>durch die die negativen Auswirkungen auf den Boden minimiert werden</w:t>
      </w:r>
      <w:r w:rsidRPr="001C2358">
        <w:rPr>
          <w:b/>
          <w:i/>
          <w:szCs w:val="24"/>
          <w:lang w:eastAsia="en-US"/>
        </w:rPr>
        <w:t>die mit der nachhaltigen Entwicklung im Einklang steht, einschließlich der Erhaltung der Bodenfruchtbarkeit, der biologischen Vielfalt und der Wasserdurchlässigkeit, ‑filtration und ‑rückhaltung, soweit möglich</w:t>
      </w:r>
      <w:r w:rsidRPr="001C2358">
        <w:rPr>
          <w:szCs w:val="24"/>
          <w:lang w:eastAsia="en-US"/>
        </w:rPr>
        <w:t>;</w:t>
      </w:r>
      <w:r w:rsidR="008D037E">
        <w:rPr>
          <w:b/>
          <w:szCs w:val="24"/>
          <w:lang w:eastAsia="en-US"/>
        </w:rPr>
        <w:t xml:space="preserve"> [Abänd. 131]</w:t>
      </w:r>
    </w:p>
    <w:p w:rsidR="008D037E" w:rsidRDefault="008D037E">
      <w:pPr>
        <w:widowControl/>
        <w:rPr>
          <w:szCs w:val="24"/>
          <w:lang w:eastAsia="en-US"/>
        </w:rPr>
      </w:pPr>
      <w:r>
        <w:rPr>
          <w:szCs w:val="24"/>
          <w:lang w:eastAsia="en-US"/>
        </w:rPr>
        <w:br w:type="page"/>
      </w:r>
    </w:p>
    <w:p w:rsidR="001C2358" w:rsidRPr="008D037E" w:rsidRDefault="001C2358" w:rsidP="001C2358">
      <w:pPr>
        <w:spacing w:before="120" w:after="120" w:line="360" w:lineRule="auto"/>
        <w:ind w:left="850" w:hanging="850"/>
        <w:rPr>
          <w:b/>
          <w:szCs w:val="24"/>
          <w:lang w:eastAsia="en-US"/>
        </w:rPr>
      </w:pPr>
      <w:r w:rsidRPr="001C2358">
        <w:rPr>
          <w:szCs w:val="24"/>
          <w:lang w:eastAsia="en-US"/>
        </w:rPr>
        <w:lastRenderedPageBreak/>
        <w:t>b)</w:t>
      </w:r>
      <w:r w:rsidRPr="001C2358">
        <w:rPr>
          <w:szCs w:val="24"/>
          <w:lang w:eastAsia="en-US"/>
        </w:rPr>
        <w:tab/>
      </w:r>
      <w:r w:rsidRPr="001C2358">
        <w:rPr>
          <w:b/>
          <w:i/>
          <w:szCs w:val="24"/>
          <w:lang w:eastAsia="en-US"/>
        </w:rPr>
        <w:t xml:space="preserve">sofern möglich, </w:t>
      </w:r>
      <w:r w:rsidRPr="001C2358">
        <w:rPr>
          <w:szCs w:val="24"/>
          <w:lang w:eastAsia="en-US"/>
        </w:rPr>
        <w:t>weitestgehende Kompensierung des Verlusts der Fähigkeit des Bodens, zahlreiche Ökosystemleistungen zu erbringen</w:t>
      </w:r>
      <w:r w:rsidRPr="001C2358">
        <w:rPr>
          <w:b/>
          <w:i/>
          <w:szCs w:val="24"/>
          <w:lang w:eastAsia="en-US"/>
        </w:rPr>
        <w:t>; eine solche Kompensierung kann gegebenenfalls in aggregierter Form oder grenzüberschreitend zwischen Mitgliedstaaten erfolgen, wenn der Bodenbezirk die gleichen Merkmale aufweist wie ein angrenzender Bodenbezirk in einem benachbarten Mitgliedstaat oder ein grenzüberschreitender Bodenbezirk</w:t>
      </w:r>
      <w:r w:rsidRPr="001C2358">
        <w:rPr>
          <w:szCs w:val="24"/>
          <w:lang w:eastAsia="en-US"/>
        </w:rPr>
        <w:t>.</w:t>
      </w:r>
      <w:r w:rsidR="008D037E">
        <w:rPr>
          <w:b/>
          <w:szCs w:val="24"/>
          <w:lang w:eastAsia="en-US"/>
        </w:rPr>
        <w:t xml:space="preserve"> [Abänd. 132]</w:t>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t>ba)</w:t>
      </w:r>
      <w:r w:rsidRPr="001C2358">
        <w:rPr>
          <w:szCs w:val="24"/>
          <w:lang w:eastAsia="en-US"/>
        </w:rPr>
        <w:tab/>
      </w:r>
      <w:r w:rsidRPr="001C2358">
        <w:rPr>
          <w:b/>
          <w:i/>
          <w:szCs w:val="24"/>
          <w:lang w:eastAsia="en-US"/>
        </w:rPr>
        <w:t>Annahme von Maßnahmen zur Gewährleistung einer gerechten Kompensation der Grundeigentümer im Falle des Flächenverbrauchs;</w:t>
      </w:r>
      <w:r w:rsidR="008D037E">
        <w:rPr>
          <w:b/>
          <w:szCs w:val="24"/>
          <w:lang w:eastAsia="en-US"/>
        </w:rPr>
        <w:t xml:space="preserve"> [Abänd. 133]</w:t>
      </w:r>
    </w:p>
    <w:p w:rsidR="001C2358" w:rsidRPr="008D037E" w:rsidRDefault="001C2358" w:rsidP="001C2358">
      <w:pPr>
        <w:spacing w:before="120" w:after="120" w:line="360" w:lineRule="auto"/>
        <w:ind w:left="850" w:hanging="850"/>
        <w:rPr>
          <w:b/>
          <w:szCs w:val="24"/>
          <w:lang w:eastAsia="en-US"/>
        </w:rPr>
      </w:pPr>
      <w:r w:rsidRPr="001C2358">
        <w:rPr>
          <w:b/>
          <w:i/>
          <w:szCs w:val="24"/>
          <w:lang w:eastAsia="en-US"/>
        </w:rPr>
        <w:t>bb)</w:t>
      </w:r>
      <w:r w:rsidRPr="001C2358">
        <w:rPr>
          <w:szCs w:val="24"/>
          <w:lang w:eastAsia="en-US"/>
        </w:rPr>
        <w:tab/>
      </w:r>
      <w:r w:rsidRPr="001C2358">
        <w:rPr>
          <w:b/>
          <w:i/>
          <w:szCs w:val="24"/>
          <w:lang w:eastAsia="en-US"/>
        </w:rPr>
        <w:t>Einführung von Maßnahmen zur Verhinderung oder Begrenzung des Flächenverbrauchs, einschließlich der Kartierung aufgegebener Brachflächen und Industriestandorte und einschließlich Anreizen für die Wiederherstellung und Wiederverwendung aufgegebener Flächen mit versiegelten Böden.</w:t>
      </w:r>
      <w:r w:rsidR="008D037E">
        <w:rPr>
          <w:b/>
          <w:szCs w:val="24"/>
          <w:lang w:eastAsia="en-US"/>
        </w:rPr>
        <w:t xml:space="preserve"> [Abänd. 134]</w:t>
      </w:r>
    </w:p>
    <w:p w:rsidR="008D037E" w:rsidRDefault="008D037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 xml:space="preserve">Kapitel IV </w:t>
      </w:r>
      <w:r w:rsidRPr="001C2358">
        <w:rPr>
          <w:szCs w:val="24"/>
          <w:lang w:eastAsia="en-US"/>
        </w:rPr>
        <w:br/>
        <w:t>Kontaminierte Standorte</w:t>
      </w:r>
    </w:p>
    <w:p w:rsidR="001C2358" w:rsidRPr="001C2358" w:rsidRDefault="001C2358" w:rsidP="001C2358">
      <w:pPr>
        <w:spacing w:before="120" w:after="120" w:line="360" w:lineRule="auto"/>
        <w:jc w:val="center"/>
        <w:rPr>
          <w:szCs w:val="24"/>
          <w:lang w:eastAsia="en-US"/>
        </w:rPr>
      </w:pPr>
      <w:r w:rsidRPr="001C2358">
        <w:rPr>
          <w:szCs w:val="24"/>
          <w:lang w:eastAsia="en-US"/>
        </w:rPr>
        <w:t>Artikel 12</w:t>
      </w:r>
      <w:r w:rsidRPr="001C2358">
        <w:rPr>
          <w:szCs w:val="24"/>
          <w:lang w:eastAsia="en-US"/>
        </w:rPr>
        <w:br/>
        <w:t>Risikobasierter Ansatz</w:t>
      </w:r>
    </w:p>
    <w:p w:rsidR="001C2358" w:rsidRPr="008D037E"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Die Mitgliedstaaten beherrschen</w:t>
      </w:r>
      <w:r w:rsidRPr="001C2358">
        <w:rPr>
          <w:b/>
          <w:i/>
          <w:szCs w:val="24"/>
          <w:lang w:eastAsia="en-US"/>
        </w:rPr>
        <w:t xml:space="preserve"> und reduzieren</w:t>
      </w:r>
      <w:r w:rsidRPr="001C2358">
        <w:rPr>
          <w:szCs w:val="24"/>
          <w:lang w:eastAsia="en-US"/>
        </w:rPr>
        <w:t xml:space="preserve"> die Risiken potenziell und tatsächlich kontaminierter Standorte für die </w:t>
      </w:r>
      <w:r w:rsidRPr="001C2358">
        <w:rPr>
          <w:strike/>
          <w:szCs w:val="24"/>
          <w:lang w:eastAsia="en-US"/>
        </w:rPr>
        <w:t xml:space="preserve">menschliche </w:t>
      </w:r>
      <w:r w:rsidRPr="001C2358">
        <w:rPr>
          <w:szCs w:val="24"/>
          <w:lang w:eastAsia="en-US"/>
        </w:rPr>
        <w:t>Gesundheit</w:t>
      </w:r>
      <w:r w:rsidRPr="001C2358">
        <w:rPr>
          <w:b/>
          <w:i/>
          <w:szCs w:val="24"/>
          <w:lang w:eastAsia="en-US"/>
        </w:rPr>
        <w:t xml:space="preserve"> von Mensch und Tier</w:t>
      </w:r>
      <w:r w:rsidRPr="001C2358">
        <w:rPr>
          <w:szCs w:val="24"/>
          <w:lang w:eastAsia="en-US"/>
        </w:rPr>
        <w:t xml:space="preserve"> und die Umwelt und senken diese Risiken</w:t>
      </w:r>
      <w:r w:rsidRPr="001C2358">
        <w:rPr>
          <w:b/>
          <w:i/>
          <w:szCs w:val="24"/>
          <w:lang w:eastAsia="en-US"/>
        </w:rPr>
        <w:t xml:space="preserve"> unter Berücksichtigung der beabsichtigten Funktion des Bodens</w:t>
      </w:r>
      <w:r w:rsidRPr="001C2358">
        <w:rPr>
          <w:szCs w:val="24"/>
          <w:lang w:eastAsia="en-US"/>
        </w:rPr>
        <w:t xml:space="preserve"> auf ein annehmbares Maß, wobei sie die ökologischen, sozialen und wirtschaftlichen Auswirkungen der Bodenkontamination und der gemäß Artikel 15 Absatz 4 getroffenen Maßnahmen zur Risikominderung berücksichtigen.</w:t>
      </w:r>
      <w:r w:rsidR="008D037E">
        <w:rPr>
          <w:b/>
          <w:szCs w:val="24"/>
          <w:lang w:eastAsia="en-US"/>
        </w:rPr>
        <w:t xml:space="preserve"> [Abänd. 135]</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Bis zum … (Amt für Veröffentlichungen: Bitte Datum einfügen: 4 Jahre nach Inkrafttreten der Richtlinie) führen die Mitgliedstaaten einen risikobasierten Ansatz für Folgendes ein: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Ermittlung potenziell kontaminierter Standorte gemäß Artikel 13;</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Untersuchung potenziell kontaminierter Standorte gemäß Artikel 14;</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Umgang mit potenziell kontaminierten Standorten gemäß Artikel 15.</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(3)</w:t>
      </w:r>
      <w:r w:rsidRPr="001C2358">
        <w:rPr>
          <w:szCs w:val="24"/>
          <w:lang w:eastAsia="en-US"/>
        </w:rPr>
        <w:tab/>
        <w:t>Die Anforderung nach Absatz 2 gilt unbeschadet strengerer Anforderungen, die sich aus dem Unionsrecht oder dem nationalen Recht ergeben.</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(4)</w:t>
      </w:r>
      <w:r w:rsidRPr="001C2358">
        <w:rPr>
          <w:szCs w:val="24"/>
          <w:lang w:eastAsia="en-US"/>
        </w:rPr>
        <w:tab/>
        <w:t>Die</w:t>
      </w:r>
      <w:r w:rsidRPr="001C2358">
        <w:rPr>
          <w:strike/>
          <w:szCs w:val="24"/>
          <w:lang w:eastAsia="en-US"/>
        </w:rPr>
        <w:t xml:space="preserve"> betroffene</w:t>
      </w:r>
      <w:r w:rsidRPr="001C2358">
        <w:rPr>
          <w:szCs w:val="24"/>
          <w:lang w:eastAsia="en-US"/>
        </w:rPr>
        <w:t xml:space="preserve"> Öffentlichkeit erhält frühzeitig und in effektiver Weise die Möglichkeit,</w:t>
      </w:r>
      <w:r w:rsidR="001C5F4E">
        <w:rPr>
          <w:b/>
          <w:szCs w:val="24"/>
          <w:lang w:eastAsia="en-US"/>
        </w:rPr>
        <w:t xml:space="preserve"> [Abänd. 136]</w:t>
      </w:r>
    </w:p>
    <w:p w:rsidR="001C2358" w:rsidRPr="001C5F4E" w:rsidRDefault="001C2358" w:rsidP="001C2358">
      <w:pPr>
        <w:spacing w:before="120" w:after="120" w:line="360" w:lineRule="auto"/>
        <w:ind w:left="1416" w:hanging="566"/>
        <w:rPr>
          <w:b/>
          <w:szCs w:val="24"/>
          <w:lang w:eastAsia="en-US"/>
        </w:rPr>
      </w:pPr>
      <w:r w:rsidRPr="001C2358">
        <w:rPr>
          <w:szCs w:val="24"/>
          <w:lang w:eastAsia="en-US"/>
        </w:rPr>
        <w:t>a)</w:t>
      </w:r>
      <w:r w:rsidRPr="001C2358">
        <w:rPr>
          <w:szCs w:val="24"/>
          <w:lang w:eastAsia="en-US"/>
        </w:rPr>
        <w:tab/>
        <w:t>zur Ausarbeitung und konkreten Umsetzung des risikobasierten Ansatzes im Sinne dieses Artikels</w:t>
      </w:r>
      <w:r w:rsidRPr="001C2358">
        <w:rPr>
          <w:b/>
          <w:i/>
          <w:szCs w:val="24"/>
          <w:lang w:eastAsia="en-US"/>
        </w:rPr>
        <w:t>, der Ermittlung potenziell kontaminierter Standorte gemäß Artikel 13, der Untersuchung potenziell kontaminierter Standorte gemäß Artikel 14 sowie der Bewertung und dem Umgang mit potenziell kontaminierten Standorten gemäß Artikel 15</w:t>
      </w:r>
      <w:r w:rsidRPr="001C2358">
        <w:rPr>
          <w:szCs w:val="24"/>
          <w:lang w:eastAsia="en-US"/>
        </w:rPr>
        <w:t xml:space="preserve"> beizutragen</w:t>
      </w:r>
      <w:r w:rsidRPr="001C2358">
        <w:rPr>
          <w:b/>
          <w:i/>
          <w:szCs w:val="24"/>
          <w:lang w:eastAsia="en-US"/>
        </w:rPr>
        <w:t>, wenn noch alle Optionen verfügbar sind</w:t>
      </w:r>
      <w:r w:rsidRPr="001C2358">
        <w:rPr>
          <w:szCs w:val="24"/>
          <w:lang w:eastAsia="en-US"/>
        </w:rPr>
        <w:t>;</w:t>
      </w:r>
      <w:r w:rsidR="001C5F4E">
        <w:rPr>
          <w:b/>
          <w:szCs w:val="24"/>
          <w:lang w:eastAsia="en-US"/>
        </w:rPr>
        <w:t xml:space="preserve"> [Abänd. 137]</w:t>
      </w:r>
    </w:p>
    <w:p w:rsidR="001C2358" w:rsidRPr="001C5F4E" w:rsidRDefault="001C2358" w:rsidP="001C2358">
      <w:pPr>
        <w:spacing w:before="120" w:after="120" w:line="360" w:lineRule="auto"/>
        <w:ind w:left="1416" w:hanging="566"/>
        <w:rPr>
          <w:b/>
          <w:szCs w:val="24"/>
          <w:lang w:eastAsia="en-US"/>
        </w:rPr>
      </w:pPr>
      <w:r w:rsidRPr="001C2358">
        <w:rPr>
          <w:szCs w:val="24"/>
          <w:lang w:eastAsia="en-US"/>
        </w:rPr>
        <w:t>b)</w:t>
      </w:r>
      <w:r w:rsidRPr="001C2358">
        <w:rPr>
          <w:szCs w:val="24"/>
          <w:lang w:eastAsia="en-US"/>
        </w:rPr>
        <w:tab/>
      </w:r>
      <w:r w:rsidRPr="001C2358">
        <w:rPr>
          <w:b/>
          <w:i/>
          <w:szCs w:val="24"/>
          <w:lang w:eastAsia="en-US"/>
        </w:rPr>
        <w:t xml:space="preserve">jederzeit </w:t>
      </w:r>
      <w:r w:rsidRPr="001C2358">
        <w:rPr>
          <w:szCs w:val="24"/>
          <w:lang w:eastAsia="en-US"/>
        </w:rPr>
        <w:t xml:space="preserve">relevante Informationen </w:t>
      </w:r>
      <w:r w:rsidRPr="001C2358">
        <w:rPr>
          <w:b/>
          <w:i/>
          <w:szCs w:val="24"/>
          <w:lang w:eastAsia="en-US"/>
        </w:rPr>
        <w:t xml:space="preserve">und Nachweise </w:t>
      </w:r>
      <w:r w:rsidRPr="001C2358">
        <w:rPr>
          <w:szCs w:val="24"/>
          <w:lang w:eastAsia="en-US"/>
        </w:rPr>
        <w:t xml:space="preserve">für die </w:t>
      </w:r>
      <w:r w:rsidRPr="001C2358">
        <w:rPr>
          <w:strike/>
          <w:szCs w:val="24"/>
          <w:lang w:eastAsia="en-US"/>
        </w:rPr>
        <w:t>Ermittlung potenziell kontaminierter Standorte gemäß Artikel 13, die Untersuchung potenziell kontaminierter Standorte gemäß Artikel 14 und den Umgang mit potenziell kontaminierten Standorten gemäß Artikel 15</w:t>
      </w:r>
      <w:r w:rsidRPr="001C2358">
        <w:rPr>
          <w:b/>
          <w:i/>
          <w:szCs w:val="24"/>
          <w:lang w:eastAsia="en-US"/>
        </w:rPr>
        <w:t>unter Buchstabe a genannten Tätigkeiten</w:t>
      </w:r>
      <w:r w:rsidRPr="001C2358">
        <w:rPr>
          <w:szCs w:val="24"/>
          <w:lang w:eastAsia="en-US"/>
        </w:rPr>
        <w:t xml:space="preserve"> bereitzustellen</w:t>
      </w:r>
      <w:r w:rsidRPr="001C2358">
        <w:rPr>
          <w:b/>
          <w:i/>
          <w:szCs w:val="24"/>
          <w:lang w:eastAsia="en-US"/>
        </w:rPr>
        <w:t>, z. B. Daten über das Human-Biomonitoring oder die Umweltüberwachung</w:t>
      </w:r>
      <w:r w:rsidRPr="001C2358">
        <w:rPr>
          <w:szCs w:val="24"/>
          <w:lang w:eastAsia="en-US"/>
        </w:rPr>
        <w:t>;</w:t>
      </w:r>
      <w:r w:rsidR="001C5F4E">
        <w:rPr>
          <w:b/>
          <w:szCs w:val="24"/>
          <w:lang w:eastAsia="en-US"/>
        </w:rPr>
        <w:t xml:space="preserve"> [Abänd. 138]</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eine Berichtigung der Daten im Register für tatsächlich und potenziell kontaminierte Standorte gemäß Artikel 16 zu beantragen.</w:t>
      </w:r>
    </w:p>
    <w:p w:rsidR="001C5F4E" w:rsidRDefault="001C5F4E">
      <w:pPr>
        <w:widowControl/>
        <w:rPr>
          <w:b/>
          <w:i/>
          <w:szCs w:val="24"/>
          <w:lang w:eastAsia="en-US"/>
        </w:rPr>
      </w:pPr>
      <w:r>
        <w:rPr>
          <w:b/>
          <w:i/>
          <w:szCs w:val="24"/>
          <w:lang w:eastAsia="en-US"/>
        </w:rPr>
        <w:br w:type="page"/>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lastRenderedPageBreak/>
        <w:t>(4a)</w:t>
      </w:r>
      <w:r w:rsidRPr="001C2358">
        <w:rPr>
          <w:szCs w:val="24"/>
          <w:lang w:eastAsia="en-US"/>
        </w:rPr>
        <w:tab/>
      </w:r>
      <w:r w:rsidRPr="001C2358">
        <w:rPr>
          <w:b/>
          <w:i/>
          <w:szCs w:val="24"/>
          <w:lang w:eastAsia="en-US"/>
        </w:rPr>
        <w:t>Für die Zwecke von Absatz 4 stellen die Mitgliedstaaten – auch durch öffentliche Bekanntmachungen und elektronische Medien – sicher, dass die Öffentlichkeit rechtzeitig, angemessen und wirksam über alle relevanten Informationen unterrichtet wird.</w:t>
      </w:r>
      <w:r w:rsidR="001C5F4E">
        <w:rPr>
          <w:b/>
          <w:szCs w:val="24"/>
          <w:lang w:eastAsia="en-US"/>
        </w:rPr>
        <w:t xml:space="preserve"> [Abänd. 139]</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(4b)</w:t>
      </w:r>
      <w:r w:rsidRPr="001C2358">
        <w:rPr>
          <w:szCs w:val="24"/>
          <w:lang w:eastAsia="en-US"/>
        </w:rPr>
        <w:tab/>
      </w:r>
      <w:r w:rsidRPr="001C2358">
        <w:rPr>
          <w:b/>
          <w:i/>
          <w:szCs w:val="24"/>
          <w:lang w:eastAsia="en-US"/>
        </w:rPr>
        <w:t>Die Mitgliedstaaten berücksichtigen die gemäß Absatz 4 bereitgestellten Informationen bei der Umsetzung der Bestimmungen dieses Kapitels und in Bezug auf die in Anhang I aufgeführten Bodendeskriptoren für Bodenkontamination gebührend.</w:t>
      </w:r>
      <w:r w:rsidR="001C5F4E">
        <w:rPr>
          <w:b/>
          <w:szCs w:val="24"/>
          <w:lang w:eastAsia="en-US"/>
        </w:rPr>
        <w:t xml:space="preserve"> [Abänd. 140]</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(4c)</w:t>
      </w:r>
      <w:r w:rsidRPr="001C2358">
        <w:rPr>
          <w:szCs w:val="24"/>
          <w:lang w:eastAsia="en-US"/>
        </w:rPr>
        <w:tab/>
      </w:r>
      <w:r w:rsidRPr="001C2358">
        <w:rPr>
          <w:b/>
          <w:i/>
          <w:szCs w:val="24"/>
          <w:lang w:eastAsia="en-US"/>
        </w:rPr>
        <w:t>Ergeben die Nachweise eine weit verbreitete Bodenkontamination oder eine Exposition gegenüber dem betreffenden Stoff oder Gemisch über den Boden, so leitet die zuständige Behörde ein Verfahren für das Risikomanagement ein. Ergeben die Nachweise, dass keine ausreichenden Informationen über das für die Gesundheit oder die Umwelt entstandene Risiko vorliegen, das von einem im Boden vorhandenen gefährlichen Stoff oder Gemisch ausgeht, so stellt die zuständige Behörde weitere Untersuchungen an, um bei Bedarf Maßnahmen zum Risikomanagement im Einklang mit dem Vorsorgeprinzip zu ergreifen.</w:t>
      </w:r>
      <w:r w:rsidR="001C5F4E">
        <w:rPr>
          <w:b/>
          <w:szCs w:val="24"/>
          <w:lang w:eastAsia="en-US"/>
        </w:rPr>
        <w:t xml:space="preserve"> [Abänd. 141]</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(4d)</w:t>
      </w:r>
      <w:r w:rsidRPr="001C2358">
        <w:rPr>
          <w:szCs w:val="24"/>
          <w:lang w:eastAsia="en-US"/>
        </w:rPr>
        <w:tab/>
      </w:r>
      <w:r w:rsidRPr="001C2358">
        <w:rPr>
          <w:b/>
          <w:i/>
          <w:szCs w:val="24"/>
          <w:lang w:eastAsia="en-US"/>
        </w:rPr>
        <w:t>Die Mitgliedstaaten unterrichten die Öffentlichkeit umgehend über Entscheidungen oder Maßnahmen, die gemäß den Absätzen 4 und 4c getroffen bzw. ergriffen wurden, sowie über die Gründe und Erwägungen, auf die sich die Entscheidung oder Maßnahme stützt, und erläutern, wie die Informationen berücksichtigt wurden.</w:t>
      </w:r>
      <w:r w:rsidR="001C5F4E">
        <w:rPr>
          <w:b/>
          <w:szCs w:val="24"/>
          <w:lang w:eastAsia="en-US"/>
        </w:rPr>
        <w:t xml:space="preserve"> [Abänd. 142]</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13</w:t>
      </w:r>
      <w:r w:rsidRPr="001C2358">
        <w:rPr>
          <w:szCs w:val="24"/>
          <w:lang w:eastAsia="en-US"/>
        </w:rPr>
        <w:br/>
        <w:t>Ermittlung potenziell kontaminierter Standorte</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Die Mitgliedstaaten ermitteln systematisch und aktiv sämtliche Standorte, bei denen aufgrund von Nachweisen, die mit allen </w:t>
      </w:r>
      <w:r w:rsidRPr="001C2358">
        <w:rPr>
          <w:strike/>
          <w:szCs w:val="24"/>
          <w:lang w:eastAsia="en-US"/>
        </w:rPr>
        <w:t>verfügbaren</w:t>
      </w:r>
      <w:r w:rsidRPr="001C2358">
        <w:rPr>
          <w:b/>
          <w:i/>
          <w:szCs w:val="24"/>
          <w:lang w:eastAsia="en-US"/>
        </w:rPr>
        <w:t>angemessenen</w:t>
      </w:r>
      <w:r w:rsidRPr="001C2358">
        <w:rPr>
          <w:szCs w:val="24"/>
          <w:lang w:eastAsia="en-US"/>
        </w:rPr>
        <w:t xml:space="preserve"> Mitteln</w:t>
      </w:r>
      <w:r w:rsidRPr="001C2358">
        <w:rPr>
          <w:b/>
          <w:i/>
          <w:szCs w:val="24"/>
          <w:lang w:eastAsia="en-US"/>
        </w:rPr>
        <w:t>, einschließlich Bürgerbeiträgen und festgelegten Verfahren,</w:t>
      </w:r>
      <w:r w:rsidRPr="001C2358">
        <w:rPr>
          <w:szCs w:val="24"/>
          <w:lang w:eastAsia="en-US"/>
        </w:rPr>
        <w:t xml:space="preserve"> gesammelt wurden, der Verdacht einer Bodenkontamination besteht (im Folgenden „potenziell kontaminierte Standorte“).</w:t>
      </w:r>
      <w:r w:rsidR="001C5F4E">
        <w:rPr>
          <w:b/>
          <w:szCs w:val="24"/>
          <w:lang w:eastAsia="en-US"/>
        </w:rPr>
        <w:t xml:space="preserve"> [Abänd. 143]</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Bei der Ermittlung potenziell kontaminierter Standorte berücksichtigen die Mitgliedstaaten folgende Kriterien: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Ausführung einer aktiven oder inaktiven potenziell kontaminierenden Tätigkeit;</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Ausführung einer Tätigkeit gemäß Anhang I der Richtlinie 2010/75/EU;</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Führen eines Betriebs gemäß der Richtlinie 2012/18/EU des Europäischen Parlaments und des Rates</w:t>
      </w:r>
      <w:r w:rsidRPr="001C2358">
        <w:rPr>
          <w:szCs w:val="24"/>
          <w:vertAlign w:val="superscript"/>
          <w:lang w:val="en-GB" w:eastAsia="en-US"/>
        </w:rPr>
        <w:footnoteReference w:id="51"/>
      </w:r>
      <w:r w:rsidRPr="001C2358">
        <w:rPr>
          <w:szCs w:val="24"/>
          <w:lang w:eastAsia="en-US"/>
        </w:rPr>
        <w:t>;</w:t>
      </w:r>
    </w:p>
    <w:p w:rsidR="001C2358" w:rsidRPr="001C5F4E" w:rsidRDefault="001C2358" w:rsidP="001C2358">
      <w:pPr>
        <w:spacing w:before="120" w:after="120" w:line="360" w:lineRule="auto"/>
        <w:ind w:left="1416" w:hanging="566"/>
        <w:rPr>
          <w:b/>
          <w:szCs w:val="24"/>
          <w:lang w:eastAsia="en-US"/>
        </w:rPr>
      </w:pPr>
      <w:r w:rsidRPr="001C2358">
        <w:rPr>
          <w:strike/>
          <w:szCs w:val="24"/>
          <w:lang w:eastAsia="en-US"/>
        </w:rPr>
        <w:t>d)</w:t>
      </w:r>
      <w:r w:rsidRPr="001C2358">
        <w:rPr>
          <w:szCs w:val="24"/>
          <w:lang w:eastAsia="en-US"/>
        </w:rPr>
        <w:tab/>
      </w:r>
      <w:r w:rsidRPr="001C2358">
        <w:rPr>
          <w:strike/>
          <w:szCs w:val="24"/>
          <w:lang w:eastAsia="en-US"/>
        </w:rPr>
        <w:t>Ausführung einer Tätigkeit gemäß Anhang III der Richtlinie 2004/35/EG des Europäischen Parlaments und des Rates</w:t>
      </w:r>
      <w:r w:rsidRPr="001C2358">
        <w:rPr>
          <w:szCs w:val="24"/>
          <w:vertAlign w:val="superscript"/>
          <w:lang w:val="en-GB" w:eastAsia="en-US"/>
        </w:rPr>
        <w:footnoteReference w:id="52"/>
      </w:r>
      <w:r w:rsidRPr="001C2358">
        <w:rPr>
          <w:strike/>
          <w:szCs w:val="24"/>
          <w:lang w:eastAsia="en-US"/>
        </w:rPr>
        <w:t>;</w:t>
      </w:r>
      <w:r w:rsidR="001C5F4E" w:rsidRPr="001C5F4E">
        <w:rPr>
          <w:b/>
          <w:szCs w:val="24"/>
          <w:lang w:eastAsia="en-US"/>
        </w:rPr>
        <w:t xml:space="preserve"> [Abänd. 144]</w:t>
      </w:r>
    </w:p>
    <w:p w:rsidR="001C2358" w:rsidRPr="001C2358" w:rsidRDefault="001C2358" w:rsidP="001C2358">
      <w:pPr>
        <w:spacing w:before="120" w:after="120" w:line="360" w:lineRule="auto"/>
        <w:ind w:left="1416" w:hanging="566"/>
        <w:rPr>
          <w:szCs w:val="24"/>
          <w:lang w:eastAsia="en-US"/>
        </w:rPr>
      </w:pPr>
      <w:r w:rsidRPr="001C2358">
        <w:rPr>
          <w:szCs w:val="24"/>
          <w:lang w:eastAsia="en-US"/>
        </w:rPr>
        <w:t>e)</w:t>
      </w:r>
      <w:r w:rsidRPr="001C2358">
        <w:rPr>
          <w:szCs w:val="24"/>
          <w:lang w:eastAsia="en-US"/>
        </w:rPr>
        <w:tab/>
        <w:t>potenziell kontaminierende Unfälle, Unglücke, Katastrophen, Vorfälle oder Austritte;</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ind w:left="1416" w:hanging="566"/>
        <w:rPr>
          <w:szCs w:val="24"/>
          <w:lang w:eastAsia="en-US"/>
        </w:rPr>
      </w:pPr>
      <w:r w:rsidRPr="001C2358">
        <w:rPr>
          <w:szCs w:val="24"/>
          <w:lang w:eastAsia="en-US"/>
        </w:rPr>
        <w:lastRenderedPageBreak/>
        <w:t>f)</w:t>
      </w:r>
      <w:r w:rsidRPr="001C2358">
        <w:rPr>
          <w:szCs w:val="24"/>
          <w:lang w:eastAsia="en-US"/>
        </w:rPr>
        <w:tab/>
        <w:t>sonstige Ereignisse, die Bodenkontamination verursachen können;</w:t>
      </w:r>
    </w:p>
    <w:p w:rsidR="001C2358" w:rsidRPr="001C5F4E" w:rsidRDefault="001C2358" w:rsidP="001C2358">
      <w:pPr>
        <w:spacing w:before="120" w:after="120" w:line="360" w:lineRule="auto"/>
        <w:ind w:left="1416" w:hanging="566"/>
        <w:rPr>
          <w:b/>
          <w:szCs w:val="24"/>
          <w:lang w:eastAsia="en-US"/>
        </w:rPr>
      </w:pPr>
      <w:r w:rsidRPr="001C2358">
        <w:rPr>
          <w:b/>
          <w:i/>
          <w:szCs w:val="24"/>
          <w:lang w:eastAsia="en-US"/>
        </w:rPr>
        <w:t>fa)</w:t>
      </w:r>
      <w:r w:rsidRPr="001C2358">
        <w:rPr>
          <w:szCs w:val="24"/>
          <w:lang w:eastAsia="en-US"/>
        </w:rPr>
        <w:tab/>
      </w:r>
      <w:r w:rsidRPr="001C2358">
        <w:rPr>
          <w:b/>
          <w:i/>
          <w:szCs w:val="24"/>
          <w:lang w:eastAsia="en-US"/>
        </w:rPr>
        <w:t>alle Bereiche, die für die Entnahme von Trinkwasser genutzt werden;</w:t>
      </w:r>
      <w:r w:rsidR="001C5F4E">
        <w:rPr>
          <w:b/>
          <w:szCs w:val="24"/>
          <w:lang w:eastAsia="en-US"/>
        </w:rPr>
        <w:t xml:space="preserve"> [Abänd. 145]</w:t>
      </w:r>
    </w:p>
    <w:p w:rsidR="001C2358" w:rsidRPr="001C2358" w:rsidRDefault="001C2358" w:rsidP="001C2358">
      <w:pPr>
        <w:spacing w:before="120" w:after="120" w:line="360" w:lineRule="auto"/>
        <w:ind w:left="1416" w:hanging="566"/>
        <w:rPr>
          <w:szCs w:val="24"/>
          <w:lang w:eastAsia="en-US"/>
        </w:rPr>
      </w:pPr>
      <w:r w:rsidRPr="001C2358">
        <w:rPr>
          <w:szCs w:val="24"/>
          <w:lang w:eastAsia="en-US"/>
        </w:rPr>
        <w:t>g)</w:t>
      </w:r>
      <w:r w:rsidRPr="001C2358">
        <w:rPr>
          <w:szCs w:val="24"/>
          <w:lang w:eastAsia="en-US"/>
        </w:rPr>
        <w:tab/>
        <w:t>alle Informationen aus der gemäß den Artikeln 6, 7 und 8 durchgeführten Überwachung der Bodengesundheit.</w:t>
      </w:r>
    </w:p>
    <w:p w:rsidR="001C2358" w:rsidRPr="001C5F4E" w:rsidRDefault="001C2358" w:rsidP="001C2358">
      <w:pPr>
        <w:spacing w:before="120" w:after="120" w:line="360" w:lineRule="auto"/>
        <w:ind w:left="1416" w:hanging="566"/>
        <w:rPr>
          <w:b/>
          <w:szCs w:val="24"/>
          <w:lang w:eastAsia="en-US"/>
        </w:rPr>
      </w:pPr>
      <w:r w:rsidRPr="001C2358">
        <w:rPr>
          <w:b/>
          <w:i/>
          <w:szCs w:val="24"/>
          <w:lang w:eastAsia="en-US"/>
        </w:rPr>
        <w:t>ga)</w:t>
      </w:r>
      <w:r w:rsidRPr="001C2358">
        <w:rPr>
          <w:szCs w:val="24"/>
          <w:lang w:eastAsia="en-US"/>
        </w:rPr>
        <w:tab/>
      </w:r>
      <w:r w:rsidRPr="001C2358">
        <w:rPr>
          <w:b/>
          <w:i/>
          <w:szCs w:val="24"/>
          <w:lang w:eastAsia="en-US"/>
        </w:rPr>
        <w:t>Auftreten von Krankheiten, bei denen davon ausgegangen wird, dass sie mit einer Exposition gegenüber Kontamination über den Boden in Verbindung stehen.</w:t>
      </w:r>
      <w:r w:rsidR="001C5F4E">
        <w:rPr>
          <w:b/>
          <w:szCs w:val="24"/>
          <w:lang w:eastAsia="en-US"/>
        </w:rPr>
        <w:t xml:space="preserve"> [Abänd. 146]</w:t>
      </w:r>
    </w:p>
    <w:p w:rsidR="001C2358" w:rsidRPr="001C5F4E" w:rsidRDefault="001C2358" w:rsidP="001C2358">
      <w:pPr>
        <w:spacing w:before="120" w:after="120" w:line="360" w:lineRule="auto"/>
        <w:ind w:left="1416" w:hanging="566"/>
        <w:rPr>
          <w:b/>
          <w:szCs w:val="24"/>
          <w:lang w:eastAsia="en-US"/>
        </w:rPr>
      </w:pPr>
      <w:r w:rsidRPr="001C2358">
        <w:rPr>
          <w:b/>
          <w:i/>
          <w:szCs w:val="24"/>
          <w:lang w:eastAsia="en-US"/>
        </w:rPr>
        <w:t>gb)</w:t>
      </w:r>
      <w:r w:rsidRPr="001C2358">
        <w:rPr>
          <w:szCs w:val="24"/>
          <w:lang w:eastAsia="en-US"/>
        </w:rPr>
        <w:tab/>
      </w:r>
      <w:r w:rsidRPr="001C2358">
        <w:rPr>
          <w:b/>
          <w:i/>
          <w:szCs w:val="24"/>
          <w:lang w:eastAsia="en-US"/>
        </w:rPr>
        <w:t>alle von der Öffentlichkeit oder den Behörden der Mitgliedstaaten übermittelten Informationen.</w:t>
      </w:r>
      <w:r w:rsidR="001C5F4E">
        <w:rPr>
          <w:b/>
          <w:szCs w:val="24"/>
          <w:lang w:eastAsia="en-US"/>
        </w:rPr>
        <w:t xml:space="preserve"> [Abänd. 147]</w:t>
      </w:r>
    </w:p>
    <w:p w:rsidR="001C2358" w:rsidRPr="001C2358" w:rsidRDefault="001C2358" w:rsidP="001C2358">
      <w:pPr>
        <w:spacing w:before="120" w:after="120" w:line="360" w:lineRule="auto"/>
        <w:ind w:left="850"/>
        <w:rPr>
          <w:szCs w:val="24"/>
          <w:lang w:eastAsia="en-US"/>
        </w:rPr>
      </w:pPr>
      <w:r w:rsidRPr="001C2358">
        <w:rPr>
          <w:szCs w:val="24"/>
          <w:lang w:eastAsia="en-US"/>
        </w:rPr>
        <w:t>Für die Zwecke von Unterabsatz 1 Buchstabe a erstellen die Mitgliedstaaten eine Liste potenziell kontaminierender Tätigkeiten. Diese Tätigkeiten können auf der Grundlage wissenschaftlicher Erkenntnisse weiter nach ihrem Risiko einer Bodenkontamination eingestuft werden.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Die Mitgliedstaaten stellen sicher, dass alle potenziell kontaminierten Standorte bis zum (Amt für Veröffentlichungen: Bitte Datum einfügen: 7 Jahre nach Inkrafttreten der Richtlinie) ermittelt und in das Register gemäß Artikel 16 eingetragen werden.</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14</w:t>
      </w:r>
      <w:r w:rsidRPr="001C2358">
        <w:rPr>
          <w:szCs w:val="24"/>
          <w:lang w:eastAsia="en-US"/>
        </w:rPr>
        <w:br/>
        <w:t>Untersuchung potenziell kontaminierter Standorte</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Die Mitgliedstaaten stellen sicher, dass für alle gemäß Artikel 13 ermittelten potenziell kontaminierten Standorte </w:t>
      </w:r>
      <w:r w:rsidRPr="001C2358">
        <w:rPr>
          <w:b/>
          <w:i/>
          <w:szCs w:val="24"/>
          <w:lang w:eastAsia="en-US"/>
        </w:rPr>
        <w:t xml:space="preserve">entsprechend der Rangfolge ihrer Priorität </w:t>
      </w:r>
      <w:r w:rsidRPr="001C2358">
        <w:rPr>
          <w:szCs w:val="24"/>
          <w:lang w:eastAsia="en-US"/>
        </w:rPr>
        <w:t>eine Bodenuntersuchung durchgeführt wird.</w:t>
      </w:r>
      <w:r w:rsidR="001C5F4E">
        <w:rPr>
          <w:b/>
          <w:szCs w:val="24"/>
          <w:lang w:eastAsia="en-US"/>
        </w:rPr>
        <w:t xml:space="preserve"> [Abänd. 148]</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Die Mitgliedstaaten erlassen Vorschriften für Frist, Gegenstand, Form und Priorisierung der Bodenuntersuchungen</w:t>
      </w:r>
      <w:r w:rsidRPr="001C2358">
        <w:rPr>
          <w:b/>
          <w:i/>
          <w:szCs w:val="24"/>
          <w:lang w:eastAsia="en-US"/>
        </w:rPr>
        <w:t xml:space="preserve"> und berücksichtigen dabei ökologische, soziale und wirtschaftliche Aspekte</w:t>
      </w:r>
      <w:r w:rsidRPr="001C2358">
        <w:rPr>
          <w:szCs w:val="24"/>
          <w:lang w:eastAsia="en-US"/>
        </w:rPr>
        <w:t>. Diese Vorschriften werden im Einklang mit dem risikobasierten Ansatz gemäß Artikel 12 und der Liste der potenziell kontaminierenden Tätigkeiten gemäß Artikel 13 Absatz 2 Unterabsatz 2 festgelegt.</w:t>
      </w:r>
      <w:r w:rsidR="001C5F4E">
        <w:rPr>
          <w:b/>
          <w:szCs w:val="24"/>
          <w:lang w:eastAsia="en-US"/>
        </w:rPr>
        <w:t xml:space="preserve"> [Abänd. 149]</w:t>
      </w:r>
    </w:p>
    <w:p w:rsidR="001C2358" w:rsidRPr="001C5F4E" w:rsidRDefault="001C2358" w:rsidP="001C2358">
      <w:pPr>
        <w:spacing w:before="120" w:after="120" w:line="360" w:lineRule="auto"/>
        <w:ind w:left="850"/>
        <w:rPr>
          <w:b/>
          <w:szCs w:val="24"/>
          <w:lang w:eastAsia="en-US"/>
        </w:rPr>
      </w:pPr>
      <w:r w:rsidRPr="001C2358">
        <w:rPr>
          <w:b/>
          <w:i/>
          <w:szCs w:val="24"/>
          <w:lang w:eastAsia="en-US"/>
        </w:rPr>
        <w:t>Potenziell kontaminierte Standorte in Gebieten, die für die Entnahme von Wasser für den menschlichen Gebrauch genutzt werden, sind bei der Bodenuntersuchung vorrangig zu berücksichtigen.</w:t>
      </w:r>
      <w:r w:rsidR="001C5F4E">
        <w:rPr>
          <w:b/>
          <w:szCs w:val="24"/>
          <w:lang w:eastAsia="en-US"/>
        </w:rPr>
        <w:t xml:space="preserve"> [Abänd. 150]</w:t>
      </w:r>
    </w:p>
    <w:p w:rsidR="001C2358" w:rsidRPr="001C2358" w:rsidRDefault="001C2358" w:rsidP="001C2358">
      <w:pPr>
        <w:spacing w:before="120" w:after="120" w:line="360" w:lineRule="auto"/>
        <w:ind w:left="850"/>
        <w:rPr>
          <w:szCs w:val="24"/>
          <w:lang w:eastAsia="en-US"/>
        </w:rPr>
      </w:pPr>
      <w:r w:rsidRPr="001C2358">
        <w:rPr>
          <w:szCs w:val="24"/>
          <w:lang w:eastAsia="en-US"/>
        </w:rPr>
        <w:t>Die Mitgliedstaaten können Berichte über den Ausgangszustand und gemäß der Richtlinie 2010/75/EU durchgeführte Überwachungsmaßnahmen gegebenenfalls als Bodenuntersuchungen einstufen.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Die Mitgliedstaaten legen auch fest, welche spezifischen Ereignisse eine Untersuchung vor Ablauf der gemäß Absatz 2 festgelegten Frist auslösen.</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15</w:t>
      </w:r>
      <w:r w:rsidRPr="001C2358">
        <w:rPr>
          <w:szCs w:val="24"/>
          <w:lang w:eastAsia="en-US"/>
        </w:rPr>
        <w:br/>
        <w:t>Risikobewertung und Umgang mit kontaminierten Standorten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Die Mitgliedstaaten legen die spezifische Methode für die Ermittlung der standortspezifischen Risiken kontaminierter Standorte fest. Diese Methode beruht auf den in Anhang VI aufgeführten Phasen und Anforderungen für die standortspezifische Risikobewertung.</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 xml:space="preserve">Die Mitgliedstaaten legen fest, welche kontaminierten Standorte ein unannehmbares Risiko für die </w:t>
      </w:r>
      <w:r w:rsidRPr="001C2358">
        <w:rPr>
          <w:strike/>
          <w:szCs w:val="24"/>
          <w:lang w:eastAsia="en-US"/>
        </w:rPr>
        <w:t xml:space="preserve">menschliche </w:t>
      </w:r>
      <w:r w:rsidRPr="001C2358">
        <w:rPr>
          <w:szCs w:val="24"/>
          <w:lang w:eastAsia="en-US"/>
        </w:rPr>
        <w:t>Gesundheit</w:t>
      </w:r>
      <w:r w:rsidRPr="001C2358">
        <w:rPr>
          <w:b/>
          <w:i/>
          <w:szCs w:val="24"/>
          <w:lang w:eastAsia="en-US"/>
        </w:rPr>
        <w:t xml:space="preserve"> von Mensch und Tier</w:t>
      </w:r>
      <w:r w:rsidRPr="001C2358">
        <w:rPr>
          <w:szCs w:val="24"/>
          <w:lang w:eastAsia="en-US"/>
        </w:rPr>
        <w:t xml:space="preserve"> und die Umwelt darstellen und berücksichtigen dabei derzeitige wissenschaftliche Erkenntnisse, </w:t>
      </w:r>
      <w:r w:rsidRPr="001C2358">
        <w:rPr>
          <w:b/>
          <w:i/>
          <w:szCs w:val="24"/>
          <w:lang w:eastAsia="en-US"/>
        </w:rPr>
        <w:t xml:space="preserve">die Stellungnahme von Angehörigen der Gesundheitsberufe und von Gesundheitsbehörden, </w:t>
      </w:r>
      <w:r w:rsidRPr="001C2358">
        <w:rPr>
          <w:szCs w:val="24"/>
          <w:lang w:eastAsia="en-US"/>
        </w:rPr>
        <w:t>das Vorsorgeprinzip, lokale Besonderheiten sowie die gegenwärtige und künftige Landnutzung.</w:t>
      </w:r>
      <w:r w:rsidR="001C5F4E">
        <w:rPr>
          <w:b/>
          <w:szCs w:val="24"/>
          <w:lang w:eastAsia="en-US"/>
        </w:rPr>
        <w:t xml:space="preserve"> [Abänd. 151]</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(3)</w:t>
      </w:r>
      <w:r w:rsidRPr="001C2358">
        <w:rPr>
          <w:szCs w:val="24"/>
          <w:lang w:eastAsia="en-US"/>
        </w:rPr>
        <w:tab/>
        <w:t xml:space="preserve">Für jeden gemäß Artikel 14 oder auf andere Weise ermittelten kontaminierten Standort führt die zuständige Behörde eine standortspezifische Bewertung der derzeitigen und geplanten Landnutzung durch, um zu ermitteln, ob von dem kontaminierten Standort unannehmbare Risiken für die </w:t>
      </w:r>
      <w:r w:rsidRPr="001C2358">
        <w:rPr>
          <w:strike/>
          <w:szCs w:val="24"/>
          <w:lang w:eastAsia="en-US"/>
        </w:rPr>
        <w:t xml:space="preserve">menschliche </w:t>
      </w:r>
      <w:r w:rsidRPr="001C2358">
        <w:rPr>
          <w:szCs w:val="24"/>
          <w:lang w:eastAsia="en-US"/>
        </w:rPr>
        <w:t>Gesundheit</w:t>
      </w:r>
      <w:r w:rsidRPr="001C2358">
        <w:rPr>
          <w:b/>
          <w:i/>
          <w:szCs w:val="24"/>
          <w:lang w:eastAsia="en-US"/>
        </w:rPr>
        <w:t xml:space="preserve"> von Mensch und Tier</w:t>
      </w:r>
      <w:r w:rsidRPr="001C2358">
        <w:rPr>
          <w:szCs w:val="24"/>
          <w:lang w:eastAsia="en-US"/>
        </w:rPr>
        <w:t xml:space="preserve"> oder die Umwelt ausgehen.</w:t>
      </w:r>
      <w:r w:rsidR="001C5F4E">
        <w:rPr>
          <w:b/>
          <w:szCs w:val="24"/>
          <w:lang w:eastAsia="en-US"/>
        </w:rPr>
        <w:t xml:space="preserve"> [Abänd. 152]</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(3a)</w:t>
      </w:r>
      <w:r w:rsidRPr="001C2358">
        <w:rPr>
          <w:szCs w:val="24"/>
          <w:lang w:eastAsia="en-US"/>
        </w:rPr>
        <w:tab/>
      </w:r>
      <w:r w:rsidRPr="001C2358">
        <w:rPr>
          <w:b/>
          <w:i/>
          <w:szCs w:val="24"/>
          <w:lang w:eastAsia="en-US"/>
        </w:rPr>
        <w:t>Die Mitgliedstaaten können Bewertungen, die im Einklang mit der Richtlinie 2010/75/EU, 2011/92/EU oder 2012/18/EU durchgeführt wurden, gegebenenfalls als ausreichend ansehen.</w:t>
      </w:r>
      <w:r w:rsidR="001C5F4E">
        <w:rPr>
          <w:b/>
          <w:szCs w:val="24"/>
          <w:lang w:eastAsia="en-US"/>
        </w:rPr>
        <w:t xml:space="preserve"> [Abänd. 153]</w:t>
      </w:r>
    </w:p>
    <w:p w:rsidR="001C5F4E" w:rsidRDefault="001C5F4E">
      <w:pPr>
        <w:widowControl/>
        <w:rPr>
          <w:szCs w:val="24"/>
          <w:lang w:eastAsia="en-US"/>
        </w:rPr>
      </w:pPr>
      <w:r>
        <w:rPr>
          <w:szCs w:val="24"/>
          <w:lang w:eastAsia="en-US"/>
        </w:rPr>
        <w:br w:type="page"/>
      </w:r>
    </w:p>
    <w:p w:rsidR="001C2358" w:rsidRPr="001C5F4E" w:rsidRDefault="001C2358" w:rsidP="001C2358">
      <w:pPr>
        <w:spacing w:before="120" w:after="120" w:line="360" w:lineRule="auto"/>
        <w:ind w:left="850" w:hanging="850"/>
        <w:rPr>
          <w:b/>
          <w:szCs w:val="24"/>
          <w:lang w:eastAsia="en-US"/>
        </w:rPr>
      </w:pPr>
      <w:r w:rsidRPr="001C2358">
        <w:rPr>
          <w:szCs w:val="24"/>
          <w:lang w:eastAsia="en-US"/>
        </w:rPr>
        <w:lastRenderedPageBreak/>
        <w:t>(4)</w:t>
      </w:r>
      <w:r w:rsidRPr="001C2358">
        <w:rPr>
          <w:szCs w:val="24"/>
          <w:lang w:eastAsia="en-US"/>
        </w:rPr>
        <w:tab/>
        <w:t xml:space="preserve">Auf der Grundlage der in Absatz 3 genannten Bewertung </w:t>
      </w:r>
      <w:r w:rsidRPr="001C2358">
        <w:rPr>
          <w:strike/>
          <w:szCs w:val="24"/>
          <w:lang w:eastAsia="en-US"/>
        </w:rPr>
        <w:t>ergreift</w:t>
      </w:r>
      <w:r w:rsidRPr="001C2358">
        <w:rPr>
          <w:b/>
          <w:i/>
          <w:szCs w:val="24"/>
          <w:lang w:eastAsia="en-US"/>
        </w:rPr>
        <w:t>stellt</w:t>
      </w:r>
      <w:r w:rsidRPr="001C2358">
        <w:rPr>
          <w:szCs w:val="24"/>
          <w:lang w:eastAsia="en-US"/>
        </w:rPr>
        <w:t xml:space="preserve"> die zuständige Behörde</w:t>
      </w:r>
      <w:r w:rsidRPr="001C2358">
        <w:rPr>
          <w:b/>
          <w:i/>
          <w:szCs w:val="24"/>
          <w:lang w:eastAsia="en-US"/>
        </w:rPr>
        <w:t xml:space="preserve"> sicher, dass</w:t>
      </w:r>
      <w:r w:rsidRPr="001C2358">
        <w:rPr>
          <w:szCs w:val="24"/>
          <w:lang w:eastAsia="en-US"/>
        </w:rPr>
        <w:t xml:space="preserve"> die erforderlichen Maßnahmen</w:t>
      </w:r>
      <w:r w:rsidRPr="001C2358">
        <w:rPr>
          <w:b/>
          <w:i/>
          <w:szCs w:val="24"/>
          <w:lang w:eastAsia="en-US"/>
        </w:rPr>
        <w:t xml:space="preserve"> ergriffen werden</w:t>
      </w:r>
      <w:r w:rsidRPr="001C2358">
        <w:rPr>
          <w:szCs w:val="24"/>
          <w:lang w:eastAsia="en-US"/>
        </w:rPr>
        <w:t>, um die Risiken für die menschliche Gesundheit und die Umwelt auf ein annehmbares Maß zu reduzieren (im Folgenden „Maßnahmen zur Risikominderung“).</w:t>
      </w:r>
      <w:r w:rsidR="001C5F4E">
        <w:rPr>
          <w:b/>
          <w:szCs w:val="24"/>
          <w:lang w:eastAsia="en-US"/>
        </w:rPr>
        <w:t xml:space="preserve"> [Abänd. 154]</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(5)</w:t>
      </w:r>
      <w:r w:rsidRPr="001C2358">
        <w:rPr>
          <w:szCs w:val="24"/>
          <w:lang w:eastAsia="en-US"/>
        </w:rPr>
        <w:tab/>
        <w:t xml:space="preserve">Die Maßnahmen zur Risikominderung </w:t>
      </w:r>
      <w:r w:rsidRPr="001C2358">
        <w:rPr>
          <w:strike/>
          <w:szCs w:val="24"/>
          <w:lang w:eastAsia="en-US"/>
        </w:rPr>
        <w:t>können</w:t>
      </w:r>
      <w:r w:rsidRPr="001C2358">
        <w:rPr>
          <w:b/>
          <w:i/>
          <w:szCs w:val="24"/>
          <w:lang w:eastAsia="en-US"/>
        </w:rPr>
        <w:t>basieren auf</w:t>
      </w:r>
      <w:r w:rsidRPr="001C2358">
        <w:rPr>
          <w:szCs w:val="24"/>
          <w:lang w:eastAsia="en-US"/>
        </w:rPr>
        <w:t xml:space="preserve"> den in Anhang V genannten Maßnahmen</w:t>
      </w:r>
      <w:r w:rsidRPr="001C2358">
        <w:rPr>
          <w:strike/>
          <w:szCs w:val="24"/>
          <w:lang w:eastAsia="en-US"/>
        </w:rPr>
        <w:t xml:space="preserve"> entsprechen</w:t>
      </w:r>
      <w:r w:rsidRPr="001C2358">
        <w:rPr>
          <w:szCs w:val="24"/>
          <w:lang w:eastAsia="en-US"/>
        </w:rPr>
        <w:t>. Bei der Entscheidung über geeignete Maßnahmen zur Risikominderung berücksichtigt die zuständige Behörde deren Kosten, Nutzen, Wirksamkeit, Dauerhaftigkeit und technische Durchführbarkeit</w:t>
      </w:r>
      <w:r w:rsidRPr="001C2358">
        <w:rPr>
          <w:b/>
          <w:i/>
          <w:szCs w:val="24"/>
          <w:lang w:eastAsia="en-US"/>
        </w:rPr>
        <w:t xml:space="preserve"> auf kurze und lange Sicht</w:t>
      </w:r>
      <w:r w:rsidRPr="001C2358">
        <w:rPr>
          <w:szCs w:val="24"/>
          <w:lang w:eastAsia="en-US"/>
        </w:rPr>
        <w:t>.</w:t>
      </w:r>
      <w:r w:rsidRPr="001C2358">
        <w:rPr>
          <w:b/>
          <w:i/>
          <w:szCs w:val="24"/>
          <w:lang w:eastAsia="en-US"/>
        </w:rPr>
        <w:t xml:space="preserve"> Die Mitgliedstaaten sind stets bestrebt, die Kontamination des Bodens zu verhindern und zu beseitigen.</w:t>
      </w:r>
      <w:r w:rsidR="001C5F4E">
        <w:rPr>
          <w:b/>
          <w:szCs w:val="24"/>
          <w:lang w:eastAsia="en-US"/>
        </w:rPr>
        <w:t xml:space="preserve"> [Abänd. 155]</w:t>
      </w:r>
    </w:p>
    <w:p w:rsidR="001C2358" w:rsidRPr="001C5F4E" w:rsidRDefault="001C2358" w:rsidP="001C2358">
      <w:pPr>
        <w:spacing w:before="120" w:after="120" w:line="360" w:lineRule="auto"/>
        <w:ind w:left="850"/>
        <w:rPr>
          <w:b/>
          <w:szCs w:val="24"/>
          <w:lang w:eastAsia="en-US"/>
        </w:rPr>
      </w:pPr>
      <w:r w:rsidRPr="001C2358">
        <w:rPr>
          <w:b/>
          <w:i/>
          <w:szCs w:val="24"/>
          <w:lang w:eastAsia="en-US"/>
        </w:rPr>
        <w:t>Maßnahmen zur Risikominderung, die sich auf umliegende Gewässer auswirken, die für die Entnahme von Wasser für den menschlichen Gebrauch genutzt werden, müssen den in der Richtlinie (EU) 2020/2184 festgelegten Standards für annehmbare Risiken entsprechen.</w:t>
      </w:r>
      <w:r w:rsidR="001C5F4E">
        <w:rPr>
          <w:b/>
          <w:szCs w:val="24"/>
          <w:lang w:eastAsia="en-US"/>
        </w:rPr>
        <w:t xml:space="preserve"> [Abänd. 156]</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w:t>
      </w:r>
      <w:r w:rsidR="00F919F8">
        <w:rPr>
          <w:b/>
          <w:i/>
          <w:szCs w:val="24"/>
          <w:lang w:eastAsia="en-US"/>
        </w:rPr>
        <w:t>5a</w:t>
      </w:r>
      <w:r w:rsidRPr="001C2358">
        <w:rPr>
          <w:b/>
          <w:i/>
          <w:szCs w:val="24"/>
          <w:lang w:eastAsia="en-US"/>
        </w:rPr>
        <w:t>)</w:t>
      </w:r>
      <w:r w:rsidRPr="001C2358">
        <w:rPr>
          <w:szCs w:val="24"/>
          <w:lang w:eastAsia="en-US"/>
        </w:rPr>
        <w:tab/>
      </w:r>
      <w:r w:rsidRPr="001C2358">
        <w:rPr>
          <w:b/>
          <w:i/>
          <w:szCs w:val="24"/>
          <w:lang w:eastAsia="en-US"/>
        </w:rPr>
        <w:t>Der Kommission wird die Befugnis übertragen gemäß Artikel 20 delegierte Rechtsakte zur Ergänzung dieser Richtlinie durch die Festlegung von zulässigen Höchstwerten in Bezug auf die Definition eines unannehmbaren Risikos für die menschliche Gesundheit und die Umwelt, das von kontaminierten Standorten im Sinne von Absatz 2 ausgeht, zu erlassen.</w:t>
      </w:r>
      <w:r w:rsidR="001C5F4E">
        <w:rPr>
          <w:b/>
          <w:szCs w:val="24"/>
          <w:lang w:eastAsia="en-US"/>
        </w:rPr>
        <w:t xml:space="preserve"> [Abänd. 157]</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(6)</w:t>
      </w:r>
      <w:r w:rsidRPr="001C2358">
        <w:rPr>
          <w:szCs w:val="24"/>
          <w:lang w:eastAsia="en-US"/>
        </w:rPr>
        <w:tab/>
        <w:t>Der Kommission wird die Befugnis übertragen, gemäß Artikel 20 delegierte Rechtsakte zur Änderung der Anhänge V und VI zu erlassen, um die Liste der Maßnahmen zur Risikominderung und die Anforderungen für die standortspezifische Risikobewertung an den wissenschaftlichen und technischen Fortschritt anzupassen.</w:t>
      </w:r>
    </w:p>
    <w:p w:rsidR="001C2358" w:rsidRPr="001C2358" w:rsidRDefault="001C2358" w:rsidP="001C2358">
      <w:pPr>
        <w:spacing w:before="120" w:after="120" w:line="360" w:lineRule="auto"/>
        <w:jc w:val="center"/>
        <w:rPr>
          <w:szCs w:val="24"/>
          <w:lang w:eastAsia="en-US"/>
        </w:rPr>
      </w:pPr>
      <w:r w:rsidRPr="001C2358">
        <w:rPr>
          <w:szCs w:val="24"/>
          <w:lang w:eastAsia="en-US"/>
        </w:rPr>
        <w:t>Artikel 16</w:t>
      </w:r>
      <w:r w:rsidRPr="001C2358">
        <w:rPr>
          <w:szCs w:val="24"/>
          <w:lang w:eastAsia="en-US"/>
        </w:rPr>
        <w:br/>
        <w:t>Register</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Bis zum … (Amt für Veröffentlichungen: Bitte Datum einfügen: 4 Jahre nach Inkrafttreten der Richtlinie) erstellen die Mitgliedstaaten gemäß Absatz 2 ein Register der tatsächlich und potenziell kontaminierten Standorte.</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Das Register enthält die in Anhang VII aufgeführten Informationen.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Das Register wird von der zuständigen Behörde verwaltet und regelmäßig überprüft und aktualisiert.</w:t>
      </w:r>
    </w:p>
    <w:p w:rsidR="001C5F4E" w:rsidRDefault="001C5F4E">
      <w:pPr>
        <w:widowControl/>
        <w:rPr>
          <w:szCs w:val="24"/>
          <w:lang w:eastAsia="en-US"/>
        </w:rPr>
      </w:pPr>
      <w:r>
        <w:rPr>
          <w:szCs w:val="24"/>
          <w:lang w:eastAsia="en-US"/>
        </w:rPr>
        <w:br w:type="page"/>
      </w:r>
    </w:p>
    <w:p w:rsidR="001C2358" w:rsidRPr="001C5F4E" w:rsidRDefault="001C2358" w:rsidP="001C2358">
      <w:pPr>
        <w:spacing w:before="120" w:after="120" w:line="360" w:lineRule="auto"/>
        <w:ind w:left="850" w:hanging="850"/>
        <w:rPr>
          <w:b/>
          <w:szCs w:val="24"/>
          <w:lang w:eastAsia="en-US"/>
        </w:rPr>
      </w:pPr>
      <w:r w:rsidRPr="001C2358">
        <w:rPr>
          <w:szCs w:val="24"/>
          <w:lang w:eastAsia="en-US"/>
        </w:rPr>
        <w:lastRenderedPageBreak/>
        <w:t>(4)</w:t>
      </w:r>
      <w:r w:rsidRPr="001C2358">
        <w:rPr>
          <w:szCs w:val="24"/>
          <w:lang w:eastAsia="en-US"/>
        </w:rPr>
        <w:tab/>
        <w:t xml:space="preserve">Die Mitgliedstaaten </w:t>
      </w:r>
      <w:r w:rsidRPr="001C2358">
        <w:rPr>
          <w:strike/>
          <w:szCs w:val="24"/>
          <w:lang w:eastAsia="en-US"/>
        </w:rPr>
        <w:t>veröffentlichen</w:t>
      </w:r>
      <w:r w:rsidRPr="001C2358">
        <w:rPr>
          <w:b/>
          <w:i/>
          <w:szCs w:val="24"/>
          <w:lang w:eastAsia="en-US"/>
        </w:rPr>
        <w:t>machen</w:t>
      </w:r>
      <w:r w:rsidRPr="001C2358">
        <w:rPr>
          <w:szCs w:val="24"/>
          <w:lang w:eastAsia="en-US"/>
        </w:rPr>
        <w:t xml:space="preserve"> das in den Absätzen 1 und 2 genannte Register und die darin enthaltenen Informationen</w:t>
      </w:r>
      <w:r w:rsidRPr="001C2358">
        <w:rPr>
          <w:b/>
          <w:i/>
          <w:szCs w:val="24"/>
          <w:lang w:eastAsia="en-US"/>
        </w:rPr>
        <w:t xml:space="preserve"> auf benutzerfreundliche Weise zugänglich und veröffentlichen sie kostenlos</w:t>
      </w:r>
      <w:r w:rsidRPr="001C2358">
        <w:rPr>
          <w:szCs w:val="24"/>
          <w:lang w:eastAsia="en-US"/>
        </w:rPr>
        <w:t>. Die Offenlegung von Informationen kann von der zuständigen Behörde verweigert oder eingeschränkt werden, wenn die Bedingungen aus Artikel 4 der Richtlinie 2003/4/EG des Europäischen Parlaments und des Rates</w:t>
      </w:r>
      <w:r w:rsidRPr="001C2358">
        <w:rPr>
          <w:szCs w:val="24"/>
          <w:vertAlign w:val="superscript"/>
          <w:lang w:val="en-GB" w:eastAsia="en-US"/>
        </w:rPr>
        <w:footnoteReference w:id="53"/>
      </w:r>
      <w:r w:rsidRPr="001C2358">
        <w:rPr>
          <w:szCs w:val="24"/>
          <w:lang w:eastAsia="en-US"/>
        </w:rPr>
        <w:t xml:space="preserve"> erfüllt sind.</w:t>
      </w:r>
      <w:r w:rsidRPr="001C2358">
        <w:rPr>
          <w:b/>
          <w:i/>
          <w:szCs w:val="24"/>
          <w:lang w:eastAsia="en-US"/>
        </w:rPr>
        <w:t xml:space="preserve"> Das Register wird in Form einer georeferenzierten Online-Geodatenbank bereitgestellt.</w:t>
      </w:r>
      <w:r w:rsidR="001C5F4E">
        <w:rPr>
          <w:b/>
          <w:szCs w:val="24"/>
          <w:lang w:eastAsia="en-US"/>
        </w:rPr>
        <w:t xml:space="preserve"> [Abänd. 158]</w:t>
      </w:r>
    </w:p>
    <w:p w:rsidR="001C2358" w:rsidRPr="001C2358" w:rsidRDefault="001C2358" w:rsidP="001C2358">
      <w:pPr>
        <w:spacing w:before="120" w:after="120" w:line="360" w:lineRule="auto"/>
        <w:ind w:left="850"/>
        <w:rPr>
          <w:szCs w:val="24"/>
          <w:lang w:eastAsia="en-US"/>
        </w:rPr>
      </w:pPr>
      <w:r w:rsidRPr="001C2358">
        <w:rPr>
          <w:szCs w:val="24"/>
          <w:lang w:eastAsia="en-US"/>
        </w:rPr>
        <w:t>Das Register wird in Form einer Geodatenbank mit georeferenzierten Daten bereitgestellt.</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(5)</w:t>
      </w:r>
      <w:r w:rsidRPr="001C2358">
        <w:rPr>
          <w:szCs w:val="24"/>
          <w:lang w:eastAsia="en-US"/>
        </w:rPr>
        <w:tab/>
        <w:t>Die Kommission legt</w:t>
      </w:r>
      <w:r w:rsidRPr="001C2358">
        <w:rPr>
          <w:b/>
          <w:i/>
          <w:szCs w:val="24"/>
          <w:lang w:eastAsia="en-US"/>
        </w:rPr>
        <w:t xml:space="preserve"> bis zum … [Amt für Veröffentlichungen: Bitte Datum = ein Jahr nach dem Inkrafttreten dieser Richtlinie einfügen]</w:t>
      </w:r>
      <w:r w:rsidRPr="001C2358">
        <w:rPr>
          <w:szCs w:val="24"/>
          <w:lang w:eastAsia="en-US"/>
        </w:rPr>
        <w:t xml:space="preserve"> im Wege von Durchführungsrechtsakten das Format des Registers fest. Diese Durchführungsrechtsakte werden gemäß dem in Artikel 21 genannten Prüfverfahren erlassen.</w:t>
      </w:r>
      <w:r w:rsidR="001C5F4E">
        <w:rPr>
          <w:b/>
          <w:szCs w:val="24"/>
          <w:lang w:eastAsia="en-US"/>
        </w:rPr>
        <w:t xml:space="preserve"> [Abänd. 159]</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 xml:space="preserve">Kapitel V </w:t>
      </w:r>
      <w:r w:rsidRPr="001C2358">
        <w:rPr>
          <w:szCs w:val="24"/>
          <w:lang w:eastAsia="en-US"/>
        </w:rPr>
        <w:br/>
        <w:t>Finanzierung, Unterrichtung der Öffentlichkeit und Berichterstattung durch die Mitgliedstaaten</w:t>
      </w:r>
    </w:p>
    <w:p w:rsidR="001C2358" w:rsidRPr="001C5F4E" w:rsidRDefault="001C2358" w:rsidP="001C2358">
      <w:pPr>
        <w:spacing w:before="120" w:after="120" w:line="360" w:lineRule="auto"/>
        <w:jc w:val="center"/>
        <w:rPr>
          <w:b/>
          <w:szCs w:val="24"/>
          <w:lang w:eastAsia="en-US"/>
        </w:rPr>
      </w:pPr>
      <w:r w:rsidRPr="001C2358">
        <w:rPr>
          <w:szCs w:val="24"/>
          <w:lang w:eastAsia="en-US"/>
        </w:rPr>
        <w:t>Artikel 17</w:t>
      </w:r>
      <w:r w:rsidRPr="001C2358">
        <w:rPr>
          <w:szCs w:val="24"/>
          <w:lang w:eastAsia="en-US"/>
        </w:rPr>
        <w:br/>
        <w:t>Finanzierung durch die Union</w:t>
      </w:r>
      <w:r w:rsidRPr="001C2358">
        <w:rPr>
          <w:b/>
          <w:i/>
          <w:szCs w:val="24"/>
          <w:lang w:eastAsia="en-US"/>
        </w:rPr>
        <w:t xml:space="preserve"> und die Mitgliedstaaten</w:t>
      </w:r>
      <w:r w:rsidR="001C5F4E">
        <w:rPr>
          <w:b/>
          <w:szCs w:val="24"/>
          <w:lang w:eastAsia="en-US"/>
        </w:rPr>
        <w:t xml:space="preserve"> [Abänd. 160]</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(1)</w:t>
      </w:r>
      <w:r w:rsidRPr="001C2358">
        <w:rPr>
          <w:szCs w:val="24"/>
          <w:lang w:eastAsia="en-US"/>
        </w:rPr>
        <w:tab/>
        <w:t xml:space="preserve">Da die Bodenüberwachung sowie eine nachhaltige Bewirtschaftung und Regenerierung der Böden Priorität genießt, </w:t>
      </w:r>
      <w:r w:rsidRPr="001C2358">
        <w:rPr>
          <w:strike/>
          <w:szCs w:val="24"/>
          <w:lang w:eastAsia="en-US"/>
        </w:rPr>
        <w:t>wird die Durchführung</w:t>
      </w:r>
      <w:r w:rsidRPr="001C2358">
        <w:rPr>
          <w:b/>
          <w:i/>
          <w:szCs w:val="24"/>
          <w:lang w:eastAsia="en-US"/>
        </w:rPr>
        <w:t>legt die Kommission bis zum ... [Amt für Veröffentlichungen: bitte Datum einfügen = zwölf Monate nach Inkrafttreten der Richtlinie] dem Europäischen Parlament und dem Rat einen Bericht vor, in dem sie die auf Unionsebene für die Umsetzung</w:t>
      </w:r>
      <w:r w:rsidRPr="001C2358">
        <w:rPr>
          <w:szCs w:val="24"/>
          <w:lang w:eastAsia="en-US"/>
        </w:rPr>
        <w:t xml:space="preserve"> dieser Richtlinie </w:t>
      </w:r>
      <w:r w:rsidRPr="001C2358">
        <w:rPr>
          <w:strike/>
          <w:szCs w:val="24"/>
          <w:lang w:eastAsia="en-US"/>
        </w:rPr>
        <w:t>im Einklang mit den geltenden Vorschriften und Bedingungen durch bestehende Finanzierungsprogramme der Union unterstützt</w:t>
      </w:r>
      <w:r w:rsidRPr="001C2358">
        <w:rPr>
          <w:b/>
          <w:i/>
          <w:szCs w:val="24"/>
          <w:lang w:eastAsia="en-US"/>
        </w:rPr>
        <w:t>verfügbaren Finanzmittel bewertet</w:t>
      </w:r>
      <w:r w:rsidRPr="001C2358">
        <w:rPr>
          <w:szCs w:val="24"/>
          <w:lang w:eastAsia="en-US"/>
        </w:rPr>
        <w:t>.</w:t>
      </w:r>
      <w:r w:rsidR="001C5F4E">
        <w:rPr>
          <w:b/>
          <w:szCs w:val="24"/>
          <w:lang w:eastAsia="en-US"/>
        </w:rPr>
        <w:t xml:space="preserve"> [Abänd. 161]</w:t>
      </w:r>
    </w:p>
    <w:p w:rsidR="001C2358" w:rsidRPr="001C5F4E" w:rsidRDefault="001C2358" w:rsidP="001C2358">
      <w:pPr>
        <w:spacing w:before="120" w:after="120" w:line="360" w:lineRule="auto"/>
        <w:ind w:left="850"/>
        <w:rPr>
          <w:b/>
          <w:szCs w:val="24"/>
          <w:lang w:eastAsia="en-US"/>
        </w:rPr>
      </w:pPr>
      <w:r w:rsidRPr="001C2358">
        <w:rPr>
          <w:b/>
          <w:i/>
          <w:szCs w:val="24"/>
          <w:lang w:eastAsia="en-US"/>
        </w:rPr>
        <w:t>Die Kommission bewertet etwaige Lücken zwischen den verfügbaren Unionsmitteln und dem Finanzierungsbedarf für die Unterstützung der Mitgliedstaaten bei der Durchführung dieser Richtlinie, wobei sie den Erfordernissen der Umweltüberwachung, einschließlich der Flächenstichprobenerhebung über die Bodennutzung/-bedeckung, besondere Aufmerksamkeit widmet.</w:t>
      </w:r>
      <w:r w:rsidR="001C5F4E">
        <w:rPr>
          <w:b/>
          <w:szCs w:val="24"/>
          <w:lang w:eastAsia="en-US"/>
        </w:rPr>
        <w:t xml:space="preserve"> [Abänd. 162]</w:t>
      </w:r>
    </w:p>
    <w:p w:rsidR="001C2358" w:rsidRPr="001C5F4E" w:rsidRDefault="001C2358" w:rsidP="001C2358">
      <w:pPr>
        <w:spacing w:before="120" w:after="120" w:line="360" w:lineRule="auto"/>
        <w:ind w:left="850"/>
        <w:rPr>
          <w:b/>
          <w:szCs w:val="24"/>
          <w:lang w:eastAsia="en-US"/>
        </w:rPr>
      </w:pPr>
      <w:r w:rsidRPr="001C2358">
        <w:rPr>
          <w:b/>
          <w:i/>
          <w:szCs w:val="24"/>
          <w:lang w:eastAsia="en-US"/>
        </w:rPr>
        <w:t>Für die Zeit nach 2027 werden zusätzliche Finanzmittel bereitgestellt, um die nachhaltige Bewirtschaftung der Böden und ihre dauerhafte Regenerierung sowie Überwachungstätigkeiten zu fördern.</w:t>
      </w:r>
      <w:r w:rsidR="001C5F4E">
        <w:rPr>
          <w:b/>
          <w:szCs w:val="24"/>
          <w:lang w:eastAsia="en-US"/>
        </w:rPr>
        <w:t xml:space="preserve"> [Abänd. 163]</w:t>
      </w:r>
    </w:p>
    <w:p w:rsidR="001C5F4E" w:rsidRDefault="001C5F4E">
      <w:pPr>
        <w:widowControl/>
        <w:rPr>
          <w:b/>
          <w:i/>
          <w:szCs w:val="24"/>
          <w:lang w:eastAsia="en-US"/>
        </w:rPr>
      </w:pPr>
      <w:r>
        <w:rPr>
          <w:b/>
          <w:i/>
          <w:szCs w:val="24"/>
          <w:lang w:eastAsia="en-US"/>
        </w:rPr>
        <w:br w:type="page"/>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lastRenderedPageBreak/>
        <w:t>(1a)</w:t>
      </w:r>
      <w:r w:rsidRPr="001C2358">
        <w:rPr>
          <w:szCs w:val="24"/>
          <w:lang w:eastAsia="en-US"/>
        </w:rPr>
        <w:tab/>
      </w:r>
      <w:r w:rsidRPr="001C2358">
        <w:rPr>
          <w:b/>
          <w:i/>
          <w:szCs w:val="24"/>
          <w:lang w:eastAsia="en-US"/>
        </w:rPr>
        <w:t>Bei der Durchführung dieser Richtlinie nutzen die Mitgliedstaaten zur Finanzierung von Maßnahmen, deren Schwerpunkt auf Bodenschutz, einer nachhaltigen Bewirtschaftung und Regenerierung liegt, Finanzmittel aus geeigneten Quellen, wozu auch Unionsmittel gehören.</w:t>
      </w:r>
      <w:r w:rsidR="001C5F4E">
        <w:rPr>
          <w:b/>
          <w:szCs w:val="24"/>
          <w:lang w:eastAsia="en-US"/>
        </w:rPr>
        <w:t xml:space="preserve"> [Abänd. 164]</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(1b)</w:t>
      </w:r>
      <w:r w:rsidRPr="001C2358">
        <w:rPr>
          <w:szCs w:val="24"/>
          <w:lang w:eastAsia="en-US"/>
        </w:rPr>
        <w:tab/>
      </w:r>
      <w:r w:rsidRPr="001C2358">
        <w:rPr>
          <w:b/>
          <w:i/>
          <w:szCs w:val="24"/>
          <w:lang w:eastAsia="en-US"/>
        </w:rPr>
        <w:t>Die Kommission überwacht die Fähigkeit der Mitgliedstaaten zur Aufnahme von Unionsmitteln, die für Bodenschutz, eine nachhaltige Bewirtschaftung und Regenerierung bestimmt sind. Die Kommission bietet Schulungen und technische Unterstützung an, damit die Mitgliedstaaten ihre Aufnahmekapazität erhöhen können.</w:t>
      </w:r>
      <w:r w:rsidR="001C5F4E">
        <w:rPr>
          <w:b/>
          <w:szCs w:val="24"/>
          <w:lang w:eastAsia="en-US"/>
        </w:rPr>
        <w:t xml:space="preserve"> [Abänd. 165]</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(1c)</w:t>
      </w:r>
      <w:r w:rsidRPr="001C2358">
        <w:rPr>
          <w:szCs w:val="24"/>
          <w:lang w:eastAsia="en-US"/>
        </w:rPr>
        <w:tab/>
      </w:r>
      <w:r w:rsidRPr="001C2358">
        <w:rPr>
          <w:b/>
          <w:i/>
          <w:szCs w:val="24"/>
          <w:lang w:eastAsia="en-US"/>
        </w:rPr>
        <w:t>Die Mitgliedstaaten und die Kommission verbessern und erleichtern in Zusammenarbeit mit der Europäischen Investitionsbank den Einsatz innovativer Finanzierungsmechanismen und fördern die Mobilisierung von privatem Kapital für Maßnahmen, die zur Erreichung der Ziele dieser Richtlinie erforderlich sind.</w:t>
      </w:r>
      <w:r w:rsidR="001C5F4E">
        <w:rPr>
          <w:b/>
          <w:szCs w:val="24"/>
          <w:lang w:eastAsia="en-US"/>
        </w:rPr>
        <w:t xml:space="preserve"> [Abänd. 166]</w:t>
      </w:r>
    </w:p>
    <w:p w:rsidR="001C2358" w:rsidRPr="001C5F4E" w:rsidRDefault="001C2358" w:rsidP="001C2358">
      <w:pPr>
        <w:spacing w:before="120" w:after="120" w:line="360" w:lineRule="auto"/>
        <w:ind w:left="850" w:hanging="850"/>
        <w:rPr>
          <w:b/>
          <w:szCs w:val="24"/>
          <w:lang w:eastAsia="en-US"/>
        </w:rPr>
      </w:pPr>
      <w:r w:rsidRPr="001C2358">
        <w:rPr>
          <w:b/>
          <w:i/>
          <w:szCs w:val="24"/>
          <w:lang w:eastAsia="en-US"/>
        </w:rPr>
        <w:t>(1d)</w:t>
      </w:r>
      <w:r w:rsidRPr="001C2358">
        <w:rPr>
          <w:szCs w:val="24"/>
          <w:lang w:eastAsia="en-US"/>
        </w:rPr>
        <w:tab/>
      </w:r>
      <w:r w:rsidRPr="001C2358">
        <w:rPr>
          <w:b/>
          <w:i/>
          <w:szCs w:val="24"/>
          <w:lang w:eastAsia="en-US"/>
        </w:rPr>
        <w:t>Die Mitgliedstaaten und die Kommission tragen bei der Durchführung dieser Richtlinie dem Grundsatz der „Vermeidung erheblicher Beeinträchtigungen“ im Sinne des Artikels 17 der Verordnung (EU) 2020/852 Rechnung.</w:t>
      </w:r>
      <w:r w:rsidR="001C5F4E">
        <w:rPr>
          <w:b/>
          <w:szCs w:val="24"/>
          <w:lang w:eastAsia="en-US"/>
        </w:rPr>
        <w:t xml:space="preserve"> [Abänd. 167]</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18</w:t>
      </w:r>
      <w:r w:rsidRPr="001C2358">
        <w:rPr>
          <w:szCs w:val="24"/>
          <w:lang w:eastAsia="en-US"/>
        </w:rPr>
        <w:br/>
        <w:t>Berichterstattung durch die Mitgliedstaaten</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Die Mitgliedstaaten übermitteln der Kommission und der EUA </w:t>
      </w:r>
      <w:r w:rsidRPr="001C2358">
        <w:rPr>
          <w:b/>
          <w:i/>
          <w:szCs w:val="24"/>
          <w:lang w:eastAsia="en-US"/>
        </w:rPr>
        <w:t>mindestens alle sechs</w:t>
      </w:r>
      <w:r w:rsidRPr="001C2358">
        <w:rPr>
          <w:strike/>
          <w:szCs w:val="24"/>
          <w:lang w:eastAsia="en-US"/>
        </w:rPr>
        <w:t>alle fünf</w:t>
      </w:r>
      <w:r w:rsidRPr="001C2358">
        <w:rPr>
          <w:szCs w:val="24"/>
          <w:lang w:eastAsia="en-US"/>
        </w:rPr>
        <w:t xml:space="preserve"> Jahre elektronisch folgende Daten und Informationen:</w:t>
      </w:r>
      <w:r w:rsidR="001C5F4E">
        <w:rPr>
          <w:b/>
          <w:szCs w:val="24"/>
          <w:lang w:eastAsia="en-US"/>
        </w:rPr>
        <w:t xml:space="preserve"> [Abänd. 168]</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Daten und Ergebnisse der gemäß den Artikeln 6 bis 9 durchgeführten Überwachung und Bewertung der Bodengesundheit;</w:t>
      </w:r>
    </w:p>
    <w:p w:rsidR="001C2358" w:rsidRPr="001C5F4E" w:rsidRDefault="001C2358" w:rsidP="001C2358">
      <w:pPr>
        <w:spacing w:before="120" w:after="120" w:line="360" w:lineRule="auto"/>
        <w:ind w:left="1416" w:hanging="566"/>
        <w:rPr>
          <w:b/>
          <w:szCs w:val="24"/>
          <w:lang w:eastAsia="en-US"/>
        </w:rPr>
      </w:pPr>
      <w:r w:rsidRPr="001C2358">
        <w:rPr>
          <w:szCs w:val="24"/>
          <w:lang w:eastAsia="en-US"/>
        </w:rPr>
        <w:t>b)</w:t>
      </w:r>
      <w:r w:rsidRPr="001C2358">
        <w:rPr>
          <w:szCs w:val="24"/>
          <w:lang w:eastAsia="en-US"/>
        </w:rPr>
        <w:tab/>
      </w:r>
      <w:r w:rsidRPr="001C2358">
        <w:rPr>
          <w:b/>
          <w:i/>
          <w:szCs w:val="24"/>
          <w:lang w:eastAsia="en-US"/>
        </w:rPr>
        <w:t xml:space="preserve">die unterstützenden Daten, Metadaten und eine </w:t>
      </w:r>
      <w:r w:rsidRPr="001C2358">
        <w:rPr>
          <w:szCs w:val="24"/>
          <w:lang w:eastAsia="en-US"/>
        </w:rPr>
        <w:t>Trendanalyse zur Bodengesundheit für die in Anhang I Teile A, B und C aufgeführten Deskriptoren</w:t>
      </w:r>
      <w:r w:rsidRPr="001C2358">
        <w:rPr>
          <w:b/>
          <w:i/>
          <w:szCs w:val="24"/>
          <w:lang w:eastAsia="en-US"/>
        </w:rPr>
        <w:t xml:space="preserve"> entsprechend der ausgewählten Stufe für die Gestaltung der Bodenüberwachung</w:t>
      </w:r>
      <w:r w:rsidRPr="001C2358">
        <w:rPr>
          <w:szCs w:val="24"/>
          <w:lang w:eastAsia="en-US"/>
        </w:rPr>
        <w:t xml:space="preserve"> und für die Indikatoren für Flächenverbrauch und Bodenversiegelung gemäß Anhang I Teil D im Einklang mit Artikel 9</w:t>
      </w:r>
      <w:r w:rsidRPr="001C2358">
        <w:rPr>
          <w:b/>
          <w:i/>
          <w:szCs w:val="24"/>
          <w:lang w:eastAsia="en-US"/>
        </w:rPr>
        <w:t>, einschließlich der von den einzelnen Mitgliedstaaten angegebenen erweiterten Deskriptoren</w:t>
      </w:r>
      <w:r w:rsidRPr="001C2358">
        <w:rPr>
          <w:szCs w:val="24"/>
          <w:lang w:eastAsia="en-US"/>
        </w:rPr>
        <w:t>;</w:t>
      </w:r>
      <w:r w:rsidR="001C5F4E">
        <w:rPr>
          <w:b/>
          <w:szCs w:val="24"/>
          <w:lang w:eastAsia="en-US"/>
        </w:rPr>
        <w:t xml:space="preserve"> [Abänd. 169]</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ind w:left="1416" w:hanging="566"/>
        <w:rPr>
          <w:szCs w:val="24"/>
          <w:lang w:eastAsia="en-US"/>
        </w:rPr>
      </w:pPr>
      <w:r w:rsidRPr="001C2358">
        <w:rPr>
          <w:szCs w:val="24"/>
          <w:lang w:eastAsia="en-US"/>
        </w:rPr>
        <w:lastRenderedPageBreak/>
        <w:t>c)</w:t>
      </w:r>
      <w:r w:rsidRPr="001C2358">
        <w:rPr>
          <w:szCs w:val="24"/>
          <w:lang w:eastAsia="en-US"/>
        </w:rPr>
        <w:tab/>
        <w:t>Zusammenfassung der Fortschritte in folgenden Bereichen:</w:t>
      </w:r>
    </w:p>
    <w:p w:rsidR="001C2358" w:rsidRPr="001C2358" w:rsidRDefault="001C2358" w:rsidP="001C2358">
      <w:pPr>
        <w:spacing w:before="120" w:after="120" w:line="360" w:lineRule="auto"/>
        <w:ind w:left="1982" w:hanging="566"/>
        <w:rPr>
          <w:szCs w:val="24"/>
          <w:lang w:eastAsia="en-US"/>
        </w:rPr>
      </w:pPr>
      <w:r w:rsidRPr="001C2358">
        <w:rPr>
          <w:szCs w:val="24"/>
          <w:lang w:eastAsia="en-US"/>
        </w:rPr>
        <w:t>i)</w:t>
      </w:r>
      <w:r w:rsidRPr="001C2358">
        <w:rPr>
          <w:szCs w:val="24"/>
          <w:lang w:eastAsia="en-US"/>
        </w:rPr>
        <w:tab/>
        <w:t>Umsetzung der Grundsätze für eine nachhaltige Bodenbewirtschaftung gemäß Artikel 10;</w:t>
      </w:r>
    </w:p>
    <w:p w:rsidR="001C2358" w:rsidRPr="001C2358" w:rsidRDefault="001C2358" w:rsidP="001C2358">
      <w:pPr>
        <w:spacing w:before="120" w:after="120" w:line="360" w:lineRule="auto"/>
        <w:ind w:left="1982" w:hanging="566"/>
        <w:rPr>
          <w:szCs w:val="24"/>
          <w:lang w:eastAsia="en-US"/>
        </w:rPr>
      </w:pPr>
      <w:r w:rsidRPr="001C2358">
        <w:rPr>
          <w:szCs w:val="24"/>
          <w:lang w:eastAsia="en-US"/>
        </w:rPr>
        <w:t>ii)</w:t>
      </w:r>
      <w:r w:rsidRPr="001C2358">
        <w:rPr>
          <w:szCs w:val="24"/>
          <w:lang w:eastAsia="en-US"/>
        </w:rPr>
        <w:tab/>
        <w:t>Registrierung, Ermittlung und Untersuchung potenziell kontaminierter Standorte sowie Umgang mit diesen gemäß den Artikeln 12 bis 16;</w:t>
      </w:r>
    </w:p>
    <w:p w:rsidR="001C2358" w:rsidRPr="001C2358" w:rsidRDefault="001C2358" w:rsidP="001C2358">
      <w:pPr>
        <w:spacing w:before="120" w:after="120" w:line="360" w:lineRule="auto"/>
        <w:ind w:left="1416" w:hanging="566"/>
        <w:rPr>
          <w:szCs w:val="24"/>
          <w:lang w:eastAsia="en-US"/>
        </w:rPr>
      </w:pPr>
      <w:r w:rsidRPr="001C2358">
        <w:rPr>
          <w:szCs w:val="24"/>
          <w:lang w:eastAsia="en-US"/>
        </w:rPr>
        <w:t>d)</w:t>
      </w:r>
      <w:r w:rsidRPr="001C2358">
        <w:rPr>
          <w:szCs w:val="24"/>
          <w:lang w:eastAsia="en-US"/>
        </w:rPr>
        <w:tab/>
        <w:t>Daten und Informationen aus dem in Artikel 16 genannten Register.</w:t>
      </w:r>
    </w:p>
    <w:p w:rsidR="001C2358" w:rsidRPr="001C5F4E" w:rsidRDefault="001C2358" w:rsidP="001C2358">
      <w:pPr>
        <w:spacing w:before="120" w:after="120" w:line="360" w:lineRule="auto"/>
        <w:ind w:left="850"/>
        <w:rPr>
          <w:b/>
          <w:szCs w:val="24"/>
          <w:lang w:eastAsia="en-US"/>
        </w:rPr>
      </w:pPr>
      <w:r w:rsidRPr="001C2358">
        <w:rPr>
          <w:szCs w:val="24"/>
          <w:lang w:eastAsia="en-US"/>
        </w:rPr>
        <w:t xml:space="preserve">Die ersten Berichte sind bis zum (Amt für Veröffentlichungen: Bitte Datum einfügen: </w:t>
      </w:r>
      <w:r w:rsidRPr="001C2358">
        <w:rPr>
          <w:strike/>
          <w:szCs w:val="24"/>
          <w:lang w:eastAsia="en-US"/>
        </w:rPr>
        <w:t>5</w:t>
      </w:r>
      <w:r w:rsidRPr="001C2358">
        <w:rPr>
          <w:b/>
          <w:i/>
          <w:szCs w:val="24"/>
          <w:lang w:eastAsia="en-US"/>
        </w:rPr>
        <w:t>sechs</w:t>
      </w:r>
      <w:r w:rsidRPr="001C2358">
        <w:rPr>
          <w:szCs w:val="24"/>
          <w:lang w:eastAsia="en-US"/>
        </w:rPr>
        <w:t xml:space="preserve"> Jahre</w:t>
      </w:r>
      <w:r w:rsidRPr="001C2358">
        <w:rPr>
          <w:strike/>
          <w:szCs w:val="24"/>
          <w:lang w:eastAsia="en-US"/>
        </w:rPr>
        <w:t xml:space="preserve"> und 6 Monate</w:t>
      </w:r>
      <w:r w:rsidRPr="001C2358">
        <w:rPr>
          <w:szCs w:val="24"/>
          <w:lang w:eastAsia="en-US"/>
        </w:rPr>
        <w:t xml:space="preserve"> nach Inkrafttreten der Richtlinie) vorzulegen.</w:t>
      </w:r>
      <w:r w:rsidR="001C5F4E">
        <w:rPr>
          <w:b/>
          <w:szCs w:val="24"/>
          <w:lang w:eastAsia="en-US"/>
        </w:rPr>
        <w:t xml:space="preserve"> [Abänd. 171]</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Die Mitgliedstaaten stellen sicher, dass die Kommission und die EUA ständigen Zugang zu den in Absatz 1 genannten Daten und Informationen haben.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Die Mitgliedstaaten gewähren der Kommission online auf Folgendes Zugriff:</w:t>
      </w:r>
    </w:p>
    <w:p w:rsidR="001C2358" w:rsidRPr="001C5F4E" w:rsidRDefault="001C2358" w:rsidP="001C2358">
      <w:pPr>
        <w:spacing w:before="120" w:after="120" w:line="360" w:lineRule="auto"/>
        <w:ind w:left="1416" w:hanging="566"/>
        <w:rPr>
          <w:b/>
          <w:szCs w:val="24"/>
          <w:lang w:eastAsia="en-US"/>
        </w:rPr>
      </w:pPr>
      <w:r w:rsidRPr="001C2358">
        <w:rPr>
          <w:szCs w:val="24"/>
          <w:lang w:eastAsia="en-US"/>
        </w:rPr>
        <w:t>a)</w:t>
      </w:r>
      <w:r w:rsidRPr="001C2358">
        <w:rPr>
          <w:szCs w:val="24"/>
          <w:lang w:eastAsia="en-US"/>
        </w:rPr>
        <w:tab/>
        <w:t xml:space="preserve">aktuelle Liste und Geodaten ihrer Bodenbezirke gemäß Artikel 4 bis zum … (Amt für Veröffentlichungen: Bitte Datum einfügen: </w:t>
      </w:r>
      <w:r w:rsidRPr="001C2358">
        <w:rPr>
          <w:strike/>
          <w:szCs w:val="24"/>
          <w:lang w:eastAsia="en-US"/>
        </w:rPr>
        <w:t>2 Jahre und 3</w:t>
      </w:r>
      <w:r w:rsidRPr="001C2358">
        <w:rPr>
          <w:b/>
          <w:i/>
          <w:szCs w:val="24"/>
          <w:lang w:eastAsia="en-US"/>
        </w:rPr>
        <w:t>zwölf</w:t>
      </w:r>
      <w:r w:rsidRPr="001C2358">
        <w:rPr>
          <w:szCs w:val="24"/>
          <w:lang w:eastAsia="en-US"/>
        </w:rPr>
        <w:t xml:space="preserve"> Monate nach Inkrafttreten der Richtlinie)</w:t>
      </w:r>
      <w:r w:rsidRPr="001C2358">
        <w:rPr>
          <w:b/>
          <w:i/>
          <w:szCs w:val="24"/>
          <w:lang w:eastAsia="en-US"/>
        </w:rPr>
        <w:t xml:space="preserve"> und, soweit vorhanden, deren jeweilige Bodenbezirkspläne</w:t>
      </w:r>
      <w:r w:rsidRPr="001C2358">
        <w:rPr>
          <w:szCs w:val="24"/>
          <w:lang w:eastAsia="en-US"/>
        </w:rPr>
        <w:t>;</w:t>
      </w:r>
      <w:r w:rsidR="001C5F4E">
        <w:rPr>
          <w:b/>
          <w:szCs w:val="24"/>
          <w:lang w:eastAsia="en-US"/>
        </w:rPr>
        <w:t xml:space="preserve"> [Abänd. 172]</w:t>
      </w:r>
    </w:p>
    <w:p w:rsidR="001C5F4E" w:rsidRDefault="001C5F4E">
      <w:pPr>
        <w:widowControl/>
        <w:rPr>
          <w:szCs w:val="24"/>
          <w:lang w:eastAsia="en-US"/>
        </w:rPr>
      </w:pPr>
      <w:r>
        <w:rPr>
          <w:szCs w:val="24"/>
          <w:lang w:eastAsia="en-US"/>
        </w:rPr>
        <w:br w:type="page"/>
      </w:r>
    </w:p>
    <w:p w:rsidR="001C2358" w:rsidRPr="001C5F4E" w:rsidRDefault="001C2358" w:rsidP="001C2358">
      <w:pPr>
        <w:spacing w:before="120" w:after="120" w:line="360" w:lineRule="auto"/>
        <w:ind w:left="1416" w:hanging="566"/>
        <w:rPr>
          <w:b/>
          <w:szCs w:val="24"/>
          <w:lang w:eastAsia="en-US"/>
        </w:rPr>
      </w:pPr>
      <w:r w:rsidRPr="001C2358">
        <w:rPr>
          <w:szCs w:val="24"/>
          <w:lang w:eastAsia="en-US"/>
        </w:rPr>
        <w:lastRenderedPageBreak/>
        <w:t>b)</w:t>
      </w:r>
      <w:r w:rsidRPr="001C2358">
        <w:rPr>
          <w:szCs w:val="24"/>
          <w:lang w:eastAsia="en-US"/>
        </w:rPr>
        <w:tab/>
        <w:t xml:space="preserve">aktuelle Liste der zuständigen Behörden gemäß Artikel 5 bis zum … (Amt für Veröffentlichungen: Bitte Datum einfügen: </w:t>
      </w:r>
      <w:r w:rsidRPr="001C2358">
        <w:rPr>
          <w:strike/>
          <w:szCs w:val="24"/>
          <w:lang w:eastAsia="en-US"/>
        </w:rPr>
        <w:t>2 Jahre und 3</w:t>
      </w:r>
      <w:r w:rsidRPr="001C2358">
        <w:rPr>
          <w:b/>
          <w:i/>
          <w:szCs w:val="24"/>
          <w:lang w:eastAsia="en-US"/>
        </w:rPr>
        <w:t>zwölf</w:t>
      </w:r>
      <w:r w:rsidRPr="001C2358">
        <w:rPr>
          <w:szCs w:val="24"/>
          <w:lang w:eastAsia="en-US"/>
        </w:rPr>
        <w:t xml:space="preserve"> Monate nach Inkrafttreten der Richtlinie);</w:t>
      </w:r>
      <w:r w:rsidR="001C5F4E">
        <w:rPr>
          <w:b/>
          <w:szCs w:val="24"/>
          <w:lang w:eastAsia="en-US"/>
        </w:rPr>
        <w:t xml:space="preserve"> [Abänd. 173]</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Maßnahmen und nachhaltige Bodenbewirtschaftungspraktiken gemäß Artikel 10 bis zum … (Amt für Veröffentlichungen: Bitte Datum einfügen: 4 Jahre und 3 Monate nac</w:t>
      </w:r>
      <w:r w:rsidR="008360A3">
        <w:rPr>
          <w:szCs w:val="24"/>
          <w:lang w:eastAsia="en-US"/>
        </w:rPr>
        <w:t>h Inkrafttreten der Richtlinie);</w:t>
      </w:r>
    </w:p>
    <w:p w:rsidR="001C2358" w:rsidRPr="001C5F4E" w:rsidRDefault="001C2358" w:rsidP="001C2358">
      <w:pPr>
        <w:spacing w:before="120" w:after="120" w:line="360" w:lineRule="auto"/>
        <w:ind w:left="1416" w:hanging="566"/>
        <w:rPr>
          <w:b/>
          <w:szCs w:val="24"/>
          <w:lang w:eastAsia="en-US"/>
        </w:rPr>
      </w:pPr>
      <w:r w:rsidRPr="001C2358">
        <w:rPr>
          <w:b/>
          <w:i/>
          <w:szCs w:val="24"/>
          <w:lang w:eastAsia="en-US"/>
        </w:rPr>
        <w:t>ca)</w:t>
      </w:r>
      <w:r w:rsidRPr="001C2358">
        <w:rPr>
          <w:szCs w:val="24"/>
          <w:lang w:eastAsia="en-US"/>
        </w:rPr>
        <w:tab/>
      </w:r>
      <w:r w:rsidRPr="001C2358">
        <w:rPr>
          <w:b/>
          <w:i/>
          <w:szCs w:val="24"/>
          <w:lang w:eastAsia="en-US"/>
        </w:rPr>
        <w:t>Messungen der Bodendeskriptoren auf der Ebene der Probenahmestelle.</w:t>
      </w:r>
      <w:r w:rsidR="001C5F4E">
        <w:rPr>
          <w:b/>
          <w:szCs w:val="24"/>
          <w:lang w:eastAsia="en-US"/>
        </w:rPr>
        <w:t xml:space="preserve"> [Abänd. 174]</w:t>
      </w:r>
    </w:p>
    <w:p w:rsidR="001C2358" w:rsidRPr="001C2358" w:rsidRDefault="001C2358" w:rsidP="001C2358">
      <w:pPr>
        <w:spacing w:before="120" w:after="120" w:line="360" w:lineRule="auto"/>
        <w:ind w:left="850" w:hanging="850"/>
        <w:rPr>
          <w:szCs w:val="24"/>
          <w:lang w:eastAsia="en-US"/>
        </w:rPr>
      </w:pPr>
      <w:r w:rsidRPr="001C2358">
        <w:rPr>
          <w:szCs w:val="24"/>
          <w:lang w:eastAsia="en-US"/>
        </w:rPr>
        <w:t>(4)</w:t>
      </w:r>
      <w:r w:rsidRPr="001C2358">
        <w:rPr>
          <w:szCs w:val="24"/>
          <w:lang w:eastAsia="en-US"/>
        </w:rPr>
        <w:tab/>
        <w:t>Der Kommission wird die Befugnis übertragen, Durchführungsrechtsakte zur Festlegung des Formats und der Modalitäten für die Übermittlung der in Absatz 1 dieses Artikels genannten Informationen zu erlassen. Diese Durchführungsrechtsakte werden gemäß dem in Artikel 21 genannten Prüfverfahren erlassen.</w:t>
      </w:r>
    </w:p>
    <w:p w:rsidR="001C5F4E" w:rsidRDefault="001C5F4E">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19</w:t>
      </w:r>
      <w:r w:rsidRPr="001C2358">
        <w:rPr>
          <w:szCs w:val="24"/>
          <w:lang w:eastAsia="en-US"/>
        </w:rPr>
        <w:br/>
        <w:t>Unterrichtung der Öffentlichkeit</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Im Einklang mit den Bestimmungen aus Artikel 11 der Richtlinie 2007/2/EG des Europäischen Parlaments und des Rates</w:t>
      </w:r>
      <w:r w:rsidRPr="001C2358">
        <w:rPr>
          <w:szCs w:val="24"/>
          <w:vertAlign w:val="superscript"/>
          <w:lang w:val="en-GB" w:eastAsia="en-US"/>
        </w:rPr>
        <w:footnoteReference w:id="54"/>
      </w:r>
      <w:r w:rsidRPr="001C2358">
        <w:rPr>
          <w:szCs w:val="24"/>
          <w:lang w:eastAsia="en-US"/>
        </w:rPr>
        <w:t xml:space="preserve"> für geografisch explizite Daten und den Bestimmungen aus Artikel 5 der Richtlinie (EU) 2019/1024 für andere Daten veröffentlichen die Mitgliedstaaten die Daten aus der Überwachung gemäß Artikel 8 und aus </w:t>
      </w:r>
      <w:r w:rsidRPr="001C2358">
        <w:rPr>
          <w:strike/>
          <w:szCs w:val="24"/>
          <w:lang w:eastAsia="en-US"/>
        </w:rPr>
        <w:t>der Bewertung</w:t>
      </w:r>
      <w:r w:rsidRPr="001C2358">
        <w:rPr>
          <w:b/>
          <w:i/>
          <w:szCs w:val="24"/>
          <w:lang w:eastAsia="en-US"/>
        </w:rPr>
        <w:t>den Bewertungen</w:t>
      </w:r>
      <w:r w:rsidRPr="001C2358">
        <w:rPr>
          <w:szCs w:val="24"/>
          <w:lang w:eastAsia="en-US"/>
        </w:rPr>
        <w:t xml:space="preserve"> gemäß Artikel 9</w:t>
      </w:r>
      <w:r w:rsidRPr="001C2358">
        <w:rPr>
          <w:b/>
          <w:i/>
          <w:szCs w:val="24"/>
          <w:lang w:eastAsia="en-US"/>
        </w:rPr>
        <w:t xml:space="preserve"> und Artikel 10 Absatz 3</w:t>
      </w:r>
      <w:r w:rsidRPr="001C2358">
        <w:rPr>
          <w:szCs w:val="24"/>
          <w:lang w:eastAsia="en-US"/>
        </w:rPr>
        <w:t xml:space="preserve"> dieser Richtlinie.</w:t>
      </w:r>
      <w:r w:rsidR="001C5F4E">
        <w:rPr>
          <w:b/>
          <w:szCs w:val="24"/>
          <w:lang w:eastAsia="en-US"/>
        </w:rPr>
        <w:t xml:space="preserve"> [Abänd. 175]</w:t>
      </w:r>
    </w:p>
    <w:p w:rsidR="001C2358" w:rsidRPr="001C5F4E"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Die Kommission stellt sicher, dass die über das in Artikel 6 genannte digitale Portal für Bodengesundheitsdaten bereitgestellten</w:t>
      </w:r>
      <w:r w:rsidRPr="001C2358">
        <w:rPr>
          <w:b/>
          <w:i/>
          <w:szCs w:val="24"/>
          <w:lang w:eastAsia="en-US"/>
        </w:rPr>
        <w:t xml:space="preserve"> relevanten</w:t>
      </w:r>
      <w:r w:rsidRPr="001C2358">
        <w:rPr>
          <w:szCs w:val="24"/>
          <w:lang w:eastAsia="en-US"/>
        </w:rPr>
        <w:t xml:space="preserve"> Bodengesundheitsdaten der Öffentlichkeit gemäß der Verordnung (EU) 2018/1725 des Europäischen Parlaments und des Rates</w:t>
      </w:r>
      <w:r w:rsidRPr="001C2358">
        <w:rPr>
          <w:szCs w:val="24"/>
          <w:vertAlign w:val="superscript"/>
          <w:lang w:val="en-GB" w:eastAsia="en-US"/>
        </w:rPr>
        <w:footnoteReference w:id="55"/>
      </w:r>
      <w:r w:rsidRPr="001C2358">
        <w:rPr>
          <w:szCs w:val="24"/>
          <w:lang w:eastAsia="en-US"/>
        </w:rPr>
        <w:t xml:space="preserve"> und der Verordnung (EG) Nr. 1367/2006 des Europäischen Parlaments und des </w:t>
      </w:r>
      <w:r w:rsidRPr="009571FC">
        <w:rPr>
          <w:szCs w:val="24"/>
          <w:lang w:eastAsia="en-US"/>
        </w:rPr>
        <w:t>Rates</w:t>
      </w:r>
      <w:r w:rsidRPr="001C2358">
        <w:rPr>
          <w:szCs w:val="24"/>
          <w:vertAlign w:val="superscript"/>
          <w:lang w:val="en-GB" w:eastAsia="en-US"/>
        </w:rPr>
        <w:footnoteReference w:id="56"/>
      </w:r>
      <w:r w:rsidR="009571FC" w:rsidRPr="009571FC">
        <w:rPr>
          <w:szCs w:val="24"/>
          <w:lang w:eastAsia="en-US"/>
        </w:rPr>
        <w:t xml:space="preserve"> </w:t>
      </w:r>
      <w:r w:rsidRPr="001C2358">
        <w:rPr>
          <w:b/>
          <w:i/>
          <w:szCs w:val="24"/>
          <w:lang w:eastAsia="en-US"/>
        </w:rPr>
        <w:t>in aggregierter und anonymisierter Form und nur mit der ausdrücklichen Zustimmung der Landbesitzer und -bewirtschafter</w:t>
      </w:r>
      <w:r w:rsidRPr="001C2358">
        <w:rPr>
          <w:szCs w:val="24"/>
          <w:lang w:eastAsia="en-US"/>
        </w:rPr>
        <w:t xml:space="preserve"> zugänglich gemacht werden.</w:t>
      </w:r>
      <w:r w:rsidR="001C5F4E">
        <w:rPr>
          <w:b/>
          <w:szCs w:val="24"/>
          <w:lang w:eastAsia="en-US"/>
        </w:rPr>
        <w:t xml:space="preserve"> [Abänd. 231]</w:t>
      </w:r>
    </w:p>
    <w:p w:rsidR="001C5F4E" w:rsidRDefault="001C5F4E">
      <w:pPr>
        <w:widowControl/>
        <w:rPr>
          <w:szCs w:val="24"/>
          <w:lang w:eastAsia="en-US"/>
        </w:rPr>
      </w:pPr>
      <w:r>
        <w:rPr>
          <w:szCs w:val="24"/>
          <w:lang w:eastAsia="en-US"/>
        </w:rPr>
        <w:br w:type="page"/>
      </w:r>
    </w:p>
    <w:p w:rsidR="001C2358" w:rsidRPr="009571FC" w:rsidRDefault="001C2358" w:rsidP="001C2358">
      <w:pPr>
        <w:spacing w:before="120" w:after="120" w:line="360" w:lineRule="auto"/>
        <w:ind w:left="850" w:hanging="850"/>
        <w:rPr>
          <w:b/>
          <w:szCs w:val="24"/>
          <w:lang w:eastAsia="en-US"/>
        </w:rPr>
      </w:pPr>
      <w:r w:rsidRPr="001C2358">
        <w:rPr>
          <w:szCs w:val="24"/>
          <w:lang w:eastAsia="en-US"/>
        </w:rPr>
        <w:lastRenderedPageBreak/>
        <w:t>(3)</w:t>
      </w:r>
      <w:r w:rsidRPr="001C2358">
        <w:rPr>
          <w:szCs w:val="24"/>
          <w:lang w:eastAsia="en-US"/>
        </w:rPr>
        <w:tab/>
        <w:t>Die Mitgliedstaaten stellen sicher, dass die in Artikel 18 dieser Richtlinie genannten</w:t>
      </w:r>
      <w:r w:rsidRPr="001C2358">
        <w:rPr>
          <w:b/>
          <w:i/>
          <w:szCs w:val="24"/>
          <w:lang w:eastAsia="en-US"/>
        </w:rPr>
        <w:t xml:space="preserve"> relevanten</w:t>
      </w:r>
      <w:r w:rsidRPr="001C2358">
        <w:rPr>
          <w:szCs w:val="24"/>
          <w:lang w:eastAsia="en-US"/>
        </w:rPr>
        <w:t xml:space="preserve"> Informationen verfügbar und gemäß Richtlinie 2003/4/EG, Richtlinie 2007/2/EG und Richtlinie (EU) 2019/1024 des Europäischen Parlaments und des Rates</w:t>
      </w:r>
      <w:r w:rsidRPr="001C2358">
        <w:rPr>
          <w:szCs w:val="24"/>
          <w:vertAlign w:val="superscript"/>
          <w:lang w:val="en-GB" w:eastAsia="en-US"/>
        </w:rPr>
        <w:footnoteReference w:id="57"/>
      </w:r>
      <w:r w:rsidRPr="001C2358">
        <w:rPr>
          <w:szCs w:val="24"/>
          <w:lang w:eastAsia="en-US"/>
        </w:rPr>
        <w:t xml:space="preserve"> für die Öffentlichkeit </w:t>
      </w:r>
      <w:r w:rsidRPr="001C2358">
        <w:rPr>
          <w:b/>
          <w:i/>
          <w:szCs w:val="24"/>
          <w:lang w:eastAsia="en-US"/>
        </w:rPr>
        <w:t xml:space="preserve">nur mit der ausdrücklichen Zustimmung der Landbesitzer und -bewirtschafter in aggregierter und anonymisierter Form </w:t>
      </w:r>
      <w:r w:rsidRPr="001C2358">
        <w:rPr>
          <w:szCs w:val="24"/>
          <w:lang w:eastAsia="en-US"/>
        </w:rPr>
        <w:t>zugänglich sind.</w:t>
      </w:r>
      <w:r w:rsidR="009571FC">
        <w:rPr>
          <w:b/>
          <w:szCs w:val="24"/>
          <w:lang w:eastAsia="en-US"/>
        </w:rPr>
        <w:t xml:space="preserve"> [Abänd. 232]</w:t>
      </w:r>
    </w:p>
    <w:p w:rsidR="001C2358" w:rsidRPr="001C2358" w:rsidRDefault="001C2358" w:rsidP="001C2358">
      <w:pPr>
        <w:spacing w:before="120" w:after="120" w:line="360" w:lineRule="auto"/>
        <w:ind w:left="850" w:hanging="850"/>
        <w:rPr>
          <w:szCs w:val="24"/>
          <w:lang w:eastAsia="en-US"/>
        </w:rPr>
      </w:pPr>
      <w:r w:rsidRPr="001C2358">
        <w:rPr>
          <w:szCs w:val="24"/>
          <w:lang w:eastAsia="en-US"/>
        </w:rPr>
        <w:t>(4)</w:t>
      </w:r>
      <w:r w:rsidRPr="001C2358">
        <w:rPr>
          <w:szCs w:val="24"/>
          <w:lang w:eastAsia="en-US"/>
        </w:rPr>
        <w:tab/>
        <w:t>Die Offenlegung von nach dieser Richtlinie erforderlichen Informationen kann verweigert oder eingeschränkt werden, wenn die Bedingungen aus Artikel 4 der Richtlinie 2003/4/EG erfüllt sind.</w:t>
      </w:r>
    </w:p>
    <w:p w:rsidR="001C2358" w:rsidRPr="001C2358" w:rsidRDefault="001C2358" w:rsidP="001C2358">
      <w:pPr>
        <w:spacing w:before="120" w:after="120" w:line="360" w:lineRule="auto"/>
        <w:ind w:left="850" w:hanging="850"/>
        <w:rPr>
          <w:szCs w:val="24"/>
          <w:lang w:eastAsia="en-US"/>
        </w:rPr>
      </w:pPr>
      <w:r w:rsidRPr="001C2358">
        <w:rPr>
          <w:b/>
          <w:i/>
          <w:szCs w:val="24"/>
          <w:lang w:eastAsia="en-US"/>
        </w:rPr>
        <w:t>(4a)</w:t>
      </w:r>
      <w:r w:rsidRPr="001C2358">
        <w:rPr>
          <w:szCs w:val="24"/>
          <w:lang w:eastAsia="en-US"/>
        </w:rPr>
        <w:tab/>
      </w:r>
      <w:r w:rsidRPr="001C2358">
        <w:rPr>
          <w:b/>
          <w:i/>
          <w:szCs w:val="24"/>
          <w:lang w:eastAsia="en-US"/>
        </w:rPr>
        <w:t>Die Mitgliedstaaten ergreifen Maßnahmen, um sicherzustellen, dass bodenbezogene Informationen, die im Rahmen der Durchführung dieser Richtlinie erhoben werden, dem potenziellen Käufer oder Pächter der betreffenden Fläche zur Verfügung gestellt werden.</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Kapitel VI</w:t>
      </w:r>
      <w:r w:rsidRPr="001C2358">
        <w:rPr>
          <w:szCs w:val="24"/>
          <w:lang w:eastAsia="en-US"/>
        </w:rPr>
        <w:br/>
        <w:t>Befugnisübertragung und Ausschussverfahren</w:t>
      </w:r>
    </w:p>
    <w:p w:rsidR="001C2358" w:rsidRPr="001C2358" w:rsidRDefault="001C2358" w:rsidP="001C2358">
      <w:pPr>
        <w:spacing w:before="120" w:after="120" w:line="360" w:lineRule="auto"/>
        <w:jc w:val="center"/>
        <w:rPr>
          <w:szCs w:val="24"/>
          <w:lang w:eastAsia="en-US"/>
        </w:rPr>
      </w:pPr>
      <w:r w:rsidRPr="001C2358">
        <w:rPr>
          <w:szCs w:val="24"/>
          <w:lang w:eastAsia="en-US"/>
        </w:rPr>
        <w:t>Artikel 20</w:t>
      </w:r>
      <w:r w:rsidRPr="001C2358">
        <w:rPr>
          <w:szCs w:val="24"/>
          <w:lang w:eastAsia="en-US"/>
        </w:rPr>
        <w:br/>
        <w:t>Ausübung der Befugnisübertragung</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Die Befugnis zum Erlass delegierter Rechtsakte wird der Kommission unter den in diesem Artikel festgelegten Bedingungen übertragen.</w:t>
      </w:r>
    </w:p>
    <w:p w:rsidR="001C2358" w:rsidRPr="009571FC"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 xml:space="preserve">Die Befugnis zum Erlass delegierter Rechtsakte gemäß den Artikeln 8, </w:t>
      </w:r>
      <w:r w:rsidRPr="001C2358">
        <w:rPr>
          <w:strike/>
          <w:szCs w:val="24"/>
          <w:lang w:eastAsia="en-US"/>
        </w:rPr>
        <w:t>10, 15 und 16</w:t>
      </w:r>
      <w:r w:rsidRPr="001C2358">
        <w:rPr>
          <w:b/>
          <w:i/>
          <w:szCs w:val="24"/>
          <w:lang w:eastAsia="en-US"/>
        </w:rPr>
        <w:t>9 und 15</w:t>
      </w:r>
      <w:r w:rsidRPr="001C2358">
        <w:rPr>
          <w:szCs w:val="24"/>
          <w:lang w:eastAsia="en-US"/>
        </w:rPr>
        <w:t xml:space="preserve"> wird der Kommission auf unbestimmte Zeit ab dem Datum des Inkrafttretens dieser Richtlinie übertragen.</w:t>
      </w:r>
      <w:r w:rsidR="009571FC">
        <w:rPr>
          <w:b/>
          <w:szCs w:val="24"/>
          <w:lang w:eastAsia="en-US"/>
        </w:rPr>
        <w:t xml:space="preserve"> [Abänd. 177]</w:t>
      </w:r>
    </w:p>
    <w:p w:rsidR="001C2358" w:rsidRPr="009571FC" w:rsidRDefault="001C2358" w:rsidP="001C2358">
      <w:pPr>
        <w:spacing w:before="120" w:after="120" w:line="360" w:lineRule="auto"/>
        <w:ind w:left="850" w:hanging="850"/>
        <w:rPr>
          <w:b/>
          <w:szCs w:val="24"/>
          <w:lang w:eastAsia="en-US"/>
        </w:rPr>
      </w:pPr>
      <w:r w:rsidRPr="001C2358">
        <w:rPr>
          <w:szCs w:val="24"/>
          <w:lang w:eastAsia="en-US"/>
        </w:rPr>
        <w:t>(3)</w:t>
      </w:r>
      <w:r w:rsidRPr="001C2358">
        <w:rPr>
          <w:szCs w:val="24"/>
          <w:lang w:eastAsia="en-US"/>
        </w:rPr>
        <w:tab/>
        <w:t xml:space="preserve">Die Befugnisübertragung gemäß den Artikeln 8, </w:t>
      </w:r>
      <w:r w:rsidRPr="001C2358">
        <w:rPr>
          <w:strike/>
          <w:szCs w:val="24"/>
          <w:lang w:eastAsia="en-US"/>
        </w:rPr>
        <w:t>10, 15 und 16</w:t>
      </w:r>
      <w:r w:rsidRPr="001C2358">
        <w:rPr>
          <w:b/>
          <w:i/>
          <w:szCs w:val="24"/>
          <w:lang w:eastAsia="en-US"/>
        </w:rPr>
        <w:t>9 und 15</w:t>
      </w:r>
      <w:r w:rsidRPr="001C2358">
        <w:rPr>
          <w:szCs w:val="24"/>
          <w:lang w:eastAsia="en-US"/>
        </w:rPr>
        <w:t xml:space="preserve"> kann vom Europäischen Parlament oder vom Rat jederzeit widerrufen werden. Der Beschluss über den Widerruf beendet die Übertragung der in diesem Beschluss angegebenen Befugnis. Er wird am Tag nach seiner Veröffentlichung im </w:t>
      </w:r>
      <w:r w:rsidRPr="00BE35CB">
        <w:rPr>
          <w:i/>
          <w:szCs w:val="24"/>
          <w:lang w:eastAsia="en-US"/>
        </w:rPr>
        <w:t>Amtsblatt der Europäischen Union</w:t>
      </w:r>
      <w:r w:rsidRPr="001C2358">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r w:rsidR="009571FC">
        <w:rPr>
          <w:b/>
          <w:szCs w:val="24"/>
          <w:lang w:eastAsia="en-US"/>
        </w:rPr>
        <w:t xml:space="preserve"> [Abänd. 178]</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(4)</w:t>
      </w:r>
      <w:r w:rsidRPr="001C2358">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(5)</w:t>
      </w:r>
      <w:r w:rsidRPr="001C2358">
        <w:rPr>
          <w:szCs w:val="24"/>
          <w:lang w:eastAsia="en-US"/>
        </w:rPr>
        <w:tab/>
        <w:t>Sobald die Kommission einen delegierten Rechtsakt erlässt, übermittelt sie ihn gleichzeitig dem Europäischen Parlament und dem Rat.</w:t>
      </w:r>
    </w:p>
    <w:p w:rsidR="001C2358" w:rsidRPr="009571FC" w:rsidRDefault="001C2358" w:rsidP="001C2358">
      <w:pPr>
        <w:spacing w:before="120" w:after="120" w:line="360" w:lineRule="auto"/>
        <w:ind w:left="850" w:hanging="850"/>
        <w:rPr>
          <w:b/>
          <w:szCs w:val="24"/>
          <w:lang w:eastAsia="en-US"/>
        </w:rPr>
      </w:pPr>
      <w:r w:rsidRPr="001C2358">
        <w:rPr>
          <w:szCs w:val="24"/>
          <w:lang w:eastAsia="en-US"/>
        </w:rPr>
        <w:t>(6)</w:t>
      </w:r>
      <w:r w:rsidRPr="001C2358">
        <w:rPr>
          <w:szCs w:val="24"/>
          <w:lang w:eastAsia="en-US"/>
        </w:rPr>
        <w:tab/>
        <w:t xml:space="preserve">Ein delegierter Rechtsakt, der gemäß den Artikeln 8, </w:t>
      </w:r>
      <w:r w:rsidRPr="001C2358">
        <w:rPr>
          <w:strike/>
          <w:szCs w:val="24"/>
          <w:lang w:eastAsia="en-US"/>
        </w:rPr>
        <w:t>10, 15 und 16</w:t>
      </w:r>
      <w:r w:rsidRPr="001C2358">
        <w:rPr>
          <w:b/>
          <w:i/>
          <w:szCs w:val="24"/>
          <w:lang w:eastAsia="en-US"/>
        </w:rPr>
        <w:t>9 und 15</w:t>
      </w:r>
      <w:r w:rsidRPr="001C2358">
        <w:rPr>
          <w:szCs w:val="24"/>
          <w:lang w:eastAsia="en-US"/>
        </w:rPr>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r w:rsidR="009571FC">
        <w:rPr>
          <w:b/>
          <w:szCs w:val="24"/>
          <w:lang w:eastAsia="en-US"/>
        </w:rPr>
        <w:t xml:space="preserve"> [Abänd. 179]</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21</w:t>
      </w:r>
      <w:r w:rsidRPr="001C2358">
        <w:rPr>
          <w:szCs w:val="24"/>
          <w:lang w:eastAsia="en-US"/>
        </w:rPr>
        <w:br/>
        <w:t>Ausschuss</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Die Kommission wird von einem Ausschuss unterstützt. Dieser Ausschuss ist ein Ausschuss im Sinne der Verordnung (EU) Nr. 182/2011.</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Wird auf diesen Absatz Bezug genommen, so gilt Artikel 5 der Verordnung (EU) Nr. 182/2011.</w:t>
      </w:r>
    </w:p>
    <w:p w:rsidR="001C2358" w:rsidRPr="001C2358" w:rsidRDefault="001C2358" w:rsidP="001C2358">
      <w:pPr>
        <w:spacing w:before="120" w:after="120" w:line="360" w:lineRule="auto"/>
        <w:jc w:val="center"/>
        <w:rPr>
          <w:szCs w:val="24"/>
          <w:lang w:eastAsia="en-US"/>
        </w:rPr>
      </w:pPr>
      <w:r w:rsidRPr="001C2358">
        <w:rPr>
          <w:szCs w:val="24"/>
          <w:lang w:eastAsia="en-US"/>
        </w:rPr>
        <w:t xml:space="preserve">KAPITEL VII </w:t>
      </w:r>
      <w:r w:rsidRPr="001C2358">
        <w:rPr>
          <w:szCs w:val="24"/>
          <w:lang w:eastAsia="en-US"/>
        </w:rPr>
        <w:br/>
        <w:t xml:space="preserve">Schlussbestimmungen </w:t>
      </w:r>
    </w:p>
    <w:p w:rsidR="001C2358" w:rsidRPr="001C2358" w:rsidRDefault="001C2358" w:rsidP="001C2358">
      <w:pPr>
        <w:spacing w:before="120" w:after="120" w:line="360" w:lineRule="auto"/>
        <w:jc w:val="center"/>
        <w:rPr>
          <w:szCs w:val="24"/>
          <w:lang w:eastAsia="en-US"/>
        </w:rPr>
      </w:pPr>
      <w:r w:rsidRPr="001C2358">
        <w:rPr>
          <w:szCs w:val="24"/>
          <w:lang w:eastAsia="en-US"/>
        </w:rPr>
        <w:t>Artikel 22</w:t>
      </w:r>
      <w:r w:rsidRPr="001C2358">
        <w:rPr>
          <w:szCs w:val="24"/>
          <w:lang w:eastAsia="en-US"/>
        </w:rPr>
        <w:br/>
        <w:t>Zugang zu Gerichten</w:t>
      </w:r>
    </w:p>
    <w:p w:rsidR="001C2358" w:rsidRPr="001C2358" w:rsidRDefault="001C2358" w:rsidP="001C2358">
      <w:pPr>
        <w:spacing w:before="120" w:after="120" w:line="360" w:lineRule="auto"/>
        <w:rPr>
          <w:szCs w:val="24"/>
          <w:lang w:eastAsia="en-US"/>
        </w:rPr>
      </w:pPr>
      <w:r w:rsidRPr="001C2358">
        <w:rPr>
          <w:szCs w:val="24"/>
          <w:lang w:eastAsia="en-US"/>
        </w:rPr>
        <w:t>Die Mitgliedstaaten stellen sicher, dass Mitglieder der Öffentlichkeit, die ein ausreichendes Interesse haben oder die eine Rechtsverletzung geltend machen, im Einklang mit dem nationalen Recht Zugang zu einem Überprüfungsverfahren vor einem Gericht oder einer auf gesetzlicher Grundlage geschaffenen unabhängigen und unparteiischen Stelle haben, um die materiellrechtliche oder verfahrensrechtliche Rechtmäßigkeit der Bewertung der Bodengesundheit, der gemäß dieser Richtlinie getroffenen Maßnahmen oder etwaige Unterlassungen der zuständigen Behörden anzufechten.</w:t>
      </w:r>
    </w:p>
    <w:p w:rsidR="009571FC" w:rsidRDefault="009571FC">
      <w:pPr>
        <w:widowControl/>
        <w:rPr>
          <w:szCs w:val="24"/>
          <w:lang w:eastAsia="en-US"/>
        </w:rPr>
      </w:pPr>
      <w:r>
        <w:rPr>
          <w:szCs w:val="24"/>
          <w:lang w:eastAsia="en-US"/>
        </w:rPr>
        <w:br w:type="page"/>
      </w:r>
    </w:p>
    <w:p w:rsidR="001C2358" w:rsidRPr="009571FC" w:rsidRDefault="001C2358" w:rsidP="001C2358">
      <w:pPr>
        <w:spacing w:before="120" w:after="120" w:line="360" w:lineRule="auto"/>
        <w:rPr>
          <w:b/>
          <w:szCs w:val="24"/>
          <w:lang w:eastAsia="en-US"/>
        </w:rPr>
      </w:pPr>
      <w:r w:rsidRPr="001C2358">
        <w:rPr>
          <w:szCs w:val="24"/>
          <w:lang w:eastAsia="en-US"/>
        </w:rPr>
        <w:lastRenderedPageBreak/>
        <w:t xml:space="preserve">Die Mitgliedstaaten bestimmen im Einklang mit dem Ziel, der Öffentlichkeit </w:t>
      </w:r>
      <w:r w:rsidRPr="001C2358">
        <w:rPr>
          <w:b/>
          <w:i/>
          <w:szCs w:val="24"/>
          <w:lang w:eastAsia="en-US"/>
        </w:rPr>
        <w:t xml:space="preserve">gemäß Artikel 9 des Übereinkommens von Aarhus </w:t>
      </w:r>
      <w:r w:rsidRPr="001C2358">
        <w:rPr>
          <w:szCs w:val="24"/>
          <w:lang w:eastAsia="en-US"/>
        </w:rPr>
        <w:t xml:space="preserve">einen </w:t>
      </w:r>
      <w:r w:rsidRPr="001C2358">
        <w:rPr>
          <w:strike/>
          <w:szCs w:val="24"/>
          <w:lang w:eastAsia="en-US"/>
        </w:rPr>
        <w:t>weitreichenden</w:t>
      </w:r>
      <w:r w:rsidRPr="001C2358">
        <w:rPr>
          <w:b/>
          <w:i/>
          <w:szCs w:val="24"/>
          <w:lang w:eastAsia="en-US"/>
        </w:rPr>
        <w:t>weiten</w:t>
      </w:r>
      <w:r w:rsidRPr="001C2358">
        <w:rPr>
          <w:szCs w:val="24"/>
          <w:lang w:eastAsia="en-US"/>
        </w:rPr>
        <w:t xml:space="preserve"> Zugang zu Gerichten zu gewähren, was als ausreichendes Interesse und als Rechtsverletzung gilt. </w:t>
      </w:r>
      <w:r w:rsidRPr="001C2358">
        <w:rPr>
          <w:strike/>
          <w:szCs w:val="24"/>
          <w:lang w:eastAsia="en-US"/>
        </w:rPr>
        <w:t>Für die Zwecke des Absatzes 1 gilt jede Nichtregierungsorganisation, die sich für den Umweltschutz einsetzt und alle nach innerstaatlichem Recht geltenden Voraussetzungen erfüllt, als Träger von Rechten, die verletzt werden können, und ihr Interesse als ausreichend</w:t>
      </w:r>
      <w:r w:rsidRPr="001C2358">
        <w:rPr>
          <w:b/>
          <w:i/>
          <w:szCs w:val="24"/>
          <w:lang w:eastAsia="en-US"/>
        </w:rPr>
        <w:t>Die Klagebefugnis wird nicht davon abhängig gemacht, dass das Mitglied der betroffenen Öffentlichkeit in der Phase der Beteiligung am Entscheidungsverfahren gemäß dieser Richtlinie eine Rolle gespielt hat</w:t>
      </w:r>
      <w:r w:rsidRPr="001C2358">
        <w:rPr>
          <w:szCs w:val="24"/>
          <w:lang w:eastAsia="en-US"/>
        </w:rPr>
        <w:t>.</w:t>
      </w:r>
      <w:r w:rsidR="009571FC">
        <w:rPr>
          <w:b/>
          <w:szCs w:val="24"/>
          <w:lang w:eastAsia="en-US"/>
        </w:rPr>
        <w:t xml:space="preserve"> [Abänd. 180]</w:t>
      </w:r>
    </w:p>
    <w:p w:rsidR="001C2358" w:rsidRPr="001C2358" w:rsidRDefault="001C2358" w:rsidP="001C2358">
      <w:pPr>
        <w:spacing w:before="120" w:after="120" w:line="360" w:lineRule="auto"/>
        <w:rPr>
          <w:szCs w:val="24"/>
          <w:lang w:eastAsia="en-US"/>
        </w:rPr>
      </w:pPr>
      <w:r w:rsidRPr="001C2358">
        <w:rPr>
          <w:szCs w:val="24"/>
          <w:lang w:eastAsia="en-US"/>
        </w:rPr>
        <w:t>Die in Absatz 1 genannten Überprüfungsverfahren müssen fair, gerecht und zeitnah durchgeführt werden, kostenlos bzw. nicht mit übermäßigen Kosten verbunden sein und angemessene und wirksame Rechtsbehelfe, gegebenenfalls auch Unterlassungsanordnungen, vorsehen.</w:t>
      </w:r>
    </w:p>
    <w:p w:rsidR="001C2358" w:rsidRPr="001C2358" w:rsidRDefault="001C2358" w:rsidP="001C2358">
      <w:pPr>
        <w:spacing w:before="120" w:after="120" w:line="360" w:lineRule="auto"/>
        <w:rPr>
          <w:szCs w:val="24"/>
          <w:lang w:eastAsia="en-US"/>
        </w:rPr>
      </w:pPr>
      <w:r w:rsidRPr="001C2358">
        <w:rPr>
          <w:szCs w:val="24"/>
          <w:lang w:eastAsia="en-US"/>
        </w:rPr>
        <w:t>Die Mitgliedstaaten stellen sicher, dass der Öffentlichkeit praktische Informationen über den Zugang zu verwaltungsbehördlichen und gerichtlichen Überprüfungsverfahren gemäß diesem Artikel zugänglich gemacht werden.</w:t>
      </w:r>
    </w:p>
    <w:p w:rsidR="009571FC" w:rsidRDefault="009571FC">
      <w:pPr>
        <w:widowControl/>
        <w:rPr>
          <w:strike/>
          <w:szCs w:val="24"/>
          <w:lang w:eastAsia="en-US"/>
        </w:rPr>
      </w:pPr>
      <w:r>
        <w:rPr>
          <w:strike/>
          <w:szCs w:val="24"/>
          <w:lang w:eastAsia="en-US"/>
        </w:rPr>
        <w:br w:type="page"/>
      </w:r>
    </w:p>
    <w:p w:rsidR="001C2358" w:rsidRPr="001C2358" w:rsidRDefault="001C2358" w:rsidP="001C2358">
      <w:pPr>
        <w:spacing w:before="120" w:after="120" w:line="360" w:lineRule="auto"/>
        <w:jc w:val="center"/>
        <w:rPr>
          <w:szCs w:val="24"/>
          <w:lang w:eastAsia="en-US"/>
        </w:rPr>
      </w:pPr>
      <w:r w:rsidRPr="001C2358">
        <w:rPr>
          <w:strike/>
          <w:szCs w:val="24"/>
          <w:lang w:eastAsia="en-US"/>
        </w:rPr>
        <w:lastRenderedPageBreak/>
        <w:t>Artikel 23</w:t>
      </w:r>
      <w:r w:rsidRPr="001C2358">
        <w:rPr>
          <w:szCs w:val="24"/>
          <w:lang w:eastAsia="en-US"/>
        </w:rPr>
        <w:br/>
      </w:r>
      <w:r w:rsidRPr="001C2358">
        <w:rPr>
          <w:strike/>
          <w:szCs w:val="24"/>
          <w:lang w:eastAsia="en-US"/>
        </w:rPr>
        <w:t>Sanktionen</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(1)</w:t>
      </w:r>
      <w:r w:rsidRPr="001C2358">
        <w:rPr>
          <w:szCs w:val="24"/>
          <w:lang w:eastAsia="en-US"/>
        </w:rPr>
        <w:tab/>
      </w:r>
      <w:r w:rsidRPr="001C2358">
        <w:rPr>
          <w:strike/>
          <w:szCs w:val="24"/>
          <w:lang w:eastAsia="en-US"/>
        </w:rPr>
        <w:t>Unbeschadet der Verpflichtungen der Mitgliedstaaten im Rahmen der Richtlinie 2008/99/EG des Europäischen Parlaments und des Rates erlassen die Mitgliedstaaten Vorschriften über Sanktionen, die bei Verstößen natürlicher und juristischer Personen gegen die gemäß dieser Richtlinie erlassenen nationalen Vorschriften zu verhängen sind, und stellen sicher, dass diese Vorschriften umgesetzt werden. Die vorgesehenen Sanktionen müssen wirksam, verhältnismäßig und abschreckend sein.</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(2)</w:t>
      </w:r>
      <w:r w:rsidRPr="001C2358">
        <w:rPr>
          <w:szCs w:val="24"/>
          <w:lang w:eastAsia="en-US"/>
        </w:rPr>
        <w:tab/>
      </w:r>
      <w:r w:rsidRPr="001C2358">
        <w:rPr>
          <w:strike/>
          <w:szCs w:val="24"/>
          <w:lang w:eastAsia="en-US"/>
        </w:rPr>
        <w:t>Die in Absatz 1 genannten Sanktionen umfassen Geldstrafen, die proportional zu dem Umsatz der juristischen Person bzw. dem Einkommen der natürlichen Person sind, die den Verstoß begangen hat. Die Höhe der Geldstrafen wird so berechnet, dass sie der für den Verstoß verantwortlichen Person wirksam den aus dem Verstoß gezogenen wirtschaftlichen Nutzen entzieht. Im Falle eines Verstoßes einer juristischen Person stehen diese Geldstrafen in einem angemessenen Verhältnis zum Jahresumsatz der juristischen Person in dem betreffenden Mitgliedstaat, wobei unter anderem die Besonderheiten kleiner und mittlerer Unternehmen (KMU) zu berücksichtigen sind.</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(3)</w:t>
      </w:r>
      <w:r w:rsidRPr="001C2358">
        <w:rPr>
          <w:szCs w:val="24"/>
          <w:lang w:eastAsia="en-US"/>
        </w:rPr>
        <w:tab/>
      </w:r>
      <w:r w:rsidRPr="001C2358">
        <w:rPr>
          <w:strike/>
          <w:szCs w:val="24"/>
          <w:lang w:eastAsia="en-US"/>
        </w:rPr>
        <w:t>Die Mitgliedstaaten stellen sicher, dass bei den gemäß diesem Artikel verhängten Sanktionen, soweit anwendbar, folgende Aspekte gebührend berücksichtigt werden:</w:t>
      </w:r>
    </w:p>
    <w:p w:rsidR="001C2358" w:rsidRPr="001C2358" w:rsidRDefault="001C2358" w:rsidP="001C2358">
      <w:pPr>
        <w:spacing w:before="120" w:after="120" w:line="360" w:lineRule="auto"/>
        <w:ind w:left="1416" w:hanging="566"/>
        <w:rPr>
          <w:szCs w:val="24"/>
          <w:lang w:eastAsia="en-US"/>
        </w:rPr>
      </w:pPr>
      <w:r w:rsidRPr="001C2358">
        <w:rPr>
          <w:strike/>
          <w:szCs w:val="24"/>
          <w:lang w:eastAsia="en-US"/>
        </w:rPr>
        <w:t>a)</w:t>
      </w:r>
      <w:r w:rsidRPr="001C2358">
        <w:rPr>
          <w:szCs w:val="24"/>
          <w:lang w:eastAsia="en-US"/>
        </w:rPr>
        <w:tab/>
      </w:r>
      <w:r w:rsidRPr="001C2358">
        <w:rPr>
          <w:strike/>
          <w:szCs w:val="24"/>
          <w:lang w:eastAsia="en-US"/>
        </w:rPr>
        <w:t>Art, Schweregrad und Ausmaß des Verstoßes;</w:t>
      </w:r>
    </w:p>
    <w:p w:rsidR="001C2358" w:rsidRPr="001C2358" w:rsidRDefault="001C2358" w:rsidP="001C2358">
      <w:pPr>
        <w:spacing w:before="120" w:after="120" w:line="360" w:lineRule="auto"/>
        <w:ind w:left="1416" w:hanging="566"/>
        <w:rPr>
          <w:szCs w:val="24"/>
          <w:lang w:eastAsia="en-US"/>
        </w:rPr>
      </w:pPr>
      <w:r w:rsidRPr="001C2358">
        <w:rPr>
          <w:strike/>
          <w:szCs w:val="24"/>
          <w:lang w:eastAsia="en-US"/>
        </w:rPr>
        <w:t>b)</w:t>
      </w:r>
      <w:r w:rsidRPr="001C2358">
        <w:rPr>
          <w:szCs w:val="24"/>
          <w:lang w:eastAsia="en-US"/>
        </w:rPr>
        <w:tab/>
      </w:r>
      <w:r w:rsidRPr="001C2358">
        <w:rPr>
          <w:strike/>
          <w:szCs w:val="24"/>
          <w:lang w:eastAsia="en-US"/>
        </w:rPr>
        <w:t>Vorsätzlichkeit oder Fahrlässigkeit des Verstoßes;</w:t>
      </w:r>
    </w:p>
    <w:p w:rsidR="001C2358" w:rsidRPr="001C2358" w:rsidRDefault="001C2358" w:rsidP="001C2358">
      <w:pPr>
        <w:spacing w:before="120" w:after="120" w:line="360" w:lineRule="auto"/>
        <w:ind w:left="1416" w:hanging="566"/>
        <w:rPr>
          <w:szCs w:val="24"/>
          <w:lang w:eastAsia="en-US"/>
        </w:rPr>
      </w:pPr>
      <w:r w:rsidRPr="001C2358">
        <w:rPr>
          <w:strike/>
          <w:szCs w:val="24"/>
          <w:lang w:eastAsia="en-US"/>
        </w:rPr>
        <w:t>c)</w:t>
      </w:r>
      <w:r w:rsidRPr="001C2358">
        <w:rPr>
          <w:szCs w:val="24"/>
          <w:lang w:eastAsia="en-US"/>
        </w:rPr>
        <w:tab/>
      </w:r>
      <w:r w:rsidRPr="001C2358">
        <w:rPr>
          <w:strike/>
          <w:szCs w:val="24"/>
          <w:lang w:eastAsia="en-US"/>
        </w:rPr>
        <w:t>die von dem Verstoß betroffene Bevölkerung oder Umwelt unter Berücksichtigung der Auswirkungen des Verstoßes auf das Ziel, ein hohes Schutzniveau für die menschliche Gesundheit und die Umwelt zu erreichen.</w:t>
      </w:r>
    </w:p>
    <w:p w:rsidR="001C2358" w:rsidRPr="009571FC" w:rsidRDefault="001C2358" w:rsidP="001C2358">
      <w:pPr>
        <w:spacing w:before="120" w:after="120" w:line="360" w:lineRule="auto"/>
        <w:ind w:left="850" w:hanging="850"/>
        <w:rPr>
          <w:b/>
          <w:szCs w:val="24"/>
          <w:lang w:eastAsia="en-US"/>
        </w:rPr>
      </w:pPr>
      <w:r w:rsidRPr="001C2358">
        <w:rPr>
          <w:strike/>
          <w:szCs w:val="24"/>
          <w:lang w:eastAsia="en-US"/>
        </w:rPr>
        <w:t>(4)</w:t>
      </w:r>
      <w:r w:rsidRPr="001C2358">
        <w:rPr>
          <w:szCs w:val="24"/>
          <w:lang w:eastAsia="en-US"/>
        </w:rPr>
        <w:tab/>
      </w:r>
      <w:r w:rsidRPr="001C2358">
        <w:rPr>
          <w:strike/>
          <w:szCs w:val="24"/>
          <w:lang w:eastAsia="en-US"/>
        </w:rPr>
        <w:t>Die Mitgliedstaaten teilen der Kommission die in Absatz 1 genannten Vorschriften und Maßnahmen unverzüglich mit und melden ihr alle diesbezüglichen Änderungen.</w:t>
      </w:r>
      <w:r w:rsidR="009571FC">
        <w:rPr>
          <w:b/>
          <w:strike/>
          <w:szCs w:val="24"/>
          <w:lang w:eastAsia="en-US"/>
        </w:rPr>
        <w:t xml:space="preserve"> </w:t>
      </w:r>
      <w:r w:rsidR="009571FC" w:rsidRPr="009571FC">
        <w:rPr>
          <w:b/>
          <w:szCs w:val="24"/>
          <w:lang w:eastAsia="en-US"/>
        </w:rPr>
        <w:t>[Abänd. 234]</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24</w:t>
      </w:r>
      <w:r w:rsidRPr="001C2358">
        <w:rPr>
          <w:szCs w:val="24"/>
          <w:lang w:eastAsia="en-US"/>
        </w:rPr>
        <w:br/>
        <w:t>Bewertung und Überprüfung</w:t>
      </w:r>
    </w:p>
    <w:p w:rsidR="001C2358" w:rsidRPr="009571FC" w:rsidRDefault="001C2358" w:rsidP="001C2358">
      <w:pPr>
        <w:spacing w:before="120" w:after="120" w:line="360" w:lineRule="auto"/>
        <w:ind w:left="850" w:hanging="850"/>
        <w:rPr>
          <w:b/>
          <w:szCs w:val="24"/>
          <w:lang w:eastAsia="en-US"/>
        </w:rPr>
      </w:pPr>
      <w:r w:rsidRPr="001C2358">
        <w:rPr>
          <w:szCs w:val="24"/>
          <w:lang w:eastAsia="en-US"/>
        </w:rPr>
        <w:t>(1)</w:t>
      </w:r>
      <w:r w:rsidRPr="001C2358">
        <w:rPr>
          <w:szCs w:val="24"/>
          <w:lang w:eastAsia="en-US"/>
        </w:rPr>
        <w:tab/>
        <w:t xml:space="preserve">Die Kommission führt bis zum (Amt für Veröffentlichungen: Bitte Datum einfügen: </w:t>
      </w:r>
      <w:r w:rsidRPr="001C2358">
        <w:rPr>
          <w:strike/>
          <w:szCs w:val="24"/>
          <w:lang w:eastAsia="en-US"/>
        </w:rPr>
        <w:t>6</w:t>
      </w:r>
      <w:r w:rsidRPr="001C2358">
        <w:rPr>
          <w:b/>
          <w:i/>
          <w:szCs w:val="24"/>
          <w:lang w:eastAsia="en-US"/>
        </w:rPr>
        <w:t>sechs</w:t>
      </w:r>
      <w:r w:rsidRPr="001C2358">
        <w:rPr>
          <w:szCs w:val="24"/>
          <w:lang w:eastAsia="en-US"/>
        </w:rPr>
        <w:t xml:space="preserve"> Jahre nach Inkrafttreten der Richtlinie) eine Bewertung dieser Richtlinie durch, um die Fortschritte bei der Verwirklichung ihrer Ziele und die Notwendigkeit einer Änderung ihrer Bestimmungen zur </w:t>
      </w:r>
      <w:r w:rsidRPr="001C2358">
        <w:rPr>
          <w:strike/>
          <w:szCs w:val="24"/>
          <w:lang w:eastAsia="en-US"/>
        </w:rPr>
        <w:t>Festlegung spezifischerer</w:t>
      </w:r>
      <w:r w:rsidRPr="001C2358">
        <w:rPr>
          <w:b/>
          <w:i/>
          <w:szCs w:val="24"/>
          <w:lang w:eastAsia="en-US"/>
        </w:rPr>
        <w:t>Anpassung der</w:t>
      </w:r>
      <w:r w:rsidRPr="001C2358">
        <w:rPr>
          <w:szCs w:val="24"/>
          <w:lang w:eastAsia="en-US"/>
        </w:rPr>
        <w:t xml:space="preserve"> Anforderungen </w:t>
      </w:r>
      <w:r w:rsidRPr="001C2358">
        <w:rPr>
          <w:strike/>
          <w:szCs w:val="24"/>
          <w:lang w:eastAsia="en-US"/>
        </w:rPr>
        <w:t>zu bewerten und so sicherzustellen, dass ungesunde Böden regeneriert werden und</w:t>
      </w:r>
      <w:r w:rsidRPr="001C2358">
        <w:rPr>
          <w:b/>
          <w:i/>
          <w:szCs w:val="24"/>
          <w:lang w:eastAsia="en-US"/>
        </w:rPr>
        <w:t>dieser Richtlinie zwecks Sicherstellung anhaltender Fortschritte im Hinblick darauf,</w:t>
      </w:r>
      <w:r w:rsidRPr="001C2358">
        <w:rPr>
          <w:szCs w:val="24"/>
          <w:lang w:eastAsia="en-US"/>
        </w:rPr>
        <w:t xml:space="preserve"> dass alle Böden bis 2050 in einem gesunden Zustand sind</w:t>
      </w:r>
      <w:r w:rsidRPr="001C2358">
        <w:rPr>
          <w:b/>
          <w:i/>
          <w:szCs w:val="24"/>
          <w:lang w:eastAsia="en-US"/>
        </w:rPr>
        <w:t>, zu bewerten</w:t>
      </w:r>
      <w:r w:rsidRPr="001C2358">
        <w:rPr>
          <w:szCs w:val="24"/>
          <w:lang w:eastAsia="en-US"/>
        </w:rPr>
        <w:t>. In diese Bewertung wird unter anderem Folgendes einbezogen:</w:t>
      </w:r>
      <w:r w:rsidR="009571FC">
        <w:rPr>
          <w:b/>
          <w:szCs w:val="24"/>
          <w:lang w:eastAsia="en-US"/>
        </w:rPr>
        <w:t xml:space="preserve"> [Abänd. 186]</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die durch die Durchführung der Richtlinie gewonnenen Erfahrungen;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die in Artikel 18 genannten Daten und Informationen;</w:t>
      </w:r>
    </w:p>
    <w:p w:rsidR="001C2358" w:rsidRPr="009571FC" w:rsidRDefault="001C2358" w:rsidP="001C2358">
      <w:pPr>
        <w:spacing w:before="120" w:after="120" w:line="360" w:lineRule="auto"/>
        <w:ind w:left="1416" w:hanging="566"/>
        <w:rPr>
          <w:b/>
          <w:szCs w:val="24"/>
          <w:lang w:eastAsia="en-US"/>
        </w:rPr>
      </w:pPr>
      <w:r w:rsidRPr="001C2358">
        <w:rPr>
          <w:szCs w:val="24"/>
          <w:lang w:eastAsia="en-US"/>
        </w:rPr>
        <w:t>c)</w:t>
      </w:r>
      <w:r w:rsidRPr="001C2358">
        <w:rPr>
          <w:szCs w:val="24"/>
          <w:lang w:eastAsia="en-US"/>
        </w:rPr>
        <w:tab/>
        <w:t xml:space="preserve">relevante wissenschaftliche und analytische Daten, einschließlich der Ergebnisse von Forschungsprojekten, die von der Union </w:t>
      </w:r>
      <w:r w:rsidRPr="001C2358">
        <w:rPr>
          <w:b/>
          <w:i/>
          <w:szCs w:val="24"/>
          <w:lang w:eastAsia="en-US"/>
        </w:rPr>
        <w:t xml:space="preserve">und den Mitgliedstaaten </w:t>
      </w:r>
      <w:r w:rsidRPr="001C2358">
        <w:rPr>
          <w:szCs w:val="24"/>
          <w:lang w:eastAsia="en-US"/>
        </w:rPr>
        <w:t>finanziert wurden;</w:t>
      </w:r>
      <w:r w:rsidR="009571FC">
        <w:rPr>
          <w:b/>
          <w:szCs w:val="24"/>
          <w:lang w:eastAsia="en-US"/>
        </w:rPr>
        <w:t xml:space="preserve"> [Abänd. 187]</w:t>
      </w:r>
    </w:p>
    <w:p w:rsidR="001C2358" w:rsidRPr="009571FC" w:rsidRDefault="001C2358" w:rsidP="001C2358">
      <w:pPr>
        <w:spacing w:before="120" w:after="120" w:line="360" w:lineRule="auto"/>
        <w:ind w:left="1416" w:hanging="566"/>
        <w:rPr>
          <w:b/>
          <w:szCs w:val="24"/>
          <w:lang w:eastAsia="en-US"/>
        </w:rPr>
      </w:pPr>
      <w:r w:rsidRPr="001C2358">
        <w:rPr>
          <w:szCs w:val="24"/>
          <w:lang w:eastAsia="en-US"/>
        </w:rPr>
        <w:t>d)</w:t>
      </w:r>
      <w:r w:rsidRPr="001C2358">
        <w:rPr>
          <w:szCs w:val="24"/>
          <w:lang w:eastAsia="en-US"/>
        </w:rPr>
        <w:tab/>
        <w:t>eine Lückenanalyse</w:t>
      </w:r>
      <w:r w:rsidRPr="001C2358">
        <w:rPr>
          <w:b/>
          <w:i/>
          <w:szCs w:val="24"/>
          <w:lang w:eastAsia="en-US"/>
        </w:rPr>
        <w:t xml:space="preserve"> und die</w:t>
      </w:r>
      <w:r w:rsidRPr="001C2358">
        <w:rPr>
          <w:szCs w:val="24"/>
          <w:lang w:eastAsia="en-US"/>
        </w:rPr>
        <w:t xml:space="preserve"> im Hinblick auf die Erreichung gesunder Böden bis 2050</w:t>
      </w:r>
      <w:r w:rsidRPr="001C2358">
        <w:rPr>
          <w:b/>
          <w:i/>
          <w:szCs w:val="24"/>
          <w:lang w:eastAsia="en-US"/>
        </w:rPr>
        <w:t xml:space="preserve"> erforderlichen Maßnahmen</w:t>
      </w:r>
      <w:r w:rsidRPr="001C2358">
        <w:rPr>
          <w:szCs w:val="24"/>
          <w:lang w:eastAsia="en-US"/>
        </w:rPr>
        <w:t>;</w:t>
      </w:r>
      <w:r w:rsidR="009571FC">
        <w:rPr>
          <w:b/>
          <w:szCs w:val="24"/>
          <w:lang w:eastAsia="en-US"/>
        </w:rPr>
        <w:t xml:space="preserve"> [Abänd. 188]</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ind w:left="1416" w:hanging="566"/>
        <w:rPr>
          <w:szCs w:val="24"/>
          <w:lang w:eastAsia="en-US"/>
        </w:rPr>
      </w:pPr>
      <w:r w:rsidRPr="001C2358">
        <w:rPr>
          <w:szCs w:val="24"/>
          <w:lang w:eastAsia="en-US"/>
        </w:rPr>
        <w:lastRenderedPageBreak/>
        <w:t>e)</w:t>
      </w:r>
      <w:r w:rsidRPr="001C2358">
        <w:rPr>
          <w:szCs w:val="24"/>
          <w:lang w:eastAsia="en-US"/>
        </w:rPr>
        <w:tab/>
        <w:t>eine Analyse des möglichen Bedarfs einer Anpassung der Bestimmungen dieser Richtlinie an den wissenschaftlichen und technischen Fortschritt, insbesondere in Bezug auf folgende Punkte:</w:t>
      </w:r>
    </w:p>
    <w:p w:rsidR="001C2358" w:rsidRPr="001C2358" w:rsidRDefault="001C2358" w:rsidP="001C2358">
      <w:pPr>
        <w:spacing w:before="120" w:after="120" w:line="360" w:lineRule="auto"/>
        <w:ind w:left="1982" w:hanging="566"/>
        <w:rPr>
          <w:szCs w:val="24"/>
          <w:lang w:eastAsia="en-US"/>
        </w:rPr>
      </w:pPr>
      <w:r w:rsidRPr="001C2358">
        <w:rPr>
          <w:szCs w:val="24"/>
          <w:lang w:eastAsia="en-US"/>
        </w:rPr>
        <w:t>i)</w:t>
      </w:r>
      <w:r w:rsidRPr="001C2358">
        <w:rPr>
          <w:szCs w:val="24"/>
          <w:lang w:eastAsia="en-US"/>
        </w:rPr>
        <w:tab/>
        <w:t>die Definition gesunder Böden;</w:t>
      </w:r>
    </w:p>
    <w:p w:rsidR="001C2358" w:rsidRPr="009571FC" w:rsidRDefault="001C2358" w:rsidP="001C2358">
      <w:pPr>
        <w:spacing w:before="120" w:after="120" w:line="360" w:lineRule="auto"/>
        <w:ind w:left="1982" w:hanging="566"/>
        <w:rPr>
          <w:b/>
          <w:szCs w:val="24"/>
          <w:lang w:eastAsia="en-US"/>
        </w:rPr>
      </w:pPr>
      <w:r w:rsidRPr="001C2358">
        <w:rPr>
          <w:szCs w:val="24"/>
          <w:lang w:eastAsia="en-US"/>
        </w:rPr>
        <w:t>ii)</w:t>
      </w:r>
      <w:r w:rsidRPr="001C2358">
        <w:rPr>
          <w:szCs w:val="24"/>
          <w:lang w:eastAsia="en-US"/>
        </w:rPr>
        <w:tab/>
        <w:t xml:space="preserve">die Festlegung von Kriterien für die in Anhang I </w:t>
      </w:r>
      <w:r w:rsidRPr="001C2358">
        <w:rPr>
          <w:strike/>
          <w:szCs w:val="24"/>
          <w:lang w:eastAsia="en-US"/>
        </w:rPr>
        <w:t xml:space="preserve">Teil C </w:t>
      </w:r>
      <w:r w:rsidRPr="001C2358">
        <w:rPr>
          <w:szCs w:val="24"/>
          <w:lang w:eastAsia="en-US"/>
        </w:rPr>
        <w:t>aufgeführten Bodendeskriptoren;</w:t>
      </w:r>
      <w:r w:rsidR="009571FC">
        <w:rPr>
          <w:b/>
          <w:szCs w:val="24"/>
          <w:lang w:eastAsia="en-US"/>
        </w:rPr>
        <w:t xml:space="preserve"> [Abänd. 189]</w:t>
      </w:r>
    </w:p>
    <w:p w:rsidR="001C2358" w:rsidRPr="009571FC" w:rsidRDefault="001C2358" w:rsidP="001C2358">
      <w:pPr>
        <w:spacing w:before="120" w:after="120" w:line="360" w:lineRule="auto"/>
        <w:ind w:left="1982" w:hanging="566"/>
        <w:rPr>
          <w:b/>
          <w:szCs w:val="24"/>
          <w:lang w:eastAsia="en-US"/>
        </w:rPr>
      </w:pPr>
      <w:r w:rsidRPr="001C2358">
        <w:rPr>
          <w:szCs w:val="24"/>
          <w:lang w:eastAsia="en-US"/>
        </w:rPr>
        <w:t>iii)</w:t>
      </w:r>
      <w:r w:rsidRPr="001C2358">
        <w:rPr>
          <w:szCs w:val="24"/>
          <w:lang w:eastAsia="en-US"/>
        </w:rPr>
        <w:tab/>
        <w:t>zusätzliche Bodendeskriptoren für Überwachungszwecke</w:t>
      </w:r>
      <w:r w:rsidRPr="001C2358">
        <w:rPr>
          <w:strike/>
          <w:szCs w:val="24"/>
          <w:lang w:eastAsia="en-US"/>
        </w:rPr>
        <w:t>.</w:t>
      </w:r>
      <w:r w:rsidRPr="001C2358">
        <w:rPr>
          <w:b/>
          <w:i/>
          <w:szCs w:val="24"/>
          <w:lang w:eastAsia="en-US"/>
        </w:rPr>
        <w:t xml:space="preserve"> oder die Anpassung der bestehenden Bodendeskriptoren und Kriterien in Anhang I;</w:t>
      </w:r>
      <w:r w:rsidR="009571FC">
        <w:rPr>
          <w:b/>
          <w:szCs w:val="24"/>
          <w:lang w:eastAsia="en-US"/>
        </w:rPr>
        <w:t xml:space="preserve"> [Abänd. 190]</w:t>
      </w:r>
    </w:p>
    <w:p w:rsidR="001C2358" w:rsidRPr="009571FC" w:rsidRDefault="001C2358" w:rsidP="001C2358">
      <w:pPr>
        <w:spacing w:before="120" w:after="120" w:line="360" w:lineRule="auto"/>
        <w:ind w:left="1416" w:hanging="566"/>
        <w:rPr>
          <w:b/>
          <w:szCs w:val="24"/>
          <w:lang w:eastAsia="en-US"/>
        </w:rPr>
      </w:pPr>
      <w:r w:rsidRPr="001C2358">
        <w:rPr>
          <w:b/>
          <w:i/>
          <w:szCs w:val="24"/>
          <w:lang w:eastAsia="en-US"/>
        </w:rPr>
        <w:t>ea)</w:t>
      </w:r>
      <w:r w:rsidRPr="001C2358">
        <w:rPr>
          <w:szCs w:val="24"/>
          <w:lang w:eastAsia="en-US"/>
        </w:rPr>
        <w:tab/>
      </w:r>
      <w:r w:rsidRPr="001C2358">
        <w:rPr>
          <w:b/>
          <w:i/>
          <w:szCs w:val="24"/>
          <w:lang w:eastAsia="en-US"/>
        </w:rPr>
        <w:t>eine Analyse der von den Mitgliedstaaten im Rahmen dieser Richtlinie vorgesehenen Überwachungskonzepte und festgelegten Schwellenwerte;</w:t>
      </w:r>
      <w:r w:rsidR="009571FC">
        <w:rPr>
          <w:b/>
          <w:szCs w:val="24"/>
          <w:lang w:eastAsia="en-US"/>
        </w:rPr>
        <w:t xml:space="preserve"> [Abänd. 191]</w:t>
      </w:r>
    </w:p>
    <w:p w:rsidR="001C2358" w:rsidRPr="009571FC" w:rsidRDefault="001C2358" w:rsidP="001C2358">
      <w:pPr>
        <w:spacing w:before="120" w:after="120" w:line="360" w:lineRule="auto"/>
        <w:ind w:left="1416" w:hanging="566"/>
        <w:rPr>
          <w:b/>
          <w:szCs w:val="24"/>
          <w:lang w:eastAsia="en-US"/>
        </w:rPr>
      </w:pPr>
      <w:r w:rsidRPr="001C2358">
        <w:rPr>
          <w:b/>
          <w:i/>
          <w:szCs w:val="24"/>
          <w:lang w:eastAsia="en-US"/>
        </w:rPr>
        <w:t>eb)</w:t>
      </w:r>
      <w:r w:rsidRPr="001C2358">
        <w:rPr>
          <w:szCs w:val="24"/>
          <w:lang w:eastAsia="en-US"/>
        </w:rPr>
        <w:tab/>
      </w:r>
      <w:r w:rsidRPr="001C2358">
        <w:rPr>
          <w:b/>
          <w:i/>
          <w:szCs w:val="24"/>
          <w:lang w:eastAsia="en-US"/>
        </w:rPr>
        <w:t>die sozioökonomischen Auswirkungen dieser Richtlinie.</w:t>
      </w:r>
      <w:r w:rsidR="009571FC">
        <w:rPr>
          <w:b/>
          <w:szCs w:val="24"/>
          <w:lang w:eastAsia="en-US"/>
        </w:rPr>
        <w:t xml:space="preserve"> [Abänd. 192]</w:t>
      </w:r>
    </w:p>
    <w:p w:rsidR="001C2358" w:rsidRPr="009571FC" w:rsidRDefault="001C2358" w:rsidP="001C2358">
      <w:pPr>
        <w:spacing w:before="120" w:after="120" w:line="360" w:lineRule="auto"/>
        <w:ind w:left="850" w:hanging="850"/>
        <w:rPr>
          <w:b/>
          <w:szCs w:val="24"/>
          <w:lang w:eastAsia="en-US"/>
        </w:rPr>
      </w:pPr>
      <w:r w:rsidRPr="001C2358">
        <w:rPr>
          <w:szCs w:val="24"/>
          <w:lang w:eastAsia="en-US"/>
        </w:rPr>
        <w:t>(2)</w:t>
      </w:r>
      <w:r w:rsidRPr="001C2358">
        <w:rPr>
          <w:szCs w:val="24"/>
          <w:lang w:eastAsia="en-US"/>
        </w:rPr>
        <w:tab/>
        <w:t>Die Kommission legt dem Europäischen Parlament, dem Rat, dem Europäischen Wirtschafts- und Sozialausschuss und dem Ausschuss der Regionen einen Bericht über die wichtigsten Ergebnisse der in Absatz 1 genannten Bewertung vor</w:t>
      </w:r>
      <w:r w:rsidRPr="001C2358">
        <w:rPr>
          <w:b/>
          <w:i/>
          <w:szCs w:val="24"/>
          <w:lang w:eastAsia="en-US"/>
        </w:rPr>
        <w:t>, dem gegebenenfalls ein Legislativvorschlag beigefügt wird</w:t>
      </w:r>
      <w:r w:rsidRPr="001C2358">
        <w:rPr>
          <w:szCs w:val="24"/>
          <w:lang w:eastAsia="en-US"/>
        </w:rPr>
        <w:t>.</w:t>
      </w:r>
      <w:r w:rsidR="009571FC">
        <w:rPr>
          <w:b/>
          <w:szCs w:val="24"/>
          <w:lang w:eastAsia="en-US"/>
        </w:rPr>
        <w:t xml:space="preserve"> [Abänd. 193]</w:t>
      </w:r>
    </w:p>
    <w:p w:rsidR="009571FC" w:rsidRDefault="009571FC">
      <w:pPr>
        <w:widowControl/>
        <w:rPr>
          <w:b/>
          <w:i/>
          <w:szCs w:val="24"/>
          <w:lang w:eastAsia="en-US"/>
        </w:rPr>
      </w:pPr>
      <w:r>
        <w:rPr>
          <w:b/>
          <w:i/>
          <w:szCs w:val="24"/>
          <w:lang w:eastAsia="en-US"/>
        </w:rPr>
        <w:br w:type="page"/>
      </w:r>
    </w:p>
    <w:p w:rsidR="001C2358" w:rsidRPr="009571FC" w:rsidRDefault="001C2358" w:rsidP="001C2358">
      <w:pPr>
        <w:spacing w:before="120" w:after="120" w:line="360" w:lineRule="auto"/>
        <w:ind w:left="850" w:hanging="850"/>
        <w:rPr>
          <w:b/>
          <w:szCs w:val="24"/>
          <w:lang w:eastAsia="en-US"/>
        </w:rPr>
      </w:pPr>
      <w:r w:rsidRPr="001C2358">
        <w:rPr>
          <w:b/>
          <w:i/>
          <w:szCs w:val="24"/>
          <w:lang w:eastAsia="en-US"/>
        </w:rPr>
        <w:lastRenderedPageBreak/>
        <w:t>(2a)</w:t>
      </w:r>
      <w:r w:rsidRPr="001C2358">
        <w:rPr>
          <w:szCs w:val="24"/>
          <w:lang w:eastAsia="en-US"/>
        </w:rPr>
        <w:tab/>
      </w:r>
      <w:r w:rsidRPr="001C2358">
        <w:rPr>
          <w:b/>
          <w:i/>
          <w:szCs w:val="24"/>
          <w:lang w:eastAsia="en-US"/>
        </w:rPr>
        <w:t>Die Kommission erstattet ab dem ... [Amt für Veröffentlichungen: Bitte Datum einfügen = acht Jahre nach dem Datum des Inkrafttretens dieser Richtlinie] und anschließend alle fünf Jahre dem Europäischen Parlament und dem Rat Bericht über die Durchführung der vorliegenden Richtlinie, einschließlich der Maßnahmen, die die Mitgliedstaaten ergreifen müssen, um dieser Richtlinie nachzukommen. Der Bericht enthält eine Gesamtbewertung der Fortschritte, die bei der Erreichung gesunder Böden erzielt wurden.</w:t>
      </w:r>
      <w:r w:rsidR="009571FC">
        <w:rPr>
          <w:b/>
          <w:szCs w:val="24"/>
          <w:lang w:eastAsia="en-US"/>
        </w:rPr>
        <w:t xml:space="preserve"> [Abänd. 194]</w:t>
      </w:r>
    </w:p>
    <w:p w:rsidR="001C2358" w:rsidRPr="009571FC" w:rsidRDefault="001C2358" w:rsidP="001C2358">
      <w:pPr>
        <w:spacing w:before="120" w:after="120" w:line="360" w:lineRule="auto"/>
        <w:ind w:left="850" w:hanging="850"/>
        <w:rPr>
          <w:b/>
          <w:szCs w:val="24"/>
          <w:lang w:eastAsia="en-US"/>
        </w:rPr>
      </w:pPr>
      <w:r w:rsidRPr="001C2358">
        <w:rPr>
          <w:b/>
          <w:i/>
          <w:szCs w:val="24"/>
          <w:lang w:eastAsia="en-US"/>
        </w:rPr>
        <w:t>(2b)</w:t>
      </w:r>
      <w:r w:rsidRPr="001C2358">
        <w:rPr>
          <w:szCs w:val="24"/>
          <w:lang w:eastAsia="en-US"/>
        </w:rPr>
        <w:tab/>
      </w:r>
      <w:r w:rsidRPr="001C2358">
        <w:rPr>
          <w:b/>
          <w:i/>
          <w:szCs w:val="24"/>
          <w:lang w:eastAsia="en-US"/>
        </w:rPr>
        <w:t>Bis zum ... [Amt für Veröffentlichungen: bitte Datum einfügen = sechs Jahre nach dem Datum des Inkrafttretens dieser Richtlinie] bewertet die Kommission als Teil der im Rahmen der in Absatz 1 genannten Bewertung die in den Mitgliedstaaten gesammelten Informationen über das Auftreten, die Ausbreitung und die Werte von Bodenkontaminanten, um gegebenenfalls eine Liste prioritärer Stoffe, gefolgt von einer Überwachungsliste für Bodenkontaminanten, zu erstellen.</w:t>
      </w:r>
      <w:r w:rsidR="009571FC">
        <w:rPr>
          <w:b/>
          <w:szCs w:val="24"/>
          <w:lang w:eastAsia="en-US"/>
        </w:rPr>
        <w:t xml:space="preserve"> [Abänd. 195]</w:t>
      </w:r>
    </w:p>
    <w:p w:rsidR="009571FC" w:rsidRDefault="009571FC">
      <w:pPr>
        <w:widowControl/>
        <w:rPr>
          <w:b/>
          <w:i/>
          <w:szCs w:val="24"/>
          <w:lang w:eastAsia="en-US"/>
        </w:rPr>
      </w:pPr>
      <w:r>
        <w:rPr>
          <w:b/>
          <w:i/>
          <w:szCs w:val="24"/>
          <w:lang w:eastAsia="en-US"/>
        </w:rPr>
        <w:br w:type="page"/>
      </w:r>
    </w:p>
    <w:p w:rsidR="001C2358" w:rsidRPr="001C2358" w:rsidRDefault="001C2358" w:rsidP="001C2358">
      <w:pPr>
        <w:spacing w:before="120" w:after="120" w:line="360" w:lineRule="auto"/>
        <w:jc w:val="center"/>
        <w:rPr>
          <w:szCs w:val="24"/>
          <w:lang w:eastAsia="en-US"/>
        </w:rPr>
      </w:pPr>
      <w:r w:rsidRPr="001C2358">
        <w:rPr>
          <w:b/>
          <w:i/>
          <w:szCs w:val="24"/>
          <w:lang w:eastAsia="en-US"/>
        </w:rPr>
        <w:lastRenderedPageBreak/>
        <w:t>Artikel 24a</w:t>
      </w:r>
      <w:r w:rsidRPr="001C2358">
        <w:rPr>
          <w:szCs w:val="24"/>
          <w:lang w:eastAsia="en-US"/>
        </w:rPr>
        <w:br/>
      </w:r>
      <w:r w:rsidRPr="001C2358">
        <w:rPr>
          <w:b/>
          <w:i/>
          <w:szCs w:val="24"/>
          <w:lang w:eastAsia="en-US"/>
        </w:rPr>
        <w:t>Forum der EU-Bodenbeobachtungsstelle (EUSO)</w:t>
      </w:r>
    </w:p>
    <w:p w:rsidR="001C2358" w:rsidRPr="009571FC" w:rsidRDefault="001C2358" w:rsidP="001C2358">
      <w:pPr>
        <w:spacing w:before="120" w:after="120" w:line="360" w:lineRule="auto"/>
        <w:rPr>
          <w:b/>
          <w:szCs w:val="24"/>
          <w:lang w:eastAsia="en-US"/>
        </w:rPr>
      </w:pPr>
      <w:r w:rsidRPr="001C2358">
        <w:rPr>
          <w:b/>
          <w:i/>
          <w:szCs w:val="24"/>
          <w:lang w:eastAsia="en-US"/>
        </w:rPr>
        <w:t>Die Kommission erleichtert über das EUSO-Forum die regelmäßige Zusammenarbeit zwischen den Interessenträgern, einschließlich der zuständigen Behörden der Mitgliedstaaten auf allen relevanten Ebenen, der Industrie, der Zivilgesellschaft und der Wissenschaftsgemeinschaft. Das EUSO-Forum erleichtert die koordinierte Umsetzung des Unionsrechts und der politischen Maßnahmen der Union im Zusammenhang mit der Überwachung und der Verbesserung der Bodengesundheit, unter anderem durch den Austausch von Erfahrungen und bewährten Verfahren, auch in Bezug auf nachhaltige Bodenbewirtschaftungs- und ‑regenerationsverfahren, sowie durch den Austausch von Erfahrungen zu zu vermeidenden Bodenbewirtschaftungsmethoden.</w:t>
      </w:r>
      <w:r w:rsidR="009571FC">
        <w:rPr>
          <w:b/>
          <w:szCs w:val="24"/>
          <w:lang w:eastAsia="en-US"/>
        </w:rPr>
        <w:t xml:space="preserve"> [Abänd. 196]</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25</w:t>
      </w:r>
      <w:r w:rsidRPr="001C2358">
        <w:rPr>
          <w:szCs w:val="24"/>
          <w:lang w:eastAsia="en-US"/>
        </w:rPr>
        <w:br/>
        <w:t>Umsetzung</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Die Mitgliedstaaten setzen die Rechts- und Verwaltungsvorschriften in Kraft, die erforderlich sind, um dieser Richtlinie bis spätestens zum … [Amt für Veröffentlichungen: Bitte Datum einfügen: 2 Jahre nach Inkrafttreten dieser Richtlinie] nachzukommen. Sie teilen der Kommission unverzüglich den Wortlaut dieser Vorschriften mit.</w:t>
      </w:r>
    </w:p>
    <w:p w:rsidR="001C2358" w:rsidRPr="001C2358" w:rsidRDefault="001C2358" w:rsidP="001C2358">
      <w:pPr>
        <w:spacing w:before="120" w:after="120" w:line="360" w:lineRule="auto"/>
        <w:ind w:left="850"/>
        <w:rPr>
          <w:szCs w:val="24"/>
          <w:lang w:eastAsia="en-US"/>
        </w:rPr>
      </w:pPr>
      <w:r w:rsidRPr="001C2358">
        <w:rPr>
          <w:szCs w:val="24"/>
          <w:lang w:eastAsia="en-US"/>
        </w:rPr>
        <w:t>Bei Erlass dieser Vorschriften nehmen die Mitgliedstaaten in den Vorschriften selbst oder durch einen Hinweis bei der amtlichen Veröffentlichung auf diese Richtlinie Bezug. Die Mitgliedstaaten regeln die Einzelheiten dieser Bezugnahme.</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Die Mitgliedstaaten teilen der Kommission den Wortlaut der wichtigsten nationalen Rechtsvorschriften mit, die sie auf dem unter diese Richtlinie fallenden Gebiet erlassen.</w:t>
      </w:r>
    </w:p>
    <w:p w:rsidR="009571FC" w:rsidRDefault="009571FC">
      <w:pPr>
        <w:widowControl/>
        <w:rPr>
          <w:szCs w:val="24"/>
          <w:lang w:eastAsia="en-US"/>
        </w:rPr>
      </w:pPr>
      <w:r>
        <w:rPr>
          <w:szCs w:val="24"/>
          <w:lang w:eastAsia="en-US"/>
        </w:rPr>
        <w:br w:type="page"/>
      </w:r>
    </w:p>
    <w:p w:rsidR="001C2358" w:rsidRPr="001C2358" w:rsidRDefault="001C2358" w:rsidP="001C2358">
      <w:pPr>
        <w:spacing w:before="120" w:after="120" w:line="360" w:lineRule="auto"/>
        <w:jc w:val="center"/>
        <w:rPr>
          <w:szCs w:val="24"/>
          <w:lang w:eastAsia="en-US"/>
        </w:rPr>
      </w:pPr>
      <w:r w:rsidRPr="001C2358">
        <w:rPr>
          <w:szCs w:val="24"/>
          <w:lang w:eastAsia="en-US"/>
        </w:rPr>
        <w:lastRenderedPageBreak/>
        <w:t>Artikel 26</w:t>
      </w:r>
      <w:r w:rsidRPr="001C2358">
        <w:rPr>
          <w:szCs w:val="24"/>
          <w:lang w:eastAsia="en-US"/>
        </w:rPr>
        <w:br/>
        <w:t>Inkrafttreten</w:t>
      </w:r>
    </w:p>
    <w:p w:rsidR="001C2358" w:rsidRPr="001C2358" w:rsidRDefault="001C2358" w:rsidP="001C2358">
      <w:pPr>
        <w:spacing w:before="120" w:after="120" w:line="360" w:lineRule="auto"/>
        <w:rPr>
          <w:szCs w:val="24"/>
          <w:lang w:eastAsia="en-US"/>
        </w:rPr>
      </w:pPr>
      <w:r w:rsidRPr="001C2358">
        <w:rPr>
          <w:szCs w:val="24"/>
          <w:lang w:eastAsia="en-US"/>
        </w:rPr>
        <w:t xml:space="preserve">Diese Richtlinie tritt am zwanzigsten Tag nach ihrer Veröffentlichung im </w:t>
      </w:r>
      <w:r w:rsidRPr="009571FC">
        <w:rPr>
          <w:i/>
          <w:szCs w:val="24"/>
          <w:lang w:eastAsia="en-US"/>
        </w:rPr>
        <w:t>Amtsblatt der Europäischen Union</w:t>
      </w:r>
      <w:r w:rsidRPr="001C2358">
        <w:rPr>
          <w:szCs w:val="24"/>
          <w:lang w:eastAsia="en-US"/>
        </w:rPr>
        <w:t xml:space="preserve"> in Kraft.</w:t>
      </w:r>
    </w:p>
    <w:p w:rsidR="001C2358" w:rsidRPr="001C2358" w:rsidRDefault="001C2358" w:rsidP="001C2358">
      <w:pPr>
        <w:spacing w:before="120" w:after="120" w:line="360" w:lineRule="auto"/>
        <w:jc w:val="center"/>
        <w:rPr>
          <w:szCs w:val="24"/>
          <w:lang w:eastAsia="en-US"/>
        </w:rPr>
      </w:pPr>
      <w:r w:rsidRPr="001C2358">
        <w:rPr>
          <w:szCs w:val="24"/>
          <w:lang w:eastAsia="en-US"/>
        </w:rPr>
        <w:t>Artikel 27</w:t>
      </w:r>
      <w:r w:rsidRPr="001C2358">
        <w:rPr>
          <w:szCs w:val="24"/>
          <w:lang w:eastAsia="en-US"/>
        </w:rPr>
        <w:br/>
        <w:t>Adressaten</w:t>
      </w:r>
    </w:p>
    <w:p w:rsidR="001C2358" w:rsidRPr="001C2358" w:rsidRDefault="001C2358" w:rsidP="001C2358">
      <w:pPr>
        <w:spacing w:before="120" w:after="120" w:line="360" w:lineRule="auto"/>
        <w:rPr>
          <w:szCs w:val="24"/>
          <w:lang w:eastAsia="en-US"/>
        </w:rPr>
      </w:pPr>
      <w:r w:rsidRPr="001C2358">
        <w:rPr>
          <w:szCs w:val="24"/>
          <w:lang w:eastAsia="en-US"/>
        </w:rPr>
        <w:t>Diese Richtlinie ist an die Mitgliedstaaten gerichtet.</w:t>
      </w:r>
    </w:p>
    <w:p w:rsidR="001C2358" w:rsidRPr="001C2358" w:rsidRDefault="001C2358" w:rsidP="001C2358">
      <w:pPr>
        <w:keepNext/>
        <w:widowControl/>
        <w:spacing w:before="120" w:line="360" w:lineRule="auto"/>
        <w:rPr>
          <w:szCs w:val="24"/>
          <w:lang w:eastAsia="en-US"/>
        </w:rPr>
      </w:pPr>
      <w:r w:rsidRPr="001C2358">
        <w:rPr>
          <w:szCs w:val="24"/>
          <w:lang w:eastAsia="en-US"/>
        </w:rPr>
        <w:t xml:space="preserve">Geschehen zu </w:t>
      </w:r>
      <w:r w:rsidR="00BE35CB">
        <w:rPr>
          <w:szCs w:val="24"/>
          <w:lang w:eastAsia="en-US"/>
        </w:rPr>
        <w:t>…</w:t>
      </w:r>
      <w:r w:rsidRPr="001C2358">
        <w:rPr>
          <w:szCs w:val="24"/>
          <w:lang w:eastAsia="en-US"/>
        </w:rPr>
        <w:t xml:space="preserve"> am […]</w:t>
      </w:r>
    </w:p>
    <w:p w:rsidR="001C2358" w:rsidRPr="001C2358" w:rsidRDefault="001C2358" w:rsidP="001C2358">
      <w:pPr>
        <w:keepNext/>
        <w:widowControl/>
        <w:tabs>
          <w:tab w:val="left" w:pos="4252"/>
        </w:tabs>
        <w:spacing w:before="720" w:after="100" w:line="360" w:lineRule="auto"/>
        <w:jc w:val="both"/>
        <w:rPr>
          <w:i/>
          <w:szCs w:val="24"/>
          <w:lang w:eastAsia="en-US"/>
        </w:rPr>
      </w:pPr>
      <w:r w:rsidRPr="001C2358">
        <w:rPr>
          <w:i/>
          <w:szCs w:val="24"/>
          <w:lang w:eastAsia="en-US"/>
        </w:rPr>
        <w:t>Im Namen des Europäischen Parlaments</w:t>
      </w:r>
      <w:r w:rsidRPr="001C2358">
        <w:rPr>
          <w:i/>
          <w:szCs w:val="24"/>
          <w:lang w:eastAsia="en-US"/>
        </w:rPr>
        <w:tab/>
        <w:t>Im Namen des Rates</w:t>
      </w:r>
    </w:p>
    <w:p w:rsidR="001C2358" w:rsidRPr="001C2358" w:rsidRDefault="001C2358" w:rsidP="001C2358">
      <w:pPr>
        <w:widowControl/>
        <w:tabs>
          <w:tab w:val="left" w:pos="4252"/>
        </w:tabs>
        <w:spacing w:line="360" w:lineRule="auto"/>
        <w:rPr>
          <w:i/>
          <w:szCs w:val="24"/>
          <w:lang w:eastAsia="en-US"/>
        </w:rPr>
      </w:pPr>
      <w:r w:rsidRPr="001C2358">
        <w:rPr>
          <w:i/>
          <w:szCs w:val="24"/>
          <w:lang w:eastAsia="en-US"/>
        </w:rPr>
        <w:t>Die Präsidentin</w:t>
      </w:r>
      <w:r w:rsidRPr="001C2358">
        <w:rPr>
          <w:i/>
          <w:szCs w:val="24"/>
          <w:lang w:eastAsia="en-US"/>
        </w:rPr>
        <w:tab/>
        <w:t>Der Präsident/Die Präsidentin</w:t>
      </w:r>
    </w:p>
    <w:p w:rsidR="001C2358" w:rsidRPr="001C2358" w:rsidRDefault="001C2358" w:rsidP="001C2358">
      <w:pPr>
        <w:spacing w:before="120" w:after="120" w:line="360" w:lineRule="auto"/>
        <w:rPr>
          <w:szCs w:val="24"/>
          <w:lang w:eastAsia="en-US"/>
        </w:rPr>
        <w:sectPr w:rsidR="001C2358" w:rsidRPr="001C2358">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1C2358" w:rsidRPr="001C2358" w:rsidRDefault="001C2358" w:rsidP="001C2358">
      <w:pPr>
        <w:spacing w:before="120" w:after="120" w:line="360" w:lineRule="auto"/>
        <w:rPr>
          <w:szCs w:val="24"/>
          <w:lang w:eastAsia="en-US"/>
        </w:rPr>
      </w:pPr>
    </w:p>
    <w:p w:rsidR="001C2358" w:rsidRPr="001C2358" w:rsidRDefault="001C2358" w:rsidP="001C2358">
      <w:pPr>
        <w:spacing w:before="120" w:after="120" w:line="360" w:lineRule="auto"/>
        <w:jc w:val="center"/>
        <w:rPr>
          <w:lang w:eastAsia="en-US"/>
        </w:rPr>
      </w:pPr>
      <w:r w:rsidRPr="001C2358">
        <w:rPr>
          <w:lang w:eastAsia="en-US"/>
        </w:rPr>
        <w:t>ANHANG I</w:t>
      </w:r>
    </w:p>
    <w:p w:rsidR="001C2358" w:rsidRPr="009571FC" w:rsidRDefault="001C2358" w:rsidP="001C2358">
      <w:pPr>
        <w:spacing w:before="120" w:after="120" w:line="360" w:lineRule="auto"/>
        <w:jc w:val="center"/>
        <w:rPr>
          <w:b/>
          <w:szCs w:val="24"/>
          <w:lang w:eastAsia="en-US"/>
        </w:rPr>
      </w:pPr>
      <w:r w:rsidRPr="001C2358">
        <w:rPr>
          <w:szCs w:val="24"/>
          <w:lang w:eastAsia="en-US"/>
        </w:rPr>
        <w:t> </w:t>
      </w:r>
      <w:r w:rsidRPr="001C2358">
        <w:rPr>
          <w:szCs w:val="24"/>
          <w:lang w:eastAsia="en-US"/>
        </w:rPr>
        <w:br/>
        <w:t xml:space="preserve">BODENDESKRIPTOREN, KRITERIEN </w:t>
      </w:r>
      <w:r w:rsidRPr="001C2358">
        <w:rPr>
          <w:strike/>
          <w:szCs w:val="24"/>
          <w:lang w:eastAsia="en-US"/>
        </w:rPr>
        <w:t>FÜR EINEN GESUNDEN BODENZUSTAND,</w:t>
      </w:r>
      <w:r w:rsidRPr="001C2358">
        <w:rPr>
          <w:b/>
          <w:i/>
          <w:szCs w:val="24"/>
          <w:lang w:eastAsia="en-US"/>
        </w:rPr>
        <w:t>UND METHODEN ZUR BESTIMMUNG DES ÖKOLOGISCHEN ZUSTANDS DES BODENS SOWIE</w:t>
      </w:r>
      <w:r w:rsidRPr="001C2358">
        <w:rPr>
          <w:szCs w:val="24"/>
          <w:lang w:eastAsia="en-US"/>
        </w:rPr>
        <w:t xml:space="preserve"> INDIKATOREN FÜR FLÄCHENVERBRAUCH UND BODENVERSIEGELUNG</w:t>
      </w:r>
      <w:r w:rsidR="009571FC">
        <w:rPr>
          <w:b/>
          <w:szCs w:val="24"/>
          <w:lang w:eastAsia="en-US"/>
        </w:rPr>
        <w:t xml:space="preserve"> [Abänd. 197]</w:t>
      </w:r>
    </w:p>
    <w:p w:rsidR="001C2358" w:rsidRPr="001C2358" w:rsidRDefault="001C2358" w:rsidP="001C2358">
      <w:pPr>
        <w:spacing w:before="120" w:after="120" w:line="360" w:lineRule="auto"/>
        <w:rPr>
          <w:szCs w:val="24"/>
          <w:lang w:eastAsia="en-US"/>
        </w:rPr>
      </w:pPr>
      <w:r w:rsidRPr="001C2358">
        <w:rPr>
          <w:szCs w:val="24"/>
          <w:lang w:eastAsia="en-US"/>
        </w:rPr>
        <w:t>Für die Zwecke dieses Anhangs bezeichnet der Ausdruck</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„Flächenrenaturierung“ die Umwandlung künstlich angelegter Flächen in natürliche oder naturnahe Flächen;</w:t>
      </w:r>
    </w:p>
    <w:p w:rsid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„Netto-Flächenverbrauch“ das Ergebnis aus Flächenverbrauch minus Flächenrenaturierung.</w:t>
      </w:r>
    </w:p>
    <w:tbl>
      <w:tblPr>
        <w:tblStyle w:val="TableGrid1"/>
        <w:tblW w:w="9289" w:type="dxa"/>
        <w:tblLayout w:type="fixed"/>
        <w:tblLook w:val="04A0" w:firstRow="1" w:lastRow="0" w:firstColumn="1" w:lastColumn="0" w:noHBand="0" w:noVBand="1"/>
      </w:tblPr>
      <w:tblGrid>
        <w:gridCol w:w="2235"/>
        <w:gridCol w:w="2126"/>
        <w:gridCol w:w="2835"/>
        <w:gridCol w:w="2093"/>
      </w:tblGrid>
      <w:tr w:rsidR="009571FC" w:rsidRPr="009571FC" w:rsidTr="009571FC">
        <w:trPr>
          <w:trHeight w:val="300"/>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b/>
                <w:strike/>
                <w:noProof/>
              </w:rPr>
              <w:lastRenderedPageBreak/>
              <w:t>Art der Bodendegradation</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b/>
                <w:strike/>
                <w:noProof/>
              </w:rPr>
              <w:t>Bodendeskriptor</w:t>
            </w: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b/>
                <w:strike/>
                <w:noProof/>
              </w:rPr>
              <w:t xml:space="preserve">Kriterien für einen gesunden Bodenzustand </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b/>
                <w:strike/>
                <w:noProof/>
              </w:rPr>
              <w:t>Von der Erfüllung des entsprechenden Kriteriums ausgenommene Landflächen</w:t>
            </w:r>
          </w:p>
        </w:tc>
      </w:tr>
      <w:tr w:rsidR="009571FC" w:rsidRPr="009571FC" w:rsidTr="009571FC">
        <w:trPr>
          <w:trHeight w:val="300"/>
          <w:tblHeader/>
        </w:trPr>
        <w:tc>
          <w:tcPr>
            <w:tcW w:w="9289" w:type="dxa"/>
            <w:gridSpan w:val="4"/>
            <w:tcBorders>
              <w:top w:val="single" w:sz="4" w:space="0" w:color="auto"/>
              <w:left w:val="single" w:sz="4" w:space="0" w:color="auto"/>
              <w:bottom w:val="single" w:sz="4" w:space="0" w:color="auto"/>
              <w:right w:val="single" w:sz="4" w:space="0" w:color="auto"/>
            </w:tcBorders>
          </w:tcPr>
          <w:p w:rsidR="009571FC" w:rsidRPr="009571FC" w:rsidRDefault="009571FC" w:rsidP="009571FC">
            <w:pPr>
              <w:spacing w:before="120" w:after="120"/>
              <w:rPr>
                <w:rFonts w:ascii="Times New Roman" w:hAnsi="Times New Roman" w:cs="Times New Roman"/>
                <w:b/>
                <w:i/>
                <w:strike/>
                <w:noProof/>
              </w:rPr>
            </w:pPr>
            <w:r w:rsidRPr="009571FC">
              <w:rPr>
                <w:rFonts w:ascii="Times New Roman" w:hAnsi="Times New Roman" w:cs="Times New Roman"/>
                <w:b/>
                <w:i/>
                <w:strike/>
                <w:noProof/>
              </w:rPr>
              <w:t>Teil A: Bodendeskriptoren mit unionsweiten Kriterien für einen gesunden Bodenzustand</w:t>
            </w:r>
          </w:p>
        </w:tc>
      </w:tr>
      <w:tr w:rsidR="009571FC" w:rsidRPr="009571FC" w:rsidTr="009571FC">
        <w:trPr>
          <w:trHeight w:val="300"/>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Versalzung</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strike/>
                <w:noProof/>
              </w:rPr>
              <w:t>Elektrische Leitfähigkeit (in Dezi-Siemens pro Meter)</w:t>
            </w: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strike/>
                <w:noProof/>
              </w:rPr>
              <w:t>&lt; 4 dS m</w:t>
            </w:r>
            <w:r w:rsidRPr="009571FC">
              <w:rPr>
                <w:rFonts w:ascii="Times New Roman" w:hAnsi="Times New Roman" w:cs="Times New Roman"/>
                <w:strike/>
                <w:noProof/>
                <w:vertAlign w:val="superscript"/>
              </w:rPr>
              <w:t>−1</w:t>
            </w:r>
            <w:r w:rsidRPr="009571FC">
              <w:rPr>
                <w:rFonts w:ascii="Times New Roman" w:hAnsi="Times New Roman" w:cs="Times New Roman"/>
                <w:strike/>
                <w:noProof/>
              </w:rPr>
              <w:t xml:space="preserve"> bei Messung anhand gesättigter Bodenpaste (Bodensättigungsextrakt, eEC) oder gleichwertiges Kriterium bei Verwendung anderer Messmethoden</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xml:space="preserve">Natürliche Salzflächen; </w:t>
            </w: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Bodenflächen, die direkt vom Anstieg des Meeresspiegels betroffen sind</w:t>
            </w:r>
          </w:p>
        </w:tc>
      </w:tr>
      <w:tr w:rsidR="009571FC" w:rsidRPr="009571FC" w:rsidTr="009571FC">
        <w:trPr>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Bodenerosion</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Bodenerosionsrate</w:t>
            </w: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(in Tonnen pro Hektar und Jahr)</w:t>
            </w: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strike/>
                <w:noProof/>
              </w:rPr>
              <w:t>≤ 2 t ha</w:t>
            </w:r>
            <w:r w:rsidRPr="009571FC">
              <w:rPr>
                <w:rFonts w:ascii="Times New Roman" w:hAnsi="Times New Roman" w:cs="Times New Roman"/>
                <w:strike/>
                <w:noProof/>
                <w:vertAlign w:val="superscript"/>
              </w:rPr>
              <w:t>-1</w:t>
            </w:r>
            <w:r w:rsidRPr="009571FC">
              <w:rPr>
                <w:rFonts w:ascii="Times New Roman" w:hAnsi="Times New Roman" w:cs="Times New Roman"/>
                <w:strike/>
                <w:noProof/>
              </w:rPr>
              <w:t> a</w:t>
            </w:r>
            <w:r w:rsidRPr="009571FC">
              <w:rPr>
                <w:rFonts w:ascii="Times New Roman" w:hAnsi="Times New Roman" w:cs="Times New Roman"/>
                <w:strike/>
                <w:noProof/>
                <w:vertAlign w:val="superscript"/>
              </w:rPr>
              <w:t>-1</w:t>
            </w:r>
            <w:r w:rsidRPr="009571FC">
              <w:rPr>
                <w:rFonts w:ascii="Times New Roman" w:hAnsi="Times New Roman" w:cs="Times New Roman"/>
                <w:strike/>
                <w:noProof/>
              </w:rPr>
              <w:t xml:space="preserve"> </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strike/>
                <w:noProof/>
              </w:rPr>
            </w:pPr>
            <w:r w:rsidRPr="009571FC">
              <w:rPr>
                <w:rFonts w:ascii="Times New Roman" w:hAnsi="Times New Roman" w:cs="Times New Roman"/>
                <w:strike/>
                <w:noProof/>
              </w:rPr>
              <w:t>Unland und andere nicht bewirtschaftete natürliche Flächen, es sei denn, sie bergen ein wesentliches Katastrophenrisiko</w:t>
            </w:r>
          </w:p>
        </w:tc>
      </w:tr>
      <w:tr w:rsidR="009571FC" w:rsidRPr="009571FC" w:rsidTr="009571FC">
        <w:trPr>
          <w:tblHeader/>
        </w:trPr>
        <w:tc>
          <w:tcPr>
            <w:tcW w:w="2235" w:type="dxa"/>
            <w:vMerge w:val="restart"/>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Verlust von organischem Kohlenstoff im Boden</w:t>
            </w:r>
          </w:p>
        </w:tc>
        <w:tc>
          <w:tcPr>
            <w:tcW w:w="2126" w:type="dxa"/>
            <w:vMerge w:val="restart"/>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Konzentration an organischem Kohlenstoff im Boden (g pro kg)</w:t>
            </w:r>
          </w:p>
          <w:p w:rsidR="009571FC" w:rsidRPr="009571FC" w:rsidRDefault="009571FC" w:rsidP="009571FC">
            <w:pPr>
              <w:spacing w:before="120" w:after="120"/>
              <w:rPr>
                <w:rFonts w:ascii="Times New Roman" w:hAnsi="Times New Roman" w:cs="Times New Roman"/>
                <w:strike/>
                <w:noProof/>
              </w:rPr>
            </w:pP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Organische Böden: Einhaltung der nationalen Zielvorgaben für diese Böden gemäß Artikel 4 Absätze 1 und 2 und Artikel 9 Absatz 4 der Verordnung (EU) …/…</w:t>
            </w:r>
            <w:r w:rsidRPr="009571FC">
              <w:rPr>
                <w:rFonts w:ascii="Times New Roman" w:hAnsi="Times New Roman" w:cs="Times New Roman"/>
                <w:strike/>
                <w:noProof/>
                <w:vertAlign w:val="superscript"/>
              </w:rPr>
              <w:footnoteReference w:customMarkFollows="1" w:id="58"/>
              <w:t>+</w:t>
            </w:r>
            <w:r w:rsidRPr="009571FC">
              <w:rPr>
                <w:rFonts w:ascii="Times New Roman" w:hAnsi="Times New Roman" w:cs="Times New Roman"/>
                <w:strike/>
                <w:noProof/>
              </w:rPr>
              <w:t xml:space="preserve"> </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Keine Ausnahmen</w:t>
            </w:r>
          </w:p>
        </w:tc>
      </w:tr>
      <w:tr w:rsidR="009571FC" w:rsidRPr="009571FC" w:rsidTr="009571FC">
        <w:trPr>
          <w:tblHeader/>
        </w:trPr>
        <w:tc>
          <w:tcPr>
            <w:tcW w:w="2235" w:type="dxa"/>
            <w:vMerge/>
            <w:vAlign w:val="center"/>
            <w:hideMark/>
          </w:tcPr>
          <w:p w:rsidR="009571FC" w:rsidRPr="009571FC" w:rsidRDefault="009571FC" w:rsidP="009571FC">
            <w:pPr>
              <w:spacing w:before="120" w:after="120"/>
              <w:rPr>
                <w:rFonts w:ascii="Times New Roman" w:hAnsi="Times New Roman" w:cs="Times New Roman"/>
                <w:strike/>
                <w:noProof/>
              </w:rPr>
            </w:pPr>
          </w:p>
        </w:tc>
        <w:tc>
          <w:tcPr>
            <w:tcW w:w="2126" w:type="dxa"/>
            <w:vMerge/>
            <w:vAlign w:val="center"/>
            <w:hideMark/>
          </w:tcPr>
          <w:p w:rsidR="009571FC" w:rsidRPr="009571FC" w:rsidRDefault="009571FC" w:rsidP="009571FC">
            <w:pPr>
              <w:spacing w:before="120" w:after="120"/>
              <w:rPr>
                <w:rFonts w:ascii="Times New Roman" w:hAnsi="Times New Roman" w:cs="Times New Roman"/>
                <w:strike/>
                <w:noProof/>
              </w:rPr>
            </w:pP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xml:space="preserve">- Mineralböden: Verhältnis organischer Kohlenstoff im Boden/Ton &gt; 1/13 </w:t>
            </w: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Die Mitgliedstaaten können einen Korrekturfaktor anwenden, wenn bestimmte Bodentypen oder klimatische Bedingungen dies rechtfertigen, und berücksichtigen dabei den tatsächlichen Gehalt an organischem Kohlenstoff im Boden von Dauergrünland</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Nicht bewirtschaftete Böden auf natürlichen Flächen</w:t>
            </w:r>
          </w:p>
        </w:tc>
      </w:tr>
      <w:tr w:rsidR="009571FC" w:rsidRPr="009571FC" w:rsidTr="009571FC">
        <w:trPr>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lastRenderedPageBreak/>
              <w:t>Unterboden</w:t>
            </w:r>
            <w:r w:rsidRPr="009571FC">
              <w:rPr>
                <w:rFonts w:ascii="Times New Roman" w:hAnsi="Times New Roman" w:cs="Times New Roman"/>
                <w:strike/>
                <w:noProof/>
              </w:rPr>
              <w:softHyphen/>
              <w:t>verdichtung</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xml:space="preserve">Lagerungsdichte im Unterboden (oberer Bereich </w:t>
            </w:r>
            <w:r w:rsidRPr="009571FC">
              <w:rPr>
                <w:rFonts w:ascii="Times New Roman" w:hAnsi="Times New Roman" w:cs="Times New Roman"/>
                <w:strike/>
                <w:noProof/>
              </w:rPr>
              <w:br/>
              <w:t xml:space="preserve">des B- oder </w:t>
            </w:r>
            <w:r w:rsidRPr="009571FC">
              <w:rPr>
                <w:rFonts w:ascii="Times New Roman" w:hAnsi="Times New Roman" w:cs="Times New Roman"/>
                <w:strike/>
                <w:noProof/>
              </w:rPr>
              <w:br/>
              <w:t>E-Horizonts</w:t>
            </w:r>
            <w:r w:rsidRPr="009571FC">
              <w:rPr>
                <w:rFonts w:ascii="Times New Roman" w:hAnsi="Times New Roman" w:cs="Times New Roman"/>
                <w:strike/>
                <w:noProof/>
                <w:vertAlign w:val="superscript"/>
              </w:rPr>
              <w:footnoteReference w:id="59"/>
            </w:r>
            <w:r w:rsidRPr="009571FC">
              <w:rPr>
                <w:rFonts w:ascii="Times New Roman" w:hAnsi="Times New Roman" w:cs="Times New Roman"/>
                <w:strike/>
                <w:noProof/>
              </w:rPr>
              <w:t>); die Mitgliedstaaten können diesen Deskriptor durch einen gleichwertigen Parameter ersetzen (g pro cm</w:t>
            </w:r>
            <w:r w:rsidRPr="009571FC">
              <w:rPr>
                <w:rFonts w:ascii="Times New Roman" w:hAnsi="Times New Roman" w:cs="Times New Roman"/>
                <w:strike/>
                <w:noProof/>
                <w:vertAlign w:val="superscript"/>
              </w:rPr>
              <w:t>3</w:t>
            </w:r>
            <w:r w:rsidRPr="009571FC">
              <w:rPr>
                <w:rFonts w:ascii="Times New Roman" w:hAnsi="Times New Roman" w:cs="Times New Roman"/>
                <w:strike/>
                <w:noProof/>
              </w:rPr>
              <w:t>)</w:t>
            </w:r>
          </w:p>
        </w:tc>
        <w:tc>
          <w:tcPr>
            <w:tcW w:w="2835" w:type="dxa"/>
            <w:tcBorders>
              <w:top w:val="single" w:sz="4" w:space="0" w:color="auto"/>
              <w:left w:val="single" w:sz="4" w:space="0" w:color="auto"/>
              <w:bottom w:val="single" w:sz="4" w:space="0" w:color="auto"/>
              <w:right w:val="single" w:sz="4" w:space="0" w:color="auto"/>
            </w:tcBorders>
          </w:tcPr>
          <w:tbl>
            <w:tblPr>
              <w:tblStyle w:val="TableGrid1"/>
              <w:tblW w:w="2587" w:type="dxa"/>
              <w:tblLayout w:type="fixed"/>
              <w:tblLook w:val="04A0" w:firstRow="1" w:lastRow="0" w:firstColumn="1" w:lastColumn="0" w:noHBand="0" w:noVBand="1"/>
            </w:tblPr>
            <w:tblGrid>
              <w:gridCol w:w="1595"/>
              <w:gridCol w:w="992"/>
            </w:tblGrid>
            <w:tr w:rsidR="009571FC" w:rsidRPr="009571FC" w:rsidTr="009571FC">
              <w:trPr>
                <w:trHeight w:val="300"/>
              </w:trPr>
              <w:tc>
                <w:tcPr>
                  <w:tcW w:w="159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Bodentextur</w:t>
                  </w:r>
                  <w:r w:rsidRPr="009571FC">
                    <w:rPr>
                      <w:rFonts w:ascii="Times New Roman" w:hAnsi="Times New Roman" w:cs="Times New Roman"/>
                      <w:strike/>
                      <w:noProof/>
                      <w:vertAlign w:val="superscript"/>
                    </w:rPr>
                    <w:footnoteReference w:id="60"/>
                  </w:r>
                </w:p>
              </w:tc>
              <w:tc>
                <w:tcPr>
                  <w:tcW w:w="992"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Bereich</w:t>
                  </w:r>
                </w:p>
              </w:tc>
            </w:tr>
            <w:tr w:rsidR="009571FC" w:rsidRPr="009571FC" w:rsidTr="009571FC">
              <w:trPr>
                <w:trHeight w:val="300"/>
              </w:trPr>
              <w:tc>
                <w:tcPr>
                  <w:tcW w:w="159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Sand, Lehmsand, sandiger Lehm, Lehm</w:t>
                  </w:r>
                </w:p>
              </w:tc>
              <w:tc>
                <w:tcPr>
                  <w:tcW w:w="992"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&lt; 1,80</w:t>
                  </w:r>
                </w:p>
              </w:tc>
            </w:tr>
            <w:tr w:rsidR="009571FC" w:rsidRPr="009571FC" w:rsidTr="009571FC">
              <w:trPr>
                <w:trHeight w:val="300"/>
              </w:trPr>
              <w:tc>
                <w:tcPr>
                  <w:tcW w:w="159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Sandig-toniger Lehm, Lehm, toniger Lehm, Schluff, schluffiger Lehm</w:t>
                  </w:r>
                </w:p>
              </w:tc>
              <w:tc>
                <w:tcPr>
                  <w:tcW w:w="992"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&lt; 1,75</w:t>
                  </w:r>
                </w:p>
              </w:tc>
            </w:tr>
            <w:tr w:rsidR="009571FC" w:rsidRPr="009571FC" w:rsidTr="009571FC">
              <w:trPr>
                <w:trHeight w:val="300"/>
              </w:trPr>
              <w:tc>
                <w:tcPr>
                  <w:tcW w:w="159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Schluffiger Lehm, schluffig-toniger Lehm</w:t>
                  </w:r>
                </w:p>
              </w:tc>
              <w:tc>
                <w:tcPr>
                  <w:tcW w:w="992"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&lt; 1,65</w:t>
                  </w:r>
                </w:p>
              </w:tc>
            </w:tr>
            <w:tr w:rsidR="009571FC" w:rsidRPr="009571FC" w:rsidTr="009571FC">
              <w:trPr>
                <w:trHeight w:val="300"/>
              </w:trPr>
              <w:tc>
                <w:tcPr>
                  <w:tcW w:w="159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xml:space="preserve">Sandiger Ton, schluffiger Ton, toniger Lehm mit </w:t>
                  </w:r>
                  <w:r w:rsidRPr="009571FC">
                    <w:rPr>
                      <w:rFonts w:ascii="Times New Roman" w:hAnsi="Times New Roman" w:cs="Times New Roman"/>
                      <w:strike/>
                      <w:noProof/>
                    </w:rPr>
                    <w:br/>
                    <w:t>35-45 % Ton</w:t>
                  </w:r>
                </w:p>
              </w:tc>
              <w:tc>
                <w:tcPr>
                  <w:tcW w:w="992"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&lt; 1,58</w:t>
                  </w:r>
                </w:p>
              </w:tc>
            </w:tr>
            <w:tr w:rsidR="009571FC" w:rsidRPr="009571FC" w:rsidTr="009571FC">
              <w:trPr>
                <w:trHeight w:val="300"/>
              </w:trPr>
              <w:tc>
                <w:tcPr>
                  <w:tcW w:w="159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Ton</w:t>
                  </w:r>
                </w:p>
              </w:tc>
              <w:tc>
                <w:tcPr>
                  <w:tcW w:w="992"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&lt; 1,47</w:t>
                  </w:r>
                </w:p>
              </w:tc>
            </w:tr>
          </w:tbl>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Ersetzt ein Mitgliedstaat den Bodendeskriptor „Lagerungsdichte im Unterboden“ durch einen gleichwertigen Parameter, so führt er für den betreffenden Bodendeskriptor ein Kriterium für einen gesunden Bodenzustand ein, das dem Kriterium für die „Lagerungsdichte im Unterboden“ entspricht.</w:t>
            </w:r>
          </w:p>
        </w:tc>
        <w:tc>
          <w:tcPr>
            <w:tcW w:w="2093" w:type="dxa"/>
            <w:tcBorders>
              <w:top w:val="single" w:sz="4" w:space="0" w:color="auto"/>
              <w:left w:val="single" w:sz="4" w:space="0" w:color="auto"/>
              <w:bottom w:val="single" w:sz="4" w:space="0" w:color="auto"/>
              <w:right w:val="single" w:sz="4" w:space="0" w:color="auto"/>
            </w:tcBorders>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Nicht bewirtschaftete Böden auf natürlichen Flächen</w:t>
            </w: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p w:rsidR="009571FC" w:rsidRPr="009571FC" w:rsidRDefault="009571FC" w:rsidP="009571FC">
            <w:pPr>
              <w:spacing w:before="120" w:after="120"/>
              <w:rPr>
                <w:rFonts w:ascii="Times New Roman" w:hAnsi="Times New Roman" w:cs="Times New Roman"/>
                <w:strike/>
                <w:noProof/>
              </w:rPr>
            </w:pPr>
          </w:p>
        </w:tc>
      </w:tr>
    </w:tbl>
    <w:tbl>
      <w:tblPr>
        <w:tblStyle w:val="TableGrid"/>
        <w:tblW w:w="9209" w:type="dxa"/>
        <w:tblLook w:val="04A0" w:firstRow="1" w:lastRow="0" w:firstColumn="1" w:lastColumn="0" w:noHBand="0" w:noVBand="1"/>
      </w:tblPr>
      <w:tblGrid>
        <w:gridCol w:w="2454"/>
        <w:gridCol w:w="3058"/>
        <w:gridCol w:w="2075"/>
        <w:gridCol w:w="1622"/>
      </w:tblGrid>
      <w:tr w:rsidR="009571FC" w:rsidRPr="00037CF2" w:rsidTr="009571FC">
        <w:tc>
          <w:tcPr>
            <w:tcW w:w="9209"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lastRenderedPageBreak/>
              <w:t>Teil A: Bodenüberwachungskonzepte der Stufe </w:t>
            </w:r>
            <w:r w:rsidRPr="00966B50">
              <w:rPr>
                <w:b/>
                <w:i/>
                <w:sz w:val="22"/>
              </w:rPr>
              <w:t>1</w:t>
            </w:r>
          </w:p>
          <w:p w:rsidR="009571FC" w:rsidRPr="00037CF2" w:rsidRDefault="009571FC" w:rsidP="009571FC">
            <w:pPr>
              <w:widowControl/>
              <w:spacing w:before="120"/>
              <w:jc w:val="both"/>
              <w:rPr>
                <w:b/>
                <w:bCs/>
                <w:i/>
                <w:sz w:val="22"/>
                <w:szCs w:val="22"/>
              </w:rPr>
            </w:pPr>
            <w:r w:rsidRPr="00037CF2">
              <w:rPr>
                <w:b/>
                <w:i/>
                <w:sz w:val="22"/>
              </w:rPr>
              <w:t>Ein Mitgliedstaat kommt für ein Bodenüberwachungskonzept der Stufe </w:t>
            </w:r>
            <w:r w:rsidRPr="00966B50">
              <w:rPr>
                <w:b/>
                <w:i/>
                <w:sz w:val="22"/>
              </w:rPr>
              <w:t>1</w:t>
            </w:r>
            <w:r w:rsidRPr="00037CF2">
              <w:rPr>
                <w:b/>
                <w:i/>
                <w:sz w:val="22"/>
              </w:rPr>
              <w:t xml:space="preserve"> in Frage, wenn er alle in der zweiten Spalte festgelegten Kriterien erfüllt und alle Bodendeskriptoren einbezieht.</w:t>
            </w:r>
          </w:p>
        </w:tc>
      </w:tr>
      <w:tr w:rsidR="009571FC" w:rsidRPr="00037CF2" w:rsidTr="009571FC">
        <w:tc>
          <w:tcPr>
            <w:tcW w:w="9209"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t>Stichprobenkonzept</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Referenzmethode</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Zu erfüllende Kriterien</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Ausnahmen</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Die Stichprobe wird anhand einer umfassenden Stichprobengrundlage mit den besten verfügbaren Informationen über die Verteilung der Bodeneigenschaften erhoben, unter anderem mit Informationen aus früheren nationalen Messungen und aus Messungen im Rahmen des LUCAS-Programms.</w:t>
            </w:r>
          </w:p>
          <w:p w:rsidR="009571FC" w:rsidRPr="00037CF2" w:rsidRDefault="009571FC" w:rsidP="009571FC">
            <w:pPr>
              <w:widowControl/>
              <w:spacing w:before="120"/>
              <w:jc w:val="both"/>
              <w:rPr>
                <w:b/>
                <w:i/>
                <w:sz w:val="22"/>
                <w:szCs w:val="22"/>
              </w:rPr>
            </w:pPr>
            <w:r w:rsidRPr="00037CF2">
              <w:rPr>
                <w:b/>
                <w:i/>
                <w:sz w:val="22"/>
              </w:rPr>
              <w:t>Die Stichproben werden mittels geschichteter Zufallsstichproben erhoben.</w:t>
            </w:r>
          </w:p>
          <w:p w:rsidR="009571FC" w:rsidRPr="00037CF2" w:rsidRDefault="009571FC" w:rsidP="009571FC">
            <w:pPr>
              <w:widowControl/>
              <w:spacing w:before="120"/>
              <w:jc w:val="both"/>
              <w:rPr>
                <w:b/>
                <w:i/>
                <w:sz w:val="22"/>
                <w:szCs w:val="22"/>
              </w:rPr>
            </w:pPr>
            <w:r w:rsidRPr="00037CF2">
              <w:rPr>
                <w:b/>
                <w:i/>
                <w:sz w:val="22"/>
              </w:rPr>
              <w:t xml:space="preserve">Der Umfang der nationalen Stichprobe muss groß genug sein, um eine maximale Abweichung (Variationskoeffizient) von </w:t>
            </w:r>
            <w:r w:rsidRPr="00966B50">
              <w:rPr>
                <w:b/>
                <w:i/>
                <w:sz w:val="22"/>
              </w:rPr>
              <w:t>5</w:t>
            </w:r>
            <w:r w:rsidRPr="00037CF2">
              <w:rPr>
                <w:b/>
                <w:i/>
                <w:sz w:val="22"/>
              </w:rPr>
              <w:t> % für die Schätzung der Fläche mit gesunden Böden zu gewährleisten.</w:t>
            </w:r>
          </w:p>
          <w:p w:rsidR="009571FC" w:rsidRPr="00037CF2" w:rsidRDefault="009571FC" w:rsidP="009571FC">
            <w:pPr>
              <w:widowControl/>
              <w:spacing w:before="120"/>
              <w:jc w:val="both"/>
              <w:rPr>
                <w:b/>
                <w:i/>
                <w:sz w:val="22"/>
                <w:szCs w:val="22"/>
              </w:rPr>
            </w:pPr>
            <w:r w:rsidRPr="00037CF2">
              <w:rPr>
                <w:b/>
                <w:i/>
                <w:sz w:val="22"/>
              </w:rPr>
              <w:t>Die von der Kommission gemäß Artikel </w:t>
            </w:r>
            <w:r w:rsidRPr="00966B50">
              <w:rPr>
                <w:b/>
                <w:i/>
                <w:sz w:val="22"/>
              </w:rPr>
              <w:t>6</w:t>
            </w:r>
            <w:r w:rsidRPr="00037CF2">
              <w:rPr>
                <w:b/>
                <w:i/>
                <w:sz w:val="22"/>
              </w:rPr>
              <w:t xml:space="preserve"> Absatz </w:t>
            </w:r>
            <w:r w:rsidRPr="00966B50">
              <w:rPr>
                <w:b/>
                <w:i/>
                <w:sz w:val="22"/>
              </w:rPr>
              <w:t>4</w:t>
            </w:r>
            <w:r w:rsidRPr="00037CF2">
              <w:rPr>
                <w:b/>
                <w:i/>
                <w:sz w:val="22"/>
              </w:rPr>
              <w:t xml:space="preserve"> entnommene Bodenprobe muss mindestens </w:t>
            </w:r>
            <w:r w:rsidRPr="00966B50">
              <w:rPr>
                <w:b/>
                <w:i/>
                <w:sz w:val="22"/>
              </w:rPr>
              <w:t>20</w:t>
            </w:r>
            <w:r w:rsidRPr="00037CF2">
              <w:rPr>
                <w:b/>
                <w:i/>
                <w:sz w:val="22"/>
              </w:rPr>
              <w:t> % der nationalen Stichproben ausmachen.</w:t>
            </w:r>
          </w:p>
          <w:p w:rsidR="009571FC" w:rsidRPr="00037CF2" w:rsidRDefault="009571FC" w:rsidP="009571FC">
            <w:pPr>
              <w:widowControl/>
              <w:spacing w:before="120"/>
              <w:jc w:val="both"/>
              <w:rPr>
                <w:b/>
                <w:i/>
                <w:sz w:val="22"/>
                <w:szCs w:val="22"/>
              </w:rPr>
            </w:pPr>
            <w:r w:rsidRPr="00037CF2">
              <w:rPr>
                <w:b/>
                <w:i/>
                <w:sz w:val="22"/>
              </w:rPr>
              <w:t xml:space="preserve">Aufteilung und Größe der Stichprobe werden per Anwendung des Bethel-Algorithmus (Bethel, </w:t>
            </w:r>
            <w:r w:rsidRPr="00966B50">
              <w:rPr>
                <w:b/>
                <w:i/>
                <w:sz w:val="22"/>
              </w:rPr>
              <w:t>1989</w:t>
            </w:r>
            <w:r w:rsidRPr="00037CF2">
              <w:rPr>
                <w:b/>
                <w:i/>
                <w:sz w:val="22"/>
              </w:rPr>
              <w:t>) unter Berücksichtigung des maximal zulässigen Schätzfehlers festgelegt.</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 Erhebung geschichteter Zufallsstichproben je nach Art der Fläche; Schichter können klimatische Bedingungen, Bodenart, Flächenart und Verwaltungseinheiten gemäß Artikel </w:t>
            </w:r>
            <w:r w:rsidRPr="00966B50">
              <w:rPr>
                <w:b/>
                <w:i/>
                <w:sz w:val="22"/>
              </w:rPr>
              <w:t>4</w:t>
            </w:r>
            <w:r w:rsidRPr="00037CF2">
              <w:rPr>
                <w:b/>
                <w:i/>
                <w:sz w:val="22"/>
              </w:rPr>
              <w:t xml:space="preserve"> umfassen.</w:t>
            </w:r>
          </w:p>
          <w:p w:rsidR="009571FC" w:rsidRPr="00037CF2" w:rsidRDefault="009571FC" w:rsidP="009571FC">
            <w:pPr>
              <w:widowControl/>
              <w:spacing w:before="120"/>
              <w:jc w:val="both"/>
              <w:rPr>
                <w:b/>
                <w:i/>
                <w:sz w:val="22"/>
                <w:szCs w:val="22"/>
              </w:rPr>
            </w:pPr>
            <w:r w:rsidRPr="00037CF2">
              <w:rPr>
                <w:b/>
                <w:i/>
                <w:sz w:val="22"/>
              </w:rPr>
              <w:t>b) Die Schätzung der Anzahl der Stichproben muss unter Anwendung des Bethel-Algorithmus und unter Berücksichtigung des erforderlichen maximalen Schätzfehlers erfolgen.</w:t>
            </w:r>
          </w:p>
          <w:p w:rsidR="009571FC" w:rsidRPr="00037CF2" w:rsidRDefault="009571FC" w:rsidP="009571FC">
            <w:pPr>
              <w:widowControl/>
              <w:spacing w:before="120"/>
              <w:jc w:val="both"/>
              <w:rPr>
                <w:b/>
                <w:i/>
                <w:sz w:val="22"/>
                <w:szCs w:val="22"/>
              </w:rPr>
            </w:pPr>
            <w:r w:rsidRPr="00037CF2">
              <w:rPr>
                <w:b/>
                <w:i/>
                <w:sz w:val="22"/>
              </w:rPr>
              <w:t xml:space="preserve">c) Ein Prozentsatz (bis zu </w:t>
            </w:r>
            <w:r w:rsidRPr="00966B50">
              <w:rPr>
                <w:b/>
                <w:i/>
                <w:sz w:val="22"/>
              </w:rPr>
              <w:t>20</w:t>
            </w:r>
            <w:r w:rsidRPr="00037CF2">
              <w:rPr>
                <w:b/>
                <w:i/>
                <w:sz w:val="22"/>
              </w:rPr>
              <w:t xml:space="preserve"> % und mindestens </w:t>
            </w:r>
            <w:r w:rsidRPr="00966B50">
              <w:rPr>
                <w:b/>
                <w:i/>
                <w:sz w:val="22"/>
              </w:rPr>
              <w:t>10</w:t>
            </w:r>
            <w:r w:rsidRPr="00037CF2">
              <w:rPr>
                <w:b/>
                <w:i/>
                <w:sz w:val="22"/>
              </w:rPr>
              <w:t> %) der Probenahmestellen kann für gezielte Probenahmen im Zusammenhang mit Untersuchungen oder Risikobewertungen verwendet werden.</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Ist auf Ebene der Mitgliedstaaten ein Stichprobenkonzept vorhanden, das die Kriterien für Stufe </w:t>
            </w:r>
            <w:r w:rsidRPr="00966B50">
              <w:rPr>
                <w:b/>
                <w:i/>
                <w:sz w:val="22"/>
              </w:rPr>
              <w:t>1</w:t>
            </w:r>
            <w:r w:rsidRPr="00037CF2">
              <w:rPr>
                <w:b/>
                <w:i/>
                <w:sz w:val="22"/>
              </w:rPr>
              <w:t xml:space="preserve"> erfüllt, kann man die Referenzmethodik anpassen oder der Kommission andere Auslegungskonzepte vorschlagen, sofern das umgesetzte Konzept den Mitgliedstaat gemäß der Referenzmethodik, einschließlich nationaler und LUCAS-Proben, ausreichend abdeckt. Bei der Anpassung der Referenzmethodik halten sich die Mitgliedstaaten dennoch an das In-situ-Konzept der Kommission.</w:t>
            </w:r>
          </w:p>
        </w:tc>
        <w:tc>
          <w:tcPr>
            <w:tcW w:w="1622" w:type="dxa"/>
            <w:tcBorders>
              <w:top w:val="single" w:sz="4" w:space="0" w:color="auto"/>
              <w:left w:val="single" w:sz="4" w:space="0" w:color="auto"/>
              <w:bottom w:val="single" w:sz="4" w:space="0" w:color="auto"/>
              <w:right w:val="single" w:sz="4" w:space="0" w:color="auto"/>
            </w:tcBorders>
          </w:tcPr>
          <w:p w:rsidR="009571FC" w:rsidRPr="00037CF2" w:rsidRDefault="009571FC" w:rsidP="009571FC">
            <w:pPr>
              <w:widowControl/>
              <w:spacing w:before="120"/>
              <w:jc w:val="both"/>
              <w:rPr>
                <w:b/>
                <w:i/>
                <w:sz w:val="22"/>
                <w:szCs w:val="22"/>
                <w:lang w:eastAsia="en-US"/>
              </w:rPr>
            </w:pPr>
          </w:p>
        </w:tc>
      </w:tr>
      <w:tr w:rsidR="009571FC" w:rsidRPr="00037CF2" w:rsidTr="009571FC">
        <w:tc>
          <w:tcPr>
            <w:tcW w:w="9209"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Schädigungsfaktoren</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iCs/>
                <w:sz w:val="22"/>
                <w:szCs w:val="22"/>
              </w:rPr>
            </w:pPr>
            <w:r w:rsidRPr="00037CF2">
              <w:rPr>
                <w:b/>
                <w:i/>
                <w:sz w:val="22"/>
              </w:rPr>
              <w:lastRenderedPageBreak/>
              <w:t>Schädigungsfaktor</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Bodendeskriptor</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Ausnahmen</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Bodenerosion</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Bodenerosionsrate (Bodenverlust in Tonnen pro Hektar und Jahr (t ha</w:t>
            </w:r>
            <w:r w:rsidRPr="00037CF2">
              <w:rPr>
                <w:b/>
                <w:i/>
                <w:sz w:val="22"/>
                <w:vertAlign w:val="superscript"/>
              </w:rPr>
              <w:t>-</w:t>
            </w:r>
            <w:r w:rsidRPr="00966B50">
              <w:rPr>
                <w:b/>
                <w:i/>
                <w:sz w:val="22"/>
                <w:vertAlign w:val="superscript"/>
              </w:rPr>
              <w:t>1</w:t>
            </w:r>
            <w:r w:rsidRPr="00037CF2">
              <w:rPr>
                <w:b/>
                <w:i/>
                <w:sz w:val="22"/>
              </w:rPr>
              <w:t xml:space="preserve"> Jahr</w:t>
            </w:r>
            <w:r w:rsidRPr="00037CF2">
              <w:rPr>
                <w:b/>
                <w:i/>
                <w:sz w:val="22"/>
                <w:vertAlign w:val="superscript"/>
              </w:rPr>
              <w:t>-</w:t>
            </w:r>
            <w:r w:rsidRPr="00966B50">
              <w:rPr>
                <w:b/>
                <w:i/>
                <w:sz w:val="22"/>
                <w:vertAlign w:val="superscript"/>
              </w:rPr>
              <w:t>1</w:t>
            </w:r>
            <w:r w:rsidRPr="00037CF2">
              <w:rPr>
                <w:b/>
                <w:i/>
                <w:sz w:val="22"/>
              </w:rPr>
              <w:t>))</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tcPr>
          <w:p w:rsidR="009571FC" w:rsidRPr="00037CF2" w:rsidRDefault="009571FC" w:rsidP="009571FC">
            <w:pPr>
              <w:widowControl/>
              <w:spacing w:before="120"/>
              <w:jc w:val="both"/>
              <w:rPr>
                <w:b/>
                <w:i/>
                <w:sz w:val="22"/>
                <w:szCs w:val="22"/>
                <w:lang w:eastAsia="en-US"/>
              </w:rPr>
            </w:pP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Verlust von organischem Kohlenstoff im Boden</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Konzentration an organischem Kohlenstoff im Boden (in g Kohlenstoff pro kg (g kg</w:t>
            </w:r>
            <w:r w:rsidRPr="00037CF2">
              <w:rPr>
                <w:b/>
                <w:i/>
                <w:sz w:val="22"/>
                <w:vertAlign w:val="superscript"/>
              </w:rPr>
              <w:t>-</w:t>
            </w:r>
            <w:r w:rsidRPr="00966B50">
              <w:rPr>
                <w:b/>
                <w:i/>
                <w:sz w:val="22"/>
                <w:vertAlign w:val="superscript"/>
              </w:rPr>
              <w:t>1</w:t>
            </w:r>
            <w:r w:rsidRPr="00037CF2">
              <w:rPr>
                <w:b/>
                <w:i/>
                <w:sz w:val="22"/>
              </w:rPr>
              <w:t>))</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Bodenverdichtung</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Lagerungsdichte im Oberboden (in g c</w:t>
            </w:r>
            <w:r w:rsidRPr="00037CF2">
              <w:rPr>
                <w:b/>
                <w:i/>
                <w:sz w:val="22"/>
                <w:vertAlign w:val="superscript"/>
              </w:rPr>
              <w:t>m-</w:t>
            </w:r>
            <w:r w:rsidRPr="00966B50">
              <w:rPr>
                <w:b/>
                <w:i/>
                <w:sz w:val="22"/>
                <w:vertAlign w:val="superscript"/>
              </w:rPr>
              <w:t>3</w:t>
            </w:r>
            <w:r w:rsidRPr="00037CF2">
              <w:rPr>
                <w:b/>
                <w:i/>
                <w:sz w:val="22"/>
              </w:rPr>
              <w:t>)</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Überschüssiger Nährstoffgehalt im Boden</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Extrahierbarer Phosphor (in mg/kg</w:t>
            </w:r>
            <w:r w:rsidRPr="00037CF2">
              <w:rPr>
                <w:b/>
                <w:i/>
                <w:sz w:val="22"/>
                <w:vertAlign w:val="superscript"/>
              </w:rPr>
              <w:t>-</w:t>
            </w:r>
            <w:r w:rsidRPr="00966B50">
              <w:rPr>
                <w:b/>
                <w:i/>
                <w:sz w:val="22"/>
                <w:vertAlign w:val="superscript"/>
              </w:rPr>
              <w:t>1</w:t>
            </w:r>
            <w:r w:rsidRPr="00037CF2">
              <w:rPr>
                <w:b/>
                <w:i/>
                <w:sz w:val="22"/>
              </w:rPr>
              <w:t>)</w:t>
            </w:r>
          </w:p>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Gesamter Stickstoff im Boden (in mg g</w:t>
            </w:r>
            <w:r w:rsidRPr="00037CF2">
              <w:rPr>
                <w:b/>
                <w:i/>
                <w:sz w:val="22"/>
                <w:vertAlign w:val="superscript"/>
              </w:rPr>
              <w:t>-</w:t>
            </w:r>
            <w:r w:rsidRPr="00966B50">
              <w:rPr>
                <w:b/>
                <w:i/>
                <w:sz w:val="22"/>
                <w:vertAlign w:val="superscript"/>
              </w:rPr>
              <w:t>1</w:t>
            </w:r>
            <w:r w:rsidRPr="00037CF2">
              <w:rPr>
                <w:b/>
                <w:i/>
                <w:sz w:val="22"/>
              </w:rPr>
              <w:t>)</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iCs/>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Bodenkontamination</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rFonts w:ascii="Symbol" w:hAnsi="Symbol"/>
                <w:sz w:val="22"/>
              </w:rPr>
              <w:tab/>
            </w:r>
            <w:r w:rsidRPr="00037CF2">
              <w:rPr>
                <w:b/>
                <w:i/>
                <w:sz w:val="22"/>
              </w:rPr>
              <w:t>Konzentration an Schwermetallen im Boden: As, Sb, Cd, Co, Cr (Gesamtkonzentration), Cr (VI), Cu, Hg, Pb, Ni, Tl, V, Zn (in µg/kg)</w:t>
            </w:r>
          </w:p>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 xml:space="preserve">Konzentration einer Auswahl organischer Kontaminanten, die von den Mitgliedstaaten unter Berücksichtigung von Kontaminanten, die durch die Verordnung (EU) </w:t>
            </w:r>
            <w:r w:rsidRPr="00966B50">
              <w:rPr>
                <w:b/>
                <w:i/>
                <w:sz w:val="22"/>
              </w:rPr>
              <w:t>2019</w:t>
            </w:r>
            <w:r w:rsidRPr="00037CF2">
              <w:rPr>
                <w:b/>
                <w:i/>
                <w:sz w:val="22"/>
              </w:rPr>
              <w:t>/</w:t>
            </w:r>
            <w:r w:rsidRPr="00966B50">
              <w:rPr>
                <w:b/>
                <w:i/>
                <w:sz w:val="22"/>
              </w:rPr>
              <w:t>1021</w:t>
            </w:r>
            <w:r w:rsidRPr="00037CF2">
              <w:rPr>
                <w:b/>
                <w:i/>
                <w:sz w:val="22"/>
              </w:rPr>
              <w:t xml:space="preserve"> geregelt sind, und bestehender Konzentrationsgrenzwerte (z. B. für Wasserqualität und Luftemissionen) in den Rechtsvorschriften der Union, insbesondere prioritärer Stoffe im Rahmen der Wasserrahmenrichtlinie und der damit verbundenen Umweltqualitätsnormen (Richtlinie </w:t>
            </w:r>
            <w:r w:rsidRPr="00966B50">
              <w:rPr>
                <w:b/>
                <w:i/>
                <w:sz w:val="22"/>
              </w:rPr>
              <w:t>2008</w:t>
            </w:r>
            <w:r w:rsidRPr="00037CF2">
              <w:rPr>
                <w:b/>
                <w:i/>
                <w:sz w:val="22"/>
              </w:rPr>
              <w:t>/</w:t>
            </w:r>
            <w:r w:rsidRPr="00966B50">
              <w:rPr>
                <w:b/>
                <w:i/>
                <w:sz w:val="22"/>
              </w:rPr>
              <w:t>105</w:t>
            </w:r>
            <w:r w:rsidRPr="00037CF2">
              <w:rPr>
                <w:b/>
                <w:i/>
                <w:sz w:val="22"/>
              </w:rPr>
              <w:t xml:space="preserve">/EG) und der Grundwasserrichtlinie (Richtlinie </w:t>
            </w:r>
            <w:r w:rsidRPr="00966B50">
              <w:rPr>
                <w:b/>
                <w:i/>
                <w:sz w:val="22"/>
              </w:rPr>
              <w:t>2006</w:t>
            </w:r>
            <w:r w:rsidRPr="00037CF2">
              <w:rPr>
                <w:b/>
                <w:i/>
                <w:sz w:val="22"/>
              </w:rPr>
              <w:t>/</w:t>
            </w:r>
            <w:r w:rsidRPr="00966B50">
              <w:rPr>
                <w:b/>
                <w:i/>
                <w:sz w:val="22"/>
              </w:rPr>
              <w:t>118</w:t>
            </w:r>
            <w:r w:rsidRPr="00037CF2">
              <w:rPr>
                <w:b/>
                <w:i/>
                <w:sz w:val="22"/>
              </w:rPr>
              <w:t>/EG), festgelegt werden</w:t>
            </w:r>
          </w:p>
          <w:p w:rsidR="009571FC" w:rsidRPr="00037CF2" w:rsidRDefault="009571FC" w:rsidP="009571FC">
            <w:pPr>
              <w:widowControl/>
              <w:spacing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 xml:space="preserve">Pflanzenschutzmittel, die Substitutionskandidaten </w:t>
            </w:r>
            <w:r w:rsidRPr="00037CF2">
              <w:rPr>
                <w:b/>
                <w:i/>
                <w:sz w:val="22"/>
              </w:rPr>
              <w:lastRenderedPageBreak/>
              <w:t>sind, und im Rahmen einer Notfallregelung zugelassene Stoffe sowie Biozid-Rückstände</w:t>
            </w:r>
          </w:p>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Per- und polyfluorierte Alkylsubstanzen (PFAS) insgesamt oder Summe der PFAS insgesamt</w:t>
            </w:r>
            <w:r w:rsidRPr="00037CF2">
              <w:t xml:space="preserve"> </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Verringerung der Wasserrückhaltung</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Wasserspeicherkapazität des Bodens gemäß der Bodenprobe (in % des Wasservolumens)</w:t>
            </w:r>
          </w:p>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Volumen des gesättigten Bodens</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Versauerung</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b/>
                <w:i/>
                <w:sz w:val="22"/>
              </w:rPr>
              <w:tab/>
              <w:t>Bodensäure (pH-Wert)</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209"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Ökologische Funktionen des Bodens</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Ökologische Funktion</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Bodenzusammensetzung</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Wasserstabile Aggregate (in %)</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Bodenatmung</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Mikrobielle Basalatmung im Boden (in μl O</w:t>
            </w:r>
            <w:r w:rsidRPr="00966B50">
              <w:rPr>
                <w:b/>
                <w:i/>
                <w:sz w:val="22"/>
                <w:vertAlign w:val="subscript"/>
              </w:rPr>
              <w:t>2</w:t>
            </w:r>
            <w:r w:rsidRPr="00037CF2">
              <w:rPr>
                <w:b/>
                <w:i/>
                <w:sz w:val="22"/>
              </w:rPr>
              <w:t xml:space="preserve"> h</w:t>
            </w:r>
            <w:r w:rsidRPr="00037CF2">
              <w:rPr>
                <w:b/>
                <w:i/>
                <w:sz w:val="22"/>
                <w:vertAlign w:val="superscript"/>
              </w:rPr>
              <w:t>-</w:t>
            </w:r>
            <w:r w:rsidRPr="00966B50">
              <w:rPr>
                <w:b/>
                <w:i/>
                <w:sz w:val="22"/>
                <w:vertAlign w:val="superscript"/>
              </w:rPr>
              <w:t>1</w:t>
            </w:r>
            <w:r w:rsidRPr="00037CF2">
              <w:rPr>
                <w:b/>
                <w:i/>
                <w:sz w:val="22"/>
              </w:rPr>
              <w:t xml:space="preserve"> g</w:t>
            </w:r>
            <w:r w:rsidRPr="00037CF2">
              <w:rPr>
                <w:b/>
                <w:i/>
                <w:sz w:val="22"/>
                <w:vertAlign w:val="superscript"/>
              </w:rPr>
              <w:t>-</w:t>
            </w:r>
            <w:r w:rsidRPr="00966B50">
              <w:rPr>
                <w:b/>
                <w:i/>
                <w:sz w:val="22"/>
                <w:vertAlign w:val="superscript"/>
              </w:rPr>
              <w:t>1</w:t>
            </w:r>
            <w:r w:rsidRPr="00037CF2">
              <w:rPr>
                <w:b/>
                <w:i/>
                <w:sz w:val="22"/>
              </w:rPr>
              <w:t xml:space="preserve"> Bodentrockenmasse)</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Bodenbiomasse</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Mikrobieller Biomassekohlenstoff im Boden (in Cmic μg C g</w:t>
            </w:r>
            <w:r w:rsidRPr="00037CF2">
              <w:rPr>
                <w:b/>
                <w:i/>
                <w:sz w:val="22"/>
                <w:vertAlign w:val="superscript"/>
              </w:rPr>
              <w:t>-</w:t>
            </w:r>
            <w:r w:rsidRPr="00966B50">
              <w:rPr>
                <w:b/>
                <w:i/>
                <w:sz w:val="22"/>
                <w:vertAlign w:val="superscript"/>
              </w:rPr>
              <w:t>1</w:t>
            </w:r>
            <w:r w:rsidRPr="00037CF2">
              <w:rPr>
                <w:b/>
                <w:i/>
                <w:sz w:val="22"/>
                <w:vertAlign w:val="superscript"/>
              </w:rPr>
              <w:t xml:space="preserve"> </w:t>
            </w:r>
            <w:r w:rsidRPr="00037CF2">
              <w:rPr>
                <w:b/>
                <w:i/>
                <w:sz w:val="22"/>
              </w:rPr>
              <w:t>Bodentrockenmasse)</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209"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t>Biologische Vielfalt des Bodens</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Merkmal der biologischen Vielfalt des Bodens</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Taxonomische Vielfalt</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 xml:space="preserve">Vielfalt der Bodenorganismen durch Präsenzzählungen pro taxonomische Gruppe auf der Grundlage einer Metabarcodierung, die auf die Genregionen </w:t>
            </w:r>
            <w:r w:rsidRPr="00966B50">
              <w:rPr>
                <w:b/>
                <w:i/>
                <w:sz w:val="22"/>
              </w:rPr>
              <w:t>16</w:t>
            </w:r>
            <w:r w:rsidRPr="00037CF2">
              <w:rPr>
                <w:b/>
                <w:i/>
                <w:sz w:val="22"/>
              </w:rPr>
              <w:t xml:space="preserve">S und </w:t>
            </w:r>
            <w:r w:rsidRPr="00966B50">
              <w:rPr>
                <w:b/>
                <w:i/>
                <w:sz w:val="22"/>
              </w:rPr>
              <w:t>18</w:t>
            </w:r>
            <w:r w:rsidRPr="00037CF2">
              <w:rPr>
                <w:b/>
                <w:i/>
                <w:sz w:val="22"/>
              </w:rPr>
              <w:t xml:space="preserve">S rRNA ausgerichtet ist, und unter Verwendung der „Internal transcribed spacer region“ (ITS), </w:t>
            </w:r>
            <w:r w:rsidRPr="00037CF2">
              <w:rPr>
                <w:b/>
                <w:i/>
                <w:sz w:val="22"/>
              </w:rPr>
              <w:lastRenderedPageBreak/>
              <w:t>insbesondere für Pilze (zusätzlich können andere Marker wie COI für die Bodenfauna in Betracht gezogen werden)</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Populationsgröße</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 xml:space="preserve">Gesamtgröße der Populationen von Bakterien und Archae (unter Verwendung von Kopien der </w:t>
            </w:r>
            <w:r w:rsidRPr="00966B50">
              <w:rPr>
                <w:b/>
                <w:i/>
                <w:sz w:val="22"/>
              </w:rPr>
              <w:t>16</w:t>
            </w:r>
            <w:r w:rsidRPr="00037CF2">
              <w:rPr>
                <w:b/>
                <w:i/>
                <w:sz w:val="22"/>
              </w:rPr>
              <w:t>S-rRNA-Genregion)</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 xml:space="preserve">Gesamtgröße der Populationen von Pilzen (unter Verwendung von Kopien der </w:t>
            </w:r>
            <w:r w:rsidRPr="00966B50">
              <w:rPr>
                <w:b/>
                <w:i/>
                <w:sz w:val="22"/>
              </w:rPr>
              <w:t>18</w:t>
            </w:r>
            <w:r w:rsidRPr="00037CF2">
              <w:rPr>
                <w:b/>
                <w:i/>
                <w:sz w:val="22"/>
              </w:rPr>
              <w:t>S-rRNA-Genregion)</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Gesamtzahl und Anteil pathogener Pilze</w:t>
            </w:r>
          </w:p>
          <w:p w:rsidR="009571FC" w:rsidRPr="00037CF2" w:rsidRDefault="009571FC" w:rsidP="009571FC">
            <w:pPr>
              <w:widowControl/>
              <w:spacing w:before="120"/>
              <w:ind w:left="347" w:hanging="360"/>
              <w:contextualSpacing/>
              <w:jc w:val="both"/>
              <w:rPr>
                <w:b/>
                <w:i/>
              </w:rPr>
            </w:pPr>
            <w:r w:rsidRPr="00037CF2">
              <w:rPr>
                <w:rFonts w:ascii="Symbol" w:hAnsi="Symbol"/>
              </w:rPr>
              <w:sym w:font="Symbol" w:char="F0B7"/>
            </w:r>
            <w:r w:rsidRPr="00037CF2">
              <w:rPr>
                <w:rFonts w:ascii="Symbol" w:hAnsi="Symbol"/>
              </w:rPr>
              <w:tab/>
            </w:r>
            <w:r w:rsidRPr="00037CF2">
              <w:rPr>
                <w:b/>
                <w:i/>
                <w:sz w:val="22"/>
              </w:rPr>
              <w:t>Gesamtgröße der Populationen von Nematoden je Funktionsgruppe auf der Grundlage der Morphologie (Bakterienesser, Pilzesser, Wurzelesser, Omnivore, Räuber)</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209"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Bodenhabitat</w:t>
            </w: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Merkmal des Bodenhabitats</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622" w:type="dxa"/>
            <w:tcBorders>
              <w:top w:val="single" w:sz="4" w:space="0" w:color="auto"/>
              <w:left w:val="single" w:sz="4" w:space="0" w:color="auto"/>
              <w:bottom w:val="single" w:sz="4" w:space="0" w:color="auto"/>
              <w:right w:val="single" w:sz="4" w:space="0" w:color="auto"/>
            </w:tcBorders>
          </w:tcPr>
          <w:p w:rsidR="009571FC" w:rsidRPr="00037CF2" w:rsidRDefault="009571FC" w:rsidP="009571FC">
            <w:pPr>
              <w:widowControl/>
              <w:spacing w:before="120"/>
              <w:jc w:val="both"/>
              <w:rPr>
                <w:b/>
                <w:bCs/>
                <w:i/>
                <w:iCs/>
                <w:sz w:val="22"/>
                <w:szCs w:val="22"/>
                <w:lang w:eastAsia="en-US"/>
              </w:rPr>
            </w:pPr>
          </w:p>
        </w:tc>
      </w:tr>
      <w:tr w:rsidR="009571FC" w:rsidRPr="00037CF2" w:rsidTr="009571FC">
        <w:tc>
          <w:tcPr>
            <w:tcW w:w="2454"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Bodenstruktur</w:t>
            </w:r>
          </w:p>
        </w:tc>
        <w:tc>
          <w:tcPr>
            <w:tcW w:w="30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Größenklassenanteile (Sand, Schluff, Ton)</w:t>
            </w:r>
          </w:p>
          <w:p w:rsidR="009571FC" w:rsidRPr="00037CF2" w:rsidRDefault="009571FC" w:rsidP="009571FC">
            <w:pPr>
              <w:widowControl/>
              <w:spacing w:before="120"/>
              <w:ind w:left="347" w:hanging="360"/>
              <w:contextualSpacing/>
              <w:jc w:val="both"/>
              <w:rPr>
                <w:b/>
                <w:i/>
              </w:rPr>
            </w:pPr>
            <w:r w:rsidRPr="00037CF2">
              <w:rPr>
                <w:rFonts w:ascii="Symbol" w:hAnsi="Symbol"/>
              </w:rPr>
              <w:sym w:font="Symbol" w:char="F0B7"/>
            </w:r>
            <w:r w:rsidRPr="00037CF2">
              <w:rPr>
                <w:b/>
                <w:i/>
                <w:sz w:val="22"/>
              </w:rPr>
              <w:tab/>
              <w:t xml:space="preserve">Anteil grober Materialien (&gt; </w:t>
            </w:r>
            <w:r w:rsidRPr="00966B50">
              <w:rPr>
                <w:b/>
                <w:i/>
                <w:sz w:val="22"/>
              </w:rPr>
              <w:t>2</w:t>
            </w:r>
            <w:r w:rsidRPr="00037CF2">
              <w:rPr>
                <w:b/>
                <w:i/>
                <w:sz w:val="22"/>
              </w:rPr>
              <w:t> mm)</w:t>
            </w:r>
          </w:p>
        </w:tc>
        <w:tc>
          <w:tcPr>
            <w:tcW w:w="207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622"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w:t>
            </w:r>
          </w:p>
        </w:tc>
      </w:tr>
    </w:tbl>
    <w:p w:rsidR="009571FC" w:rsidRPr="009571FC" w:rsidRDefault="009571FC">
      <w:pPr>
        <w:rPr>
          <w:b/>
        </w:rPr>
      </w:pPr>
      <w:r>
        <w:rPr>
          <w:b/>
        </w:rPr>
        <w:t xml:space="preserve"> [Abänd. 198]</w:t>
      </w:r>
    </w:p>
    <w:tbl>
      <w:tblPr>
        <w:tblStyle w:val="TableGrid1"/>
        <w:tblW w:w="9289" w:type="dxa"/>
        <w:tblLayout w:type="fixed"/>
        <w:tblLook w:val="04A0" w:firstRow="1" w:lastRow="0" w:firstColumn="1" w:lastColumn="0" w:noHBand="0" w:noVBand="1"/>
      </w:tblPr>
      <w:tblGrid>
        <w:gridCol w:w="2235"/>
        <w:gridCol w:w="2126"/>
        <w:gridCol w:w="2835"/>
        <w:gridCol w:w="2093"/>
      </w:tblGrid>
      <w:tr w:rsidR="009571FC" w:rsidRPr="009571FC" w:rsidTr="009571FC">
        <w:trPr>
          <w:trHeight w:val="300"/>
          <w:tblHeader/>
        </w:trPr>
        <w:tc>
          <w:tcPr>
            <w:tcW w:w="9289" w:type="dxa"/>
            <w:gridSpan w:val="4"/>
            <w:tcBorders>
              <w:top w:val="single" w:sz="4" w:space="0" w:color="auto"/>
              <w:left w:val="single" w:sz="4" w:space="0" w:color="auto"/>
              <w:bottom w:val="single" w:sz="4" w:space="0" w:color="auto"/>
              <w:right w:val="single" w:sz="4" w:space="0" w:color="auto"/>
            </w:tcBorders>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b/>
                <w:i/>
                <w:strike/>
                <w:noProof/>
              </w:rPr>
              <w:lastRenderedPageBreak/>
              <w:t>Teil B: Bodendeskriptoren mit auf Ebene der Mitgliedstaaten festgelegten Kriterien für einen gesunden Bodenzustand</w:t>
            </w:r>
          </w:p>
        </w:tc>
      </w:tr>
      <w:tr w:rsidR="009571FC" w:rsidRPr="009571FC" w:rsidTr="009571FC">
        <w:trPr>
          <w:trHeight w:val="300"/>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Überschüssiger Nährstoffgehalt im Boden</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Extrahierbarer Phosphor (mg/kg)</w:t>
            </w: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xml:space="preserve">&lt; „Maximalwert“ </w:t>
            </w: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Der „Maximalwert“ wird vom jeweiligen Mitgliedstaat im Bereich von 30-50 mg kg</w:t>
            </w:r>
            <w:r w:rsidRPr="009571FC">
              <w:rPr>
                <w:rFonts w:ascii="Times New Roman" w:hAnsi="Times New Roman" w:cs="Times New Roman"/>
                <w:strike/>
                <w:noProof/>
                <w:vertAlign w:val="superscript"/>
              </w:rPr>
              <w:t>-1</w:t>
            </w:r>
            <w:r w:rsidRPr="009571FC">
              <w:rPr>
                <w:rFonts w:ascii="Times New Roman" w:hAnsi="Times New Roman" w:cs="Times New Roman"/>
                <w:strike/>
                <w:noProof/>
              </w:rPr>
              <w:t xml:space="preserve"> festgelegt. </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Keine Ausnahmen</w:t>
            </w:r>
          </w:p>
        </w:tc>
      </w:tr>
      <w:tr w:rsidR="009571FC" w:rsidRPr="009571FC" w:rsidTr="009571FC">
        <w:trPr>
          <w:trHeight w:val="300"/>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Bodenkontamination</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Konzentration an Schwermetallen im Boden: As, Sb, Cd, Co, Cr (Gesamt</w:t>
            </w:r>
            <w:r w:rsidRPr="009571FC">
              <w:rPr>
                <w:rFonts w:ascii="Times New Roman" w:hAnsi="Times New Roman" w:cs="Times New Roman"/>
                <w:strike/>
                <w:noProof/>
              </w:rPr>
              <w:softHyphen/>
              <w:t xml:space="preserve">konzentration), Cr (VI), Cu, Hg, Pb, Ni, Tl, V, Zn (µg/kg) </w:t>
            </w:r>
            <w:r w:rsidRPr="009571FC">
              <w:rPr>
                <w:rFonts w:ascii="Times New Roman" w:hAnsi="Times New Roman" w:cs="Times New Roman"/>
                <w:strike/>
                <w:noProof/>
              </w:rPr>
              <w:br/>
              <w:t>- Konzentration einer Auswahl an organischen Kontaminanten, die von den Mitgliedstaaten unter Berücksichtigung bestehender Konzentrations</w:t>
            </w:r>
            <w:r w:rsidRPr="009571FC">
              <w:rPr>
                <w:rFonts w:ascii="Times New Roman" w:hAnsi="Times New Roman" w:cs="Times New Roman"/>
                <w:strike/>
                <w:noProof/>
              </w:rPr>
              <w:softHyphen/>
              <w:t xml:space="preserve">grenzwerte festgelegt wird, z. B. im Unionsrecht für Wasserqualität und Luftemissionen </w:t>
            </w: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vertAlign w:val="superscript"/>
              </w:rPr>
            </w:pPr>
            <w:r w:rsidRPr="009571FC">
              <w:rPr>
                <w:rFonts w:ascii="Times New Roman" w:hAnsi="Times New Roman" w:cs="Times New Roman"/>
                <w:strike/>
                <w:noProof/>
              </w:rPr>
              <w:t>Durch Bodenproben, Ermittlung und Untersuchung kontaminierter Standorte und sonstige einschlägige Informationen erlangte hinreichende Sicherheit, dass keine unannehmbare Gefahr für die menschliche Gesundheit und die Umwelt durch Bodenkontamination besteht</w:t>
            </w: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Lebensräume mit natürlich hoher Konzentration an Schwermetallen, die in Anhang I der Richtlinie 92/43/EWG des Rates</w:t>
            </w:r>
            <w:r w:rsidRPr="009571FC">
              <w:rPr>
                <w:rFonts w:ascii="Times New Roman" w:hAnsi="Times New Roman" w:cs="Times New Roman"/>
                <w:strike/>
                <w:noProof/>
                <w:vertAlign w:val="superscript"/>
              </w:rPr>
              <w:footnoteReference w:id="61"/>
            </w:r>
            <w:r w:rsidRPr="009571FC">
              <w:rPr>
                <w:rFonts w:ascii="Times New Roman" w:hAnsi="Times New Roman" w:cs="Times New Roman"/>
                <w:strike/>
                <w:noProof/>
              </w:rPr>
              <w:t xml:space="preserve"> aufgeführt sind, genießen weiterhin einen Schutzstatus</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Keine Ausnahmen</w:t>
            </w:r>
          </w:p>
        </w:tc>
      </w:tr>
      <w:tr w:rsidR="009571FC" w:rsidRPr="009571FC" w:rsidTr="009571FC">
        <w:trPr>
          <w:trHeight w:val="300"/>
          <w:tblHeader/>
        </w:trPr>
        <w:tc>
          <w:tcPr>
            <w:tcW w:w="22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lastRenderedPageBreak/>
              <w:t>Verringerung der Wasserrückhalte</w:t>
            </w:r>
            <w:r w:rsidRPr="009571FC">
              <w:rPr>
                <w:rFonts w:ascii="Times New Roman" w:hAnsi="Times New Roman" w:cs="Times New Roman"/>
                <w:strike/>
                <w:noProof/>
              </w:rPr>
              <w:softHyphen/>
              <w:t>kapazität des Bodens</w:t>
            </w:r>
          </w:p>
        </w:tc>
        <w:tc>
          <w:tcPr>
            <w:tcW w:w="2126"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Wasserspeicher</w:t>
            </w:r>
            <w:r w:rsidRPr="009571FC">
              <w:rPr>
                <w:rFonts w:ascii="Times New Roman" w:hAnsi="Times New Roman" w:cs="Times New Roman"/>
                <w:strike/>
                <w:noProof/>
              </w:rPr>
              <w:softHyphen/>
              <w:t>kapazität des Bodens gemäß der Bodenprobe (% des Wasservolumens am Volumen des gesättigten Bodens)</w:t>
            </w:r>
          </w:p>
        </w:tc>
        <w:tc>
          <w:tcPr>
            <w:tcW w:w="2835"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Der geschätzte Wert für die Gesamtwasser</w:t>
            </w:r>
            <w:r w:rsidRPr="009571FC">
              <w:rPr>
                <w:rFonts w:ascii="Times New Roman" w:hAnsi="Times New Roman" w:cs="Times New Roman"/>
                <w:strike/>
                <w:noProof/>
              </w:rPr>
              <w:softHyphen/>
              <w:t xml:space="preserve">speicherkapazität eines Bodenbezirks nach Einzugsgebieten oder Teileinzugsgebieten liegt über dem Mindestwert. </w:t>
            </w:r>
          </w:p>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 xml:space="preserve">Der Mindestwert (in Tonnen) wird vom jeweiligen Mitgliedstaat auf Ebene der Bodenbezirke und der Einzugsgebiete bzw. Teileinzugsgebiete so festgelegt, dass die Auswirkungen von Überschwemmungen nach Starkregen oder von geringer Bodenfeuchtigkeit aufgrund von Dürreereignissen eingedämmt werden. </w:t>
            </w:r>
          </w:p>
        </w:tc>
        <w:tc>
          <w:tcPr>
            <w:tcW w:w="2093"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strike/>
                <w:noProof/>
              </w:rPr>
            </w:pPr>
            <w:r w:rsidRPr="009571FC">
              <w:rPr>
                <w:rFonts w:ascii="Times New Roman" w:hAnsi="Times New Roman" w:cs="Times New Roman"/>
                <w:strike/>
                <w:noProof/>
              </w:rPr>
              <w:t>Keine Ausnahmen</w:t>
            </w:r>
          </w:p>
        </w:tc>
      </w:tr>
    </w:tbl>
    <w:tbl>
      <w:tblPr>
        <w:tblStyle w:val="TableGrid"/>
        <w:tblW w:w="9290" w:type="dxa"/>
        <w:tblLayout w:type="fixed"/>
        <w:tblLook w:val="04A0" w:firstRow="1" w:lastRow="0" w:firstColumn="1" w:lastColumn="0" w:noHBand="0" w:noVBand="1"/>
      </w:tblPr>
      <w:tblGrid>
        <w:gridCol w:w="2759"/>
        <w:gridCol w:w="3188"/>
        <w:gridCol w:w="1585"/>
        <w:gridCol w:w="1758"/>
      </w:tblGrid>
      <w:tr w:rsidR="009571FC" w:rsidRPr="00037CF2" w:rsidTr="009571FC">
        <w:tc>
          <w:tcPr>
            <w:tcW w:w="9290"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t>Teil B: Bodenüberwachungskonzepte der Stufe </w:t>
            </w:r>
            <w:r w:rsidRPr="00966B50">
              <w:rPr>
                <w:b/>
                <w:i/>
                <w:sz w:val="22"/>
              </w:rPr>
              <w:t>2</w:t>
            </w:r>
          </w:p>
          <w:p w:rsidR="009571FC" w:rsidRPr="00037CF2" w:rsidRDefault="009571FC" w:rsidP="009571FC">
            <w:pPr>
              <w:widowControl/>
              <w:spacing w:before="120"/>
              <w:jc w:val="both"/>
              <w:rPr>
                <w:b/>
                <w:i/>
                <w:iCs/>
                <w:sz w:val="22"/>
                <w:szCs w:val="22"/>
              </w:rPr>
            </w:pPr>
            <w:r w:rsidRPr="00037CF2">
              <w:rPr>
                <w:b/>
                <w:i/>
                <w:sz w:val="22"/>
              </w:rPr>
              <w:t>Ein Mitgliedstaat kommt für ein Bodenüberwachungskonzept der Stufe </w:t>
            </w:r>
            <w:r w:rsidRPr="00966B50">
              <w:rPr>
                <w:b/>
                <w:i/>
                <w:sz w:val="22"/>
              </w:rPr>
              <w:t>2</w:t>
            </w:r>
            <w:r w:rsidRPr="00037CF2">
              <w:rPr>
                <w:b/>
                <w:i/>
                <w:sz w:val="22"/>
              </w:rPr>
              <w:t xml:space="preserve"> in Betracht, wenn</w:t>
            </w:r>
          </w:p>
          <w:p w:rsidR="009571FC" w:rsidRPr="00037CF2" w:rsidRDefault="009571FC" w:rsidP="009571FC">
            <w:pPr>
              <w:widowControl/>
              <w:spacing w:before="120"/>
              <w:jc w:val="both"/>
              <w:rPr>
                <w:b/>
                <w:i/>
                <w:iCs/>
                <w:sz w:val="22"/>
                <w:szCs w:val="22"/>
              </w:rPr>
            </w:pPr>
            <w:r w:rsidRPr="00037CF2">
              <w:rPr>
                <w:b/>
                <w:i/>
                <w:sz w:val="22"/>
              </w:rPr>
              <w:t>er kumulativ alle Bodendeskriptoren der Stufe </w:t>
            </w:r>
            <w:r w:rsidRPr="00966B50">
              <w:rPr>
                <w:b/>
                <w:i/>
                <w:sz w:val="22"/>
              </w:rPr>
              <w:t>1</w:t>
            </w:r>
            <w:r w:rsidRPr="00037CF2">
              <w:rPr>
                <w:b/>
                <w:i/>
                <w:sz w:val="22"/>
              </w:rPr>
              <w:t xml:space="preserve"> und die in Spalte </w:t>
            </w:r>
            <w:r w:rsidRPr="00966B50">
              <w:rPr>
                <w:b/>
                <w:i/>
                <w:sz w:val="22"/>
              </w:rPr>
              <w:t>2</w:t>
            </w:r>
            <w:r w:rsidRPr="00037CF2">
              <w:rPr>
                <w:b/>
                <w:i/>
                <w:sz w:val="22"/>
              </w:rPr>
              <w:t xml:space="preserve"> für das Probenkonzept in Teil B festgelegten Kriterien und mindestens </w:t>
            </w:r>
            <w:r w:rsidRPr="00966B50">
              <w:rPr>
                <w:b/>
                <w:i/>
                <w:sz w:val="22"/>
              </w:rPr>
              <w:t>50</w:t>
            </w:r>
            <w:r w:rsidRPr="00037CF2">
              <w:rPr>
                <w:b/>
                <w:i/>
                <w:sz w:val="22"/>
              </w:rPr>
              <w:t xml:space="preserve"> % der Bodendeskriptoren in Teil B einbezieht, oder </w:t>
            </w:r>
          </w:p>
          <w:p w:rsidR="009571FC" w:rsidRPr="00037CF2" w:rsidRDefault="009571FC" w:rsidP="009571FC">
            <w:pPr>
              <w:widowControl/>
              <w:spacing w:before="120"/>
              <w:jc w:val="both"/>
              <w:rPr>
                <w:b/>
                <w:bCs/>
                <w:i/>
                <w:sz w:val="22"/>
                <w:szCs w:val="22"/>
              </w:rPr>
            </w:pPr>
            <w:r w:rsidRPr="00037CF2">
              <w:rPr>
                <w:b/>
                <w:i/>
                <w:sz w:val="22"/>
              </w:rPr>
              <w:t>kumulativ die Kriterien für das Bodenprobenkonzept der Stufe </w:t>
            </w:r>
            <w:r w:rsidRPr="00966B50">
              <w:rPr>
                <w:b/>
                <w:i/>
                <w:sz w:val="22"/>
              </w:rPr>
              <w:t>1</w:t>
            </w:r>
            <w:r w:rsidRPr="00037CF2">
              <w:rPr>
                <w:b/>
                <w:i/>
                <w:sz w:val="22"/>
              </w:rPr>
              <w:t xml:space="preserve"> erfüllt und alle Bodendeskriptoren in den Teilen A und B einbezieht.</w:t>
            </w:r>
          </w:p>
        </w:tc>
      </w:tr>
      <w:tr w:rsidR="009571FC" w:rsidRPr="00037CF2" w:rsidTr="009571FC">
        <w:tc>
          <w:tcPr>
            <w:tcW w:w="9290"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t>Stichprobenkonzept</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Referenzmethode</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Zu erfüllende Kriterien</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Ausnahmen</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Geschichtete systematische Stichproben unter Verwendung eines räumlichen Rasters, um eine homogene Abdeckung des Hoheitsgebiets des Mitgliedstaats für alle Arten von Land zu gewährleisten. Zusätzliche Informationen wie Umweltzonen oder Bodentypen können auch verwendet werden, um das Probenkonzept weiter zu verfeinern.</w:t>
            </w:r>
          </w:p>
          <w:p w:rsidR="009571FC" w:rsidRPr="00037CF2" w:rsidRDefault="009571FC" w:rsidP="009571FC">
            <w:pPr>
              <w:widowControl/>
              <w:spacing w:before="120"/>
              <w:jc w:val="both"/>
              <w:rPr>
                <w:b/>
                <w:i/>
                <w:sz w:val="22"/>
                <w:szCs w:val="22"/>
              </w:rPr>
            </w:pPr>
            <w:r w:rsidRPr="00037CF2">
              <w:rPr>
                <w:b/>
                <w:i/>
                <w:sz w:val="22"/>
              </w:rPr>
              <w:t xml:space="preserve">Soweit verfügbar, stimmen die Mitgliedstaaten die Zuweisung von </w:t>
            </w:r>
            <w:r w:rsidRPr="00037CF2">
              <w:rPr>
                <w:b/>
                <w:i/>
                <w:sz w:val="22"/>
              </w:rPr>
              <w:lastRenderedPageBreak/>
              <w:t>Probenahmestellen mit anderen bestehenden Überwachungsprogrammen wie nationalen Vegetations- und Waldinventaren ab. Das Gleiche gilt für andere Arten von Zählungen, wie die Landwirtschaftszählung, um eine bessere Datenerhebung über Bewirtschaftungsverfahren und eine Kostenoptimierung zu ermöglichen.</w:t>
            </w:r>
          </w:p>
          <w:p w:rsidR="009571FC" w:rsidRPr="00037CF2" w:rsidRDefault="009571FC" w:rsidP="009571FC">
            <w:pPr>
              <w:widowControl/>
              <w:spacing w:before="120"/>
              <w:jc w:val="both"/>
              <w:rPr>
                <w:b/>
                <w:i/>
                <w:sz w:val="22"/>
                <w:szCs w:val="22"/>
              </w:rPr>
            </w:pPr>
            <w:r w:rsidRPr="00037CF2">
              <w:rPr>
                <w:b/>
                <w:i/>
                <w:sz w:val="22"/>
              </w:rPr>
              <w:t>Die Zuteilung und der Umfang der Stichprobe werden anhand wissenschaftlich festgelegter Methoden für das angewandte Stichprobenkonzept bestimmt, wie sie in Bethel (</w:t>
            </w:r>
            <w:r w:rsidRPr="00966B50">
              <w:rPr>
                <w:b/>
                <w:i/>
                <w:sz w:val="22"/>
              </w:rPr>
              <w:t>1989</w:t>
            </w:r>
            <w:r w:rsidRPr="00037CF2">
              <w:rPr>
                <w:b/>
                <w:i/>
                <w:sz w:val="22"/>
              </w:rPr>
              <w:t>) für geschichtete Zufallsstichproben genannt sind.</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a) Sicherstellung einer homogenen Abdeckung des Hoheitsgebiets des Mitgliedstaats für alle Arten von Land (z. B. durch Einführung eines systematischen Schichters, z. B. eines kontinuierlichen Rasters) als Teil des Stichprobenkonzepts.</w:t>
            </w:r>
          </w:p>
          <w:p w:rsidR="009571FC" w:rsidRPr="00037CF2" w:rsidRDefault="009571FC" w:rsidP="009571FC">
            <w:pPr>
              <w:widowControl/>
              <w:spacing w:before="120"/>
              <w:jc w:val="both"/>
              <w:rPr>
                <w:b/>
                <w:i/>
                <w:sz w:val="22"/>
                <w:szCs w:val="22"/>
              </w:rPr>
            </w:pPr>
            <w:r w:rsidRPr="00037CF2">
              <w:rPr>
                <w:b/>
                <w:i/>
                <w:sz w:val="22"/>
              </w:rPr>
              <w:t>b) Erhebung geschichteter Zufallsstichproben je nach Art der Fläche; Schichter können klimatische Bedingungen, Bodenart, Flächenart und Verwaltungseinheiten gemäß Artikel </w:t>
            </w:r>
            <w:r w:rsidRPr="00966B50">
              <w:rPr>
                <w:b/>
                <w:i/>
                <w:sz w:val="22"/>
              </w:rPr>
              <w:t>4</w:t>
            </w:r>
            <w:r w:rsidRPr="00037CF2">
              <w:rPr>
                <w:b/>
                <w:i/>
                <w:sz w:val="22"/>
              </w:rPr>
              <w:t xml:space="preserve"> umfassen.</w:t>
            </w:r>
          </w:p>
          <w:p w:rsidR="009571FC" w:rsidRPr="00037CF2" w:rsidRDefault="009571FC" w:rsidP="009571FC">
            <w:pPr>
              <w:widowControl/>
              <w:spacing w:before="120"/>
              <w:jc w:val="both"/>
              <w:rPr>
                <w:b/>
                <w:i/>
                <w:sz w:val="22"/>
                <w:szCs w:val="22"/>
              </w:rPr>
            </w:pPr>
            <w:r w:rsidRPr="00037CF2">
              <w:rPr>
                <w:b/>
                <w:i/>
                <w:sz w:val="22"/>
              </w:rPr>
              <w:lastRenderedPageBreak/>
              <w:t>c) Schätzung der Gesamtzahl der mindestens erforderlichen Proben nach dem Verfahren der Stufe </w:t>
            </w:r>
            <w:r w:rsidRPr="00966B50">
              <w:rPr>
                <w:b/>
                <w:i/>
                <w:sz w:val="22"/>
              </w:rPr>
              <w:t>1</w:t>
            </w:r>
            <w:r w:rsidRPr="00037CF2">
              <w:rPr>
                <w:b/>
                <w:i/>
                <w:sz w:val="22"/>
              </w:rPr>
              <w:t>.</w:t>
            </w:r>
          </w:p>
          <w:p w:rsidR="009571FC" w:rsidRPr="00037CF2" w:rsidRDefault="009571FC" w:rsidP="009571FC">
            <w:pPr>
              <w:widowControl/>
              <w:spacing w:before="120"/>
              <w:jc w:val="both"/>
              <w:rPr>
                <w:b/>
                <w:i/>
                <w:sz w:val="22"/>
                <w:szCs w:val="22"/>
              </w:rPr>
            </w:pPr>
            <w:r w:rsidRPr="00037CF2">
              <w:rPr>
                <w:b/>
                <w:i/>
                <w:sz w:val="22"/>
              </w:rPr>
              <w:t xml:space="preserve">d) </w:t>
            </w:r>
            <w:r w:rsidRPr="00966B50">
              <w:rPr>
                <w:b/>
                <w:i/>
                <w:sz w:val="22"/>
              </w:rPr>
              <w:t>20</w:t>
            </w:r>
            <w:r w:rsidRPr="00037CF2">
              <w:rPr>
                <w:b/>
                <w:i/>
                <w:sz w:val="22"/>
              </w:rPr>
              <w:t> % der Probenahmestellen können für gezielte Probenahmen im Zusammenhang mit Untersuchungen oder Risikobewertungen verwendet werden.</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iCs/>
                <w:sz w:val="22"/>
                <w:szCs w:val="22"/>
              </w:rPr>
            </w:pPr>
            <w:r w:rsidRPr="00037CF2">
              <w:rPr>
                <w:b/>
                <w:i/>
                <w:sz w:val="22"/>
              </w:rPr>
              <w:t xml:space="preserve">Es wird empfohlen, bei der Konzeption und Umsetzung des Bodenüberwachungssystems eine Vielzahl von Interessenträgern und erforderlichenfalls internationale Grenzabkommen einzubeziehen, um sicherzustellen, dass kosteneffiziente </w:t>
            </w:r>
            <w:r w:rsidRPr="00037CF2">
              <w:rPr>
                <w:b/>
                <w:i/>
                <w:sz w:val="22"/>
              </w:rPr>
              <w:lastRenderedPageBreak/>
              <w:t>Maßnahmen in Betracht gezogen werden und verfügbares Fachwissen berücksichtigt wird.</w:t>
            </w:r>
          </w:p>
        </w:tc>
      </w:tr>
      <w:tr w:rsidR="009571FC" w:rsidRPr="00037CF2" w:rsidTr="009571FC">
        <w:tc>
          <w:tcPr>
            <w:tcW w:w="9290"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Schädigungsfaktoren</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iCs/>
                <w:sz w:val="22"/>
                <w:szCs w:val="22"/>
              </w:rPr>
            </w:pPr>
            <w:r w:rsidRPr="00037CF2">
              <w:rPr>
                <w:b/>
                <w:i/>
                <w:sz w:val="22"/>
              </w:rPr>
              <w:t>Schädigungsfaktor</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Bodendeskriptor</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Ausnahmen</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Versalzung</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Elektrische Leitfähigkeit (in Siemens pro Meter (S m</w:t>
            </w:r>
            <w:r w:rsidRPr="00037CF2">
              <w:rPr>
                <w:b/>
                <w:i/>
                <w:sz w:val="22"/>
                <w:vertAlign w:val="superscript"/>
              </w:rPr>
              <w:t>-</w:t>
            </w:r>
            <w:r w:rsidRPr="00966B50">
              <w:rPr>
                <w:b/>
                <w:i/>
                <w:sz w:val="22"/>
                <w:vertAlign w:val="superscript"/>
              </w:rPr>
              <w:t>1</w:t>
            </w:r>
            <w:r w:rsidRPr="00037CF2">
              <w:rPr>
                <w:b/>
                <w:i/>
                <w:sz w:val="22"/>
              </w:rPr>
              <w:t>))</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rPr>
          <w:trHeight w:val="359"/>
        </w:trPr>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rPr>
            </w:pPr>
            <w:r w:rsidRPr="00037CF2">
              <w:rPr>
                <w:b/>
                <w:i/>
                <w:sz w:val="22"/>
              </w:rPr>
              <w:t>Flächenverbrauch</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 xml:space="preserve">Bodenversiegelung (in Prozent der Flächen, die durch jede Art von menschengemachter Infrastruktur versiegelt sind, pro </w:t>
            </w:r>
            <w:r w:rsidRPr="00966B50">
              <w:rPr>
                <w:b/>
                <w:i/>
                <w:sz w:val="22"/>
              </w:rPr>
              <w:t>100</w:t>
            </w:r>
            <w:r w:rsidRPr="00037CF2">
              <w:rPr>
                <w:b/>
                <w:i/>
                <w:sz w:val="22"/>
              </w:rPr>
              <w:t> m²)</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rPr>
            </w:pPr>
            <w:r w:rsidRPr="00037CF2">
              <w:rPr>
                <w:b/>
                <w:i/>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iCs/>
              </w:rPr>
            </w:pPr>
            <w:r w:rsidRPr="00037CF2">
              <w:rPr>
                <w:b/>
                <w:i/>
                <w:sz w:val="22"/>
              </w:rPr>
              <w:t>Als Referenz sollte die Probenahmestelle als Zentroid dieser Bewertung betrachtet werden.</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Bodenkontamination</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Arzneimittel und Tierarzneimittel</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tcPr>
          <w:p w:rsidR="009571FC" w:rsidRPr="00037CF2" w:rsidRDefault="009571FC" w:rsidP="009571FC">
            <w:pPr>
              <w:widowControl/>
              <w:spacing w:before="120"/>
              <w:jc w:val="both"/>
              <w:rPr>
                <w:b/>
                <w:i/>
                <w:sz w:val="22"/>
                <w:szCs w:val="22"/>
                <w:lang w:eastAsia="en-US"/>
              </w:rPr>
            </w:pP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Bodenverdichtung</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after="160" w:line="254" w:lineRule="auto"/>
              <w:ind w:left="346" w:hanging="360"/>
              <w:contextualSpacing/>
              <w:rPr>
                <w:b/>
                <w:i/>
                <w:sz w:val="22"/>
                <w:szCs w:val="22"/>
              </w:rPr>
            </w:pPr>
            <w:r w:rsidRPr="00037CF2">
              <w:rPr>
                <w:rFonts w:ascii="Symbol" w:hAnsi="Symbol"/>
                <w:sz w:val="22"/>
              </w:rPr>
              <w:sym w:font="Symbol" w:char="F0B7"/>
            </w:r>
            <w:r w:rsidRPr="00037CF2">
              <w:rPr>
                <w:rFonts w:ascii="Symbol" w:hAnsi="Symbol"/>
                <w:sz w:val="22"/>
              </w:rPr>
              <w:tab/>
            </w:r>
            <w:r w:rsidRPr="00037CF2">
              <w:rPr>
                <w:b/>
                <w:i/>
                <w:sz w:val="22"/>
              </w:rPr>
              <w:t>Massendichte im Untergrund; die Mitgliedstaaten können diesen Deskriptor durch einen gleichwertigen Parameter ersetzen (g pro cm</w:t>
            </w:r>
            <w:r w:rsidRPr="00966B50">
              <w:rPr>
                <w:b/>
                <w:i/>
                <w:sz w:val="22"/>
                <w:vertAlign w:val="superscript"/>
              </w:rPr>
              <w:t>3</w:t>
            </w:r>
            <w:r w:rsidRPr="00037CF2">
              <w:rPr>
                <w:b/>
                <w:i/>
                <w:sz w:val="22"/>
              </w:rPr>
              <w:t>)</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rPr>
                <w:b/>
                <w:i/>
                <w:sz w:val="22"/>
                <w:szCs w:val="22"/>
              </w:rPr>
            </w:pPr>
            <w:r w:rsidRPr="00037CF2">
              <w:rPr>
                <w:b/>
                <w:i/>
                <w:sz w:val="22"/>
              </w:rPr>
              <w:t>Nicht bewirtschaftete Böden auf natürlichen Flächen</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im Untergrund durchzuführen (</w:t>
            </w:r>
            <w:r w:rsidRPr="00966B50">
              <w:rPr>
                <w:b/>
                <w:i/>
                <w:sz w:val="22"/>
              </w:rPr>
              <w:t>30</w:t>
            </w:r>
            <w:r w:rsidRPr="00037CF2">
              <w:rPr>
                <w:b/>
                <w:i/>
                <w:sz w:val="22"/>
              </w:rPr>
              <w:t>-</w:t>
            </w:r>
            <w:r w:rsidRPr="00966B50">
              <w:rPr>
                <w:b/>
                <w:i/>
                <w:sz w:val="22"/>
              </w:rPr>
              <w:t>50</w:t>
            </w:r>
            <w:r w:rsidRPr="00037CF2">
              <w:rPr>
                <w:b/>
                <w:i/>
                <w:sz w:val="22"/>
              </w:rPr>
              <w:t xml:space="preserve"> cm, </w:t>
            </w:r>
            <w:r w:rsidRPr="00966B50">
              <w:rPr>
                <w:b/>
                <w:i/>
                <w:sz w:val="22"/>
              </w:rPr>
              <w:t>50</w:t>
            </w:r>
            <w:r w:rsidRPr="00037CF2">
              <w:rPr>
                <w:b/>
                <w:i/>
                <w:sz w:val="22"/>
              </w:rPr>
              <w:t>-</w:t>
            </w:r>
            <w:r w:rsidRPr="00966B50">
              <w:rPr>
                <w:b/>
                <w:i/>
                <w:sz w:val="22"/>
              </w:rPr>
              <w:t>100</w:t>
            </w:r>
            <w:r w:rsidRPr="00037CF2">
              <w:rPr>
                <w:b/>
                <w:i/>
                <w:sz w:val="22"/>
              </w:rPr>
              <w:t> cm)</w:t>
            </w:r>
          </w:p>
        </w:tc>
      </w:tr>
      <w:tr w:rsidR="009571FC" w:rsidRPr="00037CF2" w:rsidTr="009571FC">
        <w:tc>
          <w:tcPr>
            <w:tcW w:w="9290"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Ökologische Funktionen des Bodens</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Ökologische Funktion</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758" w:type="dxa"/>
            <w:tcBorders>
              <w:top w:val="single" w:sz="4" w:space="0" w:color="auto"/>
              <w:left w:val="single" w:sz="4" w:space="0" w:color="auto"/>
              <w:bottom w:val="single" w:sz="4" w:space="0" w:color="auto"/>
              <w:right w:val="single" w:sz="4" w:space="0" w:color="auto"/>
            </w:tcBorders>
          </w:tcPr>
          <w:p w:rsidR="009571FC" w:rsidRPr="00037CF2" w:rsidRDefault="009571FC" w:rsidP="009571FC">
            <w:pPr>
              <w:widowControl/>
              <w:spacing w:before="120"/>
              <w:jc w:val="both"/>
              <w:rPr>
                <w:b/>
                <w:bCs/>
                <w:i/>
                <w:iCs/>
                <w:sz w:val="22"/>
                <w:szCs w:val="22"/>
                <w:lang w:eastAsia="en-US"/>
              </w:rPr>
            </w:pP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Nährstoffkreislauf</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 xml:space="preserve">Stickstoffmineralisierung, </w:t>
            </w:r>
          </w:p>
          <w:p w:rsidR="009571FC" w:rsidRPr="00037CF2" w:rsidRDefault="009571FC" w:rsidP="009571FC">
            <w:pPr>
              <w:widowControl/>
              <w:spacing w:before="120"/>
              <w:ind w:left="347" w:hanging="360"/>
              <w:contextualSpacing/>
              <w:jc w:val="both"/>
              <w:rPr>
                <w:b/>
                <w:i/>
              </w:rPr>
            </w:pPr>
            <w:r w:rsidRPr="00037CF2">
              <w:rPr>
                <w:rFonts w:ascii="Symbol" w:hAnsi="Symbol"/>
              </w:rPr>
              <w:sym w:font="Symbol" w:char="F0B7"/>
            </w:r>
            <w:r w:rsidRPr="00037CF2">
              <w:rPr>
                <w:b/>
                <w:i/>
                <w:sz w:val="22"/>
              </w:rPr>
              <w:tab/>
              <w:t>Stickstoffverfügbarkeit</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Bodenzusammensetzung</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Wasserstabile Fraktion-Grobstoffe</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Enzymaktivität</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63" w:hanging="360"/>
              <w:contextualSpacing/>
              <w:jc w:val="both"/>
              <w:rPr>
                <w:b/>
                <w:i/>
                <w:sz w:val="22"/>
                <w:szCs w:val="22"/>
              </w:rPr>
            </w:pPr>
            <w:r w:rsidRPr="00037CF2">
              <w:rPr>
                <w:rFonts w:ascii="Symbol" w:hAnsi="Symbol"/>
                <w:sz w:val="22"/>
              </w:rPr>
              <w:sym w:font="Symbol" w:char="F0B7"/>
            </w:r>
            <w:r w:rsidRPr="00037CF2">
              <w:rPr>
                <w:b/>
                <w:i/>
                <w:sz w:val="22"/>
              </w:rPr>
              <w:tab/>
              <w:t xml:space="preserve">Enzymaktivitätspotenzial von Säurephosphatase (EC </w:t>
            </w:r>
            <w:r w:rsidRPr="00966B50">
              <w:rPr>
                <w:b/>
                <w:i/>
                <w:sz w:val="22"/>
              </w:rPr>
              <w:t>3</w:t>
            </w:r>
            <w:r w:rsidRPr="00037CF2">
              <w:rPr>
                <w:b/>
                <w:i/>
                <w:sz w:val="22"/>
              </w:rPr>
              <w:t>.</w:t>
            </w:r>
            <w:r w:rsidRPr="00966B50">
              <w:rPr>
                <w:b/>
                <w:i/>
                <w:sz w:val="22"/>
              </w:rPr>
              <w:t>13</w:t>
            </w:r>
            <w:r w:rsidRPr="00037CF2">
              <w:rPr>
                <w:b/>
                <w:i/>
                <w:sz w:val="22"/>
              </w:rPr>
              <w:t>.</w:t>
            </w:r>
            <w:r w:rsidRPr="00966B50">
              <w:rPr>
                <w:b/>
                <w:i/>
                <w:sz w:val="22"/>
              </w:rPr>
              <w:t>2</w:t>
            </w:r>
            <w:r w:rsidRPr="00037CF2">
              <w:rPr>
                <w:b/>
                <w:i/>
                <w:sz w:val="22"/>
              </w:rPr>
              <w:t>)</w:t>
            </w:r>
          </w:p>
          <w:p w:rsidR="009571FC" w:rsidRPr="00037CF2" w:rsidRDefault="009571FC" w:rsidP="009571FC">
            <w:pPr>
              <w:widowControl/>
              <w:spacing w:before="120"/>
              <w:ind w:left="363" w:hanging="360"/>
              <w:contextualSpacing/>
              <w:jc w:val="both"/>
              <w:rPr>
                <w:b/>
                <w:i/>
                <w:sz w:val="22"/>
                <w:szCs w:val="22"/>
              </w:rPr>
            </w:pPr>
            <w:r w:rsidRPr="00037CF2">
              <w:rPr>
                <w:rFonts w:ascii="Symbol" w:hAnsi="Symbol"/>
                <w:sz w:val="22"/>
              </w:rPr>
              <w:sym w:font="Symbol" w:char="F0B7"/>
            </w:r>
            <w:r w:rsidRPr="00037CF2">
              <w:rPr>
                <w:b/>
                <w:i/>
                <w:sz w:val="22"/>
              </w:rPr>
              <w:tab/>
              <w:t xml:space="preserve">Enzymaktivitätspotenzial von N-Acetylglucosaminidase (EC </w:t>
            </w:r>
            <w:r w:rsidRPr="00966B50">
              <w:rPr>
                <w:b/>
                <w:i/>
                <w:sz w:val="22"/>
              </w:rPr>
              <w:t>3</w:t>
            </w:r>
            <w:r w:rsidRPr="00037CF2">
              <w:rPr>
                <w:b/>
                <w:i/>
                <w:sz w:val="22"/>
              </w:rPr>
              <w:t>.</w:t>
            </w:r>
            <w:r w:rsidRPr="00966B50">
              <w:rPr>
                <w:b/>
                <w:i/>
                <w:sz w:val="22"/>
              </w:rPr>
              <w:t>2</w:t>
            </w:r>
            <w:r w:rsidRPr="00037CF2">
              <w:rPr>
                <w:b/>
                <w:i/>
                <w:sz w:val="22"/>
              </w:rPr>
              <w:t>.</w:t>
            </w:r>
            <w:r w:rsidRPr="00966B50">
              <w:rPr>
                <w:b/>
                <w:i/>
                <w:sz w:val="22"/>
              </w:rPr>
              <w:t>1</w:t>
            </w:r>
            <w:r w:rsidRPr="00037CF2">
              <w:rPr>
                <w:b/>
                <w:i/>
                <w:sz w:val="22"/>
              </w:rPr>
              <w:t>.</w:t>
            </w:r>
            <w:r w:rsidRPr="00966B50">
              <w:rPr>
                <w:b/>
                <w:i/>
                <w:sz w:val="22"/>
              </w:rPr>
              <w:t>50</w:t>
            </w:r>
            <w:r w:rsidRPr="00037CF2">
              <w:rPr>
                <w:b/>
                <w:i/>
                <w:sz w:val="22"/>
              </w:rPr>
              <w:t>)</w:t>
            </w:r>
          </w:p>
          <w:p w:rsidR="009571FC" w:rsidRPr="00037CF2" w:rsidRDefault="009571FC" w:rsidP="009571FC">
            <w:pPr>
              <w:widowControl/>
              <w:spacing w:before="120"/>
              <w:ind w:left="363" w:hanging="360"/>
              <w:contextualSpacing/>
              <w:jc w:val="both"/>
              <w:rPr>
                <w:b/>
                <w:i/>
                <w:sz w:val="22"/>
                <w:szCs w:val="22"/>
              </w:rPr>
            </w:pPr>
            <w:r w:rsidRPr="00037CF2">
              <w:rPr>
                <w:rFonts w:ascii="Symbol" w:hAnsi="Symbol"/>
                <w:sz w:val="22"/>
              </w:rPr>
              <w:sym w:font="Symbol" w:char="F0B7"/>
            </w:r>
            <w:r w:rsidRPr="00037CF2">
              <w:rPr>
                <w:b/>
                <w:i/>
                <w:sz w:val="22"/>
              </w:rPr>
              <w:tab/>
              <w:t>Enzymaktivitätspotenzial von Xylosidase (EC </w:t>
            </w:r>
            <w:r w:rsidRPr="00966B50">
              <w:rPr>
                <w:b/>
                <w:i/>
                <w:sz w:val="22"/>
              </w:rPr>
              <w:t>3</w:t>
            </w:r>
            <w:r w:rsidRPr="00037CF2">
              <w:rPr>
                <w:b/>
                <w:i/>
                <w:sz w:val="22"/>
              </w:rPr>
              <w:t>.</w:t>
            </w:r>
            <w:r w:rsidRPr="00966B50">
              <w:rPr>
                <w:b/>
                <w:i/>
                <w:sz w:val="22"/>
              </w:rPr>
              <w:t>2</w:t>
            </w:r>
            <w:r w:rsidRPr="00037CF2">
              <w:rPr>
                <w:b/>
                <w:i/>
                <w:sz w:val="22"/>
              </w:rPr>
              <w:t>.</w:t>
            </w:r>
            <w:r w:rsidRPr="00966B50">
              <w:rPr>
                <w:b/>
                <w:i/>
                <w:sz w:val="22"/>
              </w:rPr>
              <w:t>1</w:t>
            </w:r>
            <w:r w:rsidRPr="00037CF2">
              <w:rPr>
                <w:b/>
                <w:i/>
                <w:sz w:val="22"/>
              </w:rPr>
              <w:t>.</w:t>
            </w:r>
            <w:r w:rsidRPr="00966B50">
              <w:rPr>
                <w:b/>
                <w:i/>
                <w:sz w:val="22"/>
              </w:rPr>
              <w:t>37</w:t>
            </w:r>
            <w:r w:rsidRPr="00037CF2">
              <w:rPr>
                <w:b/>
                <w:i/>
                <w:sz w:val="22"/>
              </w:rPr>
              <w:t>)</w:t>
            </w:r>
          </w:p>
          <w:p w:rsidR="009571FC" w:rsidRPr="00037CF2" w:rsidRDefault="009571FC" w:rsidP="009571FC">
            <w:pPr>
              <w:widowControl/>
              <w:spacing w:before="120"/>
              <w:ind w:left="363" w:hanging="360"/>
              <w:contextualSpacing/>
              <w:jc w:val="both"/>
              <w:rPr>
                <w:b/>
                <w:i/>
                <w:sz w:val="22"/>
                <w:szCs w:val="22"/>
              </w:rPr>
            </w:pPr>
            <w:r w:rsidRPr="00037CF2">
              <w:rPr>
                <w:rFonts w:ascii="Symbol" w:hAnsi="Symbol"/>
                <w:sz w:val="22"/>
              </w:rPr>
              <w:sym w:font="Symbol" w:char="F0B7"/>
            </w:r>
            <w:r w:rsidRPr="00037CF2">
              <w:rPr>
                <w:b/>
                <w:i/>
                <w:sz w:val="22"/>
              </w:rPr>
              <w:tab/>
              <w:t xml:space="preserve">Enzymaktivitätspotenzial von Cellobiohydrolas (EC </w:t>
            </w:r>
            <w:r w:rsidRPr="00966B50">
              <w:rPr>
                <w:b/>
                <w:i/>
                <w:sz w:val="22"/>
              </w:rPr>
              <w:t>3</w:t>
            </w:r>
            <w:r w:rsidRPr="00037CF2">
              <w:rPr>
                <w:b/>
                <w:i/>
                <w:sz w:val="22"/>
              </w:rPr>
              <w:t>.</w:t>
            </w:r>
            <w:r w:rsidRPr="00966B50">
              <w:rPr>
                <w:b/>
                <w:i/>
                <w:sz w:val="22"/>
              </w:rPr>
              <w:t>2</w:t>
            </w:r>
            <w:r w:rsidRPr="00037CF2">
              <w:rPr>
                <w:b/>
                <w:i/>
                <w:sz w:val="22"/>
              </w:rPr>
              <w:t>.</w:t>
            </w:r>
            <w:r w:rsidRPr="00966B50">
              <w:rPr>
                <w:b/>
                <w:i/>
                <w:sz w:val="22"/>
              </w:rPr>
              <w:t>1</w:t>
            </w:r>
            <w:r w:rsidRPr="00037CF2">
              <w:rPr>
                <w:b/>
                <w:i/>
                <w:sz w:val="22"/>
              </w:rPr>
              <w:t>.</w:t>
            </w:r>
            <w:r w:rsidRPr="00966B50">
              <w:rPr>
                <w:b/>
                <w:i/>
                <w:sz w:val="22"/>
              </w:rPr>
              <w:t>91</w:t>
            </w:r>
            <w:r w:rsidRPr="00037CF2">
              <w:rPr>
                <w:b/>
                <w:i/>
                <w:sz w:val="22"/>
              </w:rPr>
              <w:t>)</w:t>
            </w:r>
          </w:p>
          <w:p w:rsidR="009571FC" w:rsidRPr="00037CF2" w:rsidRDefault="009571FC" w:rsidP="009571FC">
            <w:pPr>
              <w:widowControl/>
              <w:spacing w:before="120"/>
              <w:ind w:left="363" w:hanging="360"/>
              <w:contextualSpacing/>
              <w:jc w:val="both"/>
              <w:rPr>
                <w:b/>
                <w:i/>
                <w:sz w:val="22"/>
                <w:szCs w:val="22"/>
              </w:rPr>
            </w:pPr>
            <w:r w:rsidRPr="00037CF2">
              <w:rPr>
                <w:rFonts w:ascii="Symbol" w:hAnsi="Symbol"/>
                <w:sz w:val="22"/>
              </w:rPr>
              <w:sym w:font="Symbol" w:char="F0B7"/>
            </w:r>
            <w:r w:rsidRPr="00037CF2">
              <w:rPr>
                <w:b/>
                <w:i/>
                <w:sz w:val="22"/>
              </w:rPr>
              <w:tab/>
              <w:t>Enzymaktivitätspotenzial von β-Glukosidase (EC </w:t>
            </w:r>
            <w:r w:rsidRPr="00966B50">
              <w:rPr>
                <w:b/>
                <w:i/>
                <w:sz w:val="22"/>
              </w:rPr>
              <w:t>3</w:t>
            </w:r>
            <w:r w:rsidRPr="00037CF2">
              <w:rPr>
                <w:b/>
                <w:i/>
                <w:sz w:val="22"/>
              </w:rPr>
              <w:t>.</w:t>
            </w:r>
            <w:r w:rsidRPr="00966B50">
              <w:rPr>
                <w:b/>
                <w:i/>
                <w:sz w:val="22"/>
              </w:rPr>
              <w:t>2</w:t>
            </w:r>
            <w:r w:rsidRPr="00037CF2">
              <w:rPr>
                <w:b/>
                <w:i/>
                <w:sz w:val="22"/>
              </w:rPr>
              <w:t>.</w:t>
            </w:r>
            <w:r w:rsidRPr="00966B50">
              <w:rPr>
                <w:b/>
                <w:i/>
                <w:sz w:val="22"/>
              </w:rPr>
              <w:t>1</w:t>
            </w:r>
            <w:r w:rsidRPr="00037CF2">
              <w:rPr>
                <w:b/>
                <w:i/>
                <w:sz w:val="22"/>
              </w:rPr>
              <w:t>.</w:t>
            </w:r>
            <w:r w:rsidRPr="00966B50">
              <w:rPr>
                <w:b/>
                <w:i/>
                <w:sz w:val="22"/>
              </w:rPr>
              <w:t>21</w:t>
            </w:r>
            <w:r w:rsidRPr="00037CF2">
              <w:rPr>
                <w:b/>
                <w:i/>
                <w:sz w:val="22"/>
              </w:rPr>
              <w:t>)</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Bodenbiomasse</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rFonts w:ascii="Symbol" w:hAnsi="Symbol"/>
                <w:sz w:val="22"/>
              </w:rPr>
              <w:tab/>
            </w:r>
            <w:r w:rsidRPr="00037CF2">
              <w:rPr>
                <w:b/>
                <w:i/>
                <w:sz w:val="22"/>
              </w:rPr>
              <w:t>Mikrobielle Biomasse gemäß Marker-Fettsäuren (Biomasse je mikrobieller Funktionsgruppe, in ng FAME g</w:t>
            </w:r>
            <w:r w:rsidRPr="00037CF2">
              <w:rPr>
                <w:b/>
                <w:i/>
                <w:sz w:val="22"/>
                <w:vertAlign w:val="superscript"/>
              </w:rPr>
              <w:t>-</w:t>
            </w:r>
            <w:r w:rsidRPr="00966B50">
              <w:rPr>
                <w:b/>
                <w:i/>
                <w:sz w:val="22"/>
                <w:vertAlign w:val="superscript"/>
              </w:rPr>
              <w:t>1</w:t>
            </w:r>
            <w:r w:rsidRPr="00037CF2">
              <w:rPr>
                <w:b/>
                <w:i/>
                <w:sz w:val="22"/>
              </w:rPr>
              <w:t xml:space="preserve"> Bodentrockenmasse)</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290"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t>Biologische Vielfalt des Bodens</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Merkmal der biologischen Vielfalt des Bodens</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Taxonomische Vielfalt</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Vielfalt (Artenreichtum) der Bodentiere pro Gruppe auf der Grundlage morphologischer Methoden, wozu auch die Bilderkennung gehören kann (Nematoden (bei Nematoden sollte die Einstufung mindestens auf der Ebene der Familie erfolgen) und Regenwürmer (bei Regenwürmern sollte die Einstufung auf Artenebene erfolgen))</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Metagenomebasierte taxonomische Zählungen der biologischen Vielfalt im Boden je taxonomische Gruppe</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Populationsgröße</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Gesamtgröße der Populationen von Pilzen (unter Verwendung der „Internal transcribed spacer region“ (ITS))</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290"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Bodenhabitat</w:t>
            </w:r>
          </w:p>
        </w:tc>
      </w:tr>
      <w:tr w:rsidR="009571FC" w:rsidRPr="00037CF2" w:rsidTr="009571FC">
        <w:tc>
          <w:tcPr>
            <w:tcW w:w="275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Merkmal des Bodenhabitats</w:t>
            </w:r>
          </w:p>
        </w:tc>
        <w:tc>
          <w:tcPr>
            <w:tcW w:w="318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1585"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758"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bl>
    <w:p w:rsidR="009571FC" w:rsidRPr="009571FC" w:rsidRDefault="009571FC" w:rsidP="001C2358">
      <w:pPr>
        <w:spacing w:before="120" w:after="120" w:line="360" w:lineRule="auto"/>
        <w:ind w:left="850" w:hanging="850"/>
        <w:rPr>
          <w:b/>
          <w:szCs w:val="24"/>
          <w:lang w:eastAsia="en-US"/>
        </w:rPr>
      </w:pPr>
      <w:r>
        <w:rPr>
          <w:b/>
          <w:szCs w:val="24"/>
          <w:lang w:eastAsia="en-US"/>
        </w:rPr>
        <w:t xml:space="preserve"> [Abänd. 199]</w:t>
      </w:r>
    </w:p>
    <w:tbl>
      <w:tblPr>
        <w:tblStyle w:val="TableGrid"/>
        <w:tblW w:w="9143" w:type="dxa"/>
        <w:tblLayout w:type="fixed"/>
        <w:tblLook w:val="04A0" w:firstRow="1" w:lastRow="0" w:firstColumn="1" w:lastColumn="0" w:noHBand="0" w:noVBand="1"/>
      </w:tblPr>
      <w:tblGrid>
        <w:gridCol w:w="2736"/>
        <w:gridCol w:w="639"/>
        <w:gridCol w:w="2552"/>
        <w:gridCol w:w="1317"/>
        <w:gridCol w:w="1899"/>
      </w:tblGrid>
      <w:tr w:rsidR="009571FC" w:rsidRPr="00037CF2" w:rsidTr="009571FC">
        <w:tc>
          <w:tcPr>
            <w:tcW w:w="9143" w:type="dxa"/>
            <w:gridSpan w:val="5"/>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strike/>
                <w:noProof/>
              </w:rPr>
            </w:pPr>
            <w:r w:rsidRPr="009571FC">
              <w:rPr>
                <w:strike/>
              </w:rPr>
              <w:t>Teil C: Bodendeskriptoren ohne Kriterien</w:t>
            </w:r>
          </w:p>
        </w:tc>
      </w:tr>
      <w:tr w:rsidR="009571FC" w:rsidRPr="00037CF2" w:rsidTr="009571FC">
        <w:tc>
          <w:tcPr>
            <w:tcW w:w="3375" w:type="dxa"/>
            <w:gridSpan w:val="2"/>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bCs/>
                <w:strike/>
                <w:noProof/>
              </w:rPr>
            </w:pPr>
            <w:r w:rsidRPr="009571FC">
              <w:rPr>
                <w:strike/>
              </w:rPr>
              <w:t>Art der Bodendegradation</w:t>
            </w:r>
          </w:p>
        </w:tc>
        <w:tc>
          <w:tcPr>
            <w:tcW w:w="5768" w:type="dxa"/>
            <w:gridSpan w:val="3"/>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bCs/>
                <w:strike/>
                <w:noProof/>
              </w:rPr>
            </w:pPr>
            <w:r w:rsidRPr="009571FC">
              <w:rPr>
                <w:strike/>
              </w:rPr>
              <w:t>Bodendeskriptor</w:t>
            </w:r>
          </w:p>
        </w:tc>
      </w:tr>
      <w:tr w:rsidR="009571FC" w:rsidRPr="00037CF2" w:rsidTr="009571FC">
        <w:tc>
          <w:tcPr>
            <w:tcW w:w="3375" w:type="dxa"/>
            <w:gridSpan w:val="2"/>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iCs/>
                <w:strike/>
                <w:noProof/>
              </w:rPr>
            </w:pPr>
            <w:r w:rsidRPr="009571FC">
              <w:rPr>
                <w:strike/>
              </w:rPr>
              <w:t>Überschüssiger Nährstoffgehalt im Boden</w:t>
            </w:r>
          </w:p>
        </w:tc>
        <w:tc>
          <w:tcPr>
            <w:tcW w:w="5768" w:type="dxa"/>
            <w:gridSpan w:val="3"/>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strike/>
                <w:noProof/>
              </w:rPr>
            </w:pPr>
            <w:r w:rsidRPr="009571FC">
              <w:rPr>
                <w:strike/>
              </w:rPr>
              <w:t>Stickstoff im Boden (in mg g</w:t>
            </w:r>
            <w:r w:rsidRPr="009571FC">
              <w:rPr>
                <w:strike/>
                <w:vertAlign w:val="superscript"/>
              </w:rPr>
              <w:t>-1</w:t>
            </w:r>
            <w:r w:rsidRPr="009571FC">
              <w:rPr>
                <w:strike/>
              </w:rPr>
              <w:t>)</w:t>
            </w:r>
          </w:p>
        </w:tc>
      </w:tr>
      <w:tr w:rsidR="009571FC" w:rsidRPr="00037CF2" w:rsidTr="009571FC">
        <w:tc>
          <w:tcPr>
            <w:tcW w:w="3375" w:type="dxa"/>
            <w:gridSpan w:val="2"/>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iCs/>
                <w:strike/>
                <w:noProof/>
              </w:rPr>
            </w:pPr>
            <w:r w:rsidRPr="009571FC">
              <w:rPr>
                <w:strike/>
              </w:rPr>
              <w:t>Versauerung</w:t>
            </w:r>
          </w:p>
        </w:tc>
        <w:tc>
          <w:tcPr>
            <w:tcW w:w="5768" w:type="dxa"/>
            <w:gridSpan w:val="3"/>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iCs/>
                <w:strike/>
                <w:noProof/>
              </w:rPr>
            </w:pPr>
            <w:r w:rsidRPr="009571FC">
              <w:rPr>
                <w:strike/>
              </w:rPr>
              <w:t>Bodensäure (pH-Wert)</w:t>
            </w:r>
          </w:p>
        </w:tc>
      </w:tr>
      <w:tr w:rsidR="009571FC" w:rsidRPr="00037CF2" w:rsidTr="009571FC">
        <w:tc>
          <w:tcPr>
            <w:tcW w:w="3375" w:type="dxa"/>
            <w:gridSpan w:val="2"/>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iCs/>
                <w:strike/>
                <w:noProof/>
              </w:rPr>
            </w:pPr>
            <w:r w:rsidRPr="009571FC">
              <w:rPr>
                <w:strike/>
              </w:rPr>
              <w:t>Oberbodenverdichtung</w:t>
            </w:r>
          </w:p>
        </w:tc>
        <w:tc>
          <w:tcPr>
            <w:tcW w:w="5768" w:type="dxa"/>
            <w:gridSpan w:val="3"/>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iCs/>
                <w:strike/>
                <w:noProof/>
              </w:rPr>
            </w:pPr>
            <w:r w:rsidRPr="009571FC">
              <w:rPr>
                <w:strike/>
              </w:rPr>
              <w:t>Lagerungsdichte im Oberboden (A-Horizont</w:t>
            </w:r>
            <w:r w:rsidRPr="009571FC">
              <w:rPr>
                <w:rStyle w:val="FootnoteReference"/>
                <w:strike/>
              </w:rPr>
              <w:footnoteReference w:id="62"/>
            </w:r>
            <w:r w:rsidRPr="009571FC">
              <w:rPr>
                <w:strike/>
              </w:rPr>
              <w:t>) (in g cm</w:t>
            </w:r>
            <w:r w:rsidRPr="009571FC">
              <w:rPr>
                <w:strike/>
                <w:vertAlign w:val="superscript"/>
              </w:rPr>
              <w:t>-3</w:t>
            </w:r>
            <w:r w:rsidRPr="009571FC">
              <w:rPr>
                <w:strike/>
              </w:rPr>
              <w:t>)</w:t>
            </w:r>
          </w:p>
        </w:tc>
      </w:tr>
      <w:tr w:rsidR="009571FC" w:rsidRPr="00037CF2" w:rsidTr="009571FC">
        <w:tc>
          <w:tcPr>
            <w:tcW w:w="3375" w:type="dxa"/>
            <w:gridSpan w:val="2"/>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iCs/>
                <w:strike/>
                <w:noProof/>
              </w:rPr>
            </w:pPr>
            <w:r w:rsidRPr="009571FC">
              <w:rPr>
                <w:strike/>
              </w:rPr>
              <w:t>Verlust an biologischer Vielfalt im Boden</w:t>
            </w:r>
          </w:p>
        </w:tc>
        <w:tc>
          <w:tcPr>
            <w:tcW w:w="5768" w:type="dxa"/>
            <w:gridSpan w:val="3"/>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rPr>
                <w:rFonts w:eastAsiaTheme="minorEastAsia"/>
                <w:strike/>
                <w:noProof/>
              </w:rPr>
            </w:pPr>
            <w:r w:rsidRPr="009571FC">
              <w:rPr>
                <w:strike/>
              </w:rPr>
              <w:t>Bodenbasalatmung (in mm</w:t>
            </w:r>
            <w:r w:rsidRPr="009571FC">
              <w:rPr>
                <w:strike/>
                <w:vertAlign w:val="superscript"/>
              </w:rPr>
              <w:t>3</w:t>
            </w:r>
            <w:r w:rsidRPr="009571FC">
              <w:rPr>
                <w:strike/>
              </w:rPr>
              <w:t> O2 g-1 hr-1) in trockenem Boden</w:t>
            </w:r>
          </w:p>
          <w:p w:rsidR="009571FC" w:rsidRPr="009571FC" w:rsidRDefault="009571FC" w:rsidP="009571FC">
            <w:pPr>
              <w:rPr>
                <w:strike/>
                <w:noProof/>
              </w:rPr>
            </w:pPr>
            <w:r w:rsidRPr="009571FC">
              <w:rPr>
                <w:strike/>
              </w:rPr>
              <w:t>Die Mitgliedstaaten können auch zusätzliche fakultative Bodendeskriptoren für die biologische Vielfalt wie beispielsweise folgende auswählen:</w:t>
            </w:r>
            <w:r w:rsidRPr="009571FC">
              <w:rPr>
                <w:strike/>
              </w:rPr>
              <w:br/>
              <w:t xml:space="preserve"> - Metabarcoding für Bakterien, Pilze, Protisten und Tiere;</w:t>
            </w:r>
            <w:r w:rsidRPr="009571FC">
              <w:rPr>
                <w:strike/>
              </w:rPr>
              <w:br/>
              <w:t xml:space="preserve"> - Größe und Vielfalt der Nematodenpopulationen;</w:t>
            </w:r>
            <w:r w:rsidRPr="009571FC">
              <w:rPr>
                <w:strike/>
              </w:rPr>
              <w:br/>
              <w:t xml:space="preserve"> - mikrobielle Biomasse;</w:t>
            </w:r>
            <w:r w:rsidRPr="009571FC">
              <w:rPr>
                <w:strike/>
              </w:rPr>
              <w:br/>
              <w:t xml:space="preserve"> - Größe und Vielfalt der Regenwurmpopulationen (bei Kulturflächen);</w:t>
            </w:r>
          </w:p>
          <w:p w:rsidR="009571FC" w:rsidRPr="009571FC" w:rsidRDefault="009571FC" w:rsidP="009571FC">
            <w:pPr>
              <w:rPr>
                <w:strike/>
                <w:noProof/>
              </w:rPr>
            </w:pPr>
            <w:r w:rsidRPr="009571FC">
              <w:rPr>
                <w:strike/>
              </w:rPr>
              <w:t>- invasive gebietsfremde Arten und Pflanzenschädlinge.</w:t>
            </w:r>
          </w:p>
        </w:tc>
      </w:tr>
      <w:tr w:rsidR="009571FC" w:rsidRPr="00037CF2" w:rsidTr="009571FC">
        <w:tc>
          <w:tcPr>
            <w:tcW w:w="9143" w:type="dxa"/>
            <w:gridSpan w:val="5"/>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sz w:val="22"/>
                <w:szCs w:val="22"/>
              </w:rPr>
            </w:pPr>
            <w:r w:rsidRPr="00037CF2">
              <w:rPr>
                <w:b/>
                <w:i/>
                <w:sz w:val="22"/>
              </w:rPr>
              <w:t>Teil C: Bodenüberwachungskonzepte der Stufe </w:t>
            </w:r>
            <w:r w:rsidRPr="00966B50">
              <w:rPr>
                <w:b/>
                <w:i/>
                <w:sz w:val="22"/>
              </w:rPr>
              <w:t>3</w:t>
            </w:r>
          </w:p>
          <w:p w:rsidR="009571FC" w:rsidRPr="00037CF2" w:rsidRDefault="009571FC" w:rsidP="009571FC">
            <w:pPr>
              <w:widowControl/>
              <w:spacing w:before="120"/>
              <w:jc w:val="both"/>
              <w:rPr>
                <w:b/>
                <w:bCs/>
                <w:i/>
                <w:sz w:val="22"/>
                <w:szCs w:val="22"/>
              </w:rPr>
            </w:pPr>
            <w:r w:rsidRPr="00037CF2">
              <w:rPr>
                <w:b/>
                <w:i/>
                <w:sz w:val="22"/>
              </w:rPr>
              <w:t>Ein Mitgliedstaat kommt für ein Bodenüberwachungskonzept der Stufe </w:t>
            </w:r>
            <w:r w:rsidRPr="00966B50">
              <w:rPr>
                <w:b/>
                <w:i/>
                <w:sz w:val="22"/>
              </w:rPr>
              <w:t>3</w:t>
            </w:r>
            <w:r w:rsidRPr="00037CF2">
              <w:rPr>
                <w:b/>
                <w:i/>
                <w:sz w:val="22"/>
              </w:rPr>
              <w:t xml:space="preserve"> in Frage, wenn er die Anforderungen der Stufe </w:t>
            </w:r>
            <w:r w:rsidRPr="00966B50">
              <w:rPr>
                <w:b/>
                <w:i/>
                <w:sz w:val="22"/>
              </w:rPr>
              <w:t>2</w:t>
            </w:r>
            <w:r w:rsidRPr="00037CF2">
              <w:rPr>
                <w:b/>
                <w:i/>
                <w:sz w:val="22"/>
              </w:rPr>
              <w:t xml:space="preserve"> erfüllt und mindestens </w:t>
            </w:r>
            <w:r w:rsidRPr="00966B50">
              <w:rPr>
                <w:b/>
                <w:i/>
                <w:sz w:val="22"/>
              </w:rPr>
              <w:t>50</w:t>
            </w:r>
            <w:r w:rsidRPr="00037CF2">
              <w:rPr>
                <w:b/>
                <w:i/>
                <w:sz w:val="22"/>
              </w:rPr>
              <w:t> % der Bodendeskriptoren in Teil C einbezieht.</w:t>
            </w:r>
          </w:p>
        </w:tc>
      </w:tr>
      <w:tr w:rsidR="009571FC" w:rsidRPr="00037CF2" w:rsidTr="009571FC">
        <w:tc>
          <w:tcPr>
            <w:tcW w:w="9143" w:type="dxa"/>
            <w:gridSpan w:val="5"/>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Schädigungsfaktoren</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rPr>
            </w:pPr>
            <w:r w:rsidRPr="00037CF2">
              <w:rPr>
                <w:b/>
                <w:i/>
                <w:sz w:val="22"/>
              </w:rPr>
              <w:t>Schädigungsfaktor</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rPr>
            </w:pPr>
            <w:r w:rsidRPr="00037CF2">
              <w:rPr>
                <w:b/>
                <w:i/>
                <w:sz w:val="22"/>
              </w:rPr>
              <w:t>Bodendeskriptor</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rPr>
            </w:pPr>
            <w:r w:rsidRPr="00037CF2">
              <w:rPr>
                <w:b/>
                <w:i/>
                <w:sz w:val="22"/>
              </w:rPr>
              <w:t>Ausnahmen</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Anmerkungen</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rPr>
            </w:pPr>
            <w:r w:rsidRPr="00037CF2">
              <w:rPr>
                <w:b/>
                <w:i/>
                <w:sz w:val="22"/>
              </w:rPr>
              <w:t>Bodenkontamination</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rPr>
            </w:pPr>
            <w:r w:rsidRPr="00037CF2">
              <w:rPr>
                <w:rFonts w:ascii="Symbol" w:hAnsi="Symbol"/>
              </w:rPr>
              <w:sym w:font="Symbol" w:char="F0B7"/>
            </w:r>
            <w:r w:rsidRPr="00037CF2">
              <w:rPr>
                <w:b/>
                <w:i/>
                <w:sz w:val="22"/>
              </w:rPr>
              <w:tab/>
              <w:t>Konzentration von Mikroplastik und Nanoplastik</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rPr>
            </w:pPr>
            <w:r w:rsidRPr="00037CF2">
              <w:rPr>
                <w:b/>
                <w:i/>
                <w:sz w:val="22"/>
              </w:rPr>
              <w:t>-</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143" w:type="dxa"/>
            <w:gridSpan w:val="5"/>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Ökologische Funktionen des Bodens</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Ökologische Funktion</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Bodenbiomasse</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rFonts w:ascii="Symbol" w:hAnsi="Symbol"/>
                <w:sz w:val="22"/>
              </w:rPr>
              <w:tab/>
            </w:r>
            <w:r w:rsidRPr="00037CF2">
              <w:rPr>
                <w:b/>
                <w:i/>
                <w:sz w:val="22"/>
              </w:rPr>
              <w:t xml:space="preserve">Tierbiomasse im Boden (je taxonomische Gruppe (Nematoden und Regenwürmer), in mg Frischgewicht (bei Nematoden)/Trockengewicht </w:t>
            </w:r>
            <w:r w:rsidRPr="00037CF2">
              <w:rPr>
                <w:b/>
                <w:i/>
                <w:sz w:val="22"/>
              </w:rPr>
              <w:lastRenderedPageBreak/>
              <w:t>(bei Regenwürmern) je g Bodentrockenmasse)</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Wurzelbiomasse (in mg Trockengewicht pro g Bodentrockenmasse)</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lastRenderedPageBreak/>
              <w:t>-</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Gemeinschaftliche Merkmale der Wurzeln</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Gesamter Stickstoffgehalt in Wurzeln</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Wurzellängendichte</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Mittlerer Wurzeldurchmesser</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Variation des Wurzeldurchmessers</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Trockenmassegehalt der Wurzeln</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7244" w:type="dxa"/>
            <w:gridSpan w:val="4"/>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Biologische Vielfalt des Bodens</w:t>
            </w:r>
          </w:p>
        </w:tc>
        <w:tc>
          <w:tcPr>
            <w:tcW w:w="1899" w:type="dxa"/>
            <w:tcBorders>
              <w:top w:val="single" w:sz="4" w:space="0" w:color="auto"/>
              <w:left w:val="single" w:sz="4" w:space="0" w:color="auto"/>
              <w:bottom w:val="single" w:sz="4" w:space="0" w:color="auto"/>
              <w:right w:val="single" w:sz="4" w:space="0" w:color="auto"/>
            </w:tcBorders>
          </w:tcPr>
          <w:p w:rsidR="009571FC" w:rsidRPr="00037CF2" w:rsidRDefault="009571FC" w:rsidP="009571FC">
            <w:pPr>
              <w:widowControl/>
              <w:spacing w:before="120"/>
              <w:jc w:val="both"/>
              <w:rPr>
                <w:b/>
                <w:bCs/>
                <w:i/>
                <w:sz w:val="22"/>
                <w:szCs w:val="22"/>
                <w:lang w:eastAsia="en-US"/>
              </w:rPr>
            </w:pP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Merkmal der biologischen Vielfalt des Bodens</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Taxonomische Vielfalt</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Vielfalt (Artenreichtum) der Bodentiere pro Gruppe (Collembolen und Milben)</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Vorkommen invasiver gebietsfremder Arten</w:t>
            </w:r>
          </w:p>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Vielfalt von Viren mittels metagenomischer Verfahren</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Populationsgröße</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ind w:left="347" w:hanging="360"/>
              <w:contextualSpacing/>
              <w:jc w:val="both"/>
              <w:rPr>
                <w:b/>
                <w:i/>
                <w:sz w:val="22"/>
                <w:szCs w:val="22"/>
              </w:rPr>
            </w:pPr>
            <w:r w:rsidRPr="00037CF2">
              <w:rPr>
                <w:rFonts w:ascii="Symbol" w:hAnsi="Symbol"/>
                <w:sz w:val="22"/>
              </w:rPr>
              <w:sym w:font="Symbol" w:char="F0B7"/>
            </w:r>
            <w:r w:rsidRPr="00037CF2">
              <w:rPr>
                <w:b/>
                <w:i/>
                <w:sz w:val="22"/>
              </w:rPr>
              <w:tab/>
              <w:t>Gesamtes Vorkommen von Bodentieren je taxonomische Gruppe (bei Nematoden und Regenwürmern)</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auf Oberboden durchzuführen (</w:t>
            </w:r>
            <w:r w:rsidRPr="00966B50">
              <w:rPr>
                <w:b/>
                <w:i/>
                <w:sz w:val="22"/>
              </w:rPr>
              <w:t>0</w:t>
            </w:r>
            <w:r w:rsidRPr="00037CF2">
              <w:rPr>
                <w:b/>
                <w:i/>
                <w:sz w:val="22"/>
              </w:rPr>
              <w:t>-</w:t>
            </w:r>
            <w:r w:rsidRPr="00966B50">
              <w:rPr>
                <w:b/>
                <w:i/>
                <w:sz w:val="22"/>
              </w:rPr>
              <w:t>10</w:t>
            </w:r>
            <w:r w:rsidRPr="00037CF2">
              <w:rPr>
                <w:b/>
                <w:i/>
                <w:sz w:val="22"/>
              </w:rPr>
              <w:t xml:space="preserve"> cm, </w:t>
            </w:r>
            <w:r w:rsidRPr="00966B50">
              <w:rPr>
                <w:b/>
                <w:i/>
                <w:sz w:val="22"/>
              </w:rPr>
              <w:t>10</w:t>
            </w:r>
            <w:r w:rsidRPr="00037CF2">
              <w:rPr>
                <w:b/>
                <w:i/>
                <w:sz w:val="22"/>
              </w:rPr>
              <w:t>-</w:t>
            </w:r>
            <w:r w:rsidRPr="00966B50">
              <w:rPr>
                <w:b/>
                <w:i/>
                <w:sz w:val="22"/>
              </w:rPr>
              <w:t>30</w:t>
            </w:r>
            <w:r w:rsidRPr="00037CF2">
              <w:rPr>
                <w:b/>
                <w:i/>
                <w:sz w:val="22"/>
              </w:rPr>
              <w:t> cm (optional))</w:t>
            </w:r>
          </w:p>
        </w:tc>
      </w:tr>
      <w:tr w:rsidR="009571FC" w:rsidRPr="00037CF2" w:rsidTr="009571FC">
        <w:tc>
          <w:tcPr>
            <w:tcW w:w="9143" w:type="dxa"/>
            <w:gridSpan w:val="5"/>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Bodenhabitat</w:t>
            </w:r>
          </w:p>
        </w:tc>
      </w:tr>
      <w:tr w:rsidR="009571FC" w:rsidRPr="00037CF2" w:rsidTr="009571FC">
        <w:tc>
          <w:tcPr>
            <w:tcW w:w="2736"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Merkmal des Bodenhabitats</w:t>
            </w:r>
          </w:p>
        </w:tc>
        <w:tc>
          <w:tcPr>
            <w:tcW w:w="3191" w:type="dxa"/>
            <w:gridSpan w:val="2"/>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Bodendeskriptor</w:t>
            </w:r>
          </w:p>
        </w:tc>
        <w:tc>
          <w:tcPr>
            <w:tcW w:w="1317"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i/>
                <w:sz w:val="22"/>
                <w:szCs w:val="22"/>
              </w:rPr>
            </w:pPr>
            <w:r w:rsidRPr="00037CF2">
              <w:rPr>
                <w:b/>
                <w:i/>
                <w:sz w:val="22"/>
              </w:rPr>
              <w:t>Ausnahmen</w:t>
            </w:r>
          </w:p>
        </w:tc>
        <w:tc>
          <w:tcPr>
            <w:tcW w:w="1899" w:type="dxa"/>
            <w:tcBorders>
              <w:top w:val="single" w:sz="4" w:space="0" w:color="auto"/>
              <w:left w:val="single" w:sz="4" w:space="0" w:color="auto"/>
              <w:bottom w:val="single" w:sz="4" w:space="0" w:color="auto"/>
              <w:right w:val="single" w:sz="4" w:space="0" w:color="auto"/>
            </w:tcBorders>
            <w:hideMark/>
          </w:tcPr>
          <w:p w:rsidR="009571FC" w:rsidRPr="00037CF2" w:rsidRDefault="009571FC" w:rsidP="009571FC">
            <w:pPr>
              <w:widowControl/>
              <w:spacing w:before="120"/>
              <w:jc w:val="both"/>
              <w:rPr>
                <w:b/>
                <w:bCs/>
                <w:i/>
                <w:iCs/>
                <w:sz w:val="22"/>
                <w:szCs w:val="22"/>
              </w:rPr>
            </w:pPr>
            <w:r w:rsidRPr="00037CF2">
              <w:rPr>
                <w:b/>
                <w:i/>
                <w:sz w:val="22"/>
              </w:rPr>
              <w:t>Anmerkungen</w:t>
            </w:r>
          </w:p>
        </w:tc>
      </w:tr>
    </w:tbl>
    <w:p w:rsidR="001C2358" w:rsidRDefault="009571FC" w:rsidP="001C2358">
      <w:pPr>
        <w:spacing w:before="120" w:after="120" w:line="360" w:lineRule="auto"/>
        <w:rPr>
          <w:b/>
          <w:szCs w:val="24"/>
          <w:lang w:eastAsia="en-US"/>
        </w:rPr>
      </w:pPr>
      <w:r>
        <w:rPr>
          <w:b/>
          <w:szCs w:val="24"/>
          <w:lang w:eastAsia="en-US"/>
        </w:rPr>
        <w:t xml:space="preserve"> [Abänd. 200]</w:t>
      </w:r>
    </w:p>
    <w:tbl>
      <w:tblPr>
        <w:tblStyle w:val="TableGrid2"/>
        <w:tblW w:w="9606" w:type="dxa"/>
        <w:tblLook w:val="04A0" w:firstRow="1" w:lastRow="0" w:firstColumn="1" w:lastColumn="0" w:noHBand="0" w:noVBand="1"/>
      </w:tblPr>
      <w:tblGrid>
        <w:gridCol w:w="2518"/>
        <w:gridCol w:w="7088"/>
      </w:tblGrid>
      <w:tr w:rsidR="009571FC" w:rsidRPr="009571FC" w:rsidTr="009571FC">
        <w:tc>
          <w:tcPr>
            <w:tcW w:w="9606" w:type="dxa"/>
            <w:gridSpan w:val="2"/>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noProof/>
              </w:rPr>
            </w:pPr>
            <w:r w:rsidRPr="009571FC">
              <w:rPr>
                <w:rFonts w:ascii="Times New Roman" w:hAnsi="Times New Roman" w:cs="Times New Roman"/>
                <w:b/>
                <w:i/>
                <w:noProof/>
              </w:rPr>
              <w:t>Teil D: Indikatoren für Flächenverbrauch und Bodenversiegelung</w:t>
            </w:r>
          </w:p>
        </w:tc>
      </w:tr>
      <w:tr w:rsidR="009571FC" w:rsidRPr="009571FC" w:rsidTr="009571FC">
        <w:tc>
          <w:tcPr>
            <w:tcW w:w="2518"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
                <w:bCs/>
                <w:noProof/>
              </w:rPr>
            </w:pPr>
            <w:r w:rsidRPr="009571FC">
              <w:rPr>
                <w:rFonts w:ascii="Times New Roman" w:hAnsi="Times New Roman" w:cs="Times New Roman"/>
                <w:b/>
                <w:noProof/>
              </w:rPr>
              <w:t>Art der Bodendegradation</w:t>
            </w:r>
          </w:p>
        </w:tc>
        <w:tc>
          <w:tcPr>
            <w:tcW w:w="7088"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Cs/>
                <w:noProof/>
              </w:rPr>
            </w:pPr>
            <w:r w:rsidRPr="009571FC">
              <w:rPr>
                <w:rFonts w:ascii="Times New Roman" w:hAnsi="Times New Roman" w:cs="Times New Roman"/>
                <w:b/>
                <w:noProof/>
              </w:rPr>
              <w:t>Indikatoren für Flächenverbrauch und Bodenversiegelung</w:t>
            </w:r>
          </w:p>
        </w:tc>
      </w:tr>
      <w:tr w:rsidR="009571FC" w:rsidRPr="009571FC" w:rsidTr="009571FC">
        <w:tc>
          <w:tcPr>
            <w:tcW w:w="2518" w:type="dxa"/>
            <w:tcBorders>
              <w:top w:val="single" w:sz="4" w:space="0" w:color="auto"/>
              <w:left w:val="single" w:sz="4" w:space="0" w:color="auto"/>
              <w:bottom w:val="single" w:sz="4" w:space="0" w:color="auto"/>
              <w:right w:val="single" w:sz="4" w:space="0" w:color="auto"/>
            </w:tcBorders>
            <w:hideMark/>
          </w:tcPr>
          <w:p w:rsidR="009571FC" w:rsidRPr="009571FC" w:rsidRDefault="009571FC" w:rsidP="009571FC">
            <w:pPr>
              <w:spacing w:before="120" w:after="120"/>
              <w:rPr>
                <w:rFonts w:ascii="Times New Roman" w:hAnsi="Times New Roman" w:cs="Times New Roman"/>
                <w:bCs/>
                <w:noProof/>
              </w:rPr>
            </w:pPr>
            <w:r w:rsidRPr="009571FC">
              <w:rPr>
                <w:rFonts w:ascii="Times New Roman" w:hAnsi="Times New Roman" w:cs="Times New Roman"/>
                <w:noProof/>
              </w:rPr>
              <w:t>Flächenverbrauch und Bodenversiegelung</w:t>
            </w:r>
          </w:p>
        </w:tc>
        <w:tc>
          <w:tcPr>
            <w:tcW w:w="7088" w:type="dxa"/>
            <w:tcBorders>
              <w:top w:val="single" w:sz="4" w:space="0" w:color="auto"/>
              <w:left w:val="single" w:sz="4" w:space="0" w:color="auto"/>
              <w:bottom w:val="single" w:sz="4" w:space="0" w:color="auto"/>
              <w:right w:val="single" w:sz="4" w:space="0" w:color="auto"/>
            </w:tcBorders>
          </w:tcPr>
          <w:p w:rsidR="009571FC" w:rsidRPr="009571FC" w:rsidRDefault="009571FC" w:rsidP="009571FC">
            <w:pPr>
              <w:spacing w:before="120" w:after="120"/>
              <w:rPr>
                <w:rFonts w:ascii="Times New Roman" w:hAnsi="Times New Roman" w:cs="Times New Roman"/>
                <w:bCs/>
                <w:noProof/>
              </w:rPr>
            </w:pPr>
            <w:r w:rsidRPr="009571FC">
              <w:rPr>
                <w:rFonts w:ascii="Times New Roman" w:hAnsi="Times New Roman" w:cs="Times New Roman"/>
                <w:noProof/>
              </w:rPr>
              <w:t>Künstlich angelegte Flächen insgesamt (in km² und in % der Fläche des Mitgliedstaats)</w:t>
            </w:r>
          </w:p>
          <w:p w:rsidR="009571FC" w:rsidRPr="009571FC" w:rsidRDefault="009571FC" w:rsidP="009571FC">
            <w:pPr>
              <w:spacing w:before="120" w:after="120"/>
              <w:rPr>
                <w:rFonts w:ascii="Times New Roman" w:hAnsi="Times New Roman" w:cs="Times New Roman"/>
                <w:bCs/>
                <w:noProof/>
              </w:rPr>
            </w:pPr>
            <w:r w:rsidRPr="009571FC">
              <w:rPr>
                <w:rFonts w:ascii="Times New Roman" w:hAnsi="Times New Roman" w:cs="Times New Roman"/>
                <w:noProof/>
              </w:rPr>
              <w:t>Flächenverbrauch, Flächenrenaturierung, Netto-Flächenverbrauch (jährlicher Durchschnitt – in km² und in % der Fläche des Mitgliedstaats)</w:t>
            </w:r>
          </w:p>
          <w:p w:rsidR="009571FC" w:rsidRPr="009571FC" w:rsidRDefault="009571FC" w:rsidP="009571FC">
            <w:pPr>
              <w:spacing w:before="120" w:after="120"/>
              <w:rPr>
                <w:rFonts w:ascii="Times New Roman" w:hAnsi="Times New Roman" w:cs="Times New Roman"/>
                <w:bCs/>
                <w:noProof/>
              </w:rPr>
            </w:pPr>
            <w:r w:rsidRPr="009571FC">
              <w:rPr>
                <w:rFonts w:ascii="Times New Roman" w:hAnsi="Times New Roman" w:cs="Times New Roman"/>
                <w:noProof/>
              </w:rPr>
              <w:t>Bodenversiegelung (in km² insgesamt und in % der Fläche des Mitgliedstaats)</w:t>
            </w:r>
          </w:p>
          <w:p w:rsidR="009571FC" w:rsidRPr="009571FC" w:rsidRDefault="009571FC" w:rsidP="009571FC">
            <w:pPr>
              <w:spacing w:before="120" w:after="120"/>
              <w:rPr>
                <w:rFonts w:ascii="Times New Roman" w:hAnsi="Times New Roman" w:cs="Times New Roman"/>
                <w:noProof/>
              </w:rPr>
            </w:pPr>
          </w:p>
          <w:p w:rsidR="009571FC" w:rsidRPr="009571FC" w:rsidRDefault="009571FC" w:rsidP="009571FC">
            <w:pPr>
              <w:spacing w:before="120" w:after="120"/>
              <w:rPr>
                <w:rFonts w:ascii="Times New Roman" w:hAnsi="Times New Roman" w:cs="Times New Roman"/>
                <w:noProof/>
              </w:rPr>
            </w:pPr>
            <w:r w:rsidRPr="009571FC">
              <w:rPr>
                <w:rFonts w:ascii="Times New Roman" w:hAnsi="Times New Roman" w:cs="Times New Roman"/>
                <w:noProof/>
              </w:rPr>
              <w:t xml:space="preserve">Die Mitgliedstaaten können auch andere fakultative Indikatoren wie beispielsweise folgende messen: </w:t>
            </w:r>
          </w:p>
          <w:p w:rsidR="009571FC" w:rsidRPr="009571FC" w:rsidRDefault="009571FC" w:rsidP="009571FC">
            <w:pPr>
              <w:spacing w:before="120" w:after="120"/>
              <w:rPr>
                <w:rFonts w:ascii="Times New Roman" w:hAnsi="Times New Roman" w:cs="Times New Roman"/>
                <w:noProof/>
              </w:rPr>
            </w:pPr>
            <w:r w:rsidRPr="009571FC">
              <w:rPr>
                <w:rFonts w:ascii="Times New Roman" w:hAnsi="Times New Roman" w:cs="Times New Roman"/>
                <w:noProof/>
              </w:rPr>
              <w:lastRenderedPageBreak/>
              <w:t xml:space="preserve">- Flächenfragmentierung </w:t>
            </w:r>
          </w:p>
          <w:p w:rsidR="009571FC" w:rsidRPr="009571FC" w:rsidRDefault="009571FC" w:rsidP="009571FC">
            <w:pPr>
              <w:spacing w:before="120" w:after="120"/>
              <w:rPr>
                <w:rFonts w:ascii="Times New Roman" w:hAnsi="Times New Roman" w:cs="Times New Roman"/>
                <w:noProof/>
              </w:rPr>
            </w:pPr>
            <w:r w:rsidRPr="009571FC">
              <w:rPr>
                <w:rFonts w:ascii="Times New Roman" w:hAnsi="Times New Roman" w:cs="Times New Roman"/>
                <w:noProof/>
              </w:rPr>
              <w:t xml:space="preserve">- Flächenrecyclingrate </w:t>
            </w:r>
          </w:p>
          <w:p w:rsidR="009571FC" w:rsidRPr="009571FC" w:rsidRDefault="009571FC" w:rsidP="009571FC">
            <w:pPr>
              <w:spacing w:before="120" w:after="120"/>
              <w:rPr>
                <w:rFonts w:ascii="Times New Roman" w:hAnsi="Times New Roman" w:cs="Times New Roman"/>
                <w:noProof/>
              </w:rPr>
            </w:pPr>
            <w:r w:rsidRPr="009571FC">
              <w:rPr>
                <w:rFonts w:ascii="Times New Roman" w:hAnsi="Times New Roman" w:cs="Times New Roman"/>
                <w:noProof/>
              </w:rPr>
              <w:t>- Flächenverbrauch für gewerbliche Tätigkeiten, Logistik-Drehkreuze, erneuerbare Energien sowie Flächen wie Flughäfen, Straßen und Bergwerke</w:t>
            </w:r>
          </w:p>
          <w:p w:rsidR="009571FC" w:rsidRPr="009571FC" w:rsidRDefault="009571FC" w:rsidP="009571FC">
            <w:pPr>
              <w:spacing w:before="120" w:after="120"/>
              <w:rPr>
                <w:rFonts w:ascii="Times New Roman" w:hAnsi="Times New Roman" w:cs="Times New Roman"/>
                <w:noProof/>
              </w:rPr>
            </w:pPr>
            <w:r w:rsidRPr="009571FC">
              <w:rPr>
                <w:rFonts w:ascii="Times New Roman" w:hAnsi="Times New Roman" w:cs="Times New Roman"/>
                <w:noProof/>
              </w:rPr>
              <w:t>- Auswirkungen des Flächenverbrauchs wie die Bestimmung der Höhe des Verlusts an Ökosystemleistungen, Änderung der Hochwasserintensität</w:t>
            </w:r>
          </w:p>
        </w:tc>
      </w:tr>
    </w:tbl>
    <w:p w:rsidR="009571FC" w:rsidRDefault="009571FC" w:rsidP="001C2358">
      <w:pPr>
        <w:spacing w:before="120" w:after="120" w:line="360" w:lineRule="auto"/>
        <w:rPr>
          <w:szCs w:val="24"/>
          <w:lang w:eastAsia="en-US"/>
        </w:rPr>
      </w:pPr>
    </w:p>
    <w:p w:rsidR="009571FC" w:rsidRDefault="009571FC" w:rsidP="001C2358">
      <w:pPr>
        <w:spacing w:before="120" w:after="120" w:line="360" w:lineRule="auto"/>
        <w:rPr>
          <w:szCs w:val="24"/>
          <w:lang w:eastAsia="en-US"/>
        </w:rPr>
      </w:pPr>
    </w:p>
    <w:p w:rsidR="009571FC" w:rsidRPr="001C2358" w:rsidRDefault="009571FC" w:rsidP="001C2358">
      <w:pPr>
        <w:spacing w:before="120" w:after="120" w:line="360" w:lineRule="auto"/>
        <w:rPr>
          <w:szCs w:val="24"/>
          <w:lang w:eastAsia="en-US"/>
        </w:rPr>
        <w:sectPr w:rsidR="009571FC" w:rsidRPr="001C2358">
          <w:footnotePr>
            <w:numRestart w:val="eachSect"/>
          </w:footnotePr>
          <w:pgSz w:w="11909" w:h="16834"/>
          <w:pgMar w:top="1134" w:right="1417" w:bottom="1417" w:left="1417" w:header="1134" w:footer="567" w:gutter="0"/>
          <w:cols w:space="720"/>
        </w:sectPr>
      </w:pPr>
    </w:p>
    <w:p w:rsidR="001C2358" w:rsidRPr="001C2358" w:rsidRDefault="001C2358" w:rsidP="001C2358">
      <w:pPr>
        <w:spacing w:before="120" w:after="120" w:line="360" w:lineRule="auto"/>
        <w:rPr>
          <w:szCs w:val="24"/>
          <w:lang w:eastAsia="en-US"/>
        </w:rPr>
      </w:pPr>
    </w:p>
    <w:p w:rsidR="009571FC" w:rsidRDefault="001C2358" w:rsidP="001C2358">
      <w:pPr>
        <w:spacing w:before="120" w:after="120" w:line="360" w:lineRule="auto"/>
        <w:jc w:val="center"/>
        <w:rPr>
          <w:szCs w:val="24"/>
          <w:lang w:eastAsia="en-US"/>
        </w:rPr>
      </w:pPr>
      <w:r w:rsidRPr="001C2358">
        <w:rPr>
          <w:lang w:eastAsia="en-US"/>
        </w:rPr>
        <w:t>ANHANG II</w:t>
      </w:r>
      <w:r w:rsidRPr="001C2358">
        <w:rPr>
          <w:szCs w:val="24"/>
          <w:lang w:eastAsia="en-US"/>
        </w:rPr>
        <w:t> </w:t>
      </w:r>
    </w:p>
    <w:p w:rsidR="001C2358" w:rsidRPr="001C2358" w:rsidRDefault="001C2358" w:rsidP="001C2358">
      <w:pPr>
        <w:spacing w:before="120" w:after="120" w:line="360" w:lineRule="auto"/>
        <w:jc w:val="center"/>
        <w:rPr>
          <w:szCs w:val="24"/>
          <w:lang w:eastAsia="en-US"/>
        </w:rPr>
      </w:pPr>
      <w:r w:rsidRPr="001C2358">
        <w:rPr>
          <w:szCs w:val="24"/>
          <w:lang w:eastAsia="en-US"/>
        </w:rPr>
        <w:t xml:space="preserve">METHODEN </w:t>
      </w:r>
    </w:p>
    <w:p w:rsidR="001C2358" w:rsidRDefault="009571FC" w:rsidP="001C2358">
      <w:pPr>
        <w:spacing w:before="120" w:after="120" w:line="360" w:lineRule="auto"/>
        <w:rPr>
          <w:b/>
          <w:i/>
          <w:szCs w:val="24"/>
          <w:lang w:eastAsia="en-US"/>
        </w:rPr>
      </w:pPr>
      <w:r w:rsidRPr="005E6A84">
        <w:rPr>
          <w:szCs w:val="24"/>
          <w:lang w:eastAsia="en-US"/>
        </w:rPr>
        <w:t>Teil A:</w:t>
      </w:r>
      <w:r>
        <w:rPr>
          <w:strike/>
          <w:szCs w:val="24"/>
          <w:lang w:eastAsia="en-US"/>
        </w:rPr>
        <w:t xml:space="preserve"> </w:t>
      </w:r>
      <w:r w:rsidR="001C2358" w:rsidRPr="001C2358">
        <w:rPr>
          <w:strike/>
          <w:szCs w:val="24"/>
          <w:lang w:eastAsia="en-US"/>
        </w:rPr>
        <w:t>Methode zur Festlegung von Probenahmestellen</w:t>
      </w:r>
      <w:r w:rsidR="001C2358" w:rsidRPr="001C2358">
        <w:rPr>
          <w:b/>
          <w:i/>
          <w:szCs w:val="24"/>
          <w:lang w:eastAsia="en-US"/>
        </w:rPr>
        <w:t>Bodendeskriptoren mit unionsweiten Kriterien für einen gesunden Bodenzustand</w:t>
      </w:r>
    </w:p>
    <w:tbl>
      <w:tblPr>
        <w:tblStyle w:val="TableGrid3"/>
        <w:tblW w:w="9322" w:type="dxa"/>
        <w:tblLook w:val="04A0" w:firstRow="1" w:lastRow="0" w:firstColumn="1" w:lastColumn="0" w:noHBand="0" w:noVBand="1"/>
      </w:tblPr>
      <w:tblGrid>
        <w:gridCol w:w="3492"/>
        <w:gridCol w:w="5830"/>
      </w:tblGrid>
      <w:tr w:rsidR="009571FC" w:rsidRPr="009571FC" w:rsidTr="009571FC">
        <w:tc>
          <w:tcPr>
            <w:tcW w:w="3492" w:type="dxa"/>
            <w:tcBorders>
              <w:top w:val="single" w:sz="4" w:space="0" w:color="auto"/>
              <w:left w:val="single" w:sz="4" w:space="0" w:color="auto"/>
              <w:bottom w:val="single" w:sz="4" w:space="0" w:color="auto"/>
              <w:right w:val="single" w:sz="4" w:space="0" w:color="auto"/>
            </w:tcBorders>
            <w:hideMark/>
          </w:tcPr>
          <w:p w:rsidR="009571FC" w:rsidRPr="005E6A84" w:rsidRDefault="009571FC" w:rsidP="009571FC">
            <w:pPr>
              <w:widowControl/>
              <w:spacing w:before="120" w:after="120"/>
              <w:jc w:val="both"/>
              <w:rPr>
                <w:rFonts w:ascii="Times New Roman" w:hAnsi="Times New Roman" w:cs="Times New Roman"/>
                <w:b/>
                <w:bCs/>
                <w:strike/>
                <w:noProof/>
              </w:rPr>
            </w:pPr>
            <w:r w:rsidRPr="005E6A84">
              <w:rPr>
                <w:rFonts w:ascii="Times New Roman" w:hAnsi="Times New Roman" w:cs="Times New Roman"/>
                <w:b/>
                <w:strike/>
                <w:noProof/>
              </w:rPr>
              <w:t>Tätigkeit</w:t>
            </w:r>
          </w:p>
        </w:tc>
        <w:tc>
          <w:tcPr>
            <w:tcW w:w="5830" w:type="dxa"/>
            <w:tcBorders>
              <w:top w:val="single" w:sz="4" w:space="0" w:color="auto"/>
              <w:left w:val="single" w:sz="4" w:space="0" w:color="auto"/>
              <w:bottom w:val="single" w:sz="4" w:space="0" w:color="auto"/>
              <w:right w:val="single" w:sz="4" w:space="0" w:color="auto"/>
            </w:tcBorders>
            <w:hideMark/>
          </w:tcPr>
          <w:p w:rsidR="009571FC" w:rsidRPr="005E6A84" w:rsidRDefault="009571FC" w:rsidP="009571FC">
            <w:pPr>
              <w:widowControl/>
              <w:spacing w:before="120" w:after="120"/>
              <w:jc w:val="both"/>
              <w:rPr>
                <w:rFonts w:ascii="Times New Roman" w:hAnsi="Times New Roman" w:cs="Times New Roman"/>
                <w:b/>
                <w:bCs/>
                <w:strike/>
                <w:noProof/>
              </w:rPr>
            </w:pPr>
            <w:r w:rsidRPr="005E6A84">
              <w:rPr>
                <w:rFonts w:ascii="Times New Roman" w:hAnsi="Times New Roman" w:cs="Times New Roman"/>
                <w:b/>
                <w:strike/>
                <w:noProof/>
              </w:rPr>
              <w:t>Methodische Mindestkriterien</w:t>
            </w:r>
          </w:p>
        </w:tc>
      </w:tr>
      <w:tr w:rsidR="009571FC" w:rsidRPr="009571FC" w:rsidTr="009571FC">
        <w:tc>
          <w:tcPr>
            <w:tcW w:w="3492" w:type="dxa"/>
            <w:tcBorders>
              <w:top w:val="single" w:sz="4" w:space="0" w:color="auto"/>
              <w:left w:val="single" w:sz="4" w:space="0" w:color="auto"/>
              <w:bottom w:val="single" w:sz="4" w:space="0" w:color="auto"/>
              <w:right w:val="single" w:sz="4" w:space="0" w:color="auto"/>
            </w:tcBorders>
            <w:hideMark/>
          </w:tcPr>
          <w:p w:rsidR="009571FC" w:rsidRPr="005E6A84" w:rsidRDefault="009571FC" w:rsidP="009571FC">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Festlegung von Probenahmestellen (Stichprobenerhebung)</w:t>
            </w:r>
          </w:p>
        </w:tc>
        <w:tc>
          <w:tcPr>
            <w:tcW w:w="5830" w:type="dxa"/>
            <w:tcBorders>
              <w:top w:val="single" w:sz="4" w:space="0" w:color="auto"/>
              <w:left w:val="single" w:sz="4" w:space="0" w:color="auto"/>
              <w:bottom w:val="single" w:sz="4" w:space="0" w:color="auto"/>
              <w:right w:val="single" w:sz="4" w:space="0" w:color="auto"/>
            </w:tcBorders>
            <w:hideMark/>
          </w:tcPr>
          <w:p w:rsidR="009571FC" w:rsidRPr="005E6A84" w:rsidRDefault="009571FC" w:rsidP="009571FC">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Die Stichprobe wird anhand einer umfassenden Stichprobengrundlage mit den besten verfügbaren Informationen über die Verteilung der Bodeneigenschaften erhoben, unter anderem mit Informationen aus früheren nationalen Messungen und aus Messungen im Rahmen des LUCAS-Programms.</w:t>
            </w:r>
          </w:p>
          <w:p w:rsidR="009571FC" w:rsidRPr="005E6A84" w:rsidRDefault="009571FC" w:rsidP="009571FC">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Die Stichproben werden mittels geschichteter Zufallsstichproben erhoben, die für die Bodengesundheitsdeskriptoren optimiert werden. </w:t>
            </w:r>
          </w:p>
          <w:p w:rsidR="009571FC" w:rsidRPr="005E6A84" w:rsidRDefault="009571FC" w:rsidP="009571FC">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Der Umfang der nationalen Stichprobe muss groß genug sein, um eine maximale Abweichung (Variationskoeffizient) von 5 % für die Schätzung der Fläche mit gesunden Böden zu gewährleisten.</w:t>
            </w:r>
          </w:p>
          <w:p w:rsidR="009571FC" w:rsidRPr="005E6A84" w:rsidRDefault="009571FC" w:rsidP="009571FC">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Die von der Kommission gemäß Artikel 6 Absatz 4 entnommene Bodenprobe darf maximal 20 % der nationalen Stichproben ausmachen.</w:t>
            </w:r>
          </w:p>
          <w:p w:rsidR="009571FC" w:rsidRPr="005E6A84" w:rsidRDefault="009571FC" w:rsidP="009571FC">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Aufteilung und Größe der Stichprobe werden per Anwendung des Bethel-Algorithmus (Bethel, 1989)</w:t>
            </w:r>
            <w:r w:rsidRPr="005E6A84">
              <w:rPr>
                <w:rFonts w:ascii="Times New Roman" w:hAnsi="Times New Roman" w:cs="Times New Roman"/>
                <w:strike/>
                <w:noProof/>
                <w:vertAlign w:val="superscript"/>
              </w:rPr>
              <w:footnoteReference w:id="63"/>
            </w:r>
            <w:r w:rsidRPr="005E6A84">
              <w:rPr>
                <w:rFonts w:ascii="Times New Roman" w:hAnsi="Times New Roman" w:cs="Times New Roman"/>
                <w:strike/>
                <w:noProof/>
              </w:rPr>
              <w:t xml:space="preserve"> unter Berücksichtigung des maximal zulässigen Schätzfehlers festgelegt. </w:t>
            </w:r>
          </w:p>
        </w:tc>
      </w:tr>
    </w:tbl>
    <w:tbl>
      <w:tblPr>
        <w:tblStyle w:val="2"/>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5E6A84" w:rsidRPr="00037CF2" w:rsidTr="005E6A84">
        <w:tc>
          <w:tcPr>
            <w:tcW w:w="3389"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i/>
                <w:sz w:val="22"/>
                <w:szCs w:val="22"/>
              </w:rPr>
            </w:pPr>
            <w:r w:rsidRPr="00037CF2">
              <w:rPr>
                <w:b/>
                <w:i/>
                <w:sz w:val="22"/>
              </w:rPr>
              <w:t>Tätigkeit</w:t>
            </w:r>
          </w:p>
        </w:tc>
        <w:tc>
          <w:tcPr>
            <w:tcW w:w="5971"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i/>
                <w:sz w:val="22"/>
                <w:szCs w:val="22"/>
              </w:rPr>
            </w:pPr>
            <w:r w:rsidRPr="00037CF2">
              <w:rPr>
                <w:b/>
                <w:i/>
                <w:sz w:val="22"/>
              </w:rPr>
              <w:t>Referenzkriterien für die Methodik</w:t>
            </w:r>
          </w:p>
        </w:tc>
      </w:tr>
      <w:tr w:rsidR="005E6A84" w:rsidRPr="00037CF2" w:rsidTr="005E6A84">
        <w:tc>
          <w:tcPr>
            <w:tcW w:w="3389"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i/>
                <w:sz w:val="22"/>
                <w:szCs w:val="22"/>
              </w:rPr>
            </w:pPr>
            <w:r w:rsidRPr="00037CF2">
              <w:rPr>
                <w:b/>
                <w:i/>
                <w:sz w:val="22"/>
              </w:rPr>
              <w:t>Ökologische Überwachung des Bodens</w:t>
            </w:r>
          </w:p>
        </w:tc>
        <w:tc>
          <w:tcPr>
            <w:tcW w:w="5971"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bCs/>
                <w:i/>
                <w:sz w:val="22"/>
                <w:szCs w:val="22"/>
              </w:rPr>
            </w:pPr>
            <w:r w:rsidRPr="00037CF2">
              <w:rPr>
                <w:b/>
                <w:i/>
                <w:sz w:val="22"/>
              </w:rPr>
              <w:t>Ziel ist die Verwendung eines einfachen Bodenprobenprotokolls, mit dem die ökologische Bodenprobenahme in allen Mitgliedstaaten standardisiert werden kann und das für alle ökologischen Bodendeskriptoren der Stufen </w:t>
            </w:r>
            <w:r w:rsidRPr="00966B50">
              <w:rPr>
                <w:b/>
                <w:i/>
                <w:sz w:val="22"/>
              </w:rPr>
              <w:t>1</w:t>
            </w:r>
            <w:r w:rsidRPr="00037CF2">
              <w:rPr>
                <w:b/>
                <w:i/>
                <w:sz w:val="22"/>
              </w:rPr>
              <w:t xml:space="preserve"> und </w:t>
            </w:r>
            <w:r w:rsidRPr="00966B50">
              <w:rPr>
                <w:b/>
                <w:i/>
                <w:sz w:val="22"/>
              </w:rPr>
              <w:t>2</w:t>
            </w:r>
            <w:r w:rsidRPr="00037CF2">
              <w:rPr>
                <w:b/>
                <w:i/>
                <w:sz w:val="22"/>
              </w:rPr>
              <w:t xml:space="preserve"> gilt (Deskriptoren für die ökologischen Funktionen des Bodens, die biologische Vielfalt im Boden und Bodenhabitate), mit Ausnahme der Deskriptoren für die Bodenfauna.</w:t>
            </w:r>
          </w:p>
          <w:p w:rsidR="005E6A84" w:rsidRPr="00037CF2" w:rsidRDefault="005E6A84" w:rsidP="00B24DC6">
            <w:pPr>
              <w:rPr>
                <w:rFonts w:cs="Calibri"/>
                <w:b/>
                <w:bCs/>
                <w:i/>
                <w:sz w:val="22"/>
                <w:szCs w:val="22"/>
              </w:rPr>
            </w:pPr>
            <w:r w:rsidRPr="00037CF2">
              <w:rPr>
                <w:b/>
                <w:i/>
                <w:sz w:val="22"/>
              </w:rPr>
              <w:t xml:space="preserve">Nach dem für „Soil BON“ angenommenen Probenprotokoll werden unter Berücksichtigung einer homogenen Quadratfläche von </w:t>
            </w:r>
            <w:r w:rsidRPr="00966B50">
              <w:rPr>
                <w:b/>
                <w:i/>
                <w:sz w:val="22"/>
              </w:rPr>
              <w:t>30</w:t>
            </w:r>
            <w:r w:rsidRPr="00037CF2">
              <w:rPr>
                <w:b/>
                <w:i/>
                <w:sz w:val="22"/>
              </w:rPr>
              <w:t xml:space="preserve"> x </w:t>
            </w:r>
            <w:r w:rsidRPr="00966B50">
              <w:rPr>
                <w:b/>
                <w:i/>
                <w:sz w:val="22"/>
              </w:rPr>
              <w:t>30</w:t>
            </w:r>
            <w:r w:rsidRPr="00037CF2">
              <w:rPr>
                <w:b/>
                <w:i/>
                <w:sz w:val="22"/>
              </w:rPr>
              <w:t xml:space="preserve"> m neun Teilproben erstellt, die den Ecken der Quadrate, der Mitte und den Zwischenpunkten entsprechen. Mit Hilfe eines Metallkernprobennehmers oder eines ähnlichen Instruments wird der Boden mit einem </w:t>
            </w:r>
            <w:r w:rsidRPr="00037CF2">
              <w:rPr>
                <w:b/>
                <w:i/>
                <w:sz w:val="22"/>
              </w:rPr>
              <w:lastRenderedPageBreak/>
              <w:t xml:space="preserve">Volumen von </w:t>
            </w:r>
            <w:r w:rsidRPr="00966B50">
              <w:rPr>
                <w:b/>
                <w:i/>
                <w:sz w:val="22"/>
              </w:rPr>
              <w:t>5</w:t>
            </w:r>
            <w:r w:rsidRPr="00037CF2">
              <w:rPr>
                <w:b/>
                <w:i/>
                <w:sz w:val="22"/>
              </w:rPr>
              <w:t xml:space="preserve"> cm Durchmesser und </w:t>
            </w:r>
            <w:r w:rsidRPr="00966B50">
              <w:rPr>
                <w:b/>
                <w:i/>
                <w:sz w:val="22"/>
              </w:rPr>
              <w:t>10</w:t>
            </w:r>
            <w:r w:rsidRPr="00037CF2">
              <w:rPr>
                <w:b/>
                <w:i/>
                <w:sz w:val="22"/>
              </w:rPr>
              <w:t xml:space="preserve"> cm Tiefe extrahiert. Die Bodentiefe kann auf </w:t>
            </w:r>
            <w:r w:rsidRPr="00966B50">
              <w:rPr>
                <w:b/>
                <w:i/>
                <w:sz w:val="22"/>
              </w:rPr>
              <w:t>30</w:t>
            </w:r>
            <w:r w:rsidRPr="00037CF2">
              <w:rPr>
                <w:b/>
                <w:i/>
                <w:sz w:val="22"/>
              </w:rPr>
              <w:t xml:space="preserve"> cm erhöht werden, aber die erste (bis zu </w:t>
            </w:r>
            <w:r w:rsidRPr="00966B50">
              <w:rPr>
                <w:b/>
                <w:i/>
                <w:sz w:val="22"/>
              </w:rPr>
              <w:t>10</w:t>
            </w:r>
            <w:r w:rsidRPr="00037CF2">
              <w:rPr>
                <w:b/>
                <w:i/>
                <w:sz w:val="22"/>
              </w:rPr>
              <w:t xml:space="preserve"> cm) und die zweite Schicht sollten getrennt werden. </w:t>
            </w:r>
          </w:p>
        </w:tc>
      </w:tr>
      <w:tr w:rsidR="005E6A84" w:rsidRPr="00037CF2" w:rsidTr="005E6A84">
        <w:tc>
          <w:tcPr>
            <w:tcW w:w="3389"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i/>
                <w:sz w:val="22"/>
                <w:szCs w:val="22"/>
              </w:rPr>
            </w:pPr>
            <w:r w:rsidRPr="00037CF2">
              <w:rPr>
                <w:b/>
                <w:i/>
                <w:sz w:val="22"/>
              </w:rPr>
              <w:lastRenderedPageBreak/>
              <w:t>Überwachung der Bodenfauna</w:t>
            </w:r>
          </w:p>
        </w:tc>
        <w:tc>
          <w:tcPr>
            <w:tcW w:w="5971"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bCs/>
                <w:i/>
                <w:sz w:val="22"/>
                <w:szCs w:val="22"/>
              </w:rPr>
            </w:pPr>
            <w:r w:rsidRPr="00037CF2">
              <w:rPr>
                <w:b/>
                <w:i/>
                <w:sz w:val="22"/>
              </w:rPr>
              <w:t xml:space="preserve">Bei Regenwürmern: Handsortierung nach Protokollen gemäß dem in Briones et al. </w:t>
            </w:r>
            <w:r w:rsidRPr="00966B50">
              <w:rPr>
                <w:b/>
                <w:i/>
                <w:sz w:val="22"/>
              </w:rPr>
              <w:t>2020</w:t>
            </w:r>
            <w:r w:rsidRPr="00037CF2">
              <w:rPr>
                <w:b/>
                <w:i/>
                <w:sz w:val="22"/>
              </w:rPr>
              <w:t xml:space="preserve"> beschriebenen Probenprotokoll.</w:t>
            </w:r>
          </w:p>
          <w:p w:rsidR="005E6A84" w:rsidRPr="00037CF2" w:rsidRDefault="005E6A84" w:rsidP="00B24DC6">
            <w:pPr>
              <w:rPr>
                <w:rFonts w:cs="Calibri"/>
                <w:b/>
                <w:bCs/>
                <w:i/>
                <w:sz w:val="22"/>
                <w:szCs w:val="22"/>
              </w:rPr>
            </w:pPr>
            <w:r w:rsidRPr="00037CF2">
              <w:rPr>
                <w:b/>
                <w:i/>
                <w:sz w:val="22"/>
              </w:rPr>
              <w:t>Bei Nematoden: gemäß den im „Soil BON“-Standardprobenprotokoll festgelegten Kriterien.</w:t>
            </w:r>
          </w:p>
          <w:p w:rsidR="005E6A84" w:rsidRPr="00037CF2" w:rsidRDefault="005E6A84" w:rsidP="00B24DC6">
            <w:pPr>
              <w:rPr>
                <w:rFonts w:cs="Calibri"/>
                <w:b/>
                <w:bCs/>
                <w:i/>
                <w:sz w:val="22"/>
                <w:szCs w:val="22"/>
              </w:rPr>
            </w:pPr>
            <w:r w:rsidRPr="00037CF2">
              <w:rPr>
                <w:b/>
                <w:i/>
                <w:sz w:val="22"/>
              </w:rPr>
              <w:t xml:space="preserve">Bei Collombolen und Milben: gemäß dem in Guerra et al., </w:t>
            </w:r>
            <w:r w:rsidRPr="00966B50">
              <w:rPr>
                <w:b/>
                <w:i/>
                <w:sz w:val="22"/>
              </w:rPr>
              <w:t>2022</w:t>
            </w:r>
            <w:r w:rsidRPr="00037CF2">
              <w:rPr>
                <w:b/>
                <w:i/>
                <w:sz w:val="22"/>
              </w:rPr>
              <w:t xml:space="preserve"> festgelegten Protokollen.</w:t>
            </w:r>
          </w:p>
        </w:tc>
      </w:tr>
      <w:tr w:rsidR="005E6A84" w:rsidRPr="00037CF2" w:rsidTr="005E6A84">
        <w:tc>
          <w:tcPr>
            <w:tcW w:w="3389"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jc w:val="left"/>
              <w:rPr>
                <w:rFonts w:cs="Calibri"/>
                <w:b/>
                <w:i/>
                <w:sz w:val="22"/>
                <w:szCs w:val="22"/>
              </w:rPr>
            </w:pPr>
            <w:r w:rsidRPr="00037CF2">
              <w:rPr>
                <w:b/>
                <w:i/>
                <w:sz w:val="22"/>
              </w:rPr>
              <w:t>Sonstige punktbasierte Bodendeskriptoren</w:t>
            </w:r>
          </w:p>
        </w:tc>
        <w:tc>
          <w:tcPr>
            <w:tcW w:w="5971"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rFonts w:cs="Calibri"/>
                <w:b/>
                <w:bCs/>
                <w:i/>
                <w:sz w:val="22"/>
                <w:szCs w:val="22"/>
              </w:rPr>
            </w:pPr>
            <w:r w:rsidRPr="00037CF2">
              <w:rPr>
                <w:b/>
                <w:i/>
                <w:sz w:val="22"/>
              </w:rPr>
              <w:t>Die Mitgliedstaaten verwenden die „LUCAS Soil“-Methode als Referenz für die Bodenproben.</w:t>
            </w:r>
          </w:p>
        </w:tc>
      </w:tr>
    </w:tbl>
    <w:p w:rsidR="009571FC" w:rsidRDefault="005E6A84" w:rsidP="005E6A84">
      <w:pPr>
        <w:spacing w:before="120" w:after="120" w:line="360" w:lineRule="auto"/>
        <w:jc w:val="right"/>
        <w:rPr>
          <w:b/>
          <w:szCs w:val="24"/>
          <w:lang w:eastAsia="en-US"/>
        </w:rPr>
      </w:pPr>
      <w:r>
        <w:rPr>
          <w:b/>
          <w:szCs w:val="24"/>
          <w:lang w:eastAsia="en-US"/>
        </w:rPr>
        <w:t xml:space="preserve"> [Abänd. 201]</w:t>
      </w:r>
    </w:p>
    <w:p w:rsidR="001C2358" w:rsidRPr="001C2358" w:rsidRDefault="009571FC" w:rsidP="001C2358">
      <w:pPr>
        <w:spacing w:before="120" w:after="120" w:line="360" w:lineRule="auto"/>
        <w:rPr>
          <w:szCs w:val="24"/>
          <w:lang w:eastAsia="en-US"/>
        </w:rPr>
      </w:pPr>
      <w:r>
        <w:rPr>
          <w:szCs w:val="24"/>
          <w:lang w:eastAsia="en-US"/>
        </w:rPr>
        <w:t xml:space="preserve">Teil B: </w:t>
      </w:r>
      <w:r w:rsidR="001C2358" w:rsidRPr="001C2358">
        <w:rPr>
          <w:szCs w:val="24"/>
          <w:lang w:eastAsia="en-US"/>
        </w:rPr>
        <w:t>Methode zur Bestimmung oder Schätzung der Werte der Bodendeskriptoren</w:t>
      </w:r>
    </w:p>
    <w:p w:rsidR="001C2358" w:rsidRDefault="001C2358" w:rsidP="001C2358">
      <w:pPr>
        <w:spacing w:before="120" w:after="120" w:line="360" w:lineRule="auto"/>
        <w:rPr>
          <w:szCs w:val="24"/>
          <w:lang w:eastAsia="en-US"/>
        </w:rPr>
      </w:pPr>
      <w:r w:rsidRPr="001C2358">
        <w:rPr>
          <w:szCs w:val="24"/>
          <w:lang w:eastAsia="en-US"/>
        </w:rPr>
        <w:t>Wird eine Referenzmethode festgelegt, so wird entweder diese Referenzmethode oder eine andere in der wissenschaftlichen Literatur oder öffentlich zugängliche Methode angewandt, sofern dafür eine validierte Übertragungsfunktion verfügbar ist.</w:t>
      </w:r>
    </w:p>
    <w:tbl>
      <w:tblPr>
        <w:tblStyle w:val="TableGrid4"/>
        <w:tblW w:w="9322" w:type="dxa"/>
        <w:tblLayout w:type="fixed"/>
        <w:tblLook w:val="04A0" w:firstRow="1" w:lastRow="0" w:firstColumn="1" w:lastColumn="0" w:noHBand="0" w:noVBand="1"/>
      </w:tblPr>
      <w:tblGrid>
        <w:gridCol w:w="1809"/>
        <w:gridCol w:w="2694"/>
        <w:gridCol w:w="3260"/>
        <w:gridCol w:w="1559"/>
      </w:tblGrid>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keepNext/>
              <w:keepLines/>
              <w:widowControl/>
              <w:spacing w:before="120" w:after="120"/>
              <w:jc w:val="both"/>
              <w:rPr>
                <w:rFonts w:ascii="Times New Roman" w:hAnsi="Times New Roman" w:cs="Times New Roman"/>
                <w:b/>
                <w:bCs/>
                <w:strike/>
                <w:noProof/>
              </w:rPr>
            </w:pPr>
            <w:r w:rsidRPr="005E6A84">
              <w:rPr>
                <w:rFonts w:ascii="Times New Roman" w:hAnsi="Times New Roman" w:cs="Times New Roman"/>
                <w:b/>
                <w:strike/>
                <w:noProof/>
              </w:rPr>
              <w:t>Boden</w:t>
            </w:r>
            <w:r w:rsidRPr="005E6A84">
              <w:rPr>
                <w:rFonts w:ascii="Times New Roman" w:hAnsi="Times New Roman" w:cs="Times New Roman"/>
                <w:b/>
                <w:strike/>
                <w:noProof/>
              </w:rPr>
              <w:softHyphen/>
              <w:t>deskriptor</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keepNext/>
              <w:keepLines/>
              <w:widowControl/>
              <w:spacing w:before="120" w:after="120"/>
              <w:jc w:val="both"/>
              <w:rPr>
                <w:rFonts w:ascii="Times New Roman" w:hAnsi="Times New Roman" w:cs="Times New Roman"/>
                <w:b/>
                <w:bCs/>
                <w:strike/>
                <w:noProof/>
              </w:rPr>
            </w:pPr>
            <w:r w:rsidRPr="005E6A84">
              <w:rPr>
                <w:rFonts w:ascii="Times New Roman" w:hAnsi="Times New Roman" w:cs="Times New Roman"/>
                <w:b/>
                <w:strike/>
                <w:noProof/>
              </w:rPr>
              <w:t>Referenzmethode</w:t>
            </w:r>
          </w:p>
        </w:tc>
        <w:tc>
          <w:tcPr>
            <w:tcW w:w="3260"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keepNext/>
              <w:keepLines/>
              <w:widowControl/>
              <w:spacing w:before="120" w:after="120"/>
              <w:jc w:val="both"/>
              <w:rPr>
                <w:rFonts w:ascii="Times New Roman" w:hAnsi="Times New Roman" w:cs="Times New Roman"/>
                <w:b/>
                <w:bCs/>
                <w:strike/>
                <w:noProof/>
              </w:rPr>
            </w:pPr>
            <w:r w:rsidRPr="005E6A84">
              <w:rPr>
                <w:rFonts w:ascii="Times New Roman" w:hAnsi="Times New Roman" w:cs="Times New Roman"/>
                <w:b/>
                <w:strike/>
                <w:noProof/>
              </w:rPr>
              <w:t>Methodische Mindestkriterien</w:t>
            </w: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keepLines/>
              <w:widowControl/>
              <w:spacing w:before="120" w:after="120"/>
              <w:jc w:val="both"/>
              <w:rPr>
                <w:rFonts w:ascii="Times New Roman" w:hAnsi="Times New Roman" w:cs="Times New Roman"/>
                <w:b/>
                <w:bCs/>
                <w:strike/>
                <w:noProof/>
              </w:rPr>
            </w:pPr>
            <w:r w:rsidRPr="005E6A84">
              <w:rPr>
                <w:rFonts w:ascii="Times New Roman" w:hAnsi="Times New Roman" w:cs="Times New Roman"/>
                <w:b/>
                <w:strike/>
                <w:noProof/>
              </w:rPr>
              <w:t>Validierte Über</w:t>
            </w:r>
            <w:r w:rsidRPr="005E6A84">
              <w:rPr>
                <w:rFonts w:ascii="Times New Roman" w:hAnsi="Times New Roman" w:cs="Times New Roman"/>
                <w:b/>
                <w:strike/>
                <w:noProof/>
              </w:rPr>
              <w:softHyphen/>
              <w:t>tragungs</w:t>
            </w:r>
            <w:r w:rsidRPr="005E6A84">
              <w:rPr>
                <w:rFonts w:ascii="Times New Roman" w:hAnsi="Times New Roman" w:cs="Times New Roman"/>
                <w:b/>
                <w:strike/>
                <w:noProof/>
              </w:rPr>
              <w:softHyphen/>
              <w:t>funktion erforderlich (bei Anwen</w:t>
            </w:r>
            <w:r w:rsidRPr="005E6A84">
              <w:rPr>
                <w:rFonts w:ascii="Times New Roman" w:hAnsi="Times New Roman" w:cs="Times New Roman"/>
                <w:b/>
                <w:strike/>
                <w:noProof/>
              </w:rPr>
              <w:softHyphen/>
              <w:t>dung einer anderen als der Referenz</w:t>
            </w:r>
            <w:r w:rsidRPr="005E6A84">
              <w:rPr>
                <w:rFonts w:ascii="Times New Roman" w:hAnsi="Times New Roman" w:cs="Times New Roman"/>
                <w:b/>
                <w:strike/>
                <w:noProof/>
              </w:rPr>
              <w:softHyphen/>
              <w:t>methode</w:t>
            </w:r>
            <w:r w:rsidRPr="005E6A84">
              <w:rPr>
                <w:rFonts w:ascii="Times New Roman" w:hAnsi="Times New Roman" w:cs="Times New Roman"/>
                <w:b/>
                <w:bCs/>
                <w:strike/>
                <w:noProof/>
                <w:vertAlign w:val="superscript"/>
              </w:rPr>
              <w:footnoteReference w:id="64"/>
            </w:r>
            <w:r w:rsidRPr="005E6A84">
              <w:rPr>
                <w:rFonts w:ascii="Times New Roman" w:hAnsi="Times New Roman" w:cs="Times New Roman"/>
                <w:b/>
                <w:strike/>
                <w:noProof/>
              </w:rPr>
              <w:t xml:space="preserve">)? </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Bodentextur (Ton-, Schluff- und Sandgehalt – für die Bestimmung anderer Deskriptoren und damit verbundener Wertebereiche erforderlich)</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Bevorzugte Methode: ISO 11277:2020-04 Bodenbeschaffenheit – Bestimmung der Partikelgrößenverteilung in Mineralböden – Verfahren mittels Sieben und Sedimentation</w:t>
            </w: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Alternativmethode: ISO 13320:2020-01 Partikelgrößenanalyse – Laserbeugungsverfahren</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b/>
                <w:bCs/>
                <w:strike/>
                <w:noProof/>
              </w:rPr>
            </w:pPr>
            <w:r w:rsidRPr="005E6A84">
              <w:rPr>
                <w:rFonts w:ascii="Times New Roman" w:hAnsi="Times New Roman" w:cs="Times New Roman"/>
                <w:strike/>
                <w:noProof/>
              </w:rPr>
              <w:lastRenderedPageBreak/>
              <w:t>Elektrische Leitfähigkeit</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Option 1: </w:t>
            </w:r>
            <w:r w:rsidRPr="005E6A84">
              <w:rPr>
                <w:rFonts w:ascii="Times New Roman" w:hAnsi="Times New Roman" w:cs="Times New Roman"/>
                <w:strike/>
                <w:noProof/>
              </w:rPr>
              <w:br/>
              <w:t>Messung anhand gesättigter Bodenpaste (Bodensättigungsextrakt, eEC) (FAO SOP:  GLOSOLAN-SOP-08</w:t>
            </w:r>
            <w:r w:rsidRPr="005E6A84">
              <w:rPr>
                <w:rFonts w:ascii="Times New Roman" w:hAnsi="Times New Roman" w:cs="Times New Roman"/>
                <w:strike/>
                <w:noProof/>
                <w:vertAlign w:val="superscript"/>
              </w:rPr>
              <w:footnoteReference w:id="65"/>
            </w:r>
            <w:r w:rsidRPr="005E6A84">
              <w:rPr>
                <w:rFonts w:ascii="Times New Roman" w:hAnsi="Times New Roman" w:cs="Times New Roman"/>
                <w:strike/>
                <w:noProof/>
              </w:rPr>
              <w:t>)</w:t>
            </w: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Option 2: ISO 11265:1994-10 Bodenbeschaffenheit – Bestimmung der spezifischen elektrischen Leitfähigkeit </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keepNext/>
              <w:widowControl/>
              <w:spacing w:before="120" w:after="120"/>
              <w:jc w:val="both"/>
              <w:rPr>
                <w:rFonts w:ascii="Times New Roman" w:hAnsi="Times New Roman" w:cs="Times New Roman"/>
                <w:b/>
                <w:bCs/>
                <w:strike/>
                <w:noProof/>
              </w:rPr>
            </w:pPr>
            <w:r w:rsidRPr="005E6A84">
              <w:rPr>
                <w:rFonts w:ascii="Times New Roman" w:hAnsi="Times New Roman" w:cs="Times New Roman"/>
                <w:strike/>
                <w:noProof/>
              </w:rPr>
              <w:lastRenderedPageBreak/>
              <w:t>Bodenerosions</w:t>
            </w:r>
            <w:r w:rsidRPr="005E6A84">
              <w:rPr>
                <w:rFonts w:ascii="Times New Roman" w:hAnsi="Times New Roman" w:cs="Times New Roman"/>
                <w:strike/>
                <w:noProof/>
              </w:rPr>
              <w:softHyphen/>
              <w:t>rate</w:t>
            </w:r>
          </w:p>
        </w:tc>
        <w:tc>
          <w:tcPr>
            <w:tcW w:w="2694"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widowControl/>
              <w:spacing w:before="120" w:after="120"/>
              <w:jc w:val="both"/>
              <w:rPr>
                <w:rFonts w:ascii="Times New Roman" w:hAnsi="Times New Roman" w:cs="Times New Roman"/>
                <w:strike/>
                <w:noProof/>
              </w:rPr>
            </w:pPr>
          </w:p>
        </w:tc>
        <w:tc>
          <w:tcPr>
            <w:tcW w:w="3260"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Bei der Schätzung der Bodenerosionsrate sind sämtliche Maßnahmen zu berücksichtigen, die zur Minderung oder Kompensierung des Erosionsrisikos ergriffen wurden, einschließlich Maßnahmen zur Minderung der Bodenerosion nach Bränden.</w:t>
            </w:r>
          </w:p>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Die Schätzung der Bodenerosionsrate umfasst alle relevanten Erosionsprozesse wie Erosion durch Wasser, Wind, Ernte und Bodenbearbeitung.</w:t>
            </w:r>
          </w:p>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Die wasserbedingte Bodenerosion wird anhand folgender Faktoren bewertet: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 xml:space="preserve">Bodeneigenschaften (z. B. Erosionsanfälligkeit, Bodenverkrustung, Bodenrauheit);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bookmarkStart w:id="9" w:name="_Hlk144812642"/>
            <w:r w:rsidRPr="005E6A84">
              <w:rPr>
                <w:rFonts w:ascii="Times New Roman" w:hAnsi="Times New Roman" w:cs="Times New Roman"/>
                <w:strike/>
                <w:noProof/>
              </w:rPr>
              <w:t>Klima (z. B. Erosivität der Niederschläge </w:t>
            </w:r>
            <w:bookmarkEnd w:id="9"/>
            <w:r w:rsidRPr="005E6A84">
              <w:rPr>
                <w:rFonts w:ascii="Times New Roman" w:hAnsi="Times New Roman" w:cs="Times New Roman"/>
                <w:strike/>
                <w:noProof/>
              </w:rPr>
              <w:t xml:space="preserve">– Intensität und Dauer unter Berücksichtigung relevanter Klimawandelprognosen für ein bestimmtes Gebiet);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 xml:space="preserve">Topografie (z. B. Hangneigung und </w:t>
            </w:r>
            <w:r w:rsidRPr="005E6A84">
              <w:rPr>
                <w:rFonts w:ascii="Times New Roman" w:hAnsi="Times New Roman" w:cs="Times New Roman"/>
                <w:strike/>
                <w:noProof/>
              </w:rPr>
              <w:noBreakHyphen/>
              <w:t xml:space="preserve">länge);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Pflanzendecke, Kulturart, Landnutzung und Bewirtschaftungs</w:t>
            </w:r>
            <w:r w:rsidRPr="005E6A84">
              <w:rPr>
                <w:rFonts w:ascii="Times New Roman" w:hAnsi="Times New Roman" w:cs="Times New Roman"/>
                <w:strike/>
                <w:noProof/>
              </w:rPr>
              <w:softHyphen/>
              <w:t>praktiken zur Eindämmung oder Verringerung der Erosion;</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Bewirtschaftungs</w:t>
            </w:r>
            <w:r w:rsidRPr="005E6A84">
              <w:rPr>
                <w:rFonts w:ascii="Times New Roman" w:hAnsi="Times New Roman" w:cs="Times New Roman"/>
                <w:strike/>
                <w:noProof/>
              </w:rPr>
              <w:softHyphen/>
              <w:t>praktiken (z. B. Deckpflanzen, reduzierte Bodenbearbeitung, Mulchen usw.);</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Brandflächen.</w:t>
            </w:r>
          </w:p>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lastRenderedPageBreak/>
              <w:t xml:space="preserve">Die windbedingte Bodenerosion wird anhand folgender Faktoren bewertet: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 xml:space="preserve">Bodeneigenschaften (z. B. Erosionsanfälligkeit);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 xml:space="preserve">Klima (z. B. Bodenfeuchtigkeit, Windgeschwindigkeit, Verdunstung); </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Vegetation (z. B. Kulturart);</w:t>
            </w:r>
          </w:p>
          <w:p w:rsidR="005E6A84" w:rsidRPr="005E6A84" w:rsidRDefault="005E6A84" w:rsidP="005E6A84">
            <w:pPr>
              <w:keepNext/>
              <w:widowControl/>
              <w:numPr>
                <w:ilvl w:val="0"/>
                <w:numId w:val="3"/>
              </w:numPr>
              <w:spacing w:before="120" w:after="120"/>
              <w:ind w:left="492"/>
              <w:jc w:val="both"/>
              <w:rPr>
                <w:rFonts w:ascii="Times New Roman" w:hAnsi="Times New Roman" w:cs="Times New Roman"/>
                <w:strike/>
                <w:noProof/>
              </w:rPr>
            </w:pPr>
            <w:r w:rsidRPr="005E6A84">
              <w:rPr>
                <w:rFonts w:ascii="Times New Roman" w:hAnsi="Times New Roman" w:cs="Times New Roman"/>
                <w:strike/>
                <w:noProof/>
              </w:rPr>
              <w:t>Bewirtschaftungs</w:t>
            </w:r>
            <w:r w:rsidRPr="005E6A84">
              <w:rPr>
                <w:rFonts w:ascii="Times New Roman" w:hAnsi="Times New Roman" w:cs="Times New Roman"/>
                <w:strike/>
                <w:noProof/>
              </w:rPr>
              <w:softHyphen/>
              <w:t>praktiken zur Eindämmung oder Verringerung der Erosion (z. B. Windschutz</w:t>
            </w:r>
            <w:r w:rsidRPr="005E6A84">
              <w:rPr>
                <w:rFonts w:ascii="Times New Roman" w:hAnsi="Times New Roman" w:cs="Times New Roman"/>
                <w:strike/>
                <w:noProof/>
              </w:rPr>
              <w:softHyphen/>
              <w:t>anlagen).</w:t>
            </w: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lastRenderedPageBreak/>
              <w:t>Nicht zutreffend</w:t>
            </w:r>
          </w:p>
        </w:tc>
      </w:tr>
      <w:tr w:rsidR="005E6A84" w:rsidRPr="005E6A84" w:rsidTr="00B24DC6">
        <w:trPr>
          <w:trHeight w:val="662"/>
        </w:trPr>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Organischer Kohlenstoff im Boden</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ISO 10694:1995-03 Bodenbeschaffenheit – Bestimmung von organischem Kohlenstoff und Gesamtkohlenstoff nach trockener Verbrennung (Elementaranalyse)</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Lagerungs</w:t>
            </w:r>
            <w:r w:rsidRPr="005E6A84">
              <w:rPr>
                <w:rFonts w:ascii="Times New Roman" w:hAnsi="Times New Roman" w:cs="Times New Roman"/>
                <w:strike/>
                <w:noProof/>
              </w:rPr>
              <w:softHyphen/>
              <w:t xml:space="preserve">dichte im Unterboden </w:t>
            </w:r>
            <w:r w:rsidRPr="005E6A84">
              <w:rPr>
                <w:rFonts w:ascii="Times New Roman" w:hAnsi="Times New Roman" w:cs="Times New Roman"/>
                <w:strike/>
                <w:noProof/>
              </w:rPr>
              <w:br/>
              <w:t>(B-Horizont</w:t>
            </w:r>
            <w:r w:rsidRPr="005E6A84">
              <w:rPr>
                <w:rFonts w:ascii="Times New Roman" w:hAnsi="Times New Roman" w:cs="Times New Roman"/>
                <w:strike/>
                <w:noProof/>
                <w:vertAlign w:val="superscript"/>
              </w:rPr>
              <w:footnoteReference w:id="66"/>
            </w:r>
            <w:r w:rsidRPr="005E6A84">
              <w:rPr>
                <w:rFonts w:ascii="Times New Roman" w:hAnsi="Times New Roman" w:cs="Times New Roman"/>
                <w:strike/>
                <w:noProof/>
              </w:rPr>
              <w:t>) oder gleichwertiger</w:t>
            </w:r>
            <w:r w:rsidRPr="005E6A84">
              <w:rPr>
                <w:rFonts w:ascii="Times New Roman" w:hAnsi="Times New Roman" w:cs="Times New Roman"/>
                <w:strike/>
                <w:noProof/>
                <w:vertAlign w:val="superscript"/>
              </w:rPr>
              <w:footnoteReference w:id="67"/>
            </w:r>
            <w:r w:rsidRPr="005E6A84">
              <w:rPr>
                <w:rFonts w:ascii="Times New Roman" w:hAnsi="Times New Roman" w:cs="Times New Roman"/>
                <w:strike/>
                <w:noProof/>
              </w:rPr>
              <w:t>, von den Mitgliedstaaten gewählter Parameter</w:t>
            </w:r>
          </w:p>
        </w:tc>
        <w:tc>
          <w:tcPr>
            <w:tcW w:w="2694"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DIN EN ISO 11272:2017-07 Bodenbeschaffenheit – Bestimmung der Trockenrohdichte </w:t>
            </w: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Wird ein gleichwertiger Parameter gewählt, so wird entweder eine europäische oder eine internationale Norm angewandt, sofern verfügbar; ist keine derartige Norm verfügbar, so muss die gewählte Methode entweder in der </w:t>
            </w:r>
            <w:r w:rsidRPr="005E6A84">
              <w:rPr>
                <w:rFonts w:ascii="Times New Roman" w:hAnsi="Times New Roman" w:cs="Times New Roman"/>
                <w:strike/>
                <w:noProof/>
              </w:rPr>
              <w:lastRenderedPageBreak/>
              <w:t xml:space="preserve">wissenschaftlichen Literatur oder öffentlich zugänglich sein. </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Extrahierbarer Phosphor</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ISO 11263:1994-12 Bodenbeschaffenheit – Bestimmung von Phosphor – Spektrometrische Bestimmung des natriumhydrogen</w:t>
            </w:r>
            <w:r w:rsidRPr="005E6A84">
              <w:rPr>
                <w:rFonts w:ascii="Times New Roman" w:hAnsi="Times New Roman" w:cs="Times New Roman"/>
                <w:strike/>
                <w:noProof/>
              </w:rPr>
              <w:softHyphen/>
              <w:t>carbonatlöslichen Phosphors</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Konzentration an Schwermetallen im Boden:</w:t>
            </w:r>
            <w:bookmarkStart w:id="10" w:name="_Hlk125991502"/>
            <w:r w:rsidRPr="005E6A84">
              <w:rPr>
                <w:rFonts w:ascii="Times New Roman" w:hAnsi="Times New Roman" w:cs="Times New Roman"/>
                <w:strike/>
                <w:noProof/>
              </w:rPr>
              <w:t xml:space="preserve"> As, Sb, Cd, Co, Cr (Gesamt</w:t>
            </w:r>
            <w:r w:rsidRPr="005E6A84">
              <w:rPr>
                <w:rFonts w:ascii="Times New Roman" w:hAnsi="Times New Roman" w:cs="Times New Roman"/>
                <w:strike/>
                <w:noProof/>
              </w:rPr>
              <w:softHyphen/>
              <w:t>konzentration), Cr (VI), Cu, Hg, Pb, Ni, Tl, V, Zn</w:t>
            </w:r>
            <w:bookmarkEnd w:id="10"/>
            <w:r w:rsidRPr="005E6A84">
              <w:rPr>
                <w:rFonts w:ascii="Times New Roman" w:hAnsi="Times New Roman" w:cs="Times New Roman"/>
                <w:strike/>
                <w:noProof/>
              </w:rPr>
              <w:t xml:space="preserve"> </w:t>
            </w:r>
            <w:r w:rsidRPr="005E6A84">
              <w:rPr>
                <w:rFonts w:ascii="Times New Roman" w:hAnsi="Times New Roman" w:cs="Times New Roman"/>
                <w:strike/>
                <w:noProof/>
              </w:rPr>
              <w:br/>
              <w:t>- Konzentration einer Auswahl an organischen Kontaminanten, die von den Mitgliedstaaten unter Berück</w:t>
            </w:r>
            <w:r w:rsidRPr="005E6A84">
              <w:rPr>
                <w:rFonts w:ascii="Times New Roman" w:hAnsi="Times New Roman" w:cs="Times New Roman"/>
                <w:strike/>
                <w:noProof/>
              </w:rPr>
              <w:softHyphen/>
              <w:t>sichtigung bestehenden Unionsrechts festgelegt wird (z. B. für Wasserqualität und Pestizide)</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Potenziell in der Umwelt verfügbarer Gehalt an Schwermetallen in Böden nach ISO 17586:2016 unter Verwendung von verdünnter Salpetersäure</w:t>
            </w: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 </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Anwendung europäischer oder internationaler Normen, sofern verfügbar; ist keine derartige Norm verfügbar, so muss die gewählte Methode entweder in der wissenschaftlichen Literatur oder öffentlich zugänglich sein</w:t>
            </w: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Nicht zutreffend</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bookmarkStart w:id="11" w:name="_Hlk125991626"/>
            <w:r w:rsidRPr="005E6A84">
              <w:rPr>
                <w:rFonts w:ascii="Times New Roman" w:hAnsi="Times New Roman" w:cs="Times New Roman"/>
                <w:strike/>
                <w:noProof/>
              </w:rPr>
              <w:t>Wasserspeicher</w:t>
            </w:r>
            <w:r w:rsidRPr="005E6A84">
              <w:rPr>
                <w:rFonts w:ascii="Times New Roman" w:hAnsi="Times New Roman" w:cs="Times New Roman"/>
                <w:strike/>
                <w:noProof/>
              </w:rPr>
              <w:softHyphen/>
              <w:t>kapazität des Bodens</w:t>
            </w:r>
            <w:bookmarkEnd w:id="11"/>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Methode zur Bestimmung des Wertes für eine Probenahmestelle:</w:t>
            </w: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Option 1: </w:t>
            </w:r>
            <w:r w:rsidRPr="005E6A84">
              <w:rPr>
                <w:rFonts w:ascii="Times New Roman" w:hAnsi="Times New Roman" w:cs="Times New Roman"/>
                <w:strike/>
                <w:noProof/>
              </w:rPr>
              <w:br/>
              <w:t>LABOR: DIN EN ISO 11274:2020-04 Bodenbeschaffenheit – Bestimmung des Wasserrückhalte</w:t>
            </w:r>
            <w:r w:rsidRPr="005E6A84">
              <w:rPr>
                <w:rFonts w:ascii="Times New Roman" w:hAnsi="Times New Roman" w:cs="Times New Roman"/>
                <w:strike/>
                <w:noProof/>
              </w:rPr>
              <w:softHyphen/>
              <w:t>vermögens – Laborverfahren</w:t>
            </w:r>
          </w:p>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lastRenderedPageBreak/>
              <w:t>Option 2: SCHÄTZUNG: Anwendung der im wissenschaftlichen Artikel „New generation of hydraulic pedotransfer functions for Europe“</w:t>
            </w:r>
            <w:r w:rsidRPr="005E6A84">
              <w:rPr>
                <w:rFonts w:ascii="Times New Roman" w:hAnsi="Times New Roman" w:cs="Times New Roman"/>
                <w:strike/>
                <w:noProof/>
                <w:vertAlign w:val="superscript"/>
              </w:rPr>
              <w:footnoteReference w:id="68"/>
            </w:r>
            <w:r w:rsidRPr="005E6A84">
              <w:rPr>
                <w:rFonts w:ascii="Times New Roman" w:hAnsi="Times New Roman" w:cs="Times New Roman"/>
                <w:strike/>
                <w:noProof/>
              </w:rPr>
              <w:t xml:space="preserve"> (Neue Generation von hydraulischen Pedotransferfunktionen für Europa) beschriebenen Methode auf der Grundlage der Textur (oder Partikelgrößenverteilung) und des organischen Kohlenstoffs im Boden</w:t>
            </w:r>
          </w:p>
        </w:tc>
        <w:tc>
          <w:tcPr>
            <w:tcW w:w="3260"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bookmarkStart w:id="12" w:name="_Hlk126165520"/>
            <w:r w:rsidRPr="005E6A84">
              <w:rPr>
                <w:rFonts w:ascii="Times New Roman" w:hAnsi="Times New Roman" w:cs="Times New Roman"/>
                <w:strike/>
                <w:noProof/>
              </w:rPr>
              <w:lastRenderedPageBreak/>
              <w:t>Mindestkriterien für die Schätzung der Gesamtwasserspeicher</w:t>
            </w:r>
            <w:r w:rsidRPr="005E6A84">
              <w:rPr>
                <w:rFonts w:ascii="Times New Roman" w:hAnsi="Times New Roman" w:cs="Times New Roman"/>
                <w:strike/>
                <w:noProof/>
              </w:rPr>
              <w:softHyphen/>
              <w:t>kapazität eines Bodenbezirks auf Ebene von Einzugsgebieten oder Teileinzugsgebieten:</w:t>
            </w:r>
          </w:p>
          <w:p w:rsidR="005E6A84" w:rsidRPr="005E6A84" w:rsidRDefault="005E6A84" w:rsidP="005E6A84">
            <w:pPr>
              <w:widowControl/>
              <w:numPr>
                <w:ilvl w:val="0"/>
                <w:numId w:val="3"/>
              </w:numPr>
              <w:spacing w:before="120" w:after="120"/>
              <w:jc w:val="both"/>
              <w:rPr>
                <w:rFonts w:ascii="Times New Roman" w:hAnsi="Times New Roman" w:cs="Times New Roman"/>
                <w:strike/>
                <w:noProof/>
              </w:rPr>
            </w:pPr>
            <w:r w:rsidRPr="005E6A84">
              <w:rPr>
                <w:rFonts w:ascii="Times New Roman" w:hAnsi="Times New Roman" w:cs="Times New Roman"/>
                <w:strike/>
                <w:noProof/>
              </w:rPr>
              <w:t>nicht genutzte Flächen: Schätzung der Gesamtwasserspeicher</w:t>
            </w:r>
            <w:r w:rsidRPr="005E6A84">
              <w:rPr>
                <w:rFonts w:ascii="Times New Roman" w:hAnsi="Times New Roman" w:cs="Times New Roman"/>
                <w:strike/>
                <w:noProof/>
              </w:rPr>
              <w:softHyphen/>
              <w:t xml:space="preserve">kapazität des Bodens </w:t>
            </w:r>
          </w:p>
          <w:p w:rsidR="005E6A84" w:rsidRPr="005E6A84" w:rsidRDefault="005E6A84" w:rsidP="005E6A84">
            <w:pPr>
              <w:widowControl/>
              <w:numPr>
                <w:ilvl w:val="0"/>
                <w:numId w:val="3"/>
              </w:numPr>
              <w:spacing w:before="120" w:after="120"/>
              <w:jc w:val="both"/>
              <w:rPr>
                <w:rFonts w:ascii="Times New Roman" w:hAnsi="Times New Roman" w:cs="Times New Roman"/>
                <w:strike/>
                <w:noProof/>
              </w:rPr>
            </w:pPr>
            <w:r w:rsidRPr="005E6A84">
              <w:rPr>
                <w:rFonts w:ascii="Times New Roman" w:hAnsi="Times New Roman" w:cs="Times New Roman"/>
                <w:strike/>
                <w:noProof/>
              </w:rPr>
              <w:t>genutzte Flächen: Wasserspeicher</w:t>
            </w:r>
            <w:r w:rsidRPr="005E6A84">
              <w:rPr>
                <w:rFonts w:ascii="Times New Roman" w:hAnsi="Times New Roman" w:cs="Times New Roman"/>
                <w:strike/>
                <w:noProof/>
              </w:rPr>
              <w:softHyphen/>
              <w:t xml:space="preserve">kapazität versiegelter </w:t>
            </w:r>
            <w:r w:rsidRPr="005E6A84">
              <w:rPr>
                <w:rFonts w:ascii="Times New Roman" w:hAnsi="Times New Roman" w:cs="Times New Roman"/>
                <w:strike/>
                <w:noProof/>
              </w:rPr>
              <w:lastRenderedPageBreak/>
              <w:t>Flächen gegebenenfalls mit Null veranschlagen und für teilversiegelte und andere künstlich angelegte Flächen proportionale Zwischenwerte berechnen</w:t>
            </w:r>
            <w:bookmarkEnd w:id="12"/>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lastRenderedPageBreak/>
              <w:t>JA (Wert für Probenahme</w:t>
            </w:r>
            <w:r w:rsidRPr="005E6A84">
              <w:rPr>
                <w:rFonts w:ascii="Times New Roman" w:hAnsi="Times New Roman" w:cs="Times New Roman"/>
                <w:strike/>
                <w:noProof/>
              </w:rPr>
              <w:softHyphen/>
              <w:t>stelle)</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Stickstoff im Boden </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ISO 11261:1995-06-01 Bodenbeschaffenheit. Bestimmung von Gesamt-Stickstoff. Modifiziertes Kjeldahl-Verfahren</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Bodensäure</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DIN EN ISO 10390:2022-08 Boden, behandelter Bioabfall und Schlamm – Bestimmung des </w:t>
            </w:r>
            <w:r w:rsidRPr="005E6A84">
              <w:rPr>
                <w:rFonts w:ascii="Times New Roman" w:hAnsi="Times New Roman" w:cs="Times New Roman"/>
                <w:strike/>
                <w:noProof/>
              </w:rPr>
              <w:br/>
              <w:t>pH-Werts</w:t>
            </w: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Lagerungs</w:t>
            </w:r>
            <w:r w:rsidRPr="005E6A84">
              <w:rPr>
                <w:rFonts w:ascii="Times New Roman" w:hAnsi="Times New Roman" w:cs="Times New Roman"/>
                <w:strike/>
                <w:noProof/>
              </w:rPr>
              <w:softHyphen/>
              <w:t>dichte im „Oberboden“ (A-Horizont</w:t>
            </w:r>
            <w:r w:rsidRPr="005E6A84">
              <w:rPr>
                <w:rFonts w:ascii="Times New Roman" w:hAnsi="Times New Roman" w:cs="Times New Roman"/>
                <w:strike/>
                <w:noProof/>
                <w:vertAlign w:val="superscript"/>
              </w:rPr>
              <w:footnoteReference w:id="69"/>
            </w:r>
            <w:r w:rsidRPr="005E6A84">
              <w:rPr>
                <w:rFonts w:ascii="Times New Roman" w:hAnsi="Times New Roman" w:cs="Times New Roman"/>
                <w:strike/>
                <w:noProof/>
              </w:rPr>
              <w:t>)</w:t>
            </w:r>
          </w:p>
        </w:tc>
        <w:tc>
          <w:tcPr>
            <w:tcW w:w="2694" w:type="dxa"/>
            <w:tcBorders>
              <w:top w:val="single" w:sz="4" w:space="0" w:color="auto"/>
              <w:left w:val="single" w:sz="4" w:space="0" w:color="auto"/>
              <w:bottom w:val="single" w:sz="4" w:space="0" w:color="auto"/>
              <w:right w:val="single" w:sz="4" w:space="0" w:color="auto"/>
            </w:tcBorders>
            <w:hideMark/>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DIN EN ISO 11272:2017-07 Bodenbeschaffenheit – Bestimmung der Trockenrohdichte </w:t>
            </w:r>
          </w:p>
          <w:p w:rsidR="005E6A84" w:rsidRPr="005E6A84" w:rsidRDefault="005E6A84" w:rsidP="005E6A84">
            <w:pPr>
              <w:widowControl/>
              <w:spacing w:before="120" w:after="120"/>
              <w:jc w:val="both"/>
              <w:rPr>
                <w:rFonts w:ascii="Times New Roman" w:hAnsi="Times New Roman" w:cs="Times New Roman"/>
                <w:strike/>
                <w:noProof/>
              </w:rPr>
            </w:pP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tc>
      </w:tr>
      <w:tr w:rsidR="005E6A84" w:rsidRPr="005E6A84" w:rsidTr="00B24DC6">
        <w:tc>
          <w:tcPr>
            <w:tcW w:w="180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lastRenderedPageBreak/>
              <w:t>Bodenbasal</w:t>
            </w:r>
            <w:r w:rsidRPr="005E6A84">
              <w:rPr>
                <w:rFonts w:ascii="Times New Roman" w:hAnsi="Times New Roman" w:cs="Times New Roman"/>
                <w:strike/>
                <w:noProof/>
              </w:rPr>
              <w:softHyphen/>
              <w:t>atmung</w:t>
            </w: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 xml:space="preserve">Die Mitgliedstaaten können auch fakultative Deskriptoren für die biologische Vielfalt des Bodens wie beispielsweise folgende auswählen: </w:t>
            </w:r>
            <w:r w:rsidRPr="005E6A84">
              <w:rPr>
                <w:rFonts w:ascii="Times New Roman" w:hAnsi="Times New Roman" w:cs="Times New Roman"/>
                <w:strike/>
                <w:noProof/>
              </w:rPr>
              <w:br/>
              <w:t>-Meta</w:t>
            </w:r>
            <w:r w:rsidRPr="005E6A84">
              <w:rPr>
                <w:rFonts w:ascii="Times New Roman" w:hAnsi="Times New Roman" w:cs="Times New Roman"/>
                <w:strike/>
                <w:noProof/>
              </w:rPr>
              <w:softHyphen/>
              <w:t>barcoding</w:t>
            </w:r>
            <w:r w:rsidRPr="005E6A84">
              <w:rPr>
                <w:rFonts w:ascii="Times New Roman" w:hAnsi="Times New Roman" w:cs="Times New Roman"/>
                <w:strike/>
                <w:noProof/>
                <w:vertAlign w:val="superscript"/>
              </w:rPr>
              <w:footnoteReference w:id="70"/>
            </w:r>
            <w:r w:rsidRPr="005E6A84">
              <w:rPr>
                <w:rFonts w:ascii="Times New Roman" w:hAnsi="Times New Roman" w:cs="Times New Roman"/>
                <w:strike/>
                <w:noProof/>
              </w:rPr>
              <w:t xml:space="preserve"> für Bakterien, Pilze, Protisten und Tiere; </w:t>
            </w:r>
            <w:r w:rsidRPr="005E6A84">
              <w:rPr>
                <w:rFonts w:ascii="Times New Roman" w:hAnsi="Times New Roman" w:cs="Times New Roman"/>
                <w:strike/>
                <w:noProof/>
              </w:rPr>
              <w:br/>
              <w:t>- Größe und Vielfalt der Nematoden</w:t>
            </w:r>
            <w:r w:rsidRPr="005E6A84">
              <w:rPr>
                <w:rFonts w:ascii="Times New Roman" w:hAnsi="Times New Roman" w:cs="Times New Roman"/>
                <w:strike/>
                <w:noProof/>
              </w:rPr>
              <w:softHyphen/>
              <w:t xml:space="preserve">populationen; </w:t>
            </w:r>
            <w:r w:rsidRPr="005E6A84">
              <w:rPr>
                <w:rFonts w:ascii="Times New Roman" w:hAnsi="Times New Roman" w:cs="Times New Roman"/>
                <w:strike/>
                <w:noProof/>
              </w:rPr>
              <w:br/>
              <w:t xml:space="preserve">- mikrobielle Biomasse; </w:t>
            </w:r>
            <w:r w:rsidRPr="005E6A84">
              <w:rPr>
                <w:rFonts w:ascii="Times New Roman" w:hAnsi="Times New Roman" w:cs="Times New Roman"/>
                <w:strike/>
                <w:noProof/>
              </w:rPr>
              <w:br/>
              <w:t>- Größe und Vielfalt der Regenwurm</w:t>
            </w:r>
            <w:r w:rsidRPr="005E6A84">
              <w:rPr>
                <w:rFonts w:ascii="Times New Roman" w:hAnsi="Times New Roman" w:cs="Times New Roman"/>
                <w:strike/>
                <w:noProof/>
              </w:rPr>
              <w:softHyphen/>
              <w:t>populationen (bei Kulturflächen).</w:t>
            </w:r>
          </w:p>
        </w:tc>
        <w:tc>
          <w:tcPr>
            <w:tcW w:w="2694"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Vorgaben aus dem wissenschaftlichen Artikel „Microbial biomass and activities in soil as affected by frozen and cold storage”</w:t>
            </w:r>
            <w:r w:rsidRPr="005E6A84">
              <w:rPr>
                <w:rFonts w:ascii="Times New Roman" w:hAnsi="Times New Roman" w:cs="Times New Roman"/>
                <w:strike/>
                <w:noProof/>
                <w:vertAlign w:val="superscript"/>
              </w:rPr>
              <w:footnoteReference w:id="71"/>
            </w:r>
            <w:r w:rsidRPr="005E6A84">
              <w:rPr>
                <w:rFonts w:ascii="Times New Roman" w:hAnsi="Times New Roman" w:cs="Times New Roman"/>
                <w:strike/>
                <w:noProof/>
              </w:rPr>
              <w:t xml:space="preserve"> (Mikrobielle Biomasse und Aktivitäten im Boden und deren Beeinträchtigung durch Kühl- und Tiefkühllagerung)</w:t>
            </w: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tc>
        <w:tc>
          <w:tcPr>
            <w:tcW w:w="3260"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Anwendung europäischer oder internationaler Normen, sofern verfügbar; ist keine derartige Norm verfügbar, so muss die gewählte Methode entweder in der wissenschaftlichen Literatur oder öffentlich zugänglich sein.</w:t>
            </w: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tc>
        <w:tc>
          <w:tcPr>
            <w:tcW w:w="1559" w:type="dxa"/>
            <w:tcBorders>
              <w:top w:val="single" w:sz="4" w:space="0" w:color="auto"/>
              <w:left w:val="single" w:sz="4" w:space="0" w:color="auto"/>
              <w:bottom w:val="single" w:sz="4" w:space="0" w:color="auto"/>
              <w:right w:val="single" w:sz="4" w:space="0" w:color="auto"/>
            </w:tcBorders>
          </w:tcPr>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JA</w:t>
            </w: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p>
          <w:p w:rsidR="005E6A84" w:rsidRPr="005E6A84" w:rsidRDefault="005E6A84" w:rsidP="005E6A84">
            <w:pPr>
              <w:keepNext/>
              <w:widowControl/>
              <w:spacing w:before="120" w:after="120"/>
              <w:jc w:val="both"/>
              <w:rPr>
                <w:rFonts w:ascii="Times New Roman" w:hAnsi="Times New Roman" w:cs="Times New Roman"/>
                <w:strike/>
                <w:noProof/>
              </w:rPr>
            </w:pPr>
            <w:r w:rsidRPr="005E6A84">
              <w:rPr>
                <w:rFonts w:ascii="Times New Roman" w:hAnsi="Times New Roman" w:cs="Times New Roman"/>
                <w:strike/>
                <w:noProof/>
              </w:rPr>
              <w:t>Andere Deskriptoren für die biologische Vielfalt des Bodens: Nicht zutreffend</w:t>
            </w:r>
          </w:p>
        </w:tc>
      </w:tr>
    </w:tbl>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Bodendeskriptor</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Referenzmethode</w:t>
            </w:r>
          </w:p>
        </w:tc>
        <w:tc>
          <w:tcPr>
            <w:tcW w:w="315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jc w:val="left"/>
              <w:rPr>
                <w:b/>
                <w:i/>
                <w:sz w:val="22"/>
                <w:szCs w:val="22"/>
              </w:rPr>
            </w:pPr>
            <w:r w:rsidRPr="00037CF2">
              <w:rPr>
                <w:b/>
                <w:i/>
                <w:sz w:val="22"/>
              </w:rPr>
              <w:t>Methodische Mindestkriterien</w:t>
            </w: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Validierte Übertragungs-funktion erforderlich (bei Anwendung einer anderen als der Referenz-methode)</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Bodentextur (Ton-, Schluff- und Sandgehalt – für die Bestimmung </w:t>
            </w:r>
            <w:r w:rsidRPr="00037CF2">
              <w:rPr>
                <w:b/>
                <w:i/>
                <w:sz w:val="22"/>
              </w:rPr>
              <w:lastRenderedPageBreak/>
              <w:t>anderer Deskriptoren und damit verbundener Wertebereiche erforderlich)</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lastRenderedPageBreak/>
              <w:t>Bevorzugte Methode: ISO </w:t>
            </w:r>
            <w:r w:rsidRPr="00966B50">
              <w:rPr>
                <w:b/>
                <w:i/>
                <w:sz w:val="22"/>
              </w:rPr>
              <w:t>11277</w:t>
            </w:r>
            <w:r w:rsidRPr="00037CF2">
              <w:rPr>
                <w:b/>
                <w:i/>
                <w:sz w:val="22"/>
              </w:rPr>
              <w:t>:</w:t>
            </w:r>
            <w:r w:rsidRPr="00966B50">
              <w:rPr>
                <w:b/>
                <w:i/>
                <w:sz w:val="22"/>
              </w:rPr>
              <w:t>2020</w:t>
            </w:r>
            <w:r w:rsidRPr="00037CF2">
              <w:rPr>
                <w:b/>
                <w:i/>
                <w:sz w:val="22"/>
              </w:rPr>
              <w:t>-</w:t>
            </w:r>
            <w:r w:rsidRPr="00966B50">
              <w:rPr>
                <w:b/>
                <w:i/>
                <w:sz w:val="22"/>
              </w:rPr>
              <w:t>04</w:t>
            </w:r>
            <w:r w:rsidRPr="00037CF2">
              <w:rPr>
                <w:b/>
                <w:i/>
                <w:sz w:val="22"/>
              </w:rPr>
              <w:t xml:space="preserve"> Bodenbeschaffenheit – Bestimmung der </w:t>
            </w:r>
            <w:r w:rsidRPr="00037CF2">
              <w:rPr>
                <w:b/>
                <w:i/>
                <w:sz w:val="22"/>
              </w:rPr>
              <w:lastRenderedPageBreak/>
              <w:t>Partikelgrößenverteilung in Mineralböden – Verfahren mittels Sieben und Sedimentation</w:t>
            </w:r>
          </w:p>
          <w:p w:rsidR="005E6A84" w:rsidRPr="00037CF2" w:rsidRDefault="005E6A84" w:rsidP="00B24DC6">
            <w:pPr>
              <w:rPr>
                <w:b/>
                <w:i/>
                <w:sz w:val="22"/>
                <w:szCs w:val="22"/>
              </w:rPr>
            </w:pPr>
            <w:r w:rsidRPr="00037CF2">
              <w:rPr>
                <w:b/>
                <w:i/>
                <w:sz w:val="22"/>
              </w:rPr>
              <w:t>Alternativmethode: ISO </w:t>
            </w:r>
            <w:r w:rsidRPr="00966B50">
              <w:rPr>
                <w:b/>
                <w:i/>
                <w:sz w:val="22"/>
              </w:rPr>
              <w:t>13320</w:t>
            </w:r>
            <w:r w:rsidRPr="00037CF2">
              <w:rPr>
                <w:b/>
                <w:i/>
                <w:sz w:val="22"/>
              </w:rPr>
              <w:t>:</w:t>
            </w:r>
            <w:r w:rsidRPr="00966B50">
              <w:rPr>
                <w:b/>
                <w:i/>
                <w:sz w:val="22"/>
              </w:rPr>
              <w:t>2020</w:t>
            </w:r>
            <w:r w:rsidRPr="00037CF2">
              <w:rPr>
                <w:b/>
                <w:i/>
                <w:sz w:val="22"/>
              </w:rPr>
              <w:t>-</w:t>
            </w:r>
            <w:r w:rsidRPr="00966B50">
              <w:rPr>
                <w:b/>
                <w:i/>
                <w:sz w:val="22"/>
              </w:rPr>
              <w:t>01</w:t>
            </w:r>
            <w:r w:rsidRPr="00037CF2">
              <w:rPr>
                <w:b/>
                <w:i/>
                <w:sz w:val="22"/>
              </w:rPr>
              <w:t xml:space="preserve"> Partikelgrößenanalyse – Laserbeugungsverfahren</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Elektrische Leitfähigkeit</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Option </w:t>
            </w:r>
            <w:r w:rsidRPr="00966B50">
              <w:rPr>
                <w:b/>
                <w:i/>
                <w:sz w:val="22"/>
              </w:rPr>
              <w:t>1</w:t>
            </w:r>
            <w:r w:rsidRPr="00037CF2">
              <w:rPr>
                <w:b/>
                <w:i/>
                <w:sz w:val="22"/>
              </w:rPr>
              <w:t>: Messung anhand gesättigter Bodenpaste (Bodensättigungsextrakt, eEC) (FAO SOP;  GLOSOLAN-SOP-</w:t>
            </w:r>
            <w:r w:rsidRPr="00966B50">
              <w:rPr>
                <w:b/>
                <w:i/>
                <w:sz w:val="22"/>
              </w:rPr>
              <w:t>08</w:t>
            </w:r>
            <w:r>
              <w:rPr>
                <w:rStyle w:val="FootnoteReference"/>
                <w:b/>
                <w:i/>
                <w:sz w:val="22"/>
              </w:rPr>
              <w:footnoteReference w:id="72"/>
            </w:r>
            <w:r w:rsidRPr="00037CF2">
              <w:rPr>
                <w:b/>
                <w:i/>
                <w:sz w:val="22"/>
              </w:rPr>
              <w:t>)</w:t>
            </w:r>
          </w:p>
          <w:p w:rsidR="005E6A84" w:rsidRPr="00037CF2" w:rsidRDefault="005E6A84" w:rsidP="00B24DC6">
            <w:pPr>
              <w:rPr>
                <w:b/>
                <w:i/>
                <w:sz w:val="22"/>
                <w:szCs w:val="22"/>
              </w:rPr>
            </w:pPr>
            <w:r w:rsidRPr="00037CF2">
              <w:rPr>
                <w:b/>
                <w:i/>
                <w:sz w:val="22"/>
              </w:rPr>
              <w:t>Option </w:t>
            </w:r>
            <w:r w:rsidRPr="00966B50">
              <w:rPr>
                <w:b/>
                <w:i/>
                <w:sz w:val="22"/>
              </w:rPr>
              <w:t>2</w:t>
            </w:r>
            <w:r w:rsidRPr="00037CF2">
              <w:rPr>
                <w:b/>
                <w:i/>
                <w:sz w:val="22"/>
              </w:rPr>
              <w:t>: ISO </w:t>
            </w:r>
            <w:r w:rsidRPr="00966B50">
              <w:rPr>
                <w:b/>
                <w:i/>
                <w:sz w:val="22"/>
              </w:rPr>
              <w:t>11265</w:t>
            </w:r>
            <w:r w:rsidRPr="00037CF2">
              <w:rPr>
                <w:b/>
                <w:i/>
                <w:sz w:val="22"/>
              </w:rPr>
              <w:t>:</w:t>
            </w:r>
            <w:r w:rsidRPr="00966B50">
              <w:rPr>
                <w:b/>
                <w:i/>
                <w:sz w:val="22"/>
              </w:rPr>
              <w:t>1994</w:t>
            </w:r>
            <w:r w:rsidRPr="00037CF2">
              <w:rPr>
                <w:b/>
                <w:i/>
                <w:sz w:val="22"/>
              </w:rPr>
              <w:t>-</w:t>
            </w:r>
            <w:r w:rsidRPr="00966B50">
              <w:rPr>
                <w:b/>
                <w:i/>
                <w:sz w:val="22"/>
              </w:rPr>
              <w:t>10</w:t>
            </w:r>
            <w:r w:rsidRPr="00037CF2">
              <w:rPr>
                <w:b/>
                <w:i/>
                <w:sz w:val="22"/>
              </w:rPr>
              <w:t xml:space="preserve"> Bodenbeschaffenheit – Bestimmung der spezifischen elektrischen Leitfähigkeit  </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Bodenerosionsrate</w:t>
            </w:r>
          </w:p>
        </w:tc>
        <w:tc>
          <w:tcPr>
            <w:tcW w:w="2622"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Bei der Schätzung der Bodenerosionsrate sind sämtliche Maßnahmen zu berücksichtigen, die zur Minderung oder Kompensierung des Erosionsrisikos ergriffen wurden, einschließlich Maßnahmen zur Minderung der Bodenerosion nach Bränden.</w:t>
            </w:r>
          </w:p>
          <w:p w:rsidR="005E6A84" w:rsidRPr="00037CF2" w:rsidRDefault="005E6A84" w:rsidP="00B24DC6">
            <w:pPr>
              <w:rPr>
                <w:b/>
                <w:i/>
                <w:sz w:val="22"/>
                <w:szCs w:val="22"/>
              </w:rPr>
            </w:pPr>
            <w:r w:rsidRPr="00037CF2">
              <w:rPr>
                <w:b/>
                <w:i/>
                <w:sz w:val="22"/>
              </w:rPr>
              <w:t>Die Schätzung der Bodenerosionsrate umfasst alle relevanten Erosionsprozesse wie Erosion durch Wasser, Wind, Ernte und Bodenbearbeitung.</w:t>
            </w:r>
          </w:p>
          <w:p w:rsidR="005E6A84" w:rsidRPr="00037CF2" w:rsidRDefault="005E6A84" w:rsidP="00B24DC6">
            <w:pPr>
              <w:rPr>
                <w:b/>
                <w:i/>
                <w:sz w:val="22"/>
                <w:szCs w:val="22"/>
              </w:rPr>
            </w:pPr>
            <w:r w:rsidRPr="00037CF2">
              <w:rPr>
                <w:b/>
                <w:i/>
                <w:sz w:val="22"/>
              </w:rPr>
              <w:t xml:space="preserve">Die wasserbedingte Bodenerosion wird anhand folgender Faktoren bewertet: </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 xml:space="preserve">Bodeneigenschaften (z. B. Erosionsanfälligkeit, Bodenverkrustung, Bodenrauheit); </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 xml:space="preserve">Klima (z. B. Erosivität der Niederschläge – Intensität und Dauer unter Berücksichtigung relevanter Klimawandelprognosen für ein bestimmtes Gebiet); </w:t>
            </w:r>
          </w:p>
          <w:p w:rsidR="005E6A84" w:rsidRPr="00037CF2" w:rsidRDefault="005E6A84" w:rsidP="00B24DC6">
            <w:pPr>
              <w:widowControl/>
              <w:ind w:left="492" w:hanging="360"/>
              <w:rPr>
                <w:b/>
                <w:i/>
                <w:sz w:val="22"/>
                <w:szCs w:val="22"/>
              </w:rPr>
            </w:pPr>
            <w:r w:rsidRPr="00037CF2">
              <w:rPr>
                <w:rFonts w:ascii="Calibri" w:hAnsi="Calibri"/>
                <w:sz w:val="22"/>
              </w:rPr>
              <w:lastRenderedPageBreak/>
              <w:t>-</w:t>
            </w:r>
            <w:r w:rsidRPr="00037CF2">
              <w:rPr>
                <w:rFonts w:ascii="Calibri" w:hAnsi="Calibri"/>
                <w:sz w:val="22"/>
              </w:rPr>
              <w:tab/>
            </w:r>
            <w:r w:rsidRPr="00037CF2">
              <w:rPr>
                <w:b/>
                <w:i/>
                <w:sz w:val="22"/>
              </w:rPr>
              <w:t xml:space="preserve">Topografie (z. B. Hangneigung und -länge); </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Pflanzendecke, Kultur- und Waldart, Landnutzung und Bewirtschaftungs-praktiken zur Eindämmung oder Verringerung der Erosion;</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Bewirtschaftungspraktiken (z. B. Deckpflanzen, reduzierte Bodenbearbeitung, Mulchen usw.);</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Brandflächen.</w:t>
            </w:r>
          </w:p>
          <w:p w:rsidR="005E6A84" w:rsidRPr="00037CF2" w:rsidRDefault="005E6A84" w:rsidP="00B24DC6">
            <w:pPr>
              <w:rPr>
                <w:b/>
                <w:i/>
                <w:sz w:val="22"/>
                <w:szCs w:val="22"/>
              </w:rPr>
            </w:pPr>
            <w:r w:rsidRPr="00037CF2">
              <w:rPr>
                <w:b/>
                <w:i/>
                <w:sz w:val="22"/>
              </w:rPr>
              <w:t xml:space="preserve">Die windbedingte Bodenerosion wird anhand folgender Faktoren bewertet: </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 xml:space="preserve">Bodeneigenschaften (z. B. Erosionsanfälligkeit); </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 xml:space="preserve">Klima (z. B. Bodenfeuchtigkeit, Windgeschwindigkeit, Verdunstung); </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Vegetation (z. B. Kulturart);</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Bewirtschaftungspraktiken zur Eindämmung oder Verringerung der Erosion (z. B. Windschutzanlagen),</w:t>
            </w:r>
          </w:p>
          <w:p w:rsidR="005E6A84" w:rsidRPr="00037CF2" w:rsidRDefault="005E6A84" w:rsidP="00B24DC6">
            <w:pPr>
              <w:widowControl/>
              <w:ind w:left="492" w:hanging="360"/>
              <w:rPr>
                <w:b/>
                <w:i/>
                <w:sz w:val="22"/>
                <w:szCs w:val="22"/>
              </w:rPr>
            </w:pPr>
            <w:r w:rsidRPr="00037CF2">
              <w:rPr>
                <w:rFonts w:ascii="Calibri" w:hAnsi="Calibri"/>
                <w:sz w:val="22"/>
              </w:rPr>
              <w:t>-</w:t>
            </w:r>
            <w:r w:rsidRPr="00037CF2">
              <w:rPr>
                <w:rFonts w:ascii="Calibri" w:hAnsi="Calibri"/>
                <w:sz w:val="22"/>
              </w:rPr>
              <w:tab/>
            </w:r>
            <w:r w:rsidRPr="00037CF2">
              <w:rPr>
                <w:b/>
                <w:i/>
                <w:sz w:val="22"/>
              </w:rPr>
              <w:t>Brandflächen</w:t>
            </w: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lastRenderedPageBreak/>
              <w:t>Nicht zutreffend</w:t>
            </w:r>
          </w:p>
        </w:tc>
      </w:tr>
      <w:tr w:rsidR="005E6A84" w:rsidRPr="00037CF2" w:rsidTr="00B24DC6">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Organischer Kohlenstoff im Boden</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ISO </w:t>
            </w:r>
            <w:r w:rsidRPr="00966B50">
              <w:rPr>
                <w:b/>
                <w:i/>
                <w:sz w:val="22"/>
              </w:rPr>
              <w:t>10694</w:t>
            </w:r>
            <w:r w:rsidRPr="00037CF2">
              <w:rPr>
                <w:b/>
                <w:i/>
                <w:sz w:val="22"/>
              </w:rPr>
              <w:t>:</w:t>
            </w:r>
            <w:r w:rsidRPr="00966B50">
              <w:rPr>
                <w:b/>
                <w:i/>
                <w:sz w:val="22"/>
              </w:rPr>
              <w:t>1995</w:t>
            </w:r>
            <w:r w:rsidRPr="00037CF2">
              <w:rPr>
                <w:b/>
                <w:i/>
                <w:sz w:val="22"/>
              </w:rPr>
              <w:t>-</w:t>
            </w:r>
            <w:r w:rsidRPr="00966B50">
              <w:rPr>
                <w:b/>
                <w:i/>
                <w:sz w:val="22"/>
              </w:rPr>
              <w:t>03</w:t>
            </w:r>
            <w:r w:rsidRPr="00037CF2">
              <w:rPr>
                <w:b/>
                <w:i/>
                <w:sz w:val="22"/>
              </w:rPr>
              <w:t xml:space="preserve"> Bodenbeschaffenheit – Bestimmung von organischem Kohlenstoff und Gesamtkohlenstoff nach trockener Verbrennung (Elementaranalyse)</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5E6A84">
            <w:pPr>
              <w:rPr>
                <w:b/>
                <w:i/>
                <w:sz w:val="22"/>
                <w:szCs w:val="22"/>
              </w:rPr>
            </w:pPr>
            <w:r w:rsidRPr="00037CF2">
              <w:rPr>
                <w:b/>
                <w:i/>
                <w:sz w:val="22"/>
              </w:rPr>
              <w:t>Lagerungsdichte im Unterboden oder gleichwertiger</w:t>
            </w:r>
            <w:r>
              <w:rPr>
                <w:rStyle w:val="FootnoteReference"/>
                <w:b/>
                <w:i/>
                <w:sz w:val="22"/>
              </w:rPr>
              <w:footnoteReference w:id="73"/>
            </w:r>
            <w:r w:rsidRPr="00037CF2">
              <w:rPr>
                <w:b/>
                <w:i/>
                <w:sz w:val="22"/>
              </w:rPr>
              <w:t xml:space="preserve">, </w:t>
            </w:r>
            <w:r w:rsidRPr="00037CF2">
              <w:rPr>
                <w:b/>
                <w:i/>
                <w:sz w:val="22"/>
              </w:rPr>
              <w:lastRenderedPageBreak/>
              <w:t>von den Mitgliedstaaten gewählter Parameter</w:t>
            </w:r>
          </w:p>
        </w:tc>
        <w:tc>
          <w:tcPr>
            <w:tcW w:w="2622"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r w:rsidRPr="00037CF2">
              <w:rPr>
                <w:b/>
                <w:i/>
                <w:sz w:val="22"/>
              </w:rPr>
              <w:lastRenderedPageBreak/>
              <w:t>DIN EN ISO </w:t>
            </w:r>
            <w:r w:rsidRPr="00966B50">
              <w:rPr>
                <w:b/>
                <w:i/>
                <w:sz w:val="22"/>
              </w:rPr>
              <w:t>11272</w:t>
            </w:r>
            <w:r w:rsidRPr="00037CF2">
              <w:rPr>
                <w:b/>
                <w:i/>
                <w:sz w:val="22"/>
              </w:rPr>
              <w:t>:</w:t>
            </w:r>
            <w:r w:rsidRPr="00966B50">
              <w:rPr>
                <w:b/>
                <w:i/>
                <w:sz w:val="22"/>
              </w:rPr>
              <w:t>2017</w:t>
            </w:r>
            <w:r w:rsidRPr="00037CF2">
              <w:rPr>
                <w:b/>
                <w:i/>
                <w:sz w:val="22"/>
              </w:rPr>
              <w:t>-</w:t>
            </w:r>
            <w:r w:rsidRPr="00966B50">
              <w:rPr>
                <w:b/>
                <w:i/>
                <w:sz w:val="22"/>
              </w:rPr>
              <w:t>07</w:t>
            </w:r>
            <w:r w:rsidRPr="00037CF2">
              <w:rPr>
                <w:b/>
                <w:i/>
                <w:sz w:val="22"/>
              </w:rPr>
              <w:t xml:space="preserve"> Bodenbeschaffenheit – Bestimmung der Trockenrohdichte </w:t>
            </w:r>
          </w:p>
          <w:p w:rsidR="005E6A84" w:rsidRPr="00037CF2" w:rsidRDefault="005E6A84" w:rsidP="00B24DC6">
            <w:pPr>
              <w:rPr>
                <w:b/>
                <w:i/>
                <w:sz w:val="22"/>
                <w:szCs w:val="22"/>
              </w:rPr>
            </w:pPr>
          </w:p>
          <w:p w:rsidR="005E6A84" w:rsidRPr="00037CF2" w:rsidRDefault="005E6A84" w:rsidP="00B24DC6">
            <w:pPr>
              <w:rPr>
                <w:b/>
                <w:i/>
                <w:sz w:val="22"/>
                <w:szCs w:val="22"/>
              </w:rPr>
            </w:pPr>
            <w:r w:rsidRPr="00037CF2">
              <w:rPr>
                <w:b/>
                <w:i/>
                <w:sz w:val="22"/>
              </w:rPr>
              <w:t xml:space="preserve">Wird ein gleichwertiger Parameter gewählt, so wird entweder eine europäische oder eine internationale Norm angewandt, sofern verfügbar; ist keine derartige Norm verfügbar, so muss die gewählte Methode entweder in der wissenschaftlichen Literatur oder öffentlich zugänglich sein. </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Extrahierbarer Phosphor</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ISO </w:t>
            </w:r>
            <w:r w:rsidRPr="00966B50">
              <w:rPr>
                <w:b/>
                <w:i/>
                <w:sz w:val="22"/>
              </w:rPr>
              <w:t>11263</w:t>
            </w:r>
            <w:r w:rsidRPr="00037CF2">
              <w:rPr>
                <w:b/>
                <w:i/>
                <w:sz w:val="22"/>
              </w:rPr>
              <w:t>:</w:t>
            </w:r>
            <w:r w:rsidRPr="00966B50">
              <w:rPr>
                <w:b/>
                <w:i/>
                <w:sz w:val="22"/>
              </w:rPr>
              <w:t>1994</w:t>
            </w:r>
            <w:r w:rsidRPr="00037CF2">
              <w:rPr>
                <w:b/>
                <w:i/>
                <w:sz w:val="22"/>
              </w:rPr>
              <w:t>-</w:t>
            </w:r>
            <w:r w:rsidRPr="00966B50">
              <w:rPr>
                <w:b/>
                <w:i/>
                <w:sz w:val="22"/>
              </w:rPr>
              <w:t>12</w:t>
            </w:r>
            <w:r w:rsidRPr="00037CF2">
              <w:rPr>
                <w:b/>
                <w:i/>
                <w:sz w:val="22"/>
              </w:rPr>
              <w:t xml:space="preserve"> Bodenbeschaffenheit – Bestimmung von Phosphor – Spektrometrische Bestimmung des natriumhydrogencarbonatlöslichen Phosphors</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Konzentration an Schwermetallen im Boden: As, Sb, Cd, Co, Cr (Gesamtkonzentration), Cr (VI), Cu, Hg, Pb, Ni, Tl, V, Zn</w:t>
            </w:r>
            <w:r w:rsidRPr="00037CF2">
              <w:rPr>
                <w:b/>
                <w:i/>
                <w:sz w:val="22"/>
              </w:rPr>
              <w:br/>
              <w:t>- Konzentration einer Auswahl an organischen Kontaminanten, die von den Mitgliedstaaten unter Berücksichtigung bestehenden Unionsrechts festgelegt wird (z. B. für Wasserqualität und Pestizide)</w:t>
            </w:r>
          </w:p>
          <w:p w:rsidR="005E6A84" w:rsidRPr="00037CF2" w:rsidRDefault="005E6A84" w:rsidP="00B24DC6">
            <w:pPr>
              <w:rPr>
                <w:b/>
                <w:i/>
                <w:sz w:val="22"/>
                <w:szCs w:val="22"/>
              </w:rPr>
            </w:pPr>
            <w:r w:rsidRPr="00037CF2">
              <w:rPr>
                <w:b/>
                <w:i/>
                <w:sz w:val="22"/>
              </w:rPr>
              <w:t>- Rückstände von Schädlingsbe-kämpfungsmitteln und Bioziden, Tierarzneimittel</w:t>
            </w:r>
          </w:p>
          <w:p w:rsidR="005E6A84" w:rsidRPr="00037CF2" w:rsidRDefault="005E6A84" w:rsidP="00B24DC6">
            <w:pPr>
              <w:rPr>
                <w:b/>
                <w:i/>
                <w:sz w:val="22"/>
                <w:szCs w:val="22"/>
              </w:rPr>
            </w:pPr>
            <w:r w:rsidRPr="00037CF2">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Potenziell in der Umwelt verfügbarer Gehalt an Schwermetallen in Böden nach ISO </w:t>
            </w:r>
            <w:r w:rsidRPr="00966B50">
              <w:rPr>
                <w:b/>
                <w:i/>
                <w:sz w:val="22"/>
              </w:rPr>
              <w:t>17586</w:t>
            </w:r>
            <w:r w:rsidRPr="00037CF2">
              <w:rPr>
                <w:b/>
                <w:i/>
                <w:sz w:val="22"/>
              </w:rPr>
              <w:t>:</w:t>
            </w:r>
            <w:r w:rsidRPr="00966B50">
              <w:rPr>
                <w:b/>
                <w:i/>
                <w:sz w:val="22"/>
              </w:rPr>
              <w:t>2016</w:t>
            </w:r>
            <w:r w:rsidRPr="00037CF2">
              <w:rPr>
                <w:b/>
                <w:i/>
                <w:sz w:val="22"/>
              </w:rPr>
              <w:t xml:space="preserve"> unter Verwendung von verdünnter Salpetersäure</w:t>
            </w:r>
          </w:p>
          <w:p w:rsidR="005E6A84" w:rsidRPr="00037CF2" w:rsidRDefault="005E6A84" w:rsidP="00B24DC6">
            <w:pPr>
              <w:rPr>
                <w:b/>
                <w:i/>
                <w:sz w:val="22"/>
                <w:szCs w:val="22"/>
              </w:rPr>
            </w:pPr>
            <w:r w:rsidRPr="00037CF2">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r w:rsidRPr="00037CF2">
              <w:rPr>
                <w:b/>
                <w:i/>
                <w:sz w:val="22"/>
              </w:rPr>
              <w:t>Anwendung europäischer oder internationaler Normen, sofern verfügbar; ist keine derartige Norm verfügbar, so muss die gewählte Methode entweder in der wissenschaftlichen Literatur oder öffentlich zugänglich sein</w:t>
            </w:r>
          </w:p>
        </w:tc>
        <w:tc>
          <w:tcPr>
            <w:tcW w:w="162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r w:rsidRPr="00037CF2">
              <w:rPr>
                <w:b/>
                <w:i/>
                <w:sz w:val="22"/>
              </w:rPr>
              <w:t>JA</w:t>
            </w:r>
          </w:p>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p>
          <w:p w:rsidR="005E6A84" w:rsidRPr="00037CF2" w:rsidRDefault="005E6A84" w:rsidP="00B24DC6">
            <w:pPr>
              <w:rPr>
                <w:b/>
                <w:i/>
                <w:sz w:val="22"/>
                <w:szCs w:val="22"/>
              </w:rPr>
            </w:pPr>
            <w:r w:rsidRPr="00037CF2">
              <w:rPr>
                <w:b/>
                <w:i/>
                <w:sz w:val="22"/>
              </w:rPr>
              <w:t>Nicht zutreffend</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Wasserspeicherkapazität des Bodens</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Methode zur Bestimmung des Wertes für eine </w:t>
            </w:r>
            <w:r w:rsidRPr="00037CF2">
              <w:rPr>
                <w:b/>
                <w:i/>
                <w:sz w:val="22"/>
              </w:rPr>
              <w:lastRenderedPageBreak/>
              <w:t>Probenahmestelle:</w:t>
            </w:r>
          </w:p>
          <w:p w:rsidR="005E6A84" w:rsidRPr="00037CF2" w:rsidRDefault="005E6A84" w:rsidP="00B24DC6">
            <w:pPr>
              <w:rPr>
                <w:b/>
                <w:i/>
                <w:sz w:val="22"/>
                <w:szCs w:val="22"/>
              </w:rPr>
            </w:pPr>
            <w:r w:rsidRPr="00037CF2">
              <w:rPr>
                <w:b/>
                <w:i/>
                <w:sz w:val="22"/>
              </w:rPr>
              <w:t>Option </w:t>
            </w:r>
            <w:r w:rsidRPr="00966B50">
              <w:rPr>
                <w:b/>
                <w:i/>
                <w:sz w:val="22"/>
              </w:rPr>
              <w:t>1</w:t>
            </w:r>
            <w:r w:rsidRPr="00037CF2">
              <w:rPr>
                <w:b/>
                <w:i/>
                <w:sz w:val="22"/>
              </w:rPr>
              <w:t>: LABOR: DIN EN ISO </w:t>
            </w:r>
            <w:r w:rsidRPr="00966B50">
              <w:rPr>
                <w:b/>
                <w:i/>
                <w:sz w:val="22"/>
              </w:rPr>
              <w:t>11274</w:t>
            </w:r>
            <w:r w:rsidRPr="00037CF2">
              <w:rPr>
                <w:b/>
                <w:i/>
                <w:sz w:val="22"/>
              </w:rPr>
              <w:t>:</w:t>
            </w:r>
            <w:r w:rsidRPr="00966B50">
              <w:rPr>
                <w:b/>
                <w:i/>
                <w:sz w:val="22"/>
              </w:rPr>
              <w:t>2020</w:t>
            </w:r>
            <w:r w:rsidRPr="00037CF2">
              <w:rPr>
                <w:b/>
                <w:i/>
                <w:sz w:val="22"/>
              </w:rPr>
              <w:t>-</w:t>
            </w:r>
            <w:r w:rsidRPr="00966B50">
              <w:rPr>
                <w:b/>
                <w:i/>
                <w:sz w:val="22"/>
              </w:rPr>
              <w:t>04</w:t>
            </w:r>
            <w:r w:rsidRPr="00037CF2">
              <w:rPr>
                <w:b/>
                <w:i/>
                <w:sz w:val="22"/>
              </w:rPr>
              <w:t xml:space="preserve"> Bodenbeschaffenheit – Bestimmung des Wasserrückhaltevermögens – Laborverfahren                    </w:t>
            </w:r>
          </w:p>
          <w:p w:rsidR="005E6A84" w:rsidRPr="00037CF2" w:rsidRDefault="005E6A84" w:rsidP="00B24DC6">
            <w:pPr>
              <w:rPr>
                <w:b/>
                <w:i/>
                <w:sz w:val="22"/>
                <w:szCs w:val="22"/>
              </w:rPr>
            </w:pPr>
            <w:r w:rsidRPr="00037CF2">
              <w:rPr>
                <w:b/>
                <w:i/>
                <w:sz w:val="22"/>
              </w:rPr>
              <w:t>Option </w:t>
            </w:r>
            <w:r w:rsidRPr="00966B50">
              <w:rPr>
                <w:b/>
                <w:i/>
                <w:sz w:val="22"/>
              </w:rPr>
              <w:t>2</w:t>
            </w:r>
            <w:r w:rsidRPr="00037CF2">
              <w:rPr>
                <w:b/>
                <w:i/>
                <w:sz w:val="22"/>
              </w:rPr>
              <w:t>: SCHÄTZUNG: Anwendung der im wissenschaftlichen Artikel „New generation of hydraulic pedotransfer functions for Europe“ (Neue Generation von hydraulischen Pedotransferfunktionen für Europa) beschriebenen Methode auf der Grundlage der Textur (oder Partikelgrößenverteilung) und des organischen Kohlenstoffs im Boden</w:t>
            </w:r>
          </w:p>
        </w:tc>
        <w:tc>
          <w:tcPr>
            <w:tcW w:w="315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lastRenderedPageBreak/>
              <w:t xml:space="preserve">Mindestkriterien für die Schätzung der </w:t>
            </w:r>
            <w:r w:rsidRPr="00037CF2">
              <w:rPr>
                <w:b/>
                <w:i/>
                <w:sz w:val="22"/>
              </w:rPr>
              <w:lastRenderedPageBreak/>
              <w:t>Gesamtwasserspeicherkapazität eines Bodenbezirks auf Ebene von Einzugsgebieten oder Teileinzugsgebieten:</w:t>
            </w:r>
          </w:p>
          <w:p w:rsidR="005E6A84" w:rsidRPr="00037CF2" w:rsidRDefault="005E6A84" w:rsidP="00B24DC6">
            <w:pPr>
              <w:widowControl/>
              <w:ind w:left="720" w:hanging="360"/>
              <w:rPr>
                <w:b/>
                <w:i/>
                <w:sz w:val="22"/>
                <w:szCs w:val="22"/>
              </w:rPr>
            </w:pPr>
            <w:r w:rsidRPr="00037CF2">
              <w:rPr>
                <w:rFonts w:ascii="Calibri" w:hAnsi="Calibri"/>
                <w:sz w:val="22"/>
              </w:rPr>
              <w:t>-</w:t>
            </w:r>
            <w:r w:rsidRPr="00037CF2">
              <w:rPr>
                <w:rFonts w:ascii="Calibri" w:hAnsi="Calibri"/>
                <w:sz w:val="22"/>
              </w:rPr>
              <w:tab/>
            </w:r>
            <w:r w:rsidRPr="00037CF2">
              <w:rPr>
                <w:b/>
                <w:i/>
                <w:sz w:val="22"/>
              </w:rPr>
              <w:t xml:space="preserve">nicht genutzte Flächen: Schätzung der Gesamtwasserspeicherkapazität des Bodens </w:t>
            </w:r>
          </w:p>
          <w:p w:rsidR="005E6A84" w:rsidRPr="00037CF2" w:rsidRDefault="005E6A84" w:rsidP="00B24DC6">
            <w:pPr>
              <w:widowControl/>
              <w:ind w:left="720" w:hanging="360"/>
              <w:rPr>
                <w:b/>
                <w:i/>
                <w:sz w:val="22"/>
                <w:szCs w:val="22"/>
              </w:rPr>
            </w:pPr>
            <w:r w:rsidRPr="00037CF2">
              <w:rPr>
                <w:rFonts w:ascii="Calibri" w:hAnsi="Calibri"/>
                <w:sz w:val="22"/>
              </w:rPr>
              <w:t>-</w:t>
            </w:r>
            <w:r w:rsidRPr="00037CF2">
              <w:rPr>
                <w:rFonts w:ascii="Calibri" w:hAnsi="Calibri"/>
                <w:sz w:val="22"/>
              </w:rPr>
              <w:tab/>
            </w:r>
            <w:r w:rsidRPr="00037CF2">
              <w:rPr>
                <w:b/>
                <w:i/>
                <w:sz w:val="22"/>
              </w:rPr>
              <w:t>genutzte Flächen: Wasserspeicherkapazität versiegelter Flächen gegebenenfalls mit Null veranschlagen und für teilversiegelte und andere künstlich angelegte Flächen proportionale Zwischenwerte berechnen</w:t>
            </w: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lastRenderedPageBreak/>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Stickstoff im Boden </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ISO </w:t>
            </w:r>
            <w:r w:rsidRPr="00966B50">
              <w:rPr>
                <w:b/>
                <w:i/>
                <w:sz w:val="22"/>
              </w:rPr>
              <w:t>11261</w:t>
            </w:r>
            <w:r w:rsidRPr="00037CF2">
              <w:rPr>
                <w:b/>
                <w:i/>
                <w:sz w:val="22"/>
              </w:rPr>
              <w:t>:</w:t>
            </w:r>
            <w:r w:rsidRPr="00966B50">
              <w:rPr>
                <w:b/>
                <w:i/>
                <w:sz w:val="22"/>
              </w:rPr>
              <w:t>1995</w:t>
            </w:r>
            <w:r w:rsidRPr="00037CF2">
              <w:rPr>
                <w:b/>
                <w:i/>
                <w:sz w:val="22"/>
              </w:rPr>
              <w:t>-</w:t>
            </w:r>
            <w:r w:rsidRPr="00966B50">
              <w:rPr>
                <w:b/>
                <w:i/>
                <w:sz w:val="22"/>
              </w:rPr>
              <w:t>06</w:t>
            </w:r>
            <w:r w:rsidRPr="00037CF2">
              <w:rPr>
                <w:b/>
                <w:i/>
                <w:sz w:val="22"/>
              </w:rPr>
              <w:t>-</w:t>
            </w:r>
            <w:r w:rsidRPr="00966B50">
              <w:rPr>
                <w:b/>
                <w:i/>
                <w:sz w:val="22"/>
              </w:rPr>
              <w:t>01</w:t>
            </w:r>
            <w:r w:rsidRPr="00037CF2">
              <w:rPr>
                <w:b/>
                <w:i/>
                <w:sz w:val="22"/>
              </w:rPr>
              <w:t xml:space="preserve"> Bodenbeschaffenheit. Bestimmung von Gesamt-Stickstoff.</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Bodensäure</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DIN EN ISO </w:t>
            </w:r>
            <w:r w:rsidRPr="00966B50">
              <w:rPr>
                <w:b/>
                <w:i/>
                <w:sz w:val="22"/>
              </w:rPr>
              <w:t>10390</w:t>
            </w:r>
            <w:r w:rsidRPr="00037CF2">
              <w:rPr>
                <w:b/>
                <w:i/>
                <w:sz w:val="22"/>
              </w:rPr>
              <w:t>:</w:t>
            </w:r>
            <w:r w:rsidRPr="00966B50">
              <w:rPr>
                <w:b/>
                <w:i/>
                <w:sz w:val="22"/>
              </w:rPr>
              <w:t>2022</w:t>
            </w:r>
            <w:r w:rsidRPr="00037CF2">
              <w:rPr>
                <w:b/>
                <w:i/>
                <w:sz w:val="22"/>
              </w:rPr>
              <w:t>-</w:t>
            </w:r>
            <w:r w:rsidRPr="00966B50">
              <w:rPr>
                <w:b/>
                <w:i/>
                <w:sz w:val="22"/>
              </w:rPr>
              <w:t>08</w:t>
            </w:r>
            <w:r w:rsidRPr="00037CF2">
              <w:rPr>
                <w:b/>
                <w:i/>
                <w:sz w:val="22"/>
              </w:rPr>
              <w:t xml:space="preserve"> Boden, behandelter Bioabfall und Schlamm – Bestimmung des pH-Werts</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Massendichte im „Oberboden“</w:t>
            </w:r>
          </w:p>
        </w:tc>
        <w:tc>
          <w:tcPr>
            <w:tcW w:w="2622"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r w:rsidRPr="00037CF2">
              <w:rPr>
                <w:b/>
                <w:i/>
                <w:sz w:val="22"/>
              </w:rPr>
              <w:t>DIN EN ISO </w:t>
            </w:r>
            <w:r w:rsidRPr="00966B50">
              <w:rPr>
                <w:b/>
                <w:i/>
                <w:sz w:val="22"/>
              </w:rPr>
              <w:t>11272</w:t>
            </w:r>
            <w:r w:rsidRPr="00037CF2">
              <w:rPr>
                <w:b/>
                <w:i/>
                <w:sz w:val="22"/>
              </w:rPr>
              <w:t>:</w:t>
            </w:r>
            <w:r w:rsidRPr="00966B50">
              <w:rPr>
                <w:b/>
                <w:i/>
                <w:sz w:val="22"/>
              </w:rPr>
              <w:t>2017</w:t>
            </w:r>
            <w:r w:rsidRPr="00037CF2">
              <w:rPr>
                <w:b/>
                <w:i/>
                <w:sz w:val="22"/>
              </w:rPr>
              <w:t>-</w:t>
            </w:r>
            <w:r w:rsidRPr="00966B50">
              <w:rPr>
                <w:b/>
                <w:i/>
                <w:sz w:val="22"/>
              </w:rPr>
              <w:t>07</w:t>
            </w:r>
            <w:r w:rsidRPr="00037CF2">
              <w:rPr>
                <w:b/>
                <w:i/>
                <w:sz w:val="22"/>
              </w:rPr>
              <w:t xml:space="preserve"> Bodenbeschaffenheit – Bestimmung der Trockenrohdichte </w:t>
            </w:r>
          </w:p>
          <w:p w:rsidR="005E6A84" w:rsidRPr="00037CF2" w:rsidRDefault="005E6A84" w:rsidP="00B24DC6">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Nährstoffkreislauf</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Zur Stickstoffmineralisierung werden luftgetrocknete Bodenproben auf </w:t>
            </w:r>
            <w:r w:rsidRPr="00966B50">
              <w:rPr>
                <w:b/>
                <w:i/>
                <w:sz w:val="22"/>
              </w:rPr>
              <w:t>80</w:t>
            </w:r>
            <w:r w:rsidRPr="00037CF2">
              <w:rPr>
                <w:b/>
                <w:i/>
                <w:sz w:val="22"/>
              </w:rPr>
              <w:t xml:space="preserve"> % ihrer Wasserhaltekapazität wiederbefeuchtet und </w:t>
            </w:r>
            <w:r w:rsidRPr="00966B50">
              <w:rPr>
                <w:b/>
                <w:i/>
                <w:sz w:val="22"/>
              </w:rPr>
              <w:t>14</w:t>
            </w:r>
            <w:r w:rsidRPr="00037CF2">
              <w:rPr>
                <w:b/>
                <w:i/>
                <w:sz w:val="22"/>
              </w:rPr>
              <w:t xml:space="preserve"> Tage lang bei </w:t>
            </w:r>
            <w:r w:rsidRPr="00966B50">
              <w:rPr>
                <w:b/>
                <w:i/>
                <w:sz w:val="22"/>
              </w:rPr>
              <w:t>30</w:t>
            </w:r>
            <w:r w:rsidRPr="00037CF2">
              <w:rPr>
                <w:b/>
                <w:i/>
                <w:sz w:val="22"/>
              </w:rPr>
              <w:t xml:space="preserve"> °C im Labor inkubiert. Die potenzielle N-Nettomineralisierungsrate wird als Differenz zwischen anfänglichem und endgültigem anorganischem Stickstoff geschätzt. Die </w:t>
            </w:r>
            <w:r w:rsidRPr="00037CF2">
              <w:rPr>
                <w:b/>
                <w:i/>
                <w:sz w:val="22"/>
              </w:rPr>
              <w:lastRenderedPageBreak/>
              <w:t>Verfügbarkeit von Bodennährstoffen wird mithilfe von Wurzelsimulatoren berechnet, verfügbare N und P werden anhand einer kolorimetrischen Bestimmung auf Basis der Reaktion mit Ammoniummolybdat bestimmt.</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Bodenzusammen-setzung</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Diese Bodendeskriptoren werden als wasserstabile Bodenaggregate gemeldet, die durch die Bestimmung der Widerstandsfähigkeit von Bodenaggregaten gegen Wasser als zerfallende Kraft unter Anwendung eines modifizierten Ansatzes von Kemper und Rosenau (</w:t>
            </w:r>
            <w:r w:rsidRPr="00966B50">
              <w:rPr>
                <w:b/>
                <w:i/>
                <w:sz w:val="22"/>
              </w:rPr>
              <w:t>1986</w:t>
            </w:r>
            <w:r w:rsidRPr="00037CF2">
              <w:rPr>
                <w:b/>
                <w:i/>
                <w:sz w:val="22"/>
              </w:rPr>
              <w:t>) bewertet werden. Der daraus resultierende Index gibt den prozentualen Anteil wasserstabiler Aggregate</w:t>
            </w:r>
          </w:p>
          <w:p w:rsidR="005E6A84" w:rsidRPr="00037CF2" w:rsidRDefault="005E6A84" w:rsidP="00B24DC6">
            <w:pPr>
              <w:rPr>
                <w:b/>
                <w:i/>
                <w:sz w:val="22"/>
                <w:szCs w:val="22"/>
              </w:rPr>
            </w:pPr>
            <w:r w:rsidRPr="00037CF2">
              <w:rPr>
                <w:b/>
                <w:i/>
                <w:sz w:val="22"/>
              </w:rPr>
              <w:t xml:space="preserve">mit einem Durchmesser von weniger als </w:t>
            </w:r>
            <w:r w:rsidRPr="00966B50">
              <w:rPr>
                <w:b/>
                <w:i/>
                <w:sz w:val="22"/>
              </w:rPr>
              <w:t>4</w:t>
            </w:r>
            <w:r w:rsidRPr="00037CF2">
              <w:rPr>
                <w:b/>
                <w:i/>
                <w:sz w:val="22"/>
              </w:rPr>
              <w:t> mm an. Darüber hinaus werden Abfälle (d. h. grobe Bestandteile) von der wasserstabilen Fraktion getrennt, um den Anteil der wasserstabilen Aggregate (WSA) der Probe korrekt zu bestimmen: %WSA=(wasserstabile Fraktion-Grobstoffe)/(</w:t>
            </w:r>
            <w:r w:rsidRPr="00966B50">
              <w:rPr>
                <w:b/>
                <w:i/>
                <w:sz w:val="22"/>
              </w:rPr>
              <w:t>4</w:t>
            </w:r>
            <w:r w:rsidRPr="00037CF2">
              <w:rPr>
                <w:b/>
                <w:i/>
                <w:sz w:val="22"/>
              </w:rPr>
              <w:t> g-Grobstoff).</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Enzymaktivität</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Gemäß den in Zeiss et al., </w:t>
            </w:r>
            <w:r w:rsidRPr="00966B50">
              <w:rPr>
                <w:b/>
                <w:i/>
                <w:sz w:val="22"/>
              </w:rPr>
              <w:t>2022</w:t>
            </w:r>
            <w:r w:rsidRPr="00037CF2">
              <w:rPr>
                <w:b/>
                <w:i/>
                <w:sz w:val="22"/>
              </w:rPr>
              <w:t xml:space="preserve"> beschriebenen Indikationen</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Bodenatmung</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Vorgaben aus dem wissenschaftlichen Artikel „Microbial biomass and activities in soil as affected by frozen and cold storage”</w:t>
            </w:r>
            <w:r>
              <w:rPr>
                <w:rStyle w:val="FootnoteReference"/>
                <w:b/>
                <w:i/>
                <w:sz w:val="22"/>
              </w:rPr>
              <w:footnoteReference w:id="74"/>
            </w:r>
            <w:r w:rsidRPr="00037CF2">
              <w:rPr>
                <w:b/>
                <w:i/>
                <w:sz w:val="22"/>
              </w:rPr>
              <w:t xml:space="preserve"> (Mikrobielle Biomasse und Aktivitäten im Boden und deren </w:t>
            </w:r>
            <w:r w:rsidRPr="00037CF2">
              <w:rPr>
                <w:b/>
                <w:i/>
                <w:sz w:val="22"/>
              </w:rPr>
              <w:lastRenderedPageBreak/>
              <w:t>Beeinträchtigung durch Kühl- und Tiefkühllagerung)</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Zersetzung der Abfälle</w:t>
            </w:r>
          </w:p>
        </w:tc>
        <w:tc>
          <w:tcPr>
            <w:tcW w:w="2622"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Anwendung europäischer oder internationaler Normen, sofern verfügbar; ist keine derartige Norm verfügbar, so muss die gewählte Methode entweder in der wissenschaftlichen Literatur oder öffentlich zugänglich sein.</w:t>
            </w: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Nicht zutreffend</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Bodenbiomasse</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Gemäß den in Guerra et al., </w:t>
            </w:r>
            <w:r w:rsidRPr="00966B50">
              <w:rPr>
                <w:b/>
                <w:i/>
                <w:sz w:val="22"/>
              </w:rPr>
              <w:t>2021</w:t>
            </w:r>
            <w:r w:rsidRPr="00037CF2">
              <w:rPr>
                <w:b/>
                <w:i/>
                <w:sz w:val="22"/>
              </w:rPr>
              <w:t xml:space="preserve">, Briones et al. </w:t>
            </w:r>
            <w:r w:rsidRPr="00966B50">
              <w:rPr>
                <w:b/>
                <w:i/>
                <w:sz w:val="22"/>
              </w:rPr>
              <w:t>2020</w:t>
            </w:r>
            <w:r w:rsidRPr="00037CF2">
              <w:rPr>
                <w:b/>
                <w:i/>
                <w:sz w:val="22"/>
              </w:rPr>
              <w:t xml:space="preserve">, und Potapov et al. </w:t>
            </w:r>
            <w:r w:rsidRPr="00966B50">
              <w:rPr>
                <w:b/>
                <w:i/>
                <w:sz w:val="22"/>
              </w:rPr>
              <w:t>2022</w:t>
            </w:r>
            <w:r w:rsidRPr="00037CF2">
              <w:rPr>
                <w:b/>
                <w:i/>
                <w:sz w:val="22"/>
              </w:rPr>
              <w:t xml:space="preserve"> beschriebenen Indikationen. </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Gemeinschaftliche Merkmale der Wurzeln</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Gemäß den in Guerra et al., </w:t>
            </w:r>
            <w:r w:rsidRPr="00966B50">
              <w:rPr>
                <w:b/>
                <w:i/>
                <w:sz w:val="22"/>
              </w:rPr>
              <w:t>2021</w:t>
            </w:r>
            <w:r w:rsidRPr="00037CF2">
              <w:rPr>
                <w:b/>
                <w:i/>
                <w:sz w:val="22"/>
              </w:rPr>
              <w:t xml:space="preserve"> beschriebenen Indikationen.</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Taxonomische Vielfalt</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Gemäß den in Guerra et al., </w:t>
            </w:r>
            <w:r w:rsidRPr="00966B50">
              <w:rPr>
                <w:b/>
                <w:i/>
                <w:sz w:val="22"/>
              </w:rPr>
              <w:t>2021</w:t>
            </w:r>
            <w:r w:rsidRPr="00037CF2">
              <w:rPr>
                <w:b/>
                <w:i/>
                <w:sz w:val="22"/>
              </w:rPr>
              <w:t xml:space="preserve"> beschriebenen Indikationen.</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Populationsgröße</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Gemäß den in Guerra et al., </w:t>
            </w:r>
            <w:r w:rsidRPr="00966B50">
              <w:rPr>
                <w:b/>
                <w:i/>
                <w:sz w:val="22"/>
              </w:rPr>
              <w:t>2021</w:t>
            </w:r>
            <w:r w:rsidRPr="00037CF2">
              <w:rPr>
                <w:b/>
                <w:i/>
                <w:sz w:val="22"/>
              </w:rPr>
              <w:t xml:space="preserve"> beschriebenen Indikationen.</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Intraspezifische genetische Vielfalt</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Gemäß den in Guerra et al., </w:t>
            </w:r>
            <w:r w:rsidRPr="00966B50">
              <w:rPr>
                <w:b/>
                <w:i/>
                <w:sz w:val="22"/>
              </w:rPr>
              <w:t>2021</w:t>
            </w:r>
            <w:r w:rsidRPr="00037CF2">
              <w:rPr>
                <w:b/>
                <w:i/>
                <w:sz w:val="22"/>
              </w:rPr>
              <w:t xml:space="preserve"> beschriebenen Indikationen.</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r w:rsidR="005E6A84" w:rsidRPr="00037CF2" w:rsidTr="00B24DC6">
        <w:tc>
          <w:tcPr>
            <w:tcW w:w="1968"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Bodenstruktur</w:t>
            </w:r>
          </w:p>
        </w:tc>
        <w:tc>
          <w:tcPr>
            <w:tcW w:w="2622"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 xml:space="preserve">Die Analyse der Korngrößenverteilung wird auf gesiebtem Boden (Ø &lt; </w:t>
            </w:r>
            <w:r w:rsidRPr="00966B50">
              <w:rPr>
                <w:b/>
                <w:i/>
                <w:sz w:val="22"/>
              </w:rPr>
              <w:t>2</w:t>
            </w:r>
            <w:r w:rsidRPr="00037CF2">
              <w:rPr>
                <w:b/>
                <w:i/>
                <w:sz w:val="22"/>
              </w:rPr>
              <w:t xml:space="preserve"> mm)) nach der Zerstörung der organischen Substanz mit H</w:t>
            </w:r>
            <w:r w:rsidRPr="00966B50">
              <w:rPr>
                <w:b/>
                <w:i/>
                <w:sz w:val="22"/>
              </w:rPr>
              <w:t>2</w:t>
            </w:r>
            <w:r w:rsidRPr="00037CF2">
              <w:rPr>
                <w:b/>
                <w:i/>
                <w:sz w:val="22"/>
              </w:rPr>
              <w:t>O</w:t>
            </w:r>
            <w:r w:rsidRPr="00966B50">
              <w:rPr>
                <w:b/>
                <w:i/>
                <w:sz w:val="22"/>
              </w:rPr>
              <w:t>2</w:t>
            </w:r>
            <w:r w:rsidRPr="00037CF2">
              <w:rPr>
                <w:b/>
                <w:i/>
                <w:sz w:val="22"/>
              </w:rPr>
              <w:t xml:space="preserve"> durchgeführt. Die Dispersion wird mit einer Lösung von Hexaphosphat/Natriumcarbonat durchgeführt und </w:t>
            </w:r>
            <w:r w:rsidRPr="00966B50">
              <w:rPr>
                <w:b/>
                <w:i/>
                <w:sz w:val="22"/>
              </w:rPr>
              <w:t>16</w:t>
            </w:r>
            <w:r w:rsidRPr="00037CF2">
              <w:rPr>
                <w:b/>
                <w:i/>
                <w:sz w:val="22"/>
              </w:rPr>
              <w:t> Stunden lang gerührt. Die berücksichtigten Korngrößenfraktionen sind die von der Internationalen Union für Bodenforschung (Atterberg-Skala) empfohlenen Fraktionen, d. h. Grobsand (</w:t>
            </w:r>
            <w:r w:rsidRPr="00966B50">
              <w:rPr>
                <w:b/>
                <w:i/>
                <w:sz w:val="22"/>
              </w:rPr>
              <w:t>2</w:t>
            </w:r>
            <w:r w:rsidRPr="00037CF2">
              <w:rPr>
                <w:b/>
                <w:i/>
                <w:sz w:val="22"/>
              </w:rPr>
              <w:t xml:space="preserve"> &gt; Ø &gt; </w:t>
            </w:r>
            <w:r w:rsidRPr="00966B50">
              <w:rPr>
                <w:b/>
                <w:i/>
                <w:sz w:val="22"/>
              </w:rPr>
              <w:t>0</w:t>
            </w:r>
            <w:r w:rsidRPr="00037CF2">
              <w:rPr>
                <w:b/>
                <w:i/>
                <w:sz w:val="22"/>
              </w:rPr>
              <w:t>,</w:t>
            </w:r>
            <w:r w:rsidRPr="00966B50">
              <w:rPr>
                <w:b/>
                <w:i/>
                <w:sz w:val="22"/>
              </w:rPr>
              <w:t>2</w:t>
            </w:r>
            <w:r w:rsidRPr="00037CF2">
              <w:rPr>
                <w:b/>
                <w:i/>
                <w:sz w:val="22"/>
              </w:rPr>
              <w:t> mm), feiner Sand (</w:t>
            </w:r>
            <w:r w:rsidRPr="00966B50">
              <w:rPr>
                <w:b/>
                <w:i/>
                <w:sz w:val="22"/>
              </w:rPr>
              <w:t>0</w:t>
            </w:r>
            <w:r w:rsidRPr="00037CF2">
              <w:rPr>
                <w:b/>
                <w:i/>
                <w:sz w:val="22"/>
              </w:rPr>
              <w:t>,</w:t>
            </w:r>
            <w:r w:rsidRPr="00966B50">
              <w:rPr>
                <w:b/>
                <w:i/>
                <w:sz w:val="22"/>
              </w:rPr>
              <w:t>2</w:t>
            </w:r>
            <w:r w:rsidRPr="00037CF2">
              <w:rPr>
                <w:b/>
                <w:i/>
                <w:sz w:val="22"/>
              </w:rPr>
              <w:t xml:space="preserve"> &gt; Ø &gt; </w:t>
            </w:r>
            <w:r w:rsidRPr="00966B50">
              <w:rPr>
                <w:b/>
                <w:i/>
                <w:sz w:val="22"/>
              </w:rPr>
              <w:t>0</w:t>
            </w:r>
            <w:r w:rsidRPr="00037CF2">
              <w:rPr>
                <w:b/>
                <w:i/>
                <w:sz w:val="22"/>
              </w:rPr>
              <w:t>,</w:t>
            </w:r>
            <w:r w:rsidRPr="00966B50">
              <w:rPr>
                <w:b/>
                <w:i/>
                <w:sz w:val="22"/>
              </w:rPr>
              <w:t>02</w:t>
            </w:r>
            <w:r w:rsidRPr="00037CF2">
              <w:rPr>
                <w:b/>
                <w:i/>
                <w:sz w:val="22"/>
              </w:rPr>
              <w:t> mm), Schluff (</w:t>
            </w:r>
            <w:r w:rsidRPr="00966B50">
              <w:rPr>
                <w:b/>
                <w:i/>
                <w:sz w:val="22"/>
              </w:rPr>
              <w:t>0</w:t>
            </w:r>
            <w:r w:rsidRPr="00037CF2">
              <w:rPr>
                <w:b/>
                <w:i/>
                <w:sz w:val="22"/>
              </w:rPr>
              <w:t>,</w:t>
            </w:r>
            <w:r w:rsidRPr="00966B50">
              <w:rPr>
                <w:b/>
                <w:i/>
                <w:sz w:val="22"/>
              </w:rPr>
              <w:t>02</w:t>
            </w:r>
            <w:r w:rsidRPr="00037CF2">
              <w:rPr>
                <w:b/>
                <w:i/>
                <w:sz w:val="22"/>
              </w:rPr>
              <w:t xml:space="preserve"> &gt; Ø &gt; </w:t>
            </w:r>
            <w:r w:rsidRPr="00966B50">
              <w:rPr>
                <w:b/>
                <w:i/>
                <w:sz w:val="22"/>
              </w:rPr>
              <w:t>0</w:t>
            </w:r>
            <w:r w:rsidRPr="00037CF2">
              <w:rPr>
                <w:b/>
                <w:i/>
                <w:sz w:val="22"/>
              </w:rPr>
              <w:t>,</w:t>
            </w:r>
            <w:r w:rsidRPr="00966B50">
              <w:rPr>
                <w:b/>
                <w:i/>
                <w:sz w:val="22"/>
              </w:rPr>
              <w:t>002</w:t>
            </w:r>
            <w:r w:rsidRPr="00037CF2">
              <w:rPr>
                <w:b/>
                <w:i/>
                <w:sz w:val="22"/>
              </w:rPr>
              <w:t xml:space="preserve"> mm) und Ton (Ø &amp; </w:t>
            </w:r>
            <w:r w:rsidRPr="00966B50">
              <w:rPr>
                <w:b/>
                <w:i/>
                <w:sz w:val="22"/>
              </w:rPr>
              <w:t>0</w:t>
            </w:r>
            <w:r w:rsidRPr="00037CF2">
              <w:rPr>
                <w:b/>
                <w:i/>
                <w:sz w:val="22"/>
              </w:rPr>
              <w:t>,</w:t>
            </w:r>
            <w:r w:rsidRPr="00966B50">
              <w:rPr>
                <w:b/>
                <w:i/>
                <w:sz w:val="22"/>
              </w:rPr>
              <w:t>002</w:t>
            </w:r>
            <w:r w:rsidRPr="00037CF2">
              <w:rPr>
                <w:b/>
                <w:i/>
                <w:sz w:val="22"/>
              </w:rPr>
              <w:t xml:space="preserve"> mm). Die Grobsandfraktion wird </w:t>
            </w:r>
            <w:r w:rsidRPr="00037CF2">
              <w:rPr>
                <w:b/>
                <w:i/>
                <w:sz w:val="22"/>
              </w:rPr>
              <w:lastRenderedPageBreak/>
              <w:t>durch Sieben bestimmt, die Schluff- und Tonfraktionen werden durch Sedimentation und Pipettieren mit einer Robinson-Pipette und der feine Sand durch Sedimentation und Dekantierung bestimmt. Die Sedimentationszeiten werden nach dem Stokes-Gesetz berechnet.</w:t>
            </w:r>
          </w:p>
        </w:tc>
        <w:tc>
          <w:tcPr>
            <w:tcW w:w="3150" w:type="dxa"/>
            <w:tcBorders>
              <w:top w:val="single" w:sz="4" w:space="0" w:color="000000"/>
              <w:left w:val="single" w:sz="4" w:space="0" w:color="000000"/>
              <w:bottom w:val="single" w:sz="4" w:space="0" w:color="000000"/>
              <w:right w:val="single" w:sz="4" w:space="0" w:color="000000"/>
            </w:tcBorders>
          </w:tcPr>
          <w:p w:rsidR="005E6A84" w:rsidRPr="00037CF2" w:rsidRDefault="005E6A84" w:rsidP="00B24DC6">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E6A84" w:rsidRPr="00037CF2" w:rsidRDefault="005E6A84" w:rsidP="00B24DC6">
            <w:pPr>
              <w:rPr>
                <w:b/>
                <w:i/>
                <w:sz w:val="22"/>
                <w:szCs w:val="22"/>
              </w:rPr>
            </w:pPr>
            <w:r w:rsidRPr="00037CF2">
              <w:rPr>
                <w:b/>
                <w:i/>
                <w:sz w:val="22"/>
              </w:rPr>
              <w:t>JA</w:t>
            </w:r>
          </w:p>
        </w:tc>
      </w:tr>
    </w:tbl>
    <w:p w:rsidR="005E6A84" w:rsidRPr="005E6A84" w:rsidRDefault="005E6A84" w:rsidP="005E6A84">
      <w:pPr>
        <w:spacing w:before="120" w:after="120" w:line="360" w:lineRule="auto"/>
        <w:jc w:val="right"/>
        <w:rPr>
          <w:b/>
          <w:szCs w:val="24"/>
          <w:lang w:eastAsia="en-US"/>
        </w:rPr>
      </w:pPr>
      <w:r>
        <w:rPr>
          <w:b/>
          <w:szCs w:val="24"/>
          <w:lang w:eastAsia="en-US"/>
        </w:rPr>
        <w:t xml:space="preserve"> [Abänd. 202]</w:t>
      </w:r>
    </w:p>
    <w:p w:rsidR="001C2358" w:rsidRPr="005E6A84" w:rsidRDefault="005E6A84" w:rsidP="001C2358">
      <w:pPr>
        <w:spacing w:before="120" w:after="120" w:line="360" w:lineRule="auto"/>
        <w:rPr>
          <w:b/>
          <w:szCs w:val="24"/>
          <w:lang w:eastAsia="en-US"/>
        </w:rPr>
      </w:pPr>
      <w:r w:rsidRPr="005E6A84">
        <w:rPr>
          <w:b/>
          <w:szCs w:val="24"/>
          <w:lang w:eastAsia="en-US"/>
        </w:rPr>
        <w:t xml:space="preserve">Teil C: </w:t>
      </w:r>
      <w:r w:rsidR="001C2358" w:rsidRPr="005E6A84">
        <w:rPr>
          <w:b/>
          <w:szCs w:val="24"/>
          <w:lang w:eastAsia="en-US"/>
        </w:rPr>
        <w:t>Methodische Mindestkriterien für die Ermittlung der Werte von Flächenverbrauch und Bodenversiegelung</w:t>
      </w:r>
    </w:p>
    <w:p w:rsidR="001C2358" w:rsidRPr="001C2358" w:rsidRDefault="001C2358" w:rsidP="001C2358">
      <w:pPr>
        <w:spacing w:before="120" w:after="120" w:line="360" w:lineRule="auto"/>
        <w:ind w:left="850" w:hanging="850"/>
        <w:rPr>
          <w:szCs w:val="24"/>
          <w:lang w:eastAsia="en-US"/>
        </w:rPr>
      </w:pPr>
      <w:r w:rsidRPr="001C2358">
        <w:rPr>
          <w:szCs w:val="24"/>
          <w:lang w:eastAsia="en-US"/>
        </w:rPr>
        <w:t>-</w:t>
      </w:r>
      <w:r w:rsidRPr="001C2358">
        <w:rPr>
          <w:szCs w:val="24"/>
          <w:lang w:eastAsia="en-US"/>
        </w:rPr>
        <w:tab/>
        <w:t>Die Methoden für Flächenverbrauch, Flächenrenaturierung und Netto-Flächenverbrauch sollten den Begriffsbestimmungen aus Artikel 3 und Anhang I entsprechen.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w:t>
      </w:r>
      <w:r w:rsidRPr="001C2358">
        <w:rPr>
          <w:szCs w:val="24"/>
          <w:lang w:eastAsia="en-US"/>
        </w:rPr>
        <w:tab/>
        <w:t>Die Bodenversiegelung ist als prozentualer Anteil der versiegelten Fläche an der Gesamtfläche auszudrücken.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w:t>
      </w:r>
      <w:r w:rsidRPr="001C2358">
        <w:rPr>
          <w:szCs w:val="24"/>
          <w:lang w:eastAsia="en-US"/>
        </w:rPr>
        <w:tab/>
        <w:t>Die gewählten Methoden müssen entweder in der wissenschaftlichen Literatur oder öffentlich zugänglich sein.</w:t>
      </w:r>
    </w:p>
    <w:p w:rsidR="001C2358" w:rsidRPr="001C2358" w:rsidRDefault="001C2358" w:rsidP="001C2358">
      <w:pPr>
        <w:spacing w:before="120" w:after="120" w:line="360" w:lineRule="auto"/>
        <w:rPr>
          <w:szCs w:val="24"/>
          <w:lang w:eastAsia="en-US"/>
        </w:rPr>
        <w:sectPr w:rsidR="001C2358" w:rsidRPr="001C2358">
          <w:footnotePr>
            <w:numRestart w:val="eachSect"/>
          </w:footnotePr>
          <w:pgSz w:w="11909" w:h="16834"/>
          <w:pgMar w:top="1134" w:right="1417" w:bottom="1417" w:left="1417" w:header="1134" w:footer="567" w:gutter="0"/>
          <w:cols w:space="720"/>
        </w:sectPr>
      </w:pPr>
    </w:p>
    <w:p w:rsidR="001C2358" w:rsidRPr="001C2358" w:rsidRDefault="001C2358" w:rsidP="001C2358">
      <w:pPr>
        <w:spacing w:before="120" w:after="120" w:line="360" w:lineRule="auto"/>
        <w:rPr>
          <w:szCs w:val="24"/>
          <w:lang w:eastAsia="en-US"/>
        </w:rPr>
      </w:pPr>
    </w:p>
    <w:p w:rsidR="001C2358" w:rsidRPr="001C2358" w:rsidRDefault="001C2358" w:rsidP="001C2358">
      <w:pPr>
        <w:spacing w:before="120" w:after="120" w:line="360" w:lineRule="auto"/>
        <w:jc w:val="center"/>
        <w:rPr>
          <w:lang w:eastAsia="en-US"/>
        </w:rPr>
      </w:pPr>
      <w:r w:rsidRPr="001C2358">
        <w:rPr>
          <w:strike/>
          <w:lang w:eastAsia="en-US"/>
        </w:rPr>
        <w:t>ANHANG III</w:t>
      </w:r>
      <w:r w:rsidRPr="001C2358">
        <w:rPr>
          <w:lang w:eastAsia="en-US"/>
        </w:rPr>
        <w:br/>
      </w:r>
    </w:p>
    <w:p w:rsidR="001C2358" w:rsidRPr="001C2358" w:rsidRDefault="001C2358" w:rsidP="001C2358">
      <w:pPr>
        <w:spacing w:before="120" w:after="120" w:line="360" w:lineRule="auto"/>
        <w:rPr>
          <w:szCs w:val="24"/>
          <w:lang w:eastAsia="en-US"/>
        </w:rPr>
      </w:pPr>
      <w:r w:rsidRPr="001C2358">
        <w:rPr>
          <w:strike/>
          <w:szCs w:val="24"/>
          <w:lang w:eastAsia="en-US"/>
        </w:rPr>
        <w:t xml:space="preserve">GRUNDSÄTZE DER NACHHALTIGEN BODENBEWIRTSCHAFTUNG </w:t>
      </w:r>
    </w:p>
    <w:p w:rsidR="001C2358" w:rsidRPr="001C2358" w:rsidRDefault="001C2358" w:rsidP="001C2358">
      <w:pPr>
        <w:spacing w:before="120" w:after="120" w:line="360" w:lineRule="auto"/>
        <w:rPr>
          <w:szCs w:val="24"/>
          <w:lang w:eastAsia="en-US"/>
        </w:rPr>
      </w:pPr>
      <w:r w:rsidRPr="001C2358">
        <w:rPr>
          <w:strike/>
          <w:szCs w:val="24"/>
          <w:lang w:eastAsia="en-US"/>
        </w:rPr>
        <w:t>Folgende Grundsätze gelten:</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(a)</w:t>
      </w:r>
      <w:r w:rsidRPr="001C2358">
        <w:rPr>
          <w:szCs w:val="24"/>
          <w:lang w:eastAsia="en-US"/>
        </w:rPr>
        <w:tab/>
      </w:r>
      <w:r w:rsidRPr="001C2358">
        <w:rPr>
          <w:strike/>
          <w:szCs w:val="24"/>
          <w:lang w:eastAsia="en-US"/>
        </w:rPr>
        <w:t>Vermeidung vegetationsloser Böden durch Schaffung und Erhaltung einer Vegetationsdecke, insbesondere in umweltsensiblen Zeiträumen;</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(b)</w:t>
      </w:r>
      <w:r w:rsidRPr="001C2358">
        <w:rPr>
          <w:szCs w:val="24"/>
          <w:lang w:eastAsia="en-US"/>
        </w:rPr>
        <w:tab/>
      </w:r>
      <w:r w:rsidRPr="001C2358">
        <w:rPr>
          <w:strike/>
          <w:szCs w:val="24"/>
          <w:lang w:eastAsia="en-US"/>
        </w:rPr>
        <w:t>Minimierung physischer Bodenstörungen;</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(c)</w:t>
      </w:r>
      <w:r w:rsidRPr="001C2358">
        <w:rPr>
          <w:szCs w:val="24"/>
          <w:lang w:eastAsia="en-US"/>
        </w:rPr>
        <w:tab/>
      </w:r>
      <w:r w:rsidRPr="001C2358">
        <w:rPr>
          <w:strike/>
          <w:szCs w:val="24"/>
          <w:lang w:eastAsia="en-US"/>
        </w:rPr>
        <w:t>Vermeidung von Einträgen oder Freisetzungen von Stoffen im Boden, die für die menschliche Gesundheit oder die Umwelt schädlich sein oder die Bodengesundheit beeinträchtigen können;</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(d)</w:t>
      </w:r>
      <w:r w:rsidRPr="001C2358">
        <w:rPr>
          <w:szCs w:val="24"/>
          <w:lang w:eastAsia="en-US"/>
        </w:rPr>
        <w:tab/>
      </w:r>
      <w:r w:rsidRPr="001C2358">
        <w:rPr>
          <w:strike/>
          <w:szCs w:val="24"/>
          <w:lang w:eastAsia="en-US"/>
        </w:rPr>
        <w:t>an die Tragfähigkeit des Bodens angepasster Maschineneinsatzes sowie Begrenzung der Anzahl und Häufigkeit der Arbeiten auf den Böden zum Schutz der Bodengesundheit;</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(e)</w:t>
      </w:r>
      <w:r w:rsidRPr="001C2358">
        <w:rPr>
          <w:szCs w:val="24"/>
          <w:lang w:eastAsia="en-US"/>
        </w:rPr>
        <w:tab/>
      </w:r>
      <w:r w:rsidRPr="001C2358">
        <w:rPr>
          <w:strike/>
          <w:szCs w:val="24"/>
          <w:lang w:eastAsia="en-US"/>
        </w:rPr>
        <w:t>bei Düngung: Anpassung an den Bedarf der Pflanzen und Bäume am jeweiligen Standort und im betreffenden Zeitraum sowie an den Zustand des Bodens; Priorisierung kreislauffähiger Lösungen, bei denen der Gehalt an organischen Stoffen gesteigert wird;</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(f)</w:t>
      </w:r>
      <w:r w:rsidRPr="001C2358">
        <w:rPr>
          <w:szCs w:val="24"/>
          <w:lang w:eastAsia="en-US"/>
        </w:rPr>
        <w:tab/>
      </w:r>
      <w:r w:rsidRPr="001C2358">
        <w:rPr>
          <w:strike/>
          <w:szCs w:val="24"/>
          <w:lang w:eastAsia="en-US"/>
        </w:rPr>
        <w:t>bei Bewässerung: Maximierung der Effizienz der Bewässerungssysteme und des Bewässerungsmanagements und Gewährleistung, dass die Wasserqualität bei Verwendung von aufbereitetem Abwasser die Anforderungen gemäß Anhang I der Verordnung (EU) 2020/741 des Europäischen Parlaments und des Rates</w:t>
      </w:r>
      <w:r w:rsidRPr="001C2358">
        <w:rPr>
          <w:szCs w:val="24"/>
          <w:vertAlign w:val="superscript"/>
          <w:lang w:eastAsia="en-US"/>
        </w:rPr>
        <w:footnoteReference w:customMarkFollows="1" w:id="75"/>
        <w:t>1</w:t>
      </w:r>
      <w:r w:rsidRPr="001C2358">
        <w:rPr>
          <w:strike/>
          <w:szCs w:val="24"/>
          <w:lang w:eastAsia="en-US"/>
        </w:rPr>
        <w:t xml:space="preserve"> erfüllt und bei Verwendung von Wasser aus anderen Quellen die Bodengesundheit nicht beeinträchtigt wird;</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(g)</w:t>
      </w:r>
      <w:r w:rsidRPr="001C2358">
        <w:rPr>
          <w:szCs w:val="24"/>
          <w:lang w:eastAsia="en-US"/>
        </w:rPr>
        <w:tab/>
      </w:r>
      <w:r w:rsidRPr="001C2358">
        <w:rPr>
          <w:strike/>
          <w:szCs w:val="24"/>
          <w:lang w:eastAsia="en-US"/>
        </w:rPr>
        <w:t>Gewährleistung des Bodenschutzes durch Schaffung und Erhaltung angemessener Landschaftselemente auf Landschaftsebene</w:t>
      </w:r>
      <w:r w:rsidRPr="001C2358">
        <w:rPr>
          <w:szCs w:val="24"/>
          <w:vertAlign w:val="superscript"/>
          <w:lang w:eastAsia="en-US"/>
        </w:rPr>
        <w:footnoteReference w:customMarkFollows="1" w:id="76"/>
        <w:t>2</w:t>
      </w:r>
      <w:r w:rsidRPr="001C2358">
        <w:rPr>
          <w:strike/>
          <w:szCs w:val="24"/>
          <w:lang w:eastAsia="en-US"/>
        </w:rPr>
        <w:t>;</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(h)</w:t>
      </w:r>
      <w:r w:rsidRPr="001C2358">
        <w:rPr>
          <w:szCs w:val="24"/>
          <w:lang w:eastAsia="en-US"/>
        </w:rPr>
        <w:tab/>
      </w:r>
      <w:r w:rsidRPr="001C2358">
        <w:rPr>
          <w:strike/>
          <w:szCs w:val="24"/>
          <w:lang w:eastAsia="en-US"/>
        </w:rPr>
        <w:t xml:space="preserve">Verwendung standortangepasster Arten beim Anbau von Kulturen, Pflanzen oder </w:t>
      </w:r>
      <w:r w:rsidRPr="001C2358">
        <w:rPr>
          <w:strike/>
          <w:szCs w:val="24"/>
          <w:lang w:eastAsia="en-US"/>
        </w:rPr>
        <w:lastRenderedPageBreak/>
        <w:t>Bäumen, sofern dadurch eine Bodendegradation verhindert oder zur Verbesserung der Bodengesundheit beigetragen werden kann, wobei auch die Anpassung an den Klimawandel berücksichtigt wird;</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(i)</w:t>
      </w:r>
      <w:r w:rsidRPr="001C2358">
        <w:rPr>
          <w:szCs w:val="24"/>
          <w:lang w:eastAsia="en-US"/>
        </w:rPr>
        <w:tab/>
      </w:r>
      <w:r w:rsidRPr="001C2358">
        <w:rPr>
          <w:strike/>
          <w:szCs w:val="24"/>
          <w:lang w:eastAsia="en-US"/>
        </w:rPr>
        <w:t>Gewährleistung optimierter Wasserstände in organischen Böden, sodass die Struktur und Zusammensetzung der Böden nicht beeinträchtigt werden</w:t>
      </w:r>
      <w:r w:rsidRPr="001C2358">
        <w:rPr>
          <w:szCs w:val="24"/>
          <w:vertAlign w:val="superscript"/>
          <w:lang w:eastAsia="en-US"/>
        </w:rPr>
        <w:footnoteReference w:customMarkFollows="1" w:id="77"/>
        <w:t>3</w:t>
      </w:r>
      <w:r w:rsidRPr="001C2358">
        <w:rPr>
          <w:strike/>
          <w:szCs w:val="24"/>
          <w:lang w:eastAsia="en-US"/>
        </w:rPr>
        <w:t>;</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(j)</w:t>
      </w:r>
      <w:r w:rsidRPr="001C2358">
        <w:rPr>
          <w:szCs w:val="24"/>
          <w:lang w:eastAsia="en-US"/>
        </w:rPr>
        <w:tab/>
      </w:r>
      <w:r w:rsidRPr="001C2358">
        <w:rPr>
          <w:strike/>
          <w:szCs w:val="24"/>
          <w:lang w:eastAsia="en-US"/>
        </w:rPr>
        <w:t>bei Anbau von Kulturpflanzen: Gewährleistung von Fruchtfolge und Kulturpflanzenvielfalt unter Berücksichtigung von verschiedenen Kulturpflanzenfamilien, Wurzelsystemen, Wasser- und Nährstoffbedarf und integriertem Pflanzenschutz;</w:t>
      </w:r>
    </w:p>
    <w:p w:rsidR="001C2358" w:rsidRPr="001C2358" w:rsidRDefault="001C2358" w:rsidP="001C2358">
      <w:pPr>
        <w:spacing w:before="120" w:after="120" w:line="360" w:lineRule="auto"/>
        <w:ind w:left="850" w:hanging="850"/>
        <w:rPr>
          <w:szCs w:val="24"/>
          <w:lang w:eastAsia="en-US"/>
        </w:rPr>
      </w:pPr>
      <w:r w:rsidRPr="001C2358">
        <w:rPr>
          <w:strike/>
          <w:szCs w:val="24"/>
          <w:lang w:eastAsia="en-US"/>
        </w:rPr>
        <w:t>(k)</w:t>
      </w:r>
      <w:r w:rsidRPr="001C2358">
        <w:rPr>
          <w:szCs w:val="24"/>
          <w:lang w:eastAsia="en-US"/>
        </w:rPr>
        <w:tab/>
      </w:r>
      <w:r w:rsidRPr="001C2358">
        <w:rPr>
          <w:strike/>
          <w:szCs w:val="24"/>
          <w:lang w:eastAsia="en-US"/>
        </w:rPr>
        <w:t>Anpassung von Viehverkehr und Weidezeit unter Berücksichtigung der Tierarten und der Besatzdichte, sodass weder die Bodengesundheit noch die Fähigkeit des Bodens zur Erzeugung von Futtermitteln beeinträchtigt wird;</w:t>
      </w:r>
    </w:p>
    <w:p w:rsidR="001C2358" w:rsidRPr="005E6A84" w:rsidRDefault="001C2358" w:rsidP="005E6A84">
      <w:pPr>
        <w:spacing w:before="120" w:after="120" w:line="360" w:lineRule="auto"/>
        <w:ind w:left="850" w:hanging="850"/>
        <w:rPr>
          <w:b/>
          <w:szCs w:val="24"/>
          <w:lang w:eastAsia="en-US"/>
        </w:rPr>
        <w:sectPr w:rsidR="001C2358" w:rsidRPr="005E6A84">
          <w:footnotePr>
            <w:numRestart w:val="eachSect"/>
          </w:footnotePr>
          <w:pgSz w:w="11909" w:h="16834"/>
          <w:pgMar w:top="1134" w:right="1417" w:bottom="1417" w:left="1417" w:header="1134" w:footer="567" w:gutter="0"/>
          <w:cols w:space="720"/>
        </w:sectPr>
      </w:pPr>
      <w:r w:rsidRPr="001C2358">
        <w:rPr>
          <w:strike/>
          <w:szCs w:val="24"/>
          <w:lang w:eastAsia="en-US"/>
        </w:rPr>
        <w:t>(l)</w:t>
      </w:r>
      <w:r w:rsidRPr="001C2358">
        <w:rPr>
          <w:szCs w:val="24"/>
          <w:lang w:eastAsia="en-US"/>
        </w:rPr>
        <w:tab/>
      </w:r>
      <w:r w:rsidRPr="001C2358">
        <w:rPr>
          <w:strike/>
          <w:szCs w:val="24"/>
          <w:lang w:eastAsia="en-US"/>
        </w:rPr>
        <w:t>bei bekanntem unverhältnismäßigem Verlust einer oder mehrerer Funktionen, durch den die Fähigkeit des Bodens zur Erbringung von Ökosystemleistungen erheblich verringert wird: Ergreifen gezielter Maßnahmen zur Wiederherstellung dieser Bodenfunktionen.</w:t>
      </w:r>
      <w:r w:rsidR="005E6A84">
        <w:rPr>
          <w:b/>
          <w:szCs w:val="24"/>
          <w:lang w:eastAsia="en-US"/>
        </w:rPr>
        <w:t xml:space="preserve"> [Abänd. 260]</w:t>
      </w:r>
    </w:p>
    <w:p w:rsidR="001C2358" w:rsidRPr="001C2358" w:rsidRDefault="001C2358" w:rsidP="001C2358">
      <w:pPr>
        <w:spacing w:before="120" w:after="120" w:line="360" w:lineRule="auto"/>
        <w:rPr>
          <w:szCs w:val="24"/>
          <w:lang w:eastAsia="en-US"/>
        </w:rPr>
      </w:pPr>
    </w:p>
    <w:p w:rsidR="001C2358" w:rsidRPr="001C2358" w:rsidRDefault="001C2358" w:rsidP="001C2358">
      <w:pPr>
        <w:spacing w:before="120" w:after="120" w:line="360" w:lineRule="auto"/>
        <w:jc w:val="center"/>
        <w:rPr>
          <w:lang w:eastAsia="en-US"/>
        </w:rPr>
      </w:pPr>
      <w:r w:rsidRPr="001C2358">
        <w:rPr>
          <w:lang w:eastAsia="en-US"/>
        </w:rPr>
        <w:t>ANHANG IV</w:t>
      </w:r>
    </w:p>
    <w:p w:rsidR="001C2358" w:rsidRPr="001C2358" w:rsidRDefault="001C2358" w:rsidP="001C2358">
      <w:pPr>
        <w:spacing w:before="120" w:after="120" w:line="360" w:lineRule="auto"/>
        <w:jc w:val="center"/>
        <w:rPr>
          <w:szCs w:val="24"/>
          <w:lang w:eastAsia="en-US"/>
        </w:rPr>
      </w:pPr>
      <w:r w:rsidRPr="001C2358">
        <w:rPr>
          <w:szCs w:val="24"/>
          <w:lang w:eastAsia="en-US"/>
        </w:rPr>
        <w:t> </w:t>
      </w:r>
      <w:r w:rsidRPr="001C2358">
        <w:rPr>
          <w:szCs w:val="24"/>
          <w:lang w:eastAsia="en-US"/>
        </w:rPr>
        <w:br/>
        <w:t xml:space="preserve">PROGRAMME, PLÄNE, ZIELVORGABEN UND MAẞNAHMEN GEMÄẞ ARTIKEL 10 </w:t>
      </w:r>
    </w:p>
    <w:p w:rsidR="001C2358" w:rsidRPr="005E6A84" w:rsidRDefault="001C2358" w:rsidP="001C2358">
      <w:pPr>
        <w:spacing w:before="120" w:after="120" w:line="360" w:lineRule="auto"/>
        <w:rPr>
          <w:b/>
          <w:szCs w:val="24"/>
          <w:lang w:eastAsia="en-US"/>
        </w:rPr>
      </w:pPr>
      <w:r w:rsidRPr="001C2358">
        <w:rPr>
          <w:b/>
          <w:i/>
          <w:szCs w:val="24"/>
          <w:lang w:eastAsia="en-US"/>
        </w:rPr>
        <w:t>Die folgende indikative Liste mit Programmen, Plänen, Zielvorgaben und Maßnahmen ist zu berücksichtigen:</w:t>
      </w:r>
      <w:r w:rsidR="005E6A84">
        <w:rPr>
          <w:b/>
          <w:szCs w:val="24"/>
          <w:lang w:eastAsia="en-US"/>
        </w:rPr>
        <w:t xml:space="preserve"> [Abänd. 214]</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Nationale Wiederherstellungspläne gemäß der Verordnung …/…</w:t>
      </w:r>
      <w:r w:rsidRPr="001C2358">
        <w:rPr>
          <w:szCs w:val="24"/>
          <w:vertAlign w:val="superscript"/>
          <w:lang w:eastAsia="en-US"/>
        </w:rPr>
        <w:footnoteReference w:customMarkFollows="1" w:id="78"/>
        <w:t>1</w:t>
      </w:r>
      <w:r w:rsidRPr="001C2358">
        <w:rPr>
          <w:szCs w:val="24"/>
          <w:lang w:eastAsia="en-US"/>
        </w:rPr>
        <w:t>+</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Strategiepläne, die von den Mitgliedstaaten im Rahmen der Gemeinsamen Agrarpolitik gemäß der Verordnung (EU) 2021/2115 zu erstellen sind</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Regeln der guten fachlichen Praxis in der Landwirtschaft und Aktionsprogramme für die als gefährdet ausgewiesenen Gebiete gemäß der Richtlinie 91/676/EWG</w:t>
      </w:r>
    </w:p>
    <w:p w:rsidR="001C2358" w:rsidRPr="001C2358" w:rsidRDefault="001C2358" w:rsidP="001C2358">
      <w:pPr>
        <w:spacing w:before="120" w:after="120" w:line="360" w:lineRule="auto"/>
        <w:ind w:left="850" w:hanging="850"/>
        <w:rPr>
          <w:szCs w:val="24"/>
          <w:lang w:eastAsia="en-US"/>
        </w:rPr>
      </w:pPr>
      <w:r w:rsidRPr="001C2358">
        <w:rPr>
          <w:szCs w:val="24"/>
          <w:lang w:eastAsia="en-US"/>
        </w:rPr>
        <w:t>(4)</w:t>
      </w:r>
      <w:r w:rsidRPr="001C2358">
        <w:rPr>
          <w:szCs w:val="24"/>
          <w:lang w:eastAsia="en-US"/>
        </w:rPr>
        <w:tab/>
        <w:t>Erhaltungsmaßnahmen und prioritärer Aktionsrahmen für Natura-2000-Gebiete gemäß der Richtlinie 92/43/EWG</w:t>
      </w:r>
    </w:p>
    <w:p w:rsidR="001C2358" w:rsidRPr="001C2358" w:rsidRDefault="001C2358" w:rsidP="001C2358">
      <w:pPr>
        <w:spacing w:before="120" w:after="120" w:line="360" w:lineRule="auto"/>
        <w:ind w:left="850" w:hanging="850"/>
        <w:rPr>
          <w:szCs w:val="24"/>
          <w:lang w:eastAsia="en-US"/>
        </w:rPr>
      </w:pPr>
      <w:r w:rsidRPr="001C2358">
        <w:rPr>
          <w:szCs w:val="24"/>
          <w:lang w:eastAsia="en-US"/>
        </w:rPr>
        <w:t>(5)</w:t>
      </w:r>
      <w:r w:rsidRPr="001C2358">
        <w:rPr>
          <w:szCs w:val="24"/>
          <w:lang w:eastAsia="en-US"/>
        </w:rPr>
        <w:tab/>
        <w:t>Maßnahmen zur Erreichung eines guten ökologischen und chemischen Zustands von Oberflächengewässern und eines guten chemischen und mengenmäßigen Zustands von Grundwasserkörpern in Bewirtschaftungsplänen für die Einzugsgebiete gemäß der Richtlinie 2000/60/EG</w:t>
      </w:r>
    </w:p>
    <w:p w:rsidR="001C2358" w:rsidRPr="001C2358" w:rsidRDefault="001C2358" w:rsidP="001C2358">
      <w:pPr>
        <w:spacing w:before="120" w:after="120" w:line="360" w:lineRule="auto"/>
        <w:ind w:left="850" w:hanging="850"/>
        <w:rPr>
          <w:szCs w:val="24"/>
          <w:lang w:eastAsia="en-US"/>
        </w:rPr>
      </w:pPr>
      <w:r w:rsidRPr="001C2358">
        <w:rPr>
          <w:szCs w:val="24"/>
          <w:lang w:eastAsia="en-US"/>
        </w:rPr>
        <w:t>(6)</w:t>
      </w:r>
      <w:r w:rsidRPr="001C2358">
        <w:rPr>
          <w:szCs w:val="24"/>
          <w:lang w:eastAsia="en-US"/>
        </w:rPr>
        <w:tab/>
        <w:t>Maßnahmen zum Hochwasserrisikomanagement in Hochwasserrisikomanagementplänen gemäß der Richtlinie 2007/60/EG</w:t>
      </w:r>
    </w:p>
    <w:p w:rsidR="001C2358" w:rsidRPr="001C2358" w:rsidRDefault="001C2358" w:rsidP="001C2358">
      <w:pPr>
        <w:spacing w:before="120" w:after="120" w:line="360" w:lineRule="auto"/>
        <w:ind w:left="850" w:hanging="850"/>
        <w:rPr>
          <w:szCs w:val="24"/>
          <w:lang w:eastAsia="en-US"/>
        </w:rPr>
      </w:pPr>
      <w:r w:rsidRPr="001C2358">
        <w:rPr>
          <w:szCs w:val="24"/>
          <w:lang w:eastAsia="en-US"/>
        </w:rPr>
        <w:t>(7)</w:t>
      </w:r>
      <w:r w:rsidRPr="001C2358">
        <w:rPr>
          <w:szCs w:val="24"/>
          <w:lang w:eastAsia="en-US"/>
        </w:rPr>
        <w:tab/>
        <w:t>Dürremanagementpläne gemäß der Strategie der Union zur Anpassung an den Klimawandel</w:t>
      </w:r>
    </w:p>
    <w:p w:rsidR="001C2358" w:rsidRPr="001C2358" w:rsidRDefault="001C2358" w:rsidP="001C2358">
      <w:pPr>
        <w:spacing w:before="120" w:after="120" w:line="360" w:lineRule="auto"/>
        <w:ind w:left="850" w:hanging="850"/>
        <w:rPr>
          <w:szCs w:val="24"/>
          <w:lang w:eastAsia="en-US"/>
        </w:rPr>
      </w:pPr>
      <w:r w:rsidRPr="001C2358">
        <w:rPr>
          <w:szCs w:val="24"/>
          <w:lang w:eastAsia="en-US"/>
        </w:rPr>
        <w:t>(8)</w:t>
      </w:r>
      <w:r w:rsidRPr="001C2358">
        <w:rPr>
          <w:szCs w:val="24"/>
          <w:lang w:eastAsia="en-US"/>
        </w:rPr>
        <w:tab/>
        <w:t>Nationale Aktionsprogramme gemäß dem Übereinkommen der Vereinten Nationen zur Bekämpfung der Wüstenbildung</w:t>
      </w:r>
    </w:p>
    <w:p w:rsidR="001C2358" w:rsidRPr="005E6A84" w:rsidRDefault="001C2358" w:rsidP="001C2358">
      <w:pPr>
        <w:spacing w:before="120" w:after="120" w:line="360" w:lineRule="auto"/>
        <w:ind w:left="850" w:hanging="850"/>
        <w:rPr>
          <w:b/>
          <w:szCs w:val="24"/>
          <w:lang w:eastAsia="en-US"/>
        </w:rPr>
      </w:pPr>
      <w:r w:rsidRPr="001C2358">
        <w:rPr>
          <w:b/>
          <w:i/>
          <w:szCs w:val="24"/>
          <w:lang w:eastAsia="en-US"/>
        </w:rPr>
        <w:t>(8a)</w:t>
      </w:r>
      <w:r w:rsidRPr="001C2358">
        <w:rPr>
          <w:szCs w:val="24"/>
          <w:lang w:eastAsia="en-US"/>
        </w:rPr>
        <w:tab/>
      </w:r>
      <w:r w:rsidRPr="001C2358">
        <w:rPr>
          <w:b/>
          <w:i/>
          <w:szCs w:val="24"/>
          <w:lang w:eastAsia="en-US"/>
        </w:rPr>
        <w:t>Gemäß Artikel 6 des Übereinkommens über die biologische Vielfalt erstellte nationale Biodiversitätsstrategien und Aktionspläne</w:t>
      </w:r>
      <w:r w:rsidR="005E6A84">
        <w:rPr>
          <w:b/>
          <w:szCs w:val="24"/>
          <w:lang w:eastAsia="en-US"/>
        </w:rPr>
        <w:t xml:space="preserve"> [Abänd. 215]</w:t>
      </w:r>
    </w:p>
    <w:p w:rsidR="001C2358" w:rsidRPr="001C2358" w:rsidRDefault="001C2358" w:rsidP="001C2358">
      <w:pPr>
        <w:spacing w:before="120" w:after="120" w:line="360" w:lineRule="auto"/>
        <w:ind w:left="850" w:hanging="850"/>
        <w:rPr>
          <w:szCs w:val="24"/>
          <w:lang w:eastAsia="en-US"/>
        </w:rPr>
      </w:pPr>
      <w:r w:rsidRPr="001C2358">
        <w:rPr>
          <w:szCs w:val="24"/>
          <w:lang w:eastAsia="en-US"/>
        </w:rPr>
        <w:t>(9)</w:t>
      </w:r>
      <w:r w:rsidRPr="001C2358">
        <w:rPr>
          <w:szCs w:val="24"/>
          <w:lang w:eastAsia="en-US"/>
        </w:rPr>
        <w:tab/>
        <w:t>Zielvorgaben gemäß der Verordnung (EU) 2018/841</w:t>
      </w:r>
    </w:p>
    <w:p w:rsidR="001C2358" w:rsidRPr="001C2358" w:rsidRDefault="001C2358" w:rsidP="001C2358">
      <w:pPr>
        <w:spacing w:before="120" w:after="120" w:line="360" w:lineRule="auto"/>
        <w:ind w:left="850" w:hanging="850"/>
        <w:rPr>
          <w:szCs w:val="24"/>
          <w:lang w:eastAsia="en-US"/>
        </w:rPr>
      </w:pPr>
      <w:r w:rsidRPr="001C2358">
        <w:rPr>
          <w:szCs w:val="24"/>
          <w:lang w:eastAsia="en-US"/>
        </w:rPr>
        <w:t>(10)</w:t>
      </w:r>
      <w:r w:rsidRPr="001C2358">
        <w:rPr>
          <w:szCs w:val="24"/>
          <w:lang w:eastAsia="en-US"/>
        </w:rPr>
        <w:tab/>
        <w:t>Zielvorgaben gemäß der Verordnung (EU) 2018/842</w:t>
      </w:r>
    </w:p>
    <w:p w:rsidR="001C2358" w:rsidRPr="001C2358" w:rsidRDefault="001C2358" w:rsidP="001C2358">
      <w:pPr>
        <w:spacing w:before="120" w:after="120" w:line="360" w:lineRule="auto"/>
        <w:ind w:left="850" w:hanging="850"/>
        <w:rPr>
          <w:szCs w:val="24"/>
          <w:lang w:eastAsia="en-US"/>
        </w:rPr>
      </w:pPr>
      <w:r w:rsidRPr="001C2358">
        <w:rPr>
          <w:szCs w:val="24"/>
          <w:lang w:eastAsia="en-US"/>
        </w:rPr>
        <w:t>(11)</w:t>
      </w:r>
      <w:r w:rsidRPr="001C2358">
        <w:rPr>
          <w:szCs w:val="24"/>
          <w:lang w:eastAsia="en-US"/>
        </w:rPr>
        <w:tab/>
        <w:t xml:space="preserve">Nationale Luftreinhalteprogramme gemäß der Richtlinie (EU) 2016/2284 und gemäß </w:t>
      </w:r>
      <w:r w:rsidRPr="001C2358">
        <w:rPr>
          <w:szCs w:val="24"/>
          <w:lang w:eastAsia="en-US"/>
        </w:rPr>
        <w:lastRenderedPageBreak/>
        <w:t>dieser Richtlinie gemeldete Überwachungsdaten über die Auswirkungen der Luftverschmutzung auf Ökosysteme</w:t>
      </w:r>
    </w:p>
    <w:p w:rsidR="001C2358" w:rsidRPr="001C2358" w:rsidRDefault="001C2358" w:rsidP="001C2358">
      <w:pPr>
        <w:spacing w:before="120" w:after="120" w:line="360" w:lineRule="auto"/>
        <w:ind w:left="850" w:hanging="850"/>
        <w:rPr>
          <w:szCs w:val="24"/>
          <w:lang w:eastAsia="en-US"/>
        </w:rPr>
      </w:pPr>
      <w:r w:rsidRPr="001C2358">
        <w:rPr>
          <w:szCs w:val="24"/>
          <w:lang w:eastAsia="en-US"/>
        </w:rPr>
        <w:t>(12)</w:t>
      </w:r>
      <w:r w:rsidRPr="001C2358">
        <w:rPr>
          <w:szCs w:val="24"/>
          <w:lang w:eastAsia="en-US"/>
        </w:rPr>
        <w:tab/>
        <w:t>Integrierte nationale Energie- und Klimapläne gemäß der Verordnung (EU) 2018/1999</w:t>
      </w:r>
    </w:p>
    <w:p w:rsidR="001C2358" w:rsidRPr="001C2358" w:rsidRDefault="001C2358" w:rsidP="001C2358">
      <w:pPr>
        <w:spacing w:before="120" w:after="120" w:line="360" w:lineRule="auto"/>
        <w:ind w:left="850" w:hanging="850"/>
        <w:rPr>
          <w:szCs w:val="24"/>
          <w:lang w:eastAsia="en-US"/>
        </w:rPr>
      </w:pPr>
      <w:r w:rsidRPr="001C2358">
        <w:rPr>
          <w:szCs w:val="24"/>
          <w:lang w:eastAsia="en-US"/>
        </w:rPr>
        <w:t>(13)</w:t>
      </w:r>
      <w:r w:rsidRPr="001C2358">
        <w:rPr>
          <w:szCs w:val="24"/>
          <w:lang w:eastAsia="en-US"/>
        </w:rPr>
        <w:tab/>
        <w:t>Risikobewertungen und Katastrophenrisikomanagementplanung gemäß dem Beschluss Nr. 1313/2013/EU</w:t>
      </w:r>
    </w:p>
    <w:p w:rsidR="001C2358" w:rsidRPr="005E6A84" w:rsidRDefault="001C2358" w:rsidP="001C2358">
      <w:pPr>
        <w:spacing w:before="120" w:after="120" w:line="360" w:lineRule="auto"/>
        <w:ind w:left="850" w:hanging="850"/>
        <w:rPr>
          <w:b/>
          <w:szCs w:val="24"/>
          <w:lang w:eastAsia="en-US"/>
        </w:rPr>
      </w:pPr>
      <w:r w:rsidRPr="001C2358">
        <w:rPr>
          <w:szCs w:val="24"/>
          <w:lang w:eastAsia="en-US"/>
        </w:rPr>
        <w:t>(14)</w:t>
      </w:r>
      <w:r w:rsidRPr="001C2358">
        <w:rPr>
          <w:szCs w:val="24"/>
          <w:lang w:eastAsia="en-US"/>
        </w:rPr>
        <w:tab/>
        <w:t xml:space="preserve">Nationale Aktionspläne gemäß Artikel </w:t>
      </w:r>
      <w:r w:rsidRPr="001C2358">
        <w:rPr>
          <w:strike/>
          <w:szCs w:val="24"/>
          <w:lang w:eastAsia="en-US"/>
        </w:rPr>
        <w:t>8 der Verordnung …/…</w:t>
      </w:r>
      <w:r w:rsidRPr="001C2358">
        <w:rPr>
          <w:szCs w:val="24"/>
          <w:vertAlign w:val="superscript"/>
          <w:lang w:eastAsia="en-US"/>
        </w:rPr>
        <w:footnoteReference w:customMarkFollows="1" w:id="79"/>
        <w:t>2</w:t>
      </w:r>
      <w:r w:rsidRPr="001C2358">
        <w:rPr>
          <w:strike/>
          <w:szCs w:val="24"/>
          <w:lang w:eastAsia="en-US"/>
        </w:rPr>
        <w:t>+</w:t>
      </w:r>
      <w:r w:rsidRPr="001C2358">
        <w:rPr>
          <w:b/>
          <w:i/>
          <w:szCs w:val="24"/>
          <w:lang w:eastAsia="en-US"/>
        </w:rPr>
        <w:t>4 der Richtlinie 2009/128/EG</w:t>
      </w:r>
      <w:r w:rsidR="005E6A84">
        <w:rPr>
          <w:b/>
          <w:szCs w:val="24"/>
          <w:lang w:eastAsia="en-US"/>
        </w:rPr>
        <w:t xml:space="preserve"> [Abänd. 216]</w:t>
      </w:r>
    </w:p>
    <w:p w:rsidR="001C2358" w:rsidRPr="001C2358" w:rsidRDefault="001C2358" w:rsidP="001C2358">
      <w:pPr>
        <w:spacing w:before="120" w:after="120" w:line="360" w:lineRule="auto"/>
        <w:rPr>
          <w:szCs w:val="24"/>
          <w:lang w:eastAsia="en-US"/>
        </w:rPr>
        <w:sectPr w:rsidR="001C2358" w:rsidRPr="001C2358">
          <w:footnotePr>
            <w:numRestart w:val="eachSect"/>
          </w:footnotePr>
          <w:pgSz w:w="11909" w:h="16834"/>
          <w:pgMar w:top="1134" w:right="1417" w:bottom="1417" w:left="1417" w:header="1134" w:footer="567" w:gutter="0"/>
          <w:cols w:space="720"/>
        </w:sectPr>
      </w:pPr>
    </w:p>
    <w:p w:rsidR="001C2358" w:rsidRPr="001C2358" w:rsidRDefault="001C2358" w:rsidP="001C2358">
      <w:pPr>
        <w:spacing w:before="120" w:after="120" w:line="360" w:lineRule="auto"/>
        <w:rPr>
          <w:szCs w:val="24"/>
          <w:lang w:eastAsia="en-US"/>
        </w:rPr>
      </w:pPr>
    </w:p>
    <w:p w:rsidR="001C2358" w:rsidRPr="001C2358" w:rsidRDefault="001C2358" w:rsidP="001C2358">
      <w:pPr>
        <w:spacing w:before="120" w:after="120" w:line="360" w:lineRule="auto"/>
        <w:jc w:val="center"/>
        <w:rPr>
          <w:lang w:eastAsia="en-US"/>
        </w:rPr>
      </w:pPr>
      <w:r w:rsidRPr="001C2358">
        <w:rPr>
          <w:lang w:eastAsia="en-US"/>
        </w:rPr>
        <w:t>ANHANG V</w:t>
      </w:r>
    </w:p>
    <w:p w:rsidR="001C2358" w:rsidRPr="001C2358" w:rsidRDefault="001C2358" w:rsidP="001C2358">
      <w:pPr>
        <w:spacing w:before="120" w:after="120" w:line="360" w:lineRule="auto"/>
        <w:jc w:val="center"/>
        <w:rPr>
          <w:szCs w:val="24"/>
          <w:lang w:eastAsia="en-US"/>
        </w:rPr>
      </w:pPr>
      <w:r w:rsidRPr="001C2358">
        <w:rPr>
          <w:szCs w:val="24"/>
          <w:lang w:eastAsia="en-US"/>
        </w:rPr>
        <w:t> </w:t>
      </w:r>
      <w:r w:rsidRPr="001C2358">
        <w:rPr>
          <w:szCs w:val="24"/>
          <w:lang w:eastAsia="en-US"/>
        </w:rPr>
        <w:br/>
        <w:t>INDIKATIVE LISTE DER RISIKOMINDERUNGSMAẞNAHMEN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Sanierungstechniken für die In- oder Ex-situ-Sanierung:</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Physikalische Sanierungstechniken: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a)</w:t>
      </w:r>
      <w:r w:rsidRPr="005E6A84">
        <w:rPr>
          <w:szCs w:val="24"/>
          <w:lang w:eastAsia="en-US"/>
        </w:rPr>
        <w:tab/>
        <w:t>Dampfextraktion, Air-Sparging;</w:t>
      </w:r>
    </w:p>
    <w:p w:rsidR="001C2358" w:rsidRPr="005E6A84" w:rsidRDefault="001C2358" w:rsidP="001C2358">
      <w:pPr>
        <w:spacing w:before="120" w:after="120" w:line="360" w:lineRule="auto"/>
        <w:ind w:left="1982" w:hanging="566"/>
        <w:rPr>
          <w:szCs w:val="24"/>
          <w:lang w:eastAsia="en-US"/>
        </w:rPr>
      </w:pPr>
      <w:r w:rsidRPr="005E6A84">
        <w:rPr>
          <w:szCs w:val="24"/>
          <w:lang w:eastAsia="en-US"/>
        </w:rPr>
        <w:t>b)</w:t>
      </w:r>
      <w:r w:rsidRPr="005E6A84">
        <w:rPr>
          <w:szCs w:val="24"/>
          <w:lang w:eastAsia="en-US"/>
        </w:rPr>
        <w:tab/>
        <w:t>Wärmebehandlung, Dampfinjektion, Wärmedesorption, Verglasung;</w:t>
      </w:r>
    </w:p>
    <w:p w:rsidR="001C2358" w:rsidRPr="005E6A84" w:rsidRDefault="001C2358" w:rsidP="001C2358">
      <w:pPr>
        <w:spacing w:before="120" w:after="120" w:line="360" w:lineRule="auto"/>
        <w:ind w:left="1982" w:hanging="566"/>
        <w:rPr>
          <w:szCs w:val="24"/>
          <w:lang w:eastAsia="en-US"/>
        </w:rPr>
      </w:pPr>
      <w:r w:rsidRPr="005E6A84">
        <w:rPr>
          <w:szCs w:val="24"/>
          <w:lang w:eastAsia="en-US"/>
        </w:rPr>
        <w:t>c)</w:t>
      </w:r>
      <w:r w:rsidRPr="005E6A84">
        <w:rPr>
          <w:szCs w:val="24"/>
          <w:lang w:eastAsia="en-US"/>
        </w:rPr>
        <w:tab/>
        <w:t>Bodenwäsche und Bodenspülung;</w:t>
      </w:r>
    </w:p>
    <w:p w:rsidR="001C2358" w:rsidRPr="005E6A84" w:rsidRDefault="001C2358" w:rsidP="001C2358">
      <w:pPr>
        <w:spacing w:before="120" w:after="120" w:line="360" w:lineRule="auto"/>
        <w:ind w:left="1982" w:hanging="566"/>
        <w:rPr>
          <w:szCs w:val="24"/>
          <w:lang w:eastAsia="en-US"/>
        </w:rPr>
      </w:pPr>
      <w:r w:rsidRPr="005E6A84">
        <w:rPr>
          <w:szCs w:val="24"/>
          <w:lang w:eastAsia="en-US"/>
        </w:rPr>
        <w:t>d)</w:t>
      </w:r>
      <w:r w:rsidRPr="005E6A84">
        <w:rPr>
          <w:szCs w:val="24"/>
          <w:lang w:eastAsia="en-US"/>
        </w:rPr>
        <w:tab/>
        <w:t>elektrokinetische Extraktion;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e)</w:t>
      </w:r>
      <w:r w:rsidRPr="005E6A84">
        <w:rPr>
          <w:szCs w:val="24"/>
          <w:lang w:eastAsia="en-US"/>
        </w:rPr>
        <w:tab/>
        <w:t>Entnahme von Flüssigkeitsphasen;</w:t>
      </w:r>
    </w:p>
    <w:p w:rsidR="001C2358" w:rsidRPr="001C2358" w:rsidRDefault="001C2358" w:rsidP="001C2358">
      <w:pPr>
        <w:spacing w:before="120" w:after="120" w:line="360" w:lineRule="auto"/>
        <w:ind w:left="1982" w:hanging="566"/>
        <w:rPr>
          <w:szCs w:val="24"/>
          <w:lang w:eastAsia="en-US"/>
        </w:rPr>
      </w:pPr>
      <w:r w:rsidRPr="005E6A84">
        <w:rPr>
          <w:szCs w:val="24"/>
          <w:lang w:eastAsia="en-US"/>
        </w:rPr>
        <w:t>f)</w:t>
      </w:r>
      <w:r w:rsidRPr="005E6A84">
        <w:rPr>
          <w:szCs w:val="24"/>
          <w:lang w:eastAsia="en-US"/>
        </w:rPr>
        <w:tab/>
      </w:r>
      <w:r w:rsidRPr="001C2358">
        <w:rPr>
          <w:szCs w:val="24"/>
          <w:lang w:eastAsia="en-US"/>
        </w:rPr>
        <w:t>Abtragen und Deponieren.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Biologische Sanierungstechniken: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a)</w:t>
      </w:r>
      <w:r w:rsidRPr="005E6A84">
        <w:rPr>
          <w:szCs w:val="24"/>
          <w:lang w:eastAsia="en-US"/>
        </w:rPr>
        <w:tab/>
        <w:t>Stimulierung des aeroben oder anaeroben Abbaus: Bioremediation, Biostimulation, Bioaugmentation, Bioventing, Bio-Sparging;</w:t>
      </w:r>
    </w:p>
    <w:p w:rsidR="001C2358" w:rsidRPr="005E6A84" w:rsidRDefault="001C2358" w:rsidP="001C2358">
      <w:pPr>
        <w:spacing w:before="120" w:after="120" w:line="360" w:lineRule="auto"/>
        <w:ind w:left="1982" w:hanging="566"/>
        <w:rPr>
          <w:szCs w:val="24"/>
          <w:lang w:eastAsia="en-US"/>
        </w:rPr>
      </w:pPr>
      <w:r w:rsidRPr="005E6A84">
        <w:rPr>
          <w:szCs w:val="24"/>
          <w:lang w:eastAsia="en-US"/>
        </w:rPr>
        <w:t>b)</w:t>
      </w:r>
      <w:r w:rsidRPr="005E6A84">
        <w:rPr>
          <w:szCs w:val="24"/>
          <w:lang w:eastAsia="en-US"/>
        </w:rPr>
        <w:tab/>
        <w:t>Phytoextraktion, Phytovolatilisation, Phytodegradation;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c)</w:t>
      </w:r>
      <w:r w:rsidRPr="005E6A84">
        <w:rPr>
          <w:szCs w:val="24"/>
          <w:lang w:eastAsia="en-US"/>
        </w:rPr>
        <w:tab/>
        <w:t>Kompostierung, Bodenverbesserungsmittel, Landfarming und Bioreaktorsysteme;</w:t>
      </w:r>
    </w:p>
    <w:p w:rsidR="001C2358" w:rsidRPr="005E6A84" w:rsidRDefault="001C2358" w:rsidP="001C2358">
      <w:pPr>
        <w:spacing w:before="120" w:after="120" w:line="360" w:lineRule="auto"/>
        <w:ind w:left="1982" w:hanging="566"/>
        <w:rPr>
          <w:szCs w:val="24"/>
          <w:lang w:eastAsia="en-US"/>
        </w:rPr>
      </w:pPr>
      <w:r w:rsidRPr="005E6A84">
        <w:rPr>
          <w:szCs w:val="24"/>
          <w:lang w:eastAsia="en-US"/>
        </w:rPr>
        <w:t>d)</w:t>
      </w:r>
      <w:r w:rsidRPr="005E6A84">
        <w:rPr>
          <w:szCs w:val="24"/>
          <w:lang w:eastAsia="en-US"/>
        </w:rPr>
        <w:tab/>
        <w:t>Biofiltration, biologische Behandlung von Feuchtgebieten, Biobeete;</w:t>
      </w:r>
    </w:p>
    <w:p w:rsidR="001C2358" w:rsidRPr="005E6A84" w:rsidRDefault="001C2358" w:rsidP="001C2358">
      <w:pPr>
        <w:spacing w:before="120" w:after="120" w:line="360" w:lineRule="auto"/>
        <w:ind w:left="1982" w:hanging="566"/>
        <w:rPr>
          <w:szCs w:val="24"/>
          <w:lang w:eastAsia="en-US"/>
        </w:rPr>
      </w:pPr>
      <w:r w:rsidRPr="005E6A84">
        <w:rPr>
          <w:szCs w:val="24"/>
          <w:lang w:eastAsia="en-US"/>
        </w:rPr>
        <w:t>e)</w:t>
      </w:r>
      <w:r w:rsidRPr="005E6A84">
        <w:rPr>
          <w:szCs w:val="24"/>
          <w:lang w:eastAsia="en-US"/>
        </w:rPr>
        <w:tab/>
        <w:t>natürlicher Abbau.</w:t>
      </w:r>
    </w:p>
    <w:p w:rsidR="001C2358" w:rsidRPr="005E6A84" w:rsidRDefault="001C2358" w:rsidP="001C2358">
      <w:pPr>
        <w:spacing w:before="120" w:after="120" w:line="360" w:lineRule="auto"/>
        <w:ind w:left="1416" w:hanging="566"/>
        <w:rPr>
          <w:szCs w:val="24"/>
          <w:lang w:eastAsia="en-US"/>
        </w:rPr>
      </w:pPr>
      <w:r w:rsidRPr="005E6A84">
        <w:rPr>
          <w:szCs w:val="24"/>
          <w:lang w:eastAsia="en-US"/>
        </w:rPr>
        <w:t>(c)</w:t>
      </w:r>
      <w:r w:rsidRPr="005E6A84">
        <w:rPr>
          <w:szCs w:val="24"/>
          <w:lang w:eastAsia="en-US"/>
        </w:rPr>
        <w:tab/>
        <w:t>Chemische Sanierungstechniken: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a)</w:t>
      </w:r>
      <w:r w:rsidRPr="005E6A84">
        <w:rPr>
          <w:szCs w:val="24"/>
          <w:lang w:eastAsia="en-US"/>
        </w:rPr>
        <w:tab/>
        <w:t>chemische Oxidation;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b)</w:t>
      </w:r>
      <w:r w:rsidRPr="005E6A84">
        <w:rPr>
          <w:szCs w:val="24"/>
          <w:lang w:eastAsia="en-US"/>
        </w:rPr>
        <w:tab/>
        <w:t>chemische Reduktion und Reduktions-Oxidations-Reaktionen (Redoxreaktionen);</w:t>
      </w:r>
    </w:p>
    <w:p w:rsidR="001C2358" w:rsidRPr="005E6A84" w:rsidRDefault="001C2358" w:rsidP="001C2358">
      <w:pPr>
        <w:spacing w:before="120" w:after="120" w:line="360" w:lineRule="auto"/>
        <w:ind w:left="1982" w:hanging="566"/>
        <w:rPr>
          <w:szCs w:val="24"/>
          <w:lang w:eastAsia="en-US"/>
        </w:rPr>
      </w:pPr>
      <w:r w:rsidRPr="005E6A84">
        <w:rPr>
          <w:szCs w:val="24"/>
          <w:lang w:eastAsia="en-US"/>
        </w:rPr>
        <w:t>c)</w:t>
      </w:r>
      <w:r w:rsidRPr="005E6A84">
        <w:rPr>
          <w:szCs w:val="24"/>
          <w:lang w:eastAsia="en-US"/>
        </w:rPr>
        <w:tab/>
        <w:t>Pump-and-treat-Verfahren für Grundwasser.</w:t>
      </w:r>
    </w:p>
    <w:p w:rsidR="001C2358" w:rsidRPr="005E6A84" w:rsidRDefault="001C2358" w:rsidP="001C2358">
      <w:pPr>
        <w:spacing w:before="120" w:after="120" w:line="360" w:lineRule="auto"/>
        <w:ind w:left="1416" w:hanging="566"/>
        <w:rPr>
          <w:szCs w:val="24"/>
          <w:lang w:eastAsia="en-US"/>
        </w:rPr>
      </w:pPr>
      <w:r w:rsidRPr="005E6A84">
        <w:rPr>
          <w:szCs w:val="24"/>
          <w:lang w:eastAsia="en-US"/>
        </w:rPr>
        <w:t>(d)</w:t>
      </w:r>
      <w:r w:rsidRPr="005E6A84">
        <w:rPr>
          <w:szCs w:val="24"/>
          <w:lang w:eastAsia="en-US"/>
        </w:rPr>
        <w:tab/>
        <w:t>Sanierungstechniken für Isolierung, Eindämmung und Überwachung:</w:t>
      </w:r>
    </w:p>
    <w:p w:rsidR="001C2358" w:rsidRPr="005E6A84" w:rsidRDefault="001C2358" w:rsidP="001C2358">
      <w:pPr>
        <w:spacing w:before="120" w:after="120" w:line="360" w:lineRule="auto"/>
        <w:ind w:left="1982" w:hanging="566"/>
        <w:rPr>
          <w:szCs w:val="24"/>
          <w:lang w:eastAsia="en-US"/>
        </w:rPr>
      </w:pPr>
      <w:r w:rsidRPr="005E6A84">
        <w:rPr>
          <w:szCs w:val="24"/>
          <w:lang w:eastAsia="en-US"/>
        </w:rPr>
        <w:t>a)</w:t>
      </w:r>
      <w:r w:rsidRPr="005E6A84">
        <w:rPr>
          <w:szCs w:val="24"/>
          <w:lang w:eastAsia="en-US"/>
        </w:rPr>
        <w:tab/>
        <w:t>Oberflächenabdichtung, Reaktionswände, Einkapselung;</w:t>
      </w:r>
    </w:p>
    <w:p w:rsidR="001C2358" w:rsidRPr="005E6A84" w:rsidRDefault="001C2358" w:rsidP="001C2358">
      <w:pPr>
        <w:spacing w:before="120" w:after="120" w:line="360" w:lineRule="auto"/>
        <w:ind w:left="1982" w:hanging="566"/>
        <w:rPr>
          <w:szCs w:val="24"/>
          <w:lang w:eastAsia="en-US"/>
        </w:rPr>
      </w:pPr>
      <w:r w:rsidRPr="005E6A84">
        <w:rPr>
          <w:szCs w:val="24"/>
          <w:lang w:eastAsia="en-US"/>
        </w:rPr>
        <w:t>b)</w:t>
      </w:r>
      <w:r w:rsidRPr="005E6A84">
        <w:rPr>
          <w:szCs w:val="24"/>
          <w:lang w:eastAsia="en-US"/>
        </w:rPr>
        <w:tab/>
        <w:t>chemische Stabilisierung, Verfestigung und Immobilisierung;</w:t>
      </w:r>
    </w:p>
    <w:p w:rsidR="001C2358" w:rsidRPr="001C2358" w:rsidRDefault="001C2358" w:rsidP="001C2358">
      <w:pPr>
        <w:spacing w:before="120" w:after="120" w:line="360" w:lineRule="auto"/>
        <w:ind w:left="1982" w:hanging="566"/>
        <w:rPr>
          <w:szCs w:val="24"/>
          <w:lang w:eastAsia="en-US"/>
        </w:rPr>
      </w:pPr>
      <w:r w:rsidRPr="005E6A84">
        <w:rPr>
          <w:szCs w:val="24"/>
          <w:lang w:eastAsia="en-US"/>
        </w:rPr>
        <w:lastRenderedPageBreak/>
        <w:t>c)</w:t>
      </w:r>
      <w:r w:rsidRPr="005E6A84">
        <w:rPr>
          <w:szCs w:val="24"/>
          <w:lang w:eastAsia="en-US"/>
        </w:rPr>
        <w:tab/>
        <w:t>ge</w:t>
      </w:r>
      <w:r w:rsidRPr="001C2358">
        <w:rPr>
          <w:szCs w:val="24"/>
          <w:lang w:eastAsia="en-US"/>
        </w:rPr>
        <w:t>ohydrologische Isolierung und Eindämmung;</w:t>
      </w:r>
    </w:p>
    <w:p w:rsidR="001C2358" w:rsidRPr="001C2358" w:rsidRDefault="00F94626" w:rsidP="00F94626">
      <w:pPr>
        <w:spacing w:before="120" w:after="120" w:line="360" w:lineRule="auto"/>
        <w:ind w:left="1982" w:hanging="566"/>
        <w:rPr>
          <w:szCs w:val="24"/>
          <w:lang w:eastAsia="en-US"/>
        </w:rPr>
      </w:pPr>
      <w:r>
        <w:rPr>
          <w:szCs w:val="24"/>
          <w:lang w:eastAsia="en-US"/>
        </w:rPr>
        <w:t>d)</w:t>
      </w:r>
      <w:r>
        <w:rPr>
          <w:szCs w:val="24"/>
          <w:lang w:eastAsia="en-US"/>
        </w:rPr>
        <w:tab/>
      </w:r>
      <w:bookmarkStart w:id="13" w:name="_GoBack"/>
      <w:bookmarkEnd w:id="13"/>
      <w:r w:rsidR="001C2358" w:rsidRPr="001C2358">
        <w:rPr>
          <w:szCs w:val="24"/>
          <w:lang w:eastAsia="en-US"/>
        </w:rPr>
        <w:t>Phytostabilisierung;</w:t>
      </w:r>
    </w:p>
    <w:p w:rsidR="001C2358" w:rsidRPr="001C2358" w:rsidRDefault="001C2358" w:rsidP="001C2358">
      <w:pPr>
        <w:spacing w:before="120" w:after="120" w:line="360" w:lineRule="auto"/>
        <w:ind w:left="1982" w:hanging="566"/>
        <w:rPr>
          <w:szCs w:val="24"/>
          <w:lang w:eastAsia="en-US"/>
        </w:rPr>
      </w:pPr>
      <w:r w:rsidRPr="005E6A84">
        <w:rPr>
          <w:szCs w:val="24"/>
          <w:lang w:eastAsia="en-US"/>
        </w:rPr>
        <w:t>e)</w:t>
      </w:r>
      <w:r w:rsidRPr="001C2358">
        <w:rPr>
          <w:szCs w:val="24"/>
          <w:lang w:eastAsia="en-US"/>
        </w:rPr>
        <w:tab/>
        <w:t>Kontrolle und Nachsorge durch Überwachungsbrunnen.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Andere Maßnahmen zur Risikominderung als Sanierung:</w:t>
      </w:r>
    </w:p>
    <w:p w:rsidR="001C2358" w:rsidRPr="001C2358" w:rsidRDefault="001C2358" w:rsidP="001C2358">
      <w:pPr>
        <w:spacing w:before="120" w:after="120" w:line="360" w:lineRule="auto"/>
        <w:ind w:left="1416" w:hanging="566"/>
        <w:rPr>
          <w:szCs w:val="24"/>
          <w:lang w:eastAsia="en-US"/>
        </w:rPr>
      </w:pPr>
      <w:r w:rsidRPr="001C2358">
        <w:rPr>
          <w:szCs w:val="24"/>
          <w:lang w:eastAsia="en-US"/>
        </w:rPr>
        <w:t>(a)</w:t>
      </w:r>
      <w:r w:rsidRPr="001C2358">
        <w:rPr>
          <w:szCs w:val="24"/>
          <w:lang w:eastAsia="en-US"/>
        </w:rPr>
        <w:tab/>
        <w:t>Beschränkung von Anbau und Verzehr von Kulturpflanzen und Gemüse;</w:t>
      </w:r>
    </w:p>
    <w:p w:rsidR="001C2358" w:rsidRPr="001C2358" w:rsidRDefault="001C2358" w:rsidP="001C2358">
      <w:pPr>
        <w:spacing w:before="120" w:after="120" w:line="360" w:lineRule="auto"/>
        <w:ind w:left="1416" w:hanging="566"/>
        <w:rPr>
          <w:szCs w:val="24"/>
          <w:lang w:eastAsia="en-US"/>
        </w:rPr>
      </w:pPr>
      <w:r w:rsidRPr="001C2358">
        <w:rPr>
          <w:szCs w:val="24"/>
          <w:lang w:eastAsia="en-US"/>
        </w:rPr>
        <w:t>(b)</w:t>
      </w:r>
      <w:r w:rsidRPr="001C2358">
        <w:rPr>
          <w:szCs w:val="24"/>
          <w:lang w:eastAsia="en-US"/>
        </w:rPr>
        <w:tab/>
        <w:t>Beschränkung des Verzehrs von Eiern;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(c)</w:t>
      </w:r>
      <w:r w:rsidRPr="001C2358">
        <w:rPr>
          <w:szCs w:val="24"/>
          <w:lang w:eastAsia="en-US"/>
        </w:rPr>
        <w:tab/>
        <w:t>Beschränkung des Zugangs für Heimtiere oder Vieh;</w:t>
      </w:r>
    </w:p>
    <w:p w:rsidR="001C2358" w:rsidRPr="001C2358" w:rsidRDefault="001C2358" w:rsidP="001C2358">
      <w:pPr>
        <w:spacing w:before="120" w:after="120" w:line="360" w:lineRule="auto"/>
        <w:ind w:left="1416" w:hanging="566"/>
        <w:rPr>
          <w:szCs w:val="24"/>
          <w:lang w:eastAsia="en-US"/>
        </w:rPr>
      </w:pPr>
      <w:r w:rsidRPr="001C2358">
        <w:rPr>
          <w:szCs w:val="24"/>
          <w:lang w:eastAsia="en-US"/>
        </w:rPr>
        <w:t>(d)</w:t>
      </w:r>
      <w:r w:rsidRPr="001C2358">
        <w:rPr>
          <w:szCs w:val="24"/>
          <w:lang w:eastAsia="en-US"/>
        </w:rPr>
        <w:tab/>
        <w:t>Beschränkung der Entnahme oder Verwendung von Grundwasser für Trinkwasser, Körperpflege oder Industrie;</w:t>
      </w:r>
    </w:p>
    <w:p w:rsidR="001C2358" w:rsidRPr="001C2358" w:rsidRDefault="001C2358" w:rsidP="001C2358">
      <w:pPr>
        <w:spacing w:before="120" w:after="120" w:line="360" w:lineRule="auto"/>
        <w:ind w:left="1416" w:hanging="566"/>
        <w:rPr>
          <w:szCs w:val="24"/>
          <w:lang w:eastAsia="en-US"/>
        </w:rPr>
      </w:pPr>
      <w:r w:rsidRPr="001C2358">
        <w:rPr>
          <w:szCs w:val="24"/>
          <w:lang w:eastAsia="en-US"/>
        </w:rPr>
        <w:t>(e)</w:t>
      </w:r>
      <w:r w:rsidRPr="001C2358">
        <w:rPr>
          <w:szCs w:val="24"/>
          <w:lang w:eastAsia="en-US"/>
        </w:rPr>
        <w:tab/>
        <w:t>Beschränkung von Abriss, Entsiegelung oder Bau am Standort;</w:t>
      </w:r>
    </w:p>
    <w:p w:rsidR="001C2358" w:rsidRPr="001C2358" w:rsidRDefault="001C2358" w:rsidP="001C2358">
      <w:pPr>
        <w:spacing w:before="120" w:after="120" w:line="360" w:lineRule="auto"/>
        <w:ind w:left="1416" w:hanging="566"/>
        <w:rPr>
          <w:szCs w:val="24"/>
          <w:lang w:eastAsia="en-US"/>
        </w:rPr>
      </w:pPr>
      <w:r w:rsidRPr="001C2358">
        <w:rPr>
          <w:szCs w:val="24"/>
          <w:lang w:eastAsia="en-US"/>
        </w:rPr>
        <w:t>(f)</w:t>
      </w:r>
      <w:r w:rsidRPr="001C2358">
        <w:rPr>
          <w:szCs w:val="24"/>
          <w:lang w:eastAsia="en-US"/>
        </w:rPr>
        <w:tab/>
        <w:t>Beschränkung des Zugangs zum Standort oder dessen Umgebung (z. B. durch Einzäunung);</w:t>
      </w:r>
    </w:p>
    <w:p w:rsidR="001C2358" w:rsidRPr="001C2358" w:rsidRDefault="001C2358" w:rsidP="001C2358">
      <w:pPr>
        <w:spacing w:before="120" w:after="120" w:line="360" w:lineRule="auto"/>
        <w:ind w:left="1416" w:hanging="566"/>
        <w:rPr>
          <w:szCs w:val="24"/>
          <w:lang w:eastAsia="en-US"/>
        </w:rPr>
      </w:pPr>
      <w:r w:rsidRPr="001C2358">
        <w:rPr>
          <w:szCs w:val="24"/>
          <w:lang w:eastAsia="en-US"/>
        </w:rPr>
        <w:t>(g)</w:t>
      </w:r>
      <w:r w:rsidRPr="001C2358">
        <w:rPr>
          <w:szCs w:val="24"/>
          <w:lang w:eastAsia="en-US"/>
        </w:rPr>
        <w:tab/>
        <w:t>Beschränkung von Landnutzung oder Landnutzungsänderungen;</w:t>
      </w:r>
    </w:p>
    <w:p w:rsidR="001C2358" w:rsidRPr="001C2358" w:rsidRDefault="001C2358" w:rsidP="001C2358">
      <w:pPr>
        <w:spacing w:before="120" w:after="120" w:line="360" w:lineRule="auto"/>
        <w:ind w:left="1416" w:hanging="566"/>
        <w:rPr>
          <w:szCs w:val="24"/>
          <w:lang w:eastAsia="en-US"/>
        </w:rPr>
      </w:pPr>
      <w:r w:rsidRPr="001C2358">
        <w:rPr>
          <w:szCs w:val="24"/>
          <w:lang w:eastAsia="en-US"/>
        </w:rPr>
        <w:t>(h)</w:t>
      </w:r>
      <w:r w:rsidRPr="001C2358">
        <w:rPr>
          <w:szCs w:val="24"/>
          <w:lang w:eastAsia="en-US"/>
        </w:rPr>
        <w:tab/>
        <w:t>Beschränkung von Grabungen, Bohrungen oder Aushub;</w:t>
      </w:r>
    </w:p>
    <w:p w:rsidR="001C2358" w:rsidRPr="001C2358" w:rsidRDefault="001C2358" w:rsidP="001C2358">
      <w:pPr>
        <w:spacing w:before="120" w:after="120" w:line="360" w:lineRule="auto"/>
        <w:ind w:left="1416" w:hanging="566"/>
        <w:rPr>
          <w:szCs w:val="24"/>
          <w:lang w:eastAsia="en-US"/>
        </w:rPr>
      </w:pPr>
      <w:r w:rsidRPr="001C2358">
        <w:rPr>
          <w:szCs w:val="24"/>
          <w:lang w:eastAsia="en-US"/>
        </w:rPr>
        <w:t>(i)</w:t>
      </w:r>
      <w:r w:rsidRPr="001C2358">
        <w:rPr>
          <w:szCs w:val="24"/>
          <w:lang w:eastAsia="en-US"/>
        </w:rPr>
        <w:tab/>
        <w:t>Vermeidung des Kontakts mit Boden, Staub oder Raumluft und Vorsichtsmaßnahmen zum Schutz der menschlichen Gesundheit (z. B. Atemschutzgeräte, Handschuhe, Nassreinigung usw.).</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Beste verfügbare Techniken gemäß der Richtlinie 2010/75/EU</w:t>
      </w:r>
    </w:p>
    <w:p w:rsidR="001C2358" w:rsidRPr="001C2358" w:rsidRDefault="001C2358" w:rsidP="001C2358">
      <w:pPr>
        <w:spacing w:before="120" w:after="120" w:line="360" w:lineRule="auto"/>
        <w:ind w:left="850" w:hanging="850"/>
        <w:rPr>
          <w:szCs w:val="24"/>
          <w:lang w:eastAsia="en-US"/>
        </w:rPr>
      </w:pPr>
      <w:r w:rsidRPr="001C2358">
        <w:rPr>
          <w:szCs w:val="24"/>
          <w:lang w:eastAsia="en-US"/>
        </w:rPr>
        <w:t>(4)</w:t>
      </w:r>
      <w:r w:rsidRPr="001C2358">
        <w:rPr>
          <w:szCs w:val="24"/>
          <w:lang w:eastAsia="en-US"/>
        </w:rPr>
        <w:tab/>
        <w:t>Maßnahmen durch die zuständigen Behörden und Industrieunternehmen nach schweren Unfällen gemäß der Richtlinie 2012/18/EU</w:t>
      </w:r>
    </w:p>
    <w:p w:rsidR="001C2358" w:rsidRPr="001C2358" w:rsidRDefault="001C2358" w:rsidP="001C2358">
      <w:pPr>
        <w:spacing w:before="120" w:after="120" w:line="360" w:lineRule="auto"/>
        <w:rPr>
          <w:szCs w:val="24"/>
          <w:lang w:eastAsia="en-US"/>
        </w:rPr>
        <w:sectPr w:rsidR="001C2358" w:rsidRPr="001C2358">
          <w:footnotePr>
            <w:numRestart w:val="eachSect"/>
          </w:footnotePr>
          <w:pgSz w:w="11909" w:h="16834"/>
          <w:pgMar w:top="1134" w:right="1417" w:bottom="1417" w:left="1417" w:header="1134" w:footer="567" w:gutter="0"/>
          <w:cols w:space="720"/>
        </w:sectPr>
      </w:pPr>
    </w:p>
    <w:p w:rsidR="001C2358" w:rsidRPr="001C2358" w:rsidRDefault="001C2358" w:rsidP="001C2358">
      <w:pPr>
        <w:spacing w:before="120" w:after="120" w:line="360" w:lineRule="auto"/>
        <w:rPr>
          <w:szCs w:val="24"/>
          <w:lang w:eastAsia="en-US"/>
        </w:rPr>
      </w:pPr>
    </w:p>
    <w:p w:rsidR="001C2358" w:rsidRPr="001C2358" w:rsidRDefault="001C2358" w:rsidP="001C2358">
      <w:pPr>
        <w:spacing w:before="120" w:after="120" w:line="360" w:lineRule="auto"/>
        <w:jc w:val="center"/>
        <w:rPr>
          <w:lang w:eastAsia="en-US"/>
        </w:rPr>
      </w:pPr>
      <w:r w:rsidRPr="001C2358">
        <w:rPr>
          <w:lang w:eastAsia="en-US"/>
        </w:rPr>
        <w:t>ANHANG VI</w:t>
      </w:r>
    </w:p>
    <w:p w:rsidR="001C2358" w:rsidRPr="001C2358" w:rsidRDefault="001C2358" w:rsidP="001C2358">
      <w:pPr>
        <w:spacing w:before="120" w:after="120" w:line="360" w:lineRule="auto"/>
        <w:rPr>
          <w:szCs w:val="24"/>
          <w:lang w:eastAsia="en-US"/>
        </w:rPr>
      </w:pPr>
      <w:r w:rsidRPr="001C2358">
        <w:rPr>
          <w:szCs w:val="24"/>
          <w:lang w:eastAsia="en-US"/>
        </w:rPr>
        <w:t>PHASEN UND ANFORDERUNGEN FÜR DIE STANDORTSPEZIFISCHE RISIKOBEWERTUNG</w:t>
      </w:r>
    </w:p>
    <w:p w:rsidR="001C2358" w:rsidRPr="001C2358" w:rsidRDefault="001C2358" w:rsidP="001C2358">
      <w:pPr>
        <w:spacing w:before="120" w:after="120" w:line="360" w:lineRule="auto"/>
        <w:ind w:left="850" w:hanging="850"/>
        <w:rPr>
          <w:szCs w:val="24"/>
          <w:lang w:eastAsia="en-US"/>
        </w:rPr>
      </w:pPr>
      <w:r w:rsidRPr="001C2358">
        <w:rPr>
          <w:szCs w:val="24"/>
          <w:lang w:eastAsia="en-US"/>
        </w:rPr>
        <w:t>1.</w:t>
      </w:r>
      <w:r w:rsidRPr="001C2358">
        <w:rPr>
          <w:szCs w:val="24"/>
          <w:lang w:eastAsia="en-US"/>
        </w:rPr>
        <w:tab/>
        <w:t>Zur Beschreibung der Kontamination müssen die am Standort vorhandenen Kontaminanten sowie deren Quelle, Konzentration, chemische Form und Verteilung im Boden und im Grundwasser ermittelt werden. Das Vorhandensein und die Konzentration von Kontaminanten werden per Bodenproben und Untersuchungen ermittelt.</w:t>
      </w:r>
    </w:p>
    <w:p w:rsidR="001C2358" w:rsidRPr="001C2358" w:rsidRDefault="001C2358" w:rsidP="001C2358">
      <w:pPr>
        <w:spacing w:before="120" w:after="120" w:line="360" w:lineRule="auto"/>
        <w:ind w:left="850" w:hanging="850"/>
        <w:rPr>
          <w:szCs w:val="24"/>
          <w:lang w:eastAsia="en-US"/>
        </w:rPr>
      </w:pPr>
      <w:r w:rsidRPr="001C2358">
        <w:rPr>
          <w:szCs w:val="24"/>
          <w:lang w:eastAsia="en-US"/>
        </w:rPr>
        <w:t>2.</w:t>
      </w:r>
      <w:r w:rsidRPr="001C2358">
        <w:rPr>
          <w:szCs w:val="24"/>
          <w:lang w:eastAsia="en-US"/>
        </w:rPr>
        <w:tab/>
        <w:t>Bei der Expositionsbewertung wird der Pfad ermittelt, über den die Kontaminanten im Boden Rezeptoren erreichen können. Zu den Expositionspfaden können unter anderem Inhalation, Aufnahme über den Mund, Hautkontakt, Aufnahme durch Pflanzen sowie Migration in das Grundwasser gehören. Diese Informationen werden zur Schätzung der Kontaminantenaufnahme mit der Häufigkeit und Dauer der Exposition sowie Rezeptorenmerkmalen wie Alter, Geschlecht und Gesundheitszustand in Beziehung gesetzt. Die Beziehungen zwischen Quelle, Pfad und Rezeptor werden in einer grafischen, schematischen und vereinfachten Darstellung zusammengefasst: dem konzeptuellen Standortmodell.</w:t>
      </w:r>
    </w:p>
    <w:p w:rsidR="001C2358" w:rsidRPr="001C2358" w:rsidRDefault="001C2358" w:rsidP="001C2358">
      <w:pPr>
        <w:spacing w:before="120" w:after="120" w:line="360" w:lineRule="auto"/>
        <w:ind w:left="850" w:hanging="850"/>
        <w:rPr>
          <w:szCs w:val="24"/>
          <w:lang w:eastAsia="en-US"/>
        </w:rPr>
      </w:pPr>
      <w:r w:rsidRPr="001C2358">
        <w:rPr>
          <w:szCs w:val="24"/>
          <w:lang w:eastAsia="en-US"/>
        </w:rPr>
        <w:t>3.</w:t>
      </w:r>
      <w:r w:rsidRPr="001C2358">
        <w:rPr>
          <w:szCs w:val="24"/>
          <w:lang w:eastAsia="en-US"/>
        </w:rPr>
        <w:tab/>
        <w:t>Die Toxizitäts- oder Gefahrenbewertung umfasst die Bewertung der potenziellen Auswirkungen der Kontaminanten auf Gesundheit und Umwelt in Abhängigkeit von Dosis und Dauer der Exposition. Bei der Toxizitäts- oder Gefahrenbewertung werden die inhärente Toxizität der Kontaminanten und die Anfälligkeit von verschiedenen Populationen wie Tieren, Mikroorganismen, Pflanzen, Kindern, Schwangeren und älteren Menschen berücksichtigt. Die toxikologischen Daten werden verwendet, um die Referenzdosen oder -konzentrationen für die Risikobeschreibung zu schätzen.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4.</w:t>
      </w:r>
      <w:r w:rsidRPr="001C2358">
        <w:rPr>
          <w:szCs w:val="24"/>
          <w:lang w:eastAsia="en-US"/>
        </w:rPr>
        <w:tab/>
        <w:t xml:space="preserve">Für die Risikobeschreibung müssen mithilfe der Informationen aus den vorangegangenen Schritten das Ausmaß und die Wahrscheinlichkeit schädlicher Auswirkungen des kontaminierten Standorts auf die menschliche Gesundheit und die Umwelt eingeschätzt werden, wobei auch die Auswirkungen der Migration der Kontaminanten in andere Umweltmedien zu berücksichtigen sind. Mithilfe der Risikobeschreibung kann der Bedarf an Maßnahmen zur Risikominderung und Sanierung priorisiert werden. Außerdem können damit Sanierungs- oder Bewirtschaftungsziele für einen Standort festgelegt werden, zum Beispiel um </w:t>
      </w:r>
      <w:r w:rsidRPr="001C2358">
        <w:rPr>
          <w:szCs w:val="24"/>
          <w:lang w:eastAsia="en-US"/>
        </w:rPr>
        <w:lastRenderedPageBreak/>
        <w:t>zulässige Höchstgrenzen einzuhalten oder standortspezifische risikobasierte Screening-Werte zu erreichen.</w:t>
      </w:r>
    </w:p>
    <w:p w:rsidR="001C2358" w:rsidRPr="001C2358" w:rsidRDefault="001C2358" w:rsidP="001C2358">
      <w:pPr>
        <w:spacing w:before="120" w:after="120" w:line="360" w:lineRule="auto"/>
        <w:rPr>
          <w:szCs w:val="24"/>
          <w:lang w:eastAsia="en-US"/>
        </w:rPr>
        <w:sectPr w:rsidR="001C2358" w:rsidRPr="001C2358">
          <w:footnotePr>
            <w:numRestart w:val="eachSect"/>
          </w:footnotePr>
          <w:pgSz w:w="11909" w:h="16834"/>
          <w:pgMar w:top="1134" w:right="1417" w:bottom="1417" w:left="1417" w:header="1134" w:footer="567" w:gutter="0"/>
          <w:cols w:space="720"/>
        </w:sectPr>
      </w:pPr>
    </w:p>
    <w:p w:rsidR="001C2358" w:rsidRPr="001C2358" w:rsidRDefault="001C2358" w:rsidP="001C2358">
      <w:pPr>
        <w:spacing w:before="120" w:after="120" w:line="360" w:lineRule="auto"/>
        <w:rPr>
          <w:szCs w:val="24"/>
          <w:lang w:eastAsia="en-US"/>
        </w:rPr>
      </w:pPr>
    </w:p>
    <w:p w:rsidR="001C2358" w:rsidRPr="001C2358" w:rsidRDefault="001C2358" w:rsidP="001C2358">
      <w:pPr>
        <w:spacing w:before="120" w:after="120" w:line="360" w:lineRule="auto"/>
        <w:jc w:val="center"/>
        <w:rPr>
          <w:lang w:eastAsia="en-US"/>
        </w:rPr>
      </w:pPr>
      <w:r w:rsidRPr="001C2358">
        <w:rPr>
          <w:lang w:eastAsia="en-US"/>
        </w:rPr>
        <w:t>ANHANG VII</w:t>
      </w:r>
    </w:p>
    <w:p w:rsidR="001C2358" w:rsidRPr="001C2358" w:rsidRDefault="001C2358" w:rsidP="001C2358">
      <w:pPr>
        <w:spacing w:before="120" w:after="120" w:line="360" w:lineRule="auto"/>
        <w:rPr>
          <w:szCs w:val="24"/>
          <w:lang w:eastAsia="en-US"/>
        </w:rPr>
      </w:pPr>
      <w:r w:rsidRPr="001C2358">
        <w:rPr>
          <w:szCs w:val="24"/>
          <w:lang w:eastAsia="en-US"/>
        </w:rPr>
        <w:t xml:space="preserve">INHALT DES REGISTERS POTENZIELL UND TATSÄCHLICH KONTAMINIERTER STANDORTE </w:t>
      </w:r>
    </w:p>
    <w:p w:rsidR="001C2358" w:rsidRPr="001C2358" w:rsidRDefault="001C2358" w:rsidP="001C2358">
      <w:pPr>
        <w:spacing w:before="120" w:after="120" w:line="360" w:lineRule="auto"/>
        <w:rPr>
          <w:szCs w:val="24"/>
          <w:lang w:eastAsia="en-US"/>
        </w:rPr>
      </w:pPr>
      <w:r w:rsidRPr="001C2358">
        <w:rPr>
          <w:szCs w:val="24"/>
          <w:lang w:eastAsia="en-US"/>
        </w:rPr>
        <w:t>Durch die Gestaltung und Darstellung der Daten im Register kann die Öffentlichkeit die Fortschritte beim Umgang mit potenziell und tatsächlich kontaminierten Standorten nachverfolgen. Das Register enthält folgende standortspezifischen Informationen zu den bekannten potenziell kontaminierten Standorten, tatsächlich kontaminierten Standorten, kontaminierten Standorten, für die weitere Maßnahmen erforderlich sind, sowie kontaminierten Standorten, für die bereits Maßnahmen ergriffen wurden oder werden: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(a)</w:t>
      </w:r>
      <w:r w:rsidRPr="001C2358">
        <w:rPr>
          <w:szCs w:val="24"/>
          <w:lang w:eastAsia="en-US"/>
        </w:rPr>
        <w:tab/>
        <w:t>Koordinaten, Adresse oder Katasterparzelle(n) des Standorts gemäß den Richtlinien (EU) 2019/1024 und 2007/2/EG;</w:t>
      </w:r>
    </w:p>
    <w:p w:rsidR="001C2358" w:rsidRPr="001C2358" w:rsidRDefault="001C2358" w:rsidP="001C2358">
      <w:pPr>
        <w:spacing w:before="120" w:after="120" w:line="360" w:lineRule="auto"/>
        <w:ind w:left="850" w:hanging="850"/>
        <w:rPr>
          <w:szCs w:val="24"/>
          <w:lang w:eastAsia="en-US"/>
        </w:rPr>
      </w:pPr>
      <w:r w:rsidRPr="001C2358">
        <w:rPr>
          <w:szCs w:val="24"/>
          <w:lang w:eastAsia="en-US"/>
        </w:rPr>
        <w:t>(b)</w:t>
      </w:r>
      <w:r w:rsidRPr="001C2358">
        <w:rPr>
          <w:szCs w:val="24"/>
          <w:lang w:eastAsia="en-US"/>
        </w:rPr>
        <w:tab/>
        <w:t>Jahr der Aufnahme in das Register;</w:t>
      </w:r>
    </w:p>
    <w:p w:rsidR="001C2358" w:rsidRPr="001C2358" w:rsidRDefault="001C2358" w:rsidP="001C2358">
      <w:pPr>
        <w:spacing w:before="120" w:after="120" w:line="360" w:lineRule="auto"/>
        <w:ind w:left="850" w:hanging="850"/>
        <w:rPr>
          <w:szCs w:val="24"/>
          <w:lang w:eastAsia="en-US"/>
        </w:rPr>
      </w:pPr>
      <w:r w:rsidRPr="001C2358">
        <w:rPr>
          <w:szCs w:val="24"/>
          <w:lang w:eastAsia="en-US"/>
        </w:rPr>
        <w:t>(c)</w:t>
      </w:r>
      <w:r w:rsidRPr="001C2358">
        <w:rPr>
          <w:szCs w:val="24"/>
          <w:lang w:eastAsia="en-US"/>
        </w:rPr>
        <w:tab/>
        <w:t>tatsächlich oder potenziell kontaminierende Tätigkeiten, die am Standort stattgefunden haben oder stattfinden;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(d)</w:t>
      </w:r>
      <w:r w:rsidRPr="001C2358">
        <w:rPr>
          <w:szCs w:val="24"/>
          <w:lang w:eastAsia="en-US"/>
        </w:rPr>
        <w:tab/>
        <w:t>Kontaminationsstatus des Standorts;</w:t>
      </w:r>
    </w:p>
    <w:p w:rsidR="001C2358" w:rsidRPr="001C2358" w:rsidRDefault="001C2358" w:rsidP="001C2358">
      <w:pPr>
        <w:spacing w:before="120" w:after="120" w:line="360" w:lineRule="auto"/>
        <w:ind w:left="850" w:hanging="850"/>
        <w:rPr>
          <w:szCs w:val="24"/>
          <w:lang w:eastAsia="en-US"/>
        </w:rPr>
      </w:pPr>
      <w:r w:rsidRPr="001C2358">
        <w:rPr>
          <w:szCs w:val="24"/>
          <w:lang w:eastAsia="en-US"/>
        </w:rPr>
        <w:t>(e)</w:t>
      </w:r>
      <w:r w:rsidRPr="001C2358">
        <w:rPr>
          <w:szCs w:val="24"/>
          <w:lang w:eastAsia="en-US"/>
        </w:rPr>
        <w:tab/>
        <w:t>Schlussfolgerung bezüglich des Vorliegens oder Nichtvorhandenseins einer Kontamination (oder Restkontamination nach Sanierung), ihrer Konzentration, Art und ihres Risikos, sofern bereits Informationen über diese Elemente aus den Bodenuntersuchungen und der Risikobewertung gemäß den Artikeln 14 und 15 vorliegen;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(f)</w:t>
      </w:r>
      <w:r w:rsidRPr="001C2358">
        <w:rPr>
          <w:szCs w:val="24"/>
          <w:lang w:eastAsia="en-US"/>
        </w:rPr>
        <w:tab/>
        <w:t>die nächsten erforderlichen Maßnahmen und Schritte gemäß den Artikeln 14 und 15 sowie deren Zeitplan.</w:t>
      </w:r>
    </w:p>
    <w:p w:rsidR="001C2358" w:rsidRPr="001C2358" w:rsidRDefault="001C2358" w:rsidP="001C2358">
      <w:pPr>
        <w:spacing w:before="120" w:after="120" w:line="360" w:lineRule="auto"/>
        <w:rPr>
          <w:szCs w:val="24"/>
          <w:lang w:eastAsia="en-US"/>
        </w:rPr>
      </w:pPr>
      <w:r w:rsidRPr="001C2358">
        <w:rPr>
          <w:szCs w:val="24"/>
          <w:lang w:eastAsia="en-US"/>
        </w:rPr>
        <w:t>Sofern verfügbar, kann das Register zudem folgende standortspezifischen Informationen zu den bekannten potenziell kontaminierten Standorten, tatsächlich kontaminierten Standorten, kontaminierten Standorten, für die weitere Maßnahmen erforderlich sind, sowie kontaminierten Standorten, für die bereits Maßnahmen ergriffen wurden oder werden, enthalten:</w:t>
      </w:r>
    </w:p>
    <w:p w:rsidR="001C2358" w:rsidRPr="001C2358" w:rsidRDefault="001C2358" w:rsidP="001C2358">
      <w:pPr>
        <w:spacing w:before="120" w:after="120" w:line="360" w:lineRule="auto"/>
        <w:ind w:left="850" w:hanging="850"/>
        <w:rPr>
          <w:szCs w:val="24"/>
          <w:lang w:eastAsia="en-US"/>
        </w:rPr>
      </w:pPr>
      <w:r w:rsidRPr="001C2358">
        <w:rPr>
          <w:szCs w:val="24"/>
          <w:lang w:eastAsia="en-US"/>
        </w:rPr>
        <w:t>(a)</w:t>
      </w:r>
      <w:r w:rsidRPr="001C2358">
        <w:rPr>
          <w:szCs w:val="24"/>
          <w:lang w:eastAsia="en-US"/>
        </w:rPr>
        <w:tab/>
        <w:t>Informationen über die für den Standort erteilten Umweltgenehmigungen einschließlich Beginn und Ende der Tätigkeit;</w:t>
      </w:r>
    </w:p>
    <w:p w:rsidR="001C2358" w:rsidRPr="001C2358" w:rsidRDefault="001C2358" w:rsidP="001C2358">
      <w:pPr>
        <w:spacing w:before="120" w:after="120" w:line="360" w:lineRule="auto"/>
        <w:ind w:left="850" w:hanging="850"/>
        <w:rPr>
          <w:szCs w:val="24"/>
          <w:lang w:eastAsia="en-US"/>
        </w:rPr>
      </w:pPr>
      <w:r w:rsidRPr="001C2358">
        <w:rPr>
          <w:szCs w:val="24"/>
          <w:lang w:eastAsia="en-US"/>
        </w:rPr>
        <w:t>(b)</w:t>
      </w:r>
      <w:r w:rsidRPr="001C2358">
        <w:rPr>
          <w:szCs w:val="24"/>
          <w:lang w:eastAsia="en-US"/>
        </w:rPr>
        <w:tab/>
        <w:t>derzeitige und geplante Landnutzung;</w:t>
      </w:r>
    </w:p>
    <w:p w:rsidR="001C2358" w:rsidRPr="001C2358" w:rsidRDefault="001C2358" w:rsidP="001C2358">
      <w:pPr>
        <w:spacing w:before="120" w:after="120" w:line="360" w:lineRule="auto"/>
        <w:ind w:left="850" w:hanging="850"/>
        <w:rPr>
          <w:szCs w:val="24"/>
          <w:lang w:eastAsia="en-US"/>
        </w:rPr>
      </w:pPr>
      <w:r w:rsidRPr="001C2358">
        <w:rPr>
          <w:szCs w:val="24"/>
          <w:lang w:eastAsia="en-US"/>
        </w:rPr>
        <w:lastRenderedPageBreak/>
        <w:t>(c)</w:t>
      </w:r>
      <w:r w:rsidRPr="001C2358">
        <w:rPr>
          <w:szCs w:val="24"/>
          <w:lang w:eastAsia="en-US"/>
        </w:rPr>
        <w:tab/>
        <w:t>Ergebnisse von Bodenuntersuchungen und Sanierungsberichten wie unter anderem Konzentrationen und Ausmaß der Kontamination, konzeptionelles Standortmodell, Risikobewertungsmethode, verwendete oder geplante Techniken, Wirksamkeit und geschätzte Kosten von Maßnahmen zur Risikominderung.</w:t>
      </w:r>
    </w:p>
    <w:p w:rsidR="001C2358" w:rsidRPr="00037CF2" w:rsidRDefault="001C2358" w:rsidP="001C2358">
      <w:pPr>
        <w:pStyle w:val="NormalHanging12a"/>
        <w:ind w:left="0" w:firstLine="0"/>
      </w:pPr>
    </w:p>
    <w:sectPr w:rsidR="001C2358" w:rsidRPr="00037CF2" w:rsidSect="00037CF2">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DC6" w:rsidRPr="00037CF2" w:rsidRDefault="00B24DC6">
      <w:r w:rsidRPr="00037CF2">
        <w:separator/>
      </w:r>
    </w:p>
  </w:endnote>
  <w:endnote w:type="continuationSeparator" w:id="0">
    <w:p w:rsidR="00B24DC6" w:rsidRPr="00037CF2" w:rsidRDefault="00B24DC6">
      <w:r w:rsidRPr="00037C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C6" w:rsidRDefault="00B24DC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C6" w:rsidRPr="001C2358" w:rsidRDefault="00B24DC6" w:rsidP="001C23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C6" w:rsidRDefault="00B24DC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DC6" w:rsidRPr="00037CF2" w:rsidRDefault="00B24DC6">
      <w:r w:rsidRPr="00037CF2">
        <w:separator/>
      </w:r>
    </w:p>
  </w:footnote>
  <w:footnote w:type="continuationSeparator" w:id="0">
    <w:p w:rsidR="00B24DC6" w:rsidRPr="00037CF2" w:rsidRDefault="00B24DC6">
      <w:r w:rsidRPr="00037CF2">
        <w:continuationSeparator/>
      </w:r>
    </w:p>
  </w:footnote>
  <w:footnote w:id="1">
    <w:p w:rsidR="00B24DC6" w:rsidRPr="001C6C3C" w:rsidRDefault="00B24DC6" w:rsidP="00037CF2">
      <w:pPr>
        <w:pStyle w:val="FootnoteText"/>
        <w:ind w:left="567" w:hanging="567"/>
        <w:rPr>
          <w:sz w:val="24"/>
          <w:szCs w:val="24"/>
          <w:lang w:val="fi-FI"/>
        </w:rPr>
      </w:pPr>
      <w:r w:rsidRPr="00037CF2">
        <w:rPr>
          <w:rStyle w:val="FootnoteReference"/>
          <w:sz w:val="24"/>
          <w:szCs w:val="24"/>
          <w:lang w:val="de-DE"/>
        </w:rPr>
        <w:footnoteRef/>
      </w:r>
      <w:r w:rsidRPr="001C6C3C">
        <w:rPr>
          <w:sz w:val="24"/>
          <w:lang w:val="fi-FI"/>
        </w:rPr>
        <w:t xml:space="preserve"> </w:t>
      </w:r>
      <w:r w:rsidRPr="001C6C3C">
        <w:rPr>
          <w:sz w:val="24"/>
          <w:lang w:val="fi-FI"/>
        </w:rPr>
        <w:tab/>
        <w:t>ABl. C, C/2024/887, 6.2.2024, ELI: http://data.europa.eu/eli/C/2024/887/oj.</w:t>
      </w:r>
    </w:p>
  </w:footnote>
  <w:footnote w:id="2">
    <w:p w:rsidR="00B24DC6" w:rsidRPr="001C2358" w:rsidRDefault="00B24DC6" w:rsidP="001C2358">
      <w:pPr>
        <w:pStyle w:val="FootnoteTextForceStyle"/>
        <w:rPr>
          <w:lang w:val="de-DE"/>
        </w:rPr>
      </w:pPr>
      <w:r>
        <w:rPr>
          <w:vertAlign w:val="superscript"/>
        </w:rPr>
        <w:footnoteRef/>
      </w:r>
      <w:r w:rsidRPr="001C2358">
        <w:rPr>
          <w:lang w:val="de-DE"/>
        </w:rPr>
        <w:tab/>
        <w:t>ABl. C … vom …, S. ….</w:t>
      </w:r>
    </w:p>
  </w:footnote>
  <w:footnote w:id="3">
    <w:p w:rsidR="00B24DC6" w:rsidRPr="001C2358" w:rsidRDefault="00B24DC6" w:rsidP="001C2358">
      <w:pPr>
        <w:pStyle w:val="FootnoteTextForceStyle"/>
        <w:rPr>
          <w:lang w:val="de-DE"/>
        </w:rPr>
      </w:pPr>
      <w:r>
        <w:rPr>
          <w:vertAlign w:val="superscript"/>
        </w:rPr>
        <w:footnoteRef/>
      </w:r>
      <w:r w:rsidRPr="001C2358">
        <w:rPr>
          <w:lang w:val="de-DE"/>
        </w:rPr>
        <w:tab/>
        <w:t>ABl. C … vom …, S. ….</w:t>
      </w:r>
    </w:p>
  </w:footnote>
  <w:footnote w:id="4">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Europäischen Rat, den Rat, den Europäischen Wirtschafts- und Sozialausschuss und den Ausschuss der Regionen – Der europäische Grüne Deal, COM(2019) 640 final.</w:t>
      </w:r>
    </w:p>
  </w:footnote>
  <w:footnote w:id="5">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EU-Biodiversitätsstrategie für 2030 – Mehr Raum für die Natur in unserem Leben, COM(2020) 380 final.</w:t>
      </w:r>
    </w:p>
  </w:footnote>
  <w:footnote w:id="6">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„Vom Hof auf den Tisch“ – eine Strategie für ein faires, gesundes und umweltfreundliches Lebensmittelsystem, COM(2020) 381 final.</w:t>
      </w:r>
    </w:p>
  </w:footnote>
  <w:footnote w:id="7">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Auf dem Weg zu einem gesunden Planeten für alle – EU-Aktionsplan: „Schadstofffreiheit von Luft, Wasser und Boden“, COM(2021) 400 final.</w:t>
      </w:r>
    </w:p>
  </w:footnote>
  <w:footnote w:id="8">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Ein klimaresilientes Europa aufbauen – die neue EU-Strategie für die Anpassung an den Klimawandel, COM(2021) 82 final.</w:t>
      </w:r>
    </w:p>
  </w:footnote>
  <w:footnote w:id="9">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EU-Bodenstrategie für 2030 – Die Vorteile gesunder Böden für Menschen, Lebensmittel, Natur und Klima nutzen, COM(2021) 699 final.</w:t>
      </w:r>
    </w:p>
  </w:footnote>
  <w:footnote w:id="10">
    <w:p w:rsidR="00B24DC6" w:rsidRPr="001C2358" w:rsidRDefault="00B24DC6" w:rsidP="001C2358">
      <w:pPr>
        <w:pStyle w:val="FootnoteTextForceStyle"/>
        <w:rPr>
          <w:lang w:val="de-DE"/>
        </w:rPr>
      </w:pPr>
      <w:r>
        <w:rPr>
          <w:vertAlign w:val="superscript"/>
        </w:rPr>
        <w:footnoteRef/>
      </w:r>
      <w:r w:rsidRPr="001C2358">
        <w:rPr>
          <w:lang w:val="de-DE"/>
        </w:rPr>
        <w:tab/>
        <w:t>https://sdgs.un.org/goals</w:t>
      </w:r>
    </w:p>
  </w:footnote>
  <w:footnote w:id="11">
    <w:p w:rsidR="00B24DC6" w:rsidRPr="001C2358" w:rsidRDefault="00B24DC6" w:rsidP="001C2358">
      <w:pPr>
        <w:pStyle w:val="FootnoteTextForceStyle"/>
        <w:rPr>
          <w:lang w:val="de-DE"/>
        </w:rPr>
      </w:pPr>
      <w:r>
        <w:rPr>
          <w:vertAlign w:val="superscript"/>
        </w:rPr>
        <w:footnoteRef/>
      </w:r>
      <w:r w:rsidRPr="001C2358">
        <w:rPr>
          <w:lang w:val="de-DE"/>
        </w:rPr>
        <w:tab/>
        <w:t>Beschluss 93/626/EWG des Rates vom 25. Oktober 1993 über den Abschluss des Übereinkommens über die biologische Vielfalt (ABl. L 309 vom 13.12.1993, S. 1).</w:t>
      </w:r>
    </w:p>
  </w:footnote>
  <w:footnote w:id="12">
    <w:p w:rsidR="00B24DC6" w:rsidRPr="001C2358" w:rsidRDefault="00B24DC6" w:rsidP="001C2358">
      <w:pPr>
        <w:pStyle w:val="FootnoteTextForceStyle"/>
        <w:rPr>
          <w:lang w:val="de-DE"/>
        </w:rPr>
      </w:pPr>
      <w:r>
        <w:rPr>
          <w:vertAlign w:val="superscript"/>
        </w:rPr>
        <w:footnoteRef/>
      </w:r>
      <w:r w:rsidRPr="001C2358">
        <w:rPr>
          <w:lang w:val="de-DE"/>
        </w:rPr>
        <w:tab/>
        <w:t>Beschluss der Konferenz der Vertragsparteien des Übereinkommens über die biologische Vielfalt vom 19. Dezember 2022, 15/4. Globaler Biodiversitätsrahmen von Kunming-Montreal.</w:t>
      </w:r>
    </w:p>
  </w:footnote>
  <w:footnote w:id="13">
    <w:p w:rsidR="00B24DC6" w:rsidRPr="001C2358" w:rsidRDefault="00B24DC6" w:rsidP="001C2358">
      <w:pPr>
        <w:pStyle w:val="FootnoteTextForceStyle"/>
        <w:rPr>
          <w:lang w:val="de-DE"/>
        </w:rPr>
      </w:pPr>
      <w:r>
        <w:rPr>
          <w:vertAlign w:val="superscript"/>
        </w:rPr>
        <w:footnoteRef/>
      </w:r>
      <w:r w:rsidRPr="001C2358">
        <w:rPr>
          <w:lang w:val="de-DE"/>
        </w:rPr>
        <w:tab/>
        <w:t>Beschluss des Rates vom 9. März 1998 über den Abschluss – im Namen der Europäischen Gemeinschaft – des Übereinkommens der Vereinten Nationen zur Bekämpfung der Wüstenbildung in den von Dürre und/oder Wüstenbildung schwer betroffenen Ländern, insbesondere in Afrika (ABl. L 83 vom 19.3.1998, S. 1).</w:t>
      </w:r>
    </w:p>
  </w:footnote>
  <w:footnote w:id="14">
    <w:p w:rsidR="00B24DC6" w:rsidRPr="001C2358" w:rsidRDefault="00B24DC6" w:rsidP="001C2358">
      <w:pPr>
        <w:pStyle w:val="FootnoteTextForceStyle"/>
        <w:rPr>
          <w:lang w:val="de-DE"/>
        </w:rPr>
      </w:pPr>
      <w:r>
        <w:rPr>
          <w:vertAlign w:val="superscript"/>
        </w:rPr>
        <w:footnoteRef/>
      </w:r>
      <w:r w:rsidRPr="001C2358">
        <w:rPr>
          <w:lang w:val="de-DE"/>
        </w:rPr>
        <w:tab/>
        <w:t>Bulgarien, Griechenland, Italien, Kroatien, Lettland, Malta, Portugal, Rumänien, Slowakei, Slowenien, Spanien, Ungarn und Zypern.</w:t>
      </w:r>
    </w:p>
  </w:footnote>
  <w:footnote w:id="15">
    <w:p w:rsidR="00B24DC6" w:rsidRPr="001C2358" w:rsidRDefault="00B24DC6" w:rsidP="001C2358">
      <w:pPr>
        <w:pStyle w:val="FootnoteTextForceStyle"/>
        <w:rPr>
          <w:lang w:val="de-DE"/>
        </w:rPr>
      </w:pPr>
      <w:r>
        <w:rPr>
          <w:vertAlign w:val="superscript"/>
        </w:rPr>
        <w:footnoteRef/>
      </w:r>
      <w:r w:rsidRPr="001C2358">
        <w:rPr>
          <w:lang w:val="de-DE"/>
        </w:rPr>
        <w:tab/>
        <w:t>Entschließung des Europäischen Parlaments vom 28. April 2021 zum Bodenschutz (2021/2548(RSP)).</w:t>
      </w:r>
    </w:p>
  </w:footnote>
  <w:footnote w:id="16">
    <w:p w:rsidR="00B24DC6" w:rsidRPr="001C2358" w:rsidRDefault="00B24DC6" w:rsidP="001C2358">
      <w:pPr>
        <w:pStyle w:val="FootnoteTextForceStyle"/>
        <w:rPr>
          <w:lang w:val="de-DE"/>
        </w:rPr>
      </w:pPr>
      <w:r>
        <w:rPr>
          <w:vertAlign w:val="superscript"/>
        </w:rPr>
        <w:footnoteRef/>
      </w:r>
      <w:r w:rsidRPr="001C2358">
        <w:rPr>
          <w:lang w:val="de-DE"/>
        </w:rPr>
        <w:tab/>
        <w:t>Schlussfolgerungen des Rates zum Thema „Biologische Vielfalt – dringender Handlungsbedarf“, 12210/20.</w:t>
      </w:r>
    </w:p>
  </w:footnote>
  <w:footnote w:id="17">
    <w:p w:rsidR="00B24DC6" w:rsidRPr="001C2358" w:rsidRDefault="00B24DC6" w:rsidP="001C2358">
      <w:pPr>
        <w:pStyle w:val="FootnoteTextForceStyle"/>
        <w:rPr>
          <w:lang w:val="de-DE"/>
        </w:rPr>
      </w:pPr>
      <w:r>
        <w:rPr>
          <w:vertAlign w:val="superscript"/>
        </w:rPr>
        <w:footnoteRef/>
      </w:r>
      <w:r w:rsidRPr="001C2358">
        <w:rPr>
          <w:lang w:val="de-DE"/>
        </w:rPr>
        <w:tab/>
        <w:t>Verordnung (EU) 2021/1119 des Europäischen Parlaments und des Rates vom 30. Juni 2021 zur Schaffung des Rahmens für die Verwirklichung der Klimaneutralität und zur Änderung der Verordnungen (EG) Nr. 401/2009 und (EU) 2018/1999 („Europäisches Klimagesetz“) (ABl. L 243 vom 9.7.2021, S. 1).</w:t>
      </w:r>
    </w:p>
  </w:footnote>
  <w:footnote w:id="18">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und den Rat – Nachhaltige Kohlenstoffkreisläufe, COM(2021) 800 final.</w:t>
      </w:r>
    </w:p>
  </w:footnote>
  <w:footnote w:id="19">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Ein klimaresilientes Europa aufbauen – die neue EU-Strategie für die Anpassung an den Klimawandel, COM(2021) 82 final.</w:t>
      </w:r>
    </w:p>
  </w:footnote>
  <w:footnote w:id="20">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Europäischen Rat, den Rat, den Europäischen Wirtschafts- und Sozialausschuss und den Ausschuss der Regionen – Gewährleistung der Ernährungssicherheit und Stärkung der Widerstandsfähigkeit der Lebensmittelsysteme, COM(2022) 133 final.</w:t>
      </w:r>
    </w:p>
  </w:footnote>
  <w:footnote w:id="21">
    <w:p w:rsidR="00B24DC6" w:rsidRPr="001C2358" w:rsidRDefault="00B24DC6" w:rsidP="001C2358">
      <w:pPr>
        <w:pStyle w:val="FootnoteText"/>
        <w:ind w:left="851" w:hanging="851"/>
        <w:rPr>
          <w:sz w:val="24"/>
          <w:szCs w:val="24"/>
          <w:lang w:val="de-DE"/>
        </w:rPr>
      </w:pPr>
      <w:r w:rsidRPr="001C2358">
        <w:rPr>
          <w:rStyle w:val="FootnoteReference"/>
          <w:strike/>
          <w:sz w:val="24"/>
          <w:szCs w:val="24"/>
          <w:lang w:val="de-DE"/>
        </w:rPr>
        <w:t>+</w:t>
      </w:r>
      <w:r w:rsidRPr="001C2358">
        <w:rPr>
          <w:sz w:val="24"/>
          <w:szCs w:val="24"/>
          <w:lang w:val="de-DE"/>
        </w:rPr>
        <w:t xml:space="preserve"> </w:t>
      </w:r>
      <w:r w:rsidRPr="001C2358">
        <w:rPr>
          <w:sz w:val="24"/>
          <w:szCs w:val="24"/>
          <w:lang w:val="de-DE"/>
        </w:rPr>
        <w:tab/>
      </w:r>
      <w:r w:rsidRPr="001C2358">
        <w:rPr>
          <w:strike/>
          <w:sz w:val="24"/>
          <w:szCs w:val="24"/>
          <w:lang w:val="de-DE"/>
        </w:rPr>
        <w:t>+Amt für Veröffentlichungen: Bitte die Nummer der in Dokument COM(2022) 672 final genannten Verordnung über die Zertifizierung von CO2-Entnahmen in den Text einfügen und die Nummer, das Datum, den Titel und die Amtsblattfundstelle jener Richtlinie in die Fußnote einfügen.</w:t>
      </w:r>
    </w:p>
  </w:footnote>
  <w:footnote w:id="22">
    <w:p w:rsidR="00B24DC6" w:rsidRPr="001C2358" w:rsidRDefault="00B24DC6" w:rsidP="001C2358">
      <w:pPr>
        <w:pStyle w:val="FootnoteTextForceStyle"/>
        <w:rPr>
          <w:lang w:val="de-DE"/>
        </w:rPr>
      </w:pPr>
      <w:r>
        <w:rPr>
          <w:vertAlign w:val="superscript"/>
        </w:rPr>
        <w:footnoteRef/>
      </w:r>
      <w:r w:rsidRPr="001C2358">
        <w:rPr>
          <w:lang w:val="de-DE"/>
        </w:rPr>
        <w:tab/>
        <w:t>Verordnung (EG) Nr. 1059/2003 des Europäischen Parlaments und des Rates vom 26. Mai 2003 über die Schaffung einer gemeinsamen Klassifikation der Gebietseinheiten für die Statistik (NUTS) (ABl. L 154 vom 21.6.2003, S. 1).</w:t>
      </w:r>
    </w:p>
  </w:footnote>
  <w:footnote w:id="23">
    <w:p w:rsidR="00B24DC6" w:rsidRPr="001C2358" w:rsidRDefault="00B24DC6" w:rsidP="001C2358">
      <w:pPr>
        <w:pStyle w:val="FootnoteTextForceStyle"/>
        <w:rPr>
          <w:lang w:val="de-DE"/>
        </w:rPr>
      </w:pPr>
      <w:r w:rsidRPr="00B24DC6">
        <w:rPr>
          <w:strike/>
          <w:vertAlign w:val="superscript"/>
        </w:rPr>
        <w:footnoteRef/>
      </w:r>
      <w:r w:rsidRPr="001C2358">
        <w:rPr>
          <w:lang w:val="de-DE"/>
        </w:rPr>
        <w:tab/>
      </w:r>
      <w:r w:rsidRPr="001C2358">
        <w:rPr>
          <w:strike/>
          <w:lang w:val="de-DE"/>
        </w:rPr>
        <w:t>Richtlinie (EU) 2018/2001 des Europäischen Parlaments und des Rates vom 11. Dezember 2018 zur Förderung der Nutzung von Energie aus erneuerbaren Quellen (Neufassung) (ABl. L 328 vom 21.12.2018, S. 82).</w:t>
      </w:r>
    </w:p>
  </w:footnote>
  <w:footnote w:id="24">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Eine europäische Datenstrategie, COM(2020) 66 final.</w:t>
      </w:r>
    </w:p>
  </w:footnote>
  <w:footnote w:id="25">
    <w:p w:rsidR="00B24DC6" w:rsidRPr="001C2358" w:rsidRDefault="00B24DC6" w:rsidP="001C2358">
      <w:pPr>
        <w:pStyle w:val="FootnoteTextForceStyle"/>
        <w:rPr>
          <w:lang w:val="de-DE"/>
        </w:rPr>
      </w:pPr>
      <w:r>
        <w:rPr>
          <w:vertAlign w:val="superscript"/>
        </w:rPr>
        <w:footnoteRef/>
      </w:r>
      <w:r w:rsidRPr="001C2358">
        <w:rPr>
          <w:lang w:val="de-DE"/>
        </w:rPr>
        <w:tab/>
        <w:t>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w:t>
      </w:r>
    </w:p>
  </w:footnote>
  <w:footnote w:id="26">
    <w:p w:rsidR="00B24DC6" w:rsidRPr="001C2358" w:rsidRDefault="00B24DC6" w:rsidP="001C2358">
      <w:pPr>
        <w:pStyle w:val="FootnoteTextForceStyle"/>
        <w:rPr>
          <w:lang w:val="de-DE"/>
        </w:rPr>
      </w:pPr>
      <w:r>
        <w:rPr>
          <w:vertAlign w:val="superscript"/>
        </w:rPr>
        <w:footnoteRef/>
      </w:r>
      <w:r w:rsidRPr="001C2358">
        <w:rPr>
          <w:lang w:val="de-DE"/>
        </w:rPr>
        <w:tab/>
        <w:t>Amt für Veröffentlichungen: Bitte die Nummer der in Dokument COM(2022) 304 genannten Verordnung über die Wiederherstellung der Natur in den Text einfügen und die Nummer, das Datum, den Titel und die Amtsblattfundstelle jener Verordnung (EU) .../... des Europäischen Parlaments und des Rates über die Wiederherstellung der Natur in die Fußnote einfügen.</w:t>
      </w:r>
    </w:p>
  </w:footnote>
  <w:footnote w:id="27">
    <w:p w:rsidR="00B24DC6" w:rsidRPr="001C2358" w:rsidRDefault="00B24DC6" w:rsidP="001C2358">
      <w:pPr>
        <w:pStyle w:val="FootnoteTextForceStyle"/>
        <w:rPr>
          <w:lang w:val="de-DE"/>
        </w:rPr>
      </w:pPr>
      <w:r>
        <w:rPr>
          <w:vertAlign w:val="superscript"/>
        </w:rPr>
        <w:footnoteRef/>
      </w:r>
      <w:r w:rsidRPr="001C2358">
        <w:rPr>
          <w:lang w:val="de-DE"/>
        </w:rPr>
        <w:tab/>
        <w:t>Richtlinie 91/676/EWG des Rates vom 12. Dezember 1991 zum Schutz der Gewässer vor Verunreinigung durch Nitrat aus landwirtschaftlichen Quellen (ABl. L 375 vom 31.12.1991, S. 1).</w:t>
      </w:r>
    </w:p>
  </w:footnote>
  <w:footnote w:id="28">
    <w:p w:rsidR="00B24DC6" w:rsidRPr="001C2358" w:rsidRDefault="00B24DC6" w:rsidP="001C2358">
      <w:pPr>
        <w:pStyle w:val="FootnoteTextForceStyle"/>
        <w:rPr>
          <w:lang w:val="de-DE"/>
        </w:rPr>
      </w:pPr>
      <w:r>
        <w:rPr>
          <w:vertAlign w:val="superscript"/>
        </w:rPr>
        <w:footnoteRef/>
      </w:r>
      <w:r w:rsidRPr="001C2358">
        <w:rPr>
          <w:lang w:val="de-DE"/>
        </w:rPr>
        <w:tab/>
        <w:t>Richtlinie 92/43/EWG des Rates vom 21. Mai 1992 zur Erhaltung der natürlichen Lebensräume sowie der wild lebenden Tiere und Pflanzen (ABl. L 206 vom 22.7.1992, S. 7).</w:t>
      </w:r>
    </w:p>
  </w:footnote>
  <w:footnote w:id="29">
    <w:p w:rsidR="00B24DC6" w:rsidRPr="001C2358" w:rsidRDefault="00B24DC6" w:rsidP="001C2358">
      <w:pPr>
        <w:pStyle w:val="FootnoteTextForceStyle"/>
        <w:rPr>
          <w:lang w:val="de-DE"/>
        </w:rPr>
      </w:pPr>
      <w:r>
        <w:rPr>
          <w:vertAlign w:val="superscript"/>
        </w:rPr>
        <w:footnoteRef/>
      </w:r>
      <w:r w:rsidRPr="001C2358">
        <w:rPr>
          <w:lang w:val="de-DE"/>
        </w:rPr>
        <w:tab/>
        <w:t>Richtlinie 2000/60/EG des Europäischen Parlaments und des Rates vom 23. Oktober 2000 zur Schaffung eines Ordnungsrahmens für Maßnahmen der Gemeinschaft im Bereich der Wasserpolitik (ABl. L 327 vom 22.12.2000, S. 1).</w:t>
      </w:r>
    </w:p>
  </w:footnote>
  <w:footnote w:id="30">
    <w:p w:rsidR="00B24DC6" w:rsidRPr="001C2358" w:rsidRDefault="00B24DC6" w:rsidP="001C2358">
      <w:pPr>
        <w:pStyle w:val="FootnoteTextForceStyle"/>
        <w:rPr>
          <w:lang w:val="de-DE"/>
        </w:rPr>
      </w:pPr>
      <w:r>
        <w:rPr>
          <w:vertAlign w:val="superscript"/>
        </w:rPr>
        <w:footnoteRef/>
      </w:r>
      <w:r w:rsidRPr="001C2358">
        <w:rPr>
          <w:lang w:val="de-DE"/>
        </w:rPr>
        <w:tab/>
        <w:t>Richtlinie 2007/60/EG des Europäischen Parlaments und des Rates vom 23. Oktober 2007 über die Bewertung und das Management von Hochwasserrisiken (ABl. L 288 vom 6.11.2007, S. 27).</w:t>
      </w:r>
    </w:p>
  </w:footnote>
  <w:footnote w:id="31">
    <w:p w:rsidR="00B24DC6" w:rsidRPr="001C2358" w:rsidRDefault="00B24DC6" w:rsidP="001C2358">
      <w:pPr>
        <w:pStyle w:val="FootnoteTextForceStyle"/>
        <w:rPr>
          <w:lang w:val="de-DE"/>
        </w:rPr>
      </w:pPr>
      <w:r>
        <w:rPr>
          <w:vertAlign w:val="superscript"/>
        </w:rPr>
        <w:footnoteRef/>
      </w:r>
      <w:r w:rsidRPr="001C2358">
        <w:rPr>
          <w:lang w:val="de-DE"/>
        </w:rPr>
        <w:tab/>
        <w:t>Mitteilung der Kommission an das Europäische Parlament, den Rat, den Europäischen Wirtschafts- und Sozialausschuss und den Ausschuss der Regionen – Ein klimaresilientes Europa aufbauen – die neue EU-Strategie für die Anpassung an den Klimawandel, COM(2021) 82 final.</w:t>
      </w:r>
    </w:p>
  </w:footnote>
  <w:footnote w:id="32">
    <w:p w:rsidR="00B24DC6" w:rsidRPr="001C2358" w:rsidRDefault="00B24DC6" w:rsidP="001C2358">
      <w:pPr>
        <w:pStyle w:val="FootnoteTextForceStyle"/>
        <w:rPr>
          <w:lang w:val="de-DE"/>
        </w:rPr>
      </w:pPr>
      <w:r>
        <w:rPr>
          <w:vertAlign w:val="superscript"/>
        </w:rPr>
        <w:footnoteRef/>
      </w:r>
      <w:r w:rsidRPr="001C2358">
        <w:rPr>
          <w:lang w:val="de-DE"/>
        </w:rPr>
        <w:tab/>
        <w:t>Verordnung (EU) 2018/841 des Europäischen Parlaments und des Rates vom 30. Mai 2018 über die Einbeziehung der Emissionen und des Abbaus von Treibhausgasen aus Landnutzung, Landnutzungsänderungen und Forstwirtschaft in den Rahmen für die Klima- und Energiepolitik bis 2030 und zur Änderung der Verordnung (EU) Nr. 525/2013 und des Beschlusses Nr. 529/2013/EU (ABl. L 156 vom 19.6.2018, S. 1).</w:t>
      </w:r>
    </w:p>
  </w:footnote>
  <w:footnote w:id="33">
    <w:p w:rsidR="00B24DC6" w:rsidRPr="001C2358" w:rsidRDefault="00B24DC6" w:rsidP="001C2358">
      <w:pPr>
        <w:pStyle w:val="FootnoteTextForceStyle"/>
        <w:rPr>
          <w:lang w:val="de-DE"/>
        </w:rPr>
      </w:pPr>
      <w:r>
        <w:rPr>
          <w:vertAlign w:val="superscript"/>
        </w:rPr>
        <w:footnoteRef/>
      </w:r>
      <w:r w:rsidRPr="001C2358">
        <w:rPr>
          <w:lang w:val="de-DE"/>
        </w:rPr>
        <w:tab/>
        <w:t>Verordnung (EU) 2018/842 des Europäischen Parlaments und des Rates vom 30. Mai 2018 zur Festlegung verbindlicher nationaler Jahresziele für die Reduzierung der Treibhausgasemissionen im Zeitraum 2021 bis 2030 als Beitrag zu Klimaschutzmaßnahmen zwecks Erfüllung der Verpflichtungen aus dem Übereinkommen von Paris sowie zur Änderung der Verordnung (EU) Nr. 525/2013 (ABl. L 156 vom 19.6.2018, S. 26).</w:t>
      </w:r>
    </w:p>
  </w:footnote>
  <w:footnote w:id="34">
    <w:p w:rsidR="00B24DC6" w:rsidRPr="001C2358" w:rsidRDefault="00B24DC6" w:rsidP="001C2358">
      <w:pPr>
        <w:pStyle w:val="FootnoteTextForceStyle"/>
        <w:rPr>
          <w:lang w:val="de-DE"/>
        </w:rPr>
      </w:pPr>
      <w:r>
        <w:rPr>
          <w:vertAlign w:val="superscript"/>
        </w:rPr>
        <w:footnoteRef/>
      </w:r>
      <w:r w:rsidRPr="001C2358">
        <w:rPr>
          <w:lang w:val="de-DE"/>
        </w:rPr>
        <w:tab/>
        <w:t>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Rates und zur Aufhebung der Verordnung (EU) Nr. 525/2013 des Europäischen Parlaments und des Rates (ABl. L 328 vom 21.12.2018, S. 1).</w:t>
      </w:r>
    </w:p>
  </w:footnote>
  <w:footnote w:id="35">
    <w:p w:rsidR="00B24DC6" w:rsidRPr="001C2358" w:rsidRDefault="00B24DC6" w:rsidP="001C2358">
      <w:pPr>
        <w:pStyle w:val="FootnoteTextForceStyle"/>
        <w:rPr>
          <w:lang w:val="de-DE"/>
        </w:rPr>
      </w:pPr>
      <w:r>
        <w:rPr>
          <w:vertAlign w:val="superscript"/>
        </w:rPr>
        <w:footnoteRef/>
      </w:r>
      <w:r w:rsidRPr="001C2358">
        <w:rPr>
          <w:lang w:val="de-DE"/>
        </w:rPr>
        <w:tab/>
        <w:t>Richtlinie (EU) 2016/2284 des Europäischen Parlaments und des Rates vom 14. Dezember 2016 über die Reduktion der nationalen Emissionen bestimmter Luftschadstoffe, zur Änderung der Richtlinie 2003/35/EG und zur Aufhebung der Richtlinie 2001/81/EG (ABl. L 344 vom 17.12.2016, S. 1).</w:t>
      </w:r>
    </w:p>
  </w:footnote>
  <w:footnote w:id="36">
    <w:p w:rsidR="00B24DC6" w:rsidRPr="001C2358" w:rsidRDefault="00B24DC6" w:rsidP="001C2358">
      <w:pPr>
        <w:pStyle w:val="FootnoteTextForceStyle"/>
        <w:rPr>
          <w:lang w:val="de-DE"/>
        </w:rPr>
      </w:pPr>
      <w:r>
        <w:rPr>
          <w:vertAlign w:val="superscript"/>
        </w:rPr>
        <w:footnoteRef/>
      </w:r>
      <w:r w:rsidRPr="001C2358">
        <w:rPr>
          <w:lang w:val="de-DE"/>
        </w:rPr>
        <w:tab/>
        <w:t>Beschluss Nr. 1313/2013/EU des Europäischen Parlaments und des Rates vom 17. Dezember 2013 über ein Katastrophenschutzverfahren der Union (ABl. L 347 vom 20.12.2013, S. 924).</w:t>
      </w:r>
    </w:p>
  </w:footnote>
  <w:footnote w:id="37">
    <w:p w:rsidR="00B24DC6" w:rsidRPr="009571FC" w:rsidRDefault="00B24DC6" w:rsidP="009571FC">
      <w:pPr>
        <w:pStyle w:val="FootnoteText"/>
        <w:ind w:left="851" w:hanging="851"/>
        <w:rPr>
          <w:lang w:val="de-DE"/>
        </w:rPr>
      </w:pPr>
      <w:r w:rsidRPr="00B24DC6">
        <w:rPr>
          <w:rStyle w:val="FootnoteReference"/>
          <w:strike/>
        </w:rPr>
        <w:footnoteRef/>
      </w:r>
      <w:r w:rsidRPr="00B24DC6">
        <w:rPr>
          <w:strike/>
          <w:lang w:val="de-DE"/>
        </w:rPr>
        <w:t xml:space="preserve"> </w:t>
      </w:r>
      <w:r>
        <w:rPr>
          <w:lang w:val="de-DE"/>
        </w:rPr>
        <w:tab/>
      </w:r>
      <w:r w:rsidRPr="001C2358">
        <w:rPr>
          <w:strike/>
          <w:sz w:val="24"/>
          <w:szCs w:val="24"/>
          <w:lang w:val="de-DE"/>
        </w:rPr>
        <w:t>Amt für Veröffentlichungen: Bitte die Nummer der in Dokument COM(2022) 305 genannten Verordnung über die nachhaltige Verwendung von Pflanzenschutzmitteln und zur Änderung der Verordnung (EU) 2021/2115 in den Text einfügen und die Nummer, das Datum, den Titel und die Amtsblattfundstelle jener Richtlinie in die Fußnote einfügen.</w:t>
      </w:r>
    </w:p>
  </w:footnote>
  <w:footnote w:id="38">
    <w:p w:rsidR="00B24DC6" w:rsidRPr="001C2358" w:rsidRDefault="00B24DC6" w:rsidP="001C2358">
      <w:pPr>
        <w:pStyle w:val="FootnoteTextForceStyle"/>
        <w:rPr>
          <w:lang w:val="de-DE"/>
        </w:rPr>
      </w:pPr>
      <w:r>
        <w:rPr>
          <w:vertAlign w:val="superscript"/>
        </w:rPr>
        <w:footnoteRef/>
      </w:r>
      <w:r w:rsidRPr="001C2358">
        <w:rPr>
          <w:lang w:val="de-DE"/>
        </w:rPr>
        <w:tab/>
        <w:t>Verordnung (EU) 2022/2379 über Statistiken zu landwirtschaftlichen Betriebsmitteln und zur landwirtschaftlichen Erzeugung.</w:t>
      </w:r>
    </w:p>
  </w:footnote>
  <w:footnote w:id="39">
    <w:p w:rsidR="00B24DC6" w:rsidRPr="001C2358" w:rsidRDefault="00B24DC6" w:rsidP="001C2358">
      <w:pPr>
        <w:pStyle w:val="FootnoteTextForceStyle"/>
        <w:rPr>
          <w:lang w:val="de-DE"/>
        </w:rPr>
      </w:pPr>
      <w:r>
        <w:rPr>
          <w:vertAlign w:val="superscript"/>
        </w:rPr>
        <w:footnoteRef/>
      </w:r>
      <w:r w:rsidRPr="001C2358">
        <w:rPr>
          <w:lang w:val="de-DE"/>
        </w:rPr>
        <w:tab/>
        <w:t>Richtlinie 2010/75/EU des Europäischen Parlaments und des Rates vom 24. November 2010 über Industrieemissionen (ABl. L 334 vom 17.12.2010, S. 17).</w:t>
      </w:r>
    </w:p>
  </w:footnote>
  <w:footnote w:id="40">
    <w:p w:rsidR="00B24DC6" w:rsidRPr="001C2358" w:rsidRDefault="00B24DC6" w:rsidP="001C2358">
      <w:pPr>
        <w:pStyle w:val="FootnoteTextForceStyle"/>
        <w:rPr>
          <w:lang w:val="de-DE"/>
        </w:rPr>
      </w:pPr>
      <w:r>
        <w:rPr>
          <w:vertAlign w:val="superscript"/>
        </w:rPr>
        <w:footnoteRef/>
      </w:r>
      <w:r w:rsidRPr="001C2358">
        <w:rPr>
          <w:lang w:val="de-DE"/>
        </w:rPr>
        <w:tab/>
        <w:t>+ Amt für Veröffentlichungen: Bitte die Nummer der in Dokument COM(2023) 160 genannten Verordnung zur Schaffung eines Rahmens zur Gewährleistung einer sicheren und nachhaltigen Versorgung mit kritischen Rohstoffen und zur Änderung der Verordnungen (EU) 168/2013, (EU) 2018/858, (EU) 2018/1724 und (EU) 2019/1020 in den Text einfügen und die Nummer, das Datum, den Titel und die Amtsblattfundstelle jener Richtlinie in die Fußnote einfügen.</w:t>
      </w:r>
    </w:p>
  </w:footnote>
  <w:footnote w:id="41">
    <w:p w:rsidR="00B24DC6" w:rsidRPr="001C2358" w:rsidRDefault="00B24DC6" w:rsidP="001C2358">
      <w:pPr>
        <w:pStyle w:val="FootnoteTextForceStyle"/>
        <w:rPr>
          <w:lang w:val="de-DE"/>
        </w:rPr>
      </w:pPr>
      <w:r>
        <w:rPr>
          <w:vertAlign w:val="superscript"/>
        </w:rPr>
        <w:footnoteRef/>
      </w:r>
      <w:r w:rsidRPr="001C2358">
        <w:rPr>
          <w:lang w:val="de-DE"/>
        </w:rPr>
        <w:tab/>
        <w:t>Übereinkommen über den Zugang zu Informationen, die Öffentlichkeitsbeteiligung an Entscheidungsverfahren und den Zugang zu Gerichten in Umweltangelegenheiten – Erklärungen (ABl. L 124 vom 17.5.2005).</w:t>
      </w:r>
    </w:p>
  </w:footnote>
  <w:footnote w:id="42">
    <w:p w:rsidR="00B24DC6" w:rsidRPr="001C2358" w:rsidRDefault="00B24DC6" w:rsidP="001C2358">
      <w:pPr>
        <w:pStyle w:val="FootnoteTextForceStyle"/>
        <w:rPr>
          <w:lang w:val="de-DE"/>
        </w:rPr>
      </w:pPr>
      <w:r>
        <w:rPr>
          <w:vertAlign w:val="superscript"/>
        </w:rPr>
        <w:footnoteRef/>
      </w:r>
      <w:r w:rsidRPr="001C2358">
        <w:rPr>
          <w:lang w:val="de-DE"/>
        </w:rPr>
        <w:tab/>
        <w:t>Richtlinie (EU) 2019/1024 des Europäischen Parlaments und des Rates vom 20. Juni 2019 über offene Daten und die Weiterverwendung von Informationen des öffentlichen Sektors (ABl. L 172 vom 26.6.2019, S. 56).</w:t>
      </w:r>
    </w:p>
  </w:footnote>
  <w:footnote w:id="43">
    <w:p w:rsidR="00B24DC6" w:rsidRPr="001C2358" w:rsidRDefault="00B24DC6" w:rsidP="001C2358">
      <w:pPr>
        <w:pStyle w:val="FootnoteTextForceStyle"/>
        <w:rPr>
          <w:lang w:val="de-DE"/>
        </w:rPr>
      </w:pPr>
      <w:r>
        <w:rPr>
          <w:vertAlign w:val="superscript"/>
        </w:rPr>
        <w:footnoteRef/>
      </w:r>
      <w:r w:rsidRPr="001C2358">
        <w:rPr>
          <w:lang w:val="de-DE"/>
        </w:rPr>
        <w:tab/>
        <w:t>Richtlinie 2003/4/EG des Europäischen Parlaments und des Rates vom 28. Januar 2003 über den Zugang der Öffentlichkeit zu Umweltinformationen und zur Aufhebung der Richtlinie 90/313/EWG des Rates (ABl. L 41 vom 14.2.2003, S. 26).</w:t>
      </w:r>
    </w:p>
  </w:footnote>
  <w:footnote w:id="44">
    <w:p w:rsidR="00B24DC6" w:rsidRPr="001C2358" w:rsidRDefault="00B24DC6" w:rsidP="001C2358">
      <w:pPr>
        <w:pStyle w:val="FootnoteTextForceStyle"/>
        <w:rPr>
          <w:lang w:val="de-DE"/>
        </w:rPr>
      </w:pPr>
      <w:r>
        <w:rPr>
          <w:vertAlign w:val="superscript"/>
        </w:rPr>
        <w:footnoteRef/>
      </w:r>
      <w:r w:rsidRPr="001C2358">
        <w:rPr>
          <w:lang w:val="de-DE"/>
        </w:rPr>
        <w:tab/>
        <w:t>Richtlinie 2007/2/EG des Europäischen Parlaments und des Rates vom 14. März 2007 zur Schaffung einer Geodateninfrastruktur in der Europäischen Gemeinschaft (INSPIRE) (ABl. L 108 vom 25.4.2007, S. 1).</w:t>
      </w:r>
    </w:p>
  </w:footnote>
  <w:footnote w:id="45">
    <w:p w:rsidR="00B24DC6" w:rsidRPr="001C2358" w:rsidRDefault="00B24DC6" w:rsidP="001C2358">
      <w:pPr>
        <w:pStyle w:val="FootnoteTextForceStyle"/>
        <w:rPr>
          <w:lang w:val="de-DE"/>
        </w:rPr>
      </w:pPr>
      <w:r>
        <w:rPr>
          <w:vertAlign w:val="superscript"/>
        </w:rPr>
        <w:footnoteRef/>
      </w:r>
      <w:r w:rsidRPr="001C2358">
        <w:rPr>
          <w:lang w:val="de-DE"/>
        </w:rPr>
        <w:tab/>
        <w:t>Interinstitutionelle Vereinbarung zwischen dem Europäischen Parlament, dem Rat der Europäischen Union und der Europäischen Kommission vom 13. April 2016 über bessere Rechtsetzung (ABl. L 123 vom 12.5.2016, S. 1).</w:t>
      </w:r>
    </w:p>
  </w:footnote>
  <w:footnote w:id="46">
    <w:p w:rsidR="00B24DC6" w:rsidRPr="001C2358" w:rsidRDefault="00B24DC6" w:rsidP="001C2358">
      <w:pPr>
        <w:pStyle w:val="FootnoteTextForceStyle"/>
        <w:rPr>
          <w:lang w:val="de-DE"/>
        </w:rPr>
      </w:pPr>
      <w:r>
        <w:rPr>
          <w:vertAlign w:val="superscript"/>
        </w:rPr>
        <w:footnoteRef/>
      </w:r>
      <w:r w:rsidRPr="001C2358">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47">
    <w:p w:rsidR="00B24DC6" w:rsidRPr="001C2358" w:rsidRDefault="00B24DC6" w:rsidP="001C2358">
      <w:pPr>
        <w:pStyle w:val="FootnoteTextForceStyle"/>
        <w:rPr>
          <w:lang w:val="de-DE"/>
        </w:rPr>
      </w:pPr>
      <w:r>
        <w:rPr>
          <w:vertAlign w:val="superscript"/>
        </w:rPr>
        <w:footnoteRef/>
      </w:r>
      <w:r w:rsidRPr="001C2358">
        <w:rPr>
          <w:lang w:val="de-DE"/>
        </w:rPr>
        <w:tab/>
        <w:t>ABl. C 369 vom 17.12.2011, S. 14.</w:t>
      </w:r>
    </w:p>
  </w:footnote>
  <w:footnote w:id="48">
    <w:p w:rsidR="00B24DC6" w:rsidRPr="001C2358" w:rsidRDefault="00B24DC6" w:rsidP="001C2358">
      <w:pPr>
        <w:pStyle w:val="FootnoteTextForceStyle"/>
        <w:rPr>
          <w:lang w:val="de-DE"/>
        </w:rPr>
      </w:pPr>
      <w:r>
        <w:rPr>
          <w:vertAlign w:val="superscript"/>
        </w:rPr>
        <w:footnoteRef/>
      </w:r>
      <w:r w:rsidRPr="001C2358">
        <w:rPr>
          <w:lang w:val="de-DE"/>
        </w:rPr>
        <w:tab/>
        <w:t>https://www.fao.org/soils-portal/data-hub/soil-classification/world-reference-base/en/</w:t>
      </w:r>
    </w:p>
  </w:footnote>
  <w:footnote w:id="49">
    <w:p w:rsidR="00B24DC6" w:rsidRPr="001C2358" w:rsidRDefault="00B24DC6" w:rsidP="001C2358">
      <w:pPr>
        <w:pStyle w:val="FootnoteTextForceStyle"/>
        <w:rPr>
          <w:lang w:val="de-DE"/>
        </w:rPr>
      </w:pPr>
      <w:r>
        <w:rPr>
          <w:vertAlign w:val="superscript"/>
        </w:rPr>
        <w:footnoteRef/>
      </w:r>
      <w:r w:rsidRPr="001C2358">
        <w:rPr>
          <w:lang w:val="de-DE"/>
        </w:rPr>
        <w:tab/>
        <w:t>M. J. Metzger, A. D. Shkaruba, R. H. G. Jongman und R. G. H. Bunce, Descriptions of the European Environmental Zones and Strata, Alterra Report 2281, ISSN 1566-7197.</w:t>
      </w:r>
    </w:p>
  </w:footnote>
  <w:footnote w:id="50">
    <w:p w:rsidR="00B24DC6" w:rsidRPr="001C2358" w:rsidRDefault="00B24DC6" w:rsidP="001C2358">
      <w:pPr>
        <w:pStyle w:val="FootnoteTextForceStyle"/>
        <w:rPr>
          <w:lang w:val="de-DE"/>
        </w:rPr>
      </w:pPr>
      <w:r>
        <w:rPr>
          <w:vertAlign w:val="superscript"/>
        </w:rPr>
        <w:footnoteRef/>
      </w:r>
      <w:r w:rsidRPr="001C2358">
        <w:rPr>
          <w:lang w:val="de-DE"/>
        </w:rPr>
        <w:tab/>
      </w:r>
      <w:r w:rsidRPr="001C2358">
        <w:rPr>
          <w:b/>
          <w:i/>
          <w:lang w:val="de-DE"/>
        </w:rPr>
        <w:t>Verordnung (EG) Nr. 223/2009 des Europäischen Parlaments und des Rates vom 11. März 2009 über europäische Statistiken und zur Aufhebung der Verordnung (EG, Euratom)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Euratom des Rates zur Einsetzung eines Ausschusses für das Statistische Programm der Europäischen Gemeinschaften, ABl. L 87 vom 31.3.2009, S. 164.</w:t>
      </w:r>
    </w:p>
  </w:footnote>
  <w:footnote w:id="51">
    <w:p w:rsidR="00B24DC6" w:rsidRPr="001C2358" w:rsidRDefault="00B24DC6" w:rsidP="001C2358">
      <w:pPr>
        <w:pStyle w:val="FootnoteTextForceStyle"/>
        <w:rPr>
          <w:lang w:val="de-DE"/>
        </w:rPr>
      </w:pPr>
      <w:r>
        <w:rPr>
          <w:vertAlign w:val="superscript"/>
        </w:rPr>
        <w:footnoteRef/>
      </w:r>
      <w:r w:rsidRPr="001C2358">
        <w:rPr>
          <w:lang w:val="de-DE"/>
        </w:rPr>
        <w:tab/>
        <w:t>Richtlinie 2012/18/EU des Europäischen Parlaments und des Rates vom 4. Juli 2012 zur Beherrschung der Gefahren schwerer Unfälle mit gefährlichen Stoffen, zur Änderung und anschließenden Aufhebung der Richtlinie 96/82/EG des Rates (ABl. L 197 vom 24.7.2012, S. 1).</w:t>
      </w:r>
    </w:p>
  </w:footnote>
  <w:footnote w:id="52">
    <w:p w:rsidR="00B24DC6" w:rsidRPr="001C2358" w:rsidRDefault="00B24DC6" w:rsidP="001C2358">
      <w:pPr>
        <w:pStyle w:val="FootnoteTextForceStyle"/>
        <w:rPr>
          <w:lang w:val="de-DE"/>
        </w:rPr>
      </w:pPr>
      <w:r w:rsidRPr="008360A3">
        <w:rPr>
          <w:strike/>
          <w:vertAlign w:val="superscript"/>
        </w:rPr>
        <w:footnoteRef/>
      </w:r>
      <w:r w:rsidRPr="001C2358">
        <w:rPr>
          <w:lang w:val="de-DE"/>
        </w:rPr>
        <w:tab/>
      </w:r>
      <w:r w:rsidRPr="001C2358">
        <w:rPr>
          <w:strike/>
          <w:lang w:val="de-DE"/>
        </w:rPr>
        <w:t>Richtlinie 2004/35/EG des Europäischen Parlaments und des Rates vom 21. April 2004 über Umwelthaftung zur Vermeidung und Sanierung von Umweltschäden (ABl. L 143 vom 30.4.2004, S. 56).</w:t>
      </w:r>
    </w:p>
  </w:footnote>
  <w:footnote w:id="53">
    <w:p w:rsidR="00B24DC6" w:rsidRPr="001C2358" w:rsidRDefault="00B24DC6" w:rsidP="001C2358">
      <w:pPr>
        <w:pStyle w:val="FootnoteTextForceStyle"/>
        <w:rPr>
          <w:lang w:val="de-DE"/>
        </w:rPr>
      </w:pPr>
      <w:r>
        <w:rPr>
          <w:vertAlign w:val="superscript"/>
        </w:rPr>
        <w:footnoteRef/>
      </w:r>
      <w:r w:rsidRPr="001C2358">
        <w:rPr>
          <w:lang w:val="de-DE"/>
        </w:rPr>
        <w:tab/>
        <w:t>Richtlinie 2003/4/EG des Europäischen Parlaments und des Rates vom 28. Januar 2003 über den Zugang der Öffentlichkeit zu Umweltinformationen und zur Aufhebung der Richtlinie 90/313/EWG des Rates (ABl. L 41 vom 14.2.2003, S. 26).</w:t>
      </w:r>
    </w:p>
  </w:footnote>
  <w:footnote w:id="54">
    <w:p w:rsidR="00B24DC6" w:rsidRPr="001C2358" w:rsidRDefault="00B24DC6" w:rsidP="001C2358">
      <w:pPr>
        <w:pStyle w:val="FootnoteTextForceStyle"/>
        <w:rPr>
          <w:lang w:val="de-DE"/>
        </w:rPr>
      </w:pPr>
      <w:r>
        <w:rPr>
          <w:vertAlign w:val="superscript"/>
        </w:rPr>
        <w:footnoteRef/>
      </w:r>
      <w:r w:rsidRPr="001C2358">
        <w:rPr>
          <w:lang w:val="de-DE"/>
        </w:rPr>
        <w:tab/>
        <w:t>Richtlinie 2007/2/EG des Europäischen Parlaments und des Rates vom 14. März 2007 zur Schaffung einer Geodateninfrastruktur in der Europäischen Gemeinschaft (INSPIRE) (ABl. L 108 vom 25.4.2007, S. 1).</w:t>
      </w:r>
    </w:p>
  </w:footnote>
  <w:footnote w:id="55">
    <w:p w:rsidR="00B24DC6" w:rsidRPr="001C2358" w:rsidRDefault="00B24DC6" w:rsidP="001C2358">
      <w:pPr>
        <w:pStyle w:val="FootnoteTextForceStyle"/>
        <w:rPr>
          <w:lang w:val="de-DE"/>
        </w:rPr>
      </w:pPr>
      <w:r>
        <w:rPr>
          <w:vertAlign w:val="superscript"/>
        </w:rPr>
        <w:footnoteRef/>
      </w:r>
      <w:r w:rsidRPr="001C2358">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56">
    <w:p w:rsidR="00B24DC6" w:rsidRPr="001C2358" w:rsidRDefault="00B24DC6" w:rsidP="001C2358">
      <w:pPr>
        <w:pStyle w:val="FootnoteTextForceStyle"/>
        <w:rPr>
          <w:lang w:val="de-DE"/>
        </w:rPr>
      </w:pPr>
      <w:r>
        <w:rPr>
          <w:vertAlign w:val="superscript"/>
        </w:rPr>
        <w:footnoteRef/>
      </w:r>
      <w:r w:rsidRPr="001C2358">
        <w:rPr>
          <w:lang w:val="de-DE"/>
        </w:rPr>
        <w:tab/>
      </w:r>
      <w:r w:rsidRPr="009571FC">
        <w:rPr>
          <w:lang w:val="de-DE"/>
        </w:rPr>
        <w:t>Verordnung (EG) Nr. 1367/2006 des Europäischen Parlaments und des Rates vom 6. September 2006 über die Anwendung der Bestimmungen des Übereinkommens von Århus über den Zugang zu Informationen, die Öffentlichkeitsbeteiligung an Entscheidungsverfahren und den Zugang zu Gerichten in Umweltangelegenheiten auf Organe und Einrichtungen der Gemeinschaft (ABl. L 264 vom 25.9.2006, S. 13).</w:t>
      </w:r>
    </w:p>
  </w:footnote>
  <w:footnote w:id="57">
    <w:p w:rsidR="00B24DC6" w:rsidRPr="001C2358" w:rsidRDefault="00B24DC6" w:rsidP="001C2358">
      <w:pPr>
        <w:pStyle w:val="FootnoteTextForceStyle"/>
        <w:rPr>
          <w:lang w:val="de-DE"/>
        </w:rPr>
      </w:pPr>
      <w:r>
        <w:rPr>
          <w:vertAlign w:val="superscript"/>
        </w:rPr>
        <w:footnoteRef/>
      </w:r>
      <w:r w:rsidRPr="001C2358">
        <w:rPr>
          <w:lang w:val="de-DE"/>
        </w:rPr>
        <w:tab/>
        <w:t>Richtlinie (EU) 2019/1024 des Europäischen Parlaments und des Rates vom 20. Juni 2019 über offene Daten und die Weiterverwendung von Informationen des öffentlichen Sektors (ABl. L 172 vom 26.6.2019, S. 56).</w:t>
      </w:r>
    </w:p>
  </w:footnote>
  <w:footnote w:id="58">
    <w:p w:rsidR="00B24DC6" w:rsidRPr="009571FC" w:rsidRDefault="00B24DC6" w:rsidP="009571FC">
      <w:pPr>
        <w:pStyle w:val="FootnoteText"/>
        <w:keepLines w:val="0"/>
        <w:widowControl w:val="0"/>
        <w:rPr>
          <w:strike/>
          <w:lang w:val="de-DE"/>
        </w:rPr>
      </w:pPr>
      <w:r w:rsidRPr="009571FC">
        <w:rPr>
          <w:rStyle w:val="FootnoteReference"/>
          <w:strike/>
          <w:lang w:val="de-DE"/>
        </w:rPr>
        <w:t>+</w:t>
      </w:r>
      <w:r w:rsidRPr="009571FC">
        <w:rPr>
          <w:strike/>
          <w:lang w:val="de-DE"/>
        </w:rPr>
        <w:tab/>
        <w:t xml:space="preserve">Amt für Veröffentlichungen: Bitte die Nummer der in Dokument COM(2022) 304 genannten Verordnung über die Wiederherstellung der Natur in den Text einfügen. </w:t>
      </w:r>
    </w:p>
  </w:footnote>
  <w:footnote w:id="59">
    <w:p w:rsidR="00B24DC6" w:rsidRPr="009571FC" w:rsidRDefault="00B24DC6" w:rsidP="009571FC">
      <w:pPr>
        <w:pStyle w:val="FootnoteText"/>
        <w:keepLines w:val="0"/>
        <w:widowControl w:val="0"/>
        <w:rPr>
          <w:lang w:val="de-DE"/>
        </w:rPr>
      </w:pPr>
      <w:r>
        <w:rPr>
          <w:rStyle w:val="FootnoteReference"/>
        </w:rPr>
        <w:footnoteRef/>
      </w:r>
      <w:r w:rsidRPr="009571FC">
        <w:rPr>
          <w:lang w:val="de-DE"/>
        </w:rPr>
        <w:tab/>
        <w:t>Im Sinne der FAO Guidelines for Soil Description, Kapitel 5 (</w:t>
      </w:r>
      <w:hyperlink r:id="rId1" w:history="1">
        <w:r w:rsidRPr="009571FC">
          <w:rPr>
            <w:rStyle w:val="Hyperlink"/>
            <w:lang w:val="de-DE"/>
          </w:rPr>
          <w:t>https://www.fao.org/3/a0541e/a0541e.pdf</w:t>
        </w:r>
      </w:hyperlink>
      <w:r w:rsidRPr="009571FC">
        <w:rPr>
          <w:lang w:val="de-DE"/>
        </w:rPr>
        <w:t>).</w:t>
      </w:r>
    </w:p>
  </w:footnote>
  <w:footnote w:id="60">
    <w:p w:rsidR="00B24DC6" w:rsidRPr="009571FC" w:rsidRDefault="00B24DC6" w:rsidP="009571FC">
      <w:pPr>
        <w:pStyle w:val="FootnoteText"/>
        <w:keepLines w:val="0"/>
        <w:widowControl w:val="0"/>
        <w:rPr>
          <w:lang w:val="de-DE"/>
        </w:rPr>
      </w:pPr>
      <w:r>
        <w:rPr>
          <w:rStyle w:val="FootnoteReference"/>
        </w:rPr>
        <w:footnoteRef/>
      </w:r>
      <w:r w:rsidRPr="009571FC">
        <w:rPr>
          <w:lang w:val="de-DE"/>
        </w:rPr>
        <w:tab/>
        <w:t xml:space="preserve">Im Sinne von Arshad, M. A., B. Lowery, und B. Grossman. </w:t>
      </w:r>
      <w:r w:rsidRPr="009571FC">
        <w:rPr>
          <w:lang w:val="en-GB"/>
        </w:rPr>
        <w:t xml:space="preserve">1996. Physical tests for monitoring soil quality. </w:t>
      </w:r>
      <w:r w:rsidRPr="009571FC">
        <w:rPr>
          <w:lang w:val="de-DE"/>
        </w:rPr>
        <w:t xml:space="preserve">S. 123-142. </w:t>
      </w:r>
      <w:bookmarkStart w:id="8" w:name="_Hlk144812773"/>
      <w:r w:rsidRPr="009571FC">
        <w:rPr>
          <w:lang w:val="de-DE"/>
        </w:rPr>
        <w:t xml:space="preserve">In: J. W. Doran und A. J. Jones </w:t>
      </w:r>
      <w:bookmarkEnd w:id="8"/>
      <w:r w:rsidRPr="009571FC">
        <w:rPr>
          <w:lang w:val="de-DE"/>
        </w:rPr>
        <w:t xml:space="preserve">(Hg.) </w:t>
      </w:r>
      <w:r w:rsidRPr="009571FC">
        <w:rPr>
          <w:lang w:val="en-GB"/>
        </w:rPr>
        <w:t xml:space="preserve">Methods for assessing soil quality. Soil Sci. Soc. Am. Spec. </w:t>
      </w:r>
      <w:r w:rsidRPr="009571FC">
        <w:rPr>
          <w:lang w:val="de-DE"/>
        </w:rPr>
        <w:t>Publ. 49. SSSA, Madison, WI.</w:t>
      </w:r>
    </w:p>
  </w:footnote>
  <w:footnote w:id="61">
    <w:p w:rsidR="00B24DC6" w:rsidRPr="009571FC" w:rsidRDefault="00B24DC6" w:rsidP="009571FC">
      <w:pPr>
        <w:pStyle w:val="FootnoteText"/>
        <w:rPr>
          <w:lang w:val="de-DE"/>
        </w:rPr>
      </w:pPr>
      <w:r>
        <w:rPr>
          <w:rStyle w:val="FootnoteReference"/>
        </w:rPr>
        <w:footnoteRef/>
      </w:r>
      <w:r w:rsidRPr="009571FC">
        <w:rPr>
          <w:lang w:val="de-DE"/>
        </w:rPr>
        <w:tab/>
        <w:t>Richtlinie 92/43/EWG des Rates vom 21. Mai 1992 zur Erhaltung der natürlichen Lebensräume sowie der wild lebenden Tiere und Pflanzen (ABl. L 206 vom 22.7.1992, S. 7).</w:t>
      </w:r>
    </w:p>
  </w:footnote>
  <w:footnote w:id="62">
    <w:p w:rsidR="00B24DC6" w:rsidRPr="009571FC" w:rsidRDefault="00B24DC6" w:rsidP="009571FC">
      <w:pPr>
        <w:pStyle w:val="FootnoteText"/>
        <w:ind w:left="851" w:hanging="851"/>
        <w:rPr>
          <w:b/>
          <w:i/>
          <w:strike/>
          <w:lang w:val="de-DE"/>
        </w:rPr>
      </w:pPr>
      <w:r w:rsidRPr="009571FC">
        <w:rPr>
          <w:rStyle w:val="FootnoteReference"/>
          <w:b/>
          <w:i/>
          <w:strike/>
        </w:rPr>
        <w:footnoteRef/>
      </w:r>
      <w:r w:rsidRPr="009571FC">
        <w:rPr>
          <w:b/>
          <w:i/>
          <w:strike/>
          <w:lang w:val="de-DE"/>
        </w:rPr>
        <w:t xml:space="preserve"> </w:t>
      </w:r>
      <w:r w:rsidRPr="009571FC">
        <w:rPr>
          <w:b/>
          <w:i/>
          <w:strike/>
          <w:lang w:val="de-DE"/>
        </w:rPr>
        <w:tab/>
        <w:t>Im Sinne der FAO Guidelines for Soil Description, Kapitel 5 (</w:t>
      </w:r>
      <w:hyperlink r:id="rId2" w:history="1">
        <w:r w:rsidRPr="009571FC">
          <w:rPr>
            <w:rStyle w:val="Hyperlink"/>
            <w:b/>
            <w:i/>
            <w:strike/>
            <w:color w:val="auto"/>
            <w:lang w:val="de-DE"/>
          </w:rPr>
          <w:t>https://www.fao.org/3/a0541e/a0541e.pdf</w:t>
        </w:r>
      </w:hyperlink>
      <w:r w:rsidRPr="009571FC">
        <w:rPr>
          <w:b/>
          <w:i/>
          <w:strike/>
          <w:lang w:val="de-DE"/>
        </w:rPr>
        <w:t>).</w:t>
      </w:r>
    </w:p>
  </w:footnote>
  <w:footnote w:id="63">
    <w:p w:rsidR="00B24DC6" w:rsidRPr="009571FC" w:rsidRDefault="00B24DC6" w:rsidP="009571FC">
      <w:pPr>
        <w:pStyle w:val="FootnoteText"/>
        <w:rPr>
          <w:rFonts w:ascii="Calibri" w:hAnsi="Calibri" w:cs="Arial"/>
          <w:lang w:val="en-GB"/>
        </w:rPr>
      </w:pPr>
      <w:r>
        <w:rPr>
          <w:rStyle w:val="FootnoteReference"/>
        </w:rPr>
        <w:footnoteRef/>
      </w:r>
      <w:r w:rsidRPr="007042BA">
        <w:rPr>
          <w:lang w:val="en-GB"/>
        </w:rPr>
        <w:tab/>
        <w:t>Bethel, J. 1989. Sample Allocation in Multivariate Surveys. Survey Methodology 15: 47-57.</w:t>
      </w:r>
    </w:p>
  </w:footnote>
  <w:footnote w:id="64">
    <w:p w:rsidR="00B24DC6" w:rsidRPr="005E6A84" w:rsidRDefault="00B24DC6" w:rsidP="005E6A84">
      <w:pPr>
        <w:pStyle w:val="FootnoteText"/>
        <w:rPr>
          <w:strike/>
          <w:lang w:val="de-DE"/>
        </w:rPr>
      </w:pPr>
      <w:r w:rsidRPr="005E6A84">
        <w:rPr>
          <w:rStyle w:val="FootnoteReference"/>
          <w:strike/>
        </w:rPr>
        <w:footnoteRef/>
      </w:r>
      <w:r w:rsidRPr="005E6A84">
        <w:rPr>
          <w:strike/>
          <w:lang w:val="de-DE"/>
        </w:rPr>
        <w:tab/>
        <w:t>Die von der Referenzmethode abweichenden Methoden müssen entweder in der wissenschaftlichen Literatur oder öffentlich zugänglich sein.</w:t>
      </w:r>
    </w:p>
  </w:footnote>
  <w:footnote w:id="65">
    <w:p w:rsidR="00B24DC6" w:rsidRPr="005E6A84" w:rsidRDefault="00B24DC6" w:rsidP="005E6A84">
      <w:pPr>
        <w:pStyle w:val="FootnoteText"/>
        <w:rPr>
          <w:strike/>
          <w:lang w:val="de-DE"/>
        </w:rPr>
      </w:pPr>
      <w:r w:rsidRPr="005E6A84">
        <w:rPr>
          <w:rStyle w:val="FootnoteReference"/>
          <w:strike/>
        </w:rPr>
        <w:footnoteRef/>
      </w:r>
      <w:r w:rsidRPr="005E6A84">
        <w:rPr>
          <w:strike/>
          <w:lang w:val="de-DE"/>
        </w:rPr>
        <w:tab/>
      </w:r>
      <w:hyperlink r:id="rId3" w:history="1">
        <w:r w:rsidRPr="005E6A84">
          <w:rPr>
            <w:rStyle w:val="Hyperlink"/>
            <w:strike/>
            <w:lang w:val="de-DE"/>
          </w:rPr>
          <w:t>https://www.fao.org/3/cb3355en/cb3355en.pdf</w:t>
        </w:r>
      </w:hyperlink>
      <w:r w:rsidRPr="005E6A84">
        <w:rPr>
          <w:strike/>
          <w:lang w:val="de-DE"/>
        </w:rPr>
        <w:t xml:space="preserve"> </w:t>
      </w:r>
    </w:p>
  </w:footnote>
  <w:footnote w:id="66">
    <w:p w:rsidR="00B24DC6" w:rsidRPr="005E6A84" w:rsidRDefault="00B24DC6" w:rsidP="005E6A84">
      <w:pPr>
        <w:pStyle w:val="FootnoteText"/>
        <w:rPr>
          <w:rFonts w:ascii="Calibri" w:hAnsi="Calibri" w:cs="Arial"/>
          <w:strike/>
          <w:lang w:val="de-DE"/>
        </w:rPr>
      </w:pPr>
      <w:r w:rsidRPr="005E6A84">
        <w:rPr>
          <w:rStyle w:val="FootnoteReference"/>
          <w:strike/>
        </w:rPr>
        <w:footnoteRef/>
      </w:r>
      <w:r w:rsidRPr="005E6A84">
        <w:rPr>
          <w:strike/>
          <w:lang w:val="de-DE"/>
        </w:rPr>
        <w:tab/>
        <w:t>Im Sinne der FAO Guidelines for Soil Description, Kapitel 5 (</w:t>
      </w:r>
      <w:hyperlink r:id="rId4" w:history="1">
        <w:r w:rsidRPr="005E6A84">
          <w:rPr>
            <w:rStyle w:val="Hyperlink"/>
            <w:strike/>
            <w:lang w:val="de-DE"/>
          </w:rPr>
          <w:t>https://www.fao.org/3/a0541e/a0541e.pdf</w:t>
        </w:r>
      </w:hyperlink>
      <w:r w:rsidRPr="005E6A84">
        <w:rPr>
          <w:strike/>
          <w:lang w:val="de-DE"/>
        </w:rPr>
        <w:t xml:space="preserve">). </w:t>
      </w:r>
    </w:p>
  </w:footnote>
  <w:footnote w:id="67">
    <w:p w:rsidR="00B24DC6" w:rsidRPr="005E6A84" w:rsidRDefault="00B24DC6" w:rsidP="005E6A84">
      <w:pPr>
        <w:pStyle w:val="FootnoteText"/>
        <w:rPr>
          <w:strike/>
          <w:lang w:val="de-DE"/>
        </w:rPr>
      </w:pPr>
      <w:r w:rsidRPr="005E6A84">
        <w:rPr>
          <w:rStyle w:val="FootnoteReference"/>
          <w:strike/>
        </w:rPr>
        <w:footnoteRef/>
      </w:r>
      <w:r w:rsidRPr="005E6A84">
        <w:rPr>
          <w:strike/>
          <w:lang w:val="de-DE"/>
        </w:rPr>
        <w:tab/>
        <w:t xml:space="preserve">Gleichwertig im Sinne des EUA-Berichts mit dem Titel </w:t>
      </w:r>
      <w:hyperlink r:id="rId5" w:history="1">
        <w:r w:rsidRPr="005E6A84">
          <w:rPr>
            <w:rStyle w:val="Hyperlink"/>
            <w:strike/>
            <w:lang w:val="de-DE"/>
          </w:rPr>
          <w:t>Soil monitoring in Europe – Indicators and thresholds for soil health assessments — European Environment Agency (europa.eu)</w:t>
        </w:r>
      </w:hyperlink>
      <w:r w:rsidRPr="005E6A84">
        <w:rPr>
          <w:rStyle w:val="Hyperlink"/>
          <w:strike/>
          <w:lang w:val="de-DE"/>
        </w:rPr>
        <w:t>.</w:t>
      </w:r>
    </w:p>
  </w:footnote>
  <w:footnote w:id="68">
    <w:p w:rsidR="00B24DC6" w:rsidRPr="005E6A84" w:rsidRDefault="00B24DC6" w:rsidP="005E6A84">
      <w:pPr>
        <w:pStyle w:val="FootnoteText"/>
        <w:rPr>
          <w:strike/>
        </w:rPr>
      </w:pPr>
      <w:r w:rsidRPr="005E6A84">
        <w:rPr>
          <w:rStyle w:val="FootnoteReference"/>
          <w:strike/>
        </w:rPr>
        <w:footnoteRef/>
      </w:r>
      <w:r w:rsidRPr="005E6A84">
        <w:rPr>
          <w:strike/>
        </w:rPr>
        <w:tab/>
      </w:r>
    </w:p>
  </w:footnote>
  <w:footnote w:id="69">
    <w:p w:rsidR="00B24DC6" w:rsidRPr="005E6A84" w:rsidRDefault="00B24DC6" w:rsidP="005E6A84">
      <w:pPr>
        <w:pStyle w:val="FootnoteText"/>
        <w:rPr>
          <w:strike/>
          <w:lang w:val="de-DE"/>
        </w:rPr>
      </w:pPr>
      <w:r w:rsidRPr="005E6A84">
        <w:rPr>
          <w:rStyle w:val="FootnoteReference"/>
          <w:strike/>
        </w:rPr>
        <w:footnoteRef/>
      </w:r>
      <w:r w:rsidRPr="005E6A84">
        <w:rPr>
          <w:strike/>
          <w:lang w:val="de-DE"/>
        </w:rPr>
        <w:tab/>
        <w:t>Im Sinne der FAO Guidelines for Soil Description, Kapitel 5 (</w:t>
      </w:r>
      <w:hyperlink r:id="rId6" w:history="1">
        <w:r w:rsidRPr="005E6A84">
          <w:rPr>
            <w:rStyle w:val="Hyperlink"/>
            <w:strike/>
            <w:lang w:val="de-DE"/>
          </w:rPr>
          <w:t>https://www.fao.org/3/a0541e/a0541e.pdf</w:t>
        </w:r>
      </w:hyperlink>
      <w:r w:rsidRPr="005E6A84">
        <w:rPr>
          <w:strike/>
          <w:lang w:val="de-DE"/>
        </w:rPr>
        <w:t>).</w:t>
      </w:r>
    </w:p>
  </w:footnote>
  <w:footnote w:id="70">
    <w:p w:rsidR="00B24DC6" w:rsidRPr="005E6A84" w:rsidRDefault="00B24DC6" w:rsidP="005E6A84">
      <w:pPr>
        <w:pStyle w:val="FootnoteText"/>
        <w:rPr>
          <w:strike/>
          <w:lang w:val="de-DE"/>
        </w:rPr>
      </w:pPr>
      <w:r w:rsidRPr="005E6A84">
        <w:rPr>
          <w:rStyle w:val="FootnoteReference"/>
          <w:strike/>
        </w:rPr>
        <w:footnoteRef/>
      </w:r>
      <w:r w:rsidRPr="005E6A84">
        <w:rPr>
          <w:strike/>
          <w:lang w:val="de-DE"/>
        </w:rPr>
        <w:tab/>
        <w:t xml:space="preserve">Sequenzierung von DNA-Barcodes zur Messung der taxonomischen und funktionalen Vielfalt von Archae, Bakterien, Pilzen und anderen Eukaryoten wie im Rahmen des LUCAS-Moduls zur biologischen Vielfalt des Bodens auf der Grundlage von </w:t>
      </w:r>
      <w:hyperlink r:id="rId7" w:history="1">
        <w:r w:rsidRPr="005E6A84">
          <w:rPr>
            <w:rStyle w:val="Hyperlink"/>
            <w:strike/>
            <w:lang w:val="de-DE"/>
          </w:rPr>
          <w:t>https://doi.org/10.1111/ejss.13299</w:t>
        </w:r>
      </w:hyperlink>
      <w:r w:rsidRPr="005E6A84">
        <w:rPr>
          <w:strike/>
          <w:lang w:val="de-DE"/>
        </w:rPr>
        <w:t xml:space="preserve">. </w:t>
      </w:r>
    </w:p>
  </w:footnote>
  <w:footnote w:id="71">
    <w:p w:rsidR="00B24DC6" w:rsidRPr="005E6A84" w:rsidRDefault="00B24DC6" w:rsidP="005E6A84">
      <w:pPr>
        <w:pStyle w:val="FootnoteText"/>
        <w:rPr>
          <w:lang w:val="de-DE"/>
        </w:rPr>
      </w:pPr>
      <w:r w:rsidRPr="005E6A84">
        <w:rPr>
          <w:rStyle w:val="FootnoteReference"/>
          <w:strike/>
        </w:rPr>
        <w:footnoteRef/>
      </w:r>
      <w:r w:rsidRPr="005E6A84">
        <w:rPr>
          <w:strike/>
          <w:lang w:val="de-DE"/>
        </w:rPr>
        <w:tab/>
      </w:r>
      <w:hyperlink r:id="rId8" w:history="1">
        <w:r w:rsidRPr="005E6A84">
          <w:rPr>
            <w:rStyle w:val="Hyperlink"/>
            <w:strike/>
            <w:lang w:val="de-DE"/>
          </w:rPr>
          <w:t>https://www.sciencedirect.com/science/article/abs/pii/S0038071797001259</w:t>
        </w:r>
      </w:hyperlink>
      <w:r w:rsidRPr="005E6A84">
        <w:rPr>
          <w:strike/>
          <w:color w:val="000000"/>
          <w:sz w:val="16"/>
          <w:lang w:val="de-DE"/>
        </w:rPr>
        <w:t xml:space="preserve"> </w:t>
      </w:r>
    </w:p>
  </w:footnote>
  <w:footnote w:id="72">
    <w:p w:rsidR="00B24DC6" w:rsidRPr="005E6A84" w:rsidRDefault="00B24DC6" w:rsidP="005E6A84">
      <w:pPr>
        <w:pStyle w:val="FootnoteText"/>
        <w:ind w:left="851" w:hanging="851"/>
        <w:rPr>
          <w:lang w:val="de-DE"/>
        </w:rPr>
      </w:pPr>
      <w:r>
        <w:rPr>
          <w:rStyle w:val="FootnoteReference"/>
        </w:rPr>
        <w:footnoteRef/>
      </w:r>
      <w:r w:rsidRPr="005E6A84">
        <w:rPr>
          <w:lang w:val="de-DE"/>
        </w:rPr>
        <w:t xml:space="preserve"> </w:t>
      </w:r>
      <w:r>
        <w:rPr>
          <w:lang w:val="de-DE"/>
        </w:rPr>
        <w:tab/>
      </w:r>
      <w:hyperlink r:id="rId9" w:history="1">
        <w:r w:rsidRPr="005E6A84">
          <w:rPr>
            <w:rStyle w:val="Hyperlink"/>
            <w:b/>
            <w:i/>
            <w:color w:val="auto"/>
            <w:lang w:val="de-DE"/>
          </w:rPr>
          <w:t>https://www.fao.org/3/cb3355en/cb3355en.pdf</w:t>
        </w:r>
      </w:hyperlink>
      <w:r w:rsidRPr="005E6A84">
        <w:rPr>
          <w:rStyle w:val="Hyperlink"/>
          <w:b/>
          <w:i/>
          <w:color w:val="auto"/>
          <w:lang w:val="de-DE"/>
        </w:rPr>
        <w:t>.</w:t>
      </w:r>
    </w:p>
  </w:footnote>
  <w:footnote w:id="73">
    <w:p w:rsidR="00B24DC6" w:rsidRPr="005E6A84" w:rsidRDefault="00B24DC6" w:rsidP="005E6A84">
      <w:pPr>
        <w:pStyle w:val="FootnoteText"/>
        <w:ind w:left="851" w:hanging="851"/>
        <w:rPr>
          <w:lang w:val="de-DE"/>
        </w:rPr>
      </w:pPr>
      <w:r>
        <w:rPr>
          <w:rStyle w:val="FootnoteReference"/>
        </w:rPr>
        <w:footnoteRef/>
      </w:r>
      <w:r w:rsidRPr="005E6A84">
        <w:rPr>
          <w:lang w:val="de-DE"/>
        </w:rPr>
        <w:t xml:space="preserve"> </w:t>
      </w:r>
      <w:r>
        <w:rPr>
          <w:lang w:val="de-DE"/>
        </w:rPr>
        <w:tab/>
      </w:r>
      <w:r w:rsidRPr="005E6A84">
        <w:rPr>
          <w:rStyle w:val="Hyperlink"/>
          <w:b/>
          <w:i/>
          <w:color w:val="auto"/>
          <w:lang w:val="de-DE"/>
        </w:rPr>
        <w:t xml:space="preserve">Gleichwertig im Sinne des EUA-Berichts mit dem Titel </w:t>
      </w:r>
      <w:hyperlink r:id="rId10" w:history="1">
        <w:r w:rsidRPr="005E6A84">
          <w:rPr>
            <w:rStyle w:val="Hyperlink"/>
            <w:b/>
            <w:i/>
            <w:color w:val="auto"/>
            <w:lang w:val="de-DE"/>
          </w:rPr>
          <w:t>Soil monitoring in Europe – Indicators and thresholds for soil health assessments — European Environment Agency (europa.eu)</w:t>
        </w:r>
      </w:hyperlink>
      <w:r w:rsidRPr="005E6A84">
        <w:rPr>
          <w:lang w:val="de-DE"/>
        </w:rPr>
        <w:t>.</w:t>
      </w:r>
    </w:p>
  </w:footnote>
  <w:footnote w:id="74">
    <w:p w:rsidR="00B24DC6" w:rsidRPr="005E6A84" w:rsidRDefault="00B24DC6" w:rsidP="005E6A84">
      <w:pPr>
        <w:pStyle w:val="FootnoteText"/>
        <w:ind w:left="851" w:hanging="851"/>
        <w:rPr>
          <w:lang w:val="de-DE"/>
        </w:rPr>
      </w:pPr>
      <w:r>
        <w:rPr>
          <w:rStyle w:val="FootnoteReference"/>
        </w:rPr>
        <w:footnoteRef/>
      </w:r>
      <w:r w:rsidRPr="005E6A84">
        <w:rPr>
          <w:lang w:val="de-DE"/>
        </w:rPr>
        <w:t xml:space="preserve"> </w:t>
      </w:r>
      <w:r>
        <w:rPr>
          <w:lang w:val="de-DE"/>
        </w:rPr>
        <w:tab/>
      </w:r>
      <w:hyperlink r:id="rId11" w:history="1">
        <w:r w:rsidRPr="005E6A84">
          <w:rPr>
            <w:rStyle w:val="Hyperlink"/>
            <w:b/>
            <w:i/>
            <w:color w:val="auto"/>
            <w:lang w:val="de-DE"/>
          </w:rPr>
          <w:t>https://www.sciencedirect.com/science/article/abs/pii/S0038071797001259</w:t>
        </w:r>
      </w:hyperlink>
      <w:r>
        <w:rPr>
          <w:rStyle w:val="Hyperlink"/>
          <w:b/>
          <w:i/>
          <w:color w:val="auto"/>
          <w:lang w:val="de-DE"/>
        </w:rPr>
        <w:t>.</w:t>
      </w:r>
    </w:p>
  </w:footnote>
  <w:footnote w:id="75">
    <w:p w:rsidR="00B24DC6" w:rsidRPr="001C2358" w:rsidRDefault="00B24DC6" w:rsidP="001C2358">
      <w:pPr>
        <w:pStyle w:val="FootnoteTextForceStyle"/>
        <w:rPr>
          <w:lang w:val="de-DE"/>
        </w:rPr>
      </w:pPr>
      <w:r w:rsidRPr="001C2358">
        <w:rPr>
          <w:vertAlign w:val="superscript"/>
          <w:lang w:val="de-DE"/>
        </w:rPr>
        <w:t>1</w:t>
      </w:r>
      <w:r w:rsidRPr="001C2358">
        <w:rPr>
          <w:lang w:val="de-DE"/>
        </w:rPr>
        <w:tab/>
      </w:r>
      <w:r w:rsidRPr="001C2358">
        <w:rPr>
          <w:strike/>
          <w:lang w:val="de-DE"/>
        </w:rPr>
        <w:t>Verordnung (EU) 2020/741 des Europäischen Parlaments und des Rates vom 25. Mai 2020 über Mindestanforderungen an die Wasserwiederverwendung (ABl. L 177 vom 5.6.2020, S. 32).</w:t>
      </w:r>
    </w:p>
  </w:footnote>
  <w:footnote w:id="76">
    <w:p w:rsidR="00B24DC6" w:rsidRPr="001C2358" w:rsidRDefault="00B24DC6" w:rsidP="001C2358">
      <w:pPr>
        <w:pStyle w:val="FootnoteTextForceStyle"/>
        <w:rPr>
          <w:lang w:val="de-DE"/>
        </w:rPr>
      </w:pPr>
      <w:r w:rsidRPr="001C2358">
        <w:rPr>
          <w:vertAlign w:val="superscript"/>
          <w:lang w:val="de-DE"/>
        </w:rPr>
        <w:t>2</w:t>
      </w:r>
      <w:r w:rsidRPr="001C2358">
        <w:rPr>
          <w:lang w:val="de-DE"/>
        </w:rPr>
        <w:tab/>
      </w:r>
      <w:r w:rsidRPr="001C2358">
        <w:rPr>
          <w:strike/>
          <w:lang w:val="de-DE"/>
        </w:rPr>
        <w:t>Dieser Grundsatz gilt nicht für Waldböden.</w:t>
      </w:r>
    </w:p>
  </w:footnote>
  <w:footnote w:id="77">
    <w:p w:rsidR="00B24DC6" w:rsidRPr="001C2358" w:rsidRDefault="00B24DC6" w:rsidP="001C2358">
      <w:pPr>
        <w:pStyle w:val="FootnoteTextForceStyle"/>
        <w:rPr>
          <w:lang w:val="de-DE"/>
        </w:rPr>
      </w:pPr>
      <w:r w:rsidRPr="001C2358">
        <w:rPr>
          <w:vertAlign w:val="superscript"/>
          <w:lang w:val="de-DE"/>
        </w:rPr>
        <w:t>3</w:t>
      </w:r>
      <w:r w:rsidRPr="001C2358">
        <w:rPr>
          <w:lang w:val="de-DE"/>
        </w:rPr>
        <w:tab/>
      </w:r>
      <w:r w:rsidRPr="001C2358">
        <w:rPr>
          <w:strike/>
          <w:lang w:val="de-DE"/>
        </w:rPr>
        <w:t>Dieser Grundsatz gilt nicht für städtische Böden.</w:t>
      </w:r>
    </w:p>
  </w:footnote>
  <w:footnote w:id="78">
    <w:p w:rsidR="00B24DC6" w:rsidRPr="001C2358" w:rsidRDefault="00B24DC6" w:rsidP="001C2358">
      <w:pPr>
        <w:pStyle w:val="FootnoteTextForceStyle"/>
        <w:rPr>
          <w:lang w:val="de-DE"/>
        </w:rPr>
      </w:pPr>
      <w:r w:rsidRPr="001C2358">
        <w:rPr>
          <w:vertAlign w:val="superscript"/>
          <w:lang w:val="de-DE"/>
        </w:rPr>
        <w:t>1</w:t>
      </w:r>
      <w:r w:rsidRPr="001C2358">
        <w:rPr>
          <w:lang w:val="de-DE"/>
        </w:rPr>
        <w:tab/>
        <w:t>+ Amt für Veröffentlichungen: Bitte die Nummer der in Dokument COM(2022) 304 genannten Verordnung über die Wiederherstellung der Natur in den Text einfügen.</w:t>
      </w:r>
    </w:p>
  </w:footnote>
  <w:footnote w:id="79">
    <w:p w:rsidR="00B24DC6" w:rsidRPr="001C2358" w:rsidRDefault="00B24DC6" w:rsidP="001C2358">
      <w:pPr>
        <w:pStyle w:val="FootnoteTextForceStyle"/>
        <w:rPr>
          <w:lang w:val="de-DE"/>
        </w:rPr>
      </w:pPr>
      <w:r w:rsidRPr="001C2358">
        <w:rPr>
          <w:vertAlign w:val="superscript"/>
          <w:lang w:val="de-DE"/>
        </w:rPr>
        <w:t>2</w:t>
      </w:r>
      <w:r w:rsidRPr="001C2358">
        <w:rPr>
          <w:lang w:val="de-DE"/>
        </w:rPr>
        <w:tab/>
      </w:r>
      <w:r w:rsidRPr="001C2358">
        <w:rPr>
          <w:strike/>
          <w:lang w:val="de-DE"/>
        </w:rPr>
        <w:t>+ Amt für Veröffentlichungen: Bitte die Nummer der in Dokument COM(2022) 305 genannten Verordnung des Europäischen Parlaments und des Rates über die nachhaltige Verwendung von Pflanzenschutzmitteln und zur Änderung der Verordnung (EU) 2021/2115 in den Text einfügen.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DE"/>
    <w:docVar w:name="dvnumam" w:val="350"/>
    <w:docVar w:name="dvpe" w:val="754.698"/>
    <w:docVar w:name="dvrapporteur" w:val="Berichterstatter: "/>
    <w:docVar w:name="dvstar" w:val="***I"/>
    <w:docVar w:name="dvtitre" w:val="Legislative Entschließung des Europäischen Parlaments vom 10. April 2024 zu dem Vorschlag für eine Richtlinie des Europäischen Parlaments und des Rates zur Bodenüberwachung und -resilienz (Bodenüberwachungsgesetz)(COM(2023)0416 – C9-0234/2023 – 2023/0232(COD))"/>
  </w:docVars>
  <w:rsids>
    <w:rsidRoot w:val="004D0AA4"/>
    <w:rsid w:val="00002272"/>
    <w:rsid w:val="00037CF2"/>
    <w:rsid w:val="00064002"/>
    <w:rsid w:val="000677B9"/>
    <w:rsid w:val="000831BA"/>
    <w:rsid w:val="000A42CC"/>
    <w:rsid w:val="000E7DD9"/>
    <w:rsid w:val="0010095E"/>
    <w:rsid w:val="00125B37"/>
    <w:rsid w:val="00151EE5"/>
    <w:rsid w:val="00187494"/>
    <w:rsid w:val="001C2358"/>
    <w:rsid w:val="001C48ED"/>
    <w:rsid w:val="001C5F4E"/>
    <w:rsid w:val="001C6C3C"/>
    <w:rsid w:val="001F32AE"/>
    <w:rsid w:val="00235408"/>
    <w:rsid w:val="002767FF"/>
    <w:rsid w:val="002825CF"/>
    <w:rsid w:val="002B18FE"/>
    <w:rsid w:val="002B5493"/>
    <w:rsid w:val="00343214"/>
    <w:rsid w:val="00361C00"/>
    <w:rsid w:val="00395FA1"/>
    <w:rsid w:val="003E15D4"/>
    <w:rsid w:val="00411CCE"/>
    <w:rsid w:val="0041666E"/>
    <w:rsid w:val="00421060"/>
    <w:rsid w:val="00471C19"/>
    <w:rsid w:val="00474AF1"/>
    <w:rsid w:val="004867E3"/>
    <w:rsid w:val="00494A28"/>
    <w:rsid w:val="004C0004"/>
    <w:rsid w:val="004C5D52"/>
    <w:rsid w:val="004D0AA4"/>
    <w:rsid w:val="0050519A"/>
    <w:rsid w:val="005072A1"/>
    <w:rsid w:val="00514517"/>
    <w:rsid w:val="00545827"/>
    <w:rsid w:val="00560270"/>
    <w:rsid w:val="005A3E80"/>
    <w:rsid w:val="005C2568"/>
    <w:rsid w:val="005E6A84"/>
    <w:rsid w:val="006037C0"/>
    <w:rsid w:val="006631B6"/>
    <w:rsid w:val="00680577"/>
    <w:rsid w:val="006D4F3A"/>
    <w:rsid w:val="006F74FA"/>
    <w:rsid w:val="00731ADD"/>
    <w:rsid w:val="00734777"/>
    <w:rsid w:val="00747932"/>
    <w:rsid w:val="00751A4A"/>
    <w:rsid w:val="00756632"/>
    <w:rsid w:val="00762C74"/>
    <w:rsid w:val="0077605D"/>
    <w:rsid w:val="00786EC0"/>
    <w:rsid w:val="007D1690"/>
    <w:rsid w:val="007E22AD"/>
    <w:rsid w:val="00817416"/>
    <w:rsid w:val="008360A3"/>
    <w:rsid w:val="00842779"/>
    <w:rsid w:val="00865F67"/>
    <w:rsid w:val="00881A7B"/>
    <w:rsid w:val="008840E5"/>
    <w:rsid w:val="00887B3E"/>
    <w:rsid w:val="008C2AC6"/>
    <w:rsid w:val="008D037E"/>
    <w:rsid w:val="00930C23"/>
    <w:rsid w:val="0093193B"/>
    <w:rsid w:val="009509D8"/>
    <w:rsid w:val="00950B64"/>
    <w:rsid w:val="009571FC"/>
    <w:rsid w:val="00966B50"/>
    <w:rsid w:val="00981893"/>
    <w:rsid w:val="009D67FB"/>
    <w:rsid w:val="009E6BE8"/>
    <w:rsid w:val="00A1687D"/>
    <w:rsid w:val="00A43E52"/>
    <w:rsid w:val="00A4678D"/>
    <w:rsid w:val="00A778C7"/>
    <w:rsid w:val="00AB441E"/>
    <w:rsid w:val="00AB6293"/>
    <w:rsid w:val="00AE0928"/>
    <w:rsid w:val="00AF3B82"/>
    <w:rsid w:val="00B12E95"/>
    <w:rsid w:val="00B22876"/>
    <w:rsid w:val="00B24DC6"/>
    <w:rsid w:val="00B558F0"/>
    <w:rsid w:val="00BD48FE"/>
    <w:rsid w:val="00BD7BD8"/>
    <w:rsid w:val="00BE35CB"/>
    <w:rsid w:val="00BE4918"/>
    <w:rsid w:val="00BE6ADC"/>
    <w:rsid w:val="00C05BFE"/>
    <w:rsid w:val="00C23CD4"/>
    <w:rsid w:val="00C61C0C"/>
    <w:rsid w:val="00C941CB"/>
    <w:rsid w:val="00C953A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913"/>
    <w:rsid w:val="00F919F8"/>
    <w:rsid w:val="00F94626"/>
    <w:rsid w:val="00F9736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43144"/>
  <w15:chartTrackingRefBased/>
  <w15:docId w15:val="{9689C083-B1CB-408D-BE9B-970B425B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825CF"/>
    <w:rPr>
      <w:b/>
      <w:kern w:val="28"/>
      <w:sz w:val="28"/>
      <w:lang w:val="fr-FR" w:eastAsia="fr-FR"/>
    </w:rPr>
  </w:style>
  <w:style w:type="character" w:customStyle="1" w:styleId="Heading2Char">
    <w:name w:val="Heading 2 Char"/>
    <w:basedOn w:val="DefaultParagraphFont"/>
    <w:link w:val="Heading2"/>
    <w:rsid w:val="002825CF"/>
    <w:rPr>
      <w:sz w:val="24"/>
      <w:lang w:val="fr-FR" w:eastAsia="fr-FR"/>
    </w:rPr>
  </w:style>
  <w:style w:type="character" w:customStyle="1" w:styleId="Heading3Char">
    <w:name w:val="Heading 3 Char"/>
    <w:basedOn w:val="DefaultParagraphFont"/>
    <w:link w:val="Heading3"/>
    <w:rsid w:val="002825CF"/>
    <w:rPr>
      <w:rFonts w:ascii="Arial" w:hAnsi="Arial"/>
      <w:sz w:val="24"/>
      <w:lang w:val="fr-FR" w:eastAsia="fr-FR"/>
    </w:rPr>
  </w:style>
  <w:style w:type="character" w:customStyle="1" w:styleId="Heading4Char">
    <w:name w:val="Heading 4 Char"/>
    <w:basedOn w:val="DefaultParagraphFont"/>
    <w:link w:val="Heading4"/>
    <w:rsid w:val="002825CF"/>
    <w:rPr>
      <w:sz w:val="24"/>
      <w:lang w:val="en-US" w:eastAsia="fr-FR"/>
    </w:rPr>
  </w:style>
  <w:style w:type="character" w:customStyle="1" w:styleId="Heading5Char">
    <w:name w:val="Heading 5 Char"/>
    <w:basedOn w:val="DefaultParagraphFont"/>
    <w:link w:val="Heading5"/>
    <w:semiHidden/>
    <w:rsid w:val="002825CF"/>
    <w:rPr>
      <w:sz w:val="24"/>
      <w:lang w:val="en-US" w:eastAsia="fr-FR"/>
    </w:rPr>
  </w:style>
  <w:style w:type="character" w:customStyle="1" w:styleId="Heading6Char">
    <w:name w:val="Heading 6 Char"/>
    <w:basedOn w:val="DefaultParagraphFont"/>
    <w:link w:val="Heading6"/>
    <w:semiHidden/>
    <w:rsid w:val="002825CF"/>
    <w:rPr>
      <w:i/>
      <w:sz w:val="22"/>
      <w:lang w:val="de-DE"/>
    </w:rPr>
  </w:style>
  <w:style w:type="character" w:customStyle="1" w:styleId="Heading7Char">
    <w:name w:val="Heading 7 Char"/>
    <w:basedOn w:val="DefaultParagraphFont"/>
    <w:link w:val="Heading7"/>
    <w:semiHidden/>
    <w:rsid w:val="002825CF"/>
    <w:rPr>
      <w:rFonts w:ascii="Arial" w:hAnsi="Arial"/>
      <w:sz w:val="24"/>
      <w:lang w:val="de-DE"/>
    </w:rPr>
  </w:style>
  <w:style w:type="character" w:customStyle="1" w:styleId="Heading8Char">
    <w:name w:val="Heading 8 Char"/>
    <w:basedOn w:val="DefaultParagraphFont"/>
    <w:link w:val="Heading8"/>
    <w:semiHidden/>
    <w:rsid w:val="002825CF"/>
    <w:rPr>
      <w:rFonts w:ascii="Arial" w:hAnsi="Arial"/>
      <w:i/>
      <w:sz w:val="24"/>
      <w:lang w:val="de-DE"/>
    </w:rPr>
  </w:style>
  <w:style w:type="character" w:customStyle="1" w:styleId="Heading9Char">
    <w:name w:val="Heading 9 Char"/>
    <w:basedOn w:val="DefaultParagraphFont"/>
    <w:link w:val="Heading9"/>
    <w:semiHidden/>
    <w:rsid w:val="002825CF"/>
    <w:rPr>
      <w:rFonts w:ascii="Arial" w:hAnsi="Arial"/>
      <w:b/>
      <w:i/>
      <w:sz w:val="18"/>
      <w:lang w:val="de-DE"/>
    </w:rPr>
  </w:style>
  <w:style w:type="paragraph" w:styleId="TOCHeading">
    <w:name w:val="TOC Heading"/>
    <w:basedOn w:val="Normal"/>
    <w:next w:val="Normal"/>
    <w:uiPriority w:val="39"/>
    <w:unhideWhenUsed/>
    <w:qFormat/>
    <w:rsid w:val="002825CF"/>
    <w:pPr>
      <w:widowControl/>
      <w:spacing w:after="240"/>
    </w:pPr>
    <w:rPr>
      <w:lang w:val="en-GB"/>
    </w:rPr>
  </w:style>
  <w:style w:type="paragraph" w:customStyle="1" w:styleId="EPFooter2">
    <w:name w:val="EPFooter2"/>
    <w:basedOn w:val="Normal"/>
    <w:next w:val="Normal"/>
    <w:rsid w:val="002825C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825CF"/>
    <w:pPr>
      <w:keepNext/>
      <w:spacing w:after="240"/>
      <w:jc w:val="right"/>
    </w:pPr>
    <w:rPr>
      <w:rFonts w:ascii="Arial" w:hAnsi="Arial"/>
      <w:b/>
    </w:rPr>
  </w:style>
  <w:style w:type="paragraph" w:customStyle="1" w:styleId="Normal6a">
    <w:name w:val="Normal6a"/>
    <w:basedOn w:val="Normal"/>
    <w:rsid w:val="002825CF"/>
    <w:pPr>
      <w:spacing w:after="120"/>
    </w:pPr>
  </w:style>
  <w:style w:type="paragraph" w:customStyle="1" w:styleId="PageHeading">
    <w:name w:val="PageHeading"/>
    <w:basedOn w:val="Normal"/>
    <w:rsid w:val="002825CF"/>
    <w:pPr>
      <w:keepNext/>
      <w:spacing w:after="480"/>
      <w:jc w:val="center"/>
    </w:pPr>
    <w:rPr>
      <w:rFonts w:ascii="Arial" w:hAnsi="Arial" w:cs="Arial"/>
      <w:b/>
    </w:rPr>
  </w:style>
  <w:style w:type="paragraph" w:customStyle="1" w:styleId="NormalBold">
    <w:name w:val="NormalBold"/>
    <w:basedOn w:val="Normal"/>
    <w:link w:val="NormalBoldChar"/>
    <w:rsid w:val="002825CF"/>
    <w:rPr>
      <w:b/>
    </w:rPr>
  </w:style>
  <w:style w:type="character" w:customStyle="1" w:styleId="NormalBoldChar">
    <w:name w:val="NormalBold Char"/>
    <w:basedOn w:val="DefaultParagraphFont"/>
    <w:link w:val="NormalBold"/>
    <w:locked/>
    <w:rsid w:val="002825CF"/>
    <w:rPr>
      <w:b/>
      <w:sz w:val="24"/>
      <w:lang w:val="de-DE"/>
    </w:rPr>
  </w:style>
  <w:style w:type="paragraph" w:customStyle="1" w:styleId="NormalBold12a">
    <w:name w:val="NormalBold12a"/>
    <w:basedOn w:val="Normal"/>
    <w:rsid w:val="002825CF"/>
    <w:pPr>
      <w:spacing w:after="240"/>
    </w:pPr>
    <w:rPr>
      <w:b/>
    </w:rPr>
  </w:style>
  <w:style w:type="paragraph" w:customStyle="1" w:styleId="AmJustText">
    <w:name w:val="AmJustText"/>
    <w:basedOn w:val="Normal"/>
    <w:rsid w:val="002825CF"/>
    <w:pPr>
      <w:spacing w:after="240"/>
    </w:pPr>
    <w:rPr>
      <w:i/>
    </w:rPr>
  </w:style>
  <w:style w:type="paragraph" w:customStyle="1" w:styleId="NormalHanging12a">
    <w:name w:val="NormalHanging12a"/>
    <w:basedOn w:val="Normal"/>
    <w:rsid w:val="002825CF"/>
    <w:pPr>
      <w:spacing w:after="240"/>
      <w:ind w:left="567" w:hanging="567"/>
    </w:pPr>
  </w:style>
  <w:style w:type="paragraph" w:customStyle="1" w:styleId="CoverNormal24a">
    <w:name w:val="CoverNormal24a"/>
    <w:basedOn w:val="Normal"/>
    <w:rsid w:val="002825CF"/>
    <w:pPr>
      <w:spacing w:after="480"/>
      <w:ind w:left="1417"/>
    </w:pPr>
  </w:style>
  <w:style w:type="paragraph" w:customStyle="1" w:styleId="CoverNormal">
    <w:name w:val="CoverNormal"/>
    <w:basedOn w:val="Normal"/>
    <w:rsid w:val="002825CF"/>
    <w:pPr>
      <w:ind w:left="1418"/>
    </w:pPr>
  </w:style>
  <w:style w:type="paragraph" w:customStyle="1" w:styleId="AmCrossRef">
    <w:name w:val="AmCrossRef"/>
    <w:basedOn w:val="Normal"/>
    <w:rsid w:val="002825CF"/>
    <w:pPr>
      <w:spacing w:before="240" w:after="240"/>
      <w:jc w:val="center"/>
    </w:pPr>
    <w:rPr>
      <w:i/>
    </w:rPr>
  </w:style>
  <w:style w:type="paragraph" w:customStyle="1" w:styleId="AmJustTitle">
    <w:name w:val="AmJustTitle"/>
    <w:basedOn w:val="Normal"/>
    <w:next w:val="AmJustText"/>
    <w:rsid w:val="002825CF"/>
    <w:pPr>
      <w:keepNext/>
      <w:spacing w:before="240" w:after="240"/>
      <w:jc w:val="center"/>
    </w:pPr>
    <w:rPr>
      <w:i/>
    </w:rPr>
  </w:style>
  <w:style w:type="paragraph" w:customStyle="1" w:styleId="CoverReference">
    <w:name w:val="CoverReference"/>
    <w:basedOn w:val="Normal"/>
    <w:rsid w:val="002825CF"/>
    <w:pPr>
      <w:spacing w:before="1080"/>
      <w:jc w:val="right"/>
    </w:pPr>
    <w:rPr>
      <w:rFonts w:ascii="Arial" w:hAnsi="Arial" w:cs="Arial"/>
      <w:b/>
    </w:rPr>
  </w:style>
  <w:style w:type="paragraph" w:customStyle="1" w:styleId="CoverDocType">
    <w:name w:val="CoverDocType"/>
    <w:basedOn w:val="Normal"/>
    <w:rsid w:val="002825CF"/>
    <w:pPr>
      <w:ind w:left="1418"/>
    </w:pPr>
    <w:rPr>
      <w:rFonts w:ascii="Arial" w:hAnsi="Arial"/>
      <w:b/>
      <w:sz w:val="48"/>
    </w:rPr>
  </w:style>
  <w:style w:type="paragraph" w:customStyle="1" w:styleId="CoverDocType24a">
    <w:name w:val="CoverDocType24a"/>
    <w:basedOn w:val="Normal"/>
    <w:rsid w:val="002825CF"/>
    <w:pPr>
      <w:spacing w:after="480"/>
      <w:ind w:left="1418"/>
    </w:pPr>
    <w:rPr>
      <w:rFonts w:ascii="Arial" w:hAnsi="Arial"/>
      <w:b/>
      <w:sz w:val="48"/>
    </w:rPr>
  </w:style>
  <w:style w:type="paragraph" w:customStyle="1" w:styleId="CoverDate">
    <w:name w:val="CoverDate"/>
    <w:basedOn w:val="Normal"/>
    <w:rsid w:val="002825CF"/>
    <w:pPr>
      <w:spacing w:before="240" w:after="1200"/>
    </w:pPr>
  </w:style>
  <w:style w:type="paragraph" w:styleId="Header">
    <w:name w:val="header"/>
    <w:basedOn w:val="Normal"/>
    <w:link w:val="HeaderChar"/>
    <w:rsid w:val="002825CF"/>
    <w:pPr>
      <w:tabs>
        <w:tab w:val="center" w:pos="4513"/>
        <w:tab w:val="right" w:pos="9026"/>
      </w:tabs>
    </w:pPr>
  </w:style>
  <w:style w:type="character" w:customStyle="1" w:styleId="HeaderChar">
    <w:name w:val="Header Char"/>
    <w:basedOn w:val="DefaultParagraphFont"/>
    <w:link w:val="Header"/>
    <w:rsid w:val="002825CF"/>
    <w:rPr>
      <w:sz w:val="24"/>
      <w:lang w:val="de-DE"/>
    </w:rPr>
  </w:style>
  <w:style w:type="paragraph" w:customStyle="1" w:styleId="AmOrLang">
    <w:name w:val="AmOrLang"/>
    <w:basedOn w:val="Normal"/>
    <w:rsid w:val="002825CF"/>
    <w:pPr>
      <w:spacing w:before="240" w:after="240"/>
      <w:jc w:val="right"/>
    </w:pPr>
  </w:style>
  <w:style w:type="paragraph" w:customStyle="1" w:styleId="AmColumnHeading">
    <w:name w:val="AmColumnHeading"/>
    <w:basedOn w:val="Normal"/>
    <w:rsid w:val="002825CF"/>
    <w:pPr>
      <w:spacing w:after="240"/>
      <w:jc w:val="center"/>
    </w:pPr>
    <w:rPr>
      <w:i/>
    </w:rPr>
  </w:style>
  <w:style w:type="paragraph" w:customStyle="1" w:styleId="AmNumberTabs">
    <w:name w:val="AmNumberTabs"/>
    <w:basedOn w:val="Normal"/>
    <w:link w:val="AmNumberTabsChar"/>
    <w:rsid w:val="002825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825CF"/>
    <w:rPr>
      <w:b/>
      <w:sz w:val="24"/>
      <w:lang w:val="de-DE"/>
    </w:rPr>
  </w:style>
  <w:style w:type="paragraph" w:customStyle="1" w:styleId="NormalBold12b">
    <w:name w:val="NormalBold12b"/>
    <w:basedOn w:val="Normal"/>
    <w:link w:val="NormalBold12bChar"/>
    <w:rsid w:val="002825CF"/>
    <w:pPr>
      <w:spacing w:before="240"/>
    </w:pPr>
    <w:rPr>
      <w:b/>
    </w:rPr>
  </w:style>
  <w:style w:type="paragraph" w:customStyle="1" w:styleId="EPBody">
    <w:name w:val="EPBody"/>
    <w:basedOn w:val="Normal"/>
    <w:rsid w:val="002825CF"/>
    <w:pPr>
      <w:jc w:val="center"/>
    </w:pPr>
    <w:rPr>
      <w:rFonts w:ascii="Arial" w:hAnsi="Arial" w:cs="Arial"/>
      <w:i/>
      <w:sz w:val="22"/>
      <w:szCs w:val="22"/>
    </w:rPr>
  </w:style>
  <w:style w:type="paragraph" w:customStyle="1" w:styleId="EPFooter">
    <w:name w:val="EPFooter"/>
    <w:basedOn w:val="Normal"/>
    <w:rsid w:val="002825CF"/>
    <w:pPr>
      <w:tabs>
        <w:tab w:val="center" w:pos="4535"/>
        <w:tab w:val="right" w:pos="9071"/>
      </w:tabs>
      <w:spacing w:before="240" w:after="240"/>
    </w:pPr>
    <w:rPr>
      <w:color w:val="010000"/>
      <w:sz w:val="22"/>
    </w:rPr>
  </w:style>
  <w:style w:type="paragraph" w:customStyle="1" w:styleId="EPComma">
    <w:name w:val="EPComma"/>
    <w:basedOn w:val="Normal"/>
    <w:rsid w:val="002825CF"/>
    <w:pPr>
      <w:spacing w:before="480" w:after="240"/>
    </w:pPr>
  </w:style>
  <w:style w:type="paragraph" w:customStyle="1" w:styleId="Lgendesigne">
    <w:name w:val="Légende signe"/>
    <w:basedOn w:val="Normal"/>
    <w:rsid w:val="002825CF"/>
    <w:pPr>
      <w:tabs>
        <w:tab w:val="right" w:pos="454"/>
        <w:tab w:val="left" w:pos="737"/>
      </w:tabs>
      <w:ind w:left="737" w:hanging="737"/>
    </w:pPr>
    <w:rPr>
      <w:snapToGrid w:val="0"/>
      <w:sz w:val="18"/>
      <w:lang w:eastAsia="en-US"/>
    </w:rPr>
  </w:style>
  <w:style w:type="paragraph" w:customStyle="1" w:styleId="Lgendetitre">
    <w:name w:val="Légende titre"/>
    <w:basedOn w:val="Normal"/>
    <w:rsid w:val="002825CF"/>
    <w:pPr>
      <w:spacing w:before="240" w:after="240"/>
    </w:pPr>
    <w:rPr>
      <w:b/>
      <w:i/>
      <w:snapToGrid w:val="0"/>
      <w:lang w:eastAsia="en-US"/>
    </w:rPr>
  </w:style>
  <w:style w:type="paragraph" w:customStyle="1" w:styleId="Lgendestandard">
    <w:name w:val="Légende standard"/>
    <w:basedOn w:val="Normal"/>
    <w:rsid w:val="002825CF"/>
    <w:rPr>
      <w:sz w:val="18"/>
    </w:rPr>
  </w:style>
  <w:style w:type="character" w:styleId="Hyperlink">
    <w:name w:val="Hyperlink"/>
    <w:basedOn w:val="DefaultParagraphFont"/>
    <w:uiPriority w:val="99"/>
    <w:unhideWhenUsed/>
    <w:rsid w:val="002825CF"/>
    <w:rPr>
      <w:color w:val="0000FF"/>
      <w:u w:val="single"/>
    </w:rPr>
  </w:style>
  <w:style w:type="character" w:customStyle="1" w:styleId="Normal12Char">
    <w:name w:val="Normal12 Char"/>
    <w:basedOn w:val="DefaultParagraphFont"/>
    <w:link w:val="Normal12"/>
    <w:locked/>
    <w:rsid w:val="002825CF"/>
    <w:rPr>
      <w:noProof/>
      <w:sz w:val="24"/>
    </w:rPr>
  </w:style>
  <w:style w:type="paragraph" w:customStyle="1" w:styleId="Normal12">
    <w:name w:val="Normal12"/>
    <w:basedOn w:val="Normal"/>
    <w:link w:val="Normal12Char"/>
    <w:rsid w:val="002825CF"/>
    <w:pPr>
      <w:spacing w:after="240"/>
    </w:pPr>
    <w:rPr>
      <w:noProof/>
      <w:lang w:val="en-GB"/>
    </w:rPr>
  </w:style>
  <w:style w:type="character" w:customStyle="1" w:styleId="Normal6Char">
    <w:name w:val="Normal6 Char"/>
    <w:basedOn w:val="DefaultParagraphFont"/>
    <w:link w:val="Normal6"/>
    <w:locked/>
    <w:rsid w:val="002825CF"/>
    <w:rPr>
      <w:sz w:val="24"/>
      <w:lang w:val="de-DE"/>
    </w:rPr>
  </w:style>
  <w:style w:type="paragraph" w:customStyle="1" w:styleId="Normal6">
    <w:name w:val="Normal6"/>
    <w:basedOn w:val="Normal"/>
    <w:link w:val="Normal6Char"/>
    <w:rsid w:val="002825CF"/>
    <w:pPr>
      <w:spacing w:after="120"/>
    </w:pPr>
  </w:style>
  <w:style w:type="paragraph" w:customStyle="1" w:styleId="Normal12Italic">
    <w:name w:val="Normal12Italic"/>
    <w:basedOn w:val="Normal12"/>
    <w:rsid w:val="002825CF"/>
    <w:rPr>
      <w:i/>
    </w:rPr>
  </w:style>
  <w:style w:type="paragraph" w:customStyle="1" w:styleId="EntPE">
    <w:name w:val="EntPE"/>
    <w:basedOn w:val="Normal12"/>
    <w:rsid w:val="002825CF"/>
    <w:pPr>
      <w:jc w:val="center"/>
    </w:pPr>
    <w:rPr>
      <w:noProof w:val="0"/>
      <w:sz w:val="56"/>
    </w:rPr>
  </w:style>
  <w:style w:type="paragraph" w:customStyle="1" w:styleId="AMNumberTabs0">
    <w:name w:val="AMNumberTabs"/>
    <w:basedOn w:val="Normal"/>
    <w:rsid w:val="002825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825CF"/>
    <w:pPr>
      <w:spacing w:after="240"/>
      <w:jc w:val="center"/>
    </w:pPr>
    <w:rPr>
      <w:i/>
    </w:rPr>
  </w:style>
  <w:style w:type="paragraph" w:customStyle="1" w:styleId="Olang">
    <w:name w:val="Olang"/>
    <w:basedOn w:val="Normal"/>
    <w:rsid w:val="002825CF"/>
    <w:pPr>
      <w:spacing w:before="240" w:after="240"/>
      <w:jc w:val="right"/>
    </w:pPr>
    <w:rPr>
      <w:noProof/>
      <w:szCs w:val="24"/>
    </w:rPr>
  </w:style>
  <w:style w:type="paragraph" w:customStyle="1" w:styleId="JustificationTitle">
    <w:name w:val="JustificationTitle"/>
    <w:basedOn w:val="Normal"/>
    <w:next w:val="Normal12"/>
    <w:rsid w:val="002825CF"/>
    <w:pPr>
      <w:keepNext/>
      <w:spacing w:before="240" w:after="240"/>
      <w:jc w:val="center"/>
    </w:pPr>
    <w:rPr>
      <w:i/>
      <w:noProof/>
    </w:rPr>
  </w:style>
  <w:style w:type="character" w:customStyle="1" w:styleId="ui-provider">
    <w:name w:val="ui-provider"/>
    <w:basedOn w:val="DefaultParagraphFont"/>
    <w:rsid w:val="002825CF"/>
  </w:style>
  <w:style w:type="table" w:customStyle="1" w:styleId="3">
    <w:name w:val="3"/>
    <w:basedOn w:val="TableNormal"/>
    <w:rsid w:val="002825CF"/>
    <w:pPr>
      <w:spacing w:before="120"/>
      <w:jc w:val="both"/>
    </w:pPr>
    <w:rPr>
      <w:sz w:val="24"/>
      <w:szCs w:val="24"/>
      <w:lang w:val="de-DE" w:eastAsia="en-US"/>
    </w:rPr>
    <w:tblPr>
      <w:tblStyleRowBandSize w:val="1"/>
      <w:tblStyleColBandSize w:val="1"/>
    </w:tblPr>
  </w:style>
  <w:style w:type="paragraph" w:styleId="CommentText">
    <w:name w:val="annotation text"/>
    <w:basedOn w:val="Normal"/>
    <w:link w:val="CommentTextChar"/>
    <w:uiPriority w:val="99"/>
    <w:unhideWhenUsed/>
    <w:rsid w:val="002825CF"/>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2825CF"/>
    <w:rPr>
      <w:lang w:val="de-DE" w:eastAsia="en-US"/>
    </w:rPr>
  </w:style>
  <w:style w:type="table" w:customStyle="1" w:styleId="2">
    <w:name w:val="2"/>
    <w:basedOn w:val="TableNormal"/>
    <w:rsid w:val="002825CF"/>
    <w:pPr>
      <w:spacing w:before="120"/>
      <w:jc w:val="both"/>
    </w:pPr>
    <w:rPr>
      <w:sz w:val="24"/>
      <w:szCs w:val="24"/>
      <w:lang w:val="de-DE" w:eastAsia="en-US"/>
    </w:rPr>
    <w:tblPr>
      <w:tblStyleRowBandSize w:val="1"/>
      <w:tblStyleColBandSize w:val="1"/>
    </w:tblPr>
  </w:style>
  <w:style w:type="table" w:customStyle="1" w:styleId="1">
    <w:name w:val="1"/>
    <w:basedOn w:val="TableNormal"/>
    <w:rsid w:val="002825CF"/>
    <w:pPr>
      <w:spacing w:before="120"/>
      <w:jc w:val="both"/>
    </w:pPr>
    <w:rPr>
      <w:sz w:val="24"/>
      <w:szCs w:val="24"/>
      <w:lang w:val="de-DE" w:eastAsia="en-US"/>
    </w:rPr>
    <w:tblPr>
      <w:tblStyleRowBandSize w:val="1"/>
      <w:tblStyleColBandSize w:val="1"/>
    </w:tblPr>
  </w:style>
  <w:style w:type="character" w:styleId="CommentReference">
    <w:name w:val="annotation reference"/>
    <w:basedOn w:val="DefaultParagraphFont"/>
    <w:rsid w:val="002825CF"/>
    <w:rPr>
      <w:sz w:val="16"/>
      <w:szCs w:val="16"/>
    </w:rPr>
  </w:style>
  <w:style w:type="paragraph" w:styleId="CommentSubject">
    <w:name w:val="annotation subject"/>
    <w:basedOn w:val="CommentText"/>
    <w:next w:val="CommentText"/>
    <w:link w:val="CommentSubjectChar"/>
    <w:unhideWhenUsed/>
    <w:rsid w:val="002825CF"/>
    <w:pPr>
      <w:widowControl w:val="0"/>
      <w:spacing w:before="0" w:after="0"/>
      <w:jc w:val="left"/>
    </w:pPr>
    <w:rPr>
      <w:b/>
      <w:bCs/>
      <w:lang w:eastAsia="en-GB"/>
    </w:rPr>
  </w:style>
  <w:style w:type="character" w:customStyle="1" w:styleId="CommentSubjectChar">
    <w:name w:val="Comment Subject Char"/>
    <w:basedOn w:val="CommentTextChar"/>
    <w:link w:val="CommentSubject"/>
    <w:rsid w:val="002825CF"/>
    <w:rPr>
      <w:b/>
      <w:bCs/>
      <w:lang w:val="de-DE" w:eastAsia="en-US"/>
    </w:rPr>
  </w:style>
  <w:style w:type="paragraph" w:styleId="BalloonText">
    <w:name w:val="Balloon Text"/>
    <w:basedOn w:val="Normal"/>
    <w:link w:val="BalloonTextChar"/>
    <w:unhideWhenUsed/>
    <w:rsid w:val="002825CF"/>
    <w:rPr>
      <w:rFonts w:ascii="Segoe UI" w:hAnsi="Segoe UI" w:cs="Segoe UI"/>
      <w:sz w:val="18"/>
      <w:szCs w:val="18"/>
    </w:rPr>
  </w:style>
  <w:style w:type="character" w:customStyle="1" w:styleId="BalloonTextChar">
    <w:name w:val="Balloon Text Char"/>
    <w:basedOn w:val="DefaultParagraphFont"/>
    <w:link w:val="BalloonText"/>
    <w:rsid w:val="002825CF"/>
    <w:rPr>
      <w:rFonts w:ascii="Segoe UI" w:hAnsi="Segoe UI" w:cs="Segoe UI"/>
      <w:sz w:val="18"/>
      <w:szCs w:val="18"/>
      <w:lang w:val="de-DE"/>
    </w:rPr>
  </w:style>
  <w:style w:type="paragraph" w:styleId="ListParagraph">
    <w:name w:val="List Paragraph"/>
    <w:basedOn w:val="Normal"/>
    <w:uiPriority w:val="34"/>
    <w:qFormat/>
    <w:rsid w:val="002825CF"/>
    <w:pPr>
      <w:ind w:left="720"/>
      <w:contextualSpacing/>
    </w:pPr>
  </w:style>
  <w:style w:type="paragraph" w:styleId="Revision">
    <w:name w:val="Revision"/>
    <w:hidden/>
    <w:uiPriority w:val="99"/>
    <w:semiHidden/>
    <w:rsid w:val="002825CF"/>
    <w:rPr>
      <w:sz w:val="24"/>
      <w:lang w:val="de-DE"/>
    </w:rPr>
  </w:style>
  <w:style w:type="character" w:styleId="FollowedHyperlink">
    <w:name w:val="FollowedHyperlink"/>
    <w:basedOn w:val="DefaultParagraphFont"/>
    <w:rsid w:val="002825CF"/>
    <w:rPr>
      <w:color w:val="954F72" w:themeColor="followedHyperlink"/>
      <w:u w:val="single"/>
    </w:rPr>
  </w:style>
  <w:style w:type="paragraph" w:customStyle="1" w:styleId="Normal12a">
    <w:name w:val="Normal12a"/>
    <w:basedOn w:val="Normal"/>
    <w:rsid w:val="002825CF"/>
    <w:pPr>
      <w:spacing w:after="240"/>
    </w:pPr>
  </w:style>
  <w:style w:type="paragraph" w:customStyle="1" w:styleId="RollCallVotes">
    <w:name w:val="RollCallVotes"/>
    <w:basedOn w:val="Normal"/>
    <w:rsid w:val="002825CF"/>
    <w:pPr>
      <w:spacing w:before="120" w:after="120"/>
      <w:jc w:val="center"/>
    </w:pPr>
    <w:rPr>
      <w:b/>
      <w:bCs/>
      <w:snapToGrid w:val="0"/>
      <w:sz w:val="16"/>
      <w:lang w:eastAsia="en-US"/>
    </w:rPr>
  </w:style>
  <w:style w:type="paragraph" w:customStyle="1" w:styleId="RollCallTabs">
    <w:name w:val="RollCallTabs"/>
    <w:basedOn w:val="Normal"/>
    <w:qFormat/>
    <w:rsid w:val="002825CF"/>
    <w:pPr>
      <w:tabs>
        <w:tab w:val="center" w:pos="284"/>
        <w:tab w:val="left" w:pos="426"/>
      </w:tabs>
    </w:pPr>
    <w:rPr>
      <w:snapToGrid w:val="0"/>
      <w:lang w:eastAsia="en-US"/>
    </w:rPr>
  </w:style>
  <w:style w:type="paragraph" w:customStyle="1" w:styleId="RollCallSymbols14pt">
    <w:name w:val="RollCallSymbols14pt"/>
    <w:basedOn w:val="Normal"/>
    <w:rsid w:val="002825CF"/>
    <w:pPr>
      <w:spacing w:before="120" w:after="120"/>
      <w:jc w:val="center"/>
    </w:pPr>
    <w:rPr>
      <w:rFonts w:ascii="Arial" w:hAnsi="Arial"/>
      <w:b/>
      <w:bCs/>
      <w:snapToGrid w:val="0"/>
      <w:sz w:val="28"/>
      <w:lang w:eastAsia="en-US"/>
    </w:rPr>
  </w:style>
  <w:style w:type="paragraph" w:customStyle="1" w:styleId="RollCallTable">
    <w:name w:val="RollCallTable"/>
    <w:basedOn w:val="Normal"/>
    <w:rsid w:val="002825CF"/>
    <w:pPr>
      <w:spacing w:before="120" w:after="120"/>
    </w:pPr>
    <w:rPr>
      <w:snapToGrid w:val="0"/>
      <w:sz w:val="16"/>
      <w:lang w:eastAsia="en-US"/>
    </w:rPr>
  </w:style>
  <w:style w:type="paragraph" w:customStyle="1" w:styleId="PageHeadingNotTOC">
    <w:name w:val="PageHeadingNotTOC"/>
    <w:basedOn w:val="Normal"/>
    <w:rsid w:val="002825CF"/>
    <w:pPr>
      <w:keepNext/>
      <w:spacing w:after="480"/>
      <w:jc w:val="center"/>
    </w:pPr>
    <w:rPr>
      <w:rFonts w:ascii="Arial" w:hAnsi="Arial" w:cs="Arial"/>
      <w:b/>
    </w:rPr>
  </w:style>
  <w:style w:type="paragraph" w:customStyle="1" w:styleId="AmHeadingPA">
    <w:name w:val="AmHeadingPA"/>
    <w:basedOn w:val="Normal"/>
    <w:next w:val="Normal"/>
    <w:rsid w:val="002825CF"/>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2825CF"/>
    <w:pPr>
      <w:widowControl w:val="0"/>
      <w:ind w:left="107"/>
    </w:pPr>
    <w:rPr>
      <w:rFonts w:eastAsia="Arial Unicode MS" w:cs="Arial Unicode MS"/>
      <w:color w:val="000000"/>
      <w:sz w:val="22"/>
      <w:szCs w:val="22"/>
      <w:u w:color="000000"/>
      <w:lang w:val="de-DE" w:eastAsia="de-DE"/>
    </w:rPr>
  </w:style>
  <w:style w:type="character" w:customStyle="1" w:styleId="Ohne">
    <w:name w:val="Ohne"/>
    <w:rsid w:val="002825CF"/>
  </w:style>
  <w:style w:type="paragraph" w:customStyle="1" w:styleId="CommitteeAM">
    <w:name w:val="CommitteeAM"/>
    <w:basedOn w:val="Normal"/>
    <w:rsid w:val="002825CF"/>
    <w:pPr>
      <w:spacing w:before="240" w:after="600"/>
      <w:jc w:val="center"/>
    </w:pPr>
    <w:rPr>
      <w:i/>
    </w:rPr>
  </w:style>
  <w:style w:type="paragraph" w:customStyle="1" w:styleId="ZDateAM">
    <w:name w:val="ZDateAM"/>
    <w:basedOn w:val="Normal"/>
    <w:rsid w:val="002825CF"/>
    <w:pPr>
      <w:tabs>
        <w:tab w:val="right" w:pos="9356"/>
      </w:tabs>
      <w:spacing w:after="480"/>
    </w:pPr>
    <w:rPr>
      <w:noProof/>
    </w:rPr>
  </w:style>
  <w:style w:type="paragraph" w:customStyle="1" w:styleId="ProjRap">
    <w:name w:val="ProjRap"/>
    <w:basedOn w:val="Normal"/>
    <w:rsid w:val="002825CF"/>
    <w:pPr>
      <w:tabs>
        <w:tab w:val="right" w:pos="9356"/>
      </w:tabs>
    </w:pPr>
    <w:rPr>
      <w:b/>
      <w:noProof/>
    </w:rPr>
  </w:style>
  <w:style w:type="paragraph" w:customStyle="1" w:styleId="PELeft">
    <w:name w:val="PELeft"/>
    <w:basedOn w:val="Normal"/>
    <w:rsid w:val="002825CF"/>
    <w:pPr>
      <w:spacing w:before="40" w:after="40"/>
    </w:pPr>
    <w:rPr>
      <w:rFonts w:ascii="Arial" w:hAnsi="Arial" w:cs="Arial"/>
      <w:sz w:val="22"/>
      <w:szCs w:val="22"/>
    </w:rPr>
  </w:style>
  <w:style w:type="paragraph" w:customStyle="1" w:styleId="PERight">
    <w:name w:val="PERight"/>
    <w:basedOn w:val="Normal"/>
    <w:next w:val="Normal"/>
    <w:rsid w:val="002825CF"/>
    <w:pPr>
      <w:jc w:val="right"/>
    </w:pPr>
    <w:rPr>
      <w:rFonts w:ascii="Arial" w:hAnsi="Arial" w:cs="Arial"/>
      <w:sz w:val="22"/>
      <w:szCs w:val="22"/>
    </w:rPr>
  </w:style>
  <w:style w:type="paragraph" w:customStyle="1" w:styleId="CrossRef">
    <w:name w:val="CrossRef"/>
    <w:basedOn w:val="Normal"/>
    <w:rsid w:val="002825CF"/>
    <w:pPr>
      <w:spacing w:before="240"/>
      <w:jc w:val="center"/>
    </w:pPr>
    <w:rPr>
      <w:i/>
    </w:rPr>
  </w:style>
  <w:style w:type="character" w:customStyle="1" w:styleId="Footer2Middle">
    <w:name w:val="Footer2Middle"/>
    <w:rsid w:val="002825CF"/>
    <w:rPr>
      <w:rFonts w:ascii="Arial" w:cs="Arial"/>
      <w:b w:val="0"/>
      <w:i/>
      <w:color w:val="C0C0C0"/>
      <w:sz w:val="22"/>
    </w:rPr>
  </w:style>
  <w:style w:type="paragraph" w:customStyle="1" w:styleId="Text1">
    <w:name w:val="Text 1"/>
    <w:basedOn w:val="Normal"/>
    <w:rsid w:val="002825CF"/>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2825CF"/>
    <w:pPr>
      <w:spacing w:after="480"/>
    </w:pPr>
  </w:style>
  <w:style w:type="character" w:customStyle="1" w:styleId="Normal24aChar">
    <w:name w:val="Normal24a Char"/>
    <w:basedOn w:val="DefaultParagraphFont"/>
    <w:link w:val="Normal24a"/>
    <w:rsid w:val="002825CF"/>
    <w:rPr>
      <w:sz w:val="24"/>
      <w:lang w:val="de-DE"/>
    </w:rPr>
  </w:style>
  <w:style w:type="paragraph" w:styleId="EndnoteText">
    <w:name w:val="endnote text"/>
    <w:basedOn w:val="Normal"/>
    <w:link w:val="EndnoteTextChar"/>
    <w:rsid w:val="002825CF"/>
    <w:rPr>
      <w:sz w:val="20"/>
    </w:rPr>
  </w:style>
  <w:style w:type="character" w:customStyle="1" w:styleId="EndnoteTextChar">
    <w:name w:val="Endnote Text Char"/>
    <w:basedOn w:val="DefaultParagraphFont"/>
    <w:link w:val="EndnoteText"/>
    <w:rsid w:val="002825CF"/>
    <w:rPr>
      <w:lang w:val="de-DE"/>
    </w:rPr>
  </w:style>
  <w:style w:type="character" w:styleId="EndnoteReference">
    <w:name w:val="endnote reference"/>
    <w:basedOn w:val="DefaultParagraphFont"/>
    <w:rsid w:val="002825CF"/>
    <w:rPr>
      <w:vertAlign w:val="superscript"/>
    </w:rPr>
  </w:style>
  <w:style w:type="paragraph" w:customStyle="1" w:styleId="HideTWBExtn">
    <w:name w:val="HideTWBExtn"/>
    <w:basedOn w:val="NormalBold"/>
    <w:rsid w:val="002825CF"/>
  </w:style>
  <w:style w:type="paragraph" w:customStyle="1" w:styleId="msonormal0">
    <w:name w:val="msonormal"/>
    <w:basedOn w:val="Normal"/>
    <w:rsid w:val="002825CF"/>
    <w:pPr>
      <w:widowControl/>
      <w:spacing w:before="100" w:beforeAutospacing="1" w:after="100" w:afterAutospacing="1"/>
    </w:pPr>
    <w:rPr>
      <w:szCs w:val="24"/>
    </w:rPr>
  </w:style>
  <w:style w:type="paragraph" w:styleId="Footer">
    <w:name w:val="footer"/>
    <w:basedOn w:val="Normal"/>
    <w:link w:val="FooterChar"/>
    <w:unhideWhenUsed/>
    <w:rsid w:val="002825CF"/>
    <w:pPr>
      <w:tabs>
        <w:tab w:val="center" w:pos="4513"/>
        <w:tab w:val="right" w:pos="9026"/>
      </w:tabs>
    </w:pPr>
  </w:style>
  <w:style w:type="character" w:customStyle="1" w:styleId="FooterChar">
    <w:name w:val="Footer Char"/>
    <w:basedOn w:val="DefaultParagraphFont"/>
    <w:link w:val="Footer"/>
    <w:rsid w:val="002825CF"/>
    <w:rPr>
      <w:sz w:val="24"/>
      <w:lang w:val="de-DE"/>
    </w:rPr>
  </w:style>
  <w:style w:type="paragraph" w:customStyle="1" w:styleId="Default">
    <w:name w:val="Default"/>
    <w:rsid w:val="002825CF"/>
    <w:pPr>
      <w:autoSpaceDE w:val="0"/>
      <w:autoSpaceDN w:val="0"/>
      <w:adjustRightInd w:val="0"/>
    </w:pPr>
    <w:rPr>
      <w:color w:val="000000"/>
      <w:sz w:val="24"/>
      <w:szCs w:val="24"/>
      <w:lang w:val="de-DE"/>
    </w:rPr>
  </w:style>
  <w:style w:type="paragraph" w:customStyle="1" w:styleId="NormalBoldCenter">
    <w:name w:val="NormalBoldCenter"/>
    <w:basedOn w:val="Normal"/>
    <w:rsid w:val="002825CF"/>
    <w:pPr>
      <w:jc w:val="center"/>
    </w:pPr>
    <w:rPr>
      <w:b/>
    </w:rPr>
  </w:style>
  <w:style w:type="character" w:customStyle="1" w:styleId="NormalBold12bChar">
    <w:name w:val="NormalBold12b Char"/>
    <w:basedOn w:val="DefaultParagraphFont"/>
    <w:link w:val="NormalBold12b"/>
    <w:rsid w:val="00F9736D"/>
    <w:rPr>
      <w:b/>
      <w:sz w:val="24"/>
      <w:lang w:val="de-DE"/>
    </w:rPr>
  </w:style>
  <w:style w:type="paragraph" w:styleId="NormalWeb">
    <w:name w:val="Normal (Web)"/>
    <w:basedOn w:val="Normal"/>
    <w:uiPriority w:val="99"/>
    <w:unhideWhenUsed/>
    <w:rsid w:val="001C2358"/>
    <w:pPr>
      <w:widowControl/>
      <w:spacing w:before="100" w:beforeAutospacing="1" w:after="100" w:afterAutospacing="1"/>
    </w:pPr>
    <w:rPr>
      <w:szCs w:val="24"/>
      <w:lang w:val="en-GB" w:eastAsia="zh-TW"/>
    </w:rPr>
  </w:style>
  <w:style w:type="numbering" w:customStyle="1" w:styleId="NoList1">
    <w:name w:val="No List1"/>
    <w:next w:val="NoList"/>
    <w:uiPriority w:val="99"/>
    <w:semiHidden/>
    <w:unhideWhenUsed/>
    <w:rsid w:val="001C2358"/>
  </w:style>
  <w:style w:type="paragraph" w:customStyle="1" w:styleId="SignaturePersonne">
    <w:name w:val="Signature Personne"/>
    <w:basedOn w:val="Normal"/>
    <w:rsid w:val="001C2358"/>
    <w:pPr>
      <w:widowControl/>
      <w:tabs>
        <w:tab w:val="left" w:pos="4252"/>
      </w:tabs>
      <w:spacing w:line="360" w:lineRule="auto"/>
    </w:pPr>
    <w:rPr>
      <w:i/>
      <w:szCs w:val="24"/>
      <w:lang w:val="en-GB" w:eastAsia="en-US"/>
    </w:rPr>
  </w:style>
  <w:style w:type="paragraph" w:customStyle="1" w:styleId="Considrant">
    <w:name w:val="Considérant"/>
    <w:basedOn w:val="Normal"/>
    <w:rsid w:val="001C235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C2358"/>
    <w:pPr>
      <w:keepNext/>
      <w:spacing w:before="600" w:after="120" w:line="360" w:lineRule="auto"/>
    </w:pPr>
    <w:rPr>
      <w:szCs w:val="24"/>
      <w:lang w:val="en-GB" w:eastAsia="en-US"/>
    </w:rPr>
  </w:style>
  <w:style w:type="paragraph" w:customStyle="1" w:styleId="Institutionquisigne">
    <w:name w:val="Institution qui signe"/>
    <w:basedOn w:val="Normal"/>
    <w:next w:val="Normal"/>
    <w:rsid w:val="001C2358"/>
    <w:pPr>
      <w:keepNext/>
      <w:tabs>
        <w:tab w:val="left" w:pos="4252"/>
      </w:tabs>
      <w:spacing w:before="720" w:line="360" w:lineRule="auto"/>
    </w:pPr>
    <w:rPr>
      <w:i/>
      <w:szCs w:val="24"/>
      <w:lang w:val="en-GB" w:eastAsia="en-US"/>
    </w:rPr>
  </w:style>
  <w:style w:type="paragraph" w:customStyle="1" w:styleId="Fait">
    <w:name w:val="Fait à"/>
    <w:basedOn w:val="Normal"/>
    <w:rsid w:val="001C2358"/>
    <w:pPr>
      <w:keepNext/>
      <w:widowControl/>
      <w:spacing w:before="120" w:line="360" w:lineRule="auto"/>
    </w:pPr>
    <w:rPr>
      <w:szCs w:val="24"/>
      <w:lang w:val="en-GB" w:eastAsia="en-US"/>
    </w:rPr>
  </w:style>
  <w:style w:type="paragraph" w:customStyle="1" w:styleId="FootnoteTextForceStyle">
    <w:name w:val="Footnote Text ForceStyle"/>
    <w:rsid w:val="001C2358"/>
    <w:pPr>
      <w:keepLines/>
      <w:widowControl w:val="0"/>
      <w:ind w:left="850" w:hanging="850"/>
    </w:pPr>
    <w:rPr>
      <w:sz w:val="24"/>
      <w:lang w:eastAsia="en-US"/>
    </w:rPr>
  </w:style>
  <w:style w:type="character" w:customStyle="1" w:styleId="Footer2">
    <w:name w:val="Footer2"/>
    <w:rsid w:val="001C2358"/>
    <w:rPr>
      <w:rFonts w:ascii="Arial" w:hAnsi="Arial"/>
      <w:b/>
      <w:sz w:val="48"/>
    </w:rPr>
  </w:style>
  <w:style w:type="paragraph" w:customStyle="1" w:styleId="Applicationdirecte">
    <w:name w:val="Application directe"/>
    <w:basedOn w:val="Normal"/>
    <w:next w:val="Normal"/>
    <w:rsid w:val="001C2358"/>
    <w:pPr>
      <w:spacing w:before="120" w:after="120" w:line="360" w:lineRule="auto"/>
    </w:pPr>
    <w:rPr>
      <w:szCs w:val="24"/>
      <w:lang w:val="en-GB" w:eastAsia="en-US"/>
    </w:rPr>
  </w:style>
  <w:style w:type="paragraph" w:customStyle="1" w:styleId="Normale">
    <w:name w:val="Normale"/>
    <w:rsid w:val="001C2358"/>
    <w:pPr>
      <w:widowControl w:val="0"/>
      <w:spacing w:before="120" w:after="120" w:line="360" w:lineRule="auto"/>
    </w:pPr>
    <w:rPr>
      <w:sz w:val="24"/>
      <w:lang w:eastAsia="en-US"/>
    </w:rPr>
  </w:style>
  <w:style w:type="paragraph" w:customStyle="1" w:styleId="Formuledadoption">
    <w:name w:val="Formule d'adoption"/>
    <w:basedOn w:val="Normal"/>
    <w:next w:val="Normal"/>
    <w:rsid w:val="001C235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C2358"/>
    <w:pPr>
      <w:widowControl/>
      <w:spacing w:after="240" w:line="360" w:lineRule="auto"/>
      <w:ind w:left="5102"/>
    </w:pPr>
    <w:rPr>
      <w:szCs w:val="24"/>
      <w:lang w:val="en-GB" w:eastAsia="en-US"/>
    </w:rPr>
  </w:style>
  <w:style w:type="paragraph" w:customStyle="1" w:styleId="Footer1">
    <w:name w:val="Footer1"/>
    <w:basedOn w:val="Normal"/>
    <w:rsid w:val="001C235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C235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C2358"/>
    <w:pPr>
      <w:widowControl/>
      <w:spacing w:before="840" w:line="360" w:lineRule="auto"/>
      <w:jc w:val="center"/>
    </w:pPr>
    <w:rPr>
      <w:szCs w:val="24"/>
      <w:lang w:val="en-GB" w:eastAsia="en-US"/>
    </w:rPr>
  </w:style>
  <w:style w:type="paragraph" w:customStyle="1" w:styleId="Typedudocument">
    <w:name w:val="Type du document"/>
    <w:basedOn w:val="Normal"/>
    <w:next w:val="Normal"/>
    <w:rsid w:val="001C2358"/>
    <w:pPr>
      <w:widowControl/>
      <w:spacing w:before="360" w:line="360" w:lineRule="auto"/>
      <w:jc w:val="center"/>
    </w:pPr>
    <w:rPr>
      <w:b/>
      <w:szCs w:val="24"/>
      <w:lang w:val="en-GB" w:eastAsia="en-US"/>
    </w:rPr>
  </w:style>
  <w:style w:type="paragraph" w:customStyle="1" w:styleId="Titreobjet">
    <w:name w:val="Titre objet"/>
    <w:basedOn w:val="Normal"/>
    <w:next w:val="Normal"/>
    <w:rsid w:val="001C235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C2358"/>
    <w:pPr>
      <w:widowControl/>
      <w:spacing w:before="360" w:after="240" w:line="360" w:lineRule="auto"/>
      <w:jc w:val="center"/>
    </w:pPr>
    <w:rPr>
      <w:szCs w:val="24"/>
      <w:lang w:val="en-GB" w:eastAsia="en-US"/>
    </w:rPr>
  </w:style>
  <w:style w:type="character" w:customStyle="1" w:styleId="CMissingStyle">
    <w:name w:val="C_MissingStyle"/>
    <w:rsid w:val="001C2358"/>
    <w:rPr>
      <w:color w:val="FFFFFF"/>
      <w:sz w:val="22"/>
      <w:shd w:val="clear" w:color="000000" w:fill="000000"/>
    </w:rPr>
  </w:style>
  <w:style w:type="paragraph" w:customStyle="1" w:styleId="PMissingStyle">
    <w:name w:val="P_MissingStyle"/>
    <w:basedOn w:val="Normal"/>
    <w:rsid w:val="001C2358"/>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9571F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71F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571F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E6A84"/>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25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11" Type="http://schemas.openxmlformats.org/officeDocument/2006/relationships/hyperlink" Target="https://www.sciencedirect.com/science/article/abs/pii/S0038071797001259"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eea.europa.eu/publications/soil-monitoring-in-europe" TargetMode="External"/><Relationship Id="rId4" Type="http://schemas.openxmlformats.org/officeDocument/2006/relationships/hyperlink" Target="https://www.fao.org/3/a0541e/a0541e.pdf" TargetMode="External"/><Relationship Id="rId9" Type="http://schemas.openxmlformats.org/officeDocument/2006/relationships/hyperlink" Target="https://www.fao.org/3/cb3355en/cb335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B8A0C-8E08-4F2A-BBF4-C03F30F95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153</Pages>
  <Words>26817</Words>
  <Characters>152862</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Karina Pesa</cp:lastModifiedBy>
  <cp:revision>4</cp:revision>
  <cp:lastPrinted>2004-11-19T15:42:00Z</cp:lastPrinted>
  <dcterms:created xsi:type="dcterms:W3CDTF">2024-10-08T14:43:00Z</dcterms:created>
  <dcterms:modified xsi:type="dcterms:W3CDTF">2024-11-20T10:36:00Z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