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0018" w14:paraId="4AF87912" w14:textId="77777777" w:rsidTr="0010095E">
        <w:trPr>
          <w:trHeight w:hRule="exact" w:val="1418"/>
        </w:trPr>
        <w:tc>
          <w:tcPr>
            <w:tcW w:w="6804" w:type="dxa"/>
            <w:shd w:val="clear" w:color="auto" w:fill="auto"/>
            <w:vAlign w:val="center"/>
          </w:tcPr>
          <w:p w14:paraId="6CDAF682" w14:textId="77777777" w:rsidR="00751A4A" w:rsidRPr="00B50018" w:rsidRDefault="00D002F4" w:rsidP="0010095E">
            <w:pPr>
              <w:pStyle w:val="EPName"/>
            </w:pPr>
            <w:r w:rsidRPr="00B50018">
              <w:t>Parlamento europeo</w:t>
            </w:r>
          </w:p>
          <w:p w14:paraId="272FDB9B" w14:textId="77777777" w:rsidR="00751A4A" w:rsidRPr="00B50018" w:rsidRDefault="00817416" w:rsidP="00756632">
            <w:pPr>
              <w:pStyle w:val="EPTerm"/>
              <w:rPr>
                <w:rStyle w:val="HideTWBExt"/>
                <w:noProof w:val="0"/>
                <w:vanish w:val="0"/>
                <w:color w:val="auto"/>
              </w:rPr>
            </w:pPr>
            <w:r w:rsidRPr="00B50018">
              <w:t>2019-2024</w:t>
            </w:r>
          </w:p>
        </w:tc>
        <w:tc>
          <w:tcPr>
            <w:tcW w:w="2268" w:type="dxa"/>
            <w:shd w:val="clear" w:color="auto" w:fill="auto"/>
          </w:tcPr>
          <w:p w14:paraId="72087EE1" w14:textId="77777777" w:rsidR="00751A4A" w:rsidRPr="00B50018" w:rsidRDefault="00187494" w:rsidP="0010095E">
            <w:pPr>
              <w:pStyle w:val="EPLogo"/>
            </w:pPr>
            <w:r w:rsidRPr="00B50018">
              <w:rPr>
                <w:noProof/>
                <w:lang w:val="en-GB"/>
              </w:rPr>
              <w:drawing>
                <wp:inline distT="0" distB="0" distL="0" distR="0" wp14:anchorId="3B68B4F2" wp14:editId="3AF287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4980C8" w14:textId="77777777" w:rsidR="00D058B8" w:rsidRPr="00B50018" w:rsidRDefault="00D058B8" w:rsidP="004C5D52">
      <w:pPr>
        <w:pStyle w:val="LineTop"/>
      </w:pPr>
    </w:p>
    <w:p w14:paraId="53DE38F2" w14:textId="77777777" w:rsidR="00680577" w:rsidRPr="00B50018" w:rsidRDefault="00D002F4" w:rsidP="00680577">
      <w:pPr>
        <w:pStyle w:val="EPBodyTA1"/>
      </w:pPr>
      <w:r w:rsidRPr="00B50018">
        <w:t>TESTI APPROVATI</w:t>
      </w:r>
    </w:p>
    <w:p w14:paraId="0F3B6FE9" w14:textId="77777777" w:rsidR="00D058B8" w:rsidRPr="00B50018" w:rsidRDefault="00D058B8" w:rsidP="00D058B8">
      <w:pPr>
        <w:pStyle w:val="LineBottom"/>
      </w:pPr>
    </w:p>
    <w:p w14:paraId="764108DF" w14:textId="5823A304" w:rsidR="00D002F4" w:rsidRPr="00B50018" w:rsidRDefault="00D002F4" w:rsidP="00D002F4">
      <w:pPr>
        <w:pStyle w:val="ATHeading1"/>
      </w:pPr>
      <w:bookmarkStart w:id="0" w:name="TANumber"/>
      <w:r w:rsidRPr="00B50018">
        <w:t>P9_</w:t>
      </w:r>
      <w:proofErr w:type="gramStart"/>
      <w:r w:rsidRPr="00B50018">
        <w:t>TA(</w:t>
      </w:r>
      <w:proofErr w:type="gramEnd"/>
      <w:r w:rsidRPr="00B50018">
        <w:t>2024)0</w:t>
      </w:r>
      <w:bookmarkEnd w:id="0"/>
      <w:r w:rsidR="00B44EDA" w:rsidRPr="00B50018">
        <w:t>204</w:t>
      </w:r>
    </w:p>
    <w:p w14:paraId="37FE3AF0" w14:textId="77777777" w:rsidR="00D002F4" w:rsidRPr="00B50018" w:rsidRDefault="00D002F4" w:rsidP="00D002F4">
      <w:pPr>
        <w:pStyle w:val="ATHeading2"/>
      </w:pPr>
      <w:bookmarkStart w:id="1" w:name="title"/>
      <w:r w:rsidRPr="00B50018">
        <w:t>Monitoraggio del suolo e resilienza (direttiva sul monitoraggio del suolo)</w:t>
      </w:r>
      <w:bookmarkEnd w:id="1"/>
    </w:p>
    <w:p w14:paraId="2F27E0A1" w14:textId="77777777" w:rsidR="00D002F4" w:rsidRPr="00B50018" w:rsidRDefault="00D002F4" w:rsidP="00D002F4">
      <w:pPr>
        <w:rPr>
          <w:i/>
          <w:vanish/>
        </w:rPr>
      </w:pPr>
      <w:r w:rsidRPr="00B50018">
        <w:rPr>
          <w:i/>
        </w:rPr>
        <w:fldChar w:fldCharType="begin"/>
      </w:r>
      <w:r w:rsidRPr="00B50018">
        <w:rPr>
          <w:i/>
        </w:rPr>
        <w:instrText xml:space="preserve"> TC"(</w:instrText>
      </w:r>
      <w:bookmarkStart w:id="2" w:name="DocNumber"/>
      <w:r w:rsidRPr="00B50018">
        <w:rPr>
          <w:i/>
        </w:rPr>
        <w:instrText>A9-0138/2024</w:instrText>
      </w:r>
      <w:bookmarkEnd w:id="2"/>
      <w:r w:rsidRPr="00B50018">
        <w:rPr>
          <w:i/>
        </w:rPr>
        <w:instrText xml:space="preserve"> - Relatore: Martin Hojsík)"\l3 \n&gt; \* MERGEFORMAT </w:instrText>
      </w:r>
      <w:r w:rsidRPr="00B50018">
        <w:rPr>
          <w:i/>
        </w:rPr>
        <w:fldChar w:fldCharType="end"/>
      </w:r>
    </w:p>
    <w:p w14:paraId="27E1595B" w14:textId="77777777" w:rsidR="00D002F4" w:rsidRPr="00B50018" w:rsidRDefault="00D002F4" w:rsidP="00D002F4">
      <w:pPr>
        <w:rPr>
          <w:vanish/>
        </w:rPr>
      </w:pPr>
      <w:bookmarkStart w:id="3" w:name="Commission"/>
      <w:r w:rsidRPr="00B50018">
        <w:rPr>
          <w:vanish/>
        </w:rPr>
        <w:t>Commissione per l'ambiente, la sanità pubblica e la sicurezza alimentare</w:t>
      </w:r>
      <w:bookmarkEnd w:id="3"/>
    </w:p>
    <w:p w14:paraId="0B2DBBDF" w14:textId="77777777" w:rsidR="00D002F4" w:rsidRPr="00B50018" w:rsidRDefault="00D002F4" w:rsidP="00D002F4">
      <w:pPr>
        <w:rPr>
          <w:vanish/>
        </w:rPr>
      </w:pPr>
      <w:bookmarkStart w:id="4" w:name="PE"/>
      <w:r w:rsidRPr="00B50018">
        <w:rPr>
          <w:vanish/>
        </w:rPr>
        <w:t>PE754.698</w:t>
      </w:r>
      <w:bookmarkEnd w:id="4"/>
    </w:p>
    <w:p w14:paraId="748D1C3F" w14:textId="77777777" w:rsidR="00D002F4" w:rsidRPr="00B50018" w:rsidRDefault="00D002F4" w:rsidP="00D002F4">
      <w:pPr>
        <w:pStyle w:val="ATHeading3"/>
      </w:pPr>
      <w:bookmarkStart w:id="5" w:name="Sujet"/>
      <w:r w:rsidRPr="00B50018">
        <w:t>Risoluzione legislativa del Parlamento europeo del 10 aprile 2024 sulla proposta di direttiva del Parlamento europeo e del Consiglio sul monitoraggio e la resilienza del suolo (Normativa sul monitoraggio del suolo)</w:t>
      </w:r>
      <w:bookmarkEnd w:id="5"/>
      <w:r w:rsidRPr="00B50018">
        <w:t xml:space="preserve"> </w:t>
      </w:r>
      <w:bookmarkStart w:id="6" w:name="References"/>
      <w:r w:rsidRPr="00B50018">
        <w:t>(</w:t>
      </w:r>
      <w:proofErr w:type="gramStart"/>
      <w:r w:rsidRPr="00B50018">
        <w:t>COM(</w:t>
      </w:r>
      <w:proofErr w:type="gramEnd"/>
      <w:r w:rsidRPr="00B50018">
        <w:t>2023)0416 – C9-0234/2023 – 2023/0232(COD))</w:t>
      </w:r>
      <w:bookmarkEnd w:id="6"/>
    </w:p>
    <w:p w14:paraId="58FBE98D" w14:textId="77777777" w:rsidR="00050E51" w:rsidRPr="00B50018" w:rsidRDefault="00050E51" w:rsidP="00050E51">
      <w:pPr>
        <w:pStyle w:val="NormalBold"/>
      </w:pPr>
      <w:bookmarkStart w:id="7" w:name="TextBodyBegin"/>
      <w:bookmarkEnd w:id="7"/>
      <w:r w:rsidRPr="00B50018">
        <w:t>(Procedura legislativa ordinaria: prima lettura)</w:t>
      </w:r>
    </w:p>
    <w:p w14:paraId="533BBEDB" w14:textId="77777777" w:rsidR="00050E51" w:rsidRPr="00B50018" w:rsidRDefault="00050E51" w:rsidP="00050E51">
      <w:pPr>
        <w:pStyle w:val="EPComma"/>
      </w:pPr>
      <w:r w:rsidRPr="00B50018">
        <w:rPr>
          <w:i/>
        </w:rPr>
        <w:t>Il Parlamento europeo</w:t>
      </w:r>
      <w:r w:rsidRPr="00B50018">
        <w:t>,</w:t>
      </w:r>
      <w:bookmarkStart w:id="8" w:name="_Toc116563654"/>
      <w:bookmarkStart w:id="9" w:name="_Toc116563465"/>
      <w:bookmarkStart w:id="10" w:name="_Toc116299571"/>
      <w:bookmarkStart w:id="11" w:name="_Toc89365610"/>
      <w:bookmarkStart w:id="12" w:name="_Toc89765817"/>
      <w:bookmarkStart w:id="13" w:name="_Toc121477473"/>
      <w:bookmarkStart w:id="14" w:name="_Toc126662017"/>
    </w:p>
    <w:p w14:paraId="3615C255" w14:textId="77777777" w:rsidR="00050E51" w:rsidRPr="00B50018" w:rsidRDefault="00050E51" w:rsidP="00050E51">
      <w:pPr>
        <w:pStyle w:val="NormalHanging12a"/>
      </w:pPr>
      <w:r w:rsidRPr="00B50018">
        <w:t>–</w:t>
      </w:r>
      <w:r w:rsidRPr="00B50018">
        <w:tab/>
        <w:t>vista la proposta della Commissione al Parlamento europeo e al Consiglio (</w:t>
      </w:r>
      <w:proofErr w:type="gramStart"/>
      <w:r w:rsidRPr="00B50018">
        <w:t>COM(</w:t>
      </w:r>
      <w:proofErr w:type="gramEnd"/>
      <w:r w:rsidRPr="00B50018">
        <w:t>2023)0416),</w:t>
      </w:r>
    </w:p>
    <w:p w14:paraId="7BCD0A7F" w14:textId="77777777" w:rsidR="00050E51" w:rsidRPr="00B50018" w:rsidRDefault="00050E51" w:rsidP="00050E51">
      <w:pPr>
        <w:pStyle w:val="NormalHanging12a"/>
      </w:pPr>
      <w:r w:rsidRPr="00B50018">
        <w:t>–</w:t>
      </w:r>
      <w:r w:rsidRPr="00B50018">
        <w:tab/>
        <w:t>visti l'articolo 294, paragrafo 2, e l'articolo 192, paragrafo 1, del trattato sul funzionamento dell'Unione europea, a norma dei quali la proposta gli è stata presentata dalla Commissione (C9</w:t>
      </w:r>
      <w:r w:rsidRPr="00B50018">
        <w:noBreakHyphen/>
        <w:t>0234/2023),</w:t>
      </w:r>
    </w:p>
    <w:p w14:paraId="04189F41" w14:textId="77777777" w:rsidR="00050E51" w:rsidRPr="00B50018" w:rsidRDefault="00050E51" w:rsidP="00050E51">
      <w:pPr>
        <w:pStyle w:val="NormalHanging12a"/>
      </w:pPr>
      <w:r w:rsidRPr="00B50018">
        <w:t>–</w:t>
      </w:r>
      <w:r w:rsidRPr="00B50018">
        <w:tab/>
        <w:t>visto l'articolo 294, paragrafo 3, del trattato sul funzionamento dell'Unione europea,</w:t>
      </w:r>
    </w:p>
    <w:p w14:paraId="3FA2307E" w14:textId="12BE75CE" w:rsidR="00050E51" w:rsidRPr="00B50018" w:rsidRDefault="00050E51" w:rsidP="00050E51">
      <w:pPr>
        <w:pStyle w:val="NormalHanging12a"/>
      </w:pPr>
      <w:r w:rsidRPr="00B50018">
        <w:t>–</w:t>
      </w:r>
      <w:r w:rsidRPr="00B50018">
        <w:tab/>
        <w:t>visto il parere motivato presentato dal</w:t>
      </w:r>
      <w:r w:rsidR="00194D64" w:rsidRPr="00B50018">
        <w:t>la Prima camera dei Paesi Bassi</w:t>
      </w:r>
      <w:r w:rsidRPr="00B50018">
        <w:t xml:space="preserve"> e dalla </w:t>
      </w:r>
      <w:r w:rsidR="00194D64" w:rsidRPr="00B50018">
        <w:t>Seconda camera dei Paesi Bassi</w:t>
      </w:r>
      <w:r w:rsidRPr="00B50018">
        <w:t xml:space="preserve"> nel quadro del protocollo n. 2 sull'applicazione dei principi di sussidiarietà e di proporzionalità, in cui si dichiara la mancata conformità del progetto di atto legislativo al principio di sussidiarietà,</w:t>
      </w:r>
    </w:p>
    <w:p w14:paraId="4C2B2E3C" w14:textId="77777777" w:rsidR="00050E51" w:rsidRPr="00B50018" w:rsidRDefault="00050E51" w:rsidP="00050E51">
      <w:pPr>
        <w:pStyle w:val="NormalHanging12a"/>
      </w:pPr>
      <w:r w:rsidRPr="00B50018">
        <w:t>–</w:t>
      </w:r>
      <w:r w:rsidRPr="00B50018">
        <w:tab/>
        <w:t>visto il parere del Comitato economico e sociale europeo</w:t>
      </w:r>
      <w:r w:rsidR="00194D64" w:rsidRPr="00B50018">
        <w:t xml:space="preserve"> del 25 ottobre 2023</w:t>
      </w:r>
      <w:r w:rsidRPr="00B50018">
        <w:rPr>
          <w:rStyle w:val="FootnoteReference"/>
        </w:rPr>
        <w:footnoteReference w:id="1"/>
      </w:r>
      <w:r w:rsidRPr="00B50018">
        <w:t>,</w:t>
      </w:r>
    </w:p>
    <w:p w14:paraId="2F99932F" w14:textId="77777777" w:rsidR="00050E51" w:rsidRPr="00B50018" w:rsidRDefault="00050E51" w:rsidP="00050E51">
      <w:pPr>
        <w:pStyle w:val="NormalHanging12a"/>
      </w:pPr>
      <w:r w:rsidRPr="00B50018">
        <w:t>–</w:t>
      </w:r>
      <w:r w:rsidRPr="00B50018">
        <w:tab/>
        <w:t>previa consultazione del Comitato delle regioni,</w:t>
      </w:r>
    </w:p>
    <w:p w14:paraId="31B02E51" w14:textId="77777777" w:rsidR="00050E51" w:rsidRPr="00B50018" w:rsidRDefault="00050E51" w:rsidP="00050E51">
      <w:pPr>
        <w:pStyle w:val="NormalHanging12a"/>
      </w:pPr>
      <w:r w:rsidRPr="00B50018">
        <w:t>–</w:t>
      </w:r>
      <w:r w:rsidRPr="00B50018">
        <w:tab/>
        <w:t>visto l'articolo 59 del suo regolamento,</w:t>
      </w:r>
    </w:p>
    <w:p w14:paraId="4EEDB4C3" w14:textId="77777777" w:rsidR="00050E51" w:rsidRPr="00B50018" w:rsidRDefault="00050E51" w:rsidP="00050E51">
      <w:pPr>
        <w:pStyle w:val="NormalHanging12a"/>
      </w:pPr>
      <w:r w:rsidRPr="00B50018">
        <w:t>–</w:t>
      </w:r>
      <w:r w:rsidRPr="00B50018">
        <w:tab/>
        <w:t>visto il parere della commissione per l'agricoltura e lo sviluppo rurale,</w:t>
      </w:r>
    </w:p>
    <w:p w14:paraId="103C86CB" w14:textId="77777777" w:rsidR="00050E51" w:rsidRPr="00B50018" w:rsidRDefault="00050E51" w:rsidP="00050E51">
      <w:pPr>
        <w:pStyle w:val="NormalHanging12a"/>
      </w:pPr>
      <w:r w:rsidRPr="00B50018">
        <w:t>–</w:t>
      </w:r>
      <w:r w:rsidRPr="00B50018">
        <w:tab/>
        <w:t>vista la relazione della commissione per l'ambiente, la sanità pubblica e la sicurezza alimentare (A9-0138/2024),</w:t>
      </w:r>
    </w:p>
    <w:p w14:paraId="7D0BC713" w14:textId="77777777" w:rsidR="00050E51" w:rsidRPr="00B50018" w:rsidRDefault="00050E51" w:rsidP="00050E51">
      <w:pPr>
        <w:pStyle w:val="NormalHanging12a"/>
      </w:pPr>
      <w:r w:rsidRPr="00B50018">
        <w:lastRenderedPageBreak/>
        <w:t>1.</w:t>
      </w:r>
      <w:r w:rsidRPr="00B50018">
        <w:tab/>
        <w:t>adotta la posizione in prima lettura figurante in appresso;</w:t>
      </w:r>
    </w:p>
    <w:p w14:paraId="47E11FFC" w14:textId="77777777" w:rsidR="00050E51" w:rsidRPr="00B50018" w:rsidRDefault="00050E51" w:rsidP="00050E51">
      <w:pPr>
        <w:pStyle w:val="NormalHanging12a"/>
      </w:pPr>
      <w:r w:rsidRPr="00B50018">
        <w:t>2.</w:t>
      </w:r>
      <w:r w:rsidRPr="00B50018">
        <w:tab/>
        <w:t>chiede alla Commissione di presentargli nuovamente la proposta qualora la sostituisca, la modifichi sostanzialmente o intenda modificarla sostanzialmente;</w:t>
      </w:r>
    </w:p>
    <w:p w14:paraId="2294D898" w14:textId="77777777" w:rsidR="00050E51" w:rsidRPr="00B50018" w:rsidRDefault="00050E51" w:rsidP="00050E51">
      <w:pPr>
        <w:pStyle w:val="NormalHanging12a"/>
      </w:pPr>
      <w:r w:rsidRPr="00B50018">
        <w:t>3.</w:t>
      </w:r>
      <w:r w:rsidRPr="00B50018">
        <w:tab/>
        <w:t>incarica la sua Presidente di trasmettere la posizione del Parlamento al Consiglio e alla Commissione nonché ai parlamenti nazionali.</w:t>
      </w:r>
    </w:p>
    <w:p w14:paraId="05C9F7C8" w14:textId="77777777" w:rsidR="00FF3D47" w:rsidRDefault="00FF3D47" w:rsidP="00050E51">
      <w:pPr>
        <w:pStyle w:val="EPComma"/>
        <w:sectPr w:rsidR="00FF3D47" w:rsidSect="00467ED2">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4AAF533" w14:textId="6D72C16C" w:rsidR="00FF3D47" w:rsidRPr="00CD492A" w:rsidRDefault="00FF3D47" w:rsidP="00FF3D47">
      <w:pPr>
        <w:spacing w:before="240"/>
        <w:rPr>
          <w:b/>
        </w:rPr>
      </w:pPr>
      <w:bookmarkStart w:id="15" w:name="TextBodyEnd"/>
      <w:bookmarkEnd w:id="8"/>
      <w:bookmarkEnd w:id="9"/>
      <w:bookmarkEnd w:id="10"/>
      <w:bookmarkEnd w:id="11"/>
      <w:bookmarkEnd w:id="12"/>
      <w:bookmarkEnd w:id="13"/>
      <w:bookmarkEnd w:id="14"/>
      <w:bookmarkEnd w:id="15"/>
      <w:r>
        <w:rPr>
          <w:b/>
        </w:rPr>
        <w:lastRenderedPageBreak/>
        <w:t>P9</w:t>
      </w:r>
      <w:r w:rsidRPr="00CD492A">
        <w:rPr>
          <w:b/>
        </w:rPr>
        <w:t>_TC1-</w:t>
      </w:r>
      <w:proofErr w:type="gramStart"/>
      <w:r w:rsidRPr="00CD492A">
        <w:rPr>
          <w:b/>
        </w:rPr>
        <w:t>COD(</w:t>
      </w:r>
      <w:proofErr w:type="gramEnd"/>
      <w:r>
        <w:rPr>
          <w:b/>
        </w:rPr>
        <w:t>2023</w:t>
      </w:r>
      <w:r w:rsidRPr="00CD492A">
        <w:rPr>
          <w:b/>
        </w:rPr>
        <w:t>)</w:t>
      </w:r>
      <w:r>
        <w:rPr>
          <w:b/>
        </w:rPr>
        <w:t>0232</w:t>
      </w:r>
    </w:p>
    <w:p w14:paraId="2D8D5E79" w14:textId="26CC38BC" w:rsidR="00FF3D47" w:rsidRPr="00CD492A" w:rsidRDefault="00FF3D47" w:rsidP="00FF3D47">
      <w:pPr>
        <w:spacing w:before="360" w:after="360"/>
        <w:rPr>
          <w:b/>
        </w:rPr>
      </w:pPr>
      <w:r w:rsidRPr="00CD492A">
        <w:rPr>
          <w:b/>
        </w:rPr>
        <w:t xml:space="preserve">Posizione del Parlamento europeo definita in prima lettura </w:t>
      </w:r>
      <w:r w:rsidRPr="00FF3D47">
        <w:rPr>
          <w:b/>
        </w:rPr>
        <w:t>il</w:t>
      </w:r>
      <w:r>
        <w:rPr>
          <w:b/>
        </w:rPr>
        <w:t xml:space="preserve"> 10 aprile 2024</w:t>
      </w:r>
      <w:r w:rsidRPr="00FF3D47">
        <w:rPr>
          <w:b/>
        </w:rPr>
        <w:t xml:space="preserve"> in vista dell'adozione della direttiva (UE) 2024/... del Parlamento eur</w:t>
      </w:r>
      <w:r w:rsidRPr="00CD492A">
        <w:rPr>
          <w:b/>
        </w:rPr>
        <w:t xml:space="preserve">opeo e del Consiglio </w:t>
      </w:r>
      <w:r w:rsidRPr="00FF3D47">
        <w:rPr>
          <w:b/>
        </w:rPr>
        <w:t>sul monitoraggio del suolo e la resilienza (Normativa sul monitoraggio del suolo</w:t>
      </w:r>
      <w:r>
        <w:rPr>
          <w:b/>
        </w:rPr>
        <w:t>)</w:t>
      </w:r>
    </w:p>
    <w:p w14:paraId="5088B855" w14:textId="77777777" w:rsidR="00FF3D47" w:rsidRPr="00FF3D47" w:rsidRDefault="00FF3D47" w:rsidP="00FF3D47">
      <w:pPr>
        <w:keepNext/>
        <w:spacing w:before="600" w:after="120" w:line="360" w:lineRule="auto"/>
        <w:rPr>
          <w:szCs w:val="24"/>
          <w:lang w:eastAsia="en-US"/>
        </w:rPr>
      </w:pPr>
      <w:r w:rsidRPr="00FF3D47">
        <w:rPr>
          <w:szCs w:val="24"/>
          <w:lang w:eastAsia="en-US"/>
        </w:rPr>
        <w:t>IL PARLAMENTO EUROPEO E IL CONSIGLIO DELL'UNIONE EUROPEA,</w:t>
      </w:r>
    </w:p>
    <w:p w14:paraId="2814674D" w14:textId="77777777" w:rsidR="00FF3D47" w:rsidRPr="00FF3D47" w:rsidRDefault="00FF3D47" w:rsidP="00FF3D47">
      <w:pPr>
        <w:spacing w:before="120" w:after="120" w:line="360" w:lineRule="auto"/>
        <w:rPr>
          <w:lang w:eastAsia="en-US"/>
        </w:rPr>
      </w:pPr>
      <w:r w:rsidRPr="00FF3D47">
        <w:rPr>
          <w:lang w:eastAsia="en-US"/>
        </w:rPr>
        <w:t>visto il trattato sul funzionamento dell'Unione europea, in particolare l'articolo 192, paragrafo 1,</w:t>
      </w:r>
    </w:p>
    <w:p w14:paraId="31CBC752" w14:textId="77777777" w:rsidR="00FF3D47" w:rsidRPr="00FF3D47" w:rsidRDefault="00FF3D47" w:rsidP="00FF3D47">
      <w:pPr>
        <w:spacing w:before="120" w:after="120" w:line="360" w:lineRule="auto"/>
        <w:rPr>
          <w:lang w:eastAsia="en-US"/>
        </w:rPr>
      </w:pPr>
      <w:r w:rsidRPr="00FF3D47">
        <w:rPr>
          <w:lang w:eastAsia="en-US"/>
        </w:rPr>
        <w:t>vista la proposta della Commissione europea,</w:t>
      </w:r>
    </w:p>
    <w:p w14:paraId="71AA602A" w14:textId="77777777" w:rsidR="00FF3D47" w:rsidRPr="00FF3D47" w:rsidRDefault="00FF3D47" w:rsidP="00FF3D47">
      <w:pPr>
        <w:spacing w:before="120" w:after="120" w:line="360" w:lineRule="auto"/>
        <w:rPr>
          <w:lang w:eastAsia="en-US"/>
        </w:rPr>
      </w:pPr>
      <w:r w:rsidRPr="00FF3D47">
        <w:rPr>
          <w:lang w:eastAsia="en-US"/>
        </w:rPr>
        <w:t>previa trasmissione del progetto di atto legislativo ai parlamenti nazionali,</w:t>
      </w:r>
    </w:p>
    <w:p w14:paraId="3038211F" w14:textId="77777777" w:rsidR="00FF3D47" w:rsidRPr="00FF3D47" w:rsidRDefault="00FF3D47" w:rsidP="00FF3D47">
      <w:pPr>
        <w:spacing w:before="120" w:after="120" w:line="360" w:lineRule="auto"/>
        <w:rPr>
          <w:lang w:eastAsia="en-US"/>
        </w:rPr>
      </w:pPr>
      <w:r w:rsidRPr="00FF3D47">
        <w:rPr>
          <w:lang w:eastAsia="en-US"/>
        </w:rPr>
        <w:t>visto il parere del Comitato economico e sociale europeo</w:t>
      </w:r>
      <w:r w:rsidRPr="00FF3D47">
        <w:rPr>
          <w:vertAlign w:val="superscript"/>
          <w:lang w:val="en-GB" w:eastAsia="en-US"/>
        </w:rPr>
        <w:footnoteReference w:id="2"/>
      </w:r>
      <w:r w:rsidRPr="00FF3D47">
        <w:rPr>
          <w:lang w:eastAsia="en-US"/>
        </w:rPr>
        <w:t>,</w:t>
      </w:r>
    </w:p>
    <w:p w14:paraId="745B7175" w14:textId="77777777" w:rsidR="00FF3D47" w:rsidRPr="00FF3D47" w:rsidRDefault="00FF3D47" w:rsidP="00FF3D47">
      <w:pPr>
        <w:spacing w:before="120" w:after="120" w:line="360" w:lineRule="auto"/>
        <w:rPr>
          <w:lang w:eastAsia="en-US"/>
        </w:rPr>
      </w:pPr>
      <w:r w:rsidRPr="00FF3D47">
        <w:rPr>
          <w:lang w:eastAsia="en-US"/>
        </w:rPr>
        <w:t>visto il parere del Comitato delle regioni</w:t>
      </w:r>
      <w:r w:rsidRPr="00FF3D47">
        <w:rPr>
          <w:vertAlign w:val="superscript"/>
          <w:lang w:val="en-GB" w:eastAsia="en-US"/>
        </w:rPr>
        <w:footnoteReference w:id="3"/>
      </w:r>
      <w:r w:rsidRPr="00FF3D47">
        <w:rPr>
          <w:lang w:eastAsia="en-US"/>
        </w:rPr>
        <w:t>,</w:t>
      </w:r>
    </w:p>
    <w:p w14:paraId="18D28C5E" w14:textId="77777777" w:rsidR="004E5FB6" w:rsidRDefault="00FF3D47" w:rsidP="00FF3D47">
      <w:pPr>
        <w:spacing w:before="120" w:after="120" w:line="360" w:lineRule="auto"/>
        <w:rPr>
          <w:lang w:eastAsia="en-US"/>
        </w:rPr>
      </w:pPr>
      <w:r w:rsidRPr="00FF3D47">
        <w:rPr>
          <w:lang w:eastAsia="en-US"/>
        </w:rPr>
        <w:t>deliberando secondo la procedura legislativa ordinaria,</w:t>
      </w:r>
    </w:p>
    <w:p w14:paraId="731C957B" w14:textId="2C216954" w:rsidR="00FF3D47" w:rsidRDefault="00FF3D47" w:rsidP="00FF3D47">
      <w:pPr>
        <w:spacing w:before="120" w:after="120" w:line="360" w:lineRule="auto"/>
        <w:rPr>
          <w:lang w:eastAsia="en-US"/>
        </w:rPr>
      </w:pPr>
      <w:r>
        <w:rPr>
          <w:lang w:eastAsia="en-US"/>
        </w:rPr>
        <w:br w:type="page"/>
      </w:r>
    </w:p>
    <w:p w14:paraId="2A9F72D1" w14:textId="77777777" w:rsidR="00FF3D47" w:rsidRPr="00FF3D47" w:rsidRDefault="00FF3D47" w:rsidP="00FF3D47">
      <w:pPr>
        <w:spacing w:before="120" w:after="120" w:line="360" w:lineRule="auto"/>
        <w:rPr>
          <w:lang w:eastAsia="en-US"/>
        </w:rPr>
      </w:pPr>
      <w:r w:rsidRPr="00FF3D47">
        <w:rPr>
          <w:lang w:eastAsia="en-US"/>
        </w:rPr>
        <w:lastRenderedPageBreak/>
        <w:t>considerando quanto segue:</w:t>
      </w:r>
    </w:p>
    <w:p w14:paraId="42047B64"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Il suolo è una risorsa vitale, limitata, non rinnovabile e insostituibile, fondamentale per l'economia, l'ambiente e la società.</w:t>
      </w:r>
    </w:p>
    <w:p w14:paraId="40FE7F66"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 xml:space="preserve">I suoli sani sono in buone condizioni chimiche, biologiche e fisiche e sono quindi in grado di fornire servizi </w:t>
      </w:r>
      <w:proofErr w:type="spellStart"/>
      <w:r w:rsidRPr="00FF3D47">
        <w:rPr>
          <w:szCs w:val="24"/>
          <w:lang w:eastAsia="en-US"/>
        </w:rPr>
        <w:t>ecosistemici</w:t>
      </w:r>
      <w:proofErr w:type="spellEnd"/>
      <w:r w:rsidRPr="00FF3D47">
        <w:rPr>
          <w:szCs w:val="24"/>
          <w:lang w:eastAsia="en-US"/>
        </w:rPr>
        <w:t xml:space="preserve"> vitali per gli esseri umani e l'ambiente: alimenti sicuri, nutrienti e sufficienti, biomassa, acqua pulita, ciclo dei nutrienti, stoccaggio del carbonio e habitat per la biodiversità. Il </w:t>
      </w:r>
      <w:r w:rsidRPr="00FF3D47">
        <w:rPr>
          <w:b/>
          <w:i/>
          <w:szCs w:val="24"/>
          <w:lang w:eastAsia="en-US"/>
        </w:rPr>
        <w:t xml:space="preserve">suolo è essenziale per garantire la sicurezza alimentare. Secondo le stime, il </w:t>
      </w:r>
      <w:r w:rsidRPr="00FF3D47">
        <w:rPr>
          <w:szCs w:val="24"/>
          <w:lang w:eastAsia="en-US"/>
        </w:rPr>
        <w:t>60-70 % dei suoli dell'Unione è però deteriorato e continua a deteriorarsi.</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w:t>
      </w:r>
    </w:p>
    <w:p w14:paraId="7E6A3E3F" w14:textId="4C5EBF76" w:rsidR="00FF3D47" w:rsidRDefault="00FF3D47" w:rsidP="00FF3D47">
      <w:pPr>
        <w:spacing w:before="120" w:after="120" w:line="360" w:lineRule="auto"/>
        <w:ind w:left="850" w:hanging="850"/>
        <w:rPr>
          <w:b/>
          <w:i/>
          <w:szCs w:val="24"/>
          <w:lang w:eastAsia="en-US"/>
        </w:rPr>
      </w:pPr>
      <w:r w:rsidRPr="00FF3D47">
        <w:rPr>
          <w:szCs w:val="24"/>
          <w:lang w:eastAsia="en-US"/>
        </w:rPr>
        <w:t>(3)</w:t>
      </w:r>
      <w:r w:rsidRPr="00FF3D47">
        <w:rPr>
          <w:szCs w:val="24"/>
          <w:lang w:eastAsia="en-US"/>
        </w:rPr>
        <w:tab/>
        <w:t xml:space="preserve">Il degrado del suolo costa all'Unione decine di miliardi di euro all'anno. La salute del suolo incide sulla fornitura di servizi </w:t>
      </w:r>
      <w:proofErr w:type="spellStart"/>
      <w:r w:rsidRPr="00FF3D47">
        <w:rPr>
          <w:szCs w:val="24"/>
          <w:lang w:eastAsia="en-US"/>
        </w:rPr>
        <w:t>ecosistemici</w:t>
      </w:r>
      <w:proofErr w:type="spellEnd"/>
      <w:r w:rsidRPr="00FF3D47">
        <w:rPr>
          <w:szCs w:val="24"/>
          <w:lang w:eastAsia="en-US"/>
        </w:rPr>
        <w:t xml:space="preserve"> che hanno un importante resa economica. </w:t>
      </w:r>
      <w:r w:rsidRPr="00FF3D47">
        <w:rPr>
          <w:strike/>
          <w:szCs w:val="24"/>
          <w:lang w:eastAsia="en-US"/>
        </w:rPr>
        <w:t xml:space="preserve">La gestione sostenibile e la rigenerazione dei suoli </w:t>
      </w:r>
      <w:proofErr w:type="spellStart"/>
      <w:r w:rsidRPr="00FF3D47">
        <w:rPr>
          <w:strike/>
          <w:szCs w:val="24"/>
          <w:lang w:eastAsia="en-US"/>
        </w:rPr>
        <w:t>poggiano</w:t>
      </w:r>
      <w:r w:rsidRPr="00FF3D47">
        <w:rPr>
          <w:b/>
          <w:i/>
          <w:szCs w:val="24"/>
          <w:lang w:eastAsia="en-US"/>
        </w:rPr>
        <w:t>Il</w:t>
      </w:r>
      <w:proofErr w:type="spellEnd"/>
      <w:r w:rsidRPr="00FF3D47">
        <w:rPr>
          <w:b/>
          <w:i/>
          <w:szCs w:val="24"/>
          <w:lang w:eastAsia="en-US"/>
        </w:rPr>
        <w:t xml:space="preserve"> suo miglioramento poggia</w:t>
      </w:r>
      <w:r w:rsidRPr="00FF3D47">
        <w:rPr>
          <w:szCs w:val="24"/>
          <w:lang w:eastAsia="en-US"/>
        </w:rPr>
        <w:t xml:space="preserve"> su solide ragioni economiche che possono aumentare significativamente il valore e il prezzo dei terreni nell'</w:t>
      </w:r>
      <w:proofErr w:type="spellStart"/>
      <w:r w:rsidRPr="00FF3D47">
        <w:rPr>
          <w:szCs w:val="24"/>
          <w:lang w:eastAsia="en-US"/>
        </w:rPr>
        <w:t>Unione.</w:t>
      </w:r>
      <w:r w:rsidRPr="00FF3D47">
        <w:rPr>
          <w:b/>
          <w:i/>
          <w:szCs w:val="24"/>
          <w:lang w:eastAsia="en-US"/>
        </w:rPr>
        <w:t>Inoltre</w:t>
      </w:r>
      <w:proofErr w:type="spellEnd"/>
      <w:r w:rsidRPr="00FF3D47">
        <w:rPr>
          <w:b/>
          <w:i/>
          <w:szCs w:val="24"/>
          <w:lang w:eastAsia="en-US"/>
        </w:rPr>
        <w:t>, possono essere necessari fino a 1 000 anni per produrre un solo centimetro di suolo, mentre il processo di degradazione e la perdita completa del suolo possono avvenire rapidamente. [</w:t>
      </w:r>
      <w:proofErr w:type="spellStart"/>
      <w:r w:rsidRPr="00FF3D47">
        <w:rPr>
          <w:b/>
          <w:i/>
          <w:szCs w:val="24"/>
          <w:lang w:eastAsia="en-US"/>
        </w:rPr>
        <w:t>Em</w:t>
      </w:r>
      <w:proofErr w:type="spellEnd"/>
      <w:r w:rsidRPr="00FF3D47">
        <w:rPr>
          <w:b/>
          <w:i/>
          <w:szCs w:val="24"/>
          <w:lang w:eastAsia="en-US"/>
        </w:rPr>
        <w:t>. 2]</w:t>
      </w:r>
      <w:r>
        <w:rPr>
          <w:b/>
          <w:i/>
          <w:szCs w:val="24"/>
          <w:lang w:eastAsia="en-US"/>
        </w:rPr>
        <w:br w:type="page"/>
      </w:r>
    </w:p>
    <w:p w14:paraId="4CE3010E"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(4)</w:t>
      </w:r>
      <w:r w:rsidRPr="00FF3D47">
        <w:rPr>
          <w:szCs w:val="24"/>
          <w:lang w:eastAsia="en-US"/>
        </w:rPr>
        <w:tab/>
        <w:t>Il Green Deal europeo</w:t>
      </w:r>
      <w:r w:rsidRPr="00FF3D47">
        <w:rPr>
          <w:szCs w:val="24"/>
          <w:vertAlign w:val="superscript"/>
          <w:lang w:val="en-GB" w:eastAsia="en-US"/>
        </w:rPr>
        <w:footnoteReference w:id="4"/>
      </w:r>
      <w:r w:rsidRPr="00FF3D47">
        <w:rPr>
          <w:szCs w:val="24"/>
          <w:lang w:eastAsia="en-US"/>
        </w:rPr>
        <w:t xml:space="preserve"> ha definito una tabella di marcia ambiziosa per trasformare l'Unione in una società giusta e prospera, dotata di un'economia moderna, efficiente sotto il profilo delle risorse e competitiva, che mira a proteggere, conservare e migliorare il capitale naturale dell'Unione e a proteggere la salute e il benessere dei cittadini. Nell'ambito del Green Deal europeo, la Commissione ha adottato la strategia dell'UE sulla biodiversità per il 2030</w:t>
      </w:r>
      <w:r w:rsidRPr="00FF3D47">
        <w:rPr>
          <w:szCs w:val="24"/>
          <w:vertAlign w:val="superscript"/>
          <w:lang w:val="en-GB" w:eastAsia="en-US"/>
        </w:rPr>
        <w:footnoteReference w:id="5"/>
      </w:r>
      <w:r w:rsidRPr="00FF3D47">
        <w:rPr>
          <w:szCs w:val="24"/>
          <w:lang w:eastAsia="en-US"/>
        </w:rPr>
        <w:t>, la strategia "dal produttore al consumatore"</w:t>
      </w:r>
      <w:r w:rsidRPr="00FF3D47">
        <w:rPr>
          <w:szCs w:val="24"/>
          <w:vertAlign w:val="superscript"/>
          <w:lang w:val="en-GB" w:eastAsia="en-US"/>
        </w:rPr>
        <w:footnoteReference w:id="6"/>
      </w:r>
      <w:r w:rsidRPr="00FF3D47">
        <w:rPr>
          <w:szCs w:val="24"/>
          <w:lang w:eastAsia="en-US"/>
        </w:rPr>
        <w:t>, il piano d'azione per l'inquinamento zero</w:t>
      </w:r>
      <w:r w:rsidRPr="00FF3D47">
        <w:rPr>
          <w:szCs w:val="24"/>
          <w:vertAlign w:val="superscript"/>
          <w:lang w:val="en-GB" w:eastAsia="en-US"/>
        </w:rPr>
        <w:footnoteReference w:id="7"/>
      </w:r>
      <w:r w:rsidRPr="00FF3D47">
        <w:rPr>
          <w:szCs w:val="24"/>
          <w:lang w:eastAsia="en-US"/>
        </w:rPr>
        <w:t>, la strategia dell'UE di adattamento ai cambiamenti climatici</w:t>
      </w:r>
      <w:r w:rsidRPr="00FF3D47">
        <w:rPr>
          <w:szCs w:val="24"/>
          <w:vertAlign w:val="superscript"/>
          <w:lang w:val="en-GB" w:eastAsia="en-US"/>
        </w:rPr>
        <w:footnoteReference w:id="8"/>
      </w:r>
      <w:r w:rsidRPr="00FF3D47">
        <w:rPr>
          <w:szCs w:val="24"/>
          <w:lang w:eastAsia="en-US"/>
        </w:rPr>
        <w:t xml:space="preserve"> e la strategia dell'UE per il suolo per il 2030</w:t>
      </w:r>
      <w:r w:rsidRPr="00FF3D47">
        <w:rPr>
          <w:szCs w:val="24"/>
          <w:vertAlign w:val="superscript"/>
          <w:lang w:val="en-GB" w:eastAsia="en-US"/>
        </w:rPr>
        <w:footnoteReference w:id="9"/>
      </w:r>
      <w:r w:rsidRPr="00FF3D47">
        <w:rPr>
          <w:szCs w:val="24"/>
          <w:lang w:eastAsia="en-US"/>
        </w:rPr>
        <w:t>.</w:t>
      </w:r>
    </w:p>
    <w:p w14:paraId="3BAC4DD4"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(5)</w:t>
      </w:r>
      <w:r w:rsidRPr="00FF3D47">
        <w:rPr>
          <w:szCs w:val="24"/>
          <w:lang w:eastAsia="en-US"/>
        </w:rPr>
        <w:tab/>
        <w:t>L'Unione ha sottoscritto l'Agenda 2030 e i relativi obiettivi di sviluppo sostenibile (OSS)</w:t>
      </w:r>
      <w:r w:rsidRPr="00FF3D47">
        <w:rPr>
          <w:szCs w:val="24"/>
          <w:vertAlign w:val="superscript"/>
          <w:lang w:val="en-GB" w:eastAsia="en-US"/>
        </w:rPr>
        <w:footnoteReference w:id="10"/>
      </w:r>
      <w:r w:rsidRPr="00FF3D47">
        <w:rPr>
          <w:szCs w:val="24"/>
          <w:lang w:eastAsia="en-US"/>
        </w:rPr>
        <w:t>. I suoli sani contribuiscono direttamente al conseguimento di vari OSS, in particolare l'OSS 2 (sconfiggere la fame), l'OSS 3 (salute e benessere), l'OSS 6 (acqua pulita e servizi igienico-sanitari), l'OSS 11 (città e comunità sostenibili), l'OSS 12 (consumo e produzione responsabili), l'OSS 13 (lotta contro il cambiamento climatico) e l'OSS 15 (la vita sulla terra). L'OSS 15.3 è volto a lottare contro la desertificazione, ripristinare le terre degradate, anche quelle colpite da desertificazione, siccità e inondazioni, e battersi per ottenere un mondo privo di degrado del suolo entro il 2030.</w:t>
      </w:r>
    </w:p>
    <w:p w14:paraId="5C328C64"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(6)</w:t>
      </w:r>
      <w:r w:rsidRPr="00FF3D47">
        <w:rPr>
          <w:szCs w:val="24"/>
          <w:lang w:eastAsia="en-US"/>
        </w:rPr>
        <w:tab/>
        <w:t>L'Unione e i suoi Stati membri, parti della convenzione sulla diversità biologica approvata con decisione 93/626/CEE del Consiglio</w:t>
      </w:r>
      <w:r w:rsidRPr="00FF3D47">
        <w:rPr>
          <w:szCs w:val="24"/>
          <w:vertAlign w:val="superscript"/>
          <w:lang w:val="en-GB" w:eastAsia="en-US"/>
        </w:rPr>
        <w:footnoteReference w:id="11"/>
      </w:r>
      <w:r w:rsidRPr="00FF3D47">
        <w:rPr>
          <w:szCs w:val="24"/>
          <w:lang w:eastAsia="en-US"/>
        </w:rPr>
        <w:t>, in occasione della 15</w:t>
      </w:r>
      <w:r w:rsidRPr="00FF3D47">
        <w:rPr>
          <w:szCs w:val="24"/>
          <w:vertAlign w:val="superscript"/>
          <w:lang w:eastAsia="en-US"/>
        </w:rPr>
        <w:t>a</w:t>
      </w:r>
      <w:r w:rsidRPr="00FF3D47">
        <w:rPr>
          <w:szCs w:val="24"/>
          <w:lang w:eastAsia="en-US"/>
        </w:rPr>
        <w:t xml:space="preserve"> conferenza delle parti hanno convenuto il quadro globale per la biodiversità di Kunming-Montreal</w:t>
      </w:r>
      <w:r w:rsidRPr="00FF3D47">
        <w:rPr>
          <w:szCs w:val="24"/>
          <w:vertAlign w:val="superscript"/>
          <w:lang w:val="en-GB" w:eastAsia="en-US"/>
        </w:rPr>
        <w:footnoteReference w:id="12"/>
      </w:r>
      <w:r w:rsidRPr="00FF3D47">
        <w:rPr>
          <w:szCs w:val="24"/>
          <w:lang w:eastAsia="en-US"/>
        </w:rPr>
        <w:t>, che comprende vari obiettivi globali orientati all'azione per il 2030 rilevanti per la salute del suolo. È necessario ripristinare, mantenere e migliorare l'apporto della natura alle persone, compresa la salute del suolo.</w:t>
      </w:r>
    </w:p>
    <w:p w14:paraId="1A40B205"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(7)</w:t>
      </w:r>
      <w:r w:rsidRPr="00FF3D47">
        <w:rPr>
          <w:szCs w:val="24"/>
          <w:lang w:eastAsia="en-US"/>
        </w:rPr>
        <w:tab/>
        <w:t>L'Unione e i suoi Stati membri, parti della convenzione delle Nazioni Unite sulla lotta contro la desertificazione (UNCCD), approvata con decisione 98/216/CE del Consiglio</w:t>
      </w:r>
      <w:r w:rsidRPr="00FF3D47">
        <w:rPr>
          <w:szCs w:val="24"/>
          <w:vertAlign w:val="superscript"/>
          <w:lang w:val="en-GB" w:eastAsia="en-US"/>
        </w:rPr>
        <w:footnoteReference w:id="13"/>
      </w:r>
      <w:r w:rsidRPr="00FF3D47">
        <w:rPr>
          <w:szCs w:val="24"/>
          <w:lang w:eastAsia="en-US"/>
        </w:rPr>
        <w:t>, si sono impegnati a combattere la desertificazione e ad attenuare gli effetti della siccità nei paesi colpiti. Tredici Stati membri</w:t>
      </w:r>
      <w:r w:rsidRPr="00FF3D47">
        <w:rPr>
          <w:szCs w:val="24"/>
          <w:vertAlign w:val="superscript"/>
          <w:lang w:val="en-GB" w:eastAsia="en-US"/>
        </w:rPr>
        <w:footnoteReference w:id="14"/>
      </w:r>
      <w:r w:rsidRPr="00FF3D47">
        <w:rPr>
          <w:szCs w:val="24"/>
          <w:lang w:eastAsia="en-US"/>
        </w:rPr>
        <w:t xml:space="preserve"> si sono dichiarati parti colpite dalla desertificazione ai sensi dell'UNCDD.</w:t>
      </w:r>
    </w:p>
    <w:p w14:paraId="3EFA2D8D" w14:textId="4583A440" w:rsidR="00FF3D47" w:rsidRDefault="00FF3D47" w:rsidP="00FF3D47">
      <w:pPr>
        <w:spacing w:before="120" w:after="120" w:line="360" w:lineRule="auto"/>
        <w:ind w:left="850" w:hanging="850"/>
        <w:rPr>
          <w:szCs w:val="24"/>
          <w:lang w:eastAsia="en-US"/>
        </w:rPr>
      </w:pPr>
      <w:r w:rsidRPr="00FF3D47">
        <w:rPr>
          <w:szCs w:val="24"/>
          <w:lang w:eastAsia="en-US"/>
        </w:rPr>
        <w:t>(8)</w:t>
      </w:r>
      <w:r w:rsidRPr="00FF3D47">
        <w:rPr>
          <w:szCs w:val="24"/>
          <w:lang w:eastAsia="en-US"/>
        </w:rPr>
        <w:tab/>
        <w:t>Nel contesto della convenzione quadro delle Nazioni Unite sui cambiamenti climatici (UNFCCC), la terra e il suolo sono considerati contemporaneamente una fonte e un pozzo di carbonio. L'Unione e gli Stati membri, in quanto parti contraenti, si sono impegnati a promuovere la gestione, la conservazione e il potenziamento sostenibili dei pozzi e dei serbatoi di carbonio.</w:t>
      </w:r>
      <w:r>
        <w:rPr>
          <w:szCs w:val="24"/>
          <w:lang w:eastAsia="en-US"/>
        </w:rPr>
        <w:br w:type="page"/>
      </w:r>
    </w:p>
    <w:p w14:paraId="1EB25BDB"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(9)</w:t>
      </w:r>
      <w:r w:rsidRPr="00FF3D47">
        <w:rPr>
          <w:szCs w:val="24"/>
          <w:lang w:eastAsia="en-US"/>
        </w:rPr>
        <w:tab/>
        <w:t>In base alla strategia dell'UE sulla biodiversità per il 2030 è indispensabile intensificare gli sforzi per proteggere la fertilità del suolo, ridurne l'erosione e aumentare la materia organica che vi è contenuta, ed è auspicabile farlo adottando pratiche sostenibili di gestione del suolo. Servono passi avanti sostanziali anche su altri fronti: il censimento dei siti contaminati, il ripristino dei suoli degradati, la definizione delle condizioni che ne determinano il buono stato ecologico, l'introduzione di obiettivi di ripristino e il miglioramento del monitoraggio della qualità del suolo.</w:t>
      </w:r>
    </w:p>
    <w:p w14:paraId="3B7AAE09"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(10)</w:t>
      </w:r>
      <w:r w:rsidRPr="00FF3D47">
        <w:rPr>
          <w:szCs w:val="24"/>
          <w:lang w:eastAsia="en-US"/>
        </w:rPr>
        <w:tab/>
        <w:t>La strategia dell'UE per il suolo per il 2030 definisce la visione a lungo termine secondo la quale entro il 2050 tutti gli ecosistemi del suolo dell'UE siano sani e quindi più resilienti. Un suolo sano può essere decisivo nel contribuire ad affrontare gli obiettivi dell'Unione della neutralità climatica e della resilienza ai cambiamenti climatici, grazie allo sviluppo di una (</w:t>
      </w:r>
      <w:proofErr w:type="spellStart"/>
      <w:r w:rsidRPr="00FF3D47">
        <w:rPr>
          <w:szCs w:val="24"/>
          <w:lang w:eastAsia="en-US"/>
        </w:rPr>
        <w:t>bio</w:t>
      </w:r>
      <w:proofErr w:type="spellEnd"/>
      <w:r w:rsidRPr="00FF3D47">
        <w:rPr>
          <w:szCs w:val="24"/>
          <w:lang w:eastAsia="en-US"/>
        </w:rPr>
        <w:t>)economia pulita e circolare, all'inversione della perdita di biodiversità, alla salvaguardia della salute umana, all'arresto della desertificazione e all'inversione del degrado dei terreni.</w:t>
      </w:r>
    </w:p>
    <w:p w14:paraId="5E47CD03" w14:textId="77777777" w:rsidR="00FF3D47" w:rsidRDefault="00FF3D47" w:rsidP="00FF3D47">
      <w:pPr>
        <w:spacing w:before="120" w:after="120" w:line="360" w:lineRule="auto"/>
        <w:ind w:left="850" w:hanging="850"/>
        <w:rPr>
          <w:szCs w:val="24"/>
          <w:lang w:eastAsia="en-US"/>
        </w:rPr>
      </w:pPr>
      <w:r>
        <w:rPr>
          <w:szCs w:val="24"/>
          <w:lang w:eastAsia="en-US"/>
        </w:rPr>
        <w:br w:type="page"/>
      </w:r>
    </w:p>
    <w:p w14:paraId="6C736210" w14:textId="4F572C35"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(11)</w:t>
      </w:r>
      <w:r w:rsidRPr="00FF3D47">
        <w:rPr>
          <w:szCs w:val="24"/>
          <w:lang w:eastAsia="en-US"/>
        </w:rPr>
        <w:tab/>
        <w:t xml:space="preserve">I finanziamenti sono indispensabili per consentire la transizione verso suoli sani. Il quadro finanziario pluriennale offre diverse opportunità di finanziamento per proteggere, gestire in modo sostenibile e rigenerare i suoli. "Un patto europeo per i suoli" è una delle cinque missioni dell'UE del programma Orizzonte Europa, specificamente dedicata alla promozione della salute del suolo. La missione per i suoli è uno strumento fondamentale per l'attuazione della presente direttiva: mira a guidare la transizione verso suoli sani finanziando un ambizioso programma di ricerca e innovazione, istituendo una rete di 100 "laboratori viventi" (esperimenti e innovazione in un laboratorio sul terreno) e "fari" (luoghi che mettono in mostra le buone pratiche), nelle zone rurali e urbane, promuovendo lo sviluppo di un quadro armonizzato di monitoraggio del suolo e aumentando la consapevolezza dell'importanza del suolo. Tra gli altri programmi dell'Unione che contribuiscono alla sanità dei suoli vi sono la politica agricola comune, i fondi della politica di coesione, il programma per l'ambiente e l'azione per il clima, il programma di lavoro di Orizzonte Europa, lo strumento di sostegno tecnico, il dispositivo per la ripresa e la resilienza e </w:t>
      </w:r>
      <w:proofErr w:type="spellStart"/>
      <w:r w:rsidRPr="00FF3D47">
        <w:rPr>
          <w:szCs w:val="24"/>
          <w:lang w:eastAsia="en-US"/>
        </w:rPr>
        <w:t>InvestEU.</w:t>
      </w:r>
      <w:r w:rsidRPr="00FF3D47">
        <w:rPr>
          <w:b/>
          <w:i/>
          <w:szCs w:val="24"/>
          <w:lang w:eastAsia="en-US"/>
        </w:rPr>
        <w:t>Poiché</w:t>
      </w:r>
      <w:proofErr w:type="spellEnd"/>
      <w:r w:rsidRPr="00FF3D47">
        <w:rPr>
          <w:b/>
          <w:i/>
          <w:szCs w:val="24"/>
          <w:lang w:eastAsia="en-US"/>
        </w:rPr>
        <w:t xml:space="preserve"> l'obiettivo di pervenire a un buono stato di salute per tutti i suoli dell'Unione è di interesse comune, è necessario aumentare la mobilitazione delle risorse per sostenere l'adozione di pratiche di gestione sostenibile del suolo e di pratiche rigenerative, anche attraverso il sostegno della Banca europea per gli investimenti mediante meccanismi di riduzione dei rischi. La Commissione dovrebbe valutare le esigenze e le lacune finanziarie complessive e, se necessario, mettere in atto risorse finanziarie aggiuntive per il periodo successivo al 2027 nell'ambito del quadro finanziario pluriennale e adottare misure volte a garantire la coerenza delle politiche in relazione agli obiettivi della presente direttiva. [</w:t>
      </w:r>
      <w:proofErr w:type="spellStart"/>
      <w:r w:rsidRPr="00FF3D47">
        <w:rPr>
          <w:b/>
          <w:i/>
          <w:szCs w:val="24"/>
          <w:lang w:eastAsia="en-US"/>
        </w:rPr>
        <w:t>Em</w:t>
      </w:r>
      <w:proofErr w:type="spellEnd"/>
      <w:r w:rsidRPr="00FF3D47">
        <w:rPr>
          <w:b/>
          <w:i/>
          <w:szCs w:val="24"/>
          <w:lang w:eastAsia="en-US"/>
        </w:rPr>
        <w:t>. 3]</w:t>
      </w:r>
    </w:p>
    <w:p w14:paraId="7E739F15" w14:textId="77777777" w:rsidR="00FF3D47" w:rsidRDefault="00FF3D47" w:rsidP="00FF3D47">
      <w:pPr>
        <w:spacing w:before="120" w:after="120" w:line="360" w:lineRule="auto"/>
        <w:ind w:left="850" w:hanging="850"/>
        <w:rPr>
          <w:szCs w:val="24"/>
          <w:lang w:eastAsia="en-US"/>
        </w:rPr>
      </w:pPr>
      <w:r>
        <w:rPr>
          <w:szCs w:val="24"/>
          <w:lang w:eastAsia="en-US"/>
        </w:rPr>
        <w:br w:type="page"/>
      </w:r>
    </w:p>
    <w:p w14:paraId="2185F501" w14:textId="64CF4414"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(12)</w:t>
      </w:r>
      <w:r w:rsidRPr="00FF3D47">
        <w:rPr>
          <w:szCs w:val="24"/>
          <w:lang w:eastAsia="en-US"/>
        </w:rPr>
        <w:tab/>
        <w:t>Nella strategia per il suolo per il 2030 la Commissione aveva annunciato una proposta legislativa sulla salute del suolo per realizzare gli obiettivi della strategia e quindi una buona salute del suolo in tutta l'UE entro il 2050. Nella risoluzione del 28 aprile 2021 sulla protezione del suolo</w:t>
      </w:r>
      <w:r w:rsidRPr="00FF3D47">
        <w:rPr>
          <w:szCs w:val="24"/>
          <w:vertAlign w:val="superscript"/>
          <w:lang w:val="en-GB" w:eastAsia="en-US"/>
        </w:rPr>
        <w:footnoteReference w:id="15"/>
      </w:r>
      <w:r w:rsidRPr="00FF3D47">
        <w:rPr>
          <w:szCs w:val="24"/>
          <w:lang w:eastAsia="en-US"/>
        </w:rPr>
        <w:t xml:space="preserve"> il Parlamento europeo ha sottolineato l'importanza di proteggere il suolo e di promuovere la salubrità dei suoli nell'Unione, tenendo conto del persistere del degrado nonostante l'azione limitata e diseguale in alcuni Stati membri. Il Parlamento europeo ha invitato la Commissione a elaborare un quadro giuridico comune a livello dell'UE, nel pieno rispetto del principio di sussidiarietà, per la protezione e l'uso sostenibile del suolo, affrontando tutte le principali minacce per il </w:t>
      </w:r>
      <w:proofErr w:type="spellStart"/>
      <w:r w:rsidRPr="00FF3D47">
        <w:rPr>
          <w:szCs w:val="24"/>
          <w:lang w:eastAsia="en-US"/>
        </w:rPr>
        <w:t>suolo.</w:t>
      </w:r>
      <w:r w:rsidRPr="00FF3D47">
        <w:rPr>
          <w:b/>
          <w:i/>
          <w:szCs w:val="24"/>
          <w:lang w:eastAsia="en-US"/>
        </w:rPr>
        <w:t>Il</w:t>
      </w:r>
      <w:proofErr w:type="spellEnd"/>
      <w:r w:rsidRPr="00FF3D47">
        <w:rPr>
          <w:b/>
          <w:i/>
          <w:szCs w:val="24"/>
          <w:lang w:eastAsia="en-US"/>
        </w:rPr>
        <w:t xml:space="preserve"> Parlamento europeo ha sottolineato i rischi derivanti dall'assenza di condizioni di parità tra gli Stati membri e dai loro diversi regimi di protezione del suolo per il funzionamento del mercato interno e il forte potenziale per stimolare la concorrenza leale nel settore privato, sviluppare soluzioni innovative e know-how e rafforzare l'esportazione di tecnologie al di fuori dell'Unione. [</w:t>
      </w:r>
      <w:proofErr w:type="spellStart"/>
      <w:r w:rsidRPr="00FF3D47">
        <w:rPr>
          <w:b/>
          <w:i/>
          <w:szCs w:val="24"/>
          <w:lang w:eastAsia="en-US"/>
        </w:rPr>
        <w:t>Em</w:t>
      </w:r>
      <w:proofErr w:type="spellEnd"/>
      <w:r w:rsidRPr="00FF3D47">
        <w:rPr>
          <w:b/>
          <w:i/>
          <w:szCs w:val="24"/>
          <w:lang w:eastAsia="en-US"/>
        </w:rPr>
        <w:t>. 4]</w:t>
      </w:r>
    </w:p>
    <w:p w14:paraId="2B14DE23"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(13)</w:t>
      </w:r>
      <w:r w:rsidRPr="00FF3D47">
        <w:rPr>
          <w:szCs w:val="24"/>
          <w:lang w:eastAsia="en-US"/>
        </w:rPr>
        <w:tab/>
        <w:t>Nelle conclusioni del 23 ottobre 2020</w:t>
      </w:r>
      <w:r w:rsidRPr="00FF3D47">
        <w:rPr>
          <w:szCs w:val="24"/>
          <w:vertAlign w:val="superscript"/>
          <w:lang w:val="en-GB" w:eastAsia="en-US"/>
        </w:rPr>
        <w:footnoteReference w:id="16"/>
      </w:r>
      <w:r w:rsidRPr="00FF3D47">
        <w:rPr>
          <w:szCs w:val="24"/>
          <w:lang w:eastAsia="en-US"/>
        </w:rPr>
        <w:t xml:space="preserve"> il Consiglio aveva sostenuto la Commissione nell'intensificazione degli sforzi tesi a una migliore protezione dei suoli e della biodiversità dei suoli in quanto risorsa non rinnovabile di importanza vitale.</w:t>
      </w:r>
    </w:p>
    <w:p w14:paraId="3D7E0589" w14:textId="77777777" w:rsidR="00FF3D47" w:rsidRDefault="00FF3D47" w:rsidP="00FF3D47">
      <w:pPr>
        <w:spacing w:before="120" w:after="120" w:line="360" w:lineRule="auto"/>
        <w:ind w:left="850" w:hanging="850"/>
        <w:rPr>
          <w:szCs w:val="24"/>
          <w:lang w:eastAsia="en-US"/>
        </w:rPr>
      </w:pPr>
      <w:r>
        <w:rPr>
          <w:szCs w:val="24"/>
          <w:lang w:eastAsia="en-US"/>
        </w:rPr>
        <w:br w:type="page"/>
      </w:r>
    </w:p>
    <w:p w14:paraId="5A9AB616" w14:textId="1DE38BFC"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(14)</w:t>
      </w:r>
      <w:r w:rsidRPr="00FF3D47">
        <w:rPr>
          <w:szCs w:val="24"/>
          <w:lang w:eastAsia="en-US"/>
        </w:rPr>
        <w:tab/>
        <w:t>Il regolamento (UE) 2021/1119 del Parlamento europeo e del Consiglio</w:t>
      </w:r>
      <w:r w:rsidRPr="00FF3D47">
        <w:rPr>
          <w:szCs w:val="24"/>
          <w:vertAlign w:val="superscript"/>
          <w:lang w:val="en-GB" w:eastAsia="en-US"/>
        </w:rPr>
        <w:footnoteReference w:id="17"/>
      </w:r>
      <w:r w:rsidRPr="00FF3D47">
        <w:rPr>
          <w:szCs w:val="24"/>
          <w:lang w:eastAsia="en-US"/>
        </w:rPr>
        <w:t xml:space="preserve"> stabilisce l'obiettivo vincolante della neutralità climatica nell'Unione entro il 2050 e successivamente delle emissioni negative, assegnando la priorità a riduzioni rapide e prevedibili delle emissioni e, nel contempo, potenziando gli assorbimenti dai pozzi naturali. La gestione sostenibile del suolo si traduce in un aumento del sequestro del carbonio e, nella maggior parte dei casi, in benefici collaterali per gli ecosistemi e la biodiversità. La comunicazione della Commissione "Cicli del carbonio sostenibili"</w:t>
      </w:r>
      <w:r w:rsidRPr="00FF3D47">
        <w:rPr>
          <w:szCs w:val="24"/>
          <w:vertAlign w:val="superscript"/>
          <w:lang w:val="en-GB" w:eastAsia="en-US"/>
        </w:rPr>
        <w:footnoteReference w:id="18"/>
      </w:r>
      <w:r w:rsidRPr="00FF3D47">
        <w:rPr>
          <w:szCs w:val="24"/>
          <w:lang w:eastAsia="en-US"/>
        </w:rPr>
        <w:t xml:space="preserve"> ha sottolineato la necessità di identificare in modo chiaro e trasparente le attività che assorbono inequivocabilmente carbonio dall'atmosfera, elaborando un quadro UE per la certificazione degli assorbimenti dagli ecosistemi naturali, suoli compresi. Il regolamento riveduto sull'uso del suolo, sui cambiamenti di uso del suolo e sulla silvicoltura non solo considera il carbonio nel suolo determinante per raggiungere gli obiettivi intermedi sul ‏percorso verso un'Europa climaticamente neutra, ma invita gli Stati membri a predisporre un sistema per il monitoraggio delle riserve di carbonio nel suolo, servendosi, tra l'altro, dell'insieme di dati sull'uso o copertura del suolo utilizzati nel programma di indagine statistica LUCAS (Land Use/Cover Area frame </w:t>
      </w:r>
      <w:proofErr w:type="spellStart"/>
      <w:r w:rsidRPr="00FF3D47">
        <w:rPr>
          <w:szCs w:val="24"/>
          <w:lang w:eastAsia="en-US"/>
        </w:rPr>
        <w:t>statistical</w:t>
      </w:r>
      <w:proofErr w:type="spellEnd"/>
      <w:r w:rsidRPr="00FF3D47">
        <w:rPr>
          <w:szCs w:val="24"/>
          <w:lang w:eastAsia="en-US"/>
        </w:rPr>
        <w:t xml:space="preserve"> </w:t>
      </w:r>
      <w:proofErr w:type="spellStart"/>
      <w:r w:rsidRPr="00FF3D47">
        <w:rPr>
          <w:szCs w:val="24"/>
          <w:lang w:eastAsia="en-US"/>
        </w:rPr>
        <w:t>Survey</w:t>
      </w:r>
      <w:proofErr w:type="spellEnd"/>
      <w:r w:rsidRPr="00FF3D47">
        <w:rPr>
          <w:szCs w:val="24"/>
          <w:lang w:eastAsia="en-US"/>
        </w:rPr>
        <w:t>).</w:t>
      </w:r>
    </w:p>
    <w:p w14:paraId="2B7E93B1" w14:textId="77777777" w:rsidR="00FF3D47" w:rsidRDefault="00FF3D47" w:rsidP="00FF3D47">
      <w:pPr>
        <w:spacing w:before="120" w:after="120" w:line="360" w:lineRule="auto"/>
        <w:ind w:left="850" w:hanging="850"/>
        <w:rPr>
          <w:szCs w:val="24"/>
          <w:lang w:eastAsia="en-US"/>
        </w:rPr>
      </w:pPr>
      <w:r>
        <w:rPr>
          <w:szCs w:val="24"/>
          <w:lang w:eastAsia="en-US"/>
        </w:rPr>
        <w:br w:type="page"/>
      </w:r>
    </w:p>
    <w:p w14:paraId="7C484DDE" w14:textId="73C6C4F3"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(15)</w:t>
      </w:r>
      <w:r w:rsidRPr="00FF3D47">
        <w:rPr>
          <w:szCs w:val="24"/>
          <w:lang w:eastAsia="en-US"/>
        </w:rPr>
        <w:tab/>
        <w:t>Nella comunicazione sull'adattamento ai cambiamenti climatici</w:t>
      </w:r>
      <w:r w:rsidRPr="00FF3D47">
        <w:rPr>
          <w:szCs w:val="24"/>
          <w:vertAlign w:val="superscript"/>
          <w:lang w:val="en-GB" w:eastAsia="en-US"/>
        </w:rPr>
        <w:footnoteReference w:id="19"/>
      </w:r>
      <w:r w:rsidRPr="00FF3D47">
        <w:rPr>
          <w:szCs w:val="24"/>
          <w:lang w:eastAsia="en-US"/>
        </w:rPr>
        <w:t xml:space="preserve"> la Commissione ha sottolineato che nell'entroterra l'utilizzo di soluzioni basate sulla natura, tra cui il recupero della funzione di assorbimento dei suoli, rafforzerà l'approvvigionamento di acqua pulita e dolce, ridurrà il rischio di inondazioni e attenuerà gli effetti della siccità. È importante massimizzare la capacità del suolo di trattenere e depurare l'acqua e ridurre l'inquinamento.</w:t>
      </w:r>
    </w:p>
    <w:p w14:paraId="7CE042B8"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(16)</w:t>
      </w:r>
      <w:r w:rsidRPr="00FF3D47">
        <w:rPr>
          <w:szCs w:val="24"/>
          <w:lang w:eastAsia="en-US"/>
        </w:rPr>
        <w:tab/>
        <w:t>Nel piano d'azione verso l'inquinamento zero la Commissione definisce la visione per il 2050: l'inquinamento dell'aria, dell'acqua e del suolo è ridotto a livelli che non sono più considerati nocivi per la salute e per gli ecosistemi naturali e che rispettano limiti sostenibili per il nostro pianeta, così da creare un ambiente privo di sostanze tossiche.</w:t>
      </w:r>
    </w:p>
    <w:p w14:paraId="426C7D76"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(17)</w:t>
      </w:r>
      <w:r w:rsidRPr="00FF3D47">
        <w:rPr>
          <w:szCs w:val="24"/>
          <w:lang w:eastAsia="en-US"/>
        </w:rPr>
        <w:tab/>
        <w:t>La comunicazione della Commissione sulla salvaguardia della sicurezza alimentare e il rafforzamento della resilienza dei sistemi alimentari</w:t>
      </w:r>
      <w:r w:rsidRPr="00FF3D47">
        <w:rPr>
          <w:szCs w:val="24"/>
          <w:vertAlign w:val="superscript"/>
          <w:lang w:val="en-GB" w:eastAsia="en-US"/>
        </w:rPr>
        <w:footnoteReference w:id="20"/>
      </w:r>
      <w:r w:rsidRPr="00FF3D47">
        <w:rPr>
          <w:szCs w:val="24"/>
          <w:lang w:eastAsia="en-US"/>
        </w:rPr>
        <w:t xml:space="preserve"> ha sottolineato che la sostenibilità alimentare è fondamentale per la sicurezza alimentare. Suoli sani rendono il sistema alimentare dell'Unione più resiliente, e sono alla base di un'alimentazione nutriente in quantità sufficiente.</w:t>
      </w:r>
    </w:p>
    <w:p w14:paraId="1230B8B3" w14:textId="77777777" w:rsidR="00FF3D47" w:rsidRDefault="00FF3D47" w:rsidP="00FF3D47">
      <w:pPr>
        <w:spacing w:before="120" w:after="120" w:line="360" w:lineRule="auto"/>
        <w:ind w:left="850" w:hanging="850"/>
        <w:rPr>
          <w:szCs w:val="24"/>
          <w:lang w:eastAsia="en-US"/>
        </w:rPr>
      </w:pPr>
      <w:r>
        <w:rPr>
          <w:szCs w:val="24"/>
          <w:lang w:eastAsia="en-US"/>
        </w:rPr>
        <w:br w:type="page"/>
      </w:r>
    </w:p>
    <w:p w14:paraId="5715F201" w14:textId="146C1A11"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(18)</w:t>
      </w:r>
      <w:r w:rsidRPr="00FF3D47">
        <w:rPr>
          <w:szCs w:val="24"/>
          <w:lang w:eastAsia="en-US"/>
        </w:rPr>
        <w:tab/>
      </w:r>
      <w:r w:rsidRPr="00FF3D47">
        <w:rPr>
          <w:strike/>
          <w:szCs w:val="24"/>
          <w:lang w:eastAsia="en-US"/>
        </w:rPr>
        <w:t xml:space="preserve">Sono </w:t>
      </w:r>
      <w:proofErr w:type="spellStart"/>
      <w:r w:rsidRPr="00FF3D47">
        <w:rPr>
          <w:strike/>
          <w:szCs w:val="24"/>
          <w:lang w:eastAsia="en-US"/>
        </w:rPr>
        <w:t>necessarie</w:t>
      </w:r>
      <w:r w:rsidRPr="00FF3D47">
        <w:rPr>
          <w:b/>
          <w:i/>
          <w:szCs w:val="24"/>
          <w:lang w:eastAsia="en-US"/>
        </w:rPr>
        <w:t>È</w:t>
      </w:r>
      <w:proofErr w:type="spellEnd"/>
      <w:r w:rsidRPr="00FF3D47">
        <w:rPr>
          <w:b/>
          <w:i/>
          <w:szCs w:val="24"/>
          <w:lang w:eastAsia="en-US"/>
        </w:rPr>
        <w:t xml:space="preserve"> fondamentale stabilire</w:t>
      </w:r>
      <w:r w:rsidRPr="00FF3D47">
        <w:rPr>
          <w:szCs w:val="24"/>
          <w:lang w:eastAsia="en-US"/>
        </w:rPr>
        <w:t xml:space="preserve"> misure</w:t>
      </w:r>
      <w:r w:rsidRPr="00FF3D47">
        <w:rPr>
          <w:b/>
          <w:i/>
          <w:szCs w:val="24"/>
          <w:lang w:eastAsia="en-US"/>
        </w:rPr>
        <w:t xml:space="preserve"> adeguate</w:t>
      </w:r>
      <w:r w:rsidRPr="00FF3D47">
        <w:rPr>
          <w:szCs w:val="24"/>
          <w:lang w:eastAsia="en-US"/>
        </w:rPr>
        <w:t xml:space="preserve"> per monitorare e valutare la salute dei suoli</w:t>
      </w:r>
      <w:r w:rsidRPr="00FF3D47">
        <w:rPr>
          <w:b/>
          <w:i/>
          <w:szCs w:val="24"/>
          <w:lang w:eastAsia="en-US"/>
        </w:rPr>
        <w:t xml:space="preserve"> in modo armonizzato a livello dell'Unione</w:t>
      </w:r>
      <w:r w:rsidRPr="00FF3D47">
        <w:rPr>
          <w:szCs w:val="24"/>
          <w:lang w:eastAsia="en-US"/>
        </w:rPr>
        <w:t>, gestirli in modo sostenibile, affrontare il problema delle contaminazioni per ripristinare la salute dei suoli entro il 2050, mantenerli in buone condizioni e conseguire gli obiettivi dell'Unione in materia di clima e biodiversità, prevenire e combattere la siccità e le catastrofi naturali, proteggere la salute umana e garantire la sicurezza alimentare.</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5]</w:t>
      </w:r>
    </w:p>
    <w:p w14:paraId="7FF1FDE8"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(19)</w:t>
      </w:r>
      <w:r w:rsidRPr="00FF3D47">
        <w:rPr>
          <w:szCs w:val="24"/>
          <w:lang w:eastAsia="en-US"/>
        </w:rPr>
        <w:tab/>
        <w:t>I suoli ospitano oltre il 25 % della biodiversità e sono il secondo comparto di carbonio del pianeta. Grazie alla capacità di catturare e stoccare il carbonio, i suoli sani contribuiscono a conseguire gli obiettivi dell'Unione in materia di cambiamenti climatici.</w:t>
      </w:r>
      <w:r w:rsidRPr="00FF3D47">
        <w:rPr>
          <w:b/>
          <w:i/>
          <w:szCs w:val="24"/>
          <w:lang w:eastAsia="en-US"/>
        </w:rPr>
        <w:t xml:space="preserve"> La biodiversità del suolo comprende microrganismi, tra cui batteri, funghi, protozoi e nematodi, nonché organismi più grandi come lombrichi, insetti e radici delle piante, che contribuiscono collettivamente alla diversità ecologica e funzionale degli ecosistemi del suolo. </w:t>
      </w:r>
      <w:r w:rsidRPr="00FF3D47">
        <w:rPr>
          <w:szCs w:val="24"/>
          <w:lang w:eastAsia="en-US"/>
        </w:rPr>
        <w:t>I suoli sani offrono un habitat favorevole agli organismi e sono indispensabili per migliorare la biodiversità e la stabilità degli ecosistemi. La biodiversità è capillarmente interconnessa sotto e sopra il suolo e interagisce in relazioni mutualistiche (i funghi micorrizici, ad esempio, collegano le radici delle piante).</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6]</w:t>
      </w:r>
    </w:p>
    <w:p w14:paraId="37F4D5A7" w14:textId="77777777" w:rsidR="00295DAB" w:rsidRDefault="00295DAB" w:rsidP="00FF3D47">
      <w:pPr>
        <w:spacing w:before="120" w:after="120" w:line="360" w:lineRule="auto"/>
        <w:ind w:left="850" w:hanging="850"/>
        <w:rPr>
          <w:b/>
          <w:i/>
          <w:szCs w:val="24"/>
          <w:lang w:eastAsia="en-US"/>
        </w:rPr>
      </w:pPr>
      <w:r>
        <w:rPr>
          <w:b/>
          <w:i/>
          <w:szCs w:val="24"/>
          <w:lang w:eastAsia="en-US"/>
        </w:rPr>
        <w:br w:type="page"/>
      </w:r>
    </w:p>
    <w:p w14:paraId="01A69C8E" w14:textId="199D05D1"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(19a)</w:t>
      </w:r>
      <w:r w:rsidRPr="00FF3D47">
        <w:rPr>
          <w:szCs w:val="24"/>
          <w:lang w:eastAsia="en-US"/>
        </w:rPr>
        <w:tab/>
      </w:r>
      <w:r w:rsidRPr="00FF3D47">
        <w:rPr>
          <w:b/>
          <w:i/>
          <w:szCs w:val="24"/>
          <w:lang w:eastAsia="en-US"/>
        </w:rPr>
        <w:t xml:space="preserve">La materia organica del suolo è fondamentale per la fornitura dei servizi e delle funzioni </w:t>
      </w:r>
      <w:proofErr w:type="spellStart"/>
      <w:r w:rsidRPr="00FF3D47">
        <w:rPr>
          <w:b/>
          <w:i/>
          <w:szCs w:val="24"/>
          <w:lang w:eastAsia="en-US"/>
        </w:rPr>
        <w:t>ecosistemici</w:t>
      </w:r>
      <w:proofErr w:type="spellEnd"/>
      <w:r w:rsidRPr="00FF3D47">
        <w:rPr>
          <w:b/>
          <w:i/>
          <w:szCs w:val="24"/>
          <w:lang w:eastAsia="en-US"/>
        </w:rPr>
        <w:t xml:space="preserve"> del suolo, in quanto riduce il degrado, l'erosione e la compattazione del suolo e nel contempo aumenta le capacità del suolo e del carbonio organico del suolo di tamponamento, ritenzione dell'acqua e scambio di cationi, che in ultima analisi potrebbe aumentare la resa delle colture. Inoltre, la materia organica del suolo incide positivamente sulla biodiversità del suolo e potrebbe aumentare il carbonio sequestrato nei suoli, contribuendo in tal modo alla mitigazione dei cambiamenti climatici. [</w:t>
      </w:r>
      <w:proofErr w:type="spellStart"/>
      <w:r w:rsidRPr="00FF3D47">
        <w:rPr>
          <w:b/>
          <w:i/>
          <w:szCs w:val="24"/>
          <w:lang w:eastAsia="en-US"/>
        </w:rPr>
        <w:t>Em</w:t>
      </w:r>
      <w:proofErr w:type="spellEnd"/>
      <w:r w:rsidRPr="00FF3D47">
        <w:rPr>
          <w:b/>
          <w:i/>
          <w:szCs w:val="24"/>
          <w:lang w:eastAsia="en-US"/>
        </w:rPr>
        <w:t>. 7]</w:t>
      </w:r>
    </w:p>
    <w:p w14:paraId="1F5FC196" w14:textId="77777777" w:rsidR="00295DAB" w:rsidRDefault="00295DAB" w:rsidP="00FF3D47">
      <w:pPr>
        <w:spacing w:before="120" w:after="120" w:line="360" w:lineRule="auto"/>
        <w:ind w:left="850" w:hanging="850"/>
        <w:rPr>
          <w:szCs w:val="24"/>
          <w:lang w:eastAsia="en-US"/>
        </w:rPr>
      </w:pPr>
      <w:r>
        <w:rPr>
          <w:szCs w:val="24"/>
          <w:lang w:eastAsia="en-US"/>
        </w:rPr>
        <w:br w:type="page"/>
      </w:r>
    </w:p>
    <w:p w14:paraId="6FD09D05" w14:textId="3273CBD7"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(20)</w:t>
      </w:r>
      <w:r w:rsidRPr="00FF3D47">
        <w:rPr>
          <w:szCs w:val="24"/>
          <w:lang w:eastAsia="en-US"/>
        </w:rPr>
        <w:tab/>
        <w:t>Inondazioni, incendi boschivi ed eventi meteorologici estremi sono rischi di catastrofi naturali che destano la massima preoccupazione in tutta Europa. La preoccupazione per la siccità e la carenza idrica è in rapido aumento nell'Unione. Nel 2020 gli Stati membri che hanno considerato siccità e carenza idrica rischi emergenti o rischi di catastrofi legate al clima sono stati 24 rispetto a soltanto 11 nel 2015. La sanità dei suoli è fondamentale per resistere alla siccità e alle catastrofi naturali. Le pratiche che migliorano la ritenzione idrica e la disponibilità di nutrienti nei suoli, la struttura, la biodiversità del suolo e il sequestro del carbonio aumentano la capacità degli ecosistemi, delle piante e delle colture di resistere e riprendersi da siccità, calamità naturali, ondate di calore ed eventi meteorologici estremi che in futuro diventeranno più frequenti a causa dei cambiamenti climatici. Senza un'adeguata gestione del suolo, la siccità e le catastrofi naturali degradano il suolo e lo rendono insalubre. Il miglioramento della salute del suolo contribuisce ad attenuare le perdite economiche e gli incidenti mortali associati agli eventi estremi legati al clima, pari a circa 560 miliardi di EUR e a oltre 182 000 vittime nell'Unione tra il 1980 e il 2021.</w:t>
      </w:r>
    </w:p>
    <w:p w14:paraId="39A326C3" w14:textId="77777777" w:rsidR="00295DAB" w:rsidRDefault="00295DAB" w:rsidP="00FF3D47">
      <w:pPr>
        <w:spacing w:before="120" w:after="120" w:line="360" w:lineRule="auto"/>
        <w:ind w:left="850" w:hanging="850"/>
        <w:rPr>
          <w:szCs w:val="24"/>
          <w:lang w:eastAsia="en-US"/>
        </w:rPr>
      </w:pPr>
      <w:r>
        <w:rPr>
          <w:szCs w:val="24"/>
          <w:lang w:eastAsia="en-US"/>
        </w:rPr>
        <w:br w:type="page"/>
      </w:r>
    </w:p>
    <w:p w14:paraId="3124B3D1" w14:textId="057D794D"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(21)</w:t>
      </w:r>
      <w:r w:rsidRPr="00FF3D47">
        <w:rPr>
          <w:szCs w:val="24"/>
          <w:lang w:eastAsia="en-US"/>
        </w:rPr>
        <w:tab/>
        <w:t>La salute del suolo contribuisce direttamente alla salute e al benessere del genere umano. I suoli sani danno alimenti sicuri e nutrienti e sono in grado di filtrare i contaminanti, preservando in tal modo la qualità dell'acqua potabile. La contaminazione del suolo può danneggiare la salute umana per ingestione, inalazione o contatto cutaneo. L'esposizione dell'uomo alla comunità microbica di un suolo sano serve a sviluppare il sistema immunitario e la resistenza a determinate malattie e allergie. I suoli sani favoriscono la crescita di alberi, fiori, erba e creano infrastrutture verdi che offrono valore estetico, benessere e qualità della vita.</w:t>
      </w:r>
    </w:p>
    <w:p w14:paraId="681326A0" w14:textId="77777777" w:rsidR="00FF3D47" w:rsidRPr="00FF3D47" w:rsidRDefault="00FF3D47" w:rsidP="00FF3D47">
      <w:pPr>
        <w:spacing w:before="120" w:after="120" w:line="360" w:lineRule="auto"/>
        <w:ind w:left="850" w:hanging="850"/>
        <w:rPr>
          <w:szCs w:val="24"/>
          <w:lang w:eastAsia="en-US"/>
        </w:rPr>
      </w:pPr>
      <w:r w:rsidRPr="00FF3D47">
        <w:rPr>
          <w:b/>
          <w:i/>
          <w:szCs w:val="24"/>
          <w:lang w:eastAsia="en-US"/>
        </w:rPr>
        <w:t>(21a)</w:t>
      </w:r>
      <w:r w:rsidRPr="00FF3D47">
        <w:rPr>
          <w:szCs w:val="24"/>
          <w:lang w:eastAsia="en-US"/>
        </w:rPr>
        <w:tab/>
      </w:r>
      <w:r w:rsidRPr="00FF3D47">
        <w:rPr>
          <w:b/>
          <w:i/>
          <w:szCs w:val="24"/>
          <w:lang w:eastAsia="en-US"/>
        </w:rPr>
        <w:t xml:space="preserve">È stato osservato che spesso le sostanze per- e </w:t>
      </w:r>
      <w:proofErr w:type="spellStart"/>
      <w:r w:rsidRPr="00FF3D47">
        <w:rPr>
          <w:b/>
          <w:i/>
          <w:szCs w:val="24"/>
          <w:lang w:eastAsia="en-US"/>
        </w:rPr>
        <w:t>polifluoroalchiliche</w:t>
      </w:r>
      <w:proofErr w:type="spellEnd"/>
      <w:r w:rsidRPr="00FF3D47">
        <w:rPr>
          <w:b/>
          <w:i/>
          <w:szCs w:val="24"/>
          <w:lang w:eastAsia="en-US"/>
        </w:rPr>
        <w:t xml:space="preserve"> (</w:t>
      </w:r>
      <w:proofErr w:type="gramStart"/>
      <w:r w:rsidRPr="00FF3D47">
        <w:rPr>
          <w:b/>
          <w:i/>
          <w:szCs w:val="24"/>
          <w:lang w:eastAsia="en-US"/>
        </w:rPr>
        <w:t>PFAS )</w:t>
      </w:r>
      <w:proofErr w:type="gramEnd"/>
      <w:r w:rsidRPr="00FF3D47">
        <w:rPr>
          <w:b/>
          <w:i/>
          <w:szCs w:val="24"/>
          <w:lang w:eastAsia="en-US"/>
        </w:rPr>
        <w:t xml:space="preserve"> contaminano le acque sotterranee, le acque superficiali e il suolo. Tali sostanze sono in grado di alterare le proprietà e le strutture del suolo e tra gli effetti segnalati figurano la diminuzione della respirazione del suolo e degli aggregati stabili all'acqua e l'aumento del </w:t>
      </w:r>
      <w:proofErr w:type="spellStart"/>
      <w:r w:rsidRPr="00FF3D47">
        <w:rPr>
          <w:b/>
          <w:i/>
          <w:szCs w:val="24"/>
          <w:lang w:eastAsia="en-US"/>
        </w:rPr>
        <w:t>pH</w:t>
      </w:r>
      <w:proofErr w:type="spellEnd"/>
      <w:r w:rsidRPr="00FF3D47">
        <w:rPr>
          <w:b/>
          <w:i/>
          <w:szCs w:val="24"/>
          <w:lang w:eastAsia="en-US"/>
        </w:rPr>
        <w:t xml:space="preserve"> del suolo. [</w:t>
      </w:r>
      <w:proofErr w:type="spellStart"/>
      <w:r w:rsidRPr="00FF3D47">
        <w:rPr>
          <w:b/>
          <w:i/>
          <w:szCs w:val="24"/>
          <w:lang w:eastAsia="en-US"/>
        </w:rPr>
        <w:t>Em</w:t>
      </w:r>
      <w:proofErr w:type="spellEnd"/>
      <w:r w:rsidRPr="00FF3D47">
        <w:rPr>
          <w:b/>
          <w:i/>
          <w:szCs w:val="24"/>
          <w:lang w:eastAsia="en-US"/>
        </w:rPr>
        <w:t>. 8]</w:t>
      </w:r>
    </w:p>
    <w:p w14:paraId="6C0F3036" w14:textId="77777777" w:rsidR="00295DAB" w:rsidRDefault="00295DAB" w:rsidP="00FF3D47">
      <w:pPr>
        <w:spacing w:before="120" w:after="120" w:line="360" w:lineRule="auto"/>
        <w:ind w:left="850" w:hanging="850"/>
        <w:rPr>
          <w:szCs w:val="24"/>
          <w:lang w:eastAsia="en-US"/>
        </w:rPr>
      </w:pPr>
      <w:r>
        <w:rPr>
          <w:szCs w:val="24"/>
          <w:lang w:eastAsia="en-US"/>
        </w:rPr>
        <w:br w:type="page"/>
      </w:r>
    </w:p>
    <w:p w14:paraId="41BDAFD3" w14:textId="431A8939"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(22)</w:t>
      </w:r>
      <w:r w:rsidRPr="00FF3D47">
        <w:rPr>
          <w:szCs w:val="24"/>
          <w:lang w:eastAsia="en-US"/>
        </w:rPr>
        <w:tab/>
        <w:t xml:space="preserve">Il degrado del suolo incide sulla fertilità, sulle rese, sulla resistenza ai parassiti e sulla qualità nutrizionale degli alimenti. Poiché il 95 % degli alimenti è prodotto direttamente o indirettamente sul suolo e la popolazione mondiale continua ad aumentare, è fondamentale che questa risorsa naturale limitata resti sana ai fini della sicurezza alimentare a lungo termine e della produttività e redditività dell'agricoltura </w:t>
      </w:r>
      <w:proofErr w:type="spellStart"/>
      <w:r w:rsidRPr="00FF3D47">
        <w:rPr>
          <w:szCs w:val="24"/>
          <w:lang w:eastAsia="en-US"/>
        </w:rPr>
        <w:t>unionale</w:t>
      </w:r>
      <w:proofErr w:type="spellEnd"/>
      <w:r w:rsidRPr="00FF3D47">
        <w:rPr>
          <w:szCs w:val="24"/>
          <w:lang w:eastAsia="en-US"/>
        </w:rPr>
        <w:t>. Le pratiche di gestione sostenibile del suolo</w:t>
      </w:r>
      <w:r w:rsidRPr="00FF3D47">
        <w:rPr>
          <w:b/>
          <w:i/>
          <w:szCs w:val="24"/>
          <w:lang w:eastAsia="en-US"/>
        </w:rPr>
        <w:t>, tra cui quelle definite dalla politica agricola comune,</w:t>
      </w:r>
      <w:r w:rsidRPr="00FF3D47">
        <w:rPr>
          <w:szCs w:val="24"/>
          <w:lang w:eastAsia="en-US"/>
        </w:rPr>
        <w:t xml:space="preserve"> mantengono o migliorano la salute del suolo e contribuiscono alla sostenibilità e alla resilienza del sistema </w:t>
      </w:r>
      <w:proofErr w:type="spellStart"/>
      <w:proofErr w:type="gramStart"/>
      <w:r w:rsidRPr="00FF3D47">
        <w:rPr>
          <w:szCs w:val="24"/>
          <w:lang w:eastAsia="en-US"/>
        </w:rPr>
        <w:t>alimentare.</w:t>
      </w:r>
      <w:r w:rsidRPr="00FF3D47">
        <w:rPr>
          <w:b/>
          <w:i/>
          <w:szCs w:val="24"/>
          <w:lang w:eastAsia="en-US"/>
        </w:rPr>
        <w:t>A</w:t>
      </w:r>
      <w:proofErr w:type="spellEnd"/>
      <w:proofErr w:type="gramEnd"/>
      <w:r w:rsidRPr="00FF3D47">
        <w:rPr>
          <w:b/>
          <w:i/>
          <w:szCs w:val="24"/>
          <w:lang w:eastAsia="en-US"/>
        </w:rPr>
        <w:t xml:space="preserve"> tale riguardo è essenziale ridurre le perdite di nutrienti e i residui di pesticidi. [</w:t>
      </w:r>
      <w:proofErr w:type="spellStart"/>
      <w:r w:rsidRPr="00FF3D47">
        <w:rPr>
          <w:b/>
          <w:i/>
          <w:szCs w:val="24"/>
          <w:lang w:eastAsia="en-US"/>
        </w:rPr>
        <w:t>Em</w:t>
      </w:r>
      <w:proofErr w:type="spellEnd"/>
      <w:r w:rsidRPr="00FF3D47">
        <w:rPr>
          <w:b/>
          <w:i/>
          <w:szCs w:val="24"/>
          <w:lang w:eastAsia="en-US"/>
        </w:rPr>
        <w:t>. 9]</w:t>
      </w:r>
    </w:p>
    <w:p w14:paraId="3EDD2D40" w14:textId="77777777" w:rsidR="00295DAB" w:rsidRDefault="00295DAB" w:rsidP="00FF3D47">
      <w:pPr>
        <w:spacing w:before="120" w:after="120" w:line="360" w:lineRule="auto"/>
        <w:ind w:left="850" w:hanging="850"/>
        <w:rPr>
          <w:szCs w:val="24"/>
          <w:lang w:eastAsia="en-US"/>
        </w:rPr>
      </w:pPr>
      <w:r>
        <w:rPr>
          <w:szCs w:val="24"/>
          <w:lang w:eastAsia="en-US"/>
        </w:rPr>
        <w:br w:type="page"/>
      </w:r>
    </w:p>
    <w:p w14:paraId="250F1A7B" w14:textId="71575823"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(23)</w:t>
      </w:r>
      <w:r w:rsidRPr="00FF3D47">
        <w:rPr>
          <w:szCs w:val="24"/>
          <w:lang w:eastAsia="en-US"/>
        </w:rPr>
        <w:tab/>
        <w:t xml:space="preserve">L'obiettivo a lungo termine della direttiva è conseguire suoli sani </w:t>
      </w:r>
      <w:r w:rsidRPr="00FF3D47">
        <w:rPr>
          <w:b/>
          <w:i/>
          <w:szCs w:val="24"/>
          <w:lang w:eastAsia="en-US"/>
        </w:rPr>
        <w:t xml:space="preserve">in tutta l'Unione entro il 2050. Come fase intermedia, alla luce della conoscenza limitata delle condizioni dei suoli, dell'efficacia e dei costi delle misure volte a rigenerarne la salute, la direttiva adotta un approccio graduale. In un primo tempo si provvederà a istituire un quadro di monitoraggio e a valutare la situazione dei suoli in tutta l'UE. Gli Stati membri dovrebbero definire pratiche di gestione sostenibile del suolo tenendo conto dei principi non vincolanti di cui all'allegato III della presente direttiva. Gli Stati membri dispongono della flessibilità necessaria per decidere in merito alle pratiche concrete da attuare, se del caso, tenendo conto delle condizioni locali e della loro fattibilità, al fine di agevolare il conseguimento </w:t>
      </w:r>
      <w:proofErr w:type="spellStart"/>
      <w:r w:rsidRPr="00FF3D47">
        <w:rPr>
          <w:b/>
          <w:i/>
          <w:szCs w:val="24"/>
          <w:lang w:eastAsia="en-US"/>
        </w:rPr>
        <w:t>di</w:t>
      </w:r>
      <w:r w:rsidRPr="00FF3D47">
        <w:rPr>
          <w:strike/>
          <w:szCs w:val="24"/>
          <w:lang w:eastAsia="en-US"/>
        </w:rPr>
        <w:t>entro</w:t>
      </w:r>
      <w:proofErr w:type="spellEnd"/>
      <w:r w:rsidRPr="00FF3D47">
        <w:rPr>
          <w:strike/>
          <w:szCs w:val="24"/>
          <w:lang w:eastAsia="en-US"/>
        </w:rPr>
        <w:t xml:space="preserve"> il 2050. Come fase intermedia, alla luce della conoscenza limitata delle condizioni dei suoli, dell'efficacia e dei costi delle misure volte a rigenerarne la salute, la direttiva adotta un approccio graduale. In un primo tempo si provvederà a istituire un quadro di monitoraggio e a valutare la situazione dei suoli in tutta l'UE. Sono previste misure per gestire i suoli in modo sostenibile e rigenerare quelli non sani una volta accertate le loro condizioni, senza tuttavia l'obbligo di conseguire</w:t>
      </w:r>
      <w:r w:rsidRPr="00FF3D47">
        <w:rPr>
          <w:szCs w:val="24"/>
          <w:lang w:eastAsia="en-US"/>
        </w:rPr>
        <w:t xml:space="preserve"> suoli sani entro il 2050</w:t>
      </w:r>
      <w:r w:rsidRPr="00FF3D47">
        <w:rPr>
          <w:strike/>
          <w:szCs w:val="24"/>
          <w:lang w:eastAsia="en-US"/>
        </w:rPr>
        <w:t xml:space="preserve"> né traguardi intermedi</w:t>
      </w:r>
      <w:r w:rsidRPr="00FF3D47">
        <w:rPr>
          <w:szCs w:val="24"/>
          <w:lang w:eastAsia="en-US"/>
        </w:rPr>
        <w:t xml:space="preserve">. Questo approccio proporzionale permetterà di preparare con cura, incentivare e mettere in atto la gestione sostenibile del suolo e la rigenerazione dei suoli non sani. In un secondo tempo, una volta disponibili i risultati della prima valutazione dei suoli e l'analisi delle tendenze, la Commissione farà il punto sui progressi compiuti verso l'obiettivo 2050 e sulla relativa esperienza e proporrà un riesame della direttiva se necessario per </w:t>
      </w:r>
      <w:r w:rsidRPr="00FF3D47">
        <w:rPr>
          <w:strike/>
          <w:szCs w:val="24"/>
          <w:lang w:eastAsia="en-US"/>
        </w:rPr>
        <w:t xml:space="preserve">accelerare i progressi </w:t>
      </w:r>
      <w:proofErr w:type="spellStart"/>
      <w:r w:rsidRPr="00FF3D47">
        <w:rPr>
          <w:strike/>
          <w:szCs w:val="24"/>
          <w:lang w:eastAsia="en-US"/>
        </w:rPr>
        <w:t>verso</w:t>
      </w:r>
      <w:r w:rsidRPr="00FF3D47">
        <w:rPr>
          <w:b/>
          <w:i/>
          <w:szCs w:val="24"/>
          <w:lang w:eastAsia="en-US"/>
        </w:rPr>
        <w:t>conseguire</w:t>
      </w:r>
      <w:proofErr w:type="spellEnd"/>
      <w:r w:rsidRPr="00FF3D47">
        <w:rPr>
          <w:b/>
          <w:i/>
          <w:szCs w:val="24"/>
          <w:lang w:eastAsia="en-US"/>
        </w:rPr>
        <w:t xml:space="preserve"> l'obiettivo per</w:t>
      </w:r>
      <w:r w:rsidRPr="00FF3D47">
        <w:rPr>
          <w:szCs w:val="24"/>
          <w:lang w:eastAsia="en-US"/>
        </w:rPr>
        <w:t xml:space="preserve"> il 2050.</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10]</w:t>
      </w:r>
    </w:p>
    <w:p w14:paraId="5E304FD0" w14:textId="77777777" w:rsidR="00295DAB" w:rsidRDefault="00295DAB" w:rsidP="00FF3D47">
      <w:pPr>
        <w:spacing w:before="120" w:after="120" w:line="360" w:lineRule="auto"/>
        <w:ind w:left="850" w:hanging="850"/>
        <w:rPr>
          <w:szCs w:val="24"/>
          <w:lang w:eastAsia="en-US"/>
        </w:rPr>
      </w:pPr>
      <w:r>
        <w:rPr>
          <w:szCs w:val="24"/>
          <w:lang w:eastAsia="en-US"/>
        </w:rPr>
        <w:br w:type="page"/>
      </w:r>
    </w:p>
    <w:p w14:paraId="4F779894" w14:textId="01EF8E3C"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(24)</w:t>
      </w:r>
      <w:r w:rsidRPr="00FF3D47">
        <w:rPr>
          <w:szCs w:val="24"/>
          <w:lang w:eastAsia="en-US"/>
        </w:rPr>
        <w:tab/>
        <w:t>Per far fronte alle pressioni sui suoli e individuare misure idonee a mantenere o rigenerare la salute del suolo è necessario tenere conto della varietà dei tipi, delle specificità locali e climatiche e dell'uso o della copertura del suolo. È pertanto opportuno che gli Stati membri istituiscano distretti del suolo</w:t>
      </w:r>
      <w:r w:rsidRPr="00FF3D47">
        <w:rPr>
          <w:b/>
          <w:i/>
          <w:szCs w:val="24"/>
          <w:lang w:eastAsia="en-US"/>
        </w:rPr>
        <w:t xml:space="preserve"> in grado di riflettere adeguatamente le condizioni pedoclimatiche e la varietà dei suoli sull'intero territorio nazionale</w:t>
      </w:r>
      <w:r w:rsidRPr="00FF3D47">
        <w:rPr>
          <w:szCs w:val="24"/>
          <w:lang w:eastAsia="en-US"/>
        </w:rPr>
        <w:t>. I distretti del suolo dovrebbero costituire le unità di base per gestire i suoli e per adottare misure conformi ai requisiti stabiliti della presente direttiva, in particolare per quanto riguarda il monitoraggio e la valutazione della salute del suolo</w:t>
      </w:r>
      <w:r w:rsidRPr="00FF3D47">
        <w:rPr>
          <w:strike/>
          <w:szCs w:val="24"/>
          <w:lang w:eastAsia="en-US"/>
        </w:rPr>
        <w:t>. Per facilitare l'attuazione del regolamento (UE).../... del Parlamento europeo e del Consiglio</w:t>
      </w:r>
      <w:r w:rsidRPr="00FF3D47">
        <w:rPr>
          <w:szCs w:val="24"/>
          <w:vertAlign w:val="superscript"/>
          <w:lang w:val="en-GB" w:eastAsia="en-US"/>
        </w:rPr>
        <w:footnoteReference w:id="21"/>
      </w:r>
      <w:r w:rsidRPr="00FF3D47">
        <w:rPr>
          <w:strike/>
          <w:szCs w:val="24"/>
          <w:lang w:eastAsia="en-US"/>
        </w:rPr>
        <w:t xml:space="preserve"> è necessario determinare il numero, l'estensione geografica e i confini dei distretti del suolo di ciascuno Stato membro</w:t>
      </w:r>
      <w:r w:rsidRPr="00FF3D47">
        <w:rPr>
          <w:szCs w:val="24"/>
          <w:lang w:eastAsia="en-US"/>
        </w:rPr>
        <w:t>. Ogni Stato membro dovrebbe avere un numero minimo di distretti del suolo in funzione delle proprie dimensioni. Il numero minimo di distretti del suolo per ciascuno Stato membro corrisponde almeno al numero di unità territoriali di livello NUTS 1 di cui al regolamento (CE) n. 1059/2003 del Parlamento europeo e del Consiglio</w:t>
      </w:r>
      <w:r w:rsidRPr="00FF3D47">
        <w:rPr>
          <w:szCs w:val="24"/>
          <w:vertAlign w:val="superscript"/>
          <w:lang w:val="en-GB" w:eastAsia="en-US"/>
        </w:rPr>
        <w:footnoteReference w:id="22"/>
      </w:r>
      <w:r w:rsidRPr="00FF3D47">
        <w:rPr>
          <w:szCs w:val="24"/>
          <w:lang w:eastAsia="en-US"/>
        </w:rPr>
        <w:t>.</w:t>
      </w:r>
      <w:r w:rsidRPr="00FF3D47">
        <w:rPr>
          <w:b/>
          <w:i/>
          <w:szCs w:val="24"/>
          <w:lang w:eastAsia="en-US"/>
        </w:rPr>
        <w:t>Gli Stati membri possono decidere di istituire i propri distretti del suolo in base al loro numero di unità territoriali NUTS 2 al fine di rispecchiare meglio le loro condizioni locali e le competenze delle rispettive autorità nazionali. [</w:t>
      </w:r>
      <w:proofErr w:type="spellStart"/>
      <w:r w:rsidRPr="00FF3D47">
        <w:rPr>
          <w:b/>
          <w:i/>
          <w:szCs w:val="24"/>
          <w:lang w:eastAsia="en-US"/>
        </w:rPr>
        <w:t>Em</w:t>
      </w:r>
      <w:proofErr w:type="spellEnd"/>
      <w:r w:rsidRPr="00FF3D47">
        <w:rPr>
          <w:b/>
          <w:i/>
          <w:szCs w:val="24"/>
          <w:lang w:eastAsia="en-US"/>
        </w:rPr>
        <w:t>. 11]</w:t>
      </w:r>
    </w:p>
    <w:p w14:paraId="66ED7F87" w14:textId="77777777" w:rsidR="00295DAB" w:rsidRDefault="00295DAB" w:rsidP="00FF3D47">
      <w:pPr>
        <w:spacing w:before="120" w:after="120" w:line="360" w:lineRule="auto"/>
        <w:ind w:left="850" w:hanging="850"/>
        <w:rPr>
          <w:b/>
          <w:i/>
          <w:szCs w:val="24"/>
          <w:lang w:eastAsia="en-US"/>
        </w:rPr>
      </w:pPr>
      <w:r>
        <w:rPr>
          <w:b/>
          <w:i/>
          <w:szCs w:val="24"/>
          <w:lang w:eastAsia="en-US"/>
        </w:rPr>
        <w:br w:type="page"/>
      </w:r>
    </w:p>
    <w:p w14:paraId="3A2552F0" w14:textId="2BEDF1A2"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(24</w:t>
      </w:r>
      <w:r w:rsidR="00295DAB">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I distretti del suolo sono il livello più appropriato per l'adozione di programmi di misure e, ove necessario, obiettivi intermedi, anche attraverso piani distrettuali locali, tenendo conto delle condizioni locali e delle opinioni dei portatori di interessi locali, al fine di garantire il miglioramento della classificazione dei rispettivi suoli. Poiché è necessario più tempo per ripristinare i suoli gravemente degradati, è necessario prevedere un periodo di tempo sufficiente, fino a 10 anni, per garantire il miglioramento della loro classificazione ecologica. I suoli registrati come contaminati che sono oggetto di piani specifici di gestione e mitigazione potrebbero essere soggetti a una tempistica diversa. [</w:t>
      </w:r>
      <w:proofErr w:type="spellStart"/>
      <w:r w:rsidRPr="00FF3D47">
        <w:rPr>
          <w:b/>
          <w:i/>
          <w:szCs w:val="24"/>
          <w:lang w:eastAsia="en-US"/>
        </w:rPr>
        <w:t>Em</w:t>
      </w:r>
      <w:proofErr w:type="spellEnd"/>
      <w:r w:rsidRPr="00FF3D47">
        <w:rPr>
          <w:b/>
          <w:i/>
          <w:szCs w:val="24"/>
          <w:lang w:eastAsia="en-US"/>
        </w:rPr>
        <w:t>. 12]</w:t>
      </w:r>
    </w:p>
    <w:p w14:paraId="44EB8D9D"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(25)</w:t>
      </w:r>
      <w:r w:rsidRPr="00FF3D47">
        <w:rPr>
          <w:szCs w:val="24"/>
          <w:lang w:eastAsia="en-US"/>
        </w:rPr>
        <w:tab/>
      </w:r>
      <w:proofErr w:type="gramStart"/>
      <w:r w:rsidRPr="00FF3D47">
        <w:rPr>
          <w:szCs w:val="24"/>
          <w:lang w:eastAsia="en-US"/>
        </w:rPr>
        <w:t>Ai fine</w:t>
      </w:r>
      <w:proofErr w:type="gramEnd"/>
      <w:r w:rsidRPr="00FF3D47">
        <w:rPr>
          <w:szCs w:val="24"/>
          <w:lang w:eastAsia="en-US"/>
        </w:rPr>
        <w:t xml:space="preserve"> di una gestione adeguata dei suoli, gli Stati membri dovrebbero designare un'autorità competente per ciascun distretto del suolo. Gli Stati membri dovrebbero poter designare altre autorità competenti al livello opportuno, anche nazionale o regionale</w:t>
      </w:r>
      <w:r w:rsidRPr="00FF3D47">
        <w:rPr>
          <w:b/>
          <w:i/>
          <w:szCs w:val="24"/>
          <w:lang w:eastAsia="en-US"/>
        </w:rPr>
        <w:t xml:space="preserve">, anche attraverso i territori degli Stati </w:t>
      </w:r>
      <w:proofErr w:type="spellStart"/>
      <w:proofErr w:type="gramStart"/>
      <w:r w:rsidRPr="00FF3D47">
        <w:rPr>
          <w:b/>
          <w:i/>
          <w:szCs w:val="24"/>
          <w:lang w:eastAsia="en-US"/>
        </w:rPr>
        <w:t>membri.Al</w:t>
      </w:r>
      <w:proofErr w:type="spellEnd"/>
      <w:proofErr w:type="gramEnd"/>
      <w:r w:rsidRPr="00FF3D47">
        <w:rPr>
          <w:b/>
          <w:i/>
          <w:szCs w:val="24"/>
          <w:lang w:eastAsia="en-US"/>
        </w:rPr>
        <w:t xml:space="preserve"> fine di ridurre al minimo i costi, gli Stati membri dovrebbero nominare principalmente autorità già istituite. Un'autorità potrebbe essere responsabile di diversi settori, il che potrebbe migliorare la coerenza nell'attuazione della presente direttiva. Nel caso in cui modifichino la ripartizione delle competenze tra le autorità competenti, gli Stati membri devono comunicare tali modifiche alla Commissione per mantenere aggiornate le informazioni. [</w:t>
      </w:r>
      <w:proofErr w:type="spellStart"/>
      <w:r w:rsidRPr="00FF3D47">
        <w:rPr>
          <w:b/>
          <w:i/>
          <w:szCs w:val="24"/>
          <w:lang w:eastAsia="en-US"/>
        </w:rPr>
        <w:t>Em</w:t>
      </w:r>
      <w:proofErr w:type="spellEnd"/>
      <w:r w:rsidRPr="00FF3D47">
        <w:rPr>
          <w:b/>
          <w:i/>
          <w:szCs w:val="24"/>
          <w:lang w:eastAsia="en-US"/>
        </w:rPr>
        <w:t>. 13]</w:t>
      </w:r>
      <w:r w:rsidRPr="00FF3D47">
        <w:rPr>
          <w:strike/>
          <w:szCs w:val="24"/>
          <w:lang w:eastAsia="en-US"/>
        </w:rPr>
        <w:t>.</w:t>
      </w:r>
    </w:p>
    <w:p w14:paraId="2BF1AA2F" w14:textId="77777777" w:rsidR="00295DAB" w:rsidRDefault="00295DAB" w:rsidP="00FF3D47">
      <w:pPr>
        <w:spacing w:before="120" w:after="120" w:line="360" w:lineRule="auto"/>
        <w:ind w:left="850" w:hanging="850"/>
        <w:rPr>
          <w:szCs w:val="24"/>
          <w:lang w:eastAsia="en-US"/>
        </w:rPr>
      </w:pPr>
      <w:r>
        <w:rPr>
          <w:szCs w:val="24"/>
          <w:lang w:eastAsia="en-US"/>
        </w:rPr>
        <w:br w:type="page"/>
      </w:r>
    </w:p>
    <w:p w14:paraId="1BA4A45E" w14:textId="700C8906"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(26)</w:t>
      </w:r>
      <w:r w:rsidRPr="00FF3D47">
        <w:rPr>
          <w:szCs w:val="24"/>
          <w:lang w:eastAsia="en-US"/>
        </w:rPr>
        <w:tab/>
        <w:t xml:space="preserve">Per disporre di una definizione comune di buono stato del suolo, è necessario definire un insieme minimo comune di criteri misurabili il cui mancato rispetto comporta una perdita critica della capacità del suolo di funzionare come sistema vitale e di fornire servizi </w:t>
      </w:r>
      <w:proofErr w:type="spellStart"/>
      <w:r w:rsidRPr="00FF3D47">
        <w:rPr>
          <w:szCs w:val="24"/>
          <w:lang w:eastAsia="en-US"/>
        </w:rPr>
        <w:t>ecosistemici</w:t>
      </w:r>
      <w:proofErr w:type="spellEnd"/>
      <w:r w:rsidRPr="00FF3D47">
        <w:rPr>
          <w:szCs w:val="24"/>
          <w:lang w:eastAsia="en-US"/>
        </w:rPr>
        <w:t>. I criteri dovrebbero riflettere il livello aggiornato di scienza del suolo usandolo da base.</w:t>
      </w:r>
    </w:p>
    <w:p w14:paraId="13118B50" w14:textId="77777777" w:rsidR="00295DAB" w:rsidRDefault="00295DAB" w:rsidP="00FF3D47">
      <w:pPr>
        <w:spacing w:before="120" w:after="120" w:line="360" w:lineRule="auto"/>
        <w:ind w:left="850" w:hanging="850"/>
        <w:rPr>
          <w:szCs w:val="24"/>
          <w:lang w:eastAsia="en-US"/>
        </w:rPr>
      </w:pPr>
      <w:r>
        <w:rPr>
          <w:szCs w:val="24"/>
          <w:lang w:eastAsia="en-US"/>
        </w:rPr>
        <w:br w:type="page"/>
      </w:r>
    </w:p>
    <w:p w14:paraId="164265F2" w14:textId="1B61D1B0"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(27)</w:t>
      </w:r>
      <w:r w:rsidRPr="00FF3D47">
        <w:rPr>
          <w:szCs w:val="24"/>
          <w:lang w:eastAsia="en-US"/>
        </w:rPr>
        <w:tab/>
      </w:r>
      <w:r w:rsidRPr="00FF3D47">
        <w:rPr>
          <w:b/>
          <w:i/>
          <w:szCs w:val="24"/>
          <w:lang w:eastAsia="en-US"/>
        </w:rPr>
        <w:t xml:space="preserve">Al fine di fornire un quadro comune e consentire la comparabilità dei dati, la Commissione dovrebbe adottare, mediante atti delegati, una metodologia per determinare i valori soglia per i descrittori del suolo per ciascuno stato ecologico del suolo. È importante che questa metodologia tenga conto delle evidenze scientifiche più recenti e fornisca i mezzi per tenere in considerazione le diverse condizioni climatiche e tipologie </w:t>
      </w:r>
      <w:proofErr w:type="spellStart"/>
      <w:r w:rsidRPr="00FF3D47">
        <w:rPr>
          <w:b/>
          <w:i/>
          <w:szCs w:val="24"/>
          <w:lang w:eastAsia="en-US"/>
        </w:rPr>
        <w:t>di</w:t>
      </w:r>
      <w:r w:rsidRPr="00FF3D47">
        <w:rPr>
          <w:strike/>
          <w:szCs w:val="24"/>
          <w:lang w:eastAsia="en-US"/>
        </w:rPr>
        <w:t>Per</w:t>
      </w:r>
      <w:proofErr w:type="spellEnd"/>
      <w:r w:rsidRPr="00FF3D47">
        <w:rPr>
          <w:strike/>
          <w:szCs w:val="24"/>
          <w:lang w:eastAsia="en-US"/>
        </w:rPr>
        <w:t xml:space="preserve"> descrivere il degrado del suolo occorre stabilire descrittori che possano essere misurati o stimati. Anche se vi è una notevole varietà di tipi di suolo, di condizioni climatiche e usi del suolo, le attuali conoscenze scientifiche consentono di stabilire criteri a livello </w:t>
      </w:r>
      <w:proofErr w:type="spellStart"/>
      <w:r w:rsidRPr="00FF3D47">
        <w:rPr>
          <w:strike/>
          <w:szCs w:val="24"/>
          <w:lang w:eastAsia="en-US"/>
        </w:rPr>
        <w:t>unionale</w:t>
      </w:r>
      <w:proofErr w:type="spellEnd"/>
      <w:r w:rsidRPr="00FF3D47">
        <w:rPr>
          <w:strike/>
          <w:szCs w:val="24"/>
          <w:lang w:eastAsia="en-US"/>
        </w:rPr>
        <w:t xml:space="preserve"> per alcuni di tali descrittori del</w:t>
      </w:r>
      <w:r w:rsidRPr="00FF3D47">
        <w:rPr>
          <w:szCs w:val="24"/>
          <w:lang w:eastAsia="en-US"/>
        </w:rPr>
        <w:t xml:space="preserve"> suolo.</w:t>
      </w:r>
      <w:r w:rsidRPr="00FF3D47">
        <w:rPr>
          <w:b/>
          <w:i/>
          <w:szCs w:val="24"/>
          <w:lang w:eastAsia="en-US"/>
        </w:rPr>
        <w:t xml:space="preserve"> Utilizzando tale metodologia, </w:t>
      </w:r>
      <w:r w:rsidRPr="00FF3D47">
        <w:rPr>
          <w:szCs w:val="24"/>
          <w:lang w:eastAsia="en-US"/>
        </w:rPr>
        <w:t xml:space="preserve">gli Stati membri dovrebbero </w:t>
      </w:r>
      <w:r w:rsidRPr="00FF3D47">
        <w:rPr>
          <w:strike/>
          <w:szCs w:val="24"/>
          <w:lang w:eastAsia="en-US"/>
        </w:rPr>
        <w:t xml:space="preserve">comunque poter adattare i criteri di </w:t>
      </w:r>
      <w:proofErr w:type="spellStart"/>
      <w:r w:rsidRPr="00FF3D47">
        <w:rPr>
          <w:strike/>
          <w:szCs w:val="24"/>
          <w:lang w:eastAsia="en-US"/>
        </w:rPr>
        <w:t>alcuni</w:t>
      </w:r>
      <w:r w:rsidRPr="00FF3D47">
        <w:rPr>
          <w:b/>
          <w:i/>
          <w:szCs w:val="24"/>
          <w:lang w:eastAsia="en-US"/>
        </w:rPr>
        <w:t>individuare</w:t>
      </w:r>
      <w:proofErr w:type="spellEnd"/>
      <w:r w:rsidRPr="00FF3D47">
        <w:rPr>
          <w:b/>
          <w:i/>
          <w:szCs w:val="24"/>
          <w:lang w:eastAsia="en-US"/>
        </w:rPr>
        <w:t xml:space="preserve"> progetti di valori soglia per i descrittori del suolo per ciascuno stato ecologico del suolo tenendo conto delle condizioni climatiche, del tipo di suolo, del tipo di superficie e dei dati scientifici e dovrebbero presentarli alla Commissione. Al fine di garantire parità di condizioni tra gli Stati membri ed evitare che gli Stati membri adottino valori soglia che consentono di classificare un suolo simile in modo molto diverso, incidendo in tal modo sugli sforzi necessari per migliorare il relativo stato ecologico del suolo, la Commissione dovrebbe valutare i progetti di valori soglia e la relativa giustificazione scientifica. La Commissione dovrebbe poter chiedere agli Stati membri informazioni supplementari o la revisione dei loro progetti di valori </w:t>
      </w:r>
      <w:proofErr w:type="spellStart"/>
      <w:proofErr w:type="gramStart"/>
      <w:r w:rsidRPr="00FF3D47">
        <w:rPr>
          <w:b/>
          <w:i/>
          <w:szCs w:val="24"/>
          <w:lang w:eastAsia="en-US"/>
        </w:rPr>
        <w:t>soglia.La</w:t>
      </w:r>
      <w:proofErr w:type="spellEnd"/>
      <w:proofErr w:type="gramEnd"/>
      <w:r w:rsidRPr="00FF3D47">
        <w:rPr>
          <w:b/>
          <w:i/>
          <w:szCs w:val="24"/>
          <w:lang w:eastAsia="en-US"/>
        </w:rPr>
        <w:t xml:space="preserve"> Commissione dovrebbe approvare i valori soglia, a condizione che le sue osservazioni siano state adeguatamente prese in considerazione. </w:t>
      </w:r>
      <w:r w:rsidRPr="00FF3D47">
        <w:rPr>
          <w:strike/>
          <w:szCs w:val="24"/>
          <w:lang w:eastAsia="en-US"/>
        </w:rPr>
        <w:t>descrittori del suolo in base a specificità nazionali o locali e definire i criteri di altri descrittori per i quali non è al momento possibile stabilire criteri comuni a livello dell'UE. In merito ai descrittori per i quali non è possibile al momento determinare criteri chiari che consentano di distinguere tra stato di salute sano e non sano, sono obbligatori solo il monitoraggio e la valutazione. Sarà questa la base su cui sviluppare detti criteri in futuro.</w:t>
      </w:r>
      <w:r w:rsidR="00295DAB">
        <w:rPr>
          <w:strike/>
          <w:szCs w:val="24"/>
          <w:lang w:eastAsia="en-US"/>
        </w:rPr>
        <w:t xml:space="preserve"> </w:t>
      </w:r>
      <w:r w:rsidR="00295DAB" w:rsidRPr="00FF3D47">
        <w:rPr>
          <w:b/>
          <w:i/>
          <w:szCs w:val="24"/>
          <w:lang w:eastAsia="en-US"/>
        </w:rPr>
        <w:t>[</w:t>
      </w:r>
      <w:proofErr w:type="spellStart"/>
      <w:r w:rsidR="00295DAB" w:rsidRPr="00FF3D47">
        <w:rPr>
          <w:b/>
          <w:i/>
          <w:szCs w:val="24"/>
          <w:lang w:eastAsia="en-US"/>
        </w:rPr>
        <w:t>Em</w:t>
      </w:r>
      <w:proofErr w:type="spellEnd"/>
      <w:r w:rsidR="00295DAB" w:rsidRPr="00FF3D47">
        <w:rPr>
          <w:b/>
          <w:i/>
          <w:szCs w:val="24"/>
          <w:lang w:eastAsia="en-US"/>
        </w:rPr>
        <w:t>. 14]</w:t>
      </w:r>
      <w:r w:rsidR="00295DAB" w:rsidRPr="00FF3D47">
        <w:rPr>
          <w:strike/>
          <w:szCs w:val="24"/>
          <w:lang w:eastAsia="en-US"/>
        </w:rPr>
        <w:t xml:space="preserve"> </w:t>
      </w:r>
    </w:p>
    <w:p w14:paraId="114945A9" w14:textId="77777777" w:rsidR="00295DAB" w:rsidRDefault="00295DAB" w:rsidP="00FF3D47">
      <w:pPr>
        <w:spacing w:before="120" w:after="120" w:line="360" w:lineRule="auto"/>
        <w:ind w:left="850" w:hanging="850"/>
        <w:rPr>
          <w:b/>
          <w:i/>
          <w:szCs w:val="24"/>
          <w:lang w:eastAsia="en-US"/>
        </w:rPr>
      </w:pPr>
      <w:r>
        <w:rPr>
          <w:b/>
          <w:i/>
          <w:szCs w:val="24"/>
          <w:lang w:eastAsia="en-US"/>
        </w:rPr>
        <w:br w:type="page"/>
      </w:r>
    </w:p>
    <w:p w14:paraId="0C4DA672" w14:textId="6EA2CE0A"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(27</w:t>
      </w:r>
      <w:r w:rsidR="00295DAB">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 xml:space="preserve">È necessaria una visione integrata della valutazione della salute del suolo che vada oltre l'esame esclusivo dei fattori di degrado e fornisca un percorso chiaro per il suo miglioramento. La valutazione complessiva dello stato ecologico del suolo dovrebbe, pertanto, essere suddivisa in cinque categorie: "stato ecologico elevato", "stato ecologico buono", "moderato", "suoli degradati" </w:t>
      </w:r>
      <w:proofErr w:type="gramStart"/>
      <w:r w:rsidRPr="00FF3D47">
        <w:rPr>
          <w:b/>
          <w:i/>
          <w:szCs w:val="24"/>
          <w:lang w:eastAsia="en-US"/>
        </w:rPr>
        <w:t>e "</w:t>
      </w:r>
      <w:proofErr w:type="gramEnd"/>
      <w:r w:rsidRPr="00FF3D47">
        <w:rPr>
          <w:b/>
          <w:i/>
          <w:szCs w:val="24"/>
          <w:lang w:eastAsia="en-US"/>
        </w:rPr>
        <w:t>suoli gravemente degradati", tenendo conto, tra l'altro, della presenza di fattori di degrado e delle funzioni del suolo. [</w:t>
      </w:r>
      <w:proofErr w:type="spellStart"/>
      <w:r w:rsidRPr="00FF3D47">
        <w:rPr>
          <w:b/>
          <w:i/>
          <w:szCs w:val="24"/>
          <w:lang w:eastAsia="en-US"/>
        </w:rPr>
        <w:t>Em</w:t>
      </w:r>
      <w:proofErr w:type="spellEnd"/>
      <w:r w:rsidRPr="00FF3D47">
        <w:rPr>
          <w:b/>
          <w:i/>
          <w:szCs w:val="24"/>
          <w:lang w:eastAsia="en-US"/>
        </w:rPr>
        <w:t>. 15]</w:t>
      </w:r>
    </w:p>
    <w:p w14:paraId="7E564589" w14:textId="77777777" w:rsidR="00295DAB" w:rsidRDefault="00295DAB" w:rsidP="00FF3D47">
      <w:pPr>
        <w:spacing w:before="120" w:after="120" w:line="360" w:lineRule="auto"/>
        <w:ind w:left="850" w:hanging="850"/>
        <w:rPr>
          <w:b/>
          <w:i/>
          <w:szCs w:val="24"/>
          <w:lang w:eastAsia="en-US"/>
        </w:rPr>
      </w:pPr>
      <w:r>
        <w:rPr>
          <w:b/>
          <w:i/>
          <w:szCs w:val="24"/>
          <w:lang w:eastAsia="en-US"/>
        </w:rPr>
        <w:br w:type="page"/>
      </w:r>
    </w:p>
    <w:p w14:paraId="19F7195D" w14:textId="39CF4413" w:rsidR="00295DAB" w:rsidRDefault="00FF3D47" w:rsidP="00FF3D47">
      <w:pPr>
        <w:spacing w:before="120" w:after="120" w:line="360" w:lineRule="auto"/>
        <w:ind w:left="850" w:hanging="850"/>
        <w:rPr>
          <w:b/>
          <w:i/>
          <w:szCs w:val="24"/>
          <w:lang w:eastAsia="en-US"/>
        </w:rPr>
      </w:pPr>
      <w:r w:rsidRPr="00FF3D47">
        <w:rPr>
          <w:b/>
          <w:i/>
          <w:szCs w:val="24"/>
          <w:lang w:eastAsia="en-US"/>
        </w:rPr>
        <w:lastRenderedPageBreak/>
        <w:t>(27</w:t>
      </w:r>
      <w:r w:rsidR="00295DAB">
        <w:rPr>
          <w:b/>
          <w:i/>
          <w:szCs w:val="24"/>
          <w:lang w:eastAsia="en-US"/>
        </w:rPr>
        <w:t xml:space="preserve"> ter</w:t>
      </w:r>
      <w:r w:rsidRPr="00FF3D47">
        <w:rPr>
          <w:b/>
          <w:i/>
          <w:szCs w:val="24"/>
          <w:lang w:eastAsia="en-US"/>
        </w:rPr>
        <w:t>)</w:t>
      </w:r>
      <w:r w:rsidRPr="00FF3D47">
        <w:rPr>
          <w:szCs w:val="24"/>
          <w:lang w:eastAsia="en-US"/>
        </w:rPr>
        <w:tab/>
      </w:r>
      <w:r w:rsidRPr="00FF3D47">
        <w:rPr>
          <w:b/>
          <w:i/>
          <w:szCs w:val="24"/>
          <w:lang w:eastAsia="en-US"/>
        </w:rPr>
        <w:t>Per rispettare l'autonomia degli Stati membri disposti ad attuare sistemi di monitoraggio più completi, gli Stati membri dovrebbero poter scegliere tra tre livelli di monitoraggio. Il livello 1 fornisce una serie minima di descrittori del suolo. Nel livello 2, il 20 % dei punti di campionamento è determinato secondo il programma LUCAS e sottoposto a campionamento doppio per il monitoraggio continuo e l'istituzione di funzioni di trasferimento, mentre il restante 80 % dei punti di campionamento è determinato dallo Stato membro, anche per il monitoraggio continuo e secondo i criteri stabiliti negli allegati della presente direttiva. Nei livelli 1 e 2, il 20 % dei punti di campionamento è dedicato a un monitoraggio mirato, consentendo agli Stati membri di ampliare le valutazioni basate sul rischio, condurre indagini o di concentrarsi su zone di particolare interesse. L'istituzione di un approccio con vari livelli aumenta il numero di descrittori del suolo valutati, ma anche il livello di autonomia di cui dispongono gli Stati membri nel determinare le soglie associate allo stato ecologico dei suoli. L'obiettivo principale di tale approccio graduale è consentire a tutti gli Stati membri di attuare i propri sistemi di monitoraggio e di trarre vantaggio dagli attuali sistemi nazionali che già monitorano i suoli. La fase 2 consentirà di colmare le lacune nell'ambito di applicazione e nella portata dei descrittori del suolo considerati. Nella fase 3 il numero di descrittori del suolo è ulteriormente ampliato per affinare particolari aspetti dei sistemi di monitoraggio del suolo. [</w:t>
      </w:r>
      <w:proofErr w:type="spellStart"/>
      <w:r w:rsidRPr="00FF3D47">
        <w:rPr>
          <w:b/>
          <w:i/>
          <w:szCs w:val="24"/>
          <w:lang w:eastAsia="en-US"/>
        </w:rPr>
        <w:t>Em</w:t>
      </w:r>
      <w:proofErr w:type="spellEnd"/>
      <w:r w:rsidRPr="00FF3D47">
        <w:rPr>
          <w:b/>
          <w:i/>
          <w:szCs w:val="24"/>
          <w:lang w:eastAsia="en-US"/>
        </w:rPr>
        <w:t>. 16]</w:t>
      </w:r>
      <w:r w:rsidR="00295DAB">
        <w:rPr>
          <w:b/>
          <w:i/>
          <w:szCs w:val="24"/>
          <w:lang w:eastAsia="en-US"/>
        </w:rPr>
        <w:br w:type="page"/>
      </w:r>
    </w:p>
    <w:p w14:paraId="3794D63C" w14:textId="7AD727EB" w:rsidR="00FF3D47" w:rsidRPr="00FF3D47" w:rsidRDefault="00FF3D47" w:rsidP="00FF3D47">
      <w:pPr>
        <w:spacing w:before="120" w:after="120" w:line="360" w:lineRule="auto"/>
        <w:ind w:left="850" w:hanging="850"/>
        <w:rPr>
          <w:szCs w:val="24"/>
          <w:lang w:eastAsia="en-US"/>
        </w:rPr>
      </w:pPr>
      <w:r w:rsidRPr="00FF3D47">
        <w:rPr>
          <w:strike/>
          <w:szCs w:val="24"/>
          <w:lang w:eastAsia="en-US"/>
        </w:rPr>
        <w:lastRenderedPageBreak/>
        <w:t>(28)</w:t>
      </w:r>
      <w:r w:rsidRPr="00FF3D47">
        <w:rPr>
          <w:szCs w:val="24"/>
          <w:lang w:eastAsia="en-US"/>
        </w:rPr>
        <w:tab/>
      </w:r>
      <w:r w:rsidRPr="00FF3D47">
        <w:rPr>
          <w:strike/>
          <w:szCs w:val="24"/>
          <w:lang w:eastAsia="en-US"/>
        </w:rPr>
        <w:t>Al fine di creare incentivi, gli Stati membri dovrebbero istituire meccanismi per riconoscere gli sforzi compiuti dai proprietari e dai gestori dei terreni per mantenere il suolo in buone condizioni, anche sotto forma di certificazione sanitaria del suolo complementare al quadro normativo dell'Unione per gli assorbimenti di carbonio, e per sostenere l'attuazione dei criteri di sostenibilità delle energie rinnovabili di cui all'articolo 29 della direttiva (UE) 2018/2001 del Parlamento europeo e del Consigli</w:t>
      </w:r>
      <w:r w:rsidRPr="00295DAB">
        <w:rPr>
          <w:strike/>
          <w:szCs w:val="24"/>
          <w:lang w:eastAsia="en-US"/>
        </w:rPr>
        <w:t>o</w:t>
      </w:r>
      <w:r w:rsidRPr="00295DAB">
        <w:rPr>
          <w:strike/>
          <w:szCs w:val="24"/>
          <w:vertAlign w:val="superscript"/>
          <w:lang w:val="en-GB" w:eastAsia="en-US"/>
        </w:rPr>
        <w:footnoteReference w:id="23"/>
      </w:r>
      <w:r w:rsidRPr="00295DAB">
        <w:rPr>
          <w:strike/>
          <w:szCs w:val="24"/>
          <w:lang w:eastAsia="en-US"/>
        </w:rPr>
        <w:t>.</w:t>
      </w:r>
      <w:r w:rsidRPr="00FF3D47">
        <w:rPr>
          <w:strike/>
          <w:szCs w:val="24"/>
          <w:lang w:eastAsia="en-US"/>
        </w:rPr>
        <w:t xml:space="preserve"> La Commissione dovrebbe agevolare la certificazione sanitaria del suolo, anche attraverso lo scambio di informazioni e la promozione delle migliori pratiche, la sensibilizzazione e la valutazione delle possibilità di sviluppo di sistemi di certificazione a livello </w:t>
      </w:r>
      <w:proofErr w:type="spellStart"/>
      <w:r w:rsidRPr="00FF3D47">
        <w:rPr>
          <w:strike/>
          <w:szCs w:val="24"/>
          <w:lang w:eastAsia="en-US"/>
        </w:rPr>
        <w:t>unionale</w:t>
      </w:r>
      <w:proofErr w:type="spellEnd"/>
      <w:r w:rsidRPr="00FF3D47">
        <w:rPr>
          <w:strike/>
          <w:szCs w:val="24"/>
          <w:lang w:eastAsia="en-US"/>
        </w:rPr>
        <w:t>. Le sinergie tra i diversi sistemi di certificazione dovrebbero essere sfruttate il più possibile per ridurre gli oneri amministrativi dei richiedenti.</w:t>
      </w:r>
      <w:r w:rsidR="00295DAB">
        <w:rPr>
          <w:strike/>
          <w:szCs w:val="24"/>
          <w:lang w:eastAsia="en-US"/>
        </w:rPr>
        <w:t xml:space="preserve"> </w:t>
      </w:r>
      <w:r w:rsidR="00295DAB">
        <w:rPr>
          <w:b/>
          <w:szCs w:val="24"/>
          <w:lang w:eastAsia="en-US"/>
        </w:rPr>
        <w:t>[</w:t>
      </w:r>
      <w:proofErr w:type="spellStart"/>
      <w:r w:rsidR="00295DAB">
        <w:rPr>
          <w:b/>
          <w:szCs w:val="24"/>
          <w:lang w:eastAsia="en-US"/>
        </w:rPr>
        <w:t>E</w:t>
      </w:r>
      <w:r w:rsidR="00295DAB" w:rsidRPr="003C1EA6">
        <w:rPr>
          <w:b/>
          <w:szCs w:val="24"/>
          <w:lang w:eastAsia="en-US"/>
        </w:rPr>
        <w:t>m</w:t>
      </w:r>
      <w:proofErr w:type="spellEnd"/>
      <w:r w:rsidR="00295DAB" w:rsidRPr="003C1EA6">
        <w:rPr>
          <w:b/>
          <w:szCs w:val="24"/>
          <w:lang w:eastAsia="en-US"/>
        </w:rPr>
        <w:t>. 17]</w:t>
      </w:r>
    </w:p>
    <w:p w14:paraId="63EB8048"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(29)</w:t>
      </w:r>
      <w:r w:rsidRPr="00FF3D47">
        <w:rPr>
          <w:szCs w:val="24"/>
          <w:lang w:eastAsia="en-US"/>
        </w:rPr>
        <w:tab/>
        <w:t>Alcuni suoli presentano caratteristiche particolari: sono atipici per natura e costituiscono habitat rari di biodiversità, oppure sono paesaggi unici o sono stati fortemente modificati dagli esseri umani. Tali caratteristiche dovrebbero essere prese in considerazione nella definizione di suoli sani e dei requisiti per conseguire la sanità del suolo.</w:t>
      </w:r>
    </w:p>
    <w:p w14:paraId="27C433F8" w14:textId="77777777" w:rsidR="00295DAB" w:rsidRDefault="00295DAB" w:rsidP="00FF3D47">
      <w:pPr>
        <w:spacing w:before="120" w:after="120" w:line="360" w:lineRule="auto"/>
        <w:ind w:left="850" w:hanging="850"/>
        <w:rPr>
          <w:szCs w:val="24"/>
          <w:lang w:eastAsia="en-US"/>
        </w:rPr>
      </w:pPr>
      <w:r>
        <w:rPr>
          <w:szCs w:val="24"/>
          <w:lang w:eastAsia="en-US"/>
        </w:rPr>
        <w:br w:type="page"/>
      </w:r>
    </w:p>
    <w:p w14:paraId="5CA524BE" w14:textId="059B0966"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(30)</w:t>
      </w:r>
      <w:r w:rsidRPr="00FF3D47">
        <w:rPr>
          <w:szCs w:val="24"/>
          <w:lang w:eastAsia="en-US"/>
        </w:rPr>
        <w:tab/>
        <w:t xml:space="preserve">Il suolo è una risorsa limitata, soggetta a concorrenza sempre crescente per usi diversi. Il consumo di suolo è un processo, spesso determinato da esigenze di sviluppo economico, che trasforma le aree naturali e </w:t>
      </w:r>
      <w:proofErr w:type="spellStart"/>
      <w:r w:rsidRPr="00FF3D47">
        <w:rPr>
          <w:szCs w:val="24"/>
          <w:lang w:eastAsia="en-US"/>
        </w:rPr>
        <w:t>seminaturali</w:t>
      </w:r>
      <w:proofErr w:type="spellEnd"/>
      <w:r w:rsidRPr="00FF3D47">
        <w:rPr>
          <w:szCs w:val="24"/>
          <w:lang w:eastAsia="en-US"/>
        </w:rPr>
        <w:t xml:space="preserve"> (tra cui terreni agricoli e forestali, giardini e parchi) in terreno artificiale usato come piattaforma per edifici e infrastrutture oppure come fonte diretta di materie prime o come archivio per il patrimonio storico. La trasformazione può causare la perdita spesso irreversibile della capacità del suolo di fornire altri servizi </w:t>
      </w:r>
      <w:proofErr w:type="spellStart"/>
      <w:r w:rsidRPr="00FF3D47">
        <w:rPr>
          <w:szCs w:val="24"/>
          <w:lang w:eastAsia="en-US"/>
        </w:rPr>
        <w:t>ecosistemici</w:t>
      </w:r>
      <w:proofErr w:type="spellEnd"/>
      <w:r w:rsidRPr="00FF3D47">
        <w:rPr>
          <w:szCs w:val="24"/>
          <w:lang w:eastAsia="en-US"/>
        </w:rPr>
        <w:t xml:space="preserve"> (alimenti e biomassa, cicli dell'acqua e dei nutrienti, base per la biodiversità e lo stoccaggio del carbonio). In particolare, il consumo di suolo interessa spesso i terreni agricoli più fertili e quindi mette a repentaglio la sicurezza alimentare. L'impermeabilizzazione del suolo espone gli insediamenti umani a picchi di inondazioni più alti e a effetti di isole di calore più intensi. È quindi necessario monitorare il consumo e l'impermeabilizzazione del suolo e le rispettive conseguenze sulla capacità del suolo di fornire servizi </w:t>
      </w:r>
      <w:proofErr w:type="spellStart"/>
      <w:r w:rsidRPr="00FF3D47">
        <w:rPr>
          <w:szCs w:val="24"/>
          <w:lang w:eastAsia="en-US"/>
        </w:rPr>
        <w:t>ecosistemici</w:t>
      </w:r>
      <w:proofErr w:type="spellEnd"/>
      <w:r w:rsidRPr="00FF3D47">
        <w:rPr>
          <w:szCs w:val="24"/>
          <w:lang w:eastAsia="en-US"/>
        </w:rPr>
        <w:t xml:space="preserve">. </w:t>
      </w:r>
      <w:r w:rsidRPr="00FF3D47">
        <w:rPr>
          <w:strike/>
          <w:szCs w:val="24"/>
          <w:lang w:eastAsia="en-US"/>
        </w:rPr>
        <w:t xml:space="preserve">In </w:t>
      </w:r>
      <w:proofErr w:type="spellStart"/>
      <w:r w:rsidRPr="00FF3D47">
        <w:rPr>
          <w:strike/>
          <w:szCs w:val="24"/>
          <w:lang w:eastAsia="en-US"/>
        </w:rPr>
        <w:t>una</w:t>
      </w:r>
      <w:r w:rsidRPr="00FF3D47">
        <w:rPr>
          <w:b/>
          <w:i/>
          <w:szCs w:val="24"/>
          <w:lang w:eastAsia="en-US"/>
        </w:rPr>
        <w:t>Ad</w:t>
      </w:r>
      <w:proofErr w:type="spellEnd"/>
      <w:r w:rsidRPr="00FF3D47">
        <w:rPr>
          <w:b/>
          <w:i/>
          <w:szCs w:val="24"/>
          <w:lang w:eastAsia="en-US"/>
        </w:rPr>
        <w:t xml:space="preserve"> integrazione della</w:t>
      </w:r>
      <w:r w:rsidRPr="00FF3D47">
        <w:rPr>
          <w:szCs w:val="24"/>
          <w:lang w:eastAsia="en-US"/>
        </w:rPr>
        <w:t xml:space="preserve"> gestione sostenibile</w:t>
      </w:r>
      <w:r w:rsidRPr="00FF3D47">
        <w:rPr>
          <w:b/>
          <w:i/>
          <w:szCs w:val="24"/>
          <w:lang w:eastAsia="en-US"/>
        </w:rPr>
        <w:t>,</w:t>
      </w:r>
      <w:r w:rsidRPr="00FF3D47">
        <w:rPr>
          <w:szCs w:val="24"/>
          <w:lang w:eastAsia="en-US"/>
        </w:rPr>
        <w:t xml:space="preserve"> è opportuno stabilire alcuni principi per attenuare l'impatto del consumo di suolo.</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18]</w:t>
      </w:r>
    </w:p>
    <w:p w14:paraId="03BA1644" w14:textId="77777777" w:rsidR="00295DAB" w:rsidRDefault="00295DAB" w:rsidP="00FF3D47">
      <w:pPr>
        <w:spacing w:before="120" w:after="120" w:line="360" w:lineRule="auto"/>
        <w:ind w:left="850" w:hanging="850"/>
        <w:rPr>
          <w:szCs w:val="24"/>
          <w:lang w:eastAsia="en-US"/>
        </w:rPr>
      </w:pPr>
      <w:r>
        <w:rPr>
          <w:szCs w:val="24"/>
          <w:lang w:eastAsia="en-US"/>
        </w:rPr>
        <w:br w:type="page"/>
      </w:r>
    </w:p>
    <w:p w14:paraId="467F7E04" w14:textId="693DD24F"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(31)</w:t>
      </w:r>
      <w:r w:rsidRPr="00FF3D47">
        <w:rPr>
          <w:szCs w:val="24"/>
          <w:lang w:eastAsia="en-US"/>
        </w:rPr>
        <w:tab/>
        <w:t xml:space="preserve">La valutazione della salute del suolo grazie alla rete di monitoraggio dovrebbe essere accurata e a costi ragionevoli. È quindi opportuno stabilire criteri per i punti di campionamento rappresentativi delle condizioni dei diversi tipi di suolo, delle condizioni climatiche e dell'uso del suolo. La griglia dei punti di campionamento dovrebbe essere determinata con metodi </w:t>
      </w:r>
      <w:proofErr w:type="spellStart"/>
      <w:r w:rsidRPr="00FF3D47">
        <w:rPr>
          <w:szCs w:val="24"/>
          <w:lang w:eastAsia="en-US"/>
        </w:rPr>
        <w:t>geostatistici</w:t>
      </w:r>
      <w:proofErr w:type="spellEnd"/>
      <w:r w:rsidRPr="00FF3D47">
        <w:rPr>
          <w:szCs w:val="24"/>
          <w:lang w:eastAsia="en-US"/>
        </w:rPr>
        <w:t xml:space="preserve"> ed essere sufficientemente fitta da fornire una stima della superficie dei suoli sani a livello nazionale con un grado d'incertezza del 5 % al massimo. Con questo valore la stima è in genere considerata statisticamente valida e si ha la ragionevole certezza che l'obiettivo è </w:t>
      </w:r>
      <w:proofErr w:type="spellStart"/>
      <w:proofErr w:type="gramStart"/>
      <w:r w:rsidRPr="00FF3D47">
        <w:rPr>
          <w:szCs w:val="24"/>
          <w:lang w:eastAsia="en-US"/>
        </w:rPr>
        <w:t>raggiunto.</w:t>
      </w:r>
      <w:r w:rsidRPr="00FF3D47">
        <w:rPr>
          <w:b/>
          <w:i/>
          <w:szCs w:val="24"/>
          <w:lang w:eastAsia="en-US"/>
        </w:rPr>
        <w:t>È</w:t>
      </w:r>
      <w:proofErr w:type="spellEnd"/>
      <w:proofErr w:type="gramEnd"/>
      <w:r w:rsidRPr="00FF3D47">
        <w:rPr>
          <w:b/>
          <w:i/>
          <w:szCs w:val="24"/>
          <w:lang w:eastAsia="en-US"/>
        </w:rPr>
        <w:t xml:space="preserve"> importante che la metodologia e il quadro di monitoraggio del suolo includano criteri di campionamento armonizzati, compresa la profondità di campionamento. [</w:t>
      </w:r>
      <w:proofErr w:type="spellStart"/>
      <w:r w:rsidRPr="00FF3D47">
        <w:rPr>
          <w:b/>
          <w:i/>
          <w:szCs w:val="24"/>
          <w:lang w:eastAsia="en-US"/>
        </w:rPr>
        <w:t>Em</w:t>
      </w:r>
      <w:proofErr w:type="spellEnd"/>
      <w:r w:rsidRPr="00FF3D47">
        <w:rPr>
          <w:b/>
          <w:i/>
          <w:szCs w:val="24"/>
          <w:lang w:eastAsia="en-US"/>
        </w:rPr>
        <w:t>. 19]</w:t>
      </w:r>
    </w:p>
    <w:p w14:paraId="7094DB51" w14:textId="77777777" w:rsidR="00295DAB" w:rsidRDefault="00295DAB" w:rsidP="00FF3D47">
      <w:pPr>
        <w:spacing w:before="120" w:after="120" w:line="360" w:lineRule="auto"/>
        <w:ind w:left="850" w:hanging="850"/>
        <w:rPr>
          <w:b/>
          <w:i/>
          <w:szCs w:val="24"/>
          <w:lang w:eastAsia="en-US"/>
        </w:rPr>
      </w:pPr>
      <w:r>
        <w:rPr>
          <w:b/>
          <w:i/>
          <w:szCs w:val="24"/>
          <w:lang w:eastAsia="en-US"/>
        </w:rPr>
        <w:br w:type="page"/>
      </w:r>
    </w:p>
    <w:p w14:paraId="241235FF" w14:textId="3AF0369D"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(31</w:t>
      </w:r>
      <w:r w:rsidR="00295DAB">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 xml:space="preserve">Gli archivi del suolo conservano un'istantanea del suolo in un momento e in un luogo specifici, consentendo agli Stati membri di utilizzare un unico campione per diversi scopi e di semplificare le attività di campionamento sul campo, riducendo pertanto i costi a lungo termine del monitoraggio in situ. Inoltre, gli archivi del suolo consentono ai ricercatori di rivalutare i suoli del passato nel contesto del presente per una migliore comprensione dei cambiamenti del suolo a lungo termine o per altri scopi di ricerca, compresa la ricerca medica. È pertanto indispensabile che la Commissione, compresi i servizi come il Centro comune di ricerca (JCR), insieme agli Stati membri e all'Osservatorio europeo del suolo, </w:t>
      </w:r>
      <w:proofErr w:type="spellStart"/>
      <w:r w:rsidRPr="00FF3D47">
        <w:rPr>
          <w:b/>
          <w:i/>
          <w:szCs w:val="24"/>
          <w:lang w:eastAsia="en-US"/>
        </w:rPr>
        <w:t>garantisca</w:t>
      </w:r>
      <w:proofErr w:type="spellEnd"/>
      <w:r w:rsidRPr="00FF3D47">
        <w:rPr>
          <w:b/>
          <w:i/>
          <w:szCs w:val="24"/>
          <w:lang w:eastAsia="en-US"/>
        </w:rPr>
        <w:t xml:space="preserve"> che i campioni, gli estratti di DNA e i dati grezzi prelevati per conformarsi alla legislazione ambientale dell'Unione e nazionale siano ben conservati in archivi fisici e che i campioni e i dati grezzi di tali archivi siano mantenuti disponibili per ulteriori ricerche e innovazioni. [</w:t>
      </w:r>
      <w:proofErr w:type="spellStart"/>
      <w:r w:rsidRPr="00FF3D47">
        <w:rPr>
          <w:b/>
          <w:i/>
          <w:szCs w:val="24"/>
          <w:lang w:eastAsia="en-US"/>
        </w:rPr>
        <w:t>Em</w:t>
      </w:r>
      <w:proofErr w:type="spellEnd"/>
      <w:r w:rsidRPr="00FF3D47">
        <w:rPr>
          <w:b/>
          <w:i/>
          <w:szCs w:val="24"/>
          <w:lang w:eastAsia="en-US"/>
        </w:rPr>
        <w:t>. 20]</w:t>
      </w:r>
    </w:p>
    <w:p w14:paraId="1A906ED8" w14:textId="77777777" w:rsidR="00295DAB" w:rsidRDefault="00295DAB" w:rsidP="00FF3D47">
      <w:pPr>
        <w:spacing w:before="120" w:after="120" w:line="360" w:lineRule="auto"/>
        <w:ind w:left="850" w:hanging="850"/>
        <w:rPr>
          <w:szCs w:val="24"/>
          <w:lang w:eastAsia="en-US"/>
        </w:rPr>
      </w:pPr>
      <w:r>
        <w:rPr>
          <w:szCs w:val="24"/>
          <w:lang w:eastAsia="en-US"/>
        </w:rPr>
        <w:br w:type="page"/>
      </w:r>
    </w:p>
    <w:p w14:paraId="69AE499B" w14:textId="4548F29E"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(32)</w:t>
      </w:r>
      <w:r w:rsidRPr="00FF3D47">
        <w:rPr>
          <w:szCs w:val="24"/>
          <w:lang w:eastAsia="en-US"/>
        </w:rPr>
        <w:tab/>
      </w:r>
      <w:r w:rsidRPr="00FF3D47">
        <w:rPr>
          <w:b/>
          <w:i/>
          <w:szCs w:val="24"/>
          <w:lang w:eastAsia="en-US"/>
        </w:rPr>
        <w:t xml:space="preserve">A complemento degli inventari nazionali </w:t>
      </w:r>
      <w:proofErr w:type="spellStart"/>
      <w:proofErr w:type="gramStart"/>
      <w:r w:rsidRPr="00FF3D47">
        <w:rPr>
          <w:b/>
          <w:i/>
          <w:szCs w:val="24"/>
          <w:lang w:eastAsia="en-US"/>
        </w:rPr>
        <w:t>esistenti,</w:t>
      </w:r>
      <w:r w:rsidRPr="00FF3D47">
        <w:rPr>
          <w:szCs w:val="24"/>
          <w:lang w:eastAsia="en-US"/>
        </w:rPr>
        <w:t>la</w:t>
      </w:r>
      <w:proofErr w:type="spellEnd"/>
      <w:proofErr w:type="gramEnd"/>
      <w:r w:rsidRPr="00FF3D47">
        <w:rPr>
          <w:szCs w:val="24"/>
          <w:lang w:eastAsia="en-US"/>
        </w:rPr>
        <w:t xml:space="preserve"> Commissione dovrebbe assistere e sostenere gli Stati membri nel monitoraggio della salute del suolo effettuando e migliorando continuamente il campionamento sistematico in situ e le relative misurazioni del suolo (LUCAS Suolo) nell'ambito dell'indagine a campionamento areale sull'uso e sulla copertura del suolo (LUCAS, Land Use and </w:t>
      </w:r>
      <w:proofErr w:type="spellStart"/>
      <w:r w:rsidRPr="00FF3D47">
        <w:rPr>
          <w:szCs w:val="24"/>
          <w:lang w:eastAsia="en-US"/>
        </w:rPr>
        <w:t>Coverage</w:t>
      </w:r>
      <w:proofErr w:type="spellEnd"/>
      <w:r w:rsidRPr="00FF3D47">
        <w:rPr>
          <w:szCs w:val="24"/>
          <w:lang w:eastAsia="en-US"/>
        </w:rPr>
        <w:t xml:space="preserve"> Area frame </w:t>
      </w:r>
      <w:proofErr w:type="spellStart"/>
      <w:r w:rsidRPr="00FF3D47">
        <w:rPr>
          <w:szCs w:val="24"/>
          <w:lang w:eastAsia="en-US"/>
        </w:rPr>
        <w:t>Survey</w:t>
      </w:r>
      <w:proofErr w:type="spellEnd"/>
      <w:r w:rsidRPr="00FF3D47">
        <w:rPr>
          <w:szCs w:val="24"/>
          <w:lang w:eastAsia="en-US"/>
        </w:rPr>
        <w:t xml:space="preserve">). Lo strumento LUCAS </w:t>
      </w:r>
      <w:proofErr w:type="spellStart"/>
      <w:r w:rsidRPr="00FF3D47">
        <w:rPr>
          <w:strike/>
          <w:szCs w:val="24"/>
          <w:lang w:eastAsia="en-US"/>
        </w:rPr>
        <w:t>è</w:t>
      </w:r>
      <w:r w:rsidRPr="00FF3D47">
        <w:rPr>
          <w:b/>
          <w:i/>
          <w:szCs w:val="24"/>
          <w:lang w:eastAsia="en-US"/>
        </w:rPr>
        <w:t>dovrebbe</w:t>
      </w:r>
      <w:proofErr w:type="spellEnd"/>
      <w:r w:rsidRPr="00FF3D47">
        <w:rPr>
          <w:b/>
          <w:i/>
          <w:szCs w:val="24"/>
          <w:lang w:eastAsia="en-US"/>
        </w:rPr>
        <w:t xml:space="preserve"> essere</w:t>
      </w:r>
      <w:r w:rsidRPr="00FF3D47">
        <w:rPr>
          <w:szCs w:val="24"/>
          <w:lang w:eastAsia="en-US"/>
        </w:rPr>
        <w:t xml:space="preserve"> migliorato e aggiornato per allinearlo pienamente ai requisiti specifici di qualità</w:t>
      </w:r>
      <w:r w:rsidRPr="00FF3D47">
        <w:rPr>
          <w:b/>
          <w:i/>
          <w:szCs w:val="24"/>
          <w:lang w:eastAsia="en-US"/>
        </w:rPr>
        <w:t xml:space="preserve"> e a tutti i descrittori</w:t>
      </w:r>
      <w:r w:rsidRPr="00FF3D47">
        <w:rPr>
          <w:szCs w:val="24"/>
          <w:lang w:eastAsia="en-US"/>
        </w:rPr>
        <w:t xml:space="preserve"> da soddisfare ai fini della presente direttiva. Per alleviare l'onere e sostenere gli Stati membri, è opportuno autorizzarli a tenere conto dei dati sulla salute del suolo rilevati con LUCAS Suolo migliorato. </w:t>
      </w:r>
      <w:r w:rsidRPr="00FF3D47">
        <w:rPr>
          <w:b/>
          <w:i/>
          <w:szCs w:val="24"/>
          <w:lang w:eastAsia="en-US"/>
        </w:rPr>
        <w:t xml:space="preserve">Il programma LUCAS Suolo campionerà e analizzerà almeno il 20 % dei campioni nazionali, contribuendo in tal modo al monitoraggio condotto dagli Stati membri. L'analisi effettuata dal programma LUCAS è essenziale per consentire agli Stati membri di calcolare e calibrare le funzioni di trasferimento valide al fine di consentire loro di continuare a utilizzare una progettazione di monitoraggio alternativa conformemente al livello 2. Su richiesta di uno Stato membro, la Commissione dovrebbe prestare un'assistenza supplementare che può arrivare fino al 50 % del campionamento durante il primo ciclo di monitoraggio </w:t>
      </w:r>
      <w:proofErr w:type="spellStart"/>
      <w:proofErr w:type="gramStart"/>
      <w:r w:rsidRPr="00FF3D47">
        <w:rPr>
          <w:b/>
          <w:i/>
          <w:szCs w:val="24"/>
          <w:lang w:eastAsia="en-US"/>
        </w:rPr>
        <w:t>nazionale.</w:t>
      </w:r>
      <w:r w:rsidRPr="00FF3D47">
        <w:rPr>
          <w:szCs w:val="24"/>
          <w:lang w:eastAsia="en-US"/>
        </w:rPr>
        <w:t>Gli</w:t>
      </w:r>
      <w:proofErr w:type="spellEnd"/>
      <w:proofErr w:type="gramEnd"/>
      <w:r w:rsidRPr="00FF3D47">
        <w:rPr>
          <w:szCs w:val="24"/>
          <w:lang w:eastAsia="en-US"/>
        </w:rPr>
        <w:t xml:space="preserve"> Stati membri dovrebbero adottare le disposizioni giuridiche necessarie per far sì che la Commissione possa effettuare il campionamento del suolo in situ, anche su terreni di proprietà privata</w:t>
      </w:r>
      <w:r w:rsidRPr="00FF3D47">
        <w:rPr>
          <w:b/>
          <w:i/>
          <w:szCs w:val="24"/>
          <w:lang w:eastAsia="en-US"/>
        </w:rPr>
        <w:t>, con il consenso dei proprietari</w:t>
      </w:r>
      <w:r w:rsidRPr="00FF3D47">
        <w:rPr>
          <w:szCs w:val="24"/>
          <w:lang w:eastAsia="en-US"/>
        </w:rPr>
        <w:t xml:space="preserve">, nel rispetto della legislazione nazionale o </w:t>
      </w:r>
      <w:proofErr w:type="spellStart"/>
      <w:r w:rsidRPr="00FF3D47">
        <w:rPr>
          <w:szCs w:val="24"/>
          <w:lang w:eastAsia="en-US"/>
        </w:rPr>
        <w:t>unionale</w:t>
      </w:r>
      <w:proofErr w:type="spellEnd"/>
      <w:r w:rsidRPr="00FF3D47">
        <w:rPr>
          <w:szCs w:val="24"/>
          <w:lang w:eastAsia="en-US"/>
        </w:rPr>
        <w:t xml:space="preserve"> applicabile.</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21]</w:t>
      </w:r>
    </w:p>
    <w:p w14:paraId="7B34134D" w14:textId="77777777" w:rsidR="00295DAB" w:rsidRDefault="00295DAB" w:rsidP="00FF3D47">
      <w:pPr>
        <w:spacing w:before="120" w:after="120" w:line="360" w:lineRule="auto"/>
        <w:ind w:left="850" w:hanging="850"/>
        <w:rPr>
          <w:szCs w:val="24"/>
          <w:lang w:eastAsia="en-US"/>
        </w:rPr>
      </w:pPr>
      <w:r>
        <w:rPr>
          <w:szCs w:val="24"/>
          <w:lang w:eastAsia="en-US"/>
        </w:rPr>
        <w:br w:type="page"/>
      </w:r>
    </w:p>
    <w:p w14:paraId="5E4AB492" w14:textId="398D4245"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(33)</w:t>
      </w:r>
      <w:r w:rsidRPr="00FF3D47">
        <w:rPr>
          <w:szCs w:val="24"/>
          <w:lang w:eastAsia="en-US"/>
        </w:rPr>
        <w:tab/>
        <w:t xml:space="preserve">La Commissione sviluppa servizi di telerilevamento nel contesto di </w:t>
      </w:r>
      <w:proofErr w:type="spellStart"/>
      <w:r w:rsidRPr="00FF3D47">
        <w:rPr>
          <w:szCs w:val="24"/>
          <w:lang w:eastAsia="en-US"/>
        </w:rPr>
        <w:t>Copernicus</w:t>
      </w:r>
      <w:proofErr w:type="spellEnd"/>
      <w:r w:rsidRPr="00FF3D47">
        <w:rPr>
          <w:szCs w:val="24"/>
          <w:lang w:eastAsia="en-US"/>
        </w:rPr>
        <w:t xml:space="preserve"> come programma orientato agli utenti, quindi a sostegno degli Stati membri. Se opportuno e ai fini della tempestività e dell'efficacia del monitoraggio della salute del suolo, gli Stati membri dovrebbero sfruttare i dati del telerilevamento e i risultati dei servizi </w:t>
      </w:r>
      <w:proofErr w:type="spellStart"/>
      <w:r w:rsidRPr="00FF3D47">
        <w:rPr>
          <w:szCs w:val="24"/>
          <w:lang w:eastAsia="en-US"/>
        </w:rPr>
        <w:t>Copernicus</w:t>
      </w:r>
      <w:proofErr w:type="spellEnd"/>
      <w:r w:rsidRPr="00FF3D47">
        <w:rPr>
          <w:szCs w:val="24"/>
          <w:lang w:eastAsia="en-US"/>
        </w:rPr>
        <w:t xml:space="preserve"> per monitorare i descrittori del suolo e valutare la salute del suolo. La Commissione e l'Agenzia europea dell'ambiente dovrebbero sostenere la ricerca e lo sviluppo di prodotti di telerilevamento del suolo per aiutare gli Stati membri nel monitoraggio dei descrittori del </w:t>
      </w:r>
      <w:proofErr w:type="spellStart"/>
      <w:r w:rsidRPr="00FF3D47">
        <w:rPr>
          <w:szCs w:val="24"/>
          <w:lang w:eastAsia="en-US"/>
        </w:rPr>
        <w:t>suolo.</w:t>
      </w:r>
      <w:r w:rsidRPr="00FF3D47">
        <w:rPr>
          <w:b/>
          <w:i/>
          <w:szCs w:val="24"/>
          <w:lang w:eastAsia="en-US"/>
        </w:rPr>
        <w:t>La</w:t>
      </w:r>
      <w:proofErr w:type="spellEnd"/>
      <w:r w:rsidRPr="00FF3D47">
        <w:rPr>
          <w:b/>
          <w:i/>
          <w:szCs w:val="24"/>
          <w:lang w:eastAsia="en-US"/>
        </w:rPr>
        <w:t xml:space="preserve"> Commissione e gli Stati membri dovrebbero sostenere ulteriormente l'uso di tecnologie digitali affidabili e disponibili, quali banche dati elettroniche, sistemi d'informazione geografica, identificazione automatica delle immagini o DNA ambientale, al fine di migliorare la condivisione delle conoscenze e la trasparenza in relazione alla salute del suolo e ridurre i costi delle misurazioni e del monitoraggio del suolo. [</w:t>
      </w:r>
      <w:proofErr w:type="spellStart"/>
      <w:r w:rsidRPr="00FF3D47">
        <w:rPr>
          <w:b/>
          <w:i/>
          <w:szCs w:val="24"/>
          <w:lang w:eastAsia="en-US"/>
        </w:rPr>
        <w:t>Em</w:t>
      </w:r>
      <w:proofErr w:type="spellEnd"/>
      <w:r w:rsidRPr="00FF3D47">
        <w:rPr>
          <w:b/>
          <w:i/>
          <w:szCs w:val="24"/>
          <w:lang w:eastAsia="en-US"/>
        </w:rPr>
        <w:t>. 22]</w:t>
      </w:r>
    </w:p>
    <w:p w14:paraId="1D2A66F9" w14:textId="77777777" w:rsidR="000B0A8C" w:rsidRDefault="000B0A8C" w:rsidP="00FF3D47">
      <w:pPr>
        <w:spacing w:before="120" w:after="120" w:line="360" w:lineRule="auto"/>
        <w:ind w:left="850" w:hanging="850"/>
        <w:rPr>
          <w:szCs w:val="24"/>
          <w:lang w:eastAsia="en-US"/>
        </w:rPr>
      </w:pPr>
      <w:r>
        <w:rPr>
          <w:szCs w:val="24"/>
          <w:lang w:eastAsia="en-US"/>
        </w:rPr>
        <w:br w:type="page"/>
      </w:r>
    </w:p>
    <w:p w14:paraId="72FE2924" w14:textId="31F4F366"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(34)</w:t>
      </w:r>
      <w:r w:rsidRPr="00FF3D47">
        <w:rPr>
          <w:szCs w:val="24"/>
          <w:lang w:eastAsia="en-US"/>
        </w:rPr>
        <w:tab/>
        <w:t>Basandosi sull'osservatorio del suolo dell'UE esistente e sul relativo aggiornamento, la Commissione dovrebbe istituire un portale digitale dei dati sulla salute del suolo che sia compatibile con la strategia dell'UE per i dati</w:t>
      </w:r>
      <w:r w:rsidRPr="00FF3D47">
        <w:rPr>
          <w:szCs w:val="24"/>
          <w:vertAlign w:val="superscript"/>
          <w:lang w:val="en-GB" w:eastAsia="en-US"/>
        </w:rPr>
        <w:footnoteReference w:id="24"/>
      </w:r>
      <w:r w:rsidRPr="00FF3D47">
        <w:rPr>
          <w:szCs w:val="24"/>
          <w:lang w:eastAsia="en-US"/>
        </w:rPr>
        <w:t xml:space="preserve"> e gli spazi dei dati dell'UE e che funga da punto d'accesso ai dati sul suolo provenienti da varie fonti. </w:t>
      </w:r>
      <w:r w:rsidRPr="00FF3D47">
        <w:rPr>
          <w:b/>
          <w:i/>
          <w:szCs w:val="24"/>
          <w:lang w:eastAsia="en-US"/>
        </w:rPr>
        <w:t xml:space="preserve">I dati sulla salute del suolo dovrebbero essere resi pubblici in un formato che possa essere utilizzato dalla comunità di ricerca, dai proprietari terrieri e dai gestori, dai consulenti che operano nell'ambito del sistema di consulenza aziendale e dal pubblico, garantendo il rispetto del diritto dell'Unione in materia di protezione dei dati personali. </w:t>
      </w:r>
      <w:r w:rsidRPr="00FF3D47">
        <w:rPr>
          <w:szCs w:val="24"/>
          <w:lang w:eastAsia="en-US"/>
        </w:rPr>
        <w:t xml:space="preserve">Il portale dovrebbe contenere innanzitutto i dati raccolti dagli Stati membri e dalla Commissione a norma della presente direttiva. Dovrebbe essere possibile integrare nel portale, su base volontaria, altri dati sul suolo raccolti dagli Stati membri o da altre parti (in particolare i dati derivanti dai progetti nell'ambito di Orizzonte Europa e della missione "Un patto europeo per i suoli"), se soddisfano determinati requisiti di formato e specifiche. La Commissione dovrebbe specificare i requisiti con atti di </w:t>
      </w:r>
      <w:proofErr w:type="spellStart"/>
      <w:proofErr w:type="gramStart"/>
      <w:r w:rsidRPr="00FF3D47">
        <w:rPr>
          <w:szCs w:val="24"/>
          <w:lang w:eastAsia="en-US"/>
        </w:rPr>
        <w:t>esecuzione.</w:t>
      </w:r>
      <w:r w:rsidRPr="00FF3D47">
        <w:rPr>
          <w:b/>
          <w:i/>
          <w:szCs w:val="24"/>
          <w:lang w:eastAsia="en-US"/>
        </w:rPr>
        <w:t>Gli</w:t>
      </w:r>
      <w:proofErr w:type="spellEnd"/>
      <w:proofErr w:type="gramEnd"/>
      <w:r w:rsidRPr="00FF3D47">
        <w:rPr>
          <w:b/>
          <w:i/>
          <w:szCs w:val="24"/>
          <w:lang w:eastAsia="en-US"/>
        </w:rPr>
        <w:t xml:space="preserve"> Stati membri e la Commissione dovrebbero garantire che gli istituti di ricerca dispongano di tutti i dati, su loro richiesta. [</w:t>
      </w:r>
      <w:proofErr w:type="spellStart"/>
      <w:r w:rsidRPr="00FF3D47">
        <w:rPr>
          <w:b/>
          <w:i/>
          <w:szCs w:val="24"/>
          <w:lang w:eastAsia="en-US"/>
        </w:rPr>
        <w:t>Em</w:t>
      </w:r>
      <w:proofErr w:type="spellEnd"/>
      <w:r w:rsidRPr="00FF3D47">
        <w:rPr>
          <w:b/>
          <w:i/>
          <w:szCs w:val="24"/>
          <w:lang w:eastAsia="en-US"/>
        </w:rPr>
        <w:t>. 23]</w:t>
      </w:r>
    </w:p>
    <w:p w14:paraId="0DDAFD51" w14:textId="77777777" w:rsidR="000B0A8C" w:rsidRDefault="000B0A8C" w:rsidP="00FF3D47">
      <w:pPr>
        <w:spacing w:before="120" w:after="120" w:line="360" w:lineRule="auto"/>
        <w:ind w:left="850" w:hanging="850"/>
        <w:rPr>
          <w:szCs w:val="24"/>
          <w:lang w:eastAsia="en-US"/>
        </w:rPr>
      </w:pPr>
      <w:r>
        <w:rPr>
          <w:szCs w:val="24"/>
          <w:lang w:eastAsia="en-US"/>
        </w:rPr>
        <w:br w:type="page"/>
      </w:r>
    </w:p>
    <w:p w14:paraId="1B7D3DB2" w14:textId="3A70A0F0"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(35)</w:t>
      </w:r>
      <w:r w:rsidRPr="00FF3D47">
        <w:rPr>
          <w:szCs w:val="24"/>
          <w:lang w:eastAsia="en-US"/>
        </w:rPr>
        <w:tab/>
        <w:t>È necessario armonizzare i sistemi di monitoraggio del suolo usati negli Stati membri</w:t>
      </w:r>
      <w:r w:rsidRPr="00FF3D47">
        <w:rPr>
          <w:strike/>
          <w:szCs w:val="24"/>
          <w:lang w:eastAsia="en-US"/>
        </w:rPr>
        <w:t xml:space="preserve"> e</w:t>
      </w:r>
      <w:r w:rsidRPr="00FF3D47">
        <w:rPr>
          <w:b/>
          <w:i/>
          <w:szCs w:val="24"/>
          <w:lang w:eastAsia="en-US"/>
        </w:rPr>
        <w:t>,</w:t>
      </w:r>
      <w:r w:rsidRPr="00FF3D47">
        <w:rPr>
          <w:szCs w:val="24"/>
          <w:lang w:eastAsia="en-US"/>
        </w:rPr>
        <w:t xml:space="preserve"> sfruttare le sinergie tra i sistemi </w:t>
      </w:r>
      <w:proofErr w:type="spellStart"/>
      <w:r w:rsidRPr="00FF3D47">
        <w:rPr>
          <w:szCs w:val="24"/>
          <w:lang w:eastAsia="en-US"/>
        </w:rPr>
        <w:t>unionali</w:t>
      </w:r>
      <w:proofErr w:type="spellEnd"/>
      <w:r w:rsidRPr="00FF3D47">
        <w:rPr>
          <w:szCs w:val="24"/>
          <w:lang w:eastAsia="en-US"/>
        </w:rPr>
        <w:t xml:space="preserve"> e sistemi nazionali </w:t>
      </w:r>
      <w:r w:rsidRPr="00FF3D47">
        <w:rPr>
          <w:b/>
          <w:i/>
          <w:szCs w:val="24"/>
          <w:lang w:eastAsia="en-US"/>
        </w:rPr>
        <w:t xml:space="preserve">e utilizzare appieno gli strumenti di monitoraggio armonizzati già esistenti, come LUCAS, </w:t>
      </w:r>
      <w:r w:rsidRPr="00FF3D47">
        <w:rPr>
          <w:szCs w:val="24"/>
          <w:lang w:eastAsia="en-US"/>
        </w:rPr>
        <w:t>per disporre di una maggiore compatibilità dei dati in tutta l'</w:t>
      </w:r>
      <w:proofErr w:type="spellStart"/>
      <w:r w:rsidRPr="00FF3D47">
        <w:rPr>
          <w:szCs w:val="24"/>
          <w:lang w:eastAsia="en-US"/>
        </w:rPr>
        <w:t>Unione.</w:t>
      </w:r>
      <w:r w:rsidRPr="00FF3D47">
        <w:rPr>
          <w:b/>
          <w:i/>
          <w:szCs w:val="24"/>
          <w:lang w:eastAsia="en-US"/>
        </w:rPr>
        <w:t>Inoltre</w:t>
      </w:r>
      <w:proofErr w:type="spellEnd"/>
      <w:r w:rsidRPr="00FF3D47">
        <w:rPr>
          <w:b/>
          <w:i/>
          <w:szCs w:val="24"/>
          <w:lang w:eastAsia="en-US"/>
        </w:rPr>
        <w:t>, l'armonizzazione dei sistemi di monitoraggio negli Stati membri contribuirebbe ad aumentare gli investimenti in tecniche e tecnologie avanzate di monitoraggio del suolo. [</w:t>
      </w:r>
      <w:proofErr w:type="spellStart"/>
      <w:r w:rsidRPr="00FF3D47">
        <w:rPr>
          <w:b/>
          <w:i/>
          <w:szCs w:val="24"/>
          <w:lang w:eastAsia="en-US"/>
        </w:rPr>
        <w:t>Em</w:t>
      </w:r>
      <w:proofErr w:type="spellEnd"/>
      <w:r w:rsidRPr="00FF3D47">
        <w:rPr>
          <w:b/>
          <w:i/>
          <w:szCs w:val="24"/>
          <w:lang w:eastAsia="en-US"/>
        </w:rPr>
        <w:t>. 24]</w:t>
      </w:r>
    </w:p>
    <w:p w14:paraId="6CB67CAF" w14:textId="4F8DF58F" w:rsidR="000C1731" w:rsidRPr="00FF3D47" w:rsidRDefault="00FF3D47" w:rsidP="000C1731">
      <w:pPr>
        <w:spacing w:before="120" w:after="120" w:line="360" w:lineRule="auto"/>
        <w:ind w:left="850" w:hanging="850"/>
        <w:rPr>
          <w:szCs w:val="24"/>
          <w:lang w:eastAsia="en-US"/>
        </w:rPr>
      </w:pPr>
      <w:r w:rsidRPr="00FF3D47">
        <w:rPr>
          <w:strike/>
          <w:szCs w:val="24"/>
          <w:lang w:eastAsia="en-US"/>
        </w:rPr>
        <w:t>(36)</w:t>
      </w:r>
      <w:r w:rsidRPr="00FF3D47">
        <w:rPr>
          <w:szCs w:val="24"/>
          <w:lang w:eastAsia="en-US"/>
        </w:rPr>
        <w:tab/>
      </w:r>
      <w:r w:rsidRPr="00FF3D47">
        <w:rPr>
          <w:strike/>
          <w:szCs w:val="24"/>
          <w:lang w:eastAsia="en-US"/>
        </w:rPr>
        <w:t>Per sfruttare al massimo i dati sulla salute del suolo generati dal monitoraggio a norma della presente direttiva, gli Stati membri dovrebbero facilitarne l'accesso ai portatori di interessi (agricoltori, silvicoltori, proprietari terrieri e autorità locali</w:t>
      </w:r>
      <w:proofErr w:type="gramStart"/>
      <w:r w:rsidRPr="00FF3D47">
        <w:rPr>
          <w:strike/>
          <w:szCs w:val="24"/>
          <w:lang w:eastAsia="en-US"/>
        </w:rPr>
        <w:t>).</w:t>
      </w:r>
      <w:r w:rsidR="000C1731">
        <w:rPr>
          <w:b/>
          <w:i/>
          <w:szCs w:val="24"/>
          <w:lang w:eastAsia="en-US"/>
        </w:rPr>
        <w:t>[</w:t>
      </w:r>
      <w:proofErr w:type="spellStart"/>
      <w:proofErr w:type="gramEnd"/>
      <w:r w:rsidR="000C1731">
        <w:rPr>
          <w:b/>
          <w:i/>
          <w:szCs w:val="24"/>
          <w:lang w:eastAsia="en-US"/>
        </w:rPr>
        <w:t>Em</w:t>
      </w:r>
      <w:proofErr w:type="spellEnd"/>
      <w:r w:rsidR="000C1731">
        <w:rPr>
          <w:b/>
          <w:i/>
          <w:szCs w:val="24"/>
          <w:lang w:eastAsia="en-US"/>
        </w:rPr>
        <w:t>. 25</w:t>
      </w:r>
      <w:r w:rsidR="000C1731" w:rsidRPr="00FF3D47">
        <w:rPr>
          <w:b/>
          <w:i/>
          <w:szCs w:val="24"/>
          <w:lang w:eastAsia="en-US"/>
        </w:rPr>
        <w:t>]</w:t>
      </w:r>
    </w:p>
    <w:p w14:paraId="609069A5"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(37)</w:t>
      </w:r>
      <w:r w:rsidRPr="00FF3D47">
        <w:rPr>
          <w:szCs w:val="24"/>
          <w:lang w:eastAsia="en-US"/>
        </w:rPr>
        <w:tab/>
        <w:t xml:space="preserve">Per mantenerne o migliorarne la salute, i suoli devono essere gestiti in modo sostenibile. La gestione sostenibile consentirà la fornitura a lungo termine di servizi del suolo, tra i quali la migliore qualità dell'aria e dell'acqua e la sicurezza alimentare. È quindi opportuno stabilire principi </w:t>
      </w:r>
      <w:r w:rsidRPr="00FF3D47">
        <w:rPr>
          <w:b/>
          <w:i/>
          <w:szCs w:val="24"/>
          <w:lang w:eastAsia="en-US"/>
        </w:rPr>
        <w:t xml:space="preserve">non vincolanti </w:t>
      </w:r>
      <w:r w:rsidRPr="00FF3D47">
        <w:rPr>
          <w:szCs w:val="24"/>
          <w:lang w:eastAsia="en-US"/>
        </w:rPr>
        <w:t>di gestione sostenibile del suolo per orientare le pratiche di gestione.</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26]</w:t>
      </w:r>
    </w:p>
    <w:p w14:paraId="541A5EB5"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1F31B6D6" w14:textId="201155EE"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(38)</w:t>
      </w:r>
      <w:r w:rsidRPr="00FF3D47">
        <w:rPr>
          <w:szCs w:val="24"/>
          <w:lang w:eastAsia="en-US"/>
        </w:rPr>
        <w:tab/>
        <w:t xml:space="preserve">Gli strumenti economici, anche quelli della politica agricola comune (PAC) che forniscono sostegno agli agricoltori, svolgono un ruolo cruciale nella transizione verso la gestione sostenibile dei suoli agricoli e, in misura minore, dei suoli forestali. La PAC intende sostenere la salute del suolo attraverso la condizionalità, i regimi ecologici e le misure di sviluppo rurale. Il sostegno finanziario degli agricoltori e silvicoltori che applicano pratiche sostenibili di gestione del suolo può provenire anche dal settore privato. Le etichette volontarie di sostenibilità dell'industria alimentare, del legno, della </w:t>
      </w:r>
      <w:proofErr w:type="spellStart"/>
      <w:r w:rsidRPr="00FF3D47">
        <w:rPr>
          <w:szCs w:val="24"/>
          <w:lang w:eastAsia="en-US"/>
        </w:rPr>
        <w:t>bioindustria</w:t>
      </w:r>
      <w:proofErr w:type="spellEnd"/>
      <w:r w:rsidRPr="00FF3D47">
        <w:rPr>
          <w:szCs w:val="24"/>
          <w:lang w:eastAsia="en-US"/>
        </w:rPr>
        <w:t xml:space="preserve"> e dell'energia, ad esempio, istituite da portatori di interessi privati, possono tenere conto dei </w:t>
      </w:r>
      <w:r w:rsidRPr="00FF3D47">
        <w:rPr>
          <w:strike/>
          <w:szCs w:val="24"/>
          <w:lang w:eastAsia="en-US"/>
        </w:rPr>
        <w:t xml:space="preserve">principi di gestione </w:t>
      </w:r>
      <w:proofErr w:type="spellStart"/>
      <w:r w:rsidRPr="00FF3D47">
        <w:rPr>
          <w:strike/>
          <w:szCs w:val="24"/>
          <w:lang w:eastAsia="en-US"/>
        </w:rPr>
        <w:t>sostenibile</w:t>
      </w:r>
      <w:r w:rsidRPr="00FF3D47">
        <w:rPr>
          <w:b/>
          <w:i/>
          <w:szCs w:val="24"/>
          <w:lang w:eastAsia="en-US"/>
        </w:rPr>
        <w:t>contribuiti</w:t>
      </w:r>
      <w:proofErr w:type="spellEnd"/>
      <w:r w:rsidRPr="00FF3D47">
        <w:rPr>
          <w:b/>
          <w:i/>
          <w:szCs w:val="24"/>
          <w:lang w:eastAsia="en-US"/>
        </w:rPr>
        <w:t xml:space="preserve"> per migliorare la salute</w:t>
      </w:r>
      <w:r w:rsidRPr="00FF3D47">
        <w:rPr>
          <w:szCs w:val="24"/>
          <w:lang w:eastAsia="en-US"/>
        </w:rPr>
        <w:t xml:space="preserve"> del suolo </w:t>
      </w:r>
      <w:r w:rsidRPr="00FF3D47">
        <w:rPr>
          <w:strike/>
          <w:szCs w:val="24"/>
          <w:lang w:eastAsia="en-US"/>
        </w:rPr>
        <w:t xml:space="preserve">stabiliti </w:t>
      </w:r>
      <w:proofErr w:type="spellStart"/>
      <w:r w:rsidRPr="00FF3D47">
        <w:rPr>
          <w:strike/>
          <w:szCs w:val="24"/>
          <w:lang w:eastAsia="en-US"/>
        </w:rPr>
        <w:t>nella</w:t>
      </w:r>
      <w:r w:rsidRPr="00FF3D47">
        <w:rPr>
          <w:b/>
          <w:i/>
          <w:szCs w:val="24"/>
          <w:lang w:eastAsia="en-US"/>
        </w:rPr>
        <w:t>conformemente</w:t>
      </w:r>
      <w:proofErr w:type="spellEnd"/>
      <w:r w:rsidRPr="00FF3D47">
        <w:rPr>
          <w:b/>
          <w:i/>
          <w:szCs w:val="24"/>
          <w:lang w:eastAsia="en-US"/>
        </w:rPr>
        <w:t xml:space="preserve"> alla</w:t>
      </w:r>
      <w:r w:rsidRPr="00FF3D47">
        <w:rPr>
          <w:szCs w:val="24"/>
          <w:lang w:eastAsia="en-US"/>
        </w:rPr>
        <w:t xml:space="preserve"> presente direttiva. I produttori alimentari, di legname e altri produttori di biomassa che seguono detti principi possono ripercuoterli sul valore dei loro prodotti. I "laboratori viventi" e i "fari" della missione per i suoli forniranno finanziamenti supplementari per una rete di siti reali in cui testare, dimostrare e sviluppare soluzioni, anche in materia di sequestro del carbonio nei suoli agricoli. Fatto salvo il principio "chi inquina paga", gli Stati membri dovrebbero fornire sostegno e consulenza ai proprietari e agli utilizzatori dei terreni interessati dalle misure prese a norma della presente direttiva, tenendo conto, in particolare, delle esigenze e delle capacità limitate delle piccole e medie imprese.</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27]</w:t>
      </w:r>
    </w:p>
    <w:p w14:paraId="1210CC44"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513FE5B1" w14:textId="089688F5"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(39)</w:t>
      </w:r>
      <w:r w:rsidRPr="00FF3D47">
        <w:rPr>
          <w:szCs w:val="24"/>
          <w:lang w:eastAsia="en-US"/>
        </w:rPr>
        <w:tab/>
        <w:t>A norma del regolamento (UE) 2021/2115 del Parlamento europeo e del Consiglio</w:t>
      </w:r>
      <w:r w:rsidRPr="00FF3D47">
        <w:rPr>
          <w:szCs w:val="24"/>
          <w:vertAlign w:val="superscript"/>
          <w:lang w:val="en-GB" w:eastAsia="en-US"/>
        </w:rPr>
        <w:footnoteReference w:id="25"/>
      </w:r>
      <w:r w:rsidRPr="00FF3D47">
        <w:rPr>
          <w:szCs w:val="24"/>
          <w:lang w:eastAsia="en-US"/>
        </w:rPr>
        <w:t>, nei piani strategici della PAC gli Stati membri devono descrivere in che modo l'architettura ambientale e climatica dei piani contribuirà e si conformerà agli obiettivi nazionali a lungo termine stabiliti o derivanti dagli atti legislativi elencati nell'allegato XIII del regolamento suddetto.</w:t>
      </w:r>
    </w:p>
    <w:p w14:paraId="1B5B88C0" w14:textId="42F373A5" w:rsidR="00FF3D47" w:rsidRPr="00FF3D47" w:rsidRDefault="00FF3D47" w:rsidP="00FF3D47">
      <w:pPr>
        <w:spacing w:before="120" w:after="120" w:line="360" w:lineRule="auto"/>
        <w:ind w:left="850" w:hanging="850"/>
        <w:rPr>
          <w:szCs w:val="24"/>
          <w:lang w:eastAsia="en-US"/>
        </w:rPr>
      </w:pPr>
      <w:r w:rsidRPr="00FF3D47">
        <w:rPr>
          <w:b/>
          <w:i/>
          <w:szCs w:val="24"/>
          <w:lang w:eastAsia="en-US"/>
        </w:rPr>
        <w:t>(39</w:t>
      </w:r>
      <w:r w:rsidR="000C1731">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Le buone condizioni agronomiche e ambientali (BCAA 5, 6 e 7) di cui al regolamento (UE) 2021/2115 includono norme per migliorare la gestione della lavorazione del terreno al fine di ridurre i rischi di degrado ed erosione del suolo, tenendo anche conto del gradiente della pendenza, per attuare una gestione minima delle terre che rispetti le condizioni locali specifiche per limitare l'erosione, per assicurare una copertura minima del suolo al fine di evitare di lasciare nudo il suolo, per garantire la protezione dei suoli nei periodi più sensibili e per attuare la rotazione delle colture sui seminativi. Inoltre, la BCAA 1 sulla protezione dei pascoli permanenti e la BCAA 2 sulla protezione di zone umide e torbiere e dei suoli ad alto contenuto di materia organica sono pertinenti per la protezione del suolo. [</w:t>
      </w:r>
      <w:proofErr w:type="spellStart"/>
      <w:r w:rsidRPr="00FF3D47">
        <w:rPr>
          <w:b/>
          <w:i/>
          <w:szCs w:val="24"/>
          <w:lang w:eastAsia="en-US"/>
        </w:rPr>
        <w:t>Em</w:t>
      </w:r>
      <w:proofErr w:type="spellEnd"/>
      <w:r w:rsidRPr="00FF3D47">
        <w:rPr>
          <w:b/>
          <w:i/>
          <w:szCs w:val="24"/>
          <w:lang w:eastAsia="en-US"/>
        </w:rPr>
        <w:t>. 28]</w:t>
      </w:r>
    </w:p>
    <w:p w14:paraId="664C66FE"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2199F23D" w14:textId="2422CE2D"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(40)</w:t>
      </w:r>
      <w:r w:rsidRPr="00FF3D47">
        <w:rPr>
          <w:szCs w:val="24"/>
          <w:lang w:eastAsia="en-US"/>
        </w:rPr>
        <w:tab/>
      </w:r>
      <w:r w:rsidRPr="00FF3D47">
        <w:rPr>
          <w:strike/>
          <w:szCs w:val="24"/>
          <w:lang w:eastAsia="en-US"/>
        </w:rPr>
        <w:t xml:space="preserve">Per mettere in atto le migliori pratiche sostenibili di gestione del suolo, </w:t>
      </w:r>
      <w:r w:rsidRPr="00FF3D47">
        <w:rPr>
          <w:szCs w:val="24"/>
          <w:lang w:eastAsia="en-US"/>
        </w:rPr>
        <w:t>Gli Stati membri dovrebbero monitorare attentamente l'impatto della gestione del suolo e adeguare le pratiche e le raccomandazioni, se necessario, tenendo conto delle nuove conoscenze derivanti dalla ricerca e dall'innovazione. Si attendono contributi preziosi dalla missione "Un patto europeo per i suoli" di Orizzonte Europa, in particolare dai "laboratori viventi" e dalle attività a sostegno del monitoraggio del suolo, dell'istruzione in materia di suolo e della partecipazione dei cittadini.</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29]</w:t>
      </w:r>
    </w:p>
    <w:p w14:paraId="29EEC263"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(41)</w:t>
      </w:r>
      <w:r w:rsidRPr="00FF3D47">
        <w:rPr>
          <w:szCs w:val="24"/>
          <w:lang w:eastAsia="en-US"/>
        </w:rPr>
        <w:tab/>
        <w:t>La rigenerazione riporta i suoli degradati a una condizione sana. Nel definire le misure di rigenerazione del suolo, gli Stati membri dovrebbero tenere conto dei risultati della valutazione della salute del suolo e adeguare tali misure alle specificità della situazione: al tipo, all'uso e allo stato del suolo e alle condizioni locali, climatiche e ambientali.</w:t>
      </w:r>
    </w:p>
    <w:p w14:paraId="60B2CF12"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47A41A98" w14:textId="6098CB0E"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(42)</w:t>
      </w:r>
      <w:r w:rsidRPr="00FF3D47">
        <w:rPr>
          <w:szCs w:val="24"/>
          <w:lang w:eastAsia="en-US"/>
        </w:rPr>
        <w:tab/>
        <w:t>Per garantire sinergie tra le diverse misure di altri atti legislativi dell'Unione che possono incidere sulla salute del suolo e le misure che saranno attuate per gestire in modo sostenibile e rigenerare i suoli nell'Unione, gli Stati membri dovrebbero provvedere a che le pratiche di gestione sostenibile e rigenerazione del suolo siano coerenti con: i piani nazionali di ripristino adottati a norma del regolamento (UE).../... del Parlamento europeo e del Consiglio</w:t>
      </w:r>
      <w:r w:rsidRPr="00FF3D47">
        <w:rPr>
          <w:szCs w:val="24"/>
          <w:vertAlign w:val="superscript"/>
          <w:lang w:val="en-GB" w:eastAsia="en-US"/>
        </w:rPr>
        <w:footnoteReference w:id="26"/>
      </w:r>
      <w:r w:rsidRPr="00FF3D47">
        <w:rPr>
          <w:szCs w:val="24"/>
          <w:lang w:eastAsia="en-US"/>
        </w:rPr>
        <w:t xml:space="preserve"> +; </w:t>
      </w:r>
      <w:r w:rsidRPr="00FF3D47">
        <w:rPr>
          <w:b/>
          <w:i/>
          <w:szCs w:val="24"/>
          <w:lang w:eastAsia="en-US"/>
        </w:rPr>
        <w:t xml:space="preserve">le strategie e i piani d'azione nazionali in materia di biodiversità elaborati conformemente all'articolo 6 della convenzione delle Nazioni Unite sulla diversità </w:t>
      </w:r>
      <w:proofErr w:type="spellStart"/>
      <w:r w:rsidRPr="00FF3D47">
        <w:rPr>
          <w:b/>
          <w:i/>
          <w:szCs w:val="24"/>
          <w:lang w:eastAsia="en-US"/>
        </w:rPr>
        <w:t>biologica;</w:t>
      </w:r>
      <w:r w:rsidRPr="00FF3D47">
        <w:rPr>
          <w:szCs w:val="24"/>
          <w:lang w:eastAsia="en-US"/>
        </w:rPr>
        <w:t>i</w:t>
      </w:r>
      <w:proofErr w:type="spellEnd"/>
      <w:r w:rsidRPr="00FF3D47">
        <w:rPr>
          <w:szCs w:val="24"/>
          <w:lang w:eastAsia="en-US"/>
        </w:rPr>
        <w:t xml:space="preserve"> piani strategici che gli Stati membri devono redigere nell'ambito della politica agricola comune conformemente al regolamento (UE) 2021/2115; i codici di buona pratica agricola e i programmi d'azione per quanto riguarda le zone vulnerabili designate conformemente alla direttiva 91/676/CEE del Consiglio</w:t>
      </w:r>
      <w:r w:rsidRPr="00FF3D47">
        <w:rPr>
          <w:szCs w:val="24"/>
          <w:vertAlign w:val="superscript"/>
          <w:lang w:val="en-GB" w:eastAsia="en-US"/>
        </w:rPr>
        <w:footnoteReference w:id="27"/>
      </w:r>
      <w:r w:rsidRPr="00FF3D47">
        <w:rPr>
          <w:szCs w:val="24"/>
          <w:lang w:eastAsia="en-US"/>
        </w:rPr>
        <w:t>; le misure di conservazione e il quadro di azioni elencate per priorità stabiliti per i siti Natura 2000 conformemente alla direttiva 92/43/CEE del Consiglio</w:t>
      </w:r>
      <w:r w:rsidRPr="00FF3D47">
        <w:rPr>
          <w:szCs w:val="24"/>
          <w:vertAlign w:val="superscript"/>
          <w:lang w:val="en-GB" w:eastAsia="en-US"/>
        </w:rPr>
        <w:footnoteReference w:id="28"/>
      </w:r>
      <w:r w:rsidRPr="00FF3D47">
        <w:rPr>
          <w:szCs w:val="24"/>
          <w:lang w:eastAsia="en-US"/>
        </w:rPr>
        <w:t>; le misure per raggiungere il buono stato ecologico e chimico dei corpi idrici comprese nei piani di gestione dei bacini idrografici conformemente alla direttiva 2000/60/CE del Parlamento europeo e del Consiglio</w:t>
      </w:r>
      <w:r w:rsidRPr="00FF3D47">
        <w:rPr>
          <w:szCs w:val="24"/>
          <w:vertAlign w:val="superscript"/>
          <w:lang w:val="en-GB" w:eastAsia="en-US"/>
        </w:rPr>
        <w:footnoteReference w:id="29"/>
      </w:r>
      <w:r w:rsidRPr="00FF3D47">
        <w:rPr>
          <w:szCs w:val="24"/>
          <w:lang w:eastAsia="en-US"/>
        </w:rPr>
        <w:t>; le misure di gestione dei rischi di alluvioni conformemente alla direttiva 2007/60/CE del Parlamento europeo e del Consiglio</w:t>
      </w:r>
      <w:r w:rsidRPr="00FF3D47">
        <w:rPr>
          <w:szCs w:val="24"/>
          <w:vertAlign w:val="superscript"/>
          <w:lang w:val="en-GB" w:eastAsia="en-US"/>
        </w:rPr>
        <w:footnoteReference w:id="30"/>
      </w:r>
      <w:r w:rsidRPr="00FF3D47">
        <w:rPr>
          <w:szCs w:val="24"/>
          <w:lang w:eastAsia="en-US"/>
        </w:rPr>
        <w:t>; i piani di gestione della siccità promossi nella strategia dell'UE di adattamento ai cambiamenti climatici</w:t>
      </w:r>
      <w:r w:rsidRPr="00FF3D47">
        <w:rPr>
          <w:szCs w:val="24"/>
          <w:vertAlign w:val="superscript"/>
          <w:lang w:val="en-GB" w:eastAsia="en-US"/>
        </w:rPr>
        <w:footnoteReference w:id="31"/>
      </w:r>
      <w:r w:rsidRPr="00FF3D47">
        <w:rPr>
          <w:szCs w:val="24"/>
          <w:lang w:eastAsia="en-US"/>
        </w:rPr>
        <w:t xml:space="preserve">; i programmi d'azione nazionali stabiliti conformemente all'articolo 10 della convenzione delle Nazioni Unite contro la desertificazione; gli obiettivi dei </w:t>
      </w:r>
      <w:r w:rsidRPr="00FF3D47">
        <w:rPr>
          <w:szCs w:val="24"/>
          <w:lang w:eastAsia="en-US"/>
        </w:rPr>
        <w:lastRenderedPageBreak/>
        <w:t>regolamenti del Parlamento europeo e del Consiglio (UE) 2018/841</w:t>
      </w:r>
      <w:r w:rsidRPr="00FF3D47">
        <w:rPr>
          <w:szCs w:val="24"/>
          <w:vertAlign w:val="superscript"/>
          <w:lang w:val="en-GB" w:eastAsia="en-US"/>
        </w:rPr>
        <w:footnoteReference w:id="32"/>
      </w:r>
      <w:r w:rsidRPr="00FF3D47">
        <w:rPr>
          <w:szCs w:val="24"/>
          <w:lang w:eastAsia="en-US"/>
        </w:rPr>
        <w:t xml:space="preserve"> e (UE) 2018/842</w:t>
      </w:r>
      <w:r w:rsidRPr="00FF3D47">
        <w:rPr>
          <w:szCs w:val="24"/>
          <w:vertAlign w:val="superscript"/>
          <w:lang w:val="en-GB" w:eastAsia="en-US"/>
        </w:rPr>
        <w:footnoteReference w:id="33"/>
      </w:r>
      <w:r w:rsidRPr="00FF3D47">
        <w:rPr>
          <w:szCs w:val="24"/>
          <w:lang w:eastAsia="en-US"/>
        </w:rPr>
        <w:t>; i piani nazionali integrati per l'energia e il clima stabiliti conformemente al regolamento (UE) 2018/1999 del Parlamento Europeo e del Consiglio</w:t>
      </w:r>
      <w:r w:rsidRPr="00FF3D47">
        <w:rPr>
          <w:szCs w:val="24"/>
          <w:vertAlign w:val="superscript"/>
          <w:lang w:val="en-GB" w:eastAsia="en-US"/>
        </w:rPr>
        <w:footnoteReference w:id="34"/>
      </w:r>
      <w:r w:rsidRPr="00FF3D47">
        <w:rPr>
          <w:szCs w:val="24"/>
          <w:lang w:eastAsia="en-US"/>
        </w:rPr>
        <w:t>; i programmi nazionali di controllo dell'inquinamento atmosferico elaborati a norma della direttiva (UE) 2016/2284 del Parlamento europeo e del Consiglio</w:t>
      </w:r>
      <w:r w:rsidRPr="00FF3D47">
        <w:rPr>
          <w:szCs w:val="24"/>
          <w:vertAlign w:val="superscript"/>
          <w:lang w:val="en-GB" w:eastAsia="en-US"/>
        </w:rPr>
        <w:footnoteReference w:id="35"/>
      </w:r>
      <w:r w:rsidRPr="00FF3D47">
        <w:rPr>
          <w:szCs w:val="24"/>
          <w:lang w:eastAsia="en-US"/>
        </w:rPr>
        <w:t>; le valutazioni del rischio e la pianificazione della gestione dei rischi di catastrofe stabilite conformemente alla decisione n. 1313/2013/UE del Parlamento europeo e del Consiglio</w:t>
      </w:r>
      <w:r w:rsidRPr="00FF3D47">
        <w:rPr>
          <w:szCs w:val="24"/>
          <w:vertAlign w:val="superscript"/>
          <w:lang w:val="en-GB" w:eastAsia="en-US"/>
        </w:rPr>
        <w:footnoteReference w:id="36"/>
      </w:r>
      <w:r w:rsidRPr="00FF3D47">
        <w:rPr>
          <w:szCs w:val="24"/>
          <w:lang w:eastAsia="en-US"/>
        </w:rPr>
        <w:t>; e i piani d'azione nazionali stabiliti conformemente</w:t>
      </w:r>
      <w:r w:rsidRPr="00FF3D47">
        <w:rPr>
          <w:strike/>
          <w:szCs w:val="24"/>
          <w:lang w:eastAsia="en-US"/>
        </w:rPr>
        <w:t xml:space="preserve"> al regolamento (UE)</w:t>
      </w:r>
      <w:r w:rsidRPr="00FF3D47">
        <w:rPr>
          <w:b/>
          <w:i/>
          <w:szCs w:val="24"/>
          <w:lang w:eastAsia="en-US"/>
        </w:rPr>
        <w:t>alla direttiva 2009/128/CE</w:t>
      </w:r>
      <w:r w:rsidRPr="00FF3D47">
        <w:rPr>
          <w:szCs w:val="24"/>
          <w:lang w:eastAsia="en-US"/>
        </w:rPr>
        <w:t xml:space="preserve"> …/… del Parlamento Europeo e del Consiglio</w:t>
      </w:r>
      <w:r w:rsidRPr="00FF3D47">
        <w:rPr>
          <w:szCs w:val="24"/>
          <w:vertAlign w:val="superscript"/>
          <w:lang w:val="en-GB" w:eastAsia="en-US"/>
        </w:rPr>
        <w:footnoteReference w:id="37"/>
      </w:r>
      <w:r w:rsidRPr="00FF3D47">
        <w:rPr>
          <w:strike/>
          <w:szCs w:val="24"/>
          <w:lang w:eastAsia="en-US"/>
        </w:rPr>
        <w:t>+</w:t>
      </w:r>
      <w:r w:rsidRPr="00FF3D47">
        <w:rPr>
          <w:szCs w:val="24"/>
          <w:lang w:eastAsia="en-US"/>
        </w:rPr>
        <w:t xml:space="preserve">. Le pratiche di gestione sostenibile e di rigenerazione del suolo dovrebbero essere integrate, per quanto possibile, nei programmi, piani e misure di cui sopra nella misura in cui contribuiscono a raggiungere gli obiettivi. Di conseguenza, gli indicatori e i dati pertinenti, quali gli indicatori di risultato relativi al suolo di cui al regolamento PAC e i dati statistici sugli input e sugli output agricoli comunicati a </w:t>
      </w:r>
      <w:r w:rsidRPr="00FF3D47">
        <w:rPr>
          <w:szCs w:val="24"/>
          <w:lang w:eastAsia="en-US"/>
        </w:rPr>
        <w:lastRenderedPageBreak/>
        <w:t>norma del regolamento (UE) 2022/2379 del Parlamento europeo e del Consiglio</w:t>
      </w:r>
      <w:r w:rsidRPr="00FF3D47">
        <w:rPr>
          <w:szCs w:val="24"/>
          <w:vertAlign w:val="superscript"/>
          <w:lang w:val="en-GB" w:eastAsia="en-US"/>
        </w:rPr>
        <w:footnoteReference w:id="38"/>
      </w:r>
      <w:r w:rsidRPr="00FF3D47">
        <w:rPr>
          <w:szCs w:val="24"/>
          <w:lang w:eastAsia="en-US"/>
        </w:rPr>
        <w:t xml:space="preserve"> dovrebbero essere accessibili alle autorità responsabili delle pratiche di gestione sostenibile e di rigenerazione del suolo e della valutazione della salute del suolo, al fine di collegare tali dati e indicatori e consentire una valutazione quanto più accurata possibile dell'efficacia delle misure scelte.</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30]</w:t>
      </w:r>
    </w:p>
    <w:p w14:paraId="19F8BC1C"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7D9D0FC2" w14:textId="207FF48D"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(43)</w:t>
      </w:r>
      <w:r w:rsidRPr="00FF3D47">
        <w:rPr>
          <w:szCs w:val="24"/>
          <w:lang w:eastAsia="en-US"/>
        </w:rPr>
        <w:tab/>
        <w:t xml:space="preserve">I siti contaminati sono dovuti a decenni di attività industriale nell'UE e possono comportare rischi per la salute umana e </w:t>
      </w:r>
      <w:r w:rsidRPr="00FF3D47">
        <w:rPr>
          <w:b/>
          <w:i/>
          <w:szCs w:val="24"/>
          <w:lang w:eastAsia="en-US"/>
        </w:rPr>
        <w:t xml:space="preserve">animale e </w:t>
      </w:r>
      <w:r w:rsidRPr="00FF3D47">
        <w:rPr>
          <w:szCs w:val="24"/>
          <w:lang w:eastAsia="en-US"/>
        </w:rPr>
        <w:t xml:space="preserve">per l'ambiente, oggi e in futuro. </w:t>
      </w:r>
      <w:r w:rsidRPr="00FF3D47">
        <w:rPr>
          <w:b/>
          <w:i/>
          <w:szCs w:val="24"/>
          <w:lang w:eastAsia="en-US"/>
        </w:rPr>
        <w:t xml:space="preserve">Basandosi sulle conoscenze </w:t>
      </w:r>
      <w:proofErr w:type="spellStart"/>
      <w:proofErr w:type="gramStart"/>
      <w:r w:rsidRPr="00FF3D47">
        <w:rPr>
          <w:b/>
          <w:i/>
          <w:szCs w:val="24"/>
          <w:lang w:eastAsia="en-US"/>
        </w:rPr>
        <w:t>disponibili,</w:t>
      </w:r>
      <w:r w:rsidRPr="00FF3D47">
        <w:rPr>
          <w:szCs w:val="24"/>
          <w:lang w:eastAsia="en-US"/>
        </w:rPr>
        <w:t>è</w:t>
      </w:r>
      <w:proofErr w:type="spellEnd"/>
      <w:proofErr w:type="gramEnd"/>
      <w:r w:rsidRPr="00FF3D47">
        <w:rPr>
          <w:szCs w:val="24"/>
          <w:lang w:eastAsia="en-US"/>
        </w:rPr>
        <w:t xml:space="preserve"> quindi necessario</w:t>
      </w:r>
      <w:r w:rsidRPr="00FF3D47">
        <w:rPr>
          <w:strike/>
          <w:szCs w:val="24"/>
          <w:lang w:eastAsia="en-US"/>
        </w:rPr>
        <w:t xml:space="preserve"> prima</w:t>
      </w:r>
      <w:r w:rsidRPr="00FF3D47">
        <w:rPr>
          <w:szCs w:val="24"/>
          <w:lang w:eastAsia="en-US"/>
        </w:rPr>
        <w:t xml:space="preserve"> individuare e studiare</w:t>
      </w:r>
      <w:r w:rsidRPr="00FF3D47">
        <w:rPr>
          <w:strike/>
          <w:szCs w:val="24"/>
          <w:lang w:eastAsia="en-US"/>
        </w:rPr>
        <w:t xml:space="preserve"> i</w:t>
      </w:r>
      <w:r w:rsidRPr="00FF3D47">
        <w:rPr>
          <w:szCs w:val="24"/>
          <w:lang w:eastAsia="en-US"/>
        </w:rPr>
        <w:t xml:space="preserve"> siti potenzialmente contaminati e poi, se la contaminazione è confermata, valutare i rischi e prendere le misure per </w:t>
      </w:r>
      <w:proofErr w:type="spellStart"/>
      <w:r w:rsidRPr="00FF3D47">
        <w:rPr>
          <w:strike/>
          <w:szCs w:val="24"/>
          <w:lang w:eastAsia="en-US"/>
        </w:rPr>
        <w:t>far</w:t>
      </w:r>
      <w:r w:rsidRPr="00FF3D47">
        <w:rPr>
          <w:b/>
          <w:i/>
          <w:szCs w:val="24"/>
          <w:lang w:eastAsia="en-US"/>
        </w:rPr>
        <w:t>farvi</w:t>
      </w:r>
      <w:proofErr w:type="spellEnd"/>
      <w:r w:rsidRPr="00FF3D47">
        <w:rPr>
          <w:szCs w:val="24"/>
          <w:lang w:eastAsia="en-US"/>
        </w:rPr>
        <w:t xml:space="preserve"> fronte</w:t>
      </w:r>
      <w:r w:rsidRPr="00FF3D47">
        <w:rPr>
          <w:strike/>
          <w:szCs w:val="24"/>
          <w:lang w:eastAsia="en-US"/>
        </w:rPr>
        <w:t xml:space="preserve"> a quelli inaccettabili</w:t>
      </w:r>
      <w:r w:rsidRPr="00FF3D47">
        <w:rPr>
          <w:szCs w:val="24"/>
          <w:lang w:eastAsia="en-US"/>
        </w:rPr>
        <w:t>. Dall'analisi del suolo potrebbe risultare che un sito potenzialmente contaminato di fatto non lo è. In tal caso lo Stato membro non dovrebbe più classificare il sito come potenzialmente contaminato, a meno che nuove prove non indichino altrimenti.</w:t>
      </w:r>
      <w:r w:rsidR="000C1731">
        <w:rPr>
          <w:b/>
          <w:i/>
          <w:szCs w:val="24"/>
          <w:lang w:eastAsia="en-US"/>
        </w:rPr>
        <w:t xml:space="preserve"> [</w:t>
      </w:r>
      <w:proofErr w:type="spellStart"/>
      <w:r w:rsidR="000C1731">
        <w:rPr>
          <w:b/>
          <w:i/>
          <w:szCs w:val="24"/>
          <w:lang w:eastAsia="en-US"/>
        </w:rPr>
        <w:t>Em</w:t>
      </w:r>
      <w:proofErr w:type="spellEnd"/>
      <w:r w:rsidR="000C1731">
        <w:rPr>
          <w:b/>
          <w:i/>
          <w:szCs w:val="24"/>
          <w:lang w:eastAsia="en-US"/>
        </w:rPr>
        <w:t>.</w:t>
      </w:r>
      <w:r w:rsidR="000C1731">
        <w:t xml:space="preserve"> </w:t>
      </w:r>
      <w:r w:rsidRPr="00FF3D47">
        <w:rPr>
          <w:b/>
          <w:i/>
          <w:szCs w:val="24"/>
          <w:lang w:eastAsia="en-US"/>
        </w:rPr>
        <w:t>31]</w:t>
      </w:r>
    </w:p>
    <w:p w14:paraId="0D727DD1"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(44)</w:t>
      </w:r>
      <w:r w:rsidRPr="00FF3D47">
        <w:rPr>
          <w:szCs w:val="24"/>
          <w:lang w:eastAsia="en-US"/>
        </w:rPr>
        <w:tab/>
        <w:t>Per individuare i siti potenzialmente contaminati, gli Stati membri dovrebbero raccogliere prove, anche con ricerche nel passato, di incidenti industriali, autorizzazioni ambientali</w:t>
      </w:r>
      <w:r w:rsidRPr="00FF3D47">
        <w:rPr>
          <w:b/>
          <w:i/>
          <w:szCs w:val="24"/>
          <w:lang w:eastAsia="en-US"/>
        </w:rPr>
        <w:t>, indagini sanitarie</w:t>
      </w:r>
      <w:r w:rsidRPr="00FF3D47">
        <w:rPr>
          <w:szCs w:val="24"/>
          <w:lang w:eastAsia="en-US"/>
        </w:rPr>
        <w:t xml:space="preserve"> e notifiche dei cittadini o delle autorità.</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32]</w:t>
      </w:r>
    </w:p>
    <w:p w14:paraId="5B3CF289"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7C51639C" w14:textId="06613BBA"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(45)</w:t>
      </w:r>
      <w:r w:rsidRPr="00FF3D47">
        <w:rPr>
          <w:szCs w:val="24"/>
          <w:lang w:eastAsia="en-US"/>
        </w:rPr>
        <w:tab/>
        <w:t xml:space="preserve">Ai fini della tempestività e dell'efficacia delle analisi del suolo nei siti potenzialmente contaminati, </w:t>
      </w:r>
      <w:r w:rsidRPr="00FF3D47">
        <w:rPr>
          <w:b/>
          <w:i/>
          <w:szCs w:val="24"/>
          <w:lang w:eastAsia="en-US"/>
        </w:rPr>
        <w:t xml:space="preserve">come previsto dalla risoluzione del Parlamento europeo del 28 aprile 2021 sulla protezione del suolo, </w:t>
      </w:r>
      <w:r w:rsidRPr="00FF3D47">
        <w:rPr>
          <w:szCs w:val="24"/>
          <w:lang w:eastAsia="en-US"/>
        </w:rPr>
        <w:t>gli Stati membri, oltre all'obbligo di stabilire il termine entro il quale le analisi debbano essere svolte, dovrebbero indicare anche quali eventi specifici ne determinano lo svolgimento. Tra gli eventi determinanti possono figurare la richiesta o la revisione di un permesso ambientale o edilizio o un'autorizzazione richiesta in virtù della legislazione dell'Unione o nazionale, attività di scavo del suolo, cambiamenti di uso del suolo o operazioni su terreni o immobili. Le analisi del suolo possono seguire fasi diverse: studio documentale, visita in loco, analisi preliminare o esplorativa, analisi più dettagliata o descrittiva, prove sul campo o di laboratorio. Se opportuno, anche le relazioni di riferimento e le misure di controllo prese conformemente alla direttiva 2010/75/UE del Parlamento europeo e del Consiglio</w:t>
      </w:r>
      <w:r w:rsidRPr="00FF3D47">
        <w:rPr>
          <w:szCs w:val="24"/>
          <w:vertAlign w:val="superscript"/>
          <w:lang w:val="en-GB" w:eastAsia="en-US"/>
        </w:rPr>
        <w:footnoteReference w:id="39"/>
      </w:r>
      <w:r w:rsidRPr="00FF3D47">
        <w:rPr>
          <w:szCs w:val="24"/>
          <w:lang w:eastAsia="en-US"/>
        </w:rPr>
        <w:t xml:space="preserve"> possono essere considerate alla stregua di analisi del suolo.</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33]</w:t>
      </w:r>
    </w:p>
    <w:p w14:paraId="5D26CBDC"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596749B6" w14:textId="1B4264EE"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(46)</w:t>
      </w:r>
      <w:r w:rsidRPr="00FF3D47">
        <w:rPr>
          <w:szCs w:val="24"/>
          <w:lang w:eastAsia="en-US"/>
        </w:rPr>
        <w:tab/>
        <w:t>Nella gestione dei siti potenzialmente contaminati e di quelli contaminati è necessaria flessibilità per tenere conto di costi, benefici e specificità locali. Gli Stati membri dovrebbero</w:t>
      </w:r>
      <w:r w:rsidRPr="00FF3D47">
        <w:rPr>
          <w:strike/>
          <w:szCs w:val="24"/>
          <w:lang w:eastAsia="en-US"/>
        </w:rPr>
        <w:t xml:space="preserve"> almeno</w:t>
      </w:r>
      <w:r w:rsidRPr="00FF3D47">
        <w:rPr>
          <w:szCs w:val="24"/>
          <w:lang w:eastAsia="en-US"/>
        </w:rPr>
        <w:t xml:space="preserve"> adottare un approccio basato sul rischio che tenga conto della differenza tra le due categorie suddette e consenta di gestire i siti assegnando le risorse in funzione del contesto ambientale, economico e sociale. Le decisioni dovrebbero essere prese</w:t>
      </w:r>
      <w:r w:rsidRPr="00FF3D47">
        <w:rPr>
          <w:b/>
          <w:i/>
          <w:szCs w:val="24"/>
          <w:lang w:eastAsia="en-US"/>
        </w:rPr>
        <w:t>, in collaborazione con gli operatori sanitari locali, le autorità sanitarie e la comunità scientifica,</w:t>
      </w:r>
      <w:r w:rsidRPr="00FF3D47">
        <w:rPr>
          <w:szCs w:val="24"/>
          <w:lang w:eastAsia="en-US"/>
        </w:rPr>
        <w:t xml:space="preserve"> in base alla natura e alla portata dei rischi potenziali per la salute umana e per l'ambiente derivanti dall'esposizione ai contaminanti del suolo (ad esempio, l'esposizione di popolazioni vulnerabili come le donne in gravidanza, le persone con disabilità, gli anziani e i bambini)</w:t>
      </w:r>
      <w:r w:rsidRPr="00FF3D47">
        <w:rPr>
          <w:b/>
          <w:i/>
          <w:szCs w:val="24"/>
          <w:lang w:eastAsia="en-US"/>
        </w:rPr>
        <w:t xml:space="preserve">, compresi l'esposizione e gli effetti cumulativi sulla salute umana, sugli ecosistemi del suolo e sui servizi </w:t>
      </w:r>
      <w:proofErr w:type="spellStart"/>
      <w:r w:rsidRPr="00FF3D47">
        <w:rPr>
          <w:b/>
          <w:i/>
          <w:szCs w:val="24"/>
          <w:lang w:eastAsia="en-US"/>
        </w:rPr>
        <w:t>ecosistemici</w:t>
      </w:r>
      <w:proofErr w:type="spellEnd"/>
      <w:r w:rsidRPr="00FF3D47">
        <w:rPr>
          <w:b/>
          <w:i/>
          <w:szCs w:val="24"/>
          <w:lang w:eastAsia="en-US"/>
        </w:rPr>
        <w:t xml:space="preserve"> connessi</w:t>
      </w:r>
      <w:r w:rsidRPr="00FF3D47">
        <w:rPr>
          <w:szCs w:val="24"/>
          <w:lang w:eastAsia="en-US"/>
        </w:rPr>
        <w:t xml:space="preserve">. L'analisi costi-benefici dell'intervento di bonifica dovrebbe essere </w:t>
      </w:r>
      <w:proofErr w:type="spellStart"/>
      <w:r w:rsidRPr="00FF3D47">
        <w:rPr>
          <w:strike/>
          <w:szCs w:val="24"/>
          <w:lang w:eastAsia="en-US"/>
        </w:rPr>
        <w:t>positiva</w:t>
      </w:r>
      <w:r w:rsidRPr="00FF3D47">
        <w:rPr>
          <w:b/>
          <w:i/>
          <w:szCs w:val="24"/>
          <w:lang w:eastAsia="en-US"/>
        </w:rPr>
        <w:t>equilibrata</w:t>
      </w:r>
      <w:proofErr w:type="spellEnd"/>
      <w:r w:rsidRPr="00FF3D47">
        <w:rPr>
          <w:b/>
          <w:i/>
          <w:szCs w:val="24"/>
          <w:lang w:eastAsia="en-US"/>
        </w:rPr>
        <w:t>, tenendo conto dei vantaggi per le generazioni future</w:t>
      </w:r>
      <w:r w:rsidRPr="00FF3D47">
        <w:rPr>
          <w:szCs w:val="24"/>
          <w:lang w:eastAsia="en-US"/>
        </w:rPr>
        <w:t xml:space="preserve">. La soluzione di bonifica ottimale dovrebbe essere sostenibile e scelta secondo un processo decisionale equilibrato che consideri l'impatto ambientale, economico e sociale. La gestione dei siti potenzialmente contaminati e dei siti contaminati dovrebbe rispettare il principio "chi inquina paga", il principio di precauzione e quello di proporzionalità. Gli Stati membri dovrebbero stabilire la metodologia specifica per determinare, in funzione del sito, i rischi posti dai siti contaminati. Gli Stati membri dovrebbero definire ciò che costituisce un rischio inaccettabile derivante dai siti contaminati tenendo conto delle conoscenze scientifiche, del principio di precauzione, </w:t>
      </w:r>
      <w:r w:rsidRPr="00FF3D47">
        <w:rPr>
          <w:b/>
          <w:i/>
          <w:szCs w:val="24"/>
          <w:lang w:eastAsia="en-US"/>
        </w:rPr>
        <w:t xml:space="preserve">del parere </w:t>
      </w:r>
      <w:r w:rsidRPr="00FF3D47">
        <w:rPr>
          <w:szCs w:val="24"/>
          <w:lang w:eastAsia="en-US"/>
        </w:rPr>
        <w:t xml:space="preserve">delle </w:t>
      </w:r>
      <w:r w:rsidRPr="00FF3D47">
        <w:rPr>
          <w:strike/>
          <w:szCs w:val="24"/>
          <w:lang w:eastAsia="en-US"/>
        </w:rPr>
        <w:t xml:space="preserve">specificità </w:t>
      </w:r>
      <w:proofErr w:type="spellStart"/>
      <w:r w:rsidRPr="00FF3D47">
        <w:rPr>
          <w:strike/>
          <w:szCs w:val="24"/>
          <w:lang w:eastAsia="en-US"/>
        </w:rPr>
        <w:t>locali</w:t>
      </w:r>
      <w:r w:rsidRPr="00FF3D47">
        <w:rPr>
          <w:b/>
          <w:i/>
          <w:szCs w:val="24"/>
          <w:lang w:eastAsia="en-US"/>
        </w:rPr>
        <w:t>autorità</w:t>
      </w:r>
      <w:proofErr w:type="spellEnd"/>
      <w:r w:rsidRPr="00FF3D47">
        <w:rPr>
          <w:b/>
          <w:i/>
          <w:szCs w:val="24"/>
          <w:lang w:eastAsia="en-US"/>
        </w:rPr>
        <w:t xml:space="preserve"> sanitarie e degli operatori del settore</w:t>
      </w:r>
      <w:r w:rsidRPr="00FF3D47">
        <w:rPr>
          <w:szCs w:val="24"/>
          <w:lang w:eastAsia="en-US"/>
        </w:rPr>
        <w:t xml:space="preserve"> e dell'uso del suolo attuale e futuro. Al fine di ridurre i rischi posti dai siti contaminati a un livello accettabile per la salute umana e </w:t>
      </w:r>
      <w:r w:rsidRPr="00FF3D47">
        <w:rPr>
          <w:b/>
          <w:i/>
          <w:szCs w:val="24"/>
          <w:lang w:eastAsia="en-US"/>
        </w:rPr>
        <w:t xml:space="preserve">animale e </w:t>
      </w:r>
      <w:r w:rsidRPr="00FF3D47">
        <w:rPr>
          <w:szCs w:val="24"/>
          <w:lang w:eastAsia="en-US"/>
        </w:rPr>
        <w:t>per l'ambiente, gli Stati membri dovrebbero prendere misure adeguate di riduzione del rischio</w:t>
      </w:r>
      <w:r w:rsidRPr="00FF3D47">
        <w:rPr>
          <w:b/>
          <w:i/>
          <w:szCs w:val="24"/>
          <w:lang w:eastAsia="en-US"/>
        </w:rPr>
        <w:t xml:space="preserve">, </w:t>
      </w:r>
      <w:proofErr w:type="spellStart"/>
      <w:r w:rsidRPr="00FF3D47">
        <w:rPr>
          <w:b/>
          <w:i/>
          <w:szCs w:val="24"/>
          <w:lang w:eastAsia="en-US"/>
        </w:rPr>
        <w:t>prioritizzando</w:t>
      </w:r>
      <w:proofErr w:type="spellEnd"/>
      <w:r w:rsidRPr="00FF3D47">
        <w:rPr>
          <w:b/>
          <w:i/>
          <w:szCs w:val="24"/>
          <w:lang w:eastAsia="en-US"/>
        </w:rPr>
        <w:t xml:space="preserve"> la bonifica in situ o ex situ</w:t>
      </w:r>
      <w:r w:rsidRPr="00FF3D47">
        <w:rPr>
          <w:szCs w:val="24"/>
          <w:lang w:eastAsia="en-US"/>
        </w:rPr>
        <w:t>, compresa la bonifica. Le misure adottate in virtù di altra legislazione dell'Unione, se riducono efficacemente i rischi posti dai siti contaminati, dovrebbero poter essere considerate alla stregua di misure di riduzione del rischio ai sensi della presente direttiva.</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34]</w:t>
      </w:r>
    </w:p>
    <w:p w14:paraId="40E69B72" w14:textId="77777777" w:rsidR="000C1731" w:rsidRDefault="000C1731" w:rsidP="00FF3D47">
      <w:pPr>
        <w:spacing w:before="120" w:after="120" w:line="360" w:lineRule="auto"/>
        <w:ind w:left="850" w:hanging="850"/>
        <w:rPr>
          <w:b/>
          <w:i/>
          <w:szCs w:val="24"/>
          <w:lang w:eastAsia="en-US"/>
        </w:rPr>
      </w:pPr>
      <w:r>
        <w:rPr>
          <w:b/>
          <w:i/>
          <w:szCs w:val="24"/>
          <w:lang w:eastAsia="en-US"/>
        </w:rPr>
        <w:br w:type="page"/>
      </w:r>
    </w:p>
    <w:p w14:paraId="6A83B6A3" w14:textId="0381C26A"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(46</w:t>
      </w:r>
      <w:r w:rsidR="000C1731">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I principi di mitigazione del consumo di suolo dovrebbero agevolare la sicurezza alimentare dell'Unione, tenendo conto nel contempo degli alloggi sostenibili, delle infrastrutture essenziali e dei progetti in materia di energie rinnovabili. [</w:t>
      </w:r>
      <w:proofErr w:type="spellStart"/>
      <w:r w:rsidRPr="00FF3D47">
        <w:rPr>
          <w:b/>
          <w:i/>
          <w:szCs w:val="24"/>
          <w:lang w:eastAsia="en-US"/>
        </w:rPr>
        <w:t>Em</w:t>
      </w:r>
      <w:proofErr w:type="spellEnd"/>
      <w:r w:rsidRPr="00FF3D47">
        <w:rPr>
          <w:b/>
          <w:i/>
          <w:szCs w:val="24"/>
          <w:lang w:eastAsia="en-US"/>
        </w:rPr>
        <w:t xml:space="preserve">. 35] </w:t>
      </w:r>
    </w:p>
    <w:p w14:paraId="5A027E27"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(47)</w:t>
      </w:r>
      <w:r w:rsidRPr="00FF3D47">
        <w:rPr>
          <w:szCs w:val="24"/>
          <w:lang w:eastAsia="en-US"/>
        </w:rPr>
        <w:tab/>
        <w:t xml:space="preserve">Le misure prese in applicazione della presente direttiva dovrebbero tenere conto anche di altri obiettivi strategici dell'UE, quali gli obiettivi perseguiti dal [regolamento (UE) </w:t>
      </w:r>
      <w:proofErr w:type="spellStart"/>
      <w:r w:rsidRPr="00FF3D47">
        <w:rPr>
          <w:szCs w:val="24"/>
          <w:lang w:eastAsia="en-US"/>
        </w:rPr>
        <w:t>xxxx</w:t>
      </w:r>
      <w:proofErr w:type="spellEnd"/>
      <w:r w:rsidRPr="00FF3D47">
        <w:rPr>
          <w:szCs w:val="24"/>
          <w:lang w:eastAsia="en-US"/>
        </w:rPr>
        <w:t>/</w:t>
      </w:r>
      <w:proofErr w:type="spellStart"/>
      <w:r w:rsidRPr="00FF3D47">
        <w:rPr>
          <w:szCs w:val="24"/>
          <w:lang w:eastAsia="en-US"/>
        </w:rPr>
        <w:t>xxxx</w:t>
      </w:r>
      <w:proofErr w:type="spellEnd"/>
      <w:r w:rsidRPr="00FF3D47">
        <w:rPr>
          <w:szCs w:val="24"/>
          <w:lang w:eastAsia="en-US"/>
        </w:rPr>
        <w:t xml:space="preserve"> </w:t>
      </w:r>
      <w:r w:rsidRPr="00FF3D47">
        <w:rPr>
          <w:szCs w:val="24"/>
          <w:vertAlign w:val="superscript"/>
          <w:lang w:val="en-GB" w:eastAsia="en-US"/>
        </w:rPr>
        <w:footnoteReference w:id="40"/>
      </w:r>
      <w:r w:rsidRPr="00FF3D47">
        <w:rPr>
          <w:szCs w:val="24"/>
          <w:lang w:eastAsia="en-US"/>
        </w:rPr>
        <w:t>+] che mirano a garantire un approvvigionamento sicuro e sostenibile di materie prime critiche per l'industria europea.</w:t>
      </w:r>
    </w:p>
    <w:p w14:paraId="2CAE906F"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(48)</w:t>
      </w:r>
      <w:r w:rsidRPr="00FF3D47">
        <w:rPr>
          <w:szCs w:val="24"/>
          <w:lang w:eastAsia="en-US"/>
        </w:rPr>
        <w:tab/>
        <w:t xml:space="preserve">La trasparenza è una componente essenziale della politica del suolo e garantisce la responsabilità e la consapevolezza del pubblico, condizioni di mercato eque e il monitoraggio dei progressi compiuti. Gli Stati membri dovrebbero pertanto istituire e tenere un registro nazionale dei siti contaminati e dei siti potenzialmente contaminati contenente informazioni specifiche per sito che dovrebbero essere messe a disposizione del pubblico in una base di dati territoriali </w:t>
      </w:r>
      <w:proofErr w:type="spellStart"/>
      <w:r w:rsidRPr="00FF3D47">
        <w:rPr>
          <w:szCs w:val="24"/>
          <w:lang w:eastAsia="en-US"/>
        </w:rPr>
        <w:t>georeferenziati</w:t>
      </w:r>
      <w:proofErr w:type="spellEnd"/>
      <w:r w:rsidRPr="00FF3D47">
        <w:rPr>
          <w:szCs w:val="24"/>
          <w:lang w:eastAsia="en-US"/>
        </w:rPr>
        <w:t xml:space="preserve"> online. Il registro dovrebbe contenere le informazioni necessarie per far conoscere al pubblico l'esistenza dei siti potenzialmente contaminati e dei siti contaminati e il modo in cui sono gestiti. Poiché la presenza di contaminazione del suolo non è ancora confermata ma solo sospettata nei siti potenzialmente contaminati, la differenza tra questi e i siti contaminati deve essere comunicata e spiegata correttamente al pubblico per evitare di suscitare inutili preoccupazioni.</w:t>
      </w:r>
    </w:p>
    <w:p w14:paraId="467EC2D0" w14:textId="77777777" w:rsidR="000C1731" w:rsidRDefault="000C1731" w:rsidP="00FF3D47">
      <w:pPr>
        <w:spacing w:before="120" w:after="120" w:line="360" w:lineRule="auto"/>
        <w:ind w:left="850" w:hanging="850"/>
        <w:rPr>
          <w:b/>
          <w:i/>
          <w:szCs w:val="24"/>
          <w:lang w:eastAsia="en-US"/>
        </w:rPr>
      </w:pPr>
      <w:r>
        <w:rPr>
          <w:b/>
          <w:i/>
          <w:szCs w:val="24"/>
          <w:lang w:eastAsia="en-US"/>
        </w:rPr>
        <w:br w:type="page"/>
      </w:r>
    </w:p>
    <w:p w14:paraId="3FE7CC3D" w14:textId="20DF555C"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(48</w:t>
      </w:r>
      <w:r w:rsidR="000C1731">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Al fine di proteggere i suoli dall'inquinamento da sostanze chimiche emergenti che hanno il potenziale di causare rischi significativi per la salute umana e animale e di contaminare l'aria circostante, le acque superficiali, le acque sotterranee e, successivamente, gli oceani, è necessario stabilire meccanismi politici per individuare e valutare tali sostanze di interesse emergente. A tal proposito, per la contaminazione del suolo dovrebbe essere sviluppato un approccio che consenta il monitoraggio e l'analisi di tali sostanze o gruppi di sostanze attraverso elenchi di controllo, come già avviene per le acque superficiali e sotterranee. Le sostanze o i gruppi di sostanze da includere nell'elenco di controllo dovrebbero essere selezionati tra quelli che, stando alle informazioni disponibili, potrebbero presentare un rischio significativo a livello di Unione per l'ambiente del suolo o proveniente dall'ambiente del suolo e per i quali i dati di monitoraggio sono insufficienti. Il numero di tali sostanze o gruppi di sostanze da monitorare e analizzare nell'ambito degli elenchi di controllo non dovrebbe essere limitato. [</w:t>
      </w:r>
      <w:proofErr w:type="spellStart"/>
      <w:r w:rsidRPr="00FF3D47">
        <w:rPr>
          <w:b/>
          <w:i/>
          <w:szCs w:val="24"/>
          <w:lang w:eastAsia="en-US"/>
        </w:rPr>
        <w:t>Em</w:t>
      </w:r>
      <w:proofErr w:type="spellEnd"/>
      <w:r w:rsidRPr="00FF3D47">
        <w:rPr>
          <w:b/>
          <w:i/>
          <w:szCs w:val="24"/>
          <w:lang w:eastAsia="en-US"/>
        </w:rPr>
        <w:t>. 37]</w:t>
      </w:r>
    </w:p>
    <w:p w14:paraId="34880C52" w14:textId="77777777" w:rsidR="000C1731" w:rsidRDefault="000C1731" w:rsidP="00FF3D47">
      <w:pPr>
        <w:spacing w:before="120" w:after="120" w:line="360" w:lineRule="auto"/>
        <w:ind w:left="850" w:hanging="850"/>
        <w:rPr>
          <w:b/>
          <w:i/>
          <w:szCs w:val="24"/>
          <w:lang w:eastAsia="en-US"/>
        </w:rPr>
      </w:pPr>
      <w:r>
        <w:rPr>
          <w:b/>
          <w:i/>
          <w:szCs w:val="24"/>
          <w:lang w:eastAsia="en-US"/>
        </w:rPr>
        <w:br w:type="page"/>
      </w:r>
    </w:p>
    <w:p w14:paraId="3A9318CD" w14:textId="35C95F95"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(48</w:t>
      </w:r>
      <w:r w:rsidR="000C1731">
        <w:rPr>
          <w:b/>
          <w:i/>
          <w:szCs w:val="24"/>
          <w:lang w:eastAsia="en-US"/>
        </w:rPr>
        <w:t xml:space="preserve"> ter</w:t>
      </w:r>
      <w:r w:rsidRPr="00FF3D47">
        <w:rPr>
          <w:b/>
          <w:i/>
          <w:szCs w:val="24"/>
          <w:lang w:eastAsia="en-US"/>
        </w:rPr>
        <w:t>)</w:t>
      </w:r>
      <w:r w:rsidRPr="00FF3D47">
        <w:rPr>
          <w:szCs w:val="24"/>
          <w:lang w:eastAsia="en-US"/>
        </w:rPr>
        <w:tab/>
      </w:r>
      <w:r w:rsidRPr="00FF3D47">
        <w:rPr>
          <w:b/>
          <w:i/>
          <w:szCs w:val="24"/>
          <w:lang w:eastAsia="en-US"/>
        </w:rPr>
        <w:t xml:space="preserve">Sostanze come gli inquinanti organici persistenti, i materiali e le particelle, comprese le microplastiche o le </w:t>
      </w:r>
      <w:proofErr w:type="spellStart"/>
      <w:r w:rsidRPr="00FF3D47">
        <w:rPr>
          <w:b/>
          <w:i/>
          <w:szCs w:val="24"/>
          <w:lang w:eastAsia="en-US"/>
        </w:rPr>
        <w:t>nanoplastiche</w:t>
      </w:r>
      <w:proofErr w:type="spellEnd"/>
      <w:r w:rsidRPr="00FF3D47">
        <w:rPr>
          <w:b/>
          <w:i/>
          <w:szCs w:val="24"/>
          <w:lang w:eastAsia="en-US"/>
        </w:rPr>
        <w:t>, rappresentano un evidente rischio per la salute del suolo, ma anche per attività essenziali come lo sviluppo dell'agricoltura. La loro presenza nel suolo può avere implicazioni per la fertilità del suolo, compromettendo così la salute e il sano sviluppo delle colture. È pertanto essenziale che la presente direttiva preveda un quadro di riferimento per le sostanze e i materiali da includere nel monitoraggio dei contaminanti del suolo e per la definizione di norme di qualità ambientale e di una serie di misure per prevenire e rimediare alla contaminazione del suolo da minacce note ed emergenti, ove opportuno. [</w:t>
      </w:r>
      <w:proofErr w:type="spellStart"/>
      <w:r w:rsidRPr="00FF3D47">
        <w:rPr>
          <w:b/>
          <w:i/>
          <w:szCs w:val="24"/>
          <w:lang w:eastAsia="en-US"/>
        </w:rPr>
        <w:t>Em</w:t>
      </w:r>
      <w:proofErr w:type="spellEnd"/>
      <w:r w:rsidRPr="00FF3D47">
        <w:rPr>
          <w:b/>
          <w:i/>
          <w:szCs w:val="24"/>
          <w:lang w:eastAsia="en-US"/>
        </w:rPr>
        <w:t>. 38]</w:t>
      </w:r>
    </w:p>
    <w:p w14:paraId="382B45BE"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(49)</w:t>
      </w:r>
      <w:r w:rsidRPr="00FF3D47">
        <w:rPr>
          <w:szCs w:val="24"/>
          <w:lang w:eastAsia="en-US"/>
        </w:rPr>
        <w:tab/>
        <w:t>L'articolo 19, paragrafo 1, del trattato sull'Unione europea ("TUE") dispone che gli Stati membri stabiliscano i rimedi giurisdizionali necessari per assicurare una tutela giurisdizionale effettiva nei settori disciplinati dal diritto dell'Unione. Conformemente alla convenzione sull'accesso alle informazioni, la partecipazione del pubblico ai processi decisionali e l'accesso alla giustizia in materia ambientale</w:t>
      </w:r>
      <w:r w:rsidRPr="00FF3D47">
        <w:rPr>
          <w:szCs w:val="24"/>
          <w:vertAlign w:val="superscript"/>
          <w:lang w:val="en-GB" w:eastAsia="en-US"/>
        </w:rPr>
        <w:footnoteReference w:id="41"/>
      </w:r>
      <w:r w:rsidRPr="00FF3D47">
        <w:rPr>
          <w:szCs w:val="24"/>
          <w:lang w:eastAsia="en-US"/>
        </w:rPr>
        <w:t xml:space="preserve"> (convenzione di </w:t>
      </w:r>
      <w:proofErr w:type="spellStart"/>
      <w:r w:rsidRPr="00FF3D47">
        <w:rPr>
          <w:szCs w:val="24"/>
          <w:lang w:eastAsia="en-US"/>
        </w:rPr>
        <w:t>Aarhus</w:t>
      </w:r>
      <w:proofErr w:type="spellEnd"/>
      <w:r w:rsidRPr="00FF3D47">
        <w:rPr>
          <w:szCs w:val="24"/>
          <w:lang w:eastAsia="en-US"/>
        </w:rPr>
        <w:t>), i membri del pubblico interessato dovrebbero avere accesso alla giustizia per contribuire alla tutela del diritto di vivere in un ambiente adeguato alla salute e al benessere delle persone.</w:t>
      </w:r>
    </w:p>
    <w:p w14:paraId="7DC2A0F5"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6F1F589F" w14:textId="744B09C4"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(50)</w:t>
      </w:r>
      <w:r w:rsidRPr="00FF3D47">
        <w:rPr>
          <w:szCs w:val="24"/>
          <w:lang w:eastAsia="en-US"/>
        </w:rPr>
        <w:tab/>
        <w:t>La direttiva (UE) 2019/1024 del Parlamento europeo e del Consiglio</w:t>
      </w:r>
      <w:r w:rsidRPr="00FF3D47">
        <w:rPr>
          <w:szCs w:val="24"/>
          <w:vertAlign w:val="superscript"/>
          <w:lang w:val="en-GB" w:eastAsia="en-US"/>
        </w:rPr>
        <w:footnoteReference w:id="42"/>
      </w:r>
      <w:r w:rsidRPr="00FF3D47">
        <w:rPr>
          <w:szCs w:val="24"/>
          <w:lang w:eastAsia="en-US"/>
        </w:rPr>
        <w:t xml:space="preserve"> prescrive la pubblicazione dei dati del settore pubblico in formati liberi e aperti. L'obiettivo generale è continuare a rafforzare l'economia dei dati dell'UE grazie a iniziative volte ad aumentare la quantità di dati </w:t>
      </w:r>
      <w:r w:rsidRPr="00FF3D47">
        <w:rPr>
          <w:b/>
          <w:i/>
          <w:szCs w:val="24"/>
          <w:lang w:eastAsia="en-US"/>
        </w:rPr>
        <w:t xml:space="preserve">interoperabili </w:t>
      </w:r>
      <w:r w:rsidRPr="00FF3D47">
        <w:rPr>
          <w:szCs w:val="24"/>
          <w:lang w:eastAsia="en-US"/>
        </w:rPr>
        <w:t>del settore pubblico messi a disposizione per il riutilizzo, a garantire una concorrenza leale e un facile accesso all'informazione del settore pubblico e a promuovere l'innovazione a livello transfrontaliero basata sui dati</w:t>
      </w:r>
      <w:r w:rsidRPr="00FF3D47">
        <w:rPr>
          <w:strike/>
          <w:szCs w:val="24"/>
          <w:lang w:eastAsia="en-US"/>
        </w:rPr>
        <w:t>. Il principio di base è che i dati delle amministrazioni pubbliche dovrebbero essere aperti per definizione e design</w:t>
      </w:r>
      <w:r w:rsidRPr="00FF3D47">
        <w:rPr>
          <w:szCs w:val="24"/>
          <w:lang w:eastAsia="en-US"/>
        </w:rPr>
        <w:t>. La direttiva 2003/4/CE del Parlamento europeo e del Consiglio</w:t>
      </w:r>
      <w:r w:rsidRPr="00FF3D47">
        <w:rPr>
          <w:szCs w:val="24"/>
          <w:vertAlign w:val="superscript"/>
          <w:lang w:val="en-GB" w:eastAsia="en-US"/>
        </w:rPr>
        <w:footnoteReference w:id="43"/>
      </w:r>
      <w:r w:rsidRPr="00FF3D47">
        <w:rPr>
          <w:szCs w:val="24"/>
          <w:lang w:eastAsia="en-US"/>
        </w:rPr>
        <w:t xml:space="preserve"> è mirata a garantire il diritto di accesso all'informazione ambientale negli Stati membri in linea con la convenzione di </w:t>
      </w:r>
      <w:proofErr w:type="spellStart"/>
      <w:r w:rsidRPr="00FF3D47">
        <w:rPr>
          <w:szCs w:val="24"/>
          <w:lang w:eastAsia="en-US"/>
        </w:rPr>
        <w:t>Aarhus</w:t>
      </w:r>
      <w:proofErr w:type="spellEnd"/>
      <w:r w:rsidRPr="00FF3D47">
        <w:rPr>
          <w:szCs w:val="24"/>
          <w:lang w:eastAsia="en-US"/>
        </w:rPr>
        <w:t xml:space="preserve">. La convenzione di </w:t>
      </w:r>
      <w:proofErr w:type="spellStart"/>
      <w:r w:rsidRPr="00FF3D47">
        <w:rPr>
          <w:szCs w:val="24"/>
          <w:lang w:eastAsia="en-US"/>
        </w:rPr>
        <w:t>Aarhus</w:t>
      </w:r>
      <w:proofErr w:type="spellEnd"/>
      <w:r w:rsidRPr="00FF3D47">
        <w:rPr>
          <w:szCs w:val="24"/>
          <w:lang w:eastAsia="en-US"/>
        </w:rPr>
        <w:t xml:space="preserve"> e la direttiva 2003/4/CE prevedono obblighi di ampia portata intesi sia a rendere disponibili le informazioni ambientali su richiesta sia a diffonderle attivamente. Anche la direttiva 2007/2/CE del Parlamento europeo e del Consiglio</w:t>
      </w:r>
      <w:r w:rsidRPr="00FF3D47">
        <w:rPr>
          <w:szCs w:val="24"/>
          <w:vertAlign w:val="superscript"/>
          <w:lang w:val="en-GB" w:eastAsia="en-US"/>
        </w:rPr>
        <w:footnoteReference w:id="44"/>
      </w:r>
      <w:r w:rsidRPr="00FF3D47">
        <w:rPr>
          <w:szCs w:val="24"/>
          <w:lang w:eastAsia="en-US"/>
        </w:rPr>
        <w:t xml:space="preserve"> ha un ampio ambito di applicazione e riguarda la condivisione delle informazioni territoriali, compresi i dati sui vari temi ambientali. È importante che le disposizioni della presente direttiva relative all'accesso alle informazioni e alla condivisione di dati siano complementari alle citate direttive e non instaurino un diverso regime giuridico. Di conseguenza, le disposizioni della presente direttiva in materia di informazione del pubblico e in materia di informazioni sul controllo dell'attuazione non dovrebbero pregiudicare le direttive (UE) 2019/1024, 2003/4/CE e 2007/2/CE.</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39]</w:t>
      </w:r>
    </w:p>
    <w:p w14:paraId="13B69212"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2097BA5C" w14:textId="27FC4382"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(51)</w:t>
      </w:r>
      <w:r w:rsidRPr="00FF3D47">
        <w:rPr>
          <w:szCs w:val="24"/>
          <w:lang w:eastAsia="en-US"/>
        </w:rPr>
        <w:tab/>
        <w:t xml:space="preserve">Ai fini dell'adeguamento necessario delle norme in materia di monitoraggio della salute del suolo, </w:t>
      </w:r>
      <w:r w:rsidRPr="00FF3D47">
        <w:rPr>
          <w:strike/>
          <w:szCs w:val="24"/>
          <w:lang w:eastAsia="en-US"/>
        </w:rPr>
        <w:t xml:space="preserve">gestione sostenibile del </w:t>
      </w:r>
      <w:proofErr w:type="spellStart"/>
      <w:r w:rsidRPr="00FF3D47">
        <w:rPr>
          <w:strike/>
          <w:szCs w:val="24"/>
          <w:lang w:eastAsia="en-US"/>
        </w:rPr>
        <w:t>suolo</w:t>
      </w:r>
      <w:r w:rsidRPr="00FF3D47">
        <w:rPr>
          <w:b/>
          <w:i/>
          <w:szCs w:val="24"/>
          <w:lang w:eastAsia="en-US"/>
        </w:rPr>
        <w:t>valutazione</w:t>
      </w:r>
      <w:proofErr w:type="spellEnd"/>
      <w:r w:rsidRPr="00FF3D47">
        <w:rPr>
          <w:szCs w:val="24"/>
          <w:lang w:eastAsia="en-US"/>
        </w:rPr>
        <w:t xml:space="preserve"> e gestione dei siti contaminati, è opportuno delegare alla Commissione il potere di adottare atti conformemente all'articolo 290 del trattato sul funzionamento dell'Unione europea per adeguare </w:t>
      </w:r>
      <w:r w:rsidRPr="00FF3D47">
        <w:rPr>
          <w:b/>
          <w:i/>
          <w:szCs w:val="24"/>
          <w:lang w:eastAsia="en-US"/>
        </w:rPr>
        <w:t xml:space="preserve">o integrare </w:t>
      </w:r>
      <w:r w:rsidRPr="00FF3D47">
        <w:rPr>
          <w:szCs w:val="24"/>
          <w:lang w:eastAsia="en-US"/>
        </w:rPr>
        <w:t>la presente direttiva</w:t>
      </w:r>
      <w:r w:rsidRPr="00FF3D47">
        <w:rPr>
          <w:b/>
          <w:i/>
          <w:szCs w:val="24"/>
          <w:lang w:eastAsia="en-US"/>
        </w:rPr>
        <w:t xml:space="preserve"> al fine di adottare una metodologia per la definizione dei valori soglia per i descrittori del suolo che devono essere definiti dagli Stati membri e per adeguare al progresso tecnico e scientifico le metodologie di monitoraggio della salute</w:t>
      </w:r>
      <w:r w:rsidRPr="00FF3D47">
        <w:rPr>
          <w:strike/>
          <w:szCs w:val="24"/>
          <w:lang w:eastAsia="en-US"/>
        </w:rPr>
        <w:t xml:space="preserve"> al progresso tecnico e scientifico, in particolare le metodologie di monitoraggio della salute del suolo, l'elenco dei principi di gestione sostenibile</w:t>
      </w:r>
      <w:r w:rsidRPr="00FF3D47">
        <w:rPr>
          <w:szCs w:val="24"/>
          <w:lang w:eastAsia="en-US"/>
        </w:rPr>
        <w:t xml:space="preserve"> del suolo, l'elenco indicativo delle misure di riduzione del rischio, le fasi e i requisiti di valutazione del rischio </w:t>
      </w:r>
      <w:r w:rsidRPr="00FF3D47">
        <w:rPr>
          <w:strike/>
          <w:szCs w:val="24"/>
          <w:lang w:eastAsia="en-US"/>
        </w:rPr>
        <w:t xml:space="preserve">in funzione del sito e il contenuto del registro dei siti contaminati e </w:t>
      </w:r>
      <w:proofErr w:type="spellStart"/>
      <w:r w:rsidRPr="00FF3D47">
        <w:rPr>
          <w:strike/>
          <w:szCs w:val="24"/>
          <w:lang w:eastAsia="en-US"/>
        </w:rPr>
        <w:t>potenzialmente</w:t>
      </w:r>
      <w:r w:rsidRPr="00FF3D47">
        <w:rPr>
          <w:b/>
          <w:i/>
          <w:szCs w:val="24"/>
          <w:lang w:eastAsia="en-US"/>
        </w:rPr>
        <w:t>e</w:t>
      </w:r>
      <w:proofErr w:type="spellEnd"/>
      <w:r w:rsidRPr="00FF3D47">
        <w:rPr>
          <w:b/>
          <w:i/>
          <w:szCs w:val="24"/>
          <w:lang w:eastAsia="en-US"/>
        </w:rPr>
        <w:t xml:space="preserve"> istituzione dei valori minimi tollerabili in relazione alla definizione di un rischio inaccettabile per la salute e l'ambiente derivante da siti</w:t>
      </w:r>
      <w:r w:rsidRPr="00FF3D47">
        <w:rPr>
          <w:szCs w:val="24"/>
          <w:lang w:eastAsia="en-US"/>
        </w:rPr>
        <w:t xml:space="preserve"> contaminati. È di particolare importanza che durante i lavori preparatori la Commissione svolga adeguate consultazioni, anche a livello di esperti, nel rispetto dei principi stabiliti nell'accordo </w:t>
      </w:r>
      <w:proofErr w:type="spellStart"/>
      <w:r w:rsidRPr="00FF3D47">
        <w:rPr>
          <w:szCs w:val="24"/>
          <w:lang w:eastAsia="en-US"/>
        </w:rPr>
        <w:t>interistituzionale</w:t>
      </w:r>
      <w:proofErr w:type="spellEnd"/>
      <w:r w:rsidRPr="00FF3D47">
        <w:rPr>
          <w:szCs w:val="24"/>
          <w:lang w:eastAsia="en-US"/>
        </w:rPr>
        <w:t xml:space="preserve"> "Legiferare meglio" del 13 aprile 2016</w:t>
      </w:r>
      <w:r w:rsidRPr="00FF3D47">
        <w:rPr>
          <w:szCs w:val="24"/>
          <w:vertAlign w:val="superscript"/>
          <w:lang w:val="en-GB" w:eastAsia="en-US"/>
        </w:rPr>
        <w:footnoteReference w:id="45"/>
      </w:r>
      <w:r w:rsidRPr="00FF3D47">
        <w:rPr>
          <w:szCs w:val="24"/>
          <w:lang w:eastAsia="en-US"/>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40]</w:t>
      </w:r>
    </w:p>
    <w:p w14:paraId="14BE2993"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77D512CA" w14:textId="6987AB29"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(52)</w:t>
      </w:r>
      <w:r w:rsidRPr="00FF3D47">
        <w:rPr>
          <w:szCs w:val="24"/>
          <w:lang w:eastAsia="en-US"/>
        </w:rPr>
        <w:tab/>
        <w:t>Al fine di garantire condizioni uniformi di esecuzione della presente direttiva, è opportuno conferire alla Commissione competenze di esecuzione per stabilire formato, struttura e modalità dettagliate della comunicazione elettronica dei dati e delle informazioni alla Commissione. È altresì opportuno che tali competenze siano esercitate conformemente al regolamento (UE) n. 182/2011 del Parlamento europeo e del Consiglio</w:t>
      </w:r>
      <w:r w:rsidRPr="00FF3D47">
        <w:rPr>
          <w:szCs w:val="24"/>
          <w:vertAlign w:val="superscript"/>
          <w:lang w:val="en-GB" w:eastAsia="en-US"/>
        </w:rPr>
        <w:footnoteReference w:id="46"/>
      </w:r>
      <w:r w:rsidRPr="00FF3D47">
        <w:rPr>
          <w:szCs w:val="24"/>
          <w:lang w:eastAsia="en-US"/>
        </w:rPr>
        <w:t>.</w:t>
      </w:r>
    </w:p>
    <w:p w14:paraId="443ED880"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(53)</w:t>
      </w:r>
      <w:r w:rsidRPr="00FF3D47">
        <w:rPr>
          <w:szCs w:val="24"/>
          <w:lang w:eastAsia="en-US"/>
        </w:rPr>
        <w:tab/>
        <w:t xml:space="preserve">Sei anni dopo l'entrata in vigore la Commissione dovrebbe procedere a una valutazione sulla base di prove e, se opportuno, rivedere la presente direttiva in base ai risultati della valutazione della salute del suolo. La valutazione dovrebbe vagliare in particolare </w:t>
      </w:r>
      <w:r w:rsidRPr="00FF3D47">
        <w:rPr>
          <w:strike/>
          <w:szCs w:val="24"/>
          <w:lang w:eastAsia="en-US"/>
        </w:rPr>
        <w:t xml:space="preserve">la necessità di requisiti più specifici per rigenerare i suoli non sani </w:t>
      </w:r>
      <w:proofErr w:type="spellStart"/>
      <w:r w:rsidRPr="00FF3D47">
        <w:rPr>
          <w:strike/>
          <w:szCs w:val="24"/>
          <w:lang w:eastAsia="en-US"/>
        </w:rPr>
        <w:t>e</w:t>
      </w:r>
      <w:r w:rsidRPr="00FF3D47">
        <w:rPr>
          <w:b/>
          <w:i/>
          <w:szCs w:val="24"/>
          <w:lang w:eastAsia="en-US"/>
        </w:rPr>
        <w:t>le</w:t>
      </w:r>
      <w:proofErr w:type="spellEnd"/>
      <w:r w:rsidRPr="00FF3D47">
        <w:rPr>
          <w:b/>
          <w:i/>
          <w:szCs w:val="24"/>
          <w:lang w:eastAsia="en-US"/>
        </w:rPr>
        <w:t xml:space="preserve"> lacune e le misure necessarie per</w:t>
      </w:r>
      <w:r w:rsidRPr="00FF3D47">
        <w:rPr>
          <w:szCs w:val="24"/>
          <w:lang w:eastAsia="en-US"/>
        </w:rPr>
        <w:t xml:space="preserve"> raggiungere l'obiettivo di sanità dei suoli prefisso per il 2050</w:t>
      </w:r>
      <w:r w:rsidRPr="00FF3D47">
        <w:rPr>
          <w:strike/>
          <w:szCs w:val="24"/>
          <w:lang w:eastAsia="en-US"/>
        </w:rPr>
        <w:t>.</w:t>
      </w:r>
      <w:r w:rsidRPr="00FF3D47">
        <w:rPr>
          <w:szCs w:val="24"/>
          <w:lang w:eastAsia="en-US"/>
        </w:rPr>
        <w:t xml:space="preserve"> La valutazione dovrebbe inoltre vagliare la necessità di adeguare la definizione di suolo sano al progresso scientifico e tecnico aggiungendo disposizioni su alcuni descrittori o criteri in base a nuove prove scientifiche sulla protezione dei suoli o in seguito a un problema specifico in uno Stato membro derivante da nuove circostanze ambientali o climatiche. Conformemente al punto 22 dell'accordo </w:t>
      </w:r>
      <w:proofErr w:type="spellStart"/>
      <w:r w:rsidRPr="00FF3D47">
        <w:rPr>
          <w:szCs w:val="24"/>
          <w:lang w:eastAsia="en-US"/>
        </w:rPr>
        <w:t>interistituzionale</w:t>
      </w:r>
      <w:proofErr w:type="spellEnd"/>
      <w:r w:rsidRPr="00FF3D47">
        <w:rPr>
          <w:szCs w:val="24"/>
          <w:lang w:eastAsia="en-US"/>
        </w:rPr>
        <w:t xml:space="preserve"> "Legiferare meglio", la valutazione dovrebbe essere basata sui cinque criteri di efficienza, efficacia, pertinenza, coerenza e valore aggiunto dell'UE e dovrebbe servire da base per le valutazioni d'impatto di possibili ulteriori misure.</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41]</w:t>
      </w:r>
    </w:p>
    <w:p w14:paraId="202C3050"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3A048FED" w14:textId="65C70C35"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(54)</w:t>
      </w:r>
      <w:r w:rsidRPr="00FF3D47">
        <w:rPr>
          <w:szCs w:val="24"/>
          <w:lang w:eastAsia="en-US"/>
        </w:rPr>
        <w:tab/>
        <w:t xml:space="preserve">Tutti gli Stati membri devono coordinare le rispettive misure necessarie per realizzare la sanità di tutti i suoli entro il 2050 e garantire che i suoli forniscano a lungo termine servizi </w:t>
      </w:r>
      <w:proofErr w:type="spellStart"/>
      <w:r w:rsidRPr="00FF3D47">
        <w:rPr>
          <w:szCs w:val="24"/>
          <w:lang w:eastAsia="en-US"/>
        </w:rPr>
        <w:t>ecosistemici</w:t>
      </w:r>
      <w:proofErr w:type="spellEnd"/>
      <w:r w:rsidRPr="00FF3D47">
        <w:rPr>
          <w:szCs w:val="24"/>
          <w:lang w:eastAsia="en-US"/>
        </w:rPr>
        <w:t xml:space="preserve"> in tutta l'Unione. Le misure singole degli Stati membri sono risultate insufficienti in quanto il degrado del suolo continua e addirittura peggiora. Poiché gli obiettivi della presente direttiva non possono essere conseguiti in misura sufficiente dagli Stati membri ma, a motivo della portata e degli effetti dell'azione, possono essere conseguiti meglio a livello di Unione, quest'ultima può intervenire in base al principio di sussidiarietà sancito dall'articolo 5 TUE. La presente direttiva si limita a quanto è necessario per conseguire tali obiettivi in ottemperanza al principio di proporzionalità enunciato nello stesso articolo.</w:t>
      </w:r>
    </w:p>
    <w:p w14:paraId="5C124060"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(55)</w:t>
      </w:r>
      <w:r w:rsidRPr="00FF3D47">
        <w:rPr>
          <w:szCs w:val="24"/>
          <w:lang w:eastAsia="en-US"/>
        </w:rPr>
        <w:tab/>
        <w:t>Conformemente alla dichiarazione politica comune del 28 settembre 2011 degli Stati membri e della Commissione sui documenti esplicativi</w:t>
      </w:r>
      <w:r w:rsidRPr="00FF3D47">
        <w:rPr>
          <w:szCs w:val="24"/>
          <w:vertAlign w:val="superscript"/>
          <w:lang w:val="en-GB" w:eastAsia="en-US"/>
        </w:rPr>
        <w:footnoteReference w:id="47"/>
      </w:r>
      <w:r w:rsidRPr="00FF3D47">
        <w:rPr>
          <w:szCs w:val="24"/>
          <w:lang w:eastAsia="en-US"/>
        </w:rPr>
        <w:t>, gli Stati membri si sono impegnati ad accompagnare, in casi giustificati, la notifica delle loro misure di recepimento con uno o più documenti che chiariscano il rapporto tra gli elementi costitutivi di una direttiva e le parti corrispondenti degli strumenti nazionali di recepimento. Per quanto riguarda la presente direttiva, il legislatore ritiene che la trasmissione di tali documenti sia giustificata,</w:t>
      </w:r>
    </w:p>
    <w:p w14:paraId="64074802" w14:textId="77777777" w:rsidR="000C1731" w:rsidRDefault="000C1731" w:rsidP="00FF3D47">
      <w:pPr>
        <w:spacing w:before="120" w:after="120" w:line="360" w:lineRule="auto"/>
        <w:ind w:left="850" w:hanging="850"/>
        <w:rPr>
          <w:b/>
          <w:i/>
          <w:szCs w:val="24"/>
          <w:lang w:eastAsia="en-US"/>
        </w:rPr>
      </w:pPr>
      <w:r>
        <w:rPr>
          <w:b/>
          <w:i/>
          <w:szCs w:val="24"/>
          <w:lang w:eastAsia="en-US"/>
        </w:rPr>
        <w:br w:type="page"/>
      </w:r>
    </w:p>
    <w:p w14:paraId="433C9571" w14:textId="1EC603A7"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(55</w:t>
      </w:r>
      <w:r w:rsidR="000C1731">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La presente direttiva mira a conseguire l'obiettivo a lungo termine di un suolo sano nell'Unione entro il 2050 sulla base di un quadro coerente per il monitoraggio del suolo e il miglioramento della sua salute. Data la sua natura di direttiva, a norma dell'articolo 288 del trattato sul funzionamento dell'Unione europea, la presente direttiva vincola gli Stati membri cui è rivolta per quanto riguarda il risultato da raggiungere, pur lasciando alle autorità nazionali la facoltà di scegliere la forma e i mezzi per conseguire il risultato. Spetterà pertanto agli Stati membri elaborare le proprie disposizioni normative in merito alle modalità per conseguire gli obiettivi stabiliti nella presente direttiva. Lo strumento proposto della direttiva lascia agli Stati membri molta flessibilità nell'individuare le misure per loro più adeguate e nell'adattare l'approccio alle condizioni locali. Ciò è fondamentale per tenere conto delle specificità regionali e locali per quanto riguarda la variabilità e l'uso del suolo, le condizioni climatiche e gli aspetti socioeconomici. La natura dello strumento implica che i principi stabiliti nella presente direttiva non comportino obblighi diretti per i singoli. [</w:t>
      </w:r>
      <w:proofErr w:type="spellStart"/>
      <w:r w:rsidRPr="00FF3D47">
        <w:rPr>
          <w:b/>
          <w:i/>
          <w:szCs w:val="24"/>
          <w:lang w:eastAsia="en-US"/>
        </w:rPr>
        <w:t>Em</w:t>
      </w:r>
      <w:proofErr w:type="spellEnd"/>
      <w:r w:rsidRPr="00FF3D47">
        <w:rPr>
          <w:b/>
          <w:i/>
          <w:szCs w:val="24"/>
          <w:lang w:eastAsia="en-US"/>
        </w:rPr>
        <w:t>. 42]</w:t>
      </w:r>
    </w:p>
    <w:p w14:paraId="063DDF7B" w14:textId="77777777" w:rsidR="00FF3D47" w:rsidRPr="00FF3D47" w:rsidRDefault="00FF3D47" w:rsidP="00FF3D47">
      <w:pPr>
        <w:keepNext/>
        <w:widowControl/>
        <w:spacing w:before="120" w:after="120" w:line="360" w:lineRule="auto"/>
        <w:rPr>
          <w:szCs w:val="24"/>
          <w:lang w:eastAsia="en-US"/>
        </w:rPr>
      </w:pPr>
      <w:r w:rsidRPr="00FF3D47">
        <w:rPr>
          <w:szCs w:val="24"/>
          <w:lang w:eastAsia="en-US"/>
        </w:rPr>
        <w:t>HANNO ADOTTATO LA PRESENTE DIRETTIVA:</w:t>
      </w:r>
    </w:p>
    <w:p w14:paraId="077693D9" w14:textId="77777777" w:rsidR="000C1731" w:rsidRDefault="000C1731" w:rsidP="00FF3D47">
      <w:pPr>
        <w:spacing w:before="120" w:after="120" w:line="360" w:lineRule="auto"/>
        <w:jc w:val="center"/>
        <w:rPr>
          <w:szCs w:val="24"/>
          <w:lang w:eastAsia="en-US"/>
        </w:rPr>
      </w:pPr>
      <w:r>
        <w:rPr>
          <w:szCs w:val="24"/>
          <w:lang w:eastAsia="en-US"/>
        </w:rPr>
        <w:br w:type="page"/>
      </w:r>
    </w:p>
    <w:p w14:paraId="0EB3137B" w14:textId="2BC6DF70" w:rsidR="00FF3D47" w:rsidRPr="00FF3D47" w:rsidRDefault="00FF3D47" w:rsidP="00FF3D47">
      <w:pPr>
        <w:spacing w:before="120" w:after="120" w:line="360" w:lineRule="auto"/>
        <w:jc w:val="center"/>
        <w:rPr>
          <w:szCs w:val="24"/>
          <w:lang w:eastAsia="en-US"/>
        </w:rPr>
      </w:pPr>
      <w:r w:rsidRPr="00FF3D47">
        <w:rPr>
          <w:szCs w:val="24"/>
          <w:lang w:eastAsia="en-US"/>
        </w:rPr>
        <w:lastRenderedPageBreak/>
        <w:t>Capo I</w:t>
      </w:r>
      <w:r w:rsidRPr="00FF3D47">
        <w:rPr>
          <w:szCs w:val="24"/>
          <w:lang w:eastAsia="en-US"/>
        </w:rPr>
        <w:br/>
        <w:t>Disposizioni generali</w:t>
      </w:r>
    </w:p>
    <w:p w14:paraId="06FF0617" w14:textId="77777777" w:rsidR="00FF3D47" w:rsidRPr="00FF3D47" w:rsidRDefault="00FF3D47" w:rsidP="00FF3D47">
      <w:pPr>
        <w:spacing w:before="120" w:after="120" w:line="360" w:lineRule="auto"/>
        <w:jc w:val="center"/>
        <w:rPr>
          <w:szCs w:val="24"/>
          <w:lang w:eastAsia="en-US"/>
        </w:rPr>
      </w:pPr>
      <w:r w:rsidRPr="00FF3D47">
        <w:rPr>
          <w:szCs w:val="24"/>
          <w:lang w:eastAsia="en-US"/>
        </w:rPr>
        <w:t>Articolo 1</w:t>
      </w:r>
      <w:r w:rsidRPr="00FF3D47">
        <w:rPr>
          <w:szCs w:val="24"/>
          <w:lang w:eastAsia="en-US"/>
        </w:rPr>
        <w:br/>
        <w:t>Obiettivo e oggetto</w:t>
      </w:r>
    </w:p>
    <w:p w14:paraId="009960DF"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 xml:space="preserve">L'obiettivo della direttiva è istituire un quadro </w:t>
      </w:r>
      <w:r w:rsidRPr="00FF3D47">
        <w:rPr>
          <w:b/>
          <w:i/>
          <w:szCs w:val="24"/>
          <w:lang w:eastAsia="en-US"/>
        </w:rPr>
        <w:t xml:space="preserve">chiaro, </w:t>
      </w:r>
      <w:r w:rsidRPr="00FF3D47">
        <w:rPr>
          <w:szCs w:val="24"/>
          <w:lang w:eastAsia="en-US"/>
        </w:rPr>
        <w:t>solido</w:t>
      </w:r>
      <w:r w:rsidRPr="00FF3D47">
        <w:rPr>
          <w:strike/>
          <w:szCs w:val="24"/>
          <w:lang w:eastAsia="en-US"/>
        </w:rPr>
        <w:t xml:space="preserve"> e</w:t>
      </w:r>
      <w:r w:rsidRPr="00FF3D47">
        <w:rPr>
          <w:b/>
          <w:i/>
          <w:szCs w:val="24"/>
          <w:lang w:eastAsia="en-US"/>
        </w:rPr>
        <w:t>, coerente e flessibile</w:t>
      </w:r>
      <w:r w:rsidRPr="00FF3D47">
        <w:rPr>
          <w:strike/>
          <w:szCs w:val="24"/>
          <w:lang w:eastAsia="en-US"/>
        </w:rPr>
        <w:t xml:space="preserve"> coerente</w:t>
      </w:r>
      <w:r w:rsidRPr="00FF3D47">
        <w:rPr>
          <w:szCs w:val="24"/>
          <w:lang w:eastAsia="en-US"/>
        </w:rPr>
        <w:t xml:space="preserve"> di monitoraggio </w:t>
      </w:r>
      <w:r w:rsidRPr="00FF3D47">
        <w:rPr>
          <w:b/>
          <w:i/>
          <w:szCs w:val="24"/>
          <w:lang w:eastAsia="en-US"/>
        </w:rPr>
        <w:t xml:space="preserve">e valutazione </w:t>
      </w:r>
      <w:r w:rsidRPr="00FF3D47">
        <w:rPr>
          <w:szCs w:val="24"/>
          <w:lang w:eastAsia="en-US"/>
        </w:rPr>
        <w:t xml:space="preserve">del suolo per tutti i suoli nell'UE </w:t>
      </w:r>
      <w:proofErr w:type="spellStart"/>
      <w:r w:rsidRPr="00FF3D47">
        <w:rPr>
          <w:strike/>
          <w:szCs w:val="24"/>
          <w:lang w:eastAsia="en-US"/>
        </w:rPr>
        <w:t>e</w:t>
      </w:r>
      <w:r w:rsidRPr="00FF3D47">
        <w:rPr>
          <w:b/>
          <w:i/>
          <w:szCs w:val="24"/>
          <w:lang w:eastAsia="en-US"/>
        </w:rPr>
        <w:t>allo</w:t>
      </w:r>
      <w:proofErr w:type="spellEnd"/>
      <w:r w:rsidRPr="00FF3D47">
        <w:rPr>
          <w:b/>
          <w:i/>
          <w:szCs w:val="24"/>
          <w:lang w:eastAsia="en-US"/>
        </w:rPr>
        <w:t xml:space="preserve"> scopo di</w:t>
      </w:r>
      <w:r w:rsidRPr="00FF3D47">
        <w:rPr>
          <w:szCs w:val="24"/>
          <w:lang w:eastAsia="en-US"/>
        </w:rPr>
        <w:t xml:space="preserve"> migliorare costantemente la loro salute al fine di conseguire suoli sani entro il 2050 e mantenerli in tali condizioni</w:t>
      </w:r>
      <w:r w:rsidRPr="00FF3D47">
        <w:rPr>
          <w:b/>
          <w:i/>
          <w:szCs w:val="24"/>
          <w:lang w:eastAsia="en-US"/>
        </w:rPr>
        <w:t>, impedendo il loro deterioramento,</w:t>
      </w:r>
      <w:r w:rsidRPr="00FF3D47">
        <w:rPr>
          <w:szCs w:val="24"/>
          <w:lang w:eastAsia="en-US"/>
        </w:rPr>
        <w:t xml:space="preserve"> cosicché possano fornire molteplici servizi </w:t>
      </w:r>
      <w:proofErr w:type="spellStart"/>
      <w:r w:rsidRPr="00FF3D47">
        <w:rPr>
          <w:szCs w:val="24"/>
          <w:lang w:eastAsia="en-US"/>
        </w:rPr>
        <w:t>ecosistemici</w:t>
      </w:r>
      <w:proofErr w:type="spellEnd"/>
      <w:r w:rsidRPr="00FF3D47">
        <w:rPr>
          <w:szCs w:val="24"/>
          <w:lang w:eastAsia="en-US"/>
        </w:rPr>
        <w:t xml:space="preserve"> su una scala sufficiente a soddisfare le esigenze ambientali, sociali ed economiche, possano prevenire e mitigare gli effetti dei cambiamenti climatici e della perdita di biodiversità, possano aumentare la resilienza a difesa dalle catastrofi naturali e </w:t>
      </w:r>
      <w:r w:rsidRPr="00FF3D47">
        <w:rPr>
          <w:strike/>
          <w:szCs w:val="24"/>
          <w:lang w:eastAsia="en-US"/>
        </w:rPr>
        <w:t xml:space="preserve">a salvaguardia </w:t>
      </w:r>
      <w:proofErr w:type="spellStart"/>
      <w:r w:rsidRPr="00FF3D47">
        <w:rPr>
          <w:strike/>
          <w:szCs w:val="24"/>
          <w:lang w:eastAsia="en-US"/>
        </w:rPr>
        <w:t>della</w:t>
      </w:r>
      <w:r w:rsidRPr="00FF3D47">
        <w:rPr>
          <w:b/>
          <w:i/>
          <w:szCs w:val="24"/>
          <w:lang w:eastAsia="en-US"/>
        </w:rPr>
        <w:t>rafforzare</w:t>
      </w:r>
      <w:proofErr w:type="spellEnd"/>
      <w:r w:rsidRPr="00FF3D47">
        <w:rPr>
          <w:b/>
          <w:i/>
          <w:szCs w:val="24"/>
          <w:lang w:eastAsia="en-US"/>
        </w:rPr>
        <w:t xml:space="preserve"> la</w:t>
      </w:r>
      <w:r w:rsidRPr="00FF3D47">
        <w:rPr>
          <w:szCs w:val="24"/>
          <w:lang w:eastAsia="en-US"/>
        </w:rPr>
        <w:t xml:space="preserve"> sicurezza alimentare, nonché allo scopo di ridurre la contaminazione del suolo a livelli non più considerati nocivi per la salute umana e per l'ambiente.</w:t>
      </w:r>
    </w:p>
    <w:p w14:paraId="17260D8D" w14:textId="77777777" w:rsidR="00FF3D47" w:rsidRPr="00FF3D47" w:rsidRDefault="00FF3D47" w:rsidP="00FF3D47">
      <w:pPr>
        <w:spacing w:before="120" w:after="120" w:line="360" w:lineRule="auto"/>
        <w:ind w:left="850"/>
        <w:rPr>
          <w:szCs w:val="24"/>
          <w:lang w:eastAsia="en-US"/>
        </w:rPr>
      </w:pPr>
      <w:r w:rsidRPr="00FF3D47">
        <w:rPr>
          <w:b/>
          <w:i/>
          <w:szCs w:val="24"/>
          <w:lang w:eastAsia="en-US"/>
        </w:rPr>
        <w:t>La presente direttiva istituisce pertanto un quadro all'interno del quale gli Stati membri sono tenuti a mettere in atto misure tecnicamente fattibili e basate su un'analisi costi-benefici, al fine di conseguire suoli sani entro il 2050. [</w:t>
      </w:r>
      <w:proofErr w:type="spellStart"/>
      <w:r w:rsidRPr="00FF3D47">
        <w:rPr>
          <w:b/>
          <w:i/>
          <w:szCs w:val="24"/>
          <w:lang w:eastAsia="en-US"/>
        </w:rPr>
        <w:t>Em</w:t>
      </w:r>
      <w:proofErr w:type="spellEnd"/>
      <w:r w:rsidRPr="00FF3D47">
        <w:rPr>
          <w:b/>
          <w:i/>
          <w:szCs w:val="24"/>
          <w:lang w:eastAsia="en-US"/>
        </w:rPr>
        <w:t>. 43]</w:t>
      </w:r>
    </w:p>
    <w:p w14:paraId="64BAFF75" w14:textId="77777777" w:rsidR="000C1731" w:rsidRDefault="000C1731" w:rsidP="00FF3D47">
      <w:pPr>
        <w:spacing w:before="120" w:after="120" w:line="360" w:lineRule="auto"/>
        <w:ind w:left="850" w:hanging="850"/>
        <w:rPr>
          <w:b/>
          <w:i/>
          <w:szCs w:val="24"/>
          <w:lang w:eastAsia="en-US"/>
        </w:rPr>
      </w:pPr>
      <w:r>
        <w:rPr>
          <w:b/>
          <w:i/>
          <w:szCs w:val="24"/>
          <w:lang w:eastAsia="en-US"/>
        </w:rPr>
        <w:br w:type="page"/>
      </w:r>
    </w:p>
    <w:p w14:paraId="29E29917" w14:textId="06289F80"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1</w:t>
      </w:r>
      <w:r w:rsidR="000C1731">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La presente direttiva contribuisce all'adempimento degli impegni, degli obiettivi e dei traguardi internazionali e dell'Unione, tra cui quelli contenuti nei seguenti documenti:</w:t>
      </w:r>
    </w:p>
    <w:p w14:paraId="7517D58A"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a)</w:t>
      </w:r>
      <w:r w:rsidRPr="00FF3D47">
        <w:rPr>
          <w:szCs w:val="24"/>
          <w:lang w:eastAsia="en-US"/>
        </w:rPr>
        <w:tab/>
      </w:r>
      <w:r w:rsidRPr="00FF3D47">
        <w:rPr>
          <w:b/>
          <w:i/>
          <w:szCs w:val="24"/>
          <w:lang w:eastAsia="en-US"/>
        </w:rPr>
        <w:t>il quadro globale di Kunming-Montreal in materia di biodiversità;</w:t>
      </w:r>
    </w:p>
    <w:p w14:paraId="2E6810F3"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b)</w:t>
      </w:r>
      <w:r w:rsidRPr="00FF3D47">
        <w:rPr>
          <w:szCs w:val="24"/>
          <w:lang w:eastAsia="en-US"/>
        </w:rPr>
        <w:tab/>
      </w:r>
      <w:r w:rsidRPr="00FF3D47">
        <w:rPr>
          <w:b/>
          <w:i/>
          <w:szCs w:val="24"/>
          <w:lang w:eastAsia="en-US"/>
        </w:rPr>
        <w:t>l'accordo di Parigi;</w:t>
      </w:r>
    </w:p>
    <w:p w14:paraId="695EF53E"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c)</w:t>
      </w:r>
      <w:r w:rsidRPr="00FF3D47">
        <w:rPr>
          <w:szCs w:val="24"/>
          <w:lang w:eastAsia="en-US"/>
        </w:rPr>
        <w:tab/>
      </w:r>
      <w:r w:rsidRPr="00FF3D47">
        <w:rPr>
          <w:b/>
          <w:i/>
          <w:szCs w:val="24"/>
          <w:lang w:eastAsia="en-US"/>
        </w:rPr>
        <w:t>la convenzione delle Nazioni Unite sulla lotta contro la desertificazione;</w:t>
      </w:r>
    </w:p>
    <w:p w14:paraId="7AF349D9"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d)</w:t>
      </w:r>
      <w:r w:rsidRPr="00FF3D47">
        <w:rPr>
          <w:szCs w:val="24"/>
          <w:lang w:eastAsia="en-US"/>
        </w:rPr>
        <w:tab/>
      </w:r>
      <w:r w:rsidRPr="00FF3D47">
        <w:rPr>
          <w:b/>
          <w:i/>
          <w:szCs w:val="24"/>
          <w:lang w:eastAsia="en-US"/>
        </w:rPr>
        <w:t>il settimo programma d'azione dell'UE per l'ambiente (decisione n. 1386/2013/UE);</w:t>
      </w:r>
    </w:p>
    <w:p w14:paraId="62651379"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e)</w:t>
      </w:r>
      <w:r w:rsidRPr="00FF3D47">
        <w:rPr>
          <w:szCs w:val="24"/>
          <w:lang w:eastAsia="en-US"/>
        </w:rPr>
        <w:tab/>
      </w:r>
      <w:r w:rsidRPr="00FF3D47">
        <w:rPr>
          <w:b/>
          <w:i/>
          <w:szCs w:val="24"/>
          <w:lang w:eastAsia="en-US"/>
        </w:rPr>
        <w:t>il settimo programma d'azione dell'UE per l'ambiente (decisione n. 2022/591/UE);</w:t>
      </w:r>
    </w:p>
    <w:p w14:paraId="5AA8FCB8"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f)</w:t>
      </w:r>
      <w:r w:rsidRPr="00FF3D47">
        <w:rPr>
          <w:szCs w:val="24"/>
          <w:lang w:eastAsia="en-US"/>
        </w:rPr>
        <w:tab/>
      </w:r>
      <w:r w:rsidRPr="00FF3D47">
        <w:rPr>
          <w:b/>
          <w:i/>
          <w:szCs w:val="24"/>
          <w:lang w:eastAsia="en-US"/>
        </w:rPr>
        <w:t>la tabella di marcia verso un'Europa efficiente nell'impiego delle risorse (</w:t>
      </w:r>
      <w:proofErr w:type="gramStart"/>
      <w:r w:rsidRPr="00FF3D47">
        <w:rPr>
          <w:b/>
          <w:i/>
          <w:szCs w:val="24"/>
          <w:lang w:eastAsia="en-US"/>
        </w:rPr>
        <w:t>COM(</w:t>
      </w:r>
      <w:proofErr w:type="gramEnd"/>
      <w:r w:rsidRPr="00FF3D47">
        <w:rPr>
          <w:b/>
          <w:i/>
          <w:szCs w:val="24"/>
          <w:lang w:eastAsia="en-US"/>
        </w:rPr>
        <w:t>2011)571). [</w:t>
      </w:r>
      <w:proofErr w:type="spellStart"/>
      <w:r w:rsidRPr="00FF3D47">
        <w:rPr>
          <w:b/>
          <w:i/>
          <w:szCs w:val="24"/>
          <w:lang w:eastAsia="en-US"/>
        </w:rPr>
        <w:t>Em</w:t>
      </w:r>
      <w:proofErr w:type="spellEnd"/>
      <w:r w:rsidRPr="00FF3D47">
        <w:rPr>
          <w:b/>
          <w:i/>
          <w:szCs w:val="24"/>
          <w:lang w:eastAsia="en-US"/>
        </w:rPr>
        <w:t>. 44]</w:t>
      </w:r>
    </w:p>
    <w:p w14:paraId="1FF41109"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La presente direttiva stabilisce norme in materia di:</w:t>
      </w:r>
    </w:p>
    <w:p w14:paraId="713E5936" w14:textId="77777777"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monitoraggio</w:t>
      </w:r>
      <w:r w:rsidRPr="00FF3D47">
        <w:rPr>
          <w:b/>
          <w:i/>
          <w:szCs w:val="24"/>
          <w:lang w:eastAsia="en-US"/>
        </w:rPr>
        <w:t>, mantenimento, miglioramento, riabilitazione</w:t>
      </w:r>
      <w:r w:rsidRPr="00FF3D47">
        <w:rPr>
          <w:szCs w:val="24"/>
          <w:lang w:eastAsia="en-US"/>
        </w:rPr>
        <w:t xml:space="preserve"> e valutazione della salute del suolo</w:t>
      </w:r>
      <w:r w:rsidRPr="00FF3D47">
        <w:rPr>
          <w:b/>
          <w:i/>
          <w:szCs w:val="24"/>
          <w:lang w:eastAsia="en-US"/>
        </w:rPr>
        <w:t xml:space="preserve"> sulla base del relativo stato ecologico</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45]</w:t>
      </w:r>
    </w:p>
    <w:p w14:paraId="7FF16FBD" w14:textId="77777777" w:rsidR="00FF3D47" w:rsidRPr="00FF3D47" w:rsidRDefault="00FF3D47" w:rsidP="00FF3D47">
      <w:pPr>
        <w:spacing w:before="120" w:after="120" w:line="360" w:lineRule="auto"/>
        <w:ind w:left="1416" w:hanging="566"/>
        <w:rPr>
          <w:szCs w:val="24"/>
          <w:lang w:eastAsia="en-US"/>
        </w:rPr>
      </w:pPr>
      <w:r w:rsidRPr="00FF3D47">
        <w:rPr>
          <w:szCs w:val="24"/>
          <w:lang w:eastAsia="en-US"/>
        </w:rPr>
        <w:t>(b)</w:t>
      </w:r>
      <w:r w:rsidRPr="00FF3D47">
        <w:rPr>
          <w:szCs w:val="24"/>
          <w:lang w:eastAsia="en-US"/>
        </w:rPr>
        <w:tab/>
        <w:t>gestione sostenibile del suolo;</w:t>
      </w:r>
    </w:p>
    <w:p w14:paraId="6C58A111" w14:textId="77777777" w:rsidR="00FF3D47" w:rsidRPr="00FF3D47" w:rsidRDefault="00FF3D47" w:rsidP="00FF3D47">
      <w:pPr>
        <w:spacing w:before="120" w:after="120" w:line="360" w:lineRule="auto"/>
        <w:ind w:left="1416" w:hanging="566"/>
        <w:rPr>
          <w:szCs w:val="24"/>
          <w:lang w:eastAsia="en-US"/>
        </w:rPr>
      </w:pPr>
      <w:r w:rsidRPr="00FF3D47">
        <w:rPr>
          <w:szCs w:val="24"/>
          <w:lang w:eastAsia="en-US"/>
        </w:rPr>
        <w:t>(c)</w:t>
      </w:r>
      <w:r w:rsidRPr="00FF3D47">
        <w:rPr>
          <w:szCs w:val="24"/>
          <w:lang w:eastAsia="en-US"/>
        </w:rPr>
        <w:tab/>
        <w:t>siti contaminati.</w:t>
      </w:r>
    </w:p>
    <w:p w14:paraId="3CADBC21" w14:textId="77777777" w:rsidR="000C1731" w:rsidRDefault="000C1731" w:rsidP="00FF3D47">
      <w:pPr>
        <w:spacing w:before="120" w:after="120" w:line="360" w:lineRule="auto"/>
        <w:jc w:val="center"/>
        <w:rPr>
          <w:szCs w:val="24"/>
          <w:lang w:eastAsia="en-US"/>
        </w:rPr>
      </w:pPr>
      <w:r>
        <w:rPr>
          <w:szCs w:val="24"/>
          <w:lang w:eastAsia="en-US"/>
        </w:rPr>
        <w:br w:type="page"/>
      </w:r>
    </w:p>
    <w:p w14:paraId="1F27E950" w14:textId="24892719"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2</w:t>
      </w:r>
      <w:r w:rsidRPr="00FF3D47">
        <w:rPr>
          <w:szCs w:val="24"/>
          <w:lang w:eastAsia="en-US"/>
        </w:rPr>
        <w:br/>
        <w:t>Ambito di applicazione</w:t>
      </w:r>
    </w:p>
    <w:p w14:paraId="592E5756" w14:textId="77777777" w:rsidR="00FF3D47" w:rsidRPr="00FF3D47" w:rsidRDefault="00FF3D47" w:rsidP="00FF3D47">
      <w:pPr>
        <w:spacing w:before="120" w:after="120" w:line="360" w:lineRule="auto"/>
        <w:rPr>
          <w:szCs w:val="24"/>
          <w:lang w:eastAsia="en-US"/>
        </w:rPr>
      </w:pPr>
      <w:r w:rsidRPr="00FF3D47">
        <w:rPr>
          <w:szCs w:val="24"/>
          <w:lang w:eastAsia="en-US"/>
        </w:rPr>
        <w:t>La presente direttiva si applica a tutti i suoli nel territorio degli Stati membri.</w:t>
      </w:r>
    </w:p>
    <w:p w14:paraId="61D95DB3" w14:textId="77777777" w:rsidR="00FF3D47" w:rsidRPr="00FF3D47" w:rsidRDefault="00FF3D47" w:rsidP="00FF3D47">
      <w:pPr>
        <w:spacing w:before="120" w:after="120" w:line="360" w:lineRule="auto"/>
        <w:jc w:val="center"/>
        <w:rPr>
          <w:szCs w:val="24"/>
          <w:lang w:eastAsia="en-US"/>
        </w:rPr>
      </w:pPr>
      <w:r w:rsidRPr="00FF3D47">
        <w:rPr>
          <w:szCs w:val="24"/>
          <w:lang w:eastAsia="en-US"/>
        </w:rPr>
        <w:t>Articolo 3</w:t>
      </w:r>
      <w:r w:rsidRPr="00FF3D47">
        <w:rPr>
          <w:szCs w:val="24"/>
          <w:lang w:eastAsia="en-US"/>
        </w:rPr>
        <w:br/>
        <w:t>Definizioni</w:t>
      </w:r>
    </w:p>
    <w:p w14:paraId="6AEC8599" w14:textId="77777777" w:rsidR="00FF3D47" w:rsidRPr="00FF3D47" w:rsidRDefault="00FF3D47" w:rsidP="00FF3D47">
      <w:pPr>
        <w:spacing w:before="120" w:after="120" w:line="360" w:lineRule="auto"/>
        <w:rPr>
          <w:szCs w:val="24"/>
          <w:lang w:eastAsia="en-US"/>
        </w:rPr>
      </w:pPr>
      <w:r w:rsidRPr="00FF3D47">
        <w:rPr>
          <w:szCs w:val="24"/>
          <w:lang w:eastAsia="en-US"/>
        </w:rPr>
        <w:t>Ai fini della presente direttiva si applicano le definizioni seguenti:</w:t>
      </w:r>
    </w:p>
    <w:p w14:paraId="0ECE3C2A" w14:textId="763097DD"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"suolo": strato più superficiale della crosta terrestre situato tra il substrato roccioso e la superficie della terra, costituito da componenti minerali, materia organica, acqua, aria e organismi viventi</w:t>
      </w:r>
      <w:r w:rsidRPr="00FF3D47">
        <w:rPr>
          <w:b/>
          <w:i/>
          <w:szCs w:val="24"/>
          <w:lang w:eastAsia="en-US"/>
        </w:rPr>
        <w:t>, esclusi i depositi di materie prime</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217 e 266]</w:t>
      </w:r>
    </w:p>
    <w:p w14:paraId="7B25DA32" w14:textId="77777777" w:rsidR="000C1731" w:rsidRDefault="000C1731" w:rsidP="00FF3D47">
      <w:pPr>
        <w:spacing w:before="120" w:after="120" w:line="360" w:lineRule="auto"/>
        <w:ind w:left="850" w:hanging="850"/>
        <w:rPr>
          <w:b/>
          <w:i/>
          <w:szCs w:val="24"/>
          <w:lang w:eastAsia="en-US"/>
        </w:rPr>
      </w:pPr>
      <w:r>
        <w:rPr>
          <w:b/>
          <w:i/>
          <w:szCs w:val="24"/>
          <w:lang w:eastAsia="en-US"/>
        </w:rPr>
        <w:br w:type="page"/>
      </w:r>
    </w:p>
    <w:p w14:paraId="18E6DB38" w14:textId="36BC082B"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1</w:t>
      </w:r>
      <w:r w:rsidR="000C1731">
        <w:rPr>
          <w:b/>
          <w:i/>
          <w:szCs w:val="24"/>
          <w:lang w:eastAsia="en-US"/>
        </w:rPr>
        <w:t>bis</w:t>
      </w:r>
      <w:r w:rsidRPr="00FF3D47">
        <w:rPr>
          <w:b/>
          <w:i/>
          <w:szCs w:val="24"/>
          <w:lang w:eastAsia="en-US"/>
        </w:rPr>
        <w:t>)</w:t>
      </w:r>
      <w:r w:rsidRPr="00FF3D47">
        <w:rPr>
          <w:szCs w:val="24"/>
          <w:lang w:eastAsia="en-US"/>
        </w:rPr>
        <w:tab/>
      </w:r>
      <w:r w:rsidRPr="00FF3D47">
        <w:rPr>
          <w:b/>
          <w:i/>
          <w:szCs w:val="24"/>
          <w:lang w:eastAsia="en-US"/>
        </w:rPr>
        <w:t>"stato ecologico del suolo": la qualità ecologica di un suolo valutata in base alla diversità, all'attività biologica e funzionale, all'habitat e alla presenza di fattori di degrado del suolo e determinata sulla base della seguente classificazione:</w:t>
      </w:r>
    </w:p>
    <w:p w14:paraId="6B74C384"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a)</w:t>
      </w:r>
      <w:r w:rsidRPr="00FF3D47">
        <w:rPr>
          <w:szCs w:val="24"/>
          <w:lang w:eastAsia="en-US"/>
        </w:rPr>
        <w:tab/>
      </w:r>
      <w:r w:rsidRPr="00FF3D47">
        <w:rPr>
          <w:b/>
          <w:i/>
          <w:szCs w:val="24"/>
          <w:lang w:eastAsia="en-US"/>
        </w:rPr>
        <w:t>"stato ecologico del suolo elevato" per i suoli con attività biologica e funzionale elevata;</w:t>
      </w:r>
    </w:p>
    <w:p w14:paraId="797D866D"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b)</w:t>
      </w:r>
      <w:r w:rsidRPr="00FF3D47">
        <w:rPr>
          <w:szCs w:val="24"/>
          <w:lang w:eastAsia="en-US"/>
        </w:rPr>
        <w:tab/>
      </w:r>
      <w:r w:rsidRPr="00FF3D47">
        <w:rPr>
          <w:b/>
          <w:i/>
          <w:szCs w:val="24"/>
          <w:lang w:eastAsia="en-US"/>
        </w:rPr>
        <w:t>"stato ecologico buono" per i suoli in uno stato ecologico complessivamente buono, ma che mostrano segni di lievi impatti negativi dovuti a uno o più fattori di degrado;</w:t>
      </w:r>
    </w:p>
    <w:p w14:paraId="5F9AFDF4"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c)</w:t>
      </w:r>
      <w:r w:rsidRPr="00FF3D47">
        <w:rPr>
          <w:szCs w:val="24"/>
          <w:lang w:eastAsia="en-US"/>
        </w:rPr>
        <w:tab/>
      </w:r>
      <w:r w:rsidRPr="00FF3D47">
        <w:rPr>
          <w:b/>
          <w:i/>
          <w:szCs w:val="24"/>
          <w:lang w:eastAsia="en-US"/>
        </w:rPr>
        <w:t>"stato ecologico moderato" per i suoli che mostrano segni di lievi impatti negativi dovuti a fattori di degrado;</w:t>
      </w:r>
    </w:p>
    <w:p w14:paraId="580D6B4E"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d)</w:t>
      </w:r>
      <w:r w:rsidRPr="00FF3D47">
        <w:rPr>
          <w:szCs w:val="24"/>
          <w:lang w:eastAsia="en-US"/>
        </w:rPr>
        <w:tab/>
      </w:r>
      <w:r w:rsidRPr="00FF3D47">
        <w:rPr>
          <w:b/>
          <w:i/>
          <w:szCs w:val="24"/>
          <w:lang w:eastAsia="en-US"/>
        </w:rPr>
        <w:t>"suoli degradati" per i suoli con chiare evidenze di impatti negativi dovuti a un fattore di degrado; e</w:t>
      </w:r>
    </w:p>
    <w:p w14:paraId="15DA7E3C"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e)</w:t>
      </w:r>
      <w:r w:rsidRPr="00FF3D47">
        <w:rPr>
          <w:szCs w:val="24"/>
          <w:lang w:eastAsia="en-US"/>
        </w:rPr>
        <w:tab/>
      </w:r>
      <w:r w:rsidRPr="00FF3D47">
        <w:rPr>
          <w:b/>
          <w:i/>
          <w:szCs w:val="24"/>
          <w:lang w:eastAsia="en-US"/>
        </w:rPr>
        <w:t>"suoli gravemente degradati" per i suoli con chiare evidenze di impatti negativi dovuti a più fattori di degrado; [</w:t>
      </w:r>
      <w:proofErr w:type="spellStart"/>
      <w:r w:rsidRPr="00FF3D47">
        <w:rPr>
          <w:b/>
          <w:i/>
          <w:szCs w:val="24"/>
          <w:lang w:eastAsia="en-US"/>
        </w:rPr>
        <w:t>Em</w:t>
      </w:r>
      <w:proofErr w:type="spellEnd"/>
      <w:r w:rsidRPr="00FF3D47">
        <w:rPr>
          <w:b/>
          <w:i/>
          <w:szCs w:val="24"/>
          <w:lang w:eastAsia="en-US"/>
        </w:rPr>
        <w:t>. 46]</w:t>
      </w:r>
    </w:p>
    <w:p w14:paraId="3DEC8B01" w14:textId="77777777" w:rsidR="000C1731" w:rsidRDefault="000C1731" w:rsidP="00FF3D47">
      <w:pPr>
        <w:spacing w:before="120" w:after="120" w:line="360" w:lineRule="auto"/>
        <w:ind w:left="850" w:hanging="850"/>
        <w:rPr>
          <w:b/>
          <w:i/>
          <w:szCs w:val="24"/>
          <w:lang w:eastAsia="en-US"/>
        </w:rPr>
      </w:pPr>
      <w:r>
        <w:rPr>
          <w:b/>
          <w:i/>
          <w:szCs w:val="24"/>
          <w:lang w:eastAsia="en-US"/>
        </w:rPr>
        <w:br w:type="page"/>
      </w:r>
    </w:p>
    <w:p w14:paraId="7A2970AD" w14:textId="40C898AA"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1</w:t>
      </w:r>
      <w:r w:rsidR="000C1731">
        <w:rPr>
          <w:b/>
          <w:i/>
          <w:szCs w:val="24"/>
          <w:lang w:eastAsia="en-US"/>
        </w:rPr>
        <w:t>ter</w:t>
      </w:r>
      <w:r w:rsidRPr="00FF3D47">
        <w:rPr>
          <w:b/>
          <w:i/>
          <w:szCs w:val="24"/>
          <w:lang w:eastAsia="en-US"/>
        </w:rPr>
        <w:t>)</w:t>
      </w:r>
      <w:r w:rsidRPr="00FF3D47">
        <w:rPr>
          <w:szCs w:val="24"/>
          <w:lang w:eastAsia="en-US"/>
        </w:rPr>
        <w:tab/>
      </w:r>
      <w:r w:rsidRPr="00FF3D47">
        <w:rPr>
          <w:b/>
          <w:i/>
          <w:szCs w:val="24"/>
          <w:lang w:eastAsia="en-US"/>
        </w:rPr>
        <w:t>"funzioni ecologiche del suolo": l'insieme di processi e interazioni interrelate all'interno dell'ecosistema del suolo che sostengono la vita, supportano la biodiversità del suolo e ne sono il risultato e mantengono la salute e la produttività generale degli ambienti terrestri, quali il ciclo dei nutrienti, la decomposizione della materia organica, la formazione della struttura del suolo, la filtrazione e la purificazione dell'acqua, l'assorbimento del carbonio e la fornitura di habitat e risorse per una gamma diversificata di organismi; [</w:t>
      </w:r>
      <w:proofErr w:type="spellStart"/>
      <w:r w:rsidRPr="00FF3D47">
        <w:rPr>
          <w:b/>
          <w:i/>
          <w:szCs w:val="24"/>
          <w:lang w:eastAsia="en-US"/>
        </w:rPr>
        <w:t>Em</w:t>
      </w:r>
      <w:proofErr w:type="spellEnd"/>
      <w:r w:rsidRPr="00FF3D47">
        <w:rPr>
          <w:b/>
          <w:i/>
          <w:szCs w:val="24"/>
          <w:lang w:eastAsia="en-US"/>
        </w:rPr>
        <w:t>. 47]</w:t>
      </w:r>
    </w:p>
    <w:p w14:paraId="22D4957C" w14:textId="0AF59E09" w:rsidR="00FF3D47" w:rsidRPr="00FF3D47" w:rsidRDefault="000C1731" w:rsidP="00FF3D47">
      <w:pPr>
        <w:spacing w:before="120" w:after="120" w:line="360" w:lineRule="auto"/>
        <w:ind w:left="850" w:hanging="850"/>
        <w:rPr>
          <w:szCs w:val="24"/>
          <w:lang w:eastAsia="en-US"/>
        </w:rPr>
      </w:pPr>
      <w:r>
        <w:rPr>
          <w:szCs w:val="24"/>
          <w:lang w:eastAsia="en-US"/>
        </w:rPr>
        <w:t>2</w:t>
      </w:r>
      <w:r w:rsidR="00FF3D47" w:rsidRPr="00FF3D47">
        <w:rPr>
          <w:szCs w:val="24"/>
          <w:lang w:eastAsia="en-US"/>
        </w:rPr>
        <w:t>)</w:t>
      </w:r>
      <w:r w:rsidR="00FF3D47" w:rsidRPr="00FF3D47">
        <w:rPr>
          <w:szCs w:val="24"/>
          <w:lang w:eastAsia="en-US"/>
        </w:rPr>
        <w:tab/>
        <w:t>"ecosistema": complesso dinamico formato da comunità di piante, di animali e di microorganismi e dal loro ambiente non vivente che, mediante la loro interazione, formano un'unità funzionale;</w:t>
      </w:r>
    </w:p>
    <w:p w14:paraId="50777A9B" w14:textId="0BBC70A7" w:rsidR="00FF3D47" w:rsidRPr="00FF3D47" w:rsidRDefault="00FF3D47" w:rsidP="00FF3D47">
      <w:pPr>
        <w:spacing w:before="120" w:after="120" w:line="360" w:lineRule="auto"/>
        <w:ind w:left="850" w:hanging="850"/>
        <w:rPr>
          <w:szCs w:val="24"/>
          <w:lang w:eastAsia="en-US"/>
        </w:rPr>
      </w:pPr>
      <w:r w:rsidRPr="00FF3D47">
        <w:rPr>
          <w:szCs w:val="24"/>
          <w:lang w:eastAsia="en-US"/>
        </w:rPr>
        <w:t>3)</w:t>
      </w:r>
      <w:r w:rsidRPr="00FF3D47">
        <w:rPr>
          <w:szCs w:val="24"/>
          <w:lang w:eastAsia="en-US"/>
        </w:rPr>
        <w:tab/>
        <w:t xml:space="preserve">"servizi </w:t>
      </w:r>
      <w:proofErr w:type="spellStart"/>
      <w:r w:rsidRPr="00FF3D47">
        <w:rPr>
          <w:szCs w:val="24"/>
          <w:lang w:eastAsia="en-US"/>
        </w:rPr>
        <w:t>ecosistemici</w:t>
      </w:r>
      <w:proofErr w:type="spellEnd"/>
      <w:r w:rsidRPr="00FF3D47">
        <w:rPr>
          <w:szCs w:val="24"/>
          <w:lang w:eastAsia="en-US"/>
        </w:rPr>
        <w:t xml:space="preserve">": i contributi </w:t>
      </w:r>
      <w:r w:rsidRPr="00FF3D47">
        <w:rPr>
          <w:b/>
          <w:i/>
          <w:szCs w:val="24"/>
          <w:lang w:eastAsia="en-US"/>
        </w:rPr>
        <w:t xml:space="preserve">diretti e </w:t>
      </w:r>
      <w:r w:rsidRPr="00FF3D47">
        <w:rPr>
          <w:szCs w:val="24"/>
          <w:lang w:eastAsia="en-US"/>
        </w:rPr>
        <w:t xml:space="preserve">indiretti degli ecosistemi </w:t>
      </w:r>
      <w:r w:rsidRPr="00FF3D47">
        <w:rPr>
          <w:b/>
          <w:i/>
          <w:szCs w:val="24"/>
          <w:lang w:eastAsia="en-US"/>
        </w:rPr>
        <w:t xml:space="preserve">al benessere della società nel suo complesso e </w:t>
      </w:r>
      <w:r w:rsidRPr="00FF3D47">
        <w:rPr>
          <w:szCs w:val="24"/>
          <w:lang w:eastAsia="en-US"/>
        </w:rPr>
        <w:t>ai benefici economici, sociali, culturali</w:t>
      </w:r>
      <w:r w:rsidRPr="00FF3D47">
        <w:rPr>
          <w:b/>
          <w:i/>
          <w:szCs w:val="24"/>
          <w:lang w:eastAsia="en-US"/>
        </w:rPr>
        <w:t>, ambientali</w:t>
      </w:r>
      <w:r w:rsidRPr="00FF3D47">
        <w:rPr>
          <w:szCs w:val="24"/>
          <w:lang w:eastAsia="en-US"/>
        </w:rPr>
        <w:t xml:space="preserve"> e di altro tipo che le persone traggono da tali ecosistemi;</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48]</w:t>
      </w:r>
    </w:p>
    <w:p w14:paraId="12A76DDE" w14:textId="30B92286" w:rsidR="00FF3D47" w:rsidRPr="00FF3D47" w:rsidRDefault="00FF3D47" w:rsidP="00FF3D47">
      <w:pPr>
        <w:spacing w:before="120" w:after="120" w:line="360" w:lineRule="auto"/>
        <w:ind w:left="850" w:hanging="850"/>
        <w:rPr>
          <w:szCs w:val="24"/>
          <w:lang w:eastAsia="en-US"/>
        </w:rPr>
      </w:pPr>
      <w:r w:rsidRPr="00FF3D47">
        <w:rPr>
          <w:b/>
          <w:i/>
          <w:szCs w:val="24"/>
          <w:lang w:eastAsia="en-US"/>
        </w:rPr>
        <w:t>3</w:t>
      </w:r>
      <w:r w:rsidR="000C1731">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"biodiversità del suolo": la variazione della vita nel suolo, dai geni alle comunità, e dei complessi ecologici di cui fanno parte, cioè complessi che spaziano dai microhabitat del suolo ai paesaggi; [</w:t>
      </w:r>
      <w:proofErr w:type="spellStart"/>
      <w:r w:rsidRPr="00FF3D47">
        <w:rPr>
          <w:b/>
          <w:i/>
          <w:szCs w:val="24"/>
          <w:lang w:eastAsia="en-US"/>
        </w:rPr>
        <w:t>Em</w:t>
      </w:r>
      <w:proofErr w:type="spellEnd"/>
      <w:r w:rsidRPr="00FF3D47">
        <w:rPr>
          <w:b/>
          <w:i/>
          <w:szCs w:val="24"/>
          <w:lang w:eastAsia="en-US"/>
        </w:rPr>
        <w:t>. 49]</w:t>
      </w:r>
    </w:p>
    <w:p w14:paraId="3DAB0648"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3C2EA428" w14:textId="6F9B8E32"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4)</w:t>
      </w:r>
      <w:r w:rsidRPr="00FF3D47">
        <w:rPr>
          <w:szCs w:val="24"/>
          <w:lang w:eastAsia="en-US"/>
        </w:rPr>
        <w:tab/>
        <w:t>"salute del suolo": le condizioni fisiche, chimiche</w:t>
      </w:r>
      <w:r w:rsidRPr="00FF3D47">
        <w:rPr>
          <w:b/>
          <w:i/>
          <w:szCs w:val="24"/>
          <w:lang w:eastAsia="en-US"/>
        </w:rPr>
        <w:t>, funzionali</w:t>
      </w:r>
      <w:r w:rsidRPr="00FF3D47">
        <w:rPr>
          <w:szCs w:val="24"/>
          <w:lang w:eastAsia="en-US"/>
        </w:rPr>
        <w:t xml:space="preserve"> e biologiche del suolo che ne determinano la capacità di funzionare come un sistema vitale e di fornire servizi </w:t>
      </w:r>
      <w:proofErr w:type="spellStart"/>
      <w:r w:rsidRPr="00FF3D47">
        <w:rPr>
          <w:szCs w:val="24"/>
          <w:lang w:eastAsia="en-US"/>
        </w:rPr>
        <w:t>ecosistemici</w:t>
      </w:r>
      <w:proofErr w:type="spellEnd"/>
      <w:r w:rsidRPr="00FF3D47">
        <w:rPr>
          <w:b/>
          <w:i/>
          <w:szCs w:val="24"/>
          <w:lang w:eastAsia="en-US"/>
        </w:rPr>
        <w:t>, tenendo conto dell'utilizzo del suolo</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50]</w:t>
      </w:r>
    </w:p>
    <w:p w14:paraId="645C6972" w14:textId="651CC435" w:rsidR="00FF3D47" w:rsidRPr="00FF3D47" w:rsidRDefault="00FF3D47" w:rsidP="00FF3D47">
      <w:pPr>
        <w:spacing w:before="120" w:after="120" w:line="360" w:lineRule="auto"/>
        <w:ind w:left="850" w:hanging="850"/>
        <w:rPr>
          <w:szCs w:val="24"/>
          <w:lang w:eastAsia="en-US"/>
        </w:rPr>
      </w:pPr>
      <w:r w:rsidRPr="00FF3D47">
        <w:rPr>
          <w:szCs w:val="24"/>
          <w:lang w:eastAsia="en-US"/>
        </w:rPr>
        <w:t>5)</w:t>
      </w:r>
      <w:r w:rsidRPr="00FF3D47">
        <w:rPr>
          <w:szCs w:val="24"/>
          <w:lang w:eastAsia="en-US"/>
        </w:rPr>
        <w:tab/>
        <w:t xml:space="preserve">"gestione sostenibile del suolo": le pratiche di gestione del suolo che </w:t>
      </w:r>
      <w:r w:rsidRPr="00FF3D47">
        <w:rPr>
          <w:strike/>
          <w:szCs w:val="24"/>
          <w:lang w:eastAsia="en-US"/>
        </w:rPr>
        <w:t xml:space="preserve">mantengono o </w:t>
      </w:r>
      <w:proofErr w:type="spellStart"/>
      <w:r w:rsidRPr="00FF3D47">
        <w:rPr>
          <w:strike/>
          <w:szCs w:val="24"/>
          <w:lang w:eastAsia="en-US"/>
        </w:rPr>
        <w:t>migliorano</w:t>
      </w:r>
      <w:r w:rsidRPr="00FF3D47">
        <w:rPr>
          <w:b/>
          <w:i/>
          <w:szCs w:val="24"/>
          <w:lang w:eastAsia="en-US"/>
        </w:rPr>
        <w:t>mirano</w:t>
      </w:r>
      <w:proofErr w:type="spellEnd"/>
      <w:r w:rsidRPr="00FF3D47">
        <w:rPr>
          <w:b/>
          <w:i/>
          <w:szCs w:val="24"/>
          <w:lang w:eastAsia="en-US"/>
        </w:rPr>
        <w:t xml:space="preserve"> a mantenere o migliorare</w:t>
      </w:r>
      <w:r w:rsidRPr="00FF3D47">
        <w:rPr>
          <w:szCs w:val="24"/>
          <w:lang w:eastAsia="en-US"/>
        </w:rPr>
        <w:t xml:space="preserve"> i servizi </w:t>
      </w:r>
      <w:proofErr w:type="spellStart"/>
      <w:r w:rsidRPr="00FF3D47">
        <w:rPr>
          <w:szCs w:val="24"/>
          <w:lang w:eastAsia="en-US"/>
        </w:rPr>
        <w:t>ecosistemici</w:t>
      </w:r>
      <w:proofErr w:type="spellEnd"/>
      <w:r w:rsidRPr="00FF3D47">
        <w:rPr>
          <w:szCs w:val="24"/>
          <w:lang w:eastAsia="en-US"/>
        </w:rPr>
        <w:t xml:space="preserve"> </w:t>
      </w:r>
      <w:r w:rsidRPr="00FF3D47">
        <w:rPr>
          <w:strike/>
          <w:szCs w:val="24"/>
          <w:lang w:eastAsia="en-US"/>
        </w:rPr>
        <w:t xml:space="preserve">forniti </w:t>
      </w:r>
      <w:proofErr w:type="spellStart"/>
      <w:r w:rsidRPr="00FF3D47">
        <w:rPr>
          <w:strike/>
          <w:szCs w:val="24"/>
          <w:lang w:eastAsia="en-US"/>
        </w:rPr>
        <w:t>dal</w:t>
      </w:r>
      <w:r w:rsidRPr="00FF3D47">
        <w:rPr>
          <w:b/>
          <w:i/>
          <w:szCs w:val="24"/>
          <w:lang w:eastAsia="en-US"/>
        </w:rPr>
        <w:t>del</w:t>
      </w:r>
      <w:proofErr w:type="spellEnd"/>
      <w:r w:rsidRPr="00FF3D47">
        <w:rPr>
          <w:szCs w:val="24"/>
          <w:lang w:eastAsia="en-US"/>
        </w:rPr>
        <w:t xml:space="preserve"> suolo</w:t>
      </w:r>
      <w:r w:rsidRPr="00FF3D47">
        <w:rPr>
          <w:strike/>
          <w:szCs w:val="24"/>
          <w:lang w:eastAsia="en-US"/>
        </w:rPr>
        <w:t xml:space="preserve"> senza compromettere le funzioni che consentono tali servizi né danneggiare altre proprietà </w:t>
      </w:r>
      <w:proofErr w:type="gramStart"/>
      <w:r w:rsidRPr="00FF3D47">
        <w:rPr>
          <w:strike/>
          <w:szCs w:val="24"/>
          <w:lang w:eastAsia="en-US"/>
        </w:rPr>
        <w:t>dell'ambiente;</w:t>
      </w:r>
      <w:r w:rsidRPr="00FF3D47">
        <w:rPr>
          <w:b/>
          <w:i/>
          <w:szCs w:val="24"/>
          <w:lang w:eastAsia="en-US"/>
        </w:rPr>
        <w:t>,</w:t>
      </w:r>
      <w:proofErr w:type="gramEnd"/>
      <w:r w:rsidRPr="00FF3D47">
        <w:rPr>
          <w:b/>
          <w:i/>
          <w:szCs w:val="24"/>
          <w:lang w:eastAsia="en-US"/>
        </w:rPr>
        <w:t xml:space="preserve"> tenendo conto degli effetti socioeconomici; [</w:t>
      </w:r>
      <w:proofErr w:type="spellStart"/>
      <w:r w:rsidRPr="00FF3D47">
        <w:rPr>
          <w:b/>
          <w:i/>
          <w:szCs w:val="24"/>
          <w:lang w:eastAsia="en-US"/>
        </w:rPr>
        <w:t>Em</w:t>
      </w:r>
      <w:proofErr w:type="spellEnd"/>
      <w:r w:rsidRPr="00FF3D47">
        <w:rPr>
          <w:b/>
          <w:i/>
          <w:szCs w:val="24"/>
          <w:lang w:eastAsia="en-US"/>
        </w:rPr>
        <w:t>. 247]</w:t>
      </w:r>
    </w:p>
    <w:p w14:paraId="48462F3A" w14:textId="1BA00D1B" w:rsidR="00FF3D47" w:rsidRPr="00FF3D47" w:rsidRDefault="00FF3D47" w:rsidP="00FF3D47">
      <w:pPr>
        <w:spacing w:before="120" w:after="120" w:line="360" w:lineRule="auto"/>
        <w:ind w:left="850" w:hanging="850"/>
        <w:rPr>
          <w:szCs w:val="24"/>
          <w:lang w:eastAsia="en-US"/>
        </w:rPr>
      </w:pPr>
      <w:r w:rsidRPr="00FF3D47">
        <w:rPr>
          <w:szCs w:val="24"/>
          <w:lang w:eastAsia="en-US"/>
        </w:rPr>
        <w:t>6)</w:t>
      </w:r>
      <w:r w:rsidRPr="00FF3D47">
        <w:rPr>
          <w:szCs w:val="24"/>
          <w:lang w:eastAsia="en-US"/>
        </w:rPr>
        <w:tab/>
        <w:t>"pratiche di gestione del suolo": le pratiche che incidono sulle qualità fisiche, chimiche o biologiche di un suolo;</w:t>
      </w:r>
    </w:p>
    <w:p w14:paraId="478EA4BA" w14:textId="7E1FE845" w:rsidR="00FF3D47" w:rsidRPr="00FF3D47" w:rsidRDefault="00FF3D47" w:rsidP="00FF3D47">
      <w:pPr>
        <w:spacing w:before="120" w:after="120" w:line="360" w:lineRule="auto"/>
        <w:ind w:left="850" w:hanging="850"/>
        <w:rPr>
          <w:szCs w:val="24"/>
          <w:lang w:eastAsia="en-US"/>
        </w:rPr>
      </w:pPr>
      <w:r w:rsidRPr="00FF3D47">
        <w:rPr>
          <w:szCs w:val="24"/>
          <w:lang w:eastAsia="en-US"/>
        </w:rPr>
        <w:t>7)</w:t>
      </w:r>
      <w:r w:rsidRPr="00FF3D47">
        <w:rPr>
          <w:szCs w:val="24"/>
          <w:lang w:eastAsia="en-US"/>
        </w:rPr>
        <w:tab/>
        <w:t>"suoli gestiti": i suoli in cui sono attuate pratiche di gestione del suolo;</w:t>
      </w:r>
    </w:p>
    <w:p w14:paraId="4652598C" w14:textId="291E8CFD" w:rsidR="00FF3D47" w:rsidRPr="00FF3D47" w:rsidRDefault="00FF3D47" w:rsidP="00FF3D47">
      <w:pPr>
        <w:spacing w:before="120" w:after="120" w:line="360" w:lineRule="auto"/>
        <w:ind w:left="850" w:hanging="850"/>
        <w:rPr>
          <w:szCs w:val="24"/>
          <w:lang w:eastAsia="en-US"/>
        </w:rPr>
      </w:pPr>
      <w:r w:rsidRPr="00FF3D47">
        <w:rPr>
          <w:szCs w:val="24"/>
          <w:lang w:eastAsia="en-US"/>
        </w:rPr>
        <w:t>8)</w:t>
      </w:r>
      <w:r w:rsidRPr="00FF3D47">
        <w:rPr>
          <w:szCs w:val="24"/>
          <w:lang w:eastAsia="en-US"/>
        </w:rPr>
        <w:tab/>
        <w:t xml:space="preserve">"distretto del suolo": parte di territorio dello Stato membro </w:t>
      </w:r>
      <w:r w:rsidRPr="00FF3D47">
        <w:rPr>
          <w:b/>
          <w:i/>
          <w:szCs w:val="24"/>
          <w:lang w:eastAsia="en-US"/>
        </w:rPr>
        <w:t xml:space="preserve">o di diversi Stati membri </w:t>
      </w:r>
      <w:r w:rsidRPr="00FF3D47">
        <w:rPr>
          <w:szCs w:val="24"/>
          <w:lang w:eastAsia="en-US"/>
        </w:rPr>
        <w:t>da esso</w:t>
      </w:r>
      <w:r w:rsidRPr="00FF3D47">
        <w:rPr>
          <w:b/>
          <w:i/>
          <w:szCs w:val="24"/>
          <w:lang w:eastAsia="en-US"/>
        </w:rPr>
        <w:t xml:space="preserve"> o da essi</w:t>
      </w:r>
      <w:r w:rsidRPr="00FF3D47">
        <w:rPr>
          <w:szCs w:val="24"/>
          <w:lang w:eastAsia="en-US"/>
        </w:rPr>
        <w:t xml:space="preserve"> delimitata conformemente alla presente direttiva;</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52]</w:t>
      </w:r>
    </w:p>
    <w:p w14:paraId="36BB2615"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604231DD" w14:textId="39882333"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9)</w:t>
      </w:r>
      <w:r w:rsidRPr="00FF3D47">
        <w:rPr>
          <w:szCs w:val="24"/>
          <w:lang w:eastAsia="en-US"/>
        </w:rPr>
        <w:tab/>
        <w:t>"valutazione della salute del suolo": valutazione dello stato di salute del suolo basata sulla misurazione o sulla stima dei descrittori del suolo;</w:t>
      </w:r>
    </w:p>
    <w:p w14:paraId="667FDB9A" w14:textId="4CD67D99" w:rsidR="00FF3D47" w:rsidRPr="00FF3D47" w:rsidRDefault="00FF3D47" w:rsidP="00FF3D47">
      <w:pPr>
        <w:spacing w:before="120" w:after="120" w:line="360" w:lineRule="auto"/>
        <w:ind w:left="850" w:hanging="850"/>
        <w:rPr>
          <w:szCs w:val="24"/>
          <w:lang w:eastAsia="en-US"/>
        </w:rPr>
      </w:pPr>
      <w:r w:rsidRPr="00FF3D47">
        <w:rPr>
          <w:szCs w:val="24"/>
          <w:lang w:eastAsia="en-US"/>
        </w:rPr>
        <w:t>10)</w:t>
      </w:r>
      <w:r w:rsidRPr="00FF3D47">
        <w:rPr>
          <w:szCs w:val="24"/>
          <w:lang w:eastAsia="en-US"/>
        </w:rPr>
        <w:tab/>
        <w:t xml:space="preserve">"sito contaminato": area delimitata di uno o più appezzamenti in cui è confermato uno stato di contaminazione del suolo causato </w:t>
      </w:r>
      <w:r w:rsidRPr="00FF3D47">
        <w:rPr>
          <w:b/>
          <w:i/>
          <w:szCs w:val="24"/>
          <w:lang w:eastAsia="en-US"/>
        </w:rPr>
        <w:t>dalla presenza nel suolo di una sostanza o di un materiale in concentrazione tale da poter essere dannosa per la salute umana o per l'</w:t>
      </w:r>
      <w:proofErr w:type="spellStart"/>
      <w:r w:rsidRPr="00FF3D47">
        <w:rPr>
          <w:b/>
          <w:i/>
          <w:szCs w:val="24"/>
          <w:lang w:eastAsia="en-US"/>
        </w:rPr>
        <w:t>ambiente</w:t>
      </w:r>
      <w:r w:rsidRPr="00FF3D47">
        <w:rPr>
          <w:strike/>
          <w:szCs w:val="24"/>
          <w:lang w:eastAsia="en-US"/>
        </w:rPr>
        <w:t>da</w:t>
      </w:r>
      <w:proofErr w:type="spellEnd"/>
      <w:r w:rsidRPr="00FF3D47">
        <w:rPr>
          <w:strike/>
          <w:szCs w:val="24"/>
          <w:lang w:eastAsia="en-US"/>
        </w:rPr>
        <w:t xml:space="preserve"> attività antropogeniche puntuali</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53]</w:t>
      </w:r>
    </w:p>
    <w:p w14:paraId="52188780" w14:textId="4C3D77FC" w:rsidR="00FF3D47" w:rsidRPr="00FF3D47" w:rsidRDefault="00FF3D47" w:rsidP="00FF3D47">
      <w:pPr>
        <w:spacing w:before="120" w:after="120" w:line="360" w:lineRule="auto"/>
        <w:ind w:left="850" w:hanging="850"/>
        <w:rPr>
          <w:szCs w:val="24"/>
          <w:lang w:eastAsia="en-US"/>
        </w:rPr>
      </w:pPr>
      <w:r w:rsidRPr="00FF3D47">
        <w:rPr>
          <w:szCs w:val="24"/>
          <w:lang w:eastAsia="en-US"/>
        </w:rPr>
        <w:t>11)</w:t>
      </w:r>
      <w:r w:rsidRPr="00FF3D47">
        <w:rPr>
          <w:szCs w:val="24"/>
          <w:lang w:eastAsia="en-US"/>
        </w:rPr>
        <w:tab/>
        <w:t>"descrittore del suolo": parametro che descrive una caratteristica fisica, chimica o biologica della salute del suolo;</w:t>
      </w:r>
    </w:p>
    <w:p w14:paraId="12130A33" w14:textId="6D30CD12" w:rsidR="00FF3D47" w:rsidRPr="00FF3D47" w:rsidRDefault="00FF3D47" w:rsidP="00FF3D47">
      <w:pPr>
        <w:spacing w:before="120" w:after="120" w:line="360" w:lineRule="auto"/>
        <w:ind w:left="850" w:hanging="850"/>
        <w:rPr>
          <w:szCs w:val="24"/>
          <w:lang w:eastAsia="en-US"/>
        </w:rPr>
      </w:pPr>
      <w:r w:rsidRPr="00FF3D47">
        <w:rPr>
          <w:szCs w:val="24"/>
          <w:lang w:eastAsia="en-US"/>
        </w:rPr>
        <w:t>12)</w:t>
      </w:r>
      <w:r w:rsidRPr="00FF3D47">
        <w:rPr>
          <w:szCs w:val="24"/>
          <w:lang w:eastAsia="en-US"/>
        </w:rPr>
        <w:tab/>
        <w:t>"terreno": superficie terrestre non coperta da acqua;</w:t>
      </w:r>
    </w:p>
    <w:p w14:paraId="7F7B120D" w14:textId="0438132B" w:rsidR="00FF3D47" w:rsidRPr="00FF3D47" w:rsidRDefault="00FF3D47" w:rsidP="00FF3D47">
      <w:pPr>
        <w:spacing w:before="120" w:after="120" w:line="360" w:lineRule="auto"/>
        <w:ind w:left="850" w:hanging="850"/>
        <w:rPr>
          <w:szCs w:val="24"/>
          <w:lang w:eastAsia="en-US"/>
        </w:rPr>
      </w:pPr>
      <w:r w:rsidRPr="00FF3D47">
        <w:rPr>
          <w:szCs w:val="24"/>
          <w:lang w:eastAsia="en-US"/>
        </w:rPr>
        <w:t>13)</w:t>
      </w:r>
      <w:r w:rsidRPr="00FF3D47">
        <w:rPr>
          <w:szCs w:val="24"/>
          <w:lang w:eastAsia="en-US"/>
        </w:rPr>
        <w:tab/>
        <w:t>"copertura del suolo": la copertura fisica e biologica della superficie terrestre;</w:t>
      </w:r>
    </w:p>
    <w:p w14:paraId="2F708086" w14:textId="76441430" w:rsidR="00FF3D47" w:rsidRPr="00FF3D47" w:rsidRDefault="00FF3D47" w:rsidP="00FF3D47">
      <w:pPr>
        <w:spacing w:before="120" w:after="120" w:line="360" w:lineRule="auto"/>
        <w:ind w:left="850" w:hanging="850"/>
        <w:rPr>
          <w:szCs w:val="24"/>
          <w:lang w:eastAsia="en-US"/>
        </w:rPr>
      </w:pPr>
      <w:r w:rsidRPr="00FF3D47">
        <w:rPr>
          <w:szCs w:val="24"/>
          <w:lang w:eastAsia="en-US"/>
        </w:rPr>
        <w:t>14)</w:t>
      </w:r>
      <w:r w:rsidRPr="00FF3D47">
        <w:rPr>
          <w:szCs w:val="24"/>
          <w:lang w:eastAsia="en-US"/>
        </w:rPr>
        <w:tab/>
        <w:t>"terreno naturale": area in cui l'attività antropica non ha modificato in modo sostanziale le funzioni ecologiche primarie né la composizione delle specie;</w:t>
      </w:r>
    </w:p>
    <w:p w14:paraId="09FF5BA4" w14:textId="2CC75ECA" w:rsidR="00FF3D47" w:rsidRPr="00FF3D47" w:rsidRDefault="00FF3D47" w:rsidP="00FF3D47">
      <w:pPr>
        <w:spacing w:before="120" w:after="120" w:line="360" w:lineRule="auto"/>
        <w:ind w:left="850" w:hanging="850"/>
        <w:rPr>
          <w:szCs w:val="24"/>
          <w:lang w:eastAsia="en-US"/>
        </w:rPr>
      </w:pPr>
      <w:r w:rsidRPr="00FF3D47">
        <w:rPr>
          <w:szCs w:val="24"/>
          <w:lang w:eastAsia="en-US"/>
        </w:rPr>
        <w:t>15)</w:t>
      </w:r>
      <w:r w:rsidRPr="00FF3D47">
        <w:rPr>
          <w:szCs w:val="24"/>
          <w:lang w:eastAsia="en-US"/>
        </w:rPr>
        <w:tab/>
        <w:t xml:space="preserve">"terreno </w:t>
      </w:r>
      <w:proofErr w:type="spellStart"/>
      <w:r w:rsidRPr="00FF3D47">
        <w:rPr>
          <w:szCs w:val="24"/>
          <w:lang w:eastAsia="en-US"/>
        </w:rPr>
        <w:t>seminaturale</w:t>
      </w:r>
      <w:proofErr w:type="spellEnd"/>
      <w:r w:rsidRPr="00FF3D47">
        <w:rPr>
          <w:szCs w:val="24"/>
          <w:lang w:eastAsia="en-US"/>
        </w:rPr>
        <w:t xml:space="preserve">": area in cui la biocenosi ha subito modifiche sostanziali per quanto riguarda la composizione, l'equilibrio o la funzione a causa di attività antropiche, ma mantiene un valore potenzialmente elevato in termini di biodiversità e servizi </w:t>
      </w:r>
      <w:proofErr w:type="spellStart"/>
      <w:r w:rsidRPr="00FF3D47">
        <w:rPr>
          <w:szCs w:val="24"/>
          <w:lang w:eastAsia="en-US"/>
        </w:rPr>
        <w:t>ecosistemici</w:t>
      </w:r>
      <w:proofErr w:type="spellEnd"/>
      <w:r w:rsidRPr="00FF3D47">
        <w:rPr>
          <w:szCs w:val="24"/>
          <w:lang w:eastAsia="en-US"/>
        </w:rPr>
        <w:t xml:space="preserve"> che fornisce;</w:t>
      </w:r>
    </w:p>
    <w:p w14:paraId="76FE1E30"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246B5695" w14:textId="1EC7EDE5"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16)</w:t>
      </w:r>
      <w:r w:rsidRPr="00FF3D47">
        <w:rPr>
          <w:szCs w:val="24"/>
          <w:lang w:eastAsia="en-US"/>
        </w:rPr>
        <w:tab/>
        <w:t xml:space="preserve">"terreno artificiale": terreno utilizzato come piattaforma per edifici e infrastrutture, come fonte diretta di materie prime o come archivio per il patrimonio storico a scapito della capacità del suolo di fornire altri servizi </w:t>
      </w:r>
      <w:proofErr w:type="spellStart"/>
      <w:r w:rsidRPr="00FF3D47">
        <w:rPr>
          <w:szCs w:val="24"/>
          <w:lang w:eastAsia="en-US"/>
        </w:rPr>
        <w:t>ecosistemici</w:t>
      </w:r>
      <w:proofErr w:type="spellEnd"/>
      <w:r w:rsidRPr="00FF3D47">
        <w:rPr>
          <w:szCs w:val="24"/>
          <w:lang w:eastAsia="en-US"/>
        </w:rPr>
        <w:t>;</w:t>
      </w:r>
    </w:p>
    <w:p w14:paraId="44E547DA" w14:textId="0DD919E4" w:rsidR="00FF3D47" w:rsidRPr="00FF3D47" w:rsidRDefault="00FF3D47" w:rsidP="00FF3D47">
      <w:pPr>
        <w:spacing w:before="120" w:after="120" w:line="360" w:lineRule="auto"/>
        <w:ind w:left="850" w:hanging="850"/>
        <w:rPr>
          <w:szCs w:val="24"/>
          <w:lang w:eastAsia="en-US"/>
        </w:rPr>
      </w:pPr>
      <w:r w:rsidRPr="00FF3D47">
        <w:rPr>
          <w:szCs w:val="24"/>
          <w:lang w:eastAsia="en-US"/>
        </w:rPr>
        <w:t>17)</w:t>
      </w:r>
      <w:r w:rsidRPr="00FF3D47">
        <w:rPr>
          <w:szCs w:val="24"/>
          <w:lang w:eastAsia="en-US"/>
        </w:rPr>
        <w:tab/>
        <w:t xml:space="preserve">"consumo di suolo": conversione di terreni naturali e </w:t>
      </w:r>
      <w:proofErr w:type="spellStart"/>
      <w:r w:rsidRPr="00FF3D47">
        <w:rPr>
          <w:szCs w:val="24"/>
          <w:lang w:eastAsia="en-US"/>
        </w:rPr>
        <w:t>seminaturali</w:t>
      </w:r>
      <w:proofErr w:type="spellEnd"/>
      <w:r w:rsidRPr="00FF3D47">
        <w:rPr>
          <w:szCs w:val="24"/>
          <w:lang w:eastAsia="en-US"/>
        </w:rPr>
        <w:t xml:space="preserve"> in terreni artificiali;</w:t>
      </w:r>
    </w:p>
    <w:p w14:paraId="2B02591A" w14:textId="54C7F665" w:rsidR="00FF3D47" w:rsidRPr="00FF3D47" w:rsidRDefault="00FF3D47" w:rsidP="00FF3D47">
      <w:pPr>
        <w:spacing w:before="120" w:after="120" w:line="360" w:lineRule="auto"/>
        <w:ind w:left="850" w:hanging="850"/>
        <w:rPr>
          <w:szCs w:val="24"/>
          <w:lang w:eastAsia="en-US"/>
        </w:rPr>
      </w:pPr>
      <w:r w:rsidRPr="00FF3D47">
        <w:rPr>
          <w:b/>
          <w:i/>
          <w:szCs w:val="24"/>
          <w:lang w:eastAsia="en-US"/>
        </w:rPr>
        <w:t>17</w:t>
      </w:r>
      <w:r w:rsidR="000C1731">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"impermeabilizzazione del suolo": la copertura di un terreno con materiali impermeabili, in particolare quando il terreno viene utilizzato come piattaforma per edifici e infrastrutture; [</w:t>
      </w:r>
      <w:proofErr w:type="spellStart"/>
      <w:r w:rsidRPr="00FF3D47">
        <w:rPr>
          <w:b/>
          <w:i/>
          <w:szCs w:val="24"/>
          <w:lang w:eastAsia="en-US"/>
        </w:rPr>
        <w:t>Em</w:t>
      </w:r>
      <w:proofErr w:type="spellEnd"/>
      <w:r w:rsidRPr="00FF3D47">
        <w:rPr>
          <w:b/>
          <w:i/>
          <w:szCs w:val="24"/>
          <w:lang w:eastAsia="en-US"/>
        </w:rPr>
        <w:t>. 54]</w:t>
      </w:r>
    </w:p>
    <w:p w14:paraId="14210B4C" w14:textId="1D5EE3C4" w:rsidR="00FF3D47" w:rsidRPr="00FF3D47" w:rsidRDefault="00FF3D47" w:rsidP="00FF3D47">
      <w:pPr>
        <w:spacing w:before="120" w:after="120" w:line="360" w:lineRule="auto"/>
        <w:ind w:left="850" w:hanging="850"/>
        <w:rPr>
          <w:szCs w:val="24"/>
          <w:lang w:eastAsia="en-US"/>
        </w:rPr>
      </w:pPr>
      <w:r w:rsidRPr="00FF3D47">
        <w:rPr>
          <w:b/>
          <w:i/>
          <w:szCs w:val="24"/>
          <w:lang w:eastAsia="en-US"/>
        </w:rPr>
        <w:t>17</w:t>
      </w:r>
      <w:r w:rsidR="000C1731">
        <w:rPr>
          <w:b/>
          <w:i/>
          <w:szCs w:val="24"/>
          <w:lang w:eastAsia="en-US"/>
        </w:rPr>
        <w:t xml:space="preserve"> ter</w:t>
      </w:r>
      <w:r w:rsidRPr="00FF3D47">
        <w:rPr>
          <w:b/>
          <w:i/>
          <w:szCs w:val="24"/>
          <w:lang w:eastAsia="en-US"/>
        </w:rPr>
        <w:t>)</w:t>
      </w:r>
      <w:r w:rsidRPr="00FF3D47">
        <w:rPr>
          <w:szCs w:val="24"/>
          <w:lang w:eastAsia="en-US"/>
        </w:rPr>
        <w:tab/>
      </w:r>
      <w:r w:rsidRPr="00FF3D47">
        <w:rPr>
          <w:b/>
          <w:i/>
          <w:szCs w:val="24"/>
          <w:lang w:eastAsia="en-US"/>
        </w:rPr>
        <w:t>"</w:t>
      </w:r>
      <w:proofErr w:type="spellStart"/>
      <w:r w:rsidRPr="00FF3D47">
        <w:rPr>
          <w:b/>
          <w:i/>
          <w:szCs w:val="24"/>
          <w:lang w:eastAsia="en-US"/>
        </w:rPr>
        <w:t>deimpermeabilizzazione</w:t>
      </w:r>
      <w:proofErr w:type="spellEnd"/>
      <w:r w:rsidRPr="00FF3D47">
        <w:rPr>
          <w:b/>
          <w:i/>
          <w:szCs w:val="24"/>
          <w:lang w:eastAsia="en-US"/>
        </w:rPr>
        <w:t xml:space="preserve"> del suolo": riconversione in suolo funzionale di terreni che non svolgono più le loro funzioni naturali, quali infiltrazione, percolazione e funzionalità idrologica; [</w:t>
      </w:r>
      <w:proofErr w:type="spellStart"/>
      <w:r w:rsidRPr="00FF3D47">
        <w:rPr>
          <w:b/>
          <w:i/>
          <w:szCs w:val="24"/>
          <w:lang w:eastAsia="en-US"/>
        </w:rPr>
        <w:t>Em</w:t>
      </w:r>
      <w:proofErr w:type="spellEnd"/>
      <w:r w:rsidRPr="00FF3D47">
        <w:rPr>
          <w:b/>
          <w:i/>
          <w:szCs w:val="24"/>
          <w:lang w:eastAsia="en-US"/>
        </w:rPr>
        <w:t>. 55]</w:t>
      </w:r>
    </w:p>
    <w:p w14:paraId="52BB15B6" w14:textId="5C548A94" w:rsidR="00FF3D47" w:rsidRPr="00FF3D47" w:rsidRDefault="00FF3D47" w:rsidP="00FF3D47">
      <w:pPr>
        <w:spacing w:before="120" w:after="120" w:line="360" w:lineRule="auto"/>
        <w:ind w:left="850" w:hanging="850"/>
        <w:rPr>
          <w:szCs w:val="24"/>
          <w:lang w:eastAsia="en-US"/>
        </w:rPr>
      </w:pPr>
      <w:r w:rsidRPr="00FF3D47">
        <w:rPr>
          <w:szCs w:val="24"/>
          <w:lang w:eastAsia="en-US"/>
        </w:rPr>
        <w:t>18)</w:t>
      </w:r>
      <w:r w:rsidRPr="00FF3D47">
        <w:rPr>
          <w:szCs w:val="24"/>
          <w:lang w:eastAsia="en-US"/>
        </w:rPr>
        <w:tab/>
        <w:t>"funzione di trasferimento": regola matematica che consente di convertire il valore di una misurazione del suolo, effettuata utilizzando una metodologia diversa da una metodologia di riferimento, nel valore che si otterrebbe con la metodologia di riferimento;</w:t>
      </w:r>
    </w:p>
    <w:p w14:paraId="13CA560C"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6E3CBC4F" w14:textId="3107D02F"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19)</w:t>
      </w:r>
      <w:r w:rsidRPr="00FF3D47">
        <w:rPr>
          <w:szCs w:val="24"/>
          <w:lang w:eastAsia="en-US"/>
        </w:rPr>
        <w:tab/>
        <w:t xml:space="preserve">"pubblico interessato": il pubblico che risente o che probabilmente risentirà del degrado del suolo o che ha un interesse nelle procedure decisionali relative all'attuazione degli obblighi previsti dalla presente direttiva, compresi i </w:t>
      </w:r>
      <w:r w:rsidRPr="00FF3D47">
        <w:rPr>
          <w:b/>
          <w:i/>
          <w:szCs w:val="24"/>
          <w:lang w:eastAsia="en-US"/>
        </w:rPr>
        <w:t xml:space="preserve">cittadini, i </w:t>
      </w:r>
      <w:r w:rsidRPr="00FF3D47">
        <w:rPr>
          <w:szCs w:val="24"/>
          <w:lang w:eastAsia="en-US"/>
        </w:rPr>
        <w:t>proprietari</w:t>
      </w:r>
      <w:r w:rsidRPr="00FF3D47">
        <w:rPr>
          <w:b/>
          <w:i/>
          <w:szCs w:val="24"/>
          <w:lang w:eastAsia="en-US"/>
        </w:rPr>
        <w:t>, i gestori</w:t>
      </w:r>
      <w:r w:rsidRPr="00FF3D47">
        <w:rPr>
          <w:szCs w:val="24"/>
          <w:lang w:eastAsia="en-US"/>
        </w:rPr>
        <w:t xml:space="preserve"> e gli utilizzatori dei terreni, nonché le organizzazioni non governative che promuovono la protezione della salute umana o </w:t>
      </w:r>
      <w:r w:rsidRPr="00FF3D47">
        <w:rPr>
          <w:b/>
          <w:i/>
          <w:szCs w:val="24"/>
          <w:lang w:eastAsia="en-US"/>
        </w:rPr>
        <w:t xml:space="preserve">animale o </w:t>
      </w:r>
      <w:r w:rsidRPr="00FF3D47">
        <w:rPr>
          <w:szCs w:val="24"/>
          <w:lang w:eastAsia="en-US"/>
        </w:rPr>
        <w:t>dell'ambiente e che soddisfano i requisiti previsti dal diritto nazionale;</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56]</w:t>
      </w:r>
    </w:p>
    <w:p w14:paraId="2B1110B2" w14:textId="39C35376" w:rsidR="00FF3D47" w:rsidRPr="00FF3D47" w:rsidRDefault="000C1731" w:rsidP="00FF3D47">
      <w:pPr>
        <w:spacing w:before="120" w:after="120" w:line="360" w:lineRule="auto"/>
        <w:ind w:left="850" w:hanging="850"/>
        <w:rPr>
          <w:szCs w:val="24"/>
          <w:lang w:eastAsia="en-US"/>
        </w:rPr>
      </w:pPr>
      <w:r>
        <w:rPr>
          <w:b/>
          <w:i/>
          <w:szCs w:val="24"/>
          <w:lang w:eastAsia="en-US"/>
        </w:rPr>
        <w:t>19 bis</w:t>
      </w:r>
      <w:r w:rsidR="00FF3D47" w:rsidRPr="00FF3D47">
        <w:rPr>
          <w:b/>
          <w:i/>
          <w:szCs w:val="24"/>
          <w:lang w:eastAsia="en-US"/>
        </w:rPr>
        <w:t>)</w:t>
      </w:r>
      <w:r w:rsidR="00FF3D47" w:rsidRPr="00FF3D47">
        <w:rPr>
          <w:szCs w:val="24"/>
          <w:lang w:eastAsia="en-US"/>
        </w:rPr>
        <w:tab/>
      </w:r>
      <w:r w:rsidR="00FF3D47" w:rsidRPr="00FF3D47">
        <w:rPr>
          <w:b/>
          <w:i/>
          <w:szCs w:val="24"/>
          <w:lang w:eastAsia="en-US"/>
        </w:rPr>
        <w:t>"pubblico": una o più persone fisiche o giuridiche nonché, ai sensi del diritto o della prassi nazionale, le associazioni, le organizzazioni o i gruppi costituiti da tali persone; [</w:t>
      </w:r>
      <w:proofErr w:type="spellStart"/>
      <w:r w:rsidR="00FF3D47" w:rsidRPr="00FF3D47">
        <w:rPr>
          <w:b/>
          <w:i/>
          <w:szCs w:val="24"/>
          <w:lang w:eastAsia="en-US"/>
        </w:rPr>
        <w:t>Em</w:t>
      </w:r>
      <w:proofErr w:type="spellEnd"/>
      <w:r w:rsidR="00FF3D47" w:rsidRPr="00FF3D47">
        <w:rPr>
          <w:b/>
          <w:i/>
          <w:szCs w:val="24"/>
          <w:lang w:eastAsia="en-US"/>
        </w:rPr>
        <w:t>. 57]</w:t>
      </w:r>
    </w:p>
    <w:p w14:paraId="48BA4904" w14:textId="78DBE6E1" w:rsidR="00FF3D47" w:rsidRPr="00FF3D47" w:rsidRDefault="00FF3D47" w:rsidP="00FF3D47">
      <w:pPr>
        <w:spacing w:before="120" w:after="120" w:line="360" w:lineRule="auto"/>
        <w:ind w:left="850" w:hanging="850"/>
        <w:rPr>
          <w:szCs w:val="24"/>
          <w:lang w:eastAsia="en-US"/>
        </w:rPr>
      </w:pPr>
      <w:r w:rsidRPr="00FF3D47">
        <w:rPr>
          <w:szCs w:val="24"/>
          <w:lang w:eastAsia="en-US"/>
        </w:rPr>
        <w:t>20)</w:t>
      </w:r>
      <w:r w:rsidRPr="00FF3D47">
        <w:rPr>
          <w:szCs w:val="24"/>
          <w:lang w:eastAsia="en-US"/>
        </w:rPr>
        <w:tab/>
        <w:t xml:space="preserve">"contaminazione del suolo": presenza nel suolo di </w:t>
      </w:r>
      <w:r w:rsidRPr="00FF3D47">
        <w:rPr>
          <w:strike/>
          <w:szCs w:val="24"/>
          <w:lang w:eastAsia="en-US"/>
        </w:rPr>
        <w:t xml:space="preserve">un agente chimico o di </w:t>
      </w:r>
      <w:r w:rsidRPr="00FF3D47">
        <w:rPr>
          <w:szCs w:val="24"/>
          <w:lang w:eastAsia="en-US"/>
        </w:rPr>
        <w:t>una sostanza</w:t>
      </w:r>
      <w:r w:rsidRPr="00FF3D47">
        <w:rPr>
          <w:b/>
          <w:i/>
          <w:szCs w:val="24"/>
          <w:lang w:eastAsia="en-US"/>
        </w:rPr>
        <w:t xml:space="preserve"> o di un materiale</w:t>
      </w:r>
      <w:r w:rsidRPr="00FF3D47">
        <w:rPr>
          <w:szCs w:val="24"/>
          <w:lang w:eastAsia="en-US"/>
        </w:rPr>
        <w:t xml:space="preserve"> in concentrazione tale da poter </w:t>
      </w:r>
      <w:r w:rsidRPr="00FF3D47">
        <w:rPr>
          <w:strike/>
          <w:szCs w:val="24"/>
          <w:lang w:eastAsia="en-US"/>
        </w:rPr>
        <w:t xml:space="preserve">essere </w:t>
      </w:r>
      <w:proofErr w:type="spellStart"/>
      <w:r w:rsidRPr="00FF3D47">
        <w:rPr>
          <w:strike/>
          <w:szCs w:val="24"/>
          <w:lang w:eastAsia="en-US"/>
        </w:rPr>
        <w:t>dannosa</w:t>
      </w:r>
      <w:r w:rsidRPr="00FF3D47">
        <w:rPr>
          <w:b/>
          <w:i/>
          <w:szCs w:val="24"/>
          <w:lang w:eastAsia="en-US"/>
        </w:rPr>
        <w:t>comportare</w:t>
      </w:r>
      <w:proofErr w:type="spellEnd"/>
      <w:r w:rsidRPr="00FF3D47">
        <w:rPr>
          <w:b/>
          <w:i/>
          <w:szCs w:val="24"/>
          <w:lang w:eastAsia="en-US"/>
        </w:rPr>
        <w:t xml:space="preserve"> direttamente o indirettamente effetti dannosi</w:t>
      </w:r>
      <w:r w:rsidRPr="00FF3D47">
        <w:rPr>
          <w:szCs w:val="24"/>
          <w:lang w:eastAsia="en-US"/>
        </w:rPr>
        <w:t xml:space="preserve"> per la salute umana o </w:t>
      </w:r>
      <w:r w:rsidRPr="00FF3D47">
        <w:rPr>
          <w:b/>
          <w:i/>
          <w:szCs w:val="24"/>
          <w:lang w:eastAsia="en-US"/>
        </w:rPr>
        <w:t xml:space="preserve">animale o </w:t>
      </w:r>
      <w:r w:rsidRPr="00FF3D47">
        <w:rPr>
          <w:szCs w:val="24"/>
          <w:lang w:eastAsia="en-US"/>
        </w:rPr>
        <w:t>per l'ambiente;</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58]</w:t>
      </w:r>
    </w:p>
    <w:p w14:paraId="2D8FFBD1" w14:textId="41F41E6F" w:rsidR="00FF3D47" w:rsidRPr="00FF3D47" w:rsidRDefault="00FF3D47" w:rsidP="00FF3D47">
      <w:pPr>
        <w:spacing w:before="120" w:after="120" w:line="360" w:lineRule="auto"/>
        <w:ind w:left="850" w:hanging="850"/>
        <w:rPr>
          <w:szCs w:val="24"/>
          <w:lang w:eastAsia="en-US"/>
        </w:rPr>
      </w:pPr>
      <w:r w:rsidRPr="00FF3D47">
        <w:rPr>
          <w:szCs w:val="24"/>
          <w:lang w:eastAsia="en-US"/>
        </w:rPr>
        <w:t>21)</w:t>
      </w:r>
      <w:r w:rsidRPr="00FF3D47">
        <w:rPr>
          <w:szCs w:val="24"/>
          <w:lang w:eastAsia="en-US"/>
        </w:rPr>
        <w:tab/>
        <w:t>"contaminante": sostanza che può provocare la contaminazione del suolo;</w:t>
      </w:r>
    </w:p>
    <w:p w14:paraId="07BC40D8" w14:textId="4D405833" w:rsidR="00FF3D47" w:rsidRPr="00FF3D47" w:rsidRDefault="00FF3D47" w:rsidP="00FF3D47">
      <w:pPr>
        <w:spacing w:before="120" w:after="120" w:line="360" w:lineRule="auto"/>
        <w:ind w:left="850" w:hanging="850"/>
        <w:rPr>
          <w:szCs w:val="24"/>
          <w:lang w:eastAsia="en-US"/>
        </w:rPr>
      </w:pPr>
      <w:r w:rsidRPr="00FF3D47">
        <w:rPr>
          <w:szCs w:val="24"/>
          <w:lang w:eastAsia="en-US"/>
        </w:rPr>
        <w:t>22)</w:t>
      </w:r>
      <w:r w:rsidRPr="00FF3D47">
        <w:rPr>
          <w:szCs w:val="24"/>
          <w:lang w:eastAsia="en-US"/>
        </w:rPr>
        <w:tab/>
        <w:t>"rigenerazione": attività intenzionale volta a invertire il degrado del suolo riportandolo a condizioni sane;</w:t>
      </w:r>
    </w:p>
    <w:p w14:paraId="0CE8E9E2" w14:textId="77777777" w:rsidR="000C1731" w:rsidRDefault="000C1731" w:rsidP="00FF3D47">
      <w:pPr>
        <w:spacing w:before="120" w:after="120" w:line="360" w:lineRule="auto"/>
        <w:ind w:left="850" w:hanging="850"/>
        <w:rPr>
          <w:szCs w:val="24"/>
          <w:lang w:eastAsia="en-US"/>
        </w:rPr>
      </w:pPr>
      <w:r>
        <w:rPr>
          <w:szCs w:val="24"/>
          <w:lang w:eastAsia="en-US"/>
        </w:rPr>
        <w:br w:type="page"/>
      </w:r>
    </w:p>
    <w:p w14:paraId="5C104F9F" w14:textId="6F78EB54"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23)</w:t>
      </w:r>
      <w:r w:rsidRPr="00FF3D47">
        <w:rPr>
          <w:szCs w:val="24"/>
          <w:lang w:eastAsia="en-US"/>
        </w:rPr>
        <w:tab/>
        <w:t>"rischio": possibilità di effetti nocivi per la salute umana</w:t>
      </w:r>
      <w:r w:rsidRPr="00FF3D47">
        <w:rPr>
          <w:b/>
          <w:i/>
          <w:szCs w:val="24"/>
          <w:lang w:eastAsia="en-US"/>
        </w:rPr>
        <w:t xml:space="preserve"> o animale</w:t>
      </w:r>
      <w:r w:rsidRPr="00FF3D47">
        <w:rPr>
          <w:szCs w:val="24"/>
          <w:lang w:eastAsia="en-US"/>
        </w:rPr>
        <w:t xml:space="preserve"> o per l'ambiente derivanti dall'esposizione alla contaminazione del suolo;</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59]</w:t>
      </w:r>
    </w:p>
    <w:p w14:paraId="78CB6698" w14:textId="4A9B9E64" w:rsidR="00FF3D47" w:rsidRPr="00FF3D47" w:rsidRDefault="00FF3D47" w:rsidP="00FF3D47">
      <w:pPr>
        <w:spacing w:before="120" w:after="120" w:line="360" w:lineRule="auto"/>
        <w:ind w:left="850" w:hanging="850"/>
        <w:rPr>
          <w:szCs w:val="24"/>
          <w:lang w:eastAsia="en-US"/>
        </w:rPr>
      </w:pPr>
      <w:r w:rsidRPr="00FF3D47">
        <w:rPr>
          <w:szCs w:val="24"/>
          <w:lang w:eastAsia="en-US"/>
        </w:rPr>
        <w:t>24)</w:t>
      </w:r>
      <w:r w:rsidRPr="00FF3D47">
        <w:rPr>
          <w:szCs w:val="24"/>
          <w:lang w:eastAsia="en-US"/>
        </w:rPr>
        <w:tab/>
        <w:t>"analisi del suolo": processo volto a valutare la presenza e la concentrazione di contaminanti nel suolo, che viene solitamente eseguito in diverse fasi;</w:t>
      </w:r>
    </w:p>
    <w:p w14:paraId="2E2BBB46" w14:textId="52FBD77D" w:rsidR="00FF3D47" w:rsidRPr="00FF3D47" w:rsidRDefault="00FF3D47" w:rsidP="00FF3D47">
      <w:pPr>
        <w:spacing w:before="120" w:after="120" w:line="360" w:lineRule="auto"/>
        <w:ind w:left="850" w:hanging="850"/>
        <w:rPr>
          <w:szCs w:val="24"/>
          <w:lang w:eastAsia="en-US"/>
        </w:rPr>
      </w:pPr>
      <w:r w:rsidRPr="00FF3D47">
        <w:rPr>
          <w:szCs w:val="24"/>
          <w:lang w:eastAsia="en-US"/>
        </w:rPr>
        <w:t>25)</w:t>
      </w:r>
      <w:r w:rsidRPr="00FF3D47">
        <w:rPr>
          <w:szCs w:val="24"/>
          <w:lang w:eastAsia="en-US"/>
        </w:rPr>
        <w:tab/>
        <w:t>"geograficamente esplicite": le informazioni referenziate e memorizzate in modo da consentirne la mappatura e la localizzazione con un elevato grado di dettaglio e precisione</w:t>
      </w:r>
      <w:r w:rsidR="000C1731">
        <w:rPr>
          <w:szCs w:val="24"/>
          <w:lang w:eastAsia="en-US"/>
        </w:rPr>
        <w:t>;</w:t>
      </w:r>
    </w:p>
    <w:p w14:paraId="5EBC2F30" w14:textId="2286B20D" w:rsidR="00FF3D47" w:rsidRPr="00FF3D47" w:rsidRDefault="00FF3D47" w:rsidP="00FF3D47">
      <w:pPr>
        <w:spacing w:before="120" w:after="120" w:line="360" w:lineRule="auto"/>
        <w:ind w:left="850" w:hanging="850"/>
        <w:rPr>
          <w:szCs w:val="24"/>
          <w:lang w:eastAsia="en-US"/>
        </w:rPr>
      </w:pPr>
      <w:r w:rsidRPr="00FF3D47">
        <w:rPr>
          <w:szCs w:val="24"/>
          <w:lang w:eastAsia="en-US"/>
        </w:rPr>
        <w:t>26)</w:t>
      </w:r>
      <w:r w:rsidRPr="00FF3D47">
        <w:rPr>
          <w:szCs w:val="24"/>
          <w:lang w:eastAsia="en-US"/>
        </w:rPr>
        <w:tab/>
        <w:t>"bonifica del suolo": azione di rigenerazione che riduce, isola o immobilizza le concentrazioni di contaminanti nel suolo</w:t>
      </w:r>
      <w:r w:rsidRPr="00FF3D47">
        <w:rPr>
          <w:b/>
          <w:i/>
          <w:szCs w:val="24"/>
          <w:lang w:eastAsia="en-US"/>
        </w:rPr>
        <w:t xml:space="preserve"> al di sotto di una soglia di tossicità che permetta di escludere pericoli significativi per gli organismi a contatto con tale suolo, nell'ottica di migliorarne lo status ecologico</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60]</w:t>
      </w:r>
    </w:p>
    <w:p w14:paraId="506831B7" w14:textId="77777777" w:rsidR="000C1731" w:rsidRDefault="000C1731" w:rsidP="00FF3D47">
      <w:pPr>
        <w:spacing w:before="120" w:after="120" w:line="360" w:lineRule="auto"/>
        <w:jc w:val="center"/>
        <w:rPr>
          <w:szCs w:val="24"/>
          <w:lang w:eastAsia="en-US"/>
        </w:rPr>
      </w:pPr>
      <w:r>
        <w:rPr>
          <w:szCs w:val="24"/>
          <w:lang w:eastAsia="en-US"/>
        </w:rPr>
        <w:br w:type="page"/>
      </w:r>
    </w:p>
    <w:p w14:paraId="746B3E91" w14:textId="780E1C7F"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4</w:t>
      </w:r>
      <w:r w:rsidRPr="00FF3D47">
        <w:rPr>
          <w:szCs w:val="24"/>
          <w:lang w:eastAsia="en-US"/>
        </w:rPr>
        <w:br/>
        <w:t>Distretti del suolo</w:t>
      </w:r>
    </w:p>
    <w:p w14:paraId="514C43BA"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Gli Stati membri</w:t>
      </w:r>
      <w:r w:rsidRPr="00FF3D47">
        <w:rPr>
          <w:b/>
          <w:i/>
          <w:szCs w:val="24"/>
          <w:lang w:eastAsia="en-US"/>
        </w:rPr>
        <w:t>, in consultazione con le autorità locali, regionali e transregionali,</w:t>
      </w:r>
      <w:r w:rsidRPr="00FF3D47">
        <w:rPr>
          <w:szCs w:val="24"/>
          <w:lang w:eastAsia="en-US"/>
        </w:rPr>
        <w:t xml:space="preserve"> istituiscono distretti del suolo</w:t>
      </w:r>
      <w:r w:rsidRPr="00FF3D47">
        <w:rPr>
          <w:b/>
          <w:i/>
          <w:szCs w:val="24"/>
          <w:lang w:eastAsia="en-US"/>
        </w:rPr>
        <w:t>, sulla base, se del caso, di unità amministrative esistenti</w:t>
      </w:r>
      <w:r w:rsidRPr="00FF3D47">
        <w:rPr>
          <w:szCs w:val="24"/>
          <w:lang w:eastAsia="en-US"/>
        </w:rPr>
        <w:t xml:space="preserve"> su tutto il loro territorio</w:t>
      </w:r>
      <w:r w:rsidRPr="00FF3D47">
        <w:rPr>
          <w:b/>
          <w:i/>
          <w:szCs w:val="24"/>
          <w:lang w:eastAsia="en-US"/>
        </w:rPr>
        <w:t xml:space="preserve"> e nei territori transfrontalieri insieme agli Stati membri limitrofi</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61]</w:t>
      </w:r>
    </w:p>
    <w:p w14:paraId="75CF0491" w14:textId="71FEAD3B" w:rsidR="00FF3D47" w:rsidRPr="00FF3D47" w:rsidRDefault="00FF3D47" w:rsidP="00FF3D47">
      <w:pPr>
        <w:spacing w:before="120" w:after="120" w:line="360" w:lineRule="auto"/>
        <w:ind w:left="850"/>
        <w:rPr>
          <w:szCs w:val="24"/>
          <w:lang w:eastAsia="en-US"/>
        </w:rPr>
      </w:pPr>
      <w:r w:rsidRPr="00FF3D47">
        <w:rPr>
          <w:strike/>
          <w:szCs w:val="24"/>
          <w:lang w:eastAsia="en-US"/>
        </w:rPr>
        <w:t>Il numero di distretti del suolo per ciascuno Stato membro corrisponde almeno al numero di unità territoriali di livello NUTS 1 istituite a norma del regolamento (CE) n. 1059/2003.</w:t>
      </w:r>
      <w:r w:rsidR="000C1731">
        <w:rPr>
          <w:b/>
          <w:szCs w:val="24"/>
          <w:lang w:eastAsia="en-US"/>
        </w:rPr>
        <w:t xml:space="preserve"> [</w:t>
      </w:r>
      <w:proofErr w:type="spellStart"/>
      <w:r w:rsidR="000C1731">
        <w:rPr>
          <w:b/>
          <w:szCs w:val="24"/>
          <w:lang w:eastAsia="en-US"/>
        </w:rPr>
        <w:t>E</w:t>
      </w:r>
      <w:r w:rsidR="000C1731" w:rsidRPr="005B3B1C">
        <w:rPr>
          <w:b/>
          <w:szCs w:val="24"/>
          <w:lang w:eastAsia="en-US"/>
        </w:rPr>
        <w:t>m</w:t>
      </w:r>
      <w:proofErr w:type="spellEnd"/>
      <w:r w:rsidR="000C1731" w:rsidRPr="005B3B1C">
        <w:rPr>
          <w:b/>
          <w:szCs w:val="24"/>
          <w:lang w:eastAsia="en-US"/>
        </w:rPr>
        <w:t>. 221/rev1]</w:t>
      </w:r>
    </w:p>
    <w:p w14:paraId="21EF3241"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 xml:space="preserve">Nel definire l'estensione geografica dei distretti del suolo, gli Stati membri </w:t>
      </w:r>
      <w:r w:rsidRPr="00FF3D47">
        <w:rPr>
          <w:strike/>
          <w:szCs w:val="24"/>
          <w:lang w:eastAsia="en-US"/>
        </w:rPr>
        <w:t xml:space="preserve">possono </w:t>
      </w:r>
      <w:proofErr w:type="spellStart"/>
      <w:r w:rsidRPr="00FF3D47">
        <w:rPr>
          <w:strike/>
          <w:szCs w:val="24"/>
          <w:lang w:eastAsia="en-US"/>
        </w:rPr>
        <w:t>tenere</w:t>
      </w:r>
      <w:r w:rsidRPr="00FF3D47">
        <w:rPr>
          <w:b/>
          <w:i/>
          <w:szCs w:val="24"/>
          <w:lang w:eastAsia="en-US"/>
        </w:rPr>
        <w:t>tengono</w:t>
      </w:r>
      <w:proofErr w:type="spellEnd"/>
      <w:r w:rsidRPr="00FF3D47">
        <w:rPr>
          <w:szCs w:val="24"/>
          <w:lang w:eastAsia="en-US"/>
        </w:rPr>
        <w:t xml:space="preserve"> conto</w:t>
      </w:r>
      <w:r w:rsidRPr="00FF3D47">
        <w:rPr>
          <w:b/>
          <w:i/>
          <w:szCs w:val="24"/>
          <w:lang w:eastAsia="en-US"/>
        </w:rPr>
        <w:t xml:space="preserve"> dell'uso del suolo, delle strutture governative e</w:t>
      </w:r>
      <w:r w:rsidRPr="00FF3D47">
        <w:rPr>
          <w:szCs w:val="24"/>
          <w:lang w:eastAsia="en-US"/>
        </w:rPr>
        <w:t xml:space="preserve"> delle unità amministrative esistenti e all'interno di ciascun distretto devono </w:t>
      </w:r>
      <w:proofErr w:type="spellStart"/>
      <w:r w:rsidRPr="00FF3D47">
        <w:rPr>
          <w:strike/>
          <w:szCs w:val="24"/>
          <w:lang w:eastAsia="en-US"/>
        </w:rPr>
        <w:t>perseguire</w:t>
      </w:r>
      <w:r w:rsidRPr="00FF3D47">
        <w:rPr>
          <w:b/>
          <w:i/>
          <w:szCs w:val="24"/>
          <w:lang w:eastAsia="en-US"/>
        </w:rPr>
        <w:t>privilegiare</w:t>
      </w:r>
      <w:proofErr w:type="spellEnd"/>
      <w:r w:rsidRPr="00FF3D47">
        <w:rPr>
          <w:szCs w:val="24"/>
          <w:lang w:eastAsia="en-US"/>
        </w:rPr>
        <w:t xml:space="preserve"> l'omogeneità per quanto riguarda i seguenti parametri:</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63]</w:t>
      </w:r>
    </w:p>
    <w:p w14:paraId="70679996" w14:textId="49039684"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tipo di suolo quale definito nella base di riferimento mondiale per le risorse pedologiche</w:t>
      </w:r>
      <w:r w:rsidRPr="00FF3D47">
        <w:rPr>
          <w:szCs w:val="24"/>
          <w:vertAlign w:val="superscript"/>
          <w:lang w:val="en-GB" w:eastAsia="en-US"/>
        </w:rPr>
        <w:footnoteReference w:id="48"/>
      </w:r>
      <w:r w:rsidRPr="00FF3D47">
        <w:rPr>
          <w:szCs w:val="24"/>
          <w:lang w:eastAsia="en-US"/>
        </w:rPr>
        <w:t>;</w:t>
      </w:r>
    </w:p>
    <w:p w14:paraId="517C159D" w14:textId="29B22C4F" w:rsidR="00FF3D47" w:rsidRPr="00FF3D47" w:rsidRDefault="00FF3D47" w:rsidP="00FF3D47">
      <w:pPr>
        <w:spacing w:before="120" w:after="120" w:line="360" w:lineRule="auto"/>
        <w:ind w:left="1416" w:hanging="566"/>
        <w:rPr>
          <w:szCs w:val="24"/>
          <w:lang w:eastAsia="en-US"/>
        </w:rPr>
      </w:pPr>
      <w:r w:rsidRPr="00FF3D47">
        <w:rPr>
          <w:szCs w:val="24"/>
          <w:lang w:eastAsia="en-US"/>
        </w:rPr>
        <w:t>b)</w:t>
      </w:r>
      <w:r w:rsidRPr="00FF3D47">
        <w:rPr>
          <w:szCs w:val="24"/>
          <w:lang w:eastAsia="en-US"/>
        </w:rPr>
        <w:tab/>
        <w:t>condizioni climatiche;</w:t>
      </w:r>
    </w:p>
    <w:p w14:paraId="20560745" w14:textId="338C7601" w:rsidR="00FF3D47" w:rsidRPr="00FF3D47" w:rsidRDefault="00FF3D47" w:rsidP="00FF3D47">
      <w:pPr>
        <w:spacing w:before="120" w:after="120" w:line="360" w:lineRule="auto"/>
        <w:ind w:left="1416" w:hanging="566"/>
        <w:rPr>
          <w:szCs w:val="24"/>
          <w:lang w:eastAsia="en-US"/>
        </w:rPr>
      </w:pPr>
      <w:r w:rsidRPr="00FF3D47">
        <w:rPr>
          <w:szCs w:val="24"/>
          <w:lang w:eastAsia="en-US"/>
        </w:rPr>
        <w:t>c)</w:t>
      </w:r>
      <w:r w:rsidRPr="00FF3D47">
        <w:rPr>
          <w:szCs w:val="24"/>
          <w:lang w:eastAsia="en-US"/>
        </w:rPr>
        <w:tab/>
        <w:t xml:space="preserve">zona ambientale quale descritta nella relazione n. 2281 elaborata da </w:t>
      </w:r>
      <w:proofErr w:type="spellStart"/>
      <w:r w:rsidRPr="00FF3D47">
        <w:rPr>
          <w:szCs w:val="24"/>
          <w:lang w:eastAsia="en-US"/>
        </w:rPr>
        <w:t>Alterra</w:t>
      </w:r>
      <w:proofErr w:type="spellEnd"/>
      <w:r w:rsidRPr="00FF3D47">
        <w:rPr>
          <w:szCs w:val="24"/>
          <w:vertAlign w:val="superscript"/>
          <w:lang w:val="en-GB" w:eastAsia="en-US"/>
        </w:rPr>
        <w:footnoteReference w:id="49"/>
      </w:r>
      <w:r w:rsidRPr="00FF3D47">
        <w:rPr>
          <w:szCs w:val="24"/>
          <w:lang w:eastAsia="en-US"/>
        </w:rPr>
        <w:t>;</w:t>
      </w:r>
    </w:p>
    <w:p w14:paraId="0B0D6CDE" w14:textId="77777777" w:rsidR="000C1731" w:rsidRDefault="000C1731" w:rsidP="00FF3D47">
      <w:pPr>
        <w:spacing w:before="120" w:after="120" w:line="360" w:lineRule="auto"/>
        <w:ind w:left="1416" w:hanging="566"/>
        <w:rPr>
          <w:szCs w:val="24"/>
          <w:lang w:eastAsia="en-US"/>
        </w:rPr>
      </w:pPr>
      <w:r>
        <w:rPr>
          <w:szCs w:val="24"/>
          <w:lang w:eastAsia="en-US"/>
        </w:rPr>
        <w:br w:type="page"/>
      </w:r>
    </w:p>
    <w:p w14:paraId="1F61B6BD" w14:textId="7910F354" w:rsidR="00FF3D47" w:rsidRPr="00FF3D47" w:rsidRDefault="00FF3D47" w:rsidP="00FF3D47">
      <w:pPr>
        <w:spacing w:before="120" w:after="120" w:line="360" w:lineRule="auto"/>
        <w:ind w:left="1416" w:hanging="566"/>
        <w:rPr>
          <w:szCs w:val="24"/>
          <w:lang w:eastAsia="en-US"/>
        </w:rPr>
      </w:pPr>
      <w:r w:rsidRPr="00FF3D47">
        <w:rPr>
          <w:szCs w:val="24"/>
          <w:lang w:eastAsia="en-US"/>
        </w:rPr>
        <w:lastRenderedPageBreak/>
        <w:t>d)</w:t>
      </w:r>
      <w:r w:rsidRPr="00FF3D47">
        <w:rPr>
          <w:szCs w:val="24"/>
          <w:lang w:eastAsia="en-US"/>
        </w:rPr>
        <w:tab/>
        <w:t xml:space="preserve">uso o copertura del suolo utilizzati nel programma di indagine statistica LUCAS (Land Use/Cover Area frame </w:t>
      </w:r>
      <w:proofErr w:type="spellStart"/>
      <w:r w:rsidRPr="00FF3D47">
        <w:rPr>
          <w:szCs w:val="24"/>
          <w:lang w:eastAsia="en-US"/>
        </w:rPr>
        <w:t>statistical</w:t>
      </w:r>
      <w:proofErr w:type="spellEnd"/>
      <w:r w:rsidRPr="00FF3D47">
        <w:rPr>
          <w:szCs w:val="24"/>
          <w:lang w:eastAsia="en-US"/>
        </w:rPr>
        <w:t xml:space="preserve"> </w:t>
      </w:r>
      <w:proofErr w:type="spellStart"/>
      <w:r w:rsidRPr="00FF3D47">
        <w:rPr>
          <w:szCs w:val="24"/>
          <w:lang w:eastAsia="en-US"/>
        </w:rPr>
        <w:t>Survey</w:t>
      </w:r>
      <w:proofErr w:type="spellEnd"/>
      <w:r w:rsidRPr="00FF3D47">
        <w:rPr>
          <w:szCs w:val="24"/>
          <w:lang w:eastAsia="en-US"/>
        </w:rPr>
        <w:t>)</w:t>
      </w:r>
      <w:r w:rsidR="000C1731">
        <w:rPr>
          <w:szCs w:val="24"/>
          <w:lang w:eastAsia="en-US"/>
        </w:rPr>
        <w:t>;</w:t>
      </w:r>
    </w:p>
    <w:p w14:paraId="02AC2DE1" w14:textId="12058042" w:rsidR="00FF3D47" w:rsidRPr="00FF3D47" w:rsidRDefault="00FF3D47" w:rsidP="00FF3D47">
      <w:pPr>
        <w:spacing w:before="120" w:after="120" w:line="360" w:lineRule="auto"/>
        <w:ind w:left="1416" w:hanging="566"/>
        <w:rPr>
          <w:szCs w:val="24"/>
          <w:lang w:eastAsia="en-US"/>
        </w:rPr>
      </w:pPr>
      <w:r w:rsidRPr="00FF3D47">
        <w:rPr>
          <w:b/>
          <w:i/>
          <w:szCs w:val="24"/>
          <w:lang w:eastAsia="en-US"/>
        </w:rPr>
        <w:t>d</w:t>
      </w:r>
      <w:r w:rsidR="000C1731">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distretti idrografici a norma della direttiva 2000/60/CE e corpi idrici utilizzati per l'estrazione di acqua destinata al consumo umano ai sensi della direttiva (UE) 2020/2184; [</w:t>
      </w:r>
      <w:proofErr w:type="spellStart"/>
      <w:r w:rsidRPr="00FF3D47">
        <w:rPr>
          <w:b/>
          <w:i/>
          <w:szCs w:val="24"/>
          <w:lang w:eastAsia="en-US"/>
        </w:rPr>
        <w:t>Em</w:t>
      </w:r>
      <w:proofErr w:type="spellEnd"/>
      <w:r w:rsidRPr="00FF3D47">
        <w:rPr>
          <w:b/>
          <w:i/>
          <w:szCs w:val="24"/>
          <w:lang w:eastAsia="en-US"/>
        </w:rPr>
        <w:t>. 64]</w:t>
      </w:r>
    </w:p>
    <w:p w14:paraId="2268D394" w14:textId="3A62F00A" w:rsidR="00FF3D47" w:rsidRPr="00FF3D47" w:rsidRDefault="00FF3D47" w:rsidP="00FF3D47">
      <w:pPr>
        <w:spacing w:before="120" w:after="120" w:line="360" w:lineRule="auto"/>
        <w:ind w:left="1416" w:hanging="566"/>
        <w:rPr>
          <w:szCs w:val="24"/>
          <w:lang w:eastAsia="en-US"/>
        </w:rPr>
      </w:pPr>
      <w:r w:rsidRPr="00FF3D47">
        <w:rPr>
          <w:b/>
          <w:i/>
          <w:szCs w:val="24"/>
          <w:lang w:eastAsia="en-US"/>
        </w:rPr>
        <w:t>d</w:t>
      </w:r>
      <w:r w:rsidR="000C1731">
        <w:rPr>
          <w:b/>
          <w:i/>
          <w:szCs w:val="24"/>
          <w:lang w:eastAsia="en-US"/>
        </w:rPr>
        <w:t xml:space="preserve"> ter</w:t>
      </w:r>
      <w:r w:rsidRPr="00FF3D47">
        <w:rPr>
          <w:b/>
          <w:i/>
          <w:szCs w:val="24"/>
          <w:lang w:eastAsia="en-US"/>
        </w:rPr>
        <w:t>)</w:t>
      </w:r>
      <w:r w:rsidRPr="00FF3D47">
        <w:rPr>
          <w:szCs w:val="24"/>
          <w:lang w:eastAsia="en-US"/>
        </w:rPr>
        <w:tab/>
      </w:r>
      <w:r w:rsidRPr="00FF3D47">
        <w:rPr>
          <w:b/>
          <w:i/>
          <w:szCs w:val="24"/>
          <w:lang w:eastAsia="en-US"/>
        </w:rPr>
        <w:t xml:space="preserve">esistenza di regioni </w:t>
      </w:r>
      <w:proofErr w:type="spellStart"/>
      <w:r w:rsidRPr="00FF3D47">
        <w:rPr>
          <w:b/>
          <w:i/>
          <w:szCs w:val="24"/>
          <w:lang w:eastAsia="en-US"/>
        </w:rPr>
        <w:t>arcipelagiche</w:t>
      </w:r>
      <w:proofErr w:type="spellEnd"/>
      <w:r w:rsidRPr="00FF3D47">
        <w:rPr>
          <w:b/>
          <w:i/>
          <w:szCs w:val="24"/>
          <w:lang w:eastAsia="en-US"/>
        </w:rPr>
        <w:t xml:space="preserve"> remote con isole sparse tra esse, in cui ciascuna isola corrisponde a un distretto del suolo; [</w:t>
      </w:r>
      <w:proofErr w:type="spellStart"/>
      <w:r w:rsidRPr="00FF3D47">
        <w:rPr>
          <w:b/>
          <w:i/>
          <w:szCs w:val="24"/>
          <w:lang w:eastAsia="en-US"/>
        </w:rPr>
        <w:t>Em</w:t>
      </w:r>
      <w:proofErr w:type="spellEnd"/>
      <w:r w:rsidRPr="00FF3D47">
        <w:rPr>
          <w:b/>
          <w:i/>
          <w:szCs w:val="24"/>
          <w:lang w:eastAsia="en-US"/>
        </w:rPr>
        <w:t>. 224/rev1]</w:t>
      </w:r>
    </w:p>
    <w:p w14:paraId="2A898925"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dc)</w:t>
      </w:r>
      <w:r w:rsidRPr="00FF3D47">
        <w:rPr>
          <w:szCs w:val="24"/>
          <w:lang w:eastAsia="en-US"/>
        </w:rPr>
        <w:tab/>
      </w:r>
      <w:r w:rsidRPr="00FF3D47">
        <w:rPr>
          <w:b/>
          <w:i/>
          <w:szCs w:val="24"/>
          <w:lang w:eastAsia="en-US"/>
        </w:rPr>
        <w:t xml:space="preserve">uso di </w:t>
      </w:r>
      <w:proofErr w:type="spellStart"/>
      <w:r w:rsidRPr="00FF3D47">
        <w:rPr>
          <w:b/>
          <w:i/>
          <w:szCs w:val="24"/>
          <w:lang w:eastAsia="en-US"/>
        </w:rPr>
        <w:t>Copernicus</w:t>
      </w:r>
      <w:proofErr w:type="spellEnd"/>
      <w:r w:rsidRPr="00FF3D47">
        <w:rPr>
          <w:b/>
          <w:i/>
          <w:szCs w:val="24"/>
          <w:lang w:eastAsia="en-US"/>
        </w:rPr>
        <w:t xml:space="preserve"> per delimitare i distretti del suolo. [</w:t>
      </w:r>
      <w:proofErr w:type="spellStart"/>
      <w:r w:rsidRPr="00FF3D47">
        <w:rPr>
          <w:b/>
          <w:i/>
          <w:szCs w:val="24"/>
          <w:lang w:eastAsia="en-US"/>
        </w:rPr>
        <w:t>Em</w:t>
      </w:r>
      <w:proofErr w:type="spellEnd"/>
      <w:r w:rsidRPr="00FF3D47">
        <w:rPr>
          <w:b/>
          <w:i/>
          <w:szCs w:val="24"/>
          <w:lang w:eastAsia="en-US"/>
        </w:rPr>
        <w:t>. 226/rev1]</w:t>
      </w:r>
    </w:p>
    <w:p w14:paraId="795F19A5" w14:textId="271D45FE" w:rsidR="00FF3D47" w:rsidRPr="00FF3D47" w:rsidRDefault="00FF3D47" w:rsidP="00FF3D47">
      <w:pPr>
        <w:spacing w:before="120" w:after="120" w:line="360" w:lineRule="auto"/>
        <w:ind w:left="850" w:hanging="850"/>
        <w:rPr>
          <w:szCs w:val="24"/>
          <w:lang w:eastAsia="en-US"/>
        </w:rPr>
      </w:pPr>
      <w:r w:rsidRPr="00FF3D47">
        <w:rPr>
          <w:b/>
          <w:i/>
          <w:szCs w:val="24"/>
          <w:lang w:eastAsia="en-US"/>
        </w:rPr>
        <w:t>2</w:t>
      </w:r>
      <w:r w:rsidR="000C1731">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Gli Stati membri provvedono, se del caso, a che i distretti del suolo degli Stati membri confinanti in cui esistono effetti transfrontalieri sul suolo, usi del suolo comparabili a livello transfrontaliero o valori analoghi per i parametri di cui al paragrafo 2, lettere da a) a d), cooperino tra loro per scambiare prassi eccellenti. Gli Stati membri garantiscono inoltre che i distretti del suolo adottino un approccio coerente a livello transfrontaliero. [</w:t>
      </w:r>
      <w:proofErr w:type="spellStart"/>
      <w:r w:rsidRPr="00FF3D47">
        <w:rPr>
          <w:b/>
          <w:i/>
          <w:szCs w:val="24"/>
          <w:lang w:eastAsia="en-US"/>
        </w:rPr>
        <w:t>Em</w:t>
      </w:r>
      <w:proofErr w:type="spellEnd"/>
      <w:r w:rsidRPr="00FF3D47">
        <w:rPr>
          <w:b/>
          <w:i/>
          <w:szCs w:val="24"/>
          <w:lang w:eastAsia="en-US"/>
        </w:rPr>
        <w:t>. 65]</w:t>
      </w:r>
    </w:p>
    <w:p w14:paraId="5067BA8A" w14:textId="1EF586E5" w:rsidR="00FF3D47" w:rsidRPr="00FF3D47" w:rsidRDefault="00FF3D47" w:rsidP="00FF3D47">
      <w:pPr>
        <w:spacing w:before="120" w:after="120" w:line="360" w:lineRule="auto"/>
        <w:ind w:left="850" w:hanging="850"/>
        <w:rPr>
          <w:szCs w:val="24"/>
          <w:lang w:eastAsia="en-US"/>
        </w:rPr>
      </w:pPr>
      <w:r w:rsidRPr="00FF3D47">
        <w:rPr>
          <w:b/>
          <w:i/>
          <w:szCs w:val="24"/>
          <w:lang w:eastAsia="en-US"/>
        </w:rPr>
        <w:t>2</w:t>
      </w:r>
      <w:r w:rsidR="000C1731">
        <w:rPr>
          <w:b/>
          <w:i/>
          <w:szCs w:val="24"/>
          <w:lang w:eastAsia="en-US"/>
        </w:rPr>
        <w:t xml:space="preserve"> ter</w:t>
      </w:r>
      <w:r w:rsidRPr="00FF3D47">
        <w:rPr>
          <w:b/>
          <w:i/>
          <w:szCs w:val="24"/>
          <w:lang w:eastAsia="en-US"/>
        </w:rPr>
        <w:t>.</w:t>
      </w:r>
      <w:r w:rsidRPr="00FF3D47">
        <w:rPr>
          <w:szCs w:val="24"/>
          <w:lang w:eastAsia="en-US"/>
        </w:rPr>
        <w:tab/>
      </w:r>
      <w:r w:rsidRPr="00FF3D47">
        <w:rPr>
          <w:b/>
          <w:i/>
          <w:szCs w:val="24"/>
          <w:lang w:eastAsia="en-US"/>
        </w:rPr>
        <w:t>La Commissione sostiene gli Stati membri nell'assicurare che i distretti del suolo cooperino a livello transfrontaliero e agevola l'armonizzazione dei sistemi di monitoraggio, delle funzioni di trasferimento, del modello di monitoraggio e della classificazione dello stato ecologico a norma dei descrittori del suolo elencati nell'allegato I. [</w:t>
      </w:r>
      <w:proofErr w:type="spellStart"/>
      <w:r w:rsidRPr="00FF3D47">
        <w:rPr>
          <w:b/>
          <w:i/>
          <w:szCs w:val="24"/>
          <w:lang w:eastAsia="en-US"/>
        </w:rPr>
        <w:t>Em</w:t>
      </w:r>
      <w:proofErr w:type="spellEnd"/>
      <w:r w:rsidRPr="00FF3D47">
        <w:rPr>
          <w:b/>
          <w:i/>
          <w:szCs w:val="24"/>
          <w:lang w:eastAsia="en-US"/>
        </w:rPr>
        <w:t>. 66]</w:t>
      </w:r>
    </w:p>
    <w:p w14:paraId="37B5405B" w14:textId="77777777" w:rsidR="000C1731" w:rsidRDefault="000C1731" w:rsidP="00FF3D47">
      <w:pPr>
        <w:spacing w:before="120" w:after="120" w:line="360" w:lineRule="auto"/>
        <w:jc w:val="center"/>
        <w:rPr>
          <w:szCs w:val="24"/>
          <w:lang w:eastAsia="en-US"/>
        </w:rPr>
      </w:pPr>
      <w:r>
        <w:rPr>
          <w:szCs w:val="24"/>
          <w:lang w:eastAsia="en-US"/>
        </w:rPr>
        <w:br w:type="page"/>
      </w:r>
    </w:p>
    <w:p w14:paraId="366C13AE" w14:textId="02815C0E"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5</w:t>
      </w:r>
      <w:r w:rsidRPr="00FF3D47">
        <w:rPr>
          <w:szCs w:val="24"/>
          <w:lang w:eastAsia="en-US"/>
        </w:rPr>
        <w:br/>
        <w:t>Autorità competenti</w:t>
      </w:r>
    </w:p>
    <w:p w14:paraId="6B3BC1FD" w14:textId="77777777" w:rsidR="00FF3D47" w:rsidRPr="00FF3D47" w:rsidRDefault="00FF3D47" w:rsidP="00FF3D47">
      <w:pPr>
        <w:spacing w:before="120" w:after="120" w:line="360" w:lineRule="auto"/>
        <w:rPr>
          <w:szCs w:val="24"/>
          <w:lang w:eastAsia="en-US"/>
        </w:rPr>
      </w:pPr>
      <w:r w:rsidRPr="00FF3D47">
        <w:rPr>
          <w:szCs w:val="24"/>
          <w:lang w:eastAsia="en-US"/>
        </w:rPr>
        <w:t>Gli Stati membri designano le autorità competenti</w:t>
      </w:r>
      <w:r w:rsidRPr="00FF3D47">
        <w:rPr>
          <w:b/>
          <w:i/>
          <w:szCs w:val="24"/>
          <w:lang w:eastAsia="en-US"/>
        </w:rPr>
        <w:t xml:space="preserve"> responsabili</w:t>
      </w:r>
      <w:r w:rsidRPr="00FF3D47">
        <w:rPr>
          <w:szCs w:val="24"/>
          <w:lang w:eastAsia="en-US"/>
        </w:rPr>
        <w:t xml:space="preserve">, al livello appropriato, </w:t>
      </w:r>
      <w:r w:rsidRPr="00FF3D47">
        <w:rPr>
          <w:strike/>
          <w:szCs w:val="24"/>
          <w:lang w:eastAsia="en-US"/>
        </w:rPr>
        <w:t>per l'</w:t>
      </w:r>
      <w:proofErr w:type="spellStart"/>
      <w:r w:rsidRPr="00FF3D47">
        <w:rPr>
          <w:strike/>
          <w:szCs w:val="24"/>
          <w:lang w:eastAsia="en-US"/>
        </w:rPr>
        <w:t>adempimento</w:t>
      </w:r>
      <w:r w:rsidRPr="00FF3D47">
        <w:rPr>
          <w:b/>
          <w:i/>
          <w:szCs w:val="24"/>
          <w:lang w:eastAsia="en-US"/>
        </w:rPr>
        <w:t>dello</w:t>
      </w:r>
      <w:proofErr w:type="spellEnd"/>
      <w:r w:rsidRPr="00FF3D47">
        <w:rPr>
          <w:b/>
          <w:i/>
          <w:szCs w:val="24"/>
          <w:lang w:eastAsia="en-US"/>
        </w:rPr>
        <w:t xml:space="preserve"> svolgimento</w:t>
      </w:r>
      <w:r w:rsidRPr="00FF3D47">
        <w:rPr>
          <w:szCs w:val="24"/>
          <w:lang w:eastAsia="en-US"/>
        </w:rPr>
        <w:t xml:space="preserve"> dei compiti previsti dalla presente direttiva</w:t>
      </w:r>
      <w:r w:rsidRPr="00FF3D47">
        <w:rPr>
          <w:b/>
          <w:i/>
          <w:szCs w:val="24"/>
          <w:lang w:eastAsia="en-US"/>
        </w:rPr>
        <w:t>, tenendo conto delle divisioni amministrative e delle responsabilità esistenti, anche nel caso di distretti del suolo transfrontalieri</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68]</w:t>
      </w:r>
    </w:p>
    <w:p w14:paraId="6E8E078F" w14:textId="77777777" w:rsidR="00FF3D47" w:rsidRPr="00FF3D47" w:rsidRDefault="00FF3D47" w:rsidP="00FF3D47">
      <w:pPr>
        <w:spacing w:before="120" w:after="120" w:line="360" w:lineRule="auto"/>
        <w:rPr>
          <w:szCs w:val="24"/>
          <w:lang w:eastAsia="en-US"/>
        </w:rPr>
      </w:pPr>
      <w:r w:rsidRPr="00FF3D47">
        <w:rPr>
          <w:szCs w:val="24"/>
          <w:lang w:eastAsia="en-US"/>
        </w:rPr>
        <w:t>Gli Stati membri designano un'autorità competente per ciascun distretto del suolo istituito a norma dell'articolo 4.</w:t>
      </w:r>
      <w:r w:rsidRPr="00FF3D47">
        <w:rPr>
          <w:b/>
          <w:i/>
          <w:szCs w:val="24"/>
          <w:lang w:eastAsia="en-US"/>
        </w:rPr>
        <w:t xml:space="preserve"> Gli Stati membri possono designare un'autorità competente per più distretti del suolo. [</w:t>
      </w:r>
      <w:proofErr w:type="spellStart"/>
      <w:r w:rsidRPr="00FF3D47">
        <w:rPr>
          <w:b/>
          <w:i/>
          <w:szCs w:val="24"/>
          <w:lang w:eastAsia="en-US"/>
        </w:rPr>
        <w:t>Em</w:t>
      </w:r>
      <w:proofErr w:type="spellEnd"/>
      <w:r w:rsidRPr="00FF3D47">
        <w:rPr>
          <w:b/>
          <w:i/>
          <w:szCs w:val="24"/>
          <w:lang w:eastAsia="en-US"/>
        </w:rPr>
        <w:t>. 69]</w:t>
      </w:r>
    </w:p>
    <w:p w14:paraId="59C4F481" w14:textId="77777777" w:rsidR="00FF3D47" w:rsidRPr="00FF3D47" w:rsidRDefault="00FF3D47" w:rsidP="00FF3D47">
      <w:pPr>
        <w:spacing w:before="120" w:after="120" w:line="360" w:lineRule="auto"/>
        <w:rPr>
          <w:szCs w:val="24"/>
          <w:lang w:eastAsia="en-US"/>
        </w:rPr>
      </w:pPr>
      <w:r w:rsidRPr="00FF3D47">
        <w:rPr>
          <w:b/>
          <w:i/>
          <w:szCs w:val="24"/>
          <w:lang w:eastAsia="en-US"/>
        </w:rPr>
        <w:t>Gli Stati membri comunicano alla Commissione l'elenco delle autorità competenti di cui ai paragrafi 1 e 2 del presente articolo in conformità all'articolo 18, paragrafo 3, lettera b). La Commissione tiene un elenco aggiornato delle autorità competenti sul proprio sito Internet. [</w:t>
      </w:r>
      <w:proofErr w:type="spellStart"/>
      <w:r w:rsidRPr="00FF3D47">
        <w:rPr>
          <w:b/>
          <w:i/>
          <w:szCs w:val="24"/>
          <w:lang w:eastAsia="en-US"/>
        </w:rPr>
        <w:t>Em</w:t>
      </w:r>
      <w:proofErr w:type="spellEnd"/>
      <w:r w:rsidRPr="00FF3D47">
        <w:rPr>
          <w:b/>
          <w:i/>
          <w:szCs w:val="24"/>
          <w:lang w:eastAsia="en-US"/>
        </w:rPr>
        <w:t>. 70]</w:t>
      </w:r>
    </w:p>
    <w:p w14:paraId="3A0AE3CC" w14:textId="77777777" w:rsidR="000C1731" w:rsidRDefault="000C1731" w:rsidP="00FF3D47">
      <w:pPr>
        <w:spacing w:before="120" w:after="120" w:line="360" w:lineRule="auto"/>
        <w:jc w:val="center"/>
        <w:rPr>
          <w:szCs w:val="24"/>
          <w:lang w:eastAsia="en-US"/>
        </w:rPr>
      </w:pPr>
      <w:r>
        <w:rPr>
          <w:szCs w:val="24"/>
          <w:lang w:eastAsia="en-US"/>
        </w:rPr>
        <w:br w:type="page"/>
      </w:r>
    </w:p>
    <w:p w14:paraId="73E4E6EE" w14:textId="2DEB6192" w:rsidR="00FF3D47" w:rsidRPr="00FF3D47" w:rsidRDefault="00FF3D47" w:rsidP="00FF3D47">
      <w:pPr>
        <w:spacing w:before="120" w:after="120" w:line="360" w:lineRule="auto"/>
        <w:jc w:val="center"/>
        <w:rPr>
          <w:szCs w:val="24"/>
          <w:lang w:eastAsia="en-US"/>
        </w:rPr>
      </w:pPr>
      <w:r w:rsidRPr="00FF3D47">
        <w:rPr>
          <w:szCs w:val="24"/>
          <w:lang w:eastAsia="en-US"/>
        </w:rPr>
        <w:lastRenderedPageBreak/>
        <w:t>Capo II</w:t>
      </w:r>
      <w:r w:rsidRPr="00FF3D47">
        <w:rPr>
          <w:szCs w:val="24"/>
          <w:lang w:eastAsia="en-US"/>
        </w:rPr>
        <w:br/>
        <w:t>Monitoraggio e valutazione della salute del suolo</w:t>
      </w:r>
    </w:p>
    <w:p w14:paraId="2F7C3225" w14:textId="77777777" w:rsidR="00FF3D47" w:rsidRPr="00FF3D47" w:rsidRDefault="00FF3D47" w:rsidP="00FF3D47">
      <w:pPr>
        <w:spacing w:before="120" w:after="120" w:line="360" w:lineRule="auto"/>
        <w:jc w:val="center"/>
        <w:rPr>
          <w:szCs w:val="24"/>
          <w:lang w:eastAsia="en-US"/>
        </w:rPr>
      </w:pPr>
      <w:r w:rsidRPr="00FF3D47">
        <w:rPr>
          <w:szCs w:val="24"/>
          <w:lang w:eastAsia="en-US"/>
        </w:rPr>
        <w:t>Articolo 6</w:t>
      </w:r>
      <w:r w:rsidRPr="00FF3D47">
        <w:rPr>
          <w:szCs w:val="24"/>
          <w:lang w:eastAsia="en-US"/>
        </w:rPr>
        <w:br/>
        <w:t>Quadro di monitoraggio della salute del suolo e del consumo di suolo</w:t>
      </w:r>
    </w:p>
    <w:p w14:paraId="4A9C8EAE"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Gli Stati membri istituiscono un quadro di monitoraggio basato sui distretti del suolo istituiti a norma dell'articolo 4, paragrafo 1, per garantire che la salute del suolo sia monitorata in modo regolare e accurato conformemente al presente articolo e agli allegati I e II</w:t>
      </w:r>
      <w:r w:rsidRPr="00FF3D47">
        <w:rPr>
          <w:b/>
          <w:i/>
          <w:szCs w:val="24"/>
          <w:lang w:eastAsia="en-US"/>
        </w:rPr>
        <w:t xml:space="preserve"> e che tale monitoraggio sia complementare all'approccio alla valutazione stabilito dalla direttiva 2000/60/CE</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71]</w:t>
      </w:r>
    </w:p>
    <w:p w14:paraId="731A8FDC"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Gli Stati membri monitorano la salute del suolo e il consumo di suolo in ciascun distretto del suolo.</w:t>
      </w:r>
      <w:r w:rsidRPr="00FF3D47">
        <w:rPr>
          <w:b/>
          <w:i/>
          <w:szCs w:val="24"/>
          <w:lang w:eastAsia="en-US"/>
        </w:rPr>
        <w:t xml:space="preserve"> Gli Stati membri si avvalgono delle competenze degli istituti nazionali di ricerca, dei sistemi nazionali di monitoraggio esistenti e dei dati disponibili. Le attività di monitoraggio svolte dagli Stati membri non comportano un onere finanziario per i gestori dei terreni. [</w:t>
      </w:r>
      <w:proofErr w:type="spellStart"/>
      <w:r w:rsidRPr="00FF3D47">
        <w:rPr>
          <w:b/>
          <w:i/>
          <w:szCs w:val="24"/>
          <w:lang w:eastAsia="en-US"/>
        </w:rPr>
        <w:t>Em</w:t>
      </w:r>
      <w:proofErr w:type="spellEnd"/>
      <w:r w:rsidRPr="00FF3D47">
        <w:rPr>
          <w:b/>
          <w:i/>
          <w:szCs w:val="24"/>
          <w:lang w:eastAsia="en-US"/>
        </w:rPr>
        <w:t>. 72]</w:t>
      </w:r>
    </w:p>
    <w:p w14:paraId="52B25FE6" w14:textId="77777777" w:rsidR="009A0142" w:rsidRDefault="009A0142" w:rsidP="00FF3D47">
      <w:pPr>
        <w:spacing w:before="120" w:after="120" w:line="360" w:lineRule="auto"/>
        <w:ind w:left="850" w:hanging="850"/>
        <w:rPr>
          <w:szCs w:val="24"/>
          <w:lang w:eastAsia="en-US"/>
        </w:rPr>
      </w:pPr>
      <w:r>
        <w:rPr>
          <w:szCs w:val="24"/>
          <w:lang w:eastAsia="en-US"/>
        </w:rPr>
        <w:br w:type="page"/>
      </w:r>
    </w:p>
    <w:p w14:paraId="5D0DE547" w14:textId="7A7AC3B1"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3.</w:t>
      </w:r>
      <w:r w:rsidRPr="00FF3D47">
        <w:rPr>
          <w:szCs w:val="24"/>
          <w:lang w:eastAsia="en-US"/>
        </w:rPr>
        <w:tab/>
        <w:t>Il quadro di monitoraggio si fonda sui seguenti elementi:</w:t>
      </w:r>
    </w:p>
    <w:p w14:paraId="7921C675" w14:textId="03F75089"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i descrittori del suolo e i criteri di salute del suolo di cui all'articolo 7;</w:t>
      </w:r>
    </w:p>
    <w:p w14:paraId="1FC76566" w14:textId="41D94780" w:rsidR="00FF3D47" w:rsidRPr="00FF3D47" w:rsidRDefault="00FF3D47" w:rsidP="00FF3D47">
      <w:pPr>
        <w:spacing w:before="120" w:after="120" w:line="360" w:lineRule="auto"/>
        <w:ind w:left="1416" w:hanging="566"/>
        <w:rPr>
          <w:szCs w:val="24"/>
          <w:lang w:eastAsia="en-US"/>
        </w:rPr>
      </w:pPr>
      <w:r w:rsidRPr="00FF3D47">
        <w:rPr>
          <w:szCs w:val="24"/>
          <w:lang w:eastAsia="en-US"/>
        </w:rPr>
        <w:t>b)</w:t>
      </w:r>
      <w:r w:rsidRPr="00FF3D47">
        <w:rPr>
          <w:szCs w:val="24"/>
          <w:lang w:eastAsia="en-US"/>
        </w:rPr>
        <w:tab/>
        <w:t>i punti</w:t>
      </w:r>
      <w:r w:rsidRPr="00FF3D47">
        <w:rPr>
          <w:b/>
          <w:i/>
          <w:szCs w:val="24"/>
          <w:lang w:eastAsia="en-US"/>
        </w:rPr>
        <w:t xml:space="preserve"> di campionamento e la profondità</w:t>
      </w:r>
      <w:r w:rsidRPr="00FF3D47">
        <w:rPr>
          <w:szCs w:val="24"/>
          <w:lang w:eastAsia="en-US"/>
        </w:rPr>
        <w:t xml:space="preserve"> di campionamento da determinare in conformità all'articolo 8, paragrafo 2;</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73]</w:t>
      </w:r>
    </w:p>
    <w:p w14:paraId="3F89CD4D" w14:textId="4798C806" w:rsidR="00FF3D47" w:rsidRPr="00FF3D47" w:rsidRDefault="00FF3D47" w:rsidP="00FF3D47">
      <w:pPr>
        <w:spacing w:before="120" w:after="120" w:line="360" w:lineRule="auto"/>
        <w:ind w:left="1416" w:hanging="566"/>
        <w:rPr>
          <w:szCs w:val="24"/>
          <w:lang w:eastAsia="en-US"/>
        </w:rPr>
      </w:pPr>
      <w:r w:rsidRPr="00FF3D47">
        <w:rPr>
          <w:szCs w:val="24"/>
          <w:lang w:eastAsia="en-US"/>
        </w:rPr>
        <w:t>c)</w:t>
      </w:r>
      <w:r w:rsidRPr="00FF3D47">
        <w:rPr>
          <w:szCs w:val="24"/>
          <w:lang w:eastAsia="en-US"/>
        </w:rPr>
        <w:tab/>
        <w:t>la misurazione del suolo effettuata dalla Commissione conformemente al paragrafo 4 del presente articolo, se del caso;</w:t>
      </w:r>
    </w:p>
    <w:p w14:paraId="2495D53F" w14:textId="4B3E75CE" w:rsidR="00FF3D47" w:rsidRPr="00FF3D47" w:rsidRDefault="00FF3D47" w:rsidP="00FF3D47">
      <w:pPr>
        <w:spacing w:before="120" w:after="120" w:line="360" w:lineRule="auto"/>
        <w:ind w:left="1416" w:hanging="566"/>
        <w:rPr>
          <w:szCs w:val="24"/>
          <w:lang w:eastAsia="en-US"/>
        </w:rPr>
      </w:pPr>
      <w:r w:rsidRPr="00FF3D47">
        <w:rPr>
          <w:szCs w:val="24"/>
          <w:lang w:eastAsia="en-US"/>
        </w:rPr>
        <w:t>d)</w:t>
      </w:r>
      <w:r w:rsidRPr="00FF3D47">
        <w:rPr>
          <w:szCs w:val="24"/>
          <w:lang w:eastAsia="en-US"/>
        </w:rPr>
        <w:tab/>
        <w:t>i dati e i prodotti del telerilevamento</w:t>
      </w:r>
      <w:r w:rsidRPr="00FF3D47">
        <w:rPr>
          <w:b/>
          <w:i/>
          <w:szCs w:val="24"/>
          <w:lang w:eastAsia="en-US"/>
        </w:rPr>
        <w:t xml:space="preserve"> </w:t>
      </w:r>
      <w:proofErr w:type="spellStart"/>
      <w:r w:rsidRPr="00FF3D47">
        <w:rPr>
          <w:b/>
          <w:i/>
          <w:szCs w:val="24"/>
          <w:lang w:eastAsia="en-US"/>
        </w:rPr>
        <w:t>scienficamente</w:t>
      </w:r>
      <w:proofErr w:type="spellEnd"/>
      <w:r w:rsidRPr="00FF3D47">
        <w:rPr>
          <w:b/>
          <w:i/>
          <w:szCs w:val="24"/>
          <w:lang w:eastAsia="en-US"/>
        </w:rPr>
        <w:t xml:space="preserve"> validi</w:t>
      </w:r>
      <w:r w:rsidRPr="00FF3D47">
        <w:rPr>
          <w:szCs w:val="24"/>
          <w:lang w:eastAsia="en-US"/>
        </w:rPr>
        <w:t xml:space="preserve"> di cui al paragrafo 5 del presente articolo, se del caso;</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74]</w:t>
      </w:r>
    </w:p>
    <w:p w14:paraId="2322964C" w14:textId="363A41B1" w:rsidR="00FF3D47" w:rsidRPr="00FF3D47" w:rsidRDefault="00FF3D47" w:rsidP="00FF3D47">
      <w:pPr>
        <w:spacing w:before="120" w:after="120" w:line="360" w:lineRule="auto"/>
        <w:ind w:left="1416" w:hanging="566"/>
        <w:rPr>
          <w:szCs w:val="24"/>
          <w:lang w:eastAsia="en-US"/>
        </w:rPr>
      </w:pPr>
      <w:r w:rsidRPr="00FF3D47">
        <w:rPr>
          <w:szCs w:val="24"/>
          <w:lang w:eastAsia="en-US"/>
        </w:rPr>
        <w:t>e)</w:t>
      </w:r>
      <w:r w:rsidRPr="00FF3D47">
        <w:rPr>
          <w:szCs w:val="24"/>
          <w:lang w:eastAsia="en-US"/>
        </w:rPr>
        <w:tab/>
        <w:t>gli indicatori del consumo di suolo e dell'impermeabilizzazione del suolo di cui all'articolo 7, paragrafo 1.</w:t>
      </w:r>
    </w:p>
    <w:p w14:paraId="00ECB53C" w14:textId="584C0E97" w:rsidR="00FF3D47" w:rsidRPr="00FF3D47" w:rsidRDefault="00FF3D47" w:rsidP="00FF3D47">
      <w:pPr>
        <w:spacing w:before="120" w:after="120" w:line="360" w:lineRule="auto"/>
        <w:ind w:left="850" w:hanging="850"/>
        <w:rPr>
          <w:szCs w:val="24"/>
          <w:lang w:eastAsia="en-US"/>
        </w:rPr>
      </w:pPr>
      <w:r w:rsidRPr="00FF3D47">
        <w:rPr>
          <w:strike/>
          <w:szCs w:val="24"/>
          <w:lang w:eastAsia="en-US"/>
        </w:rPr>
        <w:t>4.</w:t>
      </w:r>
      <w:r w:rsidRPr="00FF3D47">
        <w:rPr>
          <w:szCs w:val="24"/>
          <w:lang w:eastAsia="en-US"/>
        </w:rPr>
        <w:tab/>
      </w:r>
      <w:r w:rsidRPr="00FF3D47">
        <w:rPr>
          <w:strike/>
          <w:szCs w:val="24"/>
          <w:lang w:eastAsia="en-US"/>
        </w:rPr>
        <w:t>Previo accordo dello Stato membro, la Commissione effettua misurazioni periodiche del suolo su campioni prelevati in situ, sulla base dei descrittori e delle metodologie pertinenti di cui agli articoli 7 e 8, a sostegno del monitoraggio della salute del suolo condotto dallo Stato membro. Qualora acconsenta alla misurazione a norma del presente paragrafo, lo Stato membro garantisce che la Commissione possa effettuare tale campionamento in situ del suolo.</w:t>
      </w:r>
      <w:r w:rsidR="009A0142">
        <w:rPr>
          <w:b/>
          <w:szCs w:val="24"/>
          <w:lang w:eastAsia="en-US"/>
        </w:rPr>
        <w:t xml:space="preserve"> [</w:t>
      </w:r>
      <w:proofErr w:type="spellStart"/>
      <w:r w:rsidR="009A0142">
        <w:rPr>
          <w:b/>
          <w:szCs w:val="24"/>
          <w:lang w:eastAsia="en-US"/>
        </w:rPr>
        <w:t>E</w:t>
      </w:r>
      <w:r w:rsidR="009A0142" w:rsidRPr="005B3B1C">
        <w:rPr>
          <w:b/>
          <w:szCs w:val="24"/>
          <w:lang w:eastAsia="en-US"/>
        </w:rPr>
        <w:t>m</w:t>
      </w:r>
      <w:proofErr w:type="spellEnd"/>
      <w:r w:rsidR="009A0142" w:rsidRPr="005B3B1C">
        <w:rPr>
          <w:b/>
          <w:szCs w:val="24"/>
          <w:lang w:eastAsia="en-US"/>
        </w:rPr>
        <w:t>. 227/rev1]</w:t>
      </w:r>
    </w:p>
    <w:p w14:paraId="5D77ED4D" w14:textId="77777777" w:rsidR="009A0142" w:rsidRDefault="009A0142" w:rsidP="00FF3D47">
      <w:pPr>
        <w:spacing w:before="120" w:after="120" w:line="360" w:lineRule="auto"/>
        <w:ind w:left="850" w:hanging="850"/>
        <w:rPr>
          <w:b/>
          <w:i/>
          <w:szCs w:val="24"/>
          <w:lang w:eastAsia="en-US"/>
        </w:rPr>
      </w:pPr>
      <w:r>
        <w:rPr>
          <w:b/>
          <w:i/>
          <w:szCs w:val="24"/>
          <w:lang w:eastAsia="en-US"/>
        </w:rPr>
        <w:br w:type="page"/>
      </w:r>
    </w:p>
    <w:p w14:paraId="13F16730" w14:textId="48804EF1"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4</w:t>
      </w:r>
      <w:r w:rsidR="009A0142">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Gli Stati membri provvedono affinché la prima misurazione del suolo di cui al paragrafo 4 sia effettuate entro [OP: inserire la data corrispondente a tre anni dall'entrata in vigore della direttiva].</w:t>
      </w:r>
    </w:p>
    <w:p w14:paraId="2F104C3F" w14:textId="77777777" w:rsidR="00FF3D47" w:rsidRPr="00FF3D47" w:rsidRDefault="00FF3D47" w:rsidP="00FF3D47">
      <w:pPr>
        <w:spacing w:before="120" w:after="120" w:line="360" w:lineRule="auto"/>
        <w:ind w:left="850"/>
        <w:rPr>
          <w:szCs w:val="24"/>
          <w:lang w:eastAsia="en-US"/>
        </w:rPr>
      </w:pPr>
      <w:r w:rsidRPr="00FF3D47">
        <w:rPr>
          <w:b/>
          <w:i/>
          <w:szCs w:val="24"/>
          <w:lang w:eastAsia="en-US"/>
        </w:rPr>
        <w:t>La Commissione contribuisce al monitoraggio effettuato dagli Stati membri fornendo il campionamento e analizzando almeno il 20 % dell'entità dei campioni nazionali.</w:t>
      </w:r>
    </w:p>
    <w:p w14:paraId="1F49C785" w14:textId="77777777" w:rsidR="00FF3D47" w:rsidRPr="00FF3D47" w:rsidRDefault="00FF3D47" w:rsidP="00FF3D47">
      <w:pPr>
        <w:spacing w:before="120" w:after="120" w:line="360" w:lineRule="auto"/>
        <w:ind w:left="850"/>
        <w:rPr>
          <w:szCs w:val="24"/>
          <w:lang w:eastAsia="en-US"/>
        </w:rPr>
      </w:pPr>
      <w:r w:rsidRPr="00FF3D47">
        <w:rPr>
          <w:b/>
          <w:i/>
          <w:szCs w:val="24"/>
          <w:lang w:eastAsia="en-US"/>
        </w:rPr>
        <w:t>Su richiesta di uno Stato membro, la Commissione presta un'assistenza supplementare che può arrivare fino al 50 % del campionamento durante il primo ciclo di monitoraggio nazionale. [Em.76]</w:t>
      </w:r>
    </w:p>
    <w:p w14:paraId="6C78051B"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5.</w:t>
      </w:r>
      <w:r w:rsidRPr="00FF3D47">
        <w:rPr>
          <w:szCs w:val="24"/>
          <w:lang w:eastAsia="en-US"/>
        </w:rPr>
        <w:tab/>
        <w:t xml:space="preserve">La Commissione e l'Agenzia europea dell'ambiente (AEA) sfruttano i dati e i prodotti spaziali esistenti forniti nell'ambito della componente </w:t>
      </w:r>
      <w:proofErr w:type="spellStart"/>
      <w:r w:rsidRPr="00FF3D47">
        <w:rPr>
          <w:szCs w:val="24"/>
          <w:lang w:eastAsia="en-US"/>
        </w:rPr>
        <w:t>Copernicus</w:t>
      </w:r>
      <w:proofErr w:type="spellEnd"/>
      <w:r w:rsidRPr="00FF3D47">
        <w:rPr>
          <w:szCs w:val="24"/>
          <w:lang w:eastAsia="en-US"/>
        </w:rPr>
        <w:t xml:space="preserve"> del programma spaziale dell'UE istituito dal regolamento (UE) 2021/696 per esplorare e sviluppare prodotti di telerilevamento del suolo, al fine di aiutare gli Stati membri a monitorare i descrittori del suolo.</w:t>
      </w:r>
    </w:p>
    <w:p w14:paraId="0851062B" w14:textId="77777777" w:rsidR="009A0142" w:rsidRDefault="009A0142" w:rsidP="00FF3D47">
      <w:pPr>
        <w:spacing w:before="120" w:after="120" w:line="360" w:lineRule="auto"/>
        <w:ind w:left="850" w:hanging="850"/>
        <w:rPr>
          <w:szCs w:val="24"/>
          <w:lang w:eastAsia="en-US"/>
        </w:rPr>
      </w:pPr>
      <w:r>
        <w:rPr>
          <w:szCs w:val="24"/>
          <w:lang w:eastAsia="en-US"/>
        </w:rPr>
        <w:br w:type="page"/>
      </w:r>
    </w:p>
    <w:p w14:paraId="5368BF73" w14:textId="1778974C"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6.</w:t>
      </w:r>
      <w:r w:rsidRPr="00FF3D47">
        <w:rPr>
          <w:szCs w:val="24"/>
          <w:lang w:eastAsia="en-US"/>
        </w:rPr>
        <w:tab/>
        <w:t xml:space="preserve">Sulla base dei dati esistenti ed entro due anni dall'entrata in vigore della presente direttiva, la Commissione e l'AEA istituiscono un portale digitale dei dati sulla salute del suolo che consente l'accesso in formato territoriale </w:t>
      </w:r>
      <w:proofErr w:type="spellStart"/>
      <w:r w:rsidRPr="00FF3D47">
        <w:rPr>
          <w:szCs w:val="24"/>
          <w:lang w:eastAsia="en-US"/>
        </w:rPr>
        <w:t>georeferenziato</w:t>
      </w:r>
      <w:proofErr w:type="spellEnd"/>
      <w:r w:rsidRPr="00FF3D47">
        <w:rPr>
          <w:b/>
          <w:i/>
          <w:szCs w:val="24"/>
          <w:lang w:eastAsia="en-US"/>
        </w:rPr>
        <w:t>, in linea con il regolamento (CE) n. 223/2009 del Parlamento europeo e del Consiglio</w:t>
      </w:r>
      <w:r w:rsidRPr="00FF3D47">
        <w:rPr>
          <w:szCs w:val="24"/>
          <w:vertAlign w:val="superscript"/>
          <w:lang w:val="en-GB" w:eastAsia="en-US"/>
        </w:rPr>
        <w:footnoteReference w:id="50"/>
      </w:r>
      <w:r w:rsidRPr="00FF3D47">
        <w:rPr>
          <w:b/>
          <w:i/>
          <w:szCs w:val="24"/>
          <w:lang w:eastAsia="en-US"/>
        </w:rPr>
        <w:t>,</w:t>
      </w:r>
      <w:r w:rsidRPr="00FF3D47">
        <w:rPr>
          <w:szCs w:val="24"/>
          <w:lang w:eastAsia="en-US"/>
        </w:rPr>
        <w:t xml:space="preserve"> almeno ai dati sulla salute del suolo disponibili risultanti:</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77]</w:t>
      </w:r>
    </w:p>
    <w:p w14:paraId="748590E4" w14:textId="27666502"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dalle misurazioni del suolo di cui all'articolo 8, paragrafo 2;</w:t>
      </w:r>
    </w:p>
    <w:p w14:paraId="43146D2B" w14:textId="1E3DB8D9" w:rsidR="00FF3D47" w:rsidRPr="00FF3D47" w:rsidRDefault="00FF3D47" w:rsidP="00FF3D47">
      <w:pPr>
        <w:spacing w:before="120" w:after="120" w:line="360" w:lineRule="auto"/>
        <w:ind w:left="1416" w:hanging="566"/>
        <w:rPr>
          <w:szCs w:val="24"/>
          <w:lang w:eastAsia="en-US"/>
        </w:rPr>
      </w:pPr>
      <w:r w:rsidRPr="00FF3D47">
        <w:rPr>
          <w:szCs w:val="24"/>
          <w:lang w:eastAsia="en-US"/>
        </w:rPr>
        <w:t>b)</w:t>
      </w:r>
      <w:r w:rsidRPr="00FF3D47">
        <w:rPr>
          <w:szCs w:val="24"/>
          <w:lang w:eastAsia="en-US"/>
        </w:rPr>
        <w:tab/>
        <w:t>dalle misurazioni del suolo di cui al paragrafo 4 del presente articolo;</w:t>
      </w:r>
    </w:p>
    <w:p w14:paraId="01ACEBA8" w14:textId="40E91C5F" w:rsidR="00FF3D47" w:rsidRPr="00FF3D47" w:rsidRDefault="00FF3D47" w:rsidP="00FF3D47">
      <w:pPr>
        <w:spacing w:before="120" w:after="120" w:line="360" w:lineRule="auto"/>
        <w:ind w:left="1416" w:hanging="566"/>
        <w:rPr>
          <w:szCs w:val="24"/>
          <w:lang w:eastAsia="en-US"/>
        </w:rPr>
      </w:pPr>
      <w:r w:rsidRPr="00FF3D47">
        <w:rPr>
          <w:szCs w:val="24"/>
          <w:lang w:eastAsia="en-US"/>
        </w:rPr>
        <w:t>c)</w:t>
      </w:r>
      <w:r w:rsidRPr="00FF3D47">
        <w:rPr>
          <w:szCs w:val="24"/>
          <w:lang w:eastAsia="en-US"/>
        </w:rPr>
        <w:tab/>
        <w:t>dai prodotti e dati del telerilevamento del suolo di cui al paragrafo 5 del presente articolo.</w:t>
      </w:r>
    </w:p>
    <w:p w14:paraId="61D9481F" w14:textId="4A1F05F3" w:rsidR="00FF3D47" w:rsidRPr="00FF3D47" w:rsidRDefault="00FF3D47" w:rsidP="00FF3D47">
      <w:pPr>
        <w:spacing w:before="120" w:after="120" w:line="360" w:lineRule="auto"/>
        <w:ind w:left="850" w:hanging="850"/>
        <w:rPr>
          <w:szCs w:val="24"/>
          <w:lang w:eastAsia="en-US"/>
        </w:rPr>
      </w:pPr>
      <w:r w:rsidRPr="00FF3D47">
        <w:rPr>
          <w:b/>
          <w:i/>
          <w:szCs w:val="24"/>
          <w:lang w:eastAsia="en-US"/>
        </w:rPr>
        <w:t>6</w:t>
      </w:r>
      <w:r w:rsidR="009A0142">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 xml:space="preserve">Il quadro di monitoraggio del suolo di cui ai paragrafi 3 e 6 si basa sui quadri di monitoraggio esistenti a livello </w:t>
      </w:r>
      <w:proofErr w:type="spellStart"/>
      <w:r w:rsidRPr="00FF3D47">
        <w:rPr>
          <w:b/>
          <w:i/>
          <w:szCs w:val="24"/>
          <w:lang w:eastAsia="en-US"/>
        </w:rPr>
        <w:t>unionale</w:t>
      </w:r>
      <w:proofErr w:type="spellEnd"/>
      <w:r w:rsidRPr="00FF3D47">
        <w:rPr>
          <w:b/>
          <w:i/>
          <w:szCs w:val="24"/>
          <w:lang w:eastAsia="en-US"/>
        </w:rPr>
        <w:t xml:space="preserve"> e nazionale, compresi i dati dell'Osservatorio del suolo LUCAS. [</w:t>
      </w:r>
      <w:proofErr w:type="spellStart"/>
      <w:r w:rsidRPr="00FF3D47">
        <w:rPr>
          <w:b/>
          <w:i/>
          <w:szCs w:val="24"/>
          <w:lang w:eastAsia="en-US"/>
        </w:rPr>
        <w:t>Em</w:t>
      </w:r>
      <w:proofErr w:type="spellEnd"/>
      <w:r w:rsidRPr="00FF3D47">
        <w:rPr>
          <w:b/>
          <w:i/>
          <w:szCs w:val="24"/>
          <w:lang w:eastAsia="en-US"/>
        </w:rPr>
        <w:t>. 78]</w:t>
      </w:r>
    </w:p>
    <w:p w14:paraId="67B0C107"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7.</w:t>
      </w:r>
      <w:r w:rsidRPr="00FF3D47">
        <w:rPr>
          <w:szCs w:val="24"/>
          <w:lang w:eastAsia="en-US"/>
        </w:rPr>
        <w:tab/>
        <w:t>Il portale digitale dei dati sulla salute del suolo di cui al paragrafo 6 può inoltre consentire l'accesso a dati relativi alla salute del suolo diversi da quelli ivi menzionati se condivisi o raccolti in conformità ai formati o ai metodi stabiliti dalla Commissione a norma del paragrafo 8.</w:t>
      </w:r>
    </w:p>
    <w:p w14:paraId="7BE50AED" w14:textId="77777777" w:rsidR="009A0142" w:rsidRDefault="009A0142" w:rsidP="00FF3D47">
      <w:pPr>
        <w:spacing w:before="120" w:after="120" w:line="360" w:lineRule="auto"/>
        <w:ind w:left="850" w:hanging="850"/>
        <w:rPr>
          <w:b/>
          <w:i/>
          <w:szCs w:val="24"/>
          <w:lang w:eastAsia="en-US"/>
        </w:rPr>
      </w:pPr>
      <w:r>
        <w:rPr>
          <w:b/>
          <w:i/>
          <w:szCs w:val="24"/>
          <w:lang w:eastAsia="en-US"/>
        </w:rPr>
        <w:br w:type="page"/>
      </w:r>
    </w:p>
    <w:p w14:paraId="02EA0C61" w14:textId="4AC498D4"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7</w:t>
      </w:r>
      <w:r w:rsidR="009A0142">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Il portale digitale dei dati sulla salute del suolo comprende il pacchetto di strumenti per la gestione sostenibile del suolo di cui all'articolo 10 bis. [</w:t>
      </w:r>
      <w:proofErr w:type="spellStart"/>
      <w:r w:rsidRPr="00FF3D47">
        <w:rPr>
          <w:b/>
          <w:i/>
          <w:szCs w:val="24"/>
          <w:lang w:eastAsia="en-US"/>
        </w:rPr>
        <w:t>Em</w:t>
      </w:r>
      <w:proofErr w:type="spellEnd"/>
      <w:r w:rsidRPr="00FF3D47">
        <w:rPr>
          <w:b/>
          <w:i/>
          <w:szCs w:val="24"/>
          <w:lang w:eastAsia="en-US"/>
        </w:rPr>
        <w:t>. 79]</w:t>
      </w:r>
    </w:p>
    <w:p w14:paraId="67E988C1"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8.</w:t>
      </w:r>
      <w:r w:rsidRPr="00FF3D47">
        <w:rPr>
          <w:szCs w:val="24"/>
          <w:lang w:eastAsia="en-US"/>
        </w:rPr>
        <w:tab/>
        <w:t>La Commissione adotta atti di esecuzione per stabilire i formati o i metodi per condividere o raccogliere i dati di cui al paragrafo 7 o per integrarli nel portale digitale dei dati sulla salute del suolo</w:t>
      </w:r>
      <w:r w:rsidRPr="00FF3D47">
        <w:rPr>
          <w:b/>
          <w:i/>
          <w:szCs w:val="24"/>
          <w:lang w:eastAsia="en-US"/>
        </w:rPr>
        <w:t>, garantendo l'osservanza del diritto dell'Unione sulla protezione dei dati personali</w:t>
      </w:r>
      <w:r w:rsidRPr="00FF3D47">
        <w:rPr>
          <w:szCs w:val="24"/>
          <w:lang w:eastAsia="en-US"/>
        </w:rPr>
        <w:t>. Gli atti di esecuzione sono adottati secondo la procedura di esame di cui all'articolo 21.</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80]</w:t>
      </w:r>
    </w:p>
    <w:p w14:paraId="053031B4" w14:textId="24948420" w:rsidR="00FF3D47" w:rsidRPr="00FF3D47" w:rsidRDefault="00FF3D47" w:rsidP="00FF3D47">
      <w:pPr>
        <w:spacing w:before="120" w:after="120" w:line="360" w:lineRule="auto"/>
        <w:ind w:left="850" w:hanging="850"/>
        <w:rPr>
          <w:szCs w:val="24"/>
          <w:lang w:eastAsia="en-US"/>
        </w:rPr>
      </w:pPr>
      <w:r w:rsidRPr="00FF3D47">
        <w:rPr>
          <w:b/>
          <w:i/>
          <w:szCs w:val="24"/>
          <w:lang w:eastAsia="en-US"/>
        </w:rPr>
        <w:t>8</w:t>
      </w:r>
      <w:r w:rsidR="009A0142">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La Commissione fornisce agli Stati membri lo sviluppo delle capacità, l'assistenza e i servizi di consulenza necessari e sostiene le loro iniziative di monitoraggio, l'armonizzazione multilaterale dei regolamenti, dei metodi e degli archivi, colmando in tal modo le lacune esistenti in termini di dati e le strozzature del flusso di lavoro grazie alla condivisione di competenze comuni. All'uopo la Commissione si basa sui meccanismi esistenti, tra cui l'iniziativa "</w:t>
      </w:r>
      <w:proofErr w:type="spellStart"/>
      <w:r w:rsidRPr="00FF3D47">
        <w:rPr>
          <w:b/>
          <w:i/>
          <w:szCs w:val="24"/>
          <w:lang w:eastAsia="en-US"/>
        </w:rPr>
        <w:t>Soil</w:t>
      </w:r>
      <w:proofErr w:type="spellEnd"/>
      <w:r w:rsidRPr="00FF3D47">
        <w:rPr>
          <w:b/>
          <w:i/>
          <w:szCs w:val="24"/>
          <w:lang w:eastAsia="en-US"/>
        </w:rPr>
        <w:t xml:space="preserve"> BON". [</w:t>
      </w:r>
      <w:proofErr w:type="spellStart"/>
      <w:r w:rsidRPr="00FF3D47">
        <w:rPr>
          <w:b/>
          <w:i/>
          <w:szCs w:val="24"/>
          <w:lang w:eastAsia="en-US"/>
        </w:rPr>
        <w:t>Em</w:t>
      </w:r>
      <w:proofErr w:type="spellEnd"/>
      <w:r w:rsidRPr="00FF3D47">
        <w:rPr>
          <w:b/>
          <w:i/>
          <w:szCs w:val="24"/>
          <w:lang w:eastAsia="en-US"/>
        </w:rPr>
        <w:t>. 81]</w:t>
      </w:r>
    </w:p>
    <w:p w14:paraId="41B245C5" w14:textId="77777777" w:rsidR="009A0142" w:rsidRDefault="009A0142" w:rsidP="00FF3D47">
      <w:pPr>
        <w:spacing w:before="120" w:after="120" w:line="360" w:lineRule="auto"/>
        <w:jc w:val="center"/>
        <w:rPr>
          <w:b/>
          <w:i/>
          <w:szCs w:val="24"/>
          <w:lang w:eastAsia="en-US"/>
        </w:rPr>
      </w:pPr>
      <w:r>
        <w:rPr>
          <w:b/>
          <w:i/>
          <w:szCs w:val="24"/>
          <w:lang w:eastAsia="en-US"/>
        </w:rPr>
        <w:br w:type="page"/>
      </w:r>
    </w:p>
    <w:p w14:paraId="24EF8BDA" w14:textId="411C8A9E" w:rsidR="00FF3D47" w:rsidRPr="00FF3D47" w:rsidRDefault="00FF3D47" w:rsidP="00FF3D47">
      <w:pPr>
        <w:spacing w:before="120" w:after="120" w:line="360" w:lineRule="auto"/>
        <w:jc w:val="center"/>
        <w:rPr>
          <w:szCs w:val="24"/>
          <w:lang w:eastAsia="en-US"/>
        </w:rPr>
      </w:pPr>
      <w:r w:rsidRPr="00FF3D47">
        <w:rPr>
          <w:b/>
          <w:i/>
          <w:szCs w:val="24"/>
          <w:lang w:eastAsia="en-US"/>
        </w:rPr>
        <w:lastRenderedPageBreak/>
        <w:t>Articolo 6</w:t>
      </w:r>
      <w:r w:rsidR="009A0142">
        <w:rPr>
          <w:b/>
          <w:i/>
          <w:szCs w:val="24"/>
          <w:lang w:eastAsia="en-US"/>
        </w:rPr>
        <w:t xml:space="preserve"> bis</w:t>
      </w:r>
      <w:r w:rsidRPr="00FF3D47">
        <w:rPr>
          <w:szCs w:val="24"/>
          <w:lang w:eastAsia="en-US"/>
        </w:rPr>
        <w:br/>
      </w:r>
      <w:r w:rsidRPr="00FF3D47">
        <w:rPr>
          <w:b/>
          <w:i/>
          <w:szCs w:val="24"/>
          <w:lang w:eastAsia="en-US"/>
        </w:rPr>
        <w:t>Uso e conservazione efficienti dei campioni di suolo</w:t>
      </w:r>
    </w:p>
    <w:p w14:paraId="14D4EC49" w14:textId="77777777" w:rsidR="00FF3D47" w:rsidRPr="00FF3D47" w:rsidRDefault="00FF3D47" w:rsidP="00FF3D47">
      <w:pPr>
        <w:spacing w:before="120" w:after="120" w:line="360" w:lineRule="auto"/>
        <w:ind w:left="850" w:hanging="850"/>
        <w:rPr>
          <w:szCs w:val="24"/>
          <w:lang w:eastAsia="en-US"/>
        </w:rPr>
      </w:pPr>
      <w:r w:rsidRPr="00FF3D47">
        <w:rPr>
          <w:b/>
          <w:i/>
          <w:szCs w:val="24"/>
          <w:lang w:eastAsia="en-US"/>
        </w:rPr>
        <w:t>1.</w:t>
      </w:r>
      <w:r w:rsidRPr="00FF3D47">
        <w:rPr>
          <w:szCs w:val="24"/>
          <w:lang w:eastAsia="en-US"/>
        </w:rPr>
        <w:tab/>
      </w:r>
      <w:r w:rsidRPr="00FF3D47">
        <w:rPr>
          <w:b/>
          <w:i/>
          <w:szCs w:val="24"/>
          <w:lang w:eastAsia="en-US"/>
        </w:rPr>
        <w:t xml:space="preserve">La Commissione, insieme agli Stati membri e all'Osservatorio europeo del suolo, predispone misure per garantire che gli archivi fisici dei suoli, gli estratti di DNA e l'archivio digitale dei dati grezzi, a livello sia </w:t>
      </w:r>
      <w:proofErr w:type="spellStart"/>
      <w:r w:rsidRPr="00FF3D47">
        <w:rPr>
          <w:b/>
          <w:i/>
          <w:szCs w:val="24"/>
          <w:lang w:eastAsia="en-US"/>
        </w:rPr>
        <w:t>unionale</w:t>
      </w:r>
      <w:proofErr w:type="spellEnd"/>
      <w:r w:rsidRPr="00FF3D47">
        <w:rPr>
          <w:b/>
          <w:i/>
          <w:szCs w:val="24"/>
          <w:lang w:eastAsia="en-US"/>
        </w:rPr>
        <w:t xml:space="preserve"> che nazionale, rimangano disponibili per ulteriori studi e innovazioni. La Commissione e gli Stati membri garantiscono che i campioni siano conservati in modo adeguato per il loro uso sostenibile a lungo termine.</w:t>
      </w:r>
    </w:p>
    <w:p w14:paraId="477967F0" w14:textId="77777777" w:rsidR="00FF3D47" w:rsidRPr="00FF3D47" w:rsidRDefault="00FF3D47" w:rsidP="00FF3D47">
      <w:pPr>
        <w:spacing w:before="120" w:after="120" w:line="360" w:lineRule="auto"/>
        <w:ind w:left="850" w:hanging="850"/>
        <w:rPr>
          <w:szCs w:val="24"/>
          <w:lang w:eastAsia="en-US"/>
        </w:rPr>
      </w:pPr>
      <w:r w:rsidRPr="00FF3D47">
        <w:rPr>
          <w:b/>
          <w:i/>
          <w:szCs w:val="24"/>
          <w:lang w:eastAsia="en-US"/>
        </w:rPr>
        <w:t>2.</w:t>
      </w:r>
      <w:r w:rsidRPr="00FF3D47">
        <w:rPr>
          <w:szCs w:val="24"/>
          <w:lang w:eastAsia="en-US"/>
        </w:rPr>
        <w:tab/>
      </w:r>
      <w:r w:rsidRPr="00FF3D47">
        <w:rPr>
          <w:b/>
          <w:i/>
          <w:szCs w:val="24"/>
          <w:lang w:eastAsia="en-US"/>
        </w:rPr>
        <w:t>Entro ... [OP: inserire la data corrispondente a 12 mesi dalla data di entrata in vigore della presente direttiva], la Commissione fornisce orientamenti con protocolli di riferimento per utilizzare i campioni di suolo nel modo più efficiente in termini di costi. [</w:t>
      </w:r>
      <w:proofErr w:type="spellStart"/>
      <w:r w:rsidRPr="00FF3D47">
        <w:rPr>
          <w:b/>
          <w:i/>
          <w:szCs w:val="24"/>
          <w:lang w:eastAsia="en-US"/>
        </w:rPr>
        <w:t>Em</w:t>
      </w:r>
      <w:proofErr w:type="spellEnd"/>
      <w:r w:rsidRPr="00FF3D47">
        <w:rPr>
          <w:b/>
          <w:i/>
          <w:szCs w:val="24"/>
          <w:lang w:eastAsia="en-US"/>
        </w:rPr>
        <w:t>. 82]</w:t>
      </w:r>
    </w:p>
    <w:p w14:paraId="62EE68FA" w14:textId="77777777" w:rsidR="009A0142" w:rsidRDefault="009A0142" w:rsidP="00FF3D47">
      <w:pPr>
        <w:spacing w:before="120" w:after="120" w:line="360" w:lineRule="auto"/>
        <w:jc w:val="center"/>
        <w:rPr>
          <w:szCs w:val="24"/>
          <w:lang w:eastAsia="en-US"/>
        </w:rPr>
      </w:pPr>
      <w:r>
        <w:rPr>
          <w:szCs w:val="24"/>
          <w:lang w:eastAsia="en-US"/>
        </w:rPr>
        <w:br w:type="page"/>
      </w:r>
    </w:p>
    <w:p w14:paraId="17953D9A" w14:textId="2FDE9476"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7</w:t>
      </w:r>
      <w:r w:rsidRPr="00FF3D47">
        <w:rPr>
          <w:szCs w:val="24"/>
          <w:lang w:eastAsia="en-US"/>
        </w:rPr>
        <w:br/>
        <w:t xml:space="preserve">Descrittori del suolo, criteri per determinare </w:t>
      </w:r>
      <w:r w:rsidRPr="00FF3D47">
        <w:rPr>
          <w:strike/>
          <w:szCs w:val="24"/>
          <w:lang w:eastAsia="en-US"/>
        </w:rPr>
        <w:t xml:space="preserve">la </w:t>
      </w:r>
      <w:proofErr w:type="spellStart"/>
      <w:r w:rsidRPr="00FF3D47">
        <w:rPr>
          <w:strike/>
          <w:szCs w:val="24"/>
          <w:lang w:eastAsia="en-US"/>
        </w:rPr>
        <w:t>sanità</w:t>
      </w:r>
      <w:r w:rsidRPr="00FF3D47">
        <w:rPr>
          <w:b/>
          <w:i/>
          <w:szCs w:val="24"/>
          <w:lang w:eastAsia="en-US"/>
        </w:rPr>
        <w:t>lo</w:t>
      </w:r>
      <w:proofErr w:type="spellEnd"/>
      <w:r w:rsidRPr="00FF3D47">
        <w:rPr>
          <w:b/>
          <w:i/>
          <w:szCs w:val="24"/>
          <w:lang w:eastAsia="en-US"/>
        </w:rPr>
        <w:t xml:space="preserve"> stato ecologico</w:t>
      </w:r>
      <w:r w:rsidRPr="00FF3D47">
        <w:rPr>
          <w:szCs w:val="24"/>
          <w:lang w:eastAsia="en-US"/>
        </w:rPr>
        <w:t xml:space="preserve"> del suolo e indicatori del consumo di suolo e dell'impermeabilizzazione del suolo</w:t>
      </w:r>
      <w:r w:rsidR="009A0142">
        <w:rPr>
          <w:szCs w:val="24"/>
          <w:lang w:eastAsia="en-US"/>
        </w:rPr>
        <w:t xml:space="preserve"> </w:t>
      </w:r>
      <w:r w:rsidR="009A0142">
        <w:rPr>
          <w:b/>
          <w:i/>
          <w:szCs w:val="24"/>
          <w:lang w:eastAsia="en-US"/>
        </w:rPr>
        <w:t>[</w:t>
      </w:r>
      <w:proofErr w:type="spellStart"/>
      <w:r w:rsidR="009A0142">
        <w:rPr>
          <w:b/>
          <w:i/>
          <w:szCs w:val="24"/>
          <w:lang w:eastAsia="en-US"/>
        </w:rPr>
        <w:t>Em</w:t>
      </w:r>
      <w:proofErr w:type="spellEnd"/>
      <w:r w:rsidR="009A0142">
        <w:rPr>
          <w:b/>
          <w:i/>
          <w:szCs w:val="24"/>
          <w:lang w:eastAsia="en-US"/>
        </w:rPr>
        <w:t xml:space="preserve">. </w:t>
      </w:r>
      <w:r w:rsidR="009A0142" w:rsidRPr="00FF3D47">
        <w:rPr>
          <w:b/>
          <w:i/>
          <w:szCs w:val="24"/>
          <w:lang w:eastAsia="en-US"/>
        </w:rPr>
        <w:t>8</w:t>
      </w:r>
      <w:r w:rsidR="009A0142">
        <w:rPr>
          <w:b/>
          <w:i/>
          <w:szCs w:val="24"/>
          <w:lang w:eastAsia="en-US"/>
        </w:rPr>
        <w:t>3]</w:t>
      </w:r>
    </w:p>
    <w:p w14:paraId="53690780"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r>
      <w:r w:rsidRPr="00FF3D47">
        <w:rPr>
          <w:strike/>
          <w:szCs w:val="24"/>
          <w:lang w:eastAsia="en-US"/>
        </w:rPr>
        <w:t xml:space="preserve">Nel </w:t>
      </w:r>
      <w:r w:rsidRPr="00FF3D47">
        <w:rPr>
          <w:szCs w:val="24"/>
          <w:lang w:eastAsia="en-US"/>
        </w:rPr>
        <w:t xml:space="preserve">monitorare e valutare </w:t>
      </w:r>
      <w:r w:rsidRPr="00FF3D47">
        <w:rPr>
          <w:strike/>
          <w:szCs w:val="24"/>
          <w:lang w:eastAsia="en-US"/>
        </w:rPr>
        <w:t xml:space="preserve">la salute </w:t>
      </w:r>
      <w:proofErr w:type="spellStart"/>
      <w:r w:rsidRPr="00FF3D47">
        <w:rPr>
          <w:strike/>
          <w:szCs w:val="24"/>
          <w:lang w:eastAsia="en-US"/>
        </w:rPr>
        <w:t>del</w:t>
      </w:r>
      <w:r w:rsidRPr="00FF3D47">
        <w:rPr>
          <w:b/>
          <w:i/>
          <w:szCs w:val="24"/>
          <w:lang w:eastAsia="en-US"/>
        </w:rPr>
        <w:t>il</w:t>
      </w:r>
      <w:proofErr w:type="spellEnd"/>
      <w:r w:rsidRPr="00FF3D47">
        <w:rPr>
          <w:szCs w:val="24"/>
          <w:lang w:eastAsia="en-US"/>
        </w:rPr>
        <w:t xml:space="preserve"> suolo, gli Stati membri </w:t>
      </w:r>
      <w:r w:rsidRPr="00FF3D47">
        <w:rPr>
          <w:strike/>
          <w:szCs w:val="24"/>
          <w:lang w:eastAsia="en-US"/>
        </w:rPr>
        <w:t xml:space="preserve">si </w:t>
      </w:r>
      <w:proofErr w:type="spellStart"/>
      <w:r w:rsidRPr="00FF3D47">
        <w:rPr>
          <w:strike/>
          <w:szCs w:val="24"/>
          <w:lang w:eastAsia="en-US"/>
        </w:rPr>
        <w:t>avvalgono</w:t>
      </w:r>
      <w:r w:rsidRPr="00FF3D47">
        <w:rPr>
          <w:b/>
          <w:i/>
          <w:szCs w:val="24"/>
          <w:lang w:eastAsia="en-US"/>
        </w:rPr>
        <w:t>possono</w:t>
      </w:r>
      <w:proofErr w:type="spellEnd"/>
      <w:r w:rsidRPr="00FF3D47">
        <w:rPr>
          <w:b/>
          <w:i/>
          <w:szCs w:val="24"/>
          <w:lang w:eastAsia="en-US"/>
        </w:rPr>
        <w:t xml:space="preserve"> avvalersi</w:t>
      </w:r>
      <w:r w:rsidRPr="00FF3D47">
        <w:rPr>
          <w:szCs w:val="24"/>
          <w:lang w:eastAsia="en-US"/>
        </w:rPr>
        <w:t xml:space="preserve"> dei descrittori del suolo </w:t>
      </w:r>
      <w:r w:rsidRPr="00FF3D47">
        <w:rPr>
          <w:strike/>
          <w:szCs w:val="24"/>
          <w:lang w:eastAsia="en-US"/>
        </w:rPr>
        <w:t xml:space="preserve">e dei criteri di salute </w:t>
      </w:r>
      <w:proofErr w:type="spellStart"/>
      <w:r w:rsidRPr="00FF3D47">
        <w:rPr>
          <w:strike/>
          <w:szCs w:val="24"/>
          <w:lang w:eastAsia="en-US"/>
        </w:rPr>
        <w:t>del</w:t>
      </w:r>
      <w:r w:rsidRPr="00FF3D47">
        <w:rPr>
          <w:b/>
          <w:i/>
          <w:szCs w:val="24"/>
          <w:lang w:eastAsia="en-US"/>
        </w:rPr>
        <w:t>che</w:t>
      </w:r>
      <w:proofErr w:type="spellEnd"/>
      <w:r w:rsidRPr="00FF3D47">
        <w:rPr>
          <w:b/>
          <w:i/>
          <w:szCs w:val="24"/>
          <w:lang w:eastAsia="en-US"/>
        </w:rPr>
        <w:t xml:space="preserve"> meglio illustrano le caratteristiche di ciascun tipo di</w:t>
      </w:r>
      <w:r w:rsidRPr="00FF3D47">
        <w:rPr>
          <w:szCs w:val="24"/>
          <w:lang w:eastAsia="en-US"/>
        </w:rPr>
        <w:t xml:space="preserve"> suolo</w:t>
      </w:r>
      <w:r w:rsidRPr="00FF3D47">
        <w:rPr>
          <w:b/>
          <w:i/>
          <w:szCs w:val="24"/>
          <w:lang w:eastAsia="en-US"/>
        </w:rPr>
        <w:t xml:space="preserve"> a livello nazionale</w:t>
      </w:r>
      <w:r w:rsidRPr="00FF3D47">
        <w:rPr>
          <w:szCs w:val="24"/>
          <w:lang w:eastAsia="en-US"/>
        </w:rPr>
        <w:t xml:space="preserve"> elencati nell'allegato I.</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228]</w:t>
      </w:r>
    </w:p>
    <w:p w14:paraId="7F518912" w14:textId="77777777" w:rsidR="00FF3D47" w:rsidRPr="00FF3D47" w:rsidRDefault="00FF3D47" w:rsidP="00FF3D47">
      <w:pPr>
        <w:spacing w:before="120" w:after="120" w:line="360" w:lineRule="auto"/>
        <w:ind w:left="850"/>
        <w:rPr>
          <w:szCs w:val="24"/>
          <w:lang w:eastAsia="en-US"/>
        </w:rPr>
      </w:pPr>
      <w:r w:rsidRPr="00FF3D47">
        <w:rPr>
          <w:szCs w:val="24"/>
          <w:lang w:eastAsia="en-US"/>
        </w:rPr>
        <w:t>Nel monitorare il consumo di suolo, gli Stati membri si avvalgono degli indicatori del consumo di suolo e dell'impermeabilizzazione del suolo di cui all'allegato I.</w:t>
      </w:r>
    </w:p>
    <w:p w14:paraId="760473FE"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 xml:space="preserve">Gli Stati membri </w:t>
      </w:r>
      <w:r w:rsidRPr="00FF3D47">
        <w:rPr>
          <w:strike/>
          <w:szCs w:val="24"/>
          <w:lang w:eastAsia="en-US"/>
        </w:rPr>
        <w:t xml:space="preserve">possono </w:t>
      </w:r>
      <w:proofErr w:type="spellStart"/>
      <w:r w:rsidRPr="00FF3D47">
        <w:rPr>
          <w:strike/>
          <w:szCs w:val="24"/>
          <w:lang w:eastAsia="en-US"/>
        </w:rPr>
        <w:t>adattare</w:t>
      </w:r>
      <w:r w:rsidRPr="00FF3D47">
        <w:rPr>
          <w:b/>
          <w:i/>
          <w:szCs w:val="24"/>
          <w:lang w:eastAsia="en-US"/>
        </w:rPr>
        <w:t>scelgono</w:t>
      </w:r>
      <w:proofErr w:type="spellEnd"/>
      <w:r w:rsidRPr="00FF3D47">
        <w:rPr>
          <w:b/>
          <w:i/>
          <w:szCs w:val="24"/>
          <w:lang w:eastAsia="en-US"/>
        </w:rPr>
        <w:t xml:space="preserve"> il livello adeguato per il modello di monitoraggio del suolo per il quale si qualificano conformemente alle condizioni di cui all'allegato I e garantiscono che includano almeno tutti</w:t>
      </w:r>
      <w:r w:rsidRPr="00FF3D47">
        <w:rPr>
          <w:szCs w:val="24"/>
          <w:lang w:eastAsia="en-US"/>
        </w:rPr>
        <w:t xml:space="preserve"> i descrittori</w:t>
      </w:r>
      <w:r w:rsidRPr="00FF3D47">
        <w:rPr>
          <w:strike/>
          <w:szCs w:val="24"/>
          <w:lang w:eastAsia="en-US"/>
        </w:rPr>
        <w:t xml:space="preserve"> del suolo e i criteri di salute</w:t>
      </w:r>
      <w:r w:rsidRPr="00FF3D47">
        <w:rPr>
          <w:szCs w:val="24"/>
          <w:lang w:eastAsia="en-US"/>
        </w:rPr>
        <w:t xml:space="preserve"> del suolo di cui all'allegato I, parte A</w:t>
      </w:r>
      <w:r w:rsidRPr="00FF3D47">
        <w:rPr>
          <w:strike/>
          <w:szCs w:val="24"/>
          <w:lang w:eastAsia="en-US"/>
        </w:rPr>
        <w:t xml:space="preserve">, conformemente alle specifiche di cui all'allegato I, parte A, seconda e terza </w:t>
      </w:r>
      <w:proofErr w:type="gramStart"/>
      <w:r w:rsidRPr="00FF3D47">
        <w:rPr>
          <w:strike/>
          <w:szCs w:val="24"/>
          <w:lang w:eastAsia="en-US"/>
        </w:rPr>
        <w:t>colonna.</w:t>
      </w:r>
      <w:r w:rsidRPr="00FF3D47">
        <w:rPr>
          <w:b/>
          <w:i/>
          <w:szCs w:val="24"/>
          <w:lang w:eastAsia="en-US"/>
        </w:rPr>
        <w:t>.</w:t>
      </w:r>
      <w:proofErr w:type="gramEnd"/>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85]</w:t>
      </w:r>
    </w:p>
    <w:p w14:paraId="23E2CC3D"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3.</w:t>
      </w:r>
      <w:r w:rsidRPr="00FF3D47">
        <w:rPr>
          <w:szCs w:val="24"/>
          <w:lang w:eastAsia="en-US"/>
        </w:rPr>
        <w:tab/>
        <w:t xml:space="preserve">Gli Stati membri determinano i contaminanti organici per il descrittore del suolo relativo alla contaminazione del suolo di cui all'allegato I, parte </w:t>
      </w:r>
      <w:r w:rsidRPr="00FF3D47">
        <w:rPr>
          <w:strike/>
          <w:szCs w:val="24"/>
          <w:lang w:eastAsia="en-US"/>
        </w:rPr>
        <w:t>B</w:t>
      </w:r>
      <w:r w:rsidRPr="00FF3D47">
        <w:rPr>
          <w:b/>
          <w:i/>
          <w:szCs w:val="24"/>
          <w:lang w:eastAsia="en-US"/>
        </w:rPr>
        <w:t>A</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86]</w:t>
      </w:r>
    </w:p>
    <w:p w14:paraId="3FE511E4" w14:textId="77777777" w:rsidR="009A0142" w:rsidRDefault="009A0142" w:rsidP="00FF3D47">
      <w:pPr>
        <w:spacing w:before="120" w:after="120" w:line="360" w:lineRule="auto"/>
        <w:ind w:left="850" w:hanging="850"/>
        <w:rPr>
          <w:strike/>
          <w:szCs w:val="24"/>
          <w:lang w:eastAsia="en-US"/>
        </w:rPr>
      </w:pPr>
      <w:r>
        <w:rPr>
          <w:strike/>
          <w:szCs w:val="24"/>
          <w:lang w:eastAsia="en-US"/>
        </w:rPr>
        <w:br w:type="page"/>
      </w:r>
    </w:p>
    <w:p w14:paraId="4EC20877" w14:textId="7A231F61" w:rsidR="00FF3D47" w:rsidRPr="00FF3D47" w:rsidRDefault="00FF3D47" w:rsidP="00FF3D47">
      <w:pPr>
        <w:spacing w:before="120" w:after="120" w:line="360" w:lineRule="auto"/>
        <w:ind w:left="850" w:hanging="850"/>
        <w:rPr>
          <w:szCs w:val="24"/>
          <w:lang w:eastAsia="en-US"/>
        </w:rPr>
      </w:pPr>
      <w:r w:rsidRPr="00FF3D47">
        <w:rPr>
          <w:strike/>
          <w:szCs w:val="24"/>
          <w:lang w:eastAsia="en-US"/>
        </w:rPr>
        <w:lastRenderedPageBreak/>
        <w:t>4.</w:t>
      </w:r>
      <w:r w:rsidRPr="00FF3D47">
        <w:rPr>
          <w:szCs w:val="24"/>
          <w:lang w:eastAsia="en-US"/>
        </w:rPr>
        <w:tab/>
      </w:r>
      <w:r w:rsidRPr="00FF3D47">
        <w:rPr>
          <w:strike/>
          <w:szCs w:val="24"/>
          <w:lang w:eastAsia="en-US"/>
        </w:rPr>
        <w:t xml:space="preserve">Gli Stati membri stabiliscono i criteri di salute del suolo per i descrittori del suolo elencati nell'allegato I, parte B, conformemente alle disposizioni di cui all'allegato I, parte B, terza </w:t>
      </w:r>
      <w:proofErr w:type="gramStart"/>
      <w:r w:rsidRPr="00FF3D47">
        <w:rPr>
          <w:strike/>
          <w:szCs w:val="24"/>
          <w:lang w:eastAsia="en-US"/>
        </w:rPr>
        <w:t>colonna.</w:t>
      </w:r>
      <w:r w:rsidR="009A0142" w:rsidRPr="00FF3D47">
        <w:rPr>
          <w:b/>
          <w:i/>
          <w:szCs w:val="24"/>
          <w:lang w:eastAsia="en-US"/>
        </w:rPr>
        <w:t>[</w:t>
      </w:r>
      <w:proofErr w:type="spellStart"/>
      <w:proofErr w:type="gramEnd"/>
      <w:r w:rsidR="009A0142" w:rsidRPr="00FF3D47">
        <w:rPr>
          <w:b/>
          <w:i/>
          <w:szCs w:val="24"/>
          <w:lang w:eastAsia="en-US"/>
        </w:rPr>
        <w:t>Em</w:t>
      </w:r>
      <w:proofErr w:type="spellEnd"/>
      <w:r w:rsidR="009A0142" w:rsidRPr="00FF3D47">
        <w:rPr>
          <w:b/>
          <w:i/>
          <w:szCs w:val="24"/>
          <w:lang w:eastAsia="en-US"/>
        </w:rPr>
        <w:t xml:space="preserve">. </w:t>
      </w:r>
      <w:r w:rsidR="009A0142">
        <w:rPr>
          <w:b/>
          <w:i/>
          <w:szCs w:val="24"/>
          <w:lang w:eastAsia="en-US"/>
        </w:rPr>
        <w:t>87]</w:t>
      </w:r>
    </w:p>
    <w:p w14:paraId="04CBA1F0"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5.</w:t>
      </w:r>
      <w:r w:rsidRPr="00FF3D47">
        <w:rPr>
          <w:szCs w:val="24"/>
          <w:lang w:eastAsia="en-US"/>
        </w:rPr>
        <w:tab/>
        <w:t xml:space="preserve">Gli Stati membri possono stabilire descrittori del suolo e indicatori del consumo di suolo supplementari, tra cui, a titolo esemplificativo ma non esaustivo, i descrittori e gli indicatori </w:t>
      </w:r>
      <w:r w:rsidRPr="00FF3D47">
        <w:rPr>
          <w:strike/>
          <w:szCs w:val="24"/>
          <w:lang w:eastAsia="en-US"/>
        </w:rPr>
        <w:t xml:space="preserve">facoltativi </w:t>
      </w:r>
      <w:r w:rsidRPr="00FF3D47">
        <w:rPr>
          <w:szCs w:val="24"/>
          <w:lang w:eastAsia="en-US"/>
        </w:rPr>
        <w:t xml:space="preserve">elencati nell'allegato I, </w:t>
      </w:r>
      <w:r w:rsidRPr="00FF3D47">
        <w:rPr>
          <w:strike/>
          <w:szCs w:val="24"/>
          <w:lang w:eastAsia="en-US"/>
        </w:rPr>
        <w:t xml:space="preserve">parti C </w:t>
      </w:r>
      <w:proofErr w:type="spellStart"/>
      <w:r w:rsidRPr="00FF3D47">
        <w:rPr>
          <w:strike/>
          <w:szCs w:val="24"/>
          <w:lang w:eastAsia="en-US"/>
        </w:rPr>
        <w:t>e</w:t>
      </w:r>
      <w:r w:rsidRPr="00FF3D47">
        <w:rPr>
          <w:b/>
          <w:i/>
          <w:szCs w:val="24"/>
          <w:lang w:eastAsia="en-US"/>
        </w:rPr>
        <w:t>parte</w:t>
      </w:r>
      <w:proofErr w:type="spellEnd"/>
      <w:r w:rsidRPr="00FF3D47">
        <w:rPr>
          <w:szCs w:val="24"/>
          <w:lang w:eastAsia="en-US"/>
        </w:rPr>
        <w:t xml:space="preserve"> D, a fini di monitoraggio </w:t>
      </w:r>
      <w:r w:rsidRPr="00FF3D47">
        <w:rPr>
          <w:strike/>
          <w:szCs w:val="24"/>
          <w:lang w:eastAsia="en-US"/>
        </w:rPr>
        <w:t>("descrittori supplementari del suolo" e "indicatori supplementari del consumo di suolo"</w:t>
      </w:r>
      <w:proofErr w:type="gramStart"/>
      <w:r w:rsidRPr="00FF3D47">
        <w:rPr>
          <w:strike/>
          <w:szCs w:val="24"/>
          <w:lang w:eastAsia="en-US"/>
        </w:rPr>
        <w:t>).</w:t>
      </w:r>
      <w:r w:rsidRPr="00FF3D47">
        <w:rPr>
          <w:b/>
          <w:i/>
          <w:szCs w:val="24"/>
          <w:lang w:eastAsia="en-US"/>
        </w:rPr>
        <w:t>[</w:t>
      </w:r>
      <w:proofErr w:type="spellStart"/>
      <w:proofErr w:type="gramEnd"/>
      <w:r w:rsidRPr="00FF3D47">
        <w:rPr>
          <w:b/>
          <w:i/>
          <w:szCs w:val="24"/>
          <w:lang w:eastAsia="en-US"/>
        </w:rPr>
        <w:t>Em</w:t>
      </w:r>
      <w:proofErr w:type="spellEnd"/>
      <w:r w:rsidRPr="00FF3D47">
        <w:rPr>
          <w:b/>
          <w:i/>
          <w:szCs w:val="24"/>
          <w:lang w:eastAsia="en-US"/>
        </w:rPr>
        <w:t>. 88]</w:t>
      </w:r>
    </w:p>
    <w:p w14:paraId="13102C76"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6.</w:t>
      </w:r>
      <w:r w:rsidRPr="00FF3D47">
        <w:rPr>
          <w:szCs w:val="24"/>
          <w:lang w:eastAsia="en-US"/>
        </w:rPr>
        <w:tab/>
        <w:t>Gli Stati membri informano la Commissione quando stabiliscono o adattano i descrittori del suolo, gli indicatori del consumo di suolo e i criteri di salute del suolo conformemente ai paragrafi da 2 a 5</w:t>
      </w:r>
      <w:r w:rsidRPr="00FF3D47">
        <w:rPr>
          <w:b/>
          <w:i/>
          <w:szCs w:val="24"/>
          <w:lang w:eastAsia="en-US"/>
        </w:rPr>
        <w:t xml:space="preserve"> del presente articolo e all'articolo 9</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89]</w:t>
      </w:r>
    </w:p>
    <w:p w14:paraId="113E7A68" w14:textId="77777777" w:rsidR="009A0142" w:rsidRDefault="009A0142" w:rsidP="00FF3D47">
      <w:pPr>
        <w:spacing w:before="120" w:after="120" w:line="360" w:lineRule="auto"/>
        <w:jc w:val="center"/>
        <w:rPr>
          <w:szCs w:val="24"/>
          <w:lang w:eastAsia="en-US"/>
        </w:rPr>
      </w:pPr>
      <w:r>
        <w:rPr>
          <w:szCs w:val="24"/>
          <w:lang w:eastAsia="en-US"/>
        </w:rPr>
        <w:br w:type="page"/>
      </w:r>
    </w:p>
    <w:p w14:paraId="6E866E26" w14:textId="7E836173"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8</w:t>
      </w:r>
      <w:r w:rsidRPr="00FF3D47">
        <w:rPr>
          <w:szCs w:val="24"/>
          <w:lang w:eastAsia="en-US"/>
        </w:rPr>
        <w:br/>
        <w:t>Misurazioni e metodologie</w:t>
      </w:r>
    </w:p>
    <w:p w14:paraId="363CAC5B"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 xml:space="preserve">Gli Stati membri determinano i punti di campionamento applicando la metodologia stabilita nell'allegato </w:t>
      </w:r>
      <w:r w:rsidRPr="00FF3D47">
        <w:rPr>
          <w:strike/>
          <w:szCs w:val="24"/>
          <w:lang w:eastAsia="en-US"/>
        </w:rPr>
        <w:t>II, parte A</w:t>
      </w:r>
      <w:r w:rsidRPr="00FF3D47">
        <w:rPr>
          <w:b/>
          <w:i/>
          <w:szCs w:val="24"/>
          <w:lang w:eastAsia="en-US"/>
        </w:rPr>
        <w:t>I, sulla base del livello scelto per il modello di monitoraggio del suolo, tenendo conto delle valutazioni dei rischi basate sui sistemi di monitoraggio esistenti</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90]</w:t>
      </w:r>
    </w:p>
    <w:p w14:paraId="50ACDEF9"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Gli Stati membri effettuano misurazioni del suolo prelevando campioni presso i punti di campionamento di cui al paragrafo 1 e raccolgono, elaborano e analizzano i dati al fine di determinare quanto segue:</w:t>
      </w:r>
    </w:p>
    <w:p w14:paraId="12F2CDFA" w14:textId="24EAA48D"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i valori dei descrittori del suolo</w:t>
      </w:r>
      <w:r w:rsidRPr="00FF3D47">
        <w:rPr>
          <w:b/>
          <w:i/>
          <w:szCs w:val="24"/>
          <w:lang w:eastAsia="en-US"/>
        </w:rPr>
        <w:t xml:space="preserve"> in base al livello scelto per il modello di monitoraggio del suolo,</w:t>
      </w:r>
      <w:r w:rsidRPr="00FF3D47">
        <w:rPr>
          <w:szCs w:val="24"/>
          <w:lang w:eastAsia="en-US"/>
        </w:rPr>
        <w:t xml:space="preserve"> secondo quanto previsto nell'allegato I;</w:t>
      </w:r>
      <w:r w:rsidRPr="00FF3D47">
        <w:rPr>
          <w:b/>
          <w:i/>
          <w:szCs w:val="24"/>
          <w:lang w:eastAsia="en-US"/>
        </w:rPr>
        <w:t xml:space="preserve"> secondo quanto previsto nell'allegato I; [</w:t>
      </w:r>
      <w:proofErr w:type="spellStart"/>
      <w:r w:rsidRPr="00FF3D47">
        <w:rPr>
          <w:b/>
          <w:i/>
          <w:szCs w:val="24"/>
          <w:lang w:eastAsia="en-US"/>
        </w:rPr>
        <w:t>Em</w:t>
      </w:r>
      <w:proofErr w:type="spellEnd"/>
      <w:r w:rsidRPr="00FF3D47">
        <w:rPr>
          <w:b/>
          <w:i/>
          <w:szCs w:val="24"/>
          <w:lang w:eastAsia="en-US"/>
        </w:rPr>
        <w:t>. 91]</w:t>
      </w:r>
    </w:p>
    <w:p w14:paraId="07D4A94B" w14:textId="58B7749C" w:rsidR="00FF3D47" w:rsidRPr="00FF3D47" w:rsidRDefault="00FF3D47" w:rsidP="00FF3D47">
      <w:pPr>
        <w:spacing w:before="120" w:after="120" w:line="360" w:lineRule="auto"/>
        <w:ind w:left="1416" w:hanging="566"/>
        <w:rPr>
          <w:szCs w:val="24"/>
          <w:lang w:eastAsia="en-US"/>
        </w:rPr>
      </w:pPr>
      <w:r w:rsidRPr="00FF3D47">
        <w:rPr>
          <w:szCs w:val="24"/>
          <w:lang w:eastAsia="en-US"/>
        </w:rPr>
        <w:t>b)</w:t>
      </w:r>
      <w:r w:rsidRPr="00FF3D47">
        <w:rPr>
          <w:szCs w:val="24"/>
          <w:lang w:eastAsia="en-US"/>
        </w:rPr>
        <w:tab/>
        <w:t>se del caso, i valori dei descrittori supplementari del suolo;</w:t>
      </w:r>
    </w:p>
    <w:p w14:paraId="046F61F0" w14:textId="11017824" w:rsidR="00FF3D47" w:rsidRPr="00FF3D47" w:rsidRDefault="00FF3D47" w:rsidP="00FF3D47">
      <w:pPr>
        <w:spacing w:before="120" w:after="120" w:line="360" w:lineRule="auto"/>
        <w:ind w:left="1416" w:hanging="566"/>
        <w:rPr>
          <w:szCs w:val="24"/>
          <w:lang w:eastAsia="en-US"/>
        </w:rPr>
      </w:pPr>
      <w:r w:rsidRPr="00FF3D47">
        <w:rPr>
          <w:szCs w:val="24"/>
          <w:lang w:eastAsia="en-US"/>
        </w:rPr>
        <w:t>c)</w:t>
      </w:r>
      <w:r w:rsidRPr="00FF3D47">
        <w:rPr>
          <w:szCs w:val="24"/>
          <w:lang w:eastAsia="en-US"/>
        </w:rPr>
        <w:tab/>
        <w:t>i valori degli indicatori del consumo di suolo e dell'impermeabilizzazione del suolo elencati nell'allegato I, parte D.</w:t>
      </w:r>
    </w:p>
    <w:p w14:paraId="7CBFE60A" w14:textId="77777777" w:rsidR="009A0142" w:rsidRDefault="009A0142" w:rsidP="00FF3D47">
      <w:pPr>
        <w:spacing w:before="120" w:after="120" w:line="360" w:lineRule="auto"/>
        <w:ind w:left="850" w:hanging="850"/>
        <w:rPr>
          <w:szCs w:val="24"/>
          <w:lang w:eastAsia="en-US"/>
        </w:rPr>
      </w:pPr>
      <w:r>
        <w:rPr>
          <w:szCs w:val="24"/>
          <w:lang w:eastAsia="en-US"/>
        </w:rPr>
        <w:br w:type="page"/>
      </w:r>
    </w:p>
    <w:p w14:paraId="400CF6CD" w14:textId="5769466F"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3.</w:t>
      </w:r>
      <w:r w:rsidRPr="00FF3D47">
        <w:rPr>
          <w:szCs w:val="24"/>
          <w:lang w:eastAsia="en-US"/>
        </w:rPr>
        <w:tab/>
        <w:t>Gli Stati membri applicano quanto segue:</w:t>
      </w:r>
    </w:p>
    <w:p w14:paraId="4C64DC4E" w14:textId="006AAD09"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le metodologie per determinare o stimare i valori dei descrittori del suolo stabilite nell'allegato II</w:t>
      </w:r>
      <w:r w:rsidRPr="00FF3D47">
        <w:rPr>
          <w:strike/>
          <w:szCs w:val="24"/>
          <w:lang w:eastAsia="en-US"/>
        </w:rPr>
        <w:t xml:space="preserve">, parte </w:t>
      </w:r>
      <w:proofErr w:type="gramStart"/>
      <w:r w:rsidRPr="00FF3D47">
        <w:rPr>
          <w:strike/>
          <w:szCs w:val="24"/>
          <w:lang w:eastAsia="en-US"/>
        </w:rPr>
        <w:t>B;</w:t>
      </w:r>
      <w:r w:rsidRPr="00FF3D47">
        <w:rPr>
          <w:b/>
          <w:i/>
          <w:szCs w:val="24"/>
          <w:lang w:eastAsia="en-US"/>
        </w:rPr>
        <w:t>;</w:t>
      </w:r>
      <w:proofErr w:type="gramEnd"/>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xml:space="preserve">. 92] </w:t>
      </w:r>
    </w:p>
    <w:p w14:paraId="54648143" w14:textId="177CEF57" w:rsidR="00FF3D47" w:rsidRPr="00FF3D47" w:rsidRDefault="00FF3D47" w:rsidP="00FF3D47">
      <w:pPr>
        <w:spacing w:before="120" w:after="120" w:line="360" w:lineRule="auto"/>
        <w:ind w:left="1416" w:hanging="566"/>
        <w:rPr>
          <w:szCs w:val="24"/>
          <w:lang w:eastAsia="en-US"/>
        </w:rPr>
      </w:pPr>
      <w:r w:rsidRPr="00FF3D47">
        <w:rPr>
          <w:szCs w:val="24"/>
          <w:lang w:eastAsia="en-US"/>
        </w:rPr>
        <w:t>b)</w:t>
      </w:r>
      <w:r w:rsidRPr="00FF3D47">
        <w:rPr>
          <w:szCs w:val="24"/>
          <w:lang w:eastAsia="en-US"/>
        </w:rPr>
        <w:tab/>
        <w:t>i criteri metodologici minimi per determinare i valori degli indicatori del consumo di suolo e dell'impermeabilizzazione del suolo stabiliti nell'allegato II, parte C;</w:t>
      </w:r>
    </w:p>
    <w:p w14:paraId="2EBFDAE1" w14:textId="2EF69182" w:rsidR="00FF3D47" w:rsidRPr="00FF3D47" w:rsidRDefault="00FF3D47" w:rsidP="00FF3D47">
      <w:pPr>
        <w:spacing w:before="120" w:after="120" w:line="360" w:lineRule="auto"/>
        <w:ind w:left="1416" w:hanging="566"/>
        <w:rPr>
          <w:szCs w:val="24"/>
          <w:lang w:eastAsia="en-US"/>
        </w:rPr>
      </w:pPr>
      <w:r w:rsidRPr="00FF3D47">
        <w:rPr>
          <w:szCs w:val="24"/>
          <w:lang w:eastAsia="en-US"/>
        </w:rPr>
        <w:t>c)</w:t>
      </w:r>
      <w:r w:rsidRPr="00FF3D47">
        <w:rPr>
          <w:szCs w:val="24"/>
          <w:lang w:eastAsia="en-US"/>
        </w:rPr>
        <w:tab/>
        <w:t>le prescrizioni eventualmente stabilite dalla Commissione a norma del paragrafo 6.</w:t>
      </w:r>
    </w:p>
    <w:p w14:paraId="113CC707" w14:textId="77777777" w:rsidR="00FF3D47" w:rsidRPr="00FF3D47" w:rsidRDefault="00FF3D47" w:rsidP="00FF3D47">
      <w:pPr>
        <w:spacing w:before="120" w:after="120" w:line="360" w:lineRule="auto"/>
        <w:ind w:left="850"/>
        <w:rPr>
          <w:szCs w:val="24"/>
          <w:lang w:eastAsia="en-US"/>
        </w:rPr>
      </w:pPr>
      <w:r w:rsidRPr="00FF3D47">
        <w:rPr>
          <w:szCs w:val="24"/>
          <w:lang w:eastAsia="en-US"/>
        </w:rPr>
        <w:t xml:space="preserve">Gli Stati membri possono applicare metodologie diverse da quelle elencate al primo comma, lettere a) e b), purché siano disponibili </w:t>
      </w:r>
      <w:proofErr w:type="spellStart"/>
      <w:r w:rsidRPr="00FF3D47">
        <w:rPr>
          <w:b/>
          <w:i/>
          <w:szCs w:val="24"/>
          <w:lang w:eastAsia="en-US"/>
        </w:rPr>
        <w:t>disponibili</w:t>
      </w:r>
      <w:proofErr w:type="spellEnd"/>
      <w:r w:rsidRPr="00FF3D47">
        <w:rPr>
          <w:b/>
          <w:i/>
          <w:szCs w:val="24"/>
          <w:lang w:eastAsia="en-US"/>
        </w:rPr>
        <w:t xml:space="preserve"> </w:t>
      </w:r>
      <w:r w:rsidRPr="00FF3D47">
        <w:rPr>
          <w:szCs w:val="24"/>
          <w:lang w:eastAsia="en-US"/>
        </w:rPr>
        <w:t>funzioni di trasferimento convalidate</w:t>
      </w:r>
      <w:r w:rsidRPr="00FF3D47">
        <w:rPr>
          <w:b/>
          <w:i/>
          <w:szCs w:val="24"/>
          <w:lang w:eastAsia="en-US"/>
        </w:rPr>
        <w:t xml:space="preserve"> o possano essere stimate confrontando i dati raccolti a livello nazionale attraverso il monitoraggio in situ coordinato dalla Commissione</w:t>
      </w:r>
      <w:r w:rsidRPr="00FF3D47">
        <w:rPr>
          <w:szCs w:val="24"/>
          <w:lang w:eastAsia="en-US"/>
        </w:rPr>
        <w:t>, come richiesto nell'allegato II, parte B, quarta colonna.</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xml:space="preserve">. 93] </w:t>
      </w:r>
    </w:p>
    <w:p w14:paraId="63AC107D"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4.</w:t>
      </w:r>
      <w:r w:rsidRPr="00FF3D47">
        <w:rPr>
          <w:szCs w:val="24"/>
          <w:lang w:eastAsia="en-US"/>
        </w:rPr>
        <w:tab/>
        <w:t xml:space="preserve">Gli Stati membri provvedono affinché le prime misurazioni del suolo siano effettuate al più tardi entro il ... (OP: inserire la data corrispondente a </w:t>
      </w:r>
      <w:r w:rsidRPr="00FF3D47">
        <w:rPr>
          <w:strike/>
          <w:szCs w:val="24"/>
          <w:lang w:eastAsia="en-US"/>
        </w:rPr>
        <w:t>4</w:t>
      </w:r>
      <w:r w:rsidRPr="00FF3D47">
        <w:rPr>
          <w:b/>
          <w:i/>
          <w:szCs w:val="24"/>
          <w:lang w:eastAsia="en-US"/>
        </w:rPr>
        <w:t>3</w:t>
      </w:r>
      <w:r w:rsidRPr="00FF3D47">
        <w:rPr>
          <w:szCs w:val="24"/>
          <w:lang w:eastAsia="en-US"/>
        </w:rPr>
        <w:t xml:space="preserve"> anni dopo la data di entrata in vigore della direttiva).</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94]</w:t>
      </w:r>
    </w:p>
    <w:p w14:paraId="78194323" w14:textId="77777777" w:rsidR="009A0142" w:rsidRDefault="009A0142" w:rsidP="00FF3D47">
      <w:pPr>
        <w:spacing w:before="120" w:after="120" w:line="360" w:lineRule="auto"/>
        <w:ind w:left="850" w:hanging="850"/>
        <w:rPr>
          <w:szCs w:val="24"/>
          <w:lang w:eastAsia="en-US"/>
        </w:rPr>
      </w:pPr>
      <w:r>
        <w:rPr>
          <w:szCs w:val="24"/>
          <w:lang w:eastAsia="en-US"/>
        </w:rPr>
        <w:br w:type="page"/>
      </w:r>
    </w:p>
    <w:p w14:paraId="5B01670C" w14:textId="4E99A9F0"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5.</w:t>
      </w:r>
      <w:r w:rsidRPr="00FF3D47">
        <w:rPr>
          <w:szCs w:val="24"/>
          <w:lang w:eastAsia="en-US"/>
        </w:rPr>
        <w:tab/>
        <w:t xml:space="preserve">Gli Stati membri provvedono affinché siano effettuate nuove misurazioni del suolo al massimo ogni </w:t>
      </w:r>
      <w:r w:rsidRPr="00FF3D47">
        <w:rPr>
          <w:strike/>
          <w:szCs w:val="24"/>
          <w:lang w:eastAsia="en-US"/>
        </w:rPr>
        <w:t xml:space="preserve">cinque </w:t>
      </w:r>
      <w:proofErr w:type="spellStart"/>
      <w:r w:rsidRPr="00FF3D47">
        <w:rPr>
          <w:strike/>
          <w:szCs w:val="24"/>
          <w:lang w:eastAsia="en-US"/>
        </w:rPr>
        <w:t>anni</w:t>
      </w:r>
      <w:r w:rsidRPr="00FF3D47">
        <w:rPr>
          <w:b/>
          <w:i/>
          <w:szCs w:val="24"/>
          <w:lang w:eastAsia="en-US"/>
        </w:rPr>
        <w:t>sei</w:t>
      </w:r>
      <w:proofErr w:type="spellEnd"/>
      <w:r w:rsidRPr="00FF3D47">
        <w:rPr>
          <w:b/>
          <w:i/>
          <w:szCs w:val="24"/>
          <w:lang w:eastAsia="en-US"/>
        </w:rPr>
        <w:t xml:space="preserve"> anni, o prima laddove si sospetti un cambiamento dello stato del suolo</w:t>
      </w:r>
      <w:r w:rsidRPr="00FF3D47">
        <w:rPr>
          <w:szCs w:val="24"/>
          <w:lang w:eastAsia="en-US"/>
        </w:rPr>
        <w:t>.</w:t>
      </w:r>
      <w:r w:rsidRPr="00FF3D47">
        <w:rPr>
          <w:b/>
          <w:i/>
          <w:szCs w:val="24"/>
          <w:lang w:eastAsia="en-US"/>
        </w:rPr>
        <w:t xml:space="preserve"> Gli Stati membri agevolano inoltre il monitoraggio del suolo in situ coordinato dalla Commissione.</w:t>
      </w:r>
    </w:p>
    <w:p w14:paraId="5FDB16D1" w14:textId="77777777" w:rsidR="00FF3D47" w:rsidRPr="00FF3D47" w:rsidRDefault="00FF3D47" w:rsidP="00FF3D47">
      <w:pPr>
        <w:spacing w:before="120" w:after="120" w:line="360" w:lineRule="auto"/>
        <w:ind w:left="850"/>
        <w:rPr>
          <w:szCs w:val="24"/>
          <w:lang w:eastAsia="en-US"/>
        </w:rPr>
      </w:pPr>
      <w:r w:rsidRPr="00FF3D47">
        <w:rPr>
          <w:szCs w:val="24"/>
          <w:lang w:eastAsia="en-US"/>
        </w:rPr>
        <w:t xml:space="preserve">Gli Stati membri provvedono affinché il valore degli indicatori del consumo di suolo e dell'impermeabilizzazione del suolo sia aggiornato almeno </w:t>
      </w:r>
      <w:r w:rsidRPr="00FF3D47">
        <w:rPr>
          <w:strike/>
          <w:szCs w:val="24"/>
          <w:lang w:eastAsia="en-US"/>
        </w:rPr>
        <w:t xml:space="preserve">ogni </w:t>
      </w:r>
      <w:proofErr w:type="spellStart"/>
      <w:r w:rsidRPr="00FF3D47">
        <w:rPr>
          <w:strike/>
          <w:szCs w:val="24"/>
          <w:lang w:eastAsia="en-US"/>
        </w:rPr>
        <w:t>anno</w:t>
      </w:r>
      <w:r w:rsidRPr="00FF3D47">
        <w:rPr>
          <w:b/>
          <w:i/>
          <w:szCs w:val="24"/>
          <w:lang w:eastAsia="en-US"/>
        </w:rPr>
        <w:t>due</w:t>
      </w:r>
      <w:proofErr w:type="spellEnd"/>
      <w:r w:rsidRPr="00FF3D47">
        <w:rPr>
          <w:b/>
          <w:i/>
          <w:szCs w:val="24"/>
          <w:lang w:eastAsia="en-US"/>
        </w:rPr>
        <w:t xml:space="preserve"> anni</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95]</w:t>
      </w:r>
    </w:p>
    <w:p w14:paraId="7307397F"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6.</w:t>
      </w:r>
      <w:r w:rsidRPr="00FF3D47">
        <w:rPr>
          <w:szCs w:val="24"/>
          <w:lang w:eastAsia="en-US"/>
        </w:rPr>
        <w:tab/>
        <w:t>Alla Commissione è conferito il potere di adottare atti delegati conformemente all'articolo 20 al fine di modificare l'allegato II per adeguare le metodologie di riferimento ivi menzionate al progresso scientifico e tecnico</w:t>
      </w:r>
      <w:r w:rsidRPr="00FF3D47">
        <w:rPr>
          <w:strike/>
          <w:szCs w:val="24"/>
          <w:lang w:eastAsia="en-US"/>
        </w:rPr>
        <w:t xml:space="preserve">, in particolare se i valori dei descrittori del suolo possono essere determinati mediante il telerilevamento di cui all'articolo 6, paragrafo </w:t>
      </w:r>
      <w:proofErr w:type="gramStart"/>
      <w:r w:rsidRPr="00FF3D47">
        <w:rPr>
          <w:strike/>
          <w:szCs w:val="24"/>
          <w:lang w:eastAsia="en-US"/>
        </w:rPr>
        <w:t>5.</w:t>
      </w:r>
      <w:r w:rsidRPr="00FF3D47">
        <w:rPr>
          <w:b/>
          <w:i/>
          <w:szCs w:val="24"/>
          <w:lang w:eastAsia="en-US"/>
        </w:rPr>
        <w:t>.</w:t>
      </w:r>
      <w:proofErr w:type="gramEnd"/>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96]</w:t>
      </w:r>
    </w:p>
    <w:p w14:paraId="7DD3752A" w14:textId="77777777" w:rsidR="009A0142" w:rsidRDefault="009A0142" w:rsidP="00FF3D47">
      <w:pPr>
        <w:spacing w:before="120" w:after="120" w:line="360" w:lineRule="auto"/>
        <w:jc w:val="center"/>
        <w:rPr>
          <w:szCs w:val="24"/>
          <w:lang w:eastAsia="en-US"/>
        </w:rPr>
      </w:pPr>
      <w:r>
        <w:rPr>
          <w:szCs w:val="24"/>
          <w:lang w:eastAsia="en-US"/>
        </w:rPr>
        <w:br w:type="page"/>
      </w:r>
    </w:p>
    <w:p w14:paraId="7735BAB7" w14:textId="12DE8650"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9</w:t>
      </w:r>
      <w:r w:rsidRPr="00FF3D47">
        <w:rPr>
          <w:szCs w:val="24"/>
          <w:lang w:eastAsia="en-US"/>
        </w:rPr>
        <w:br/>
        <w:t>Valutazione della salute del suolo</w:t>
      </w:r>
    </w:p>
    <w:p w14:paraId="6348E8CD"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 xml:space="preserve">Gli Stati membri valutano la salute del suolo in tutti i loro distretti del suolo sulla base dei dati raccolti nell'ambito del monitoraggio di cui agli articoli 6, 7 e 8 per ciascuno dei descrittori del suolo di cui all'allegato I, </w:t>
      </w:r>
      <w:r w:rsidRPr="00FF3D47">
        <w:rPr>
          <w:strike/>
          <w:szCs w:val="24"/>
          <w:lang w:eastAsia="en-US"/>
        </w:rPr>
        <w:t>parti A e B</w:t>
      </w:r>
      <w:r w:rsidRPr="00FF3D47">
        <w:rPr>
          <w:b/>
          <w:i/>
          <w:szCs w:val="24"/>
          <w:lang w:eastAsia="en-US"/>
        </w:rPr>
        <w:t>in base al livello scelto per il modello di monitoraggio del suolo, tenendo nel contempo conto delle condizioni storiche e naturali del suolo</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97]</w:t>
      </w:r>
    </w:p>
    <w:p w14:paraId="7F17F715" w14:textId="77777777" w:rsidR="00FF3D47" w:rsidRPr="00FF3D47" w:rsidRDefault="00FF3D47" w:rsidP="00FF3D47">
      <w:pPr>
        <w:spacing w:before="120" w:after="120" w:line="360" w:lineRule="auto"/>
        <w:ind w:left="850"/>
        <w:rPr>
          <w:szCs w:val="24"/>
          <w:lang w:eastAsia="en-US"/>
        </w:rPr>
      </w:pPr>
      <w:r w:rsidRPr="00FF3D47">
        <w:rPr>
          <w:b/>
          <w:i/>
          <w:szCs w:val="24"/>
          <w:lang w:eastAsia="en-US"/>
        </w:rPr>
        <w:t xml:space="preserve">Ai fini della valutazione dello stato ecologico del suolo, </w:t>
      </w:r>
      <w:r w:rsidRPr="00FF3D47">
        <w:rPr>
          <w:szCs w:val="24"/>
          <w:lang w:eastAsia="en-US"/>
        </w:rPr>
        <w:t>gli Stati membri tengono conto anche dei dati raccolti nell'ambito delle analisi del suolo di cui all'articolo 14.</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98]</w:t>
      </w:r>
    </w:p>
    <w:p w14:paraId="556ECF12" w14:textId="77777777" w:rsidR="00FF3D47" w:rsidRPr="00FF3D47" w:rsidRDefault="00FF3D47" w:rsidP="00FF3D47">
      <w:pPr>
        <w:spacing w:before="120" w:after="120" w:line="360" w:lineRule="auto"/>
        <w:ind w:left="850"/>
        <w:rPr>
          <w:szCs w:val="24"/>
          <w:lang w:eastAsia="en-US"/>
        </w:rPr>
      </w:pPr>
      <w:r w:rsidRPr="00FF3D47">
        <w:rPr>
          <w:szCs w:val="24"/>
          <w:lang w:eastAsia="en-US"/>
        </w:rPr>
        <w:t xml:space="preserve">Gli Stati membri provvedono affinché la prima valutazione </w:t>
      </w:r>
      <w:r w:rsidRPr="00FF3D47">
        <w:rPr>
          <w:strike/>
          <w:szCs w:val="24"/>
          <w:lang w:eastAsia="en-US"/>
        </w:rPr>
        <w:t xml:space="preserve">della </w:t>
      </w:r>
      <w:proofErr w:type="spellStart"/>
      <w:r w:rsidRPr="00FF3D47">
        <w:rPr>
          <w:strike/>
          <w:szCs w:val="24"/>
          <w:lang w:eastAsia="en-US"/>
        </w:rPr>
        <w:t>salute</w:t>
      </w:r>
      <w:r w:rsidRPr="00FF3D47">
        <w:rPr>
          <w:b/>
          <w:i/>
          <w:szCs w:val="24"/>
          <w:lang w:eastAsia="en-US"/>
        </w:rPr>
        <w:t>dello</w:t>
      </w:r>
      <w:proofErr w:type="spellEnd"/>
      <w:r w:rsidRPr="00FF3D47">
        <w:rPr>
          <w:b/>
          <w:i/>
          <w:szCs w:val="24"/>
          <w:lang w:eastAsia="en-US"/>
        </w:rPr>
        <w:t xml:space="preserve"> stato ecologico</w:t>
      </w:r>
      <w:r w:rsidRPr="00FF3D47">
        <w:rPr>
          <w:szCs w:val="24"/>
          <w:lang w:eastAsia="en-US"/>
        </w:rPr>
        <w:t xml:space="preserve"> del suolo sia effettuata entro il ... (OP: inserire la data corrispondente a 5 anni dopo la data di entrata in vigore della direttiva) e successivamente almeno ogni </w:t>
      </w:r>
      <w:r w:rsidRPr="00FF3D47">
        <w:rPr>
          <w:strike/>
          <w:szCs w:val="24"/>
          <w:lang w:eastAsia="en-US"/>
        </w:rPr>
        <w:t xml:space="preserve">cinque </w:t>
      </w:r>
      <w:proofErr w:type="spellStart"/>
      <w:r w:rsidRPr="00FF3D47">
        <w:rPr>
          <w:strike/>
          <w:szCs w:val="24"/>
          <w:lang w:eastAsia="en-US"/>
        </w:rPr>
        <w:t>anni</w:t>
      </w:r>
      <w:r w:rsidRPr="00FF3D47">
        <w:rPr>
          <w:b/>
          <w:i/>
          <w:szCs w:val="24"/>
          <w:lang w:eastAsia="en-US"/>
        </w:rPr>
        <w:t>sei</w:t>
      </w:r>
      <w:proofErr w:type="spellEnd"/>
      <w:r w:rsidRPr="00FF3D47">
        <w:rPr>
          <w:b/>
          <w:i/>
          <w:szCs w:val="24"/>
          <w:lang w:eastAsia="en-US"/>
        </w:rPr>
        <w:t xml:space="preserve"> anni, e sia corredata di relazioni in merito ai relativi miglioramenti, alle tendenze, ai progressi o alla regressione</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99]</w:t>
      </w:r>
    </w:p>
    <w:p w14:paraId="34EE8188" w14:textId="77777777" w:rsidR="009A0142" w:rsidRDefault="009A0142" w:rsidP="00FF3D47">
      <w:pPr>
        <w:spacing w:before="120" w:after="120" w:line="360" w:lineRule="auto"/>
        <w:ind w:left="850" w:hanging="850"/>
        <w:rPr>
          <w:szCs w:val="24"/>
          <w:lang w:eastAsia="en-US"/>
        </w:rPr>
      </w:pPr>
      <w:r>
        <w:rPr>
          <w:szCs w:val="24"/>
          <w:lang w:eastAsia="en-US"/>
        </w:rPr>
        <w:br w:type="page"/>
      </w:r>
    </w:p>
    <w:p w14:paraId="170ADBDB" w14:textId="7F9C9434"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2.</w:t>
      </w:r>
      <w:r w:rsidRPr="00FF3D47">
        <w:rPr>
          <w:szCs w:val="24"/>
          <w:lang w:eastAsia="en-US"/>
        </w:rPr>
        <w:tab/>
        <w:t xml:space="preserve">Un suolo è considerato sano ai sensi della presente direttiva se </w:t>
      </w:r>
      <w:r w:rsidRPr="00FF3D47">
        <w:rPr>
          <w:strike/>
          <w:szCs w:val="24"/>
          <w:lang w:eastAsia="en-US"/>
        </w:rPr>
        <w:t xml:space="preserve">sono soddisfatte le seguenti condizioni </w:t>
      </w:r>
      <w:proofErr w:type="spellStart"/>
      <w:proofErr w:type="gramStart"/>
      <w:r w:rsidRPr="00FF3D47">
        <w:rPr>
          <w:strike/>
          <w:szCs w:val="24"/>
          <w:lang w:eastAsia="en-US"/>
        </w:rPr>
        <w:t>cumulative:</w:t>
      </w:r>
      <w:r w:rsidRPr="00FF3D47">
        <w:rPr>
          <w:b/>
          <w:i/>
          <w:szCs w:val="24"/>
          <w:lang w:eastAsia="en-US"/>
        </w:rPr>
        <w:t>è</w:t>
      </w:r>
      <w:proofErr w:type="spellEnd"/>
      <w:proofErr w:type="gramEnd"/>
      <w:r w:rsidRPr="00FF3D47">
        <w:rPr>
          <w:b/>
          <w:i/>
          <w:szCs w:val="24"/>
          <w:lang w:eastAsia="en-US"/>
        </w:rPr>
        <w:t xml:space="preserve"> classificato con uno stato ecologico buono o elevato. [</w:t>
      </w:r>
      <w:proofErr w:type="spellStart"/>
      <w:r w:rsidRPr="00FF3D47">
        <w:rPr>
          <w:b/>
          <w:i/>
          <w:szCs w:val="24"/>
          <w:lang w:eastAsia="en-US"/>
        </w:rPr>
        <w:t>Em</w:t>
      </w:r>
      <w:proofErr w:type="spellEnd"/>
      <w:r w:rsidRPr="00FF3D47">
        <w:rPr>
          <w:b/>
          <w:i/>
          <w:szCs w:val="24"/>
          <w:lang w:eastAsia="en-US"/>
        </w:rPr>
        <w:t>. 100]</w:t>
      </w:r>
    </w:p>
    <w:p w14:paraId="16A10CC5" w14:textId="77777777" w:rsidR="00FF3D47" w:rsidRPr="00FF3D47" w:rsidRDefault="00FF3D47" w:rsidP="00FF3D47">
      <w:pPr>
        <w:spacing w:before="120" w:after="120" w:line="360" w:lineRule="auto"/>
        <w:ind w:left="1416" w:hanging="566"/>
        <w:rPr>
          <w:szCs w:val="24"/>
          <w:lang w:eastAsia="en-US"/>
        </w:rPr>
      </w:pPr>
      <w:r w:rsidRPr="00FF3D47">
        <w:rPr>
          <w:strike/>
          <w:szCs w:val="24"/>
          <w:lang w:eastAsia="en-US"/>
        </w:rPr>
        <w:t>(a)</w:t>
      </w:r>
      <w:r w:rsidRPr="00FF3D47">
        <w:rPr>
          <w:szCs w:val="24"/>
          <w:lang w:eastAsia="en-US"/>
        </w:rPr>
        <w:tab/>
      </w:r>
      <w:r w:rsidRPr="00FF3D47">
        <w:rPr>
          <w:strike/>
          <w:szCs w:val="24"/>
          <w:lang w:eastAsia="en-US"/>
        </w:rPr>
        <w:t>i valori di tutti i descrittori del suolo elencati nell'allegato I, parte A, soddisfano i criteri ivi stabiliti, se del caso adattati conformemente all'articolo 7;</w:t>
      </w:r>
    </w:p>
    <w:p w14:paraId="3B739B7D" w14:textId="32F96E85" w:rsidR="00FF3D47" w:rsidRPr="00FF3D47" w:rsidRDefault="00FF3D47" w:rsidP="00FF3D47">
      <w:pPr>
        <w:spacing w:before="120" w:after="120" w:line="360" w:lineRule="auto"/>
        <w:ind w:left="1416" w:hanging="566"/>
        <w:rPr>
          <w:szCs w:val="24"/>
          <w:lang w:eastAsia="en-US"/>
        </w:rPr>
      </w:pPr>
      <w:r w:rsidRPr="00FF3D47">
        <w:rPr>
          <w:strike/>
          <w:szCs w:val="24"/>
          <w:lang w:eastAsia="en-US"/>
        </w:rPr>
        <w:t>(b)</w:t>
      </w:r>
      <w:r w:rsidRPr="00FF3D47">
        <w:rPr>
          <w:szCs w:val="24"/>
          <w:lang w:eastAsia="en-US"/>
        </w:rPr>
        <w:tab/>
      </w:r>
      <w:r w:rsidRPr="00FF3D47">
        <w:rPr>
          <w:strike/>
          <w:szCs w:val="24"/>
          <w:lang w:eastAsia="en-US"/>
        </w:rPr>
        <w:t>i valori di tutti i descrittori del suolo elencati nell'allegato I, parte B, soddisfano i criteri stabiliti conformemente all'articolo 7 ("suolo sano").</w:t>
      </w:r>
      <w:r w:rsidR="009A0142">
        <w:rPr>
          <w:strike/>
          <w:szCs w:val="24"/>
          <w:lang w:eastAsia="en-US"/>
        </w:rPr>
        <w:t xml:space="preserve"> </w:t>
      </w:r>
      <w:r w:rsidR="009A0142">
        <w:rPr>
          <w:b/>
          <w:i/>
          <w:szCs w:val="24"/>
          <w:lang w:eastAsia="en-US"/>
        </w:rPr>
        <w:t>[</w:t>
      </w:r>
      <w:proofErr w:type="spellStart"/>
      <w:r w:rsidR="009A0142">
        <w:rPr>
          <w:b/>
          <w:i/>
          <w:szCs w:val="24"/>
          <w:lang w:eastAsia="en-US"/>
        </w:rPr>
        <w:t>Em</w:t>
      </w:r>
      <w:proofErr w:type="spellEnd"/>
      <w:r w:rsidR="009A0142">
        <w:rPr>
          <w:b/>
          <w:i/>
          <w:szCs w:val="24"/>
          <w:lang w:eastAsia="en-US"/>
        </w:rPr>
        <w:t>. 100]</w:t>
      </w:r>
    </w:p>
    <w:p w14:paraId="5D20CD8B" w14:textId="1194C9D5" w:rsidR="00FF3D47" w:rsidRPr="00FF3D47" w:rsidRDefault="00FF3D47" w:rsidP="00FF3D47">
      <w:pPr>
        <w:spacing w:before="120" w:after="120" w:line="360" w:lineRule="auto"/>
        <w:ind w:left="850"/>
        <w:rPr>
          <w:szCs w:val="24"/>
          <w:lang w:eastAsia="en-US"/>
        </w:rPr>
      </w:pPr>
      <w:r w:rsidRPr="00FF3D47">
        <w:rPr>
          <w:strike/>
          <w:szCs w:val="24"/>
          <w:lang w:eastAsia="en-US"/>
        </w:rPr>
        <w:t xml:space="preserve">In deroga al primo comma, la valutazione dei suoli all'interno di un terreno che figura nella quarta colonna dell'allegato I non tiene conto dei valori indicati nella terza colonna per tale </w:t>
      </w:r>
      <w:proofErr w:type="gramStart"/>
      <w:r w:rsidRPr="00FF3D47">
        <w:rPr>
          <w:strike/>
          <w:szCs w:val="24"/>
          <w:lang w:eastAsia="en-US"/>
        </w:rPr>
        <w:t>terreno</w:t>
      </w:r>
      <w:r w:rsidR="009A0142">
        <w:rPr>
          <w:strike/>
          <w:szCs w:val="24"/>
          <w:lang w:eastAsia="en-US"/>
        </w:rPr>
        <w:t xml:space="preserve"> </w:t>
      </w:r>
      <w:r w:rsidRPr="00FF3D47">
        <w:rPr>
          <w:strike/>
          <w:szCs w:val="24"/>
          <w:lang w:eastAsia="en-US"/>
        </w:rPr>
        <w:t>.</w:t>
      </w:r>
      <w:proofErr w:type="gramEnd"/>
      <w:r w:rsidR="009A0142">
        <w:rPr>
          <w:b/>
          <w:i/>
          <w:szCs w:val="24"/>
          <w:lang w:eastAsia="en-US"/>
        </w:rPr>
        <w:t>[</w:t>
      </w:r>
      <w:proofErr w:type="spellStart"/>
      <w:r w:rsidR="009A0142">
        <w:rPr>
          <w:b/>
          <w:i/>
          <w:szCs w:val="24"/>
          <w:lang w:eastAsia="en-US"/>
        </w:rPr>
        <w:t>Em</w:t>
      </w:r>
      <w:proofErr w:type="spellEnd"/>
      <w:r w:rsidR="009A0142">
        <w:rPr>
          <w:b/>
          <w:i/>
          <w:szCs w:val="24"/>
          <w:lang w:eastAsia="en-US"/>
        </w:rPr>
        <w:t>. 101]</w:t>
      </w:r>
    </w:p>
    <w:p w14:paraId="4E7A441B" w14:textId="13E53A78" w:rsidR="00FF3D47" w:rsidRPr="00FF3D47" w:rsidRDefault="00FF3D47" w:rsidP="00FF3D47">
      <w:pPr>
        <w:spacing w:before="120" w:after="120" w:line="360" w:lineRule="auto"/>
        <w:ind w:left="850"/>
        <w:rPr>
          <w:szCs w:val="24"/>
          <w:lang w:eastAsia="en-US"/>
        </w:rPr>
      </w:pPr>
      <w:r w:rsidRPr="00FF3D47">
        <w:rPr>
          <w:strike/>
          <w:szCs w:val="24"/>
          <w:lang w:eastAsia="en-US"/>
        </w:rPr>
        <w:t>Il suolo non è sano quando non è soddisfatto almeno uno dei criteri di cui al paragrafo ("suolo non sano").</w:t>
      </w:r>
      <w:r w:rsidR="009A0142">
        <w:rPr>
          <w:strike/>
          <w:szCs w:val="24"/>
          <w:lang w:eastAsia="en-US"/>
        </w:rPr>
        <w:t xml:space="preserve"> </w:t>
      </w:r>
      <w:r w:rsidR="009A0142">
        <w:rPr>
          <w:b/>
          <w:i/>
          <w:szCs w:val="24"/>
          <w:lang w:eastAsia="en-US"/>
        </w:rPr>
        <w:t>[</w:t>
      </w:r>
      <w:proofErr w:type="spellStart"/>
      <w:r w:rsidR="009A0142">
        <w:rPr>
          <w:b/>
          <w:i/>
          <w:szCs w:val="24"/>
          <w:lang w:eastAsia="en-US"/>
        </w:rPr>
        <w:t>Em</w:t>
      </w:r>
      <w:proofErr w:type="spellEnd"/>
      <w:r w:rsidR="009A0142">
        <w:rPr>
          <w:b/>
          <w:i/>
          <w:szCs w:val="24"/>
          <w:lang w:eastAsia="en-US"/>
        </w:rPr>
        <w:t>. 102]</w:t>
      </w:r>
    </w:p>
    <w:p w14:paraId="3E781466" w14:textId="77777777" w:rsidR="009A0142" w:rsidRDefault="009A0142" w:rsidP="00FF3D47">
      <w:pPr>
        <w:spacing w:before="120" w:after="120" w:line="360" w:lineRule="auto"/>
        <w:ind w:left="850" w:hanging="850"/>
        <w:rPr>
          <w:szCs w:val="24"/>
          <w:lang w:eastAsia="en-US"/>
        </w:rPr>
      </w:pPr>
      <w:r>
        <w:rPr>
          <w:szCs w:val="24"/>
          <w:lang w:eastAsia="en-US"/>
        </w:rPr>
        <w:br w:type="page"/>
      </w:r>
    </w:p>
    <w:p w14:paraId="4393AE41" w14:textId="245A7CF2"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3.</w:t>
      </w:r>
      <w:r w:rsidRPr="00FF3D47">
        <w:rPr>
          <w:szCs w:val="24"/>
          <w:lang w:eastAsia="en-US"/>
        </w:rPr>
        <w:tab/>
        <w:t xml:space="preserve">Gli Stati membri analizzano i valori per i descrittori del suolo elencati nell'allegato I, </w:t>
      </w:r>
      <w:r w:rsidRPr="00FF3D47">
        <w:rPr>
          <w:strike/>
          <w:szCs w:val="24"/>
          <w:lang w:eastAsia="en-US"/>
        </w:rPr>
        <w:t xml:space="preserve">parte </w:t>
      </w:r>
      <w:proofErr w:type="spellStart"/>
      <w:r w:rsidRPr="00FF3D47">
        <w:rPr>
          <w:strike/>
          <w:szCs w:val="24"/>
          <w:lang w:eastAsia="en-US"/>
        </w:rPr>
        <w:t>C</w:t>
      </w:r>
      <w:r w:rsidRPr="00FF3D47">
        <w:rPr>
          <w:b/>
          <w:i/>
          <w:szCs w:val="24"/>
          <w:lang w:eastAsia="en-US"/>
        </w:rPr>
        <w:t>parti</w:t>
      </w:r>
      <w:proofErr w:type="spellEnd"/>
      <w:r w:rsidRPr="00FF3D47">
        <w:rPr>
          <w:b/>
          <w:i/>
          <w:szCs w:val="24"/>
          <w:lang w:eastAsia="en-US"/>
        </w:rPr>
        <w:t xml:space="preserve"> A, B e C, sulla base del livello scelto per il modello di monitoraggio del suolo</w:t>
      </w:r>
      <w:r w:rsidRPr="00FF3D47">
        <w:rPr>
          <w:szCs w:val="24"/>
          <w:lang w:eastAsia="en-US"/>
        </w:rPr>
        <w:t>, e valutano se vi sia una perdita critica di</w:t>
      </w:r>
      <w:r w:rsidRPr="00FF3D47">
        <w:rPr>
          <w:b/>
          <w:i/>
          <w:szCs w:val="24"/>
          <w:lang w:eastAsia="en-US"/>
        </w:rPr>
        <w:t xml:space="preserve"> biodiversità del suolo e</w:t>
      </w:r>
      <w:r w:rsidRPr="00FF3D47">
        <w:rPr>
          <w:szCs w:val="24"/>
          <w:lang w:eastAsia="en-US"/>
        </w:rPr>
        <w:t xml:space="preserve"> servizi </w:t>
      </w:r>
      <w:proofErr w:type="spellStart"/>
      <w:r w:rsidRPr="00FF3D47">
        <w:rPr>
          <w:szCs w:val="24"/>
          <w:lang w:eastAsia="en-US"/>
        </w:rPr>
        <w:t>ecosistemici</w:t>
      </w:r>
      <w:proofErr w:type="spellEnd"/>
      <w:r w:rsidRPr="00FF3D47">
        <w:rPr>
          <w:szCs w:val="24"/>
          <w:lang w:eastAsia="en-US"/>
        </w:rPr>
        <w:t>, tenendo conto dei dati pertinenti e delle conoscenze scientifiche disponibili.</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103]</w:t>
      </w:r>
    </w:p>
    <w:p w14:paraId="1390C36A" w14:textId="77777777" w:rsidR="00FF3D47" w:rsidRPr="00FF3D47" w:rsidRDefault="00FF3D47" w:rsidP="00FF3D47">
      <w:pPr>
        <w:spacing w:before="120" w:after="120" w:line="360" w:lineRule="auto"/>
        <w:ind w:left="850"/>
        <w:rPr>
          <w:szCs w:val="24"/>
          <w:lang w:eastAsia="en-US"/>
        </w:rPr>
      </w:pPr>
      <w:r w:rsidRPr="00FF3D47">
        <w:rPr>
          <w:szCs w:val="24"/>
          <w:lang w:eastAsia="en-US"/>
        </w:rPr>
        <w:t xml:space="preserve">Gli Stati membri analizzano i valori degli indicatori del consumo di suolo e dell'impermeabilizzazione del suolo elencati nell'allegato I, parte D, e ne valutano l'impatto sulla perdita di servizi </w:t>
      </w:r>
      <w:proofErr w:type="spellStart"/>
      <w:r w:rsidRPr="00FF3D47">
        <w:rPr>
          <w:szCs w:val="24"/>
          <w:lang w:eastAsia="en-US"/>
        </w:rPr>
        <w:t>ecosistemici</w:t>
      </w:r>
      <w:proofErr w:type="spellEnd"/>
      <w:r w:rsidRPr="00FF3D47">
        <w:rPr>
          <w:szCs w:val="24"/>
          <w:lang w:eastAsia="en-US"/>
        </w:rPr>
        <w:t xml:space="preserve"> e sugli obiettivi stabiliti a norma del regolamento (UE) 2018/841.</w:t>
      </w:r>
    </w:p>
    <w:p w14:paraId="33A57E25"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4.</w:t>
      </w:r>
      <w:r w:rsidRPr="00FF3D47">
        <w:rPr>
          <w:szCs w:val="24"/>
          <w:lang w:eastAsia="en-US"/>
        </w:rPr>
        <w:tab/>
        <w:t xml:space="preserve">Sulla base della valutazione della salute del suolo effettuata a norma del presente articolo, l'autorità competente, se del caso in coordinamento con le autorità locali, regionali e nazionali, individua in ciascun distretto del suolo le zone </w:t>
      </w:r>
      <w:r w:rsidRPr="00FF3D47">
        <w:rPr>
          <w:b/>
          <w:i/>
          <w:szCs w:val="24"/>
          <w:lang w:eastAsia="en-US"/>
        </w:rPr>
        <w:t xml:space="preserve">del suolo che </w:t>
      </w:r>
      <w:proofErr w:type="spellStart"/>
      <w:r w:rsidRPr="00FF3D47">
        <w:rPr>
          <w:b/>
          <w:i/>
          <w:szCs w:val="24"/>
          <w:lang w:eastAsia="en-US"/>
        </w:rPr>
        <w:t>non</w:t>
      </w:r>
      <w:r w:rsidRPr="00FF3D47">
        <w:rPr>
          <w:strike/>
          <w:szCs w:val="24"/>
          <w:lang w:eastAsia="en-US"/>
        </w:rPr>
        <w:t>che</w:t>
      </w:r>
      <w:proofErr w:type="spellEnd"/>
      <w:r w:rsidRPr="00FF3D47">
        <w:rPr>
          <w:szCs w:val="24"/>
          <w:lang w:eastAsia="en-US"/>
        </w:rPr>
        <w:t xml:space="preserve"> presentano </w:t>
      </w:r>
      <w:r w:rsidRPr="00FF3D47">
        <w:rPr>
          <w:strike/>
          <w:szCs w:val="24"/>
          <w:lang w:eastAsia="en-US"/>
        </w:rPr>
        <w:t xml:space="preserve">suoli non </w:t>
      </w:r>
      <w:proofErr w:type="spellStart"/>
      <w:r w:rsidRPr="00FF3D47">
        <w:rPr>
          <w:strike/>
          <w:szCs w:val="24"/>
          <w:lang w:eastAsia="en-US"/>
        </w:rPr>
        <w:t>sani</w:t>
      </w:r>
      <w:r w:rsidRPr="00FF3D47">
        <w:rPr>
          <w:b/>
          <w:i/>
          <w:szCs w:val="24"/>
          <w:lang w:eastAsia="en-US"/>
        </w:rPr>
        <w:t>un</w:t>
      </w:r>
      <w:proofErr w:type="spellEnd"/>
      <w:r w:rsidRPr="00FF3D47">
        <w:rPr>
          <w:b/>
          <w:i/>
          <w:szCs w:val="24"/>
          <w:lang w:eastAsia="en-US"/>
        </w:rPr>
        <w:t xml:space="preserve"> elevato stato ecologico o un buono stato ecologico</w:t>
      </w:r>
      <w:r w:rsidRPr="00FF3D47">
        <w:rPr>
          <w:szCs w:val="24"/>
          <w:lang w:eastAsia="en-US"/>
        </w:rPr>
        <w:t xml:space="preserve"> e informa il pubblico conformemente all'articolo 19.</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104]</w:t>
      </w:r>
    </w:p>
    <w:p w14:paraId="6EE5139A" w14:textId="3999DC58" w:rsidR="00FF3D47" w:rsidRPr="00FF3D47" w:rsidRDefault="00FF3D47" w:rsidP="00FF3D47">
      <w:pPr>
        <w:spacing w:before="120" w:after="120" w:line="360" w:lineRule="auto"/>
        <w:ind w:left="850" w:hanging="850"/>
        <w:rPr>
          <w:szCs w:val="24"/>
          <w:lang w:eastAsia="en-US"/>
        </w:rPr>
      </w:pPr>
      <w:r w:rsidRPr="00FF3D47">
        <w:rPr>
          <w:b/>
          <w:i/>
          <w:szCs w:val="24"/>
          <w:lang w:eastAsia="en-US"/>
        </w:rPr>
        <w:t>4</w:t>
      </w:r>
      <w:r w:rsidR="009A0142">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La Commissione adotta atti delegati entro il 31 dicembre 2026 a norma dell'articolo 20 al fine di integrare il presente regolamento stabilendo una metodologia per determinare i valori soglia per i descrittori del suolo di cui all'allegato I per ciascuno stato ecologico del suolo. La metodologia tiene conto delle evidenze scientifiche più recenti nonché delle diverse condizioni climatiche e del tipo di suolo. [</w:t>
      </w:r>
      <w:proofErr w:type="spellStart"/>
      <w:r w:rsidRPr="00FF3D47">
        <w:rPr>
          <w:b/>
          <w:i/>
          <w:szCs w:val="24"/>
          <w:lang w:eastAsia="en-US"/>
        </w:rPr>
        <w:t>Em</w:t>
      </w:r>
      <w:proofErr w:type="spellEnd"/>
      <w:r w:rsidRPr="00FF3D47">
        <w:rPr>
          <w:b/>
          <w:i/>
          <w:szCs w:val="24"/>
          <w:lang w:eastAsia="en-US"/>
        </w:rPr>
        <w:t>. 105]</w:t>
      </w:r>
    </w:p>
    <w:p w14:paraId="5D60C300" w14:textId="77777777" w:rsidR="009A0142" w:rsidRDefault="009A0142" w:rsidP="00FF3D47">
      <w:pPr>
        <w:spacing w:before="120" w:after="120" w:line="360" w:lineRule="auto"/>
        <w:ind w:left="850" w:hanging="850"/>
        <w:rPr>
          <w:b/>
          <w:i/>
          <w:szCs w:val="24"/>
          <w:lang w:eastAsia="en-US"/>
        </w:rPr>
      </w:pPr>
      <w:r>
        <w:rPr>
          <w:b/>
          <w:i/>
          <w:szCs w:val="24"/>
          <w:lang w:eastAsia="en-US"/>
        </w:rPr>
        <w:br w:type="page"/>
      </w:r>
    </w:p>
    <w:p w14:paraId="652DE3B1" w14:textId="187F0EA0"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4</w:t>
      </w:r>
      <w:r w:rsidR="009A0142">
        <w:rPr>
          <w:b/>
          <w:i/>
          <w:szCs w:val="24"/>
          <w:lang w:eastAsia="en-US"/>
        </w:rPr>
        <w:t xml:space="preserve"> ter</w:t>
      </w:r>
      <w:r w:rsidRPr="00FF3D47">
        <w:rPr>
          <w:b/>
          <w:i/>
          <w:szCs w:val="24"/>
          <w:lang w:eastAsia="en-US"/>
        </w:rPr>
        <w:t>.</w:t>
      </w:r>
      <w:r w:rsidRPr="00FF3D47">
        <w:rPr>
          <w:szCs w:val="24"/>
          <w:lang w:eastAsia="en-US"/>
        </w:rPr>
        <w:tab/>
      </w:r>
      <w:r w:rsidRPr="00FF3D47">
        <w:rPr>
          <w:b/>
          <w:i/>
          <w:szCs w:val="24"/>
          <w:lang w:eastAsia="en-US"/>
        </w:rPr>
        <w:t>Entro il 30 giugno 2028 gli Stati membri presentano alla Commissione progetti di valori soglia per i descrittori del suolo di cui all'allegato I, tenendo conto delle condizioni climatiche, del tipo di suolo e del tipo di superficie, unitamente alla giustificazione scientifica e alle prove su cui si basano le loro scelte. [</w:t>
      </w:r>
      <w:proofErr w:type="spellStart"/>
      <w:r w:rsidRPr="00FF3D47">
        <w:rPr>
          <w:b/>
          <w:i/>
          <w:szCs w:val="24"/>
          <w:lang w:eastAsia="en-US"/>
        </w:rPr>
        <w:t>Em</w:t>
      </w:r>
      <w:proofErr w:type="spellEnd"/>
      <w:r w:rsidRPr="00FF3D47">
        <w:rPr>
          <w:b/>
          <w:i/>
          <w:szCs w:val="24"/>
          <w:lang w:eastAsia="en-US"/>
        </w:rPr>
        <w:t>. 106]</w:t>
      </w:r>
    </w:p>
    <w:p w14:paraId="2C84FB1B" w14:textId="309289E5" w:rsidR="00FF3D47" w:rsidRPr="00FF3D47" w:rsidRDefault="00FF3D47" w:rsidP="00FF3D47">
      <w:pPr>
        <w:spacing w:before="120" w:after="120" w:line="360" w:lineRule="auto"/>
        <w:ind w:left="850" w:hanging="850"/>
        <w:rPr>
          <w:szCs w:val="24"/>
          <w:lang w:eastAsia="en-US"/>
        </w:rPr>
      </w:pPr>
      <w:r w:rsidRPr="00FF3D47">
        <w:rPr>
          <w:b/>
          <w:i/>
          <w:szCs w:val="24"/>
          <w:lang w:eastAsia="en-US"/>
        </w:rPr>
        <w:t>4</w:t>
      </w:r>
      <w:r w:rsidR="009A0142">
        <w:rPr>
          <w:b/>
          <w:i/>
          <w:szCs w:val="24"/>
          <w:lang w:eastAsia="en-US"/>
        </w:rPr>
        <w:t xml:space="preserve"> quater</w:t>
      </w:r>
      <w:r w:rsidRPr="00FF3D47">
        <w:rPr>
          <w:b/>
          <w:i/>
          <w:szCs w:val="24"/>
          <w:lang w:eastAsia="en-US"/>
        </w:rPr>
        <w:t>.</w:t>
      </w:r>
      <w:r w:rsidRPr="00FF3D47">
        <w:rPr>
          <w:szCs w:val="24"/>
          <w:lang w:eastAsia="en-US"/>
        </w:rPr>
        <w:tab/>
      </w:r>
      <w:r w:rsidRPr="00FF3D47">
        <w:rPr>
          <w:b/>
          <w:i/>
          <w:szCs w:val="24"/>
          <w:lang w:eastAsia="en-US"/>
        </w:rPr>
        <w:t>Entro sei mesi dalla data di presentazione dei progetti di valori soglia di cui al paragrafo 4 ter, la Commissione formula osservazioni sui progetti di valori soglia, valutandone la giustificazione scientifica e garantendo condizioni di parità nel mercato interno. Gli Stati membri forniscono alla Commissione, su richiesta della medesima, tutte le informazioni supplementari necessarie e, se del caso, rivedono i valori soglia proposti. [</w:t>
      </w:r>
      <w:proofErr w:type="spellStart"/>
      <w:r w:rsidRPr="00FF3D47">
        <w:rPr>
          <w:b/>
          <w:i/>
          <w:szCs w:val="24"/>
          <w:lang w:eastAsia="en-US"/>
        </w:rPr>
        <w:t>Em</w:t>
      </w:r>
      <w:proofErr w:type="spellEnd"/>
      <w:r w:rsidRPr="00FF3D47">
        <w:rPr>
          <w:b/>
          <w:i/>
          <w:szCs w:val="24"/>
          <w:lang w:eastAsia="en-US"/>
        </w:rPr>
        <w:t>. 107]</w:t>
      </w:r>
    </w:p>
    <w:p w14:paraId="04A213AD" w14:textId="575F6283" w:rsidR="00FF3D47" w:rsidRPr="00FF3D47" w:rsidRDefault="009A0142" w:rsidP="00FF3D47">
      <w:pPr>
        <w:spacing w:before="120" w:after="120" w:line="360" w:lineRule="auto"/>
        <w:ind w:left="850" w:hanging="850"/>
        <w:rPr>
          <w:szCs w:val="24"/>
          <w:lang w:eastAsia="en-US"/>
        </w:rPr>
      </w:pPr>
      <w:r>
        <w:rPr>
          <w:b/>
          <w:i/>
          <w:szCs w:val="24"/>
          <w:lang w:eastAsia="en-US"/>
        </w:rPr>
        <w:t xml:space="preserve">4 </w:t>
      </w:r>
      <w:proofErr w:type="spellStart"/>
      <w:r>
        <w:rPr>
          <w:b/>
          <w:i/>
          <w:szCs w:val="24"/>
          <w:lang w:eastAsia="en-US"/>
        </w:rPr>
        <w:t>quinquies</w:t>
      </w:r>
      <w:proofErr w:type="spellEnd"/>
      <w:r w:rsidR="00FF3D47" w:rsidRPr="00FF3D47">
        <w:rPr>
          <w:b/>
          <w:i/>
          <w:szCs w:val="24"/>
          <w:lang w:eastAsia="en-US"/>
        </w:rPr>
        <w:t>.</w:t>
      </w:r>
      <w:r w:rsidR="00FF3D47" w:rsidRPr="00FF3D47">
        <w:rPr>
          <w:szCs w:val="24"/>
          <w:lang w:eastAsia="en-US"/>
        </w:rPr>
        <w:tab/>
      </w:r>
      <w:r w:rsidR="00FF3D47" w:rsidRPr="00FF3D47">
        <w:rPr>
          <w:b/>
          <w:i/>
          <w:szCs w:val="24"/>
          <w:lang w:eastAsia="en-US"/>
        </w:rPr>
        <w:t>La Commissione approva, mediante atti di esecuzione, i valori soglia al più tardi entro il 31 dicembre 2029 purché le eventuali osservazioni da essa formulate a norma del paragrafo 4 quater siano state adeguatamente prese in considerazione. [</w:t>
      </w:r>
      <w:proofErr w:type="spellStart"/>
      <w:r w:rsidR="00FF3D47" w:rsidRPr="00FF3D47">
        <w:rPr>
          <w:b/>
          <w:i/>
          <w:szCs w:val="24"/>
          <w:lang w:eastAsia="en-US"/>
        </w:rPr>
        <w:t>Em</w:t>
      </w:r>
      <w:proofErr w:type="spellEnd"/>
      <w:r w:rsidR="00FF3D47" w:rsidRPr="00FF3D47">
        <w:rPr>
          <w:b/>
          <w:i/>
          <w:szCs w:val="24"/>
          <w:lang w:eastAsia="en-US"/>
        </w:rPr>
        <w:t>. 108]</w:t>
      </w:r>
    </w:p>
    <w:p w14:paraId="58D997A8" w14:textId="6E556B21" w:rsidR="00FF3D47" w:rsidRPr="00FF3D47" w:rsidRDefault="00FF3D47" w:rsidP="00FF3D47">
      <w:pPr>
        <w:spacing w:before="120" w:after="120" w:line="360" w:lineRule="auto"/>
        <w:ind w:left="850" w:hanging="850"/>
        <w:rPr>
          <w:szCs w:val="24"/>
          <w:lang w:eastAsia="en-US"/>
        </w:rPr>
      </w:pPr>
      <w:r w:rsidRPr="00FF3D47">
        <w:rPr>
          <w:b/>
          <w:i/>
          <w:szCs w:val="24"/>
          <w:lang w:eastAsia="en-US"/>
        </w:rPr>
        <w:t>4</w:t>
      </w:r>
      <w:r w:rsidR="009A0142">
        <w:rPr>
          <w:b/>
          <w:i/>
          <w:szCs w:val="24"/>
          <w:lang w:eastAsia="en-US"/>
        </w:rPr>
        <w:t xml:space="preserve"> </w:t>
      </w:r>
      <w:proofErr w:type="spellStart"/>
      <w:r w:rsidR="009A0142">
        <w:rPr>
          <w:b/>
          <w:i/>
          <w:szCs w:val="24"/>
          <w:lang w:eastAsia="en-US"/>
        </w:rPr>
        <w:t>sexies</w:t>
      </w:r>
      <w:proofErr w:type="spellEnd"/>
      <w:r w:rsidRPr="00FF3D47">
        <w:rPr>
          <w:b/>
          <w:i/>
          <w:szCs w:val="24"/>
          <w:lang w:eastAsia="en-US"/>
        </w:rPr>
        <w:t>.</w:t>
      </w:r>
      <w:r w:rsidRPr="00FF3D47">
        <w:rPr>
          <w:szCs w:val="24"/>
          <w:lang w:eastAsia="en-US"/>
        </w:rPr>
        <w:tab/>
      </w:r>
      <w:r w:rsidRPr="00FF3D47">
        <w:rPr>
          <w:b/>
          <w:i/>
          <w:szCs w:val="24"/>
          <w:lang w:eastAsia="en-US"/>
        </w:rPr>
        <w:t xml:space="preserve">Se applicano un modello di monitoraggio del suolo di livello 2, gli Stati membri possono beneficiare di una variazione fino al 20 % rispetto ai valori soglia fissati conformemente al paragrafo 4 </w:t>
      </w:r>
      <w:proofErr w:type="spellStart"/>
      <w:r w:rsidRPr="00FF3D47">
        <w:rPr>
          <w:b/>
          <w:i/>
          <w:szCs w:val="24"/>
          <w:lang w:eastAsia="en-US"/>
        </w:rPr>
        <w:t>quinquies</w:t>
      </w:r>
      <w:proofErr w:type="spellEnd"/>
      <w:r w:rsidRPr="00FF3D47">
        <w:rPr>
          <w:b/>
          <w:i/>
          <w:szCs w:val="24"/>
          <w:lang w:eastAsia="en-US"/>
        </w:rPr>
        <w:t>. [</w:t>
      </w:r>
      <w:proofErr w:type="spellStart"/>
      <w:r w:rsidRPr="00FF3D47">
        <w:rPr>
          <w:b/>
          <w:i/>
          <w:szCs w:val="24"/>
          <w:lang w:eastAsia="en-US"/>
        </w:rPr>
        <w:t>Em</w:t>
      </w:r>
      <w:proofErr w:type="spellEnd"/>
      <w:r w:rsidRPr="00FF3D47">
        <w:rPr>
          <w:b/>
          <w:i/>
          <w:szCs w:val="24"/>
          <w:lang w:eastAsia="en-US"/>
        </w:rPr>
        <w:t>. 110]</w:t>
      </w:r>
    </w:p>
    <w:p w14:paraId="205B8A18" w14:textId="77777777" w:rsidR="009A0142" w:rsidRDefault="009A0142" w:rsidP="00FF3D47">
      <w:pPr>
        <w:spacing w:before="120" w:after="120" w:line="360" w:lineRule="auto"/>
        <w:ind w:left="850" w:hanging="850"/>
        <w:rPr>
          <w:strike/>
          <w:szCs w:val="24"/>
          <w:lang w:eastAsia="en-US"/>
        </w:rPr>
      </w:pPr>
      <w:r>
        <w:rPr>
          <w:strike/>
          <w:szCs w:val="24"/>
          <w:lang w:eastAsia="en-US"/>
        </w:rPr>
        <w:br w:type="page"/>
      </w:r>
    </w:p>
    <w:p w14:paraId="2E9BF0A2" w14:textId="3CBC0AF4" w:rsidR="00FF3D47" w:rsidRPr="00FF3D47" w:rsidRDefault="00FF3D47" w:rsidP="00FF3D47">
      <w:pPr>
        <w:spacing w:before="120" w:after="120" w:line="360" w:lineRule="auto"/>
        <w:ind w:left="850" w:hanging="850"/>
        <w:rPr>
          <w:szCs w:val="24"/>
          <w:lang w:eastAsia="en-US"/>
        </w:rPr>
      </w:pPr>
      <w:r w:rsidRPr="00FF3D47">
        <w:rPr>
          <w:strike/>
          <w:szCs w:val="24"/>
          <w:lang w:eastAsia="en-US"/>
        </w:rPr>
        <w:lastRenderedPageBreak/>
        <w:t>5.</w:t>
      </w:r>
      <w:r w:rsidRPr="00FF3D47">
        <w:rPr>
          <w:szCs w:val="24"/>
          <w:lang w:eastAsia="en-US"/>
        </w:rPr>
        <w:tab/>
      </w:r>
      <w:r w:rsidRPr="00FF3D47">
        <w:rPr>
          <w:strike/>
          <w:szCs w:val="24"/>
          <w:lang w:eastAsia="en-US"/>
        </w:rPr>
        <w:t>Gli Stati membri istituiscono un meccanismo di certificazione sanitaria volontaria del suolo per i proprietari e i gestori dei terreni conformemente alle condizioni di cui al paragrafo 2 del presente articolo.</w:t>
      </w:r>
      <w:r w:rsidR="009A0142">
        <w:rPr>
          <w:strike/>
          <w:szCs w:val="24"/>
          <w:lang w:eastAsia="en-US"/>
        </w:rPr>
        <w:t xml:space="preserve"> </w:t>
      </w:r>
      <w:r w:rsidR="009A0142">
        <w:rPr>
          <w:b/>
          <w:i/>
          <w:szCs w:val="24"/>
          <w:lang w:eastAsia="en-US"/>
        </w:rPr>
        <w:t>[</w:t>
      </w:r>
      <w:proofErr w:type="spellStart"/>
      <w:r w:rsidR="009A0142">
        <w:rPr>
          <w:b/>
          <w:i/>
          <w:szCs w:val="24"/>
          <w:lang w:eastAsia="en-US"/>
        </w:rPr>
        <w:t>Em</w:t>
      </w:r>
      <w:proofErr w:type="spellEnd"/>
      <w:r w:rsidR="009A0142">
        <w:rPr>
          <w:b/>
          <w:i/>
          <w:szCs w:val="24"/>
          <w:lang w:eastAsia="en-US"/>
        </w:rPr>
        <w:t>. 111]</w:t>
      </w:r>
    </w:p>
    <w:p w14:paraId="2F6B4035" w14:textId="3E21820F" w:rsidR="00FF3D47" w:rsidRPr="00FF3D47" w:rsidRDefault="00FF3D47" w:rsidP="00FF3D47">
      <w:pPr>
        <w:spacing w:before="120" w:after="120" w:line="360" w:lineRule="auto"/>
        <w:ind w:left="850"/>
        <w:rPr>
          <w:szCs w:val="24"/>
          <w:lang w:eastAsia="en-US"/>
        </w:rPr>
      </w:pPr>
      <w:r w:rsidRPr="00FF3D47">
        <w:rPr>
          <w:strike/>
          <w:szCs w:val="24"/>
          <w:lang w:eastAsia="en-US"/>
        </w:rPr>
        <w:t>La Commissione può adottare atti di esecuzione per armonizzare il formato della certificazione sanitaria del suolo. Gli atti di esecuzione sono adottati secondo la procedura di esame di cui all'articolo 21.</w:t>
      </w:r>
      <w:r w:rsidR="009A0142">
        <w:rPr>
          <w:strike/>
          <w:szCs w:val="24"/>
          <w:lang w:eastAsia="en-US"/>
        </w:rPr>
        <w:t xml:space="preserve"> </w:t>
      </w:r>
      <w:r w:rsidR="009A0142">
        <w:rPr>
          <w:b/>
          <w:i/>
          <w:szCs w:val="24"/>
          <w:lang w:eastAsia="en-US"/>
        </w:rPr>
        <w:t>[</w:t>
      </w:r>
      <w:proofErr w:type="spellStart"/>
      <w:r w:rsidR="009A0142">
        <w:rPr>
          <w:b/>
          <w:i/>
          <w:szCs w:val="24"/>
          <w:lang w:eastAsia="en-US"/>
        </w:rPr>
        <w:t>Em</w:t>
      </w:r>
      <w:proofErr w:type="spellEnd"/>
      <w:r w:rsidR="009A0142">
        <w:rPr>
          <w:b/>
          <w:i/>
          <w:szCs w:val="24"/>
          <w:lang w:eastAsia="en-US"/>
        </w:rPr>
        <w:t>. 112]</w:t>
      </w:r>
    </w:p>
    <w:p w14:paraId="408B046D"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6.</w:t>
      </w:r>
      <w:r w:rsidRPr="00FF3D47">
        <w:rPr>
          <w:szCs w:val="24"/>
          <w:lang w:eastAsia="en-US"/>
        </w:rPr>
        <w:tab/>
      </w:r>
      <w:r w:rsidRPr="00FF3D47">
        <w:rPr>
          <w:strike/>
          <w:szCs w:val="24"/>
          <w:lang w:eastAsia="en-US"/>
        </w:rPr>
        <w:t xml:space="preserve">Su richiesta dei proprietari e dei gestori dei terreni interessati, </w:t>
      </w:r>
      <w:r w:rsidRPr="00FF3D47">
        <w:rPr>
          <w:szCs w:val="24"/>
          <w:lang w:eastAsia="en-US"/>
        </w:rPr>
        <w:t>Gli Stati membri comunicano</w:t>
      </w:r>
      <w:r w:rsidRPr="00FF3D47">
        <w:rPr>
          <w:strike/>
          <w:szCs w:val="24"/>
          <w:lang w:eastAsia="en-US"/>
        </w:rPr>
        <w:t xml:space="preserve"> loro</w:t>
      </w:r>
      <w:r w:rsidRPr="00FF3D47">
        <w:rPr>
          <w:szCs w:val="24"/>
          <w:lang w:eastAsia="en-US"/>
        </w:rPr>
        <w:t xml:space="preserve"> i dati e la valutazione relativi alla salute del suolo di cui agli articoli da 6 a 9</w:t>
      </w:r>
      <w:r w:rsidRPr="00FF3D47">
        <w:rPr>
          <w:b/>
          <w:i/>
          <w:szCs w:val="24"/>
          <w:lang w:eastAsia="en-US"/>
        </w:rPr>
        <w:t xml:space="preserve"> ai proprietari e ai gestori dei terreni interessati e li mettono a loro disposizione gratuitamente</w:t>
      </w:r>
      <w:r w:rsidRPr="00FF3D47">
        <w:rPr>
          <w:szCs w:val="24"/>
          <w:lang w:eastAsia="en-US"/>
        </w:rPr>
        <w:t>, in particolare a supporto della consulenza di cui all'articolo 10, paragrafo 3.</w:t>
      </w:r>
      <w:r w:rsidRPr="00FF3D47">
        <w:rPr>
          <w:b/>
          <w:i/>
          <w:szCs w:val="24"/>
          <w:lang w:eastAsia="en-US"/>
        </w:rPr>
        <w:t xml:space="preserve"> Gli Stati membri provvedono affinché gli istituti di ricerca possano accedere facilmente, gratuitamente e senza soluzione di continuità ai campioni, agli estratti di DNA e ai dati grezzi. [</w:t>
      </w:r>
      <w:proofErr w:type="spellStart"/>
      <w:r w:rsidRPr="00FF3D47">
        <w:rPr>
          <w:b/>
          <w:i/>
          <w:szCs w:val="24"/>
          <w:lang w:eastAsia="en-US"/>
        </w:rPr>
        <w:t>Em</w:t>
      </w:r>
      <w:proofErr w:type="spellEnd"/>
      <w:r w:rsidRPr="00FF3D47">
        <w:rPr>
          <w:b/>
          <w:i/>
          <w:szCs w:val="24"/>
          <w:lang w:eastAsia="en-US"/>
        </w:rPr>
        <w:t>. 113]</w:t>
      </w:r>
    </w:p>
    <w:p w14:paraId="0B35212C" w14:textId="77777777" w:rsidR="009A0142" w:rsidRDefault="009A0142" w:rsidP="00FF3D47">
      <w:pPr>
        <w:spacing w:before="120" w:after="120" w:line="360" w:lineRule="auto"/>
        <w:jc w:val="center"/>
        <w:rPr>
          <w:szCs w:val="24"/>
          <w:lang w:eastAsia="en-US"/>
        </w:rPr>
      </w:pPr>
      <w:r>
        <w:rPr>
          <w:szCs w:val="24"/>
          <w:lang w:eastAsia="en-US"/>
        </w:rPr>
        <w:br w:type="page"/>
      </w:r>
    </w:p>
    <w:p w14:paraId="303594E7" w14:textId="2EEB1298" w:rsidR="00FF3D47" w:rsidRPr="00FF3D47" w:rsidRDefault="00FF3D47" w:rsidP="00FF3D47">
      <w:pPr>
        <w:spacing w:before="120" w:after="120" w:line="360" w:lineRule="auto"/>
        <w:jc w:val="center"/>
        <w:rPr>
          <w:szCs w:val="24"/>
          <w:lang w:eastAsia="en-US"/>
        </w:rPr>
      </w:pPr>
      <w:r w:rsidRPr="00FF3D47">
        <w:rPr>
          <w:szCs w:val="24"/>
          <w:lang w:eastAsia="en-US"/>
        </w:rPr>
        <w:lastRenderedPageBreak/>
        <w:t>Capo III</w:t>
      </w:r>
      <w:r w:rsidRPr="00FF3D47">
        <w:rPr>
          <w:szCs w:val="24"/>
          <w:lang w:eastAsia="en-US"/>
        </w:rPr>
        <w:br/>
        <w:t>Gestione sostenibile del suolo</w:t>
      </w:r>
    </w:p>
    <w:p w14:paraId="129E2A74" w14:textId="77777777" w:rsidR="00FF3D47" w:rsidRPr="00FF3D47" w:rsidRDefault="00FF3D47" w:rsidP="00FF3D47">
      <w:pPr>
        <w:spacing w:before="120" w:after="120" w:line="360" w:lineRule="auto"/>
        <w:jc w:val="center"/>
        <w:rPr>
          <w:szCs w:val="24"/>
          <w:lang w:eastAsia="en-US"/>
        </w:rPr>
      </w:pPr>
      <w:r w:rsidRPr="00FF3D47">
        <w:rPr>
          <w:szCs w:val="24"/>
          <w:lang w:eastAsia="en-US"/>
        </w:rPr>
        <w:t>Articolo 10</w:t>
      </w:r>
      <w:r w:rsidRPr="00FF3D47">
        <w:rPr>
          <w:szCs w:val="24"/>
          <w:lang w:eastAsia="en-US"/>
        </w:rPr>
        <w:br/>
        <w:t xml:space="preserve">Gestione sostenibile del suolo </w:t>
      </w:r>
    </w:p>
    <w:p w14:paraId="58CF5106"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1.</w:t>
      </w:r>
      <w:r w:rsidRPr="00FF3D47">
        <w:rPr>
          <w:szCs w:val="24"/>
          <w:lang w:eastAsia="en-US"/>
        </w:rPr>
        <w:tab/>
      </w:r>
      <w:r w:rsidRPr="00FF3D47">
        <w:rPr>
          <w:strike/>
          <w:szCs w:val="24"/>
          <w:lang w:eastAsia="en-US"/>
        </w:rPr>
        <w:t>Dal (OP: inserire la data corrispondente a 4 anni dopo la data di entrata in vigore della direttiva), tenendo conto del tipo, dell'uso e dello stato del suolo, gli Stati membri adottano almeno misure per:</w:t>
      </w:r>
    </w:p>
    <w:p w14:paraId="24642574" w14:textId="77777777" w:rsidR="00FF3D47" w:rsidRPr="00FF3D47" w:rsidRDefault="00FF3D47" w:rsidP="00FF3D47">
      <w:pPr>
        <w:spacing w:before="120" w:after="120" w:line="360" w:lineRule="auto"/>
        <w:ind w:left="1416" w:hanging="566"/>
        <w:rPr>
          <w:szCs w:val="24"/>
          <w:lang w:eastAsia="en-US"/>
        </w:rPr>
      </w:pPr>
      <w:r w:rsidRPr="00FF3D47">
        <w:rPr>
          <w:strike/>
          <w:szCs w:val="24"/>
          <w:lang w:eastAsia="en-US"/>
        </w:rPr>
        <w:t>(a)</w:t>
      </w:r>
      <w:r w:rsidRPr="00FF3D47">
        <w:rPr>
          <w:szCs w:val="24"/>
          <w:lang w:eastAsia="en-US"/>
        </w:rPr>
        <w:tab/>
      </w:r>
      <w:r w:rsidRPr="00FF3D47">
        <w:rPr>
          <w:strike/>
          <w:szCs w:val="24"/>
          <w:lang w:eastAsia="en-US"/>
        </w:rPr>
        <w:t>definire le pratiche di gestione sostenibile del suolo che rispettano i principi di gestione sostenibile del suolo elencati nell'allegato III da attuare gradualmente su tutti i suoli gestiti e, sulla base dei risultati delle valutazioni del suolo effettuate conformemente all'articolo 9, le pratiche di rigenerazione da attuare gradualmente sui suoli non sani negli Stati membri;</w:t>
      </w:r>
    </w:p>
    <w:p w14:paraId="30FD978D" w14:textId="77777777" w:rsidR="00FF3D47" w:rsidRPr="00FF3D47" w:rsidRDefault="00FF3D47" w:rsidP="00FF3D47">
      <w:pPr>
        <w:spacing w:before="120" w:after="120" w:line="360" w:lineRule="auto"/>
        <w:ind w:left="1416" w:hanging="566"/>
        <w:rPr>
          <w:szCs w:val="24"/>
          <w:lang w:eastAsia="en-US"/>
        </w:rPr>
      </w:pPr>
      <w:r w:rsidRPr="00FF3D47">
        <w:rPr>
          <w:strike/>
          <w:szCs w:val="24"/>
          <w:lang w:eastAsia="en-US"/>
        </w:rPr>
        <w:t>(b)</w:t>
      </w:r>
      <w:r w:rsidRPr="00FF3D47">
        <w:rPr>
          <w:szCs w:val="24"/>
          <w:lang w:eastAsia="en-US"/>
        </w:rPr>
        <w:tab/>
      </w:r>
      <w:r w:rsidRPr="00FF3D47">
        <w:rPr>
          <w:strike/>
          <w:szCs w:val="24"/>
          <w:lang w:eastAsia="en-US"/>
        </w:rPr>
        <w:t>definire le pratiche di gestione del suolo e di altro tipo che incidono negativamente sulla salute del suolo e che i gestori del suolo devono evitare.</w:t>
      </w:r>
    </w:p>
    <w:p w14:paraId="0BABCFD9" w14:textId="77777777" w:rsidR="00FF3D47" w:rsidRPr="00FF3D47" w:rsidRDefault="00FF3D47" w:rsidP="00FF3D47">
      <w:pPr>
        <w:spacing w:before="120" w:after="120" w:line="360" w:lineRule="auto"/>
        <w:ind w:left="850"/>
        <w:rPr>
          <w:szCs w:val="24"/>
          <w:lang w:eastAsia="en-US"/>
        </w:rPr>
      </w:pPr>
      <w:r w:rsidRPr="00FF3D47">
        <w:rPr>
          <w:strike/>
          <w:szCs w:val="24"/>
          <w:lang w:eastAsia="en-US"/>
        </w:rPr>
        <w:t>Nel definire le pratiche e le misure di cui al presente paragrafo, gli Stati membri tengono conto dei programmi, dei piani, degli obiettivi e delle misure elencati nell'allegato IV, nonché delle ultime conoscenze scientifiche, tra cui i risultati della missione di Orizzonte Europa "Un patto europeo per i suoli".</w:t>
      </w:r>
    </w:p>
    <w:p w14:paraId="59516038" w14:textId="77777777" w:rsidR="00FF3D47" w:rsidRPr="00FF3D47" w:rsidRDefault="00FF3D47" w:rsidP="00FF3D47">
      <w:pPr>
        <w:spacing w:before="120" w:after="120" w:line="360" w:lineRule="auto"/>
        <w:ind w:left="850"/>
        <w:rPr>
          <w:szCs w:val="24"/>
          <w:lang w:eastAsia="en-US"/>
        </w:rPr>
      </w:pPr>
      <w:r w:rsidRPr="00FF3D47">
        <w:rPr>
          <w:strike/>
          <w:szCs w:val="24"/>
          <w:lang w:eastAsia="en-US"/>
        </w:rPr>
        <w:t>Gli Stati membri individuano le sinergie con i programmi, i piani e le misure stabiliti nell'allegato IV. I dati di monitoraggio e i risultati delle valutazioni della salute del suolo, nonché l'analisi di cui all'articolo 9 e le misure di gestione sostenibile del suolo confluiscono nell'elaborazione dei programmi, dei piani e delle misure di cui all'allegato IV.</w:t>
      </w:r>
    </w:p>
    <w:p w14:paraId="21E51A83" w14:textId="568DA3B8" w:rsidR="00FF3D47" w:rsidRPr="00FF3D47" w:rsidRDefault="00FF3D47" w:rsidP="00FF3D47">
      <w:pPr>
        <w:spacing w:before="120" w:after="120" w:line="360" w:lineRule="auto"/>
        <w:ind w:left="850"/>
        <w:rPr>
          <w:szCs w:val="24"/>
          <w:lang w:eastAsia="en-US"/>
        </w:rPr>
      </w:pPr>
      <w:r w:rsidRPr="00FF3D47">
        <w:rPr>
          <w:strike/>
          <w:szCs w:val="24"/>
          <w:lang w:eastAsia="en-US"/>
        </w:rPr>
        <w:t>Gli Stati membri provvedono affinché il processo di elaborazione delle pratiche di cui al primo comma sia aperto, inclusivo ed efficace e affinché il pubblico interessato, in particolare i proprietari e i gestori dei terreni, sia coinvolto e abbia l'opportunità effettiva di partecipare in modo tempestivo alla loro elaborazione.</w:t>
      </w:r>
      <w:r w:rsidR="009A0142">
        <w:rPr>
          <w:strike/>
          <w:szCs w:val="24"/>
          <w:lang w:eastAsia="en-US"/>
        </w:rPr>
        <w:t xml:space="preserve"> </w:t>
      </w:r>
      <w:r w:rsidR="009A0142">
        <w:rPr>
          <w:b/>
          <w:i/>
          <w:szCs w:val="24"/>
          <w:lang w:eastAsia="en-US"/>
        </w:rPr>
        <w:t>[</w:t>
      </w:r>
      <w:proofErr w:type="spellStart"/>
      <w:r w:rsidR="009A0142">
        <w:rPr>
          <w:b/>
          <w:i/>
          <w:szCs w:val="24"/>
          <w:lang w:eastAsia="en-US"/>
        </w:rPr>
        <w:t>Em</w:t>
      </w:r>
      <w:proofErr w:type="spellEnd"/>
      <w:r w:rsidR="009A0142">
        <w:rPr>
          <w:b/>
          <w:i/>
          <w:szCs w:val="24"/>
          <w:lang w:eastAsia="en-US"/>
        </w:rPr>
        <w:t>.</w:t>
      </w:r>
      <w:r w:rsidR="009A0142">
        <w:rPr>
          <w:rFonts w:eastAsia="Calibri"/>
          <w:b/>
        </w:rPr>
        <w:t> </w:t>
      </w:r>
      <w:r w:rsidR="009A0142">
        <w:rPr>
          <w:b/>
          <w:i/>
          <w:szCs w:val="24"/>
          <w:lang w:eastAsia="en-US"/>
        </w:rPr>
        <w:t>24</w:t>
      </w:r>
      <w:r w:rsidR="009A0142" w:rsidRPr="00FF3D47">
        <w:rPr>
          <w:b/>
          <w:i/>
          <w:szCs w:val="24"/>
          <w:lang w:eastAsia="en-US"/>
        </w:rPr>
        <w:t>8</w:t>
      </w:r>
      <w:r w:rsidR="009A0142">
        <w:rPr>
          <w:b/>
          <w:i/>
          <w:szCs w:val="24"/>
          <w:lang w:eastAsia="en-US"/>
        </w:rPr>
        <w:t>]</w:t>
      </w:r>
    </w:p>
    <w:p w14:paraId="79CB9C37" w14:textId="77777777" w:rsidR="009A0142" w:rsidRDefault="009A0142" w:rsidP="00FF3D47">
      <w:pPr>
        <w:spacing w:before="120" w:after="120" w:line="360" w:lineRule="auto"/>
        <w:ind w:left="850" w:hanging="850"/>
        <w:rPr>
          <w:szCs w:val="24"/>
          <w:lang w:eastAsia="en-US"/>
        </w:rPr>
      </w:pPr>
      <w:r>
        <w:rPr>
          <w:szCs w:val="24"/>
          <w:lang w:eastAsia="en-US"/>
        </w:rPr>
        <w:br w:type="page"/>
      </w:r>
    </w:p>
    <w:p w14:paraId="6D36E915" w14:textId="7A9679CD"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2.</w:t>
      </w:r>
      <w:r w:rsidRPr="00FF3D47">
        <w:rPr>
          <w:szCs w:val="24"/>
          <w:lang w:eastAsia="en-US"/>
        </w:rPr>
        <w:tab/>
        <w:t xml:space="preserve">Gli Stati membri provvedono affinché i gestori del suolo, i proprietari </w:t>
      </w:r>
      <w:r w:rsidRPr="00FF3D47">
        <w:rPr>
          <w:b/>
          <w:i/>
          <w:szCs w:val="24"/>
          <w:lang w:eastAsia="en-US"/>
        </w:rPr>
        <w:t xml:space="preserve">e i gestori </w:t>
      </w:r>
      <w:r w:rsidRPr="00FF3D47">
        <w:rPr>
          <w:szCs w:val="24"/>
          <w:lang w:eastAsia="en-US"/>
        </w:rPr>
        <w:t>dei terreni e le autorità competenti possano accedere facilmente</w:t>
      </w:r>
      <w:r w:rsidRPr="00FF3D47">
        <w:rPr>
          <w:b/>
          <w:i/>
          <w:szCs w:val="24"/>
          <w:lang w:eastAsia="en-US"/>
        </w:rPr>
        <w:t xml:space="preserve"> e in condizioni di parità</w:t>
      </w:r>
      <w:r w:rsidRPr="00FF3D47">
        <w:rPr>
          <w:szCs w:val="24"/>
          <w:lang w:eastAsia="en-US"/>
        </w:rPr>
        <w:t xml:space="preserve"> a consulenze imparziali e indipendenti in materia di gestione sostenibile del suolo, ad attività di formazione e allo sviluppo di capacità</w:t>
      </w:r>
      <w:r w:rsidRPr="00FF3D47">
        <w:rPr>
          <w:b/>
          <w:i/>
          <w:szCs w:val="24"/>
          <w:lang w:eastAsia="en-US"/>
        </w:rPr>
        <w:t>, in tutti i loro distretti del suolo</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120 e 249]</w:t>
      </w:r>
    </w:p>
    <w:p w14:paraId="6E98AE22" w14:textId="77777777" w:rsidR="00FF3D47" w:rsidRPr="00FF3D47" w:rsidRDefault="00FF3D47" w:rsidP="00FF3D47">
      <w:pPr>
        <w:spacing w:before="120" w:after="120" w:line="360" w:lineRule="auto"/>
        <w:ind w:left="850"/>
        <w:rPr>
          <w:szCs w:val="24"/>
          <w:lang w:eastAsia="en-US"/>
        </w:rPr>
      </w:pPr>
      <w:r w:rsidRPr="00FF3D47">
        <w:rPr>
          <w:szCs w:val="24"/>
          <w:lang w:eastAsia="en-US"/>
        </w:rPr>
        <w:t>Gli Stati membri adottano inoltre misure per:</w:t>
      </w:r>
    </w:p>
    <w:p w14:paraId="725D3094" w14:textId="12CEBAFD"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sensibilizzare in merito ai molteplici benefici a medio e lungo termine di una gestione sostenibile del suolo e alla necessità di gestire i suoli in modo sostenibile;</w:t>
      </w:r>
    </w:p>
    <w:p w14:paraId="7C1DA30F" w14:textId="1FE83A07" w:rsidR="00FF3D47" w:rsidRPr="00FF3D47" w:rsidRDefault="00FF3D47" w:rsidP="00FF3D47">
      <w:pPr>
        <w:spacing w:before="120" w:after="120" w:line="360" w:lineRule="auto"/>
        <w:ind w:left="1416" w:hanging="566"/>
        <w:rPr>
          <w:szCs w:val="24"/>
          <w:lang w:eastAsia="en-US"/>
        </w:rPr>
      </w:pPr>
      <w:r w:rsidRPr="00FF3D47">
        <w:rPr>
          <w:szCs w:val="24"/>
          <w:lang w:eastAsia="en-US"/>
        </w:rPr>
        <w:t>b)</w:t>
      </w:r>
      <w:r w:rsidRPr="00FF3D47">
        <w:rPr>
          <w:szCs w:val="24"/>
          <w:lang w:eastAsia="en-US"/>
        </w:rPr>
        <w:tab/>
        <w:t>promuovere la ricerca</w:t>
      </w:r>
      <w:r w:rsidRPr="00FF3D47">
        <w:rPr>
          <w:b/>
          <w:i/>
          <w:szCs w:val="24"/>
          <w:lang w:eastAsia="en-US"/>
        </w:rPr>
        <w:t>, l'innovazione e la scienza dei cittadini e incoraggiare</w:t>
      </w:r>
      <w:r w:rsidRPr="00FF3D47">
        <w:rPr>
          <w:strike/>
          <w:szCs w:val="24"/>
          <w:lang w:eastAsia="en-US"/>
        </w:rPr>
        <w:t xml:space="preserve"> e</w:t>
      </w:r>
      <w:r w:rsidRPr="00FF3D47">
        <w:rPr>
          <w:szCs w:val="24"/>
          <w:lang w:eastAsia="en-US"/>
        </w:rPr>
        <w:t xml:space="preserve"> l'applicazione di approcci </w:t>
      </w:r>
      <w:proofErr w:type="spellStart"/>
      <w:r w:rsidRPr="00FF3D47">
        <w:rPr>
          <w:strike/>
          <w:szCs w:val="24"/>
          <w:lang w:eastAsia="en-US"/>
        </w:rPr>
        <w:t>olistici</w:t>
      </w:r>
      <w:r w:rsidRPr="00FF3D47">
        <w:rPr>
          <w:b/>
          <w:i/>
          <w:szCs w:val="24"/>
          <w:lang w:eastAsia="en-US"/>
        </w:rPr>
        <w:t>sostenibili</w:t>
      </w:r>
      <w:proofErr w:type="spellEnd"/>
      <w:r w:rsidRPr="00FF3D47">
        <w:rPr>
          <w:szCs w:val="24"/>
          <w:lang w:eastAsia="en-US"/>
        </w:rPr>
        <w:t xml:space="preserve"> alla gestione del suolo;</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121 e 250]</w:t>
      </w:r>
    </w:p>
    <w:p w14:paraId="18057C0D" w14:textId="2B06E846" w:rsidR="00FF3D47" w:rsidRPr="00FF3D47" w:rsidRDefault="00FF3D47" w:rsidP="00FF3D47">
      <w:pPr>
        <w:spacing w:before="120" w:after="120" w:line="360" w:lineRule="auto"/>
        <w:ind w:left="1416" w:hanging="566"/>
        <w:rPr>
          <w:szCs w:val="24"/>
          <w:lang w:eastAsia="en-US"/>
        </w:rPr>
      </w:pPr>
      <w:r w:rsidRPr="00FF3D47">
        <w:rPr>
          <w:szCs w:val="24"/>
          <w:lang w:eastAsia="en-US"/>
        </w:rPr>
        <w:t>c)</w:t>
      </w:r>
      <w:r w:rsidRPr="00FF3D47">
        <w:rPr>
          <w:szCs w:val="24"/>
          <w:lang w:eastAsia="en-US"/>
        </w:rPr>
        <w:tab/>
        <w:t>mettere a disposizione una mappatura regolarmente aggiornata delle attività e degli strumenti di finanziamento disponibili a sostegno dell'attuazione di una gestione sostenibile del suolo</w:t>
      </w:r>
      <w:r w:rsidRPr="00FF3D47">
        <w:rPr>
          <w:b/>
          <w:i/>
          <w:szCs w:val="24"/>
          <w:lang w:eastAsia="en-US"/>
        </w:rPr>
        <w:t xml:space="preserve"> e di altre attività a sostegno dell'attuazione della presente direttiva, tra cui la ricerca e la scienza dei cittadini</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122]</w:t>
      </w:r>
    </w:p>
    <w:p w14:paraId="2B0B49EC" w14:textId="77777777" w:rsidR="009A0142" w:rsidRDefault="009A0142" w:rsidP="00FF3D47">
      <w:pPr>
        <w:spacing w:before="120" w:after="120" w:line="360" w:lineRule="auto"/>
        <w:ind w:left="850" w:hanging="850"/>
        <w:rPr>
          <w:strike/>
          <w:szCs w:val="24"/>
          <w:lang w:eastAsia="en-US"/>
        </w:rPr>
      </w:pPr>
      <w:r>
        <w:rPr>
          <w:strike/>
          <w:szCs w:val="24"/>
          <w:lang w:eastAsia="en-US"/>
        </w:rPr>
        <w:br w:type="page"/>
      </w:r>
    </w:p>
    <w:p w14:paraId="2574AD1B" w14:textId="7E3B754E" w:rsidR="00FF3D47" w:rsidRPr="00FF3D47" w:rsidRDefault="00FF3D47" w:rsidP="00FF3D47">
      <w:pPr>
        <w:spacing w:before="120" w:after="120" w:line="360" w:lineRule="auto"/>
        <w:ind w:left="850" w:hanging="850"/>
        <w:rPr>
          <w:szCs w:val="24"/>
          <w:lang w:eastAsia="en-US"/>
        </w:rPr>
      </w:pPr>
      <w:r w:rsidRPr="00FF3D47">
        <w:rPr>
          <w:strike/>
          <w:szCs w:val="24"/>
          <w:lang w:eastAsia="en-US"/>
        </w:rPr>
        <w:lastRenderedPageBreak/>
        <w:t>3.</w:t>
      </w:r>
      <w:r w:rsidRPr="00FF3D47">
        <w:rPr>
          <w:szCs w:val="24"/>
          <w:lang w:eastAsia="en-US"/>
        </w:rPr>
        <w:tab/>
      </w:r>
      <w:r w:rsidRPr="00FF3D47">
        <w:rPr>
          <w:strike/>
          <w:szCs w:val="24"/>
          <w:lang w:eastAsia="en-US"/>
        </w:rPr>
        <w:t>Gli Stati membri valutano periodicamente l'efficacia delle misure adottate a norma del presente articolo e, se del caso, le rivedono e riesaminano, tenendo conto del monitoraggio e della valutazione della salute del suolo di cui agli articoli da 6 a 9.</w:t>
      </w:r>
      <w:r w:rsidR="009A0142">
        <w:rPr>
          <w:strike/>
          <w:szCs w:val="24"/>
          <w:lang w:eastAsia="en-US"/>
        </w:rPr>
        <w:t xml:space="preserve"> </w:t>
      </w:r>
      <w:r w:rsidR="009A0142">
        <w:rPr>
          <w:b/>
          <w:i/>
          <w:szCs w:val="24"/>
          <w:lang w:eastAsia="en-US"/>
        </w:rPr>
        <w:t>[</w:t>
      </w:r>
      <w:proofErr w:type="spellStart"/>
      <w:r w:rsidR="009A0142">
        <w:rPr>
          <w:b/>
          <w:i/>
          <w:szCs w:val="24"/>
          <w:lang w:eastAsia="en-US"/>
        </w:rPr>
        <w:t>Em</w:t>
      </w:r>
      <w:proofErr w:type="spellEnd"/>
      <w:r w:rsidR="009A0142">
        <w:rPr>
          <w:b/>
          <w:i/>
          <w:szCs w:val="24"/>
          <w:lang w:eastAsia="en-US"/>
        </w:rPr>
        <w:t xml:space="preserve">. </w:t>
      </w:r>
      <w:r w:rsidR="009A0142" w:rsidRPr="00FF3D47">
        <w:rPr>
          <w:b/>
          <w:i/>
          <w:szCs w:val="24"/>
          <w:lang w:eastAsia="en-US"/>
        </w:rPr>
        <w:t>2</w:t>
      </w:r>
      <w:r w:rsidR="009A0142">
        <w:rPr>
          <w:b/>
          <w:i/>
          <w:szCs w:val="24"/>
          <w:lang w:eastAsia="en-US"/>
        </w:rPr>
        <w:t>51</w:t>
      </w:r>
      <w:r w:rsidR="009A0142" w:rsidRPr="00FF3D47">
        <w:rPr>
          <w:b/>
          <w:i/>
          <w:szCs w:val="24"/>
          <w:lang w:eastAsia="en-US"/>
        </w:rPr>
        <w:t>]</w:t>
      </w:r>
    </w:p>
    <w:p w14:paraId="0821A8FF" w14:textId="41137A0F" w:rsidR="00FF3D47" w:rsidRPr="00FF3D47" w:rsidRDefault="00FF3D47" w:rsidP="00FF3D47">
      <w:pPr>
        <w:spacing w:before="120" w:after="120" w:line="360" w:lineRule="auto"/>
        <w:ind w:left="850" w:hanging="850"/>
        <w:rPr>
          <w:szCs w:val="24"/>
          <w:lang w:eastAsia="en-US"/>
        </w:rPr>
      </w:pPr>
      <w:r w:rsidRPr="00FF3D47">
        <w:rPr>
          <w:strike/>
          <w:szCs w:val="24"/>
          <w:lang w:eastAsia="en-US"/>
        </w:rPr>
        <w:t>4.</w:t>
      </w:r>
      <w:r w:rsidRPr="00FF3D47">
        <w:rPr>
          <w:szCs w:val="24"/>
          <w:lang w:eastAsia="en-US"/>
        </w:rPr>
        <w:tab/>
      </w:r>
      <w:r w:rsidRPr="00FF3D47">
        <w:rPr>
          <w:strike/>
          <w:szCs w:val="24"/>
          <w:lang w:eastAsia="en-US"/>
        </w:rPr>
        <w:t>Alla Commissione è conferito il potere di adottare atti delegati conformemente all'articolo 20 al fine di modificare l'allegato III per adeguare i principi di gestione sostenibile del suolo al progresso scientifico e tecnico.</w:t>
      </w:r>
      <w:r w:rsidR="009A0142">
        <w:rPr>
          <w:strike/>
          <w:szCs w:val="24"/>
          <w:lang w:eastAsia="en-US"/>
        </w:rPr>
        <w:t xml:space="preserve"> </w:t>
      </w:r>
      <w:r w:rsidR="009A0142" w:rsidRPr="00FF3D47">
        <w:rPr>
          <w:b/>
          <w:i/>
          <w:szCs w:val="24"/>
          <w:lang w:eastAsia="en-US"/>
        </w:rPr>
        <w:t>[</w:t>
      </w:r>
      <w:proofErr w:type="spellStart"/>
      <w:r w:rsidR="009A0142" w:rsidRPr="00FF3D47">
        <w:rPr>
          <w:b/>
          <w:i/>
          <w:szCs w:val="24"/>
          <w:lang w:eastAsia="en-US"/>
        </w:rPr>
        <w:t>Em</w:t>
      </w:r>
      <w:proofErr w:type="spellEnd"/>
      <w:r w:rsidR="009A0142" w:rsidRPr="00FF3D47">
        <w:rPr>
          <w:b/>
          <w:i/>
          <w:szCs w:val="24"/>
          <w:lang w:eastAsia="en-US"/>
        </w:rPr>
        <w:t>. 12</w:t>
      </w:r>
      <w:r w:rsidR="009A0142">
        <w:rPr>
          <w:b/>
          <w:i/>
          <w:szCs w:val="24"/>
          <w:lang w:eastAsia="en-US"/>
        </w:rPr>
        <w:t>3 e 252</w:t>
      </w:r>
      <w:r w:rsidR="009A0142" w:rsidRPr="00FF3D47">
        <w:rPr>
          <w:b/>
          <w:i/>
          <w:szCs w:val="24"/>
          <w:lang w:eastAsia="en-US"/>
        </w:rPr>
        <w:t>]</w:t>
      </w:r>
    </w:p>
    <w:p w14:paraId="0E5CFD5B" w14:textId="77777777" w:rsidR="00FF3D47" w:rsidRPr="00FF3D47" w:rsidRDefault="00FF3D47" w:rsidP="00FF3D47">
      <w:pPr>
        <w:spacing w:before="120" w:after="120" w:line="360" w:lineRule="auto"/>
        <w:ind w:left="850" w:hanging="850"/>
        <w:rPr>
          <w:szCs w:val="24"/>
          <w:lang w:eastAsia="en-US"/>
        </w:rPr>
      </w:pPr>
      <w:r w:rsidRPr="00FF3D47">
        <w:rPr>
          <w:b/>
          <w:i/>
          <w:szCs w:val="24"/>
          <w:lang w:eastAsia="en-US"/>
        </w:rPr>
        <w:t>4a.</w:t>
      </w:r>
      <w:r w:rsidRPr="00FF3D47">
        <w:rPr>
          <w:szCs w:val="24"/>
          <w:lang w:eastAsia="en-US"/>
        </w:rPr>
        <w:tab/>
      </w:r>
      <w:r w:rsidRPr="00FF3D47">
        <w:rPr>
          <w:b/>
          <w:i/>
          <w:szCs w:val="24"/>
          <w:lang w:eastAsia="en-US"/>
        </w:rPr>
        <w:t>La Commissione, su richiesta, assiste e fornisce orientamenti agli Stati membri in merito all'elaborazione di misure specifiche legate ai principi di gestione sostenibile del suolo elencati nell'allegato III. [</w:t>
      </w:r>
      <w:proofErr w:type="spellStart"/>
      <w:r w:rsidRPr="00FF3D47">
        <w:rPr>
          <w:b/>
          <w:i/>
          <w:szCs w:val="24"/>
          <w:lang w:eastAsia="en-US"/>
        </w:rPr>
        <w:t>Em</w:t>
      </w:r>
      <w:proofErr w:type="spellEnd"/>
      <w:r w:rsidRPr="00FF3D47">
        <w:rPr>
          <w:b/>
          <w:i/>
          <w:szCs w:val="24"/>
          <w:lang w:eastAsia="en-US"/>
        </w:rPr>
        <w:t>. 124]</w:t>
      </w:r>
    </w:p>
    <w:p w14:paraId="207040CF" w14:textId="4DA2D42A" w:rsidR="00FF3D47" w:rsidRPr="00FF3D47" w:rsidRDefault="00FF3D47" w:rsidP="00FF3D47">
      <w:pPr>
        <w:spacing w:before="120" w:after="120" w:line="360" w:lineRule="auto"/>
        <w:jc w:val="center"/>
        <w:rPr>
          <w:szCs w:val="24"/>
          <w:lang w:eastAsia="en-US"/>
        </w:rPr>
      </w:pPr>
      <w:r w:rsidRPr="00FF3D47">
        <w:rPr>
          <w:b/>
          <w:i/>
          <w:szCs w:val="24"/>
          <w:lang w:eastAsia="en-US"/>
        </w:rPr>
        <w:t>Articolo 10</w:t>
      </w:r>
      <w:r w:rsidR="009A0142">
        <w:rPr>
          <w:b/>
          <w:i/>
          <w:szCs w:val="24"/>
          <w:lang w:eastAsia="en-US"/>
        </w:rPr>
        <w:t xml:space="preserve"> bis</w:t>
      </w:r>
      <w:r w:rsidRPr="00FF3D47">
        <w:rPr>
          <w:szCs w:val="24"/>
          <w:lang w:eastAsia="en-US"/>
        </w:rPr>
        <w:br/>
      </w:r>
      <w:r w:rsidRPr="00FF3D47">
        <w:rPr>
          <w:b/>
          <w:i/>
          <w:szCs w:val="24"/>
          <w:lang w:eastAsia="en-US"/>
        </w:rPr>
        <w:t>Pacchetto di strumenti per la gestione sostenibile del suolo</w:t>
      </w:r>
    </w:p>
    <w:p w14:paraId="0D731A3F" w14:textId="77777777" w:rsidR="00FF3D47" w:rsidRPr="00FF3D47" w:rsidRDefault="00FF3D47" w:rsidP="00FF3D47">
      <w:pPr>
        <w:spacing w:before="120" w:after="120" w:line="360" w:lineRule="auto"/>
        <w:ind w:left="850" w:hanging="850"/>
        <w:rPr>
          <w:szCs w:val="24"/>
          <w:lang w:eastAsia="en-US"/>
        </w:rPr>
      </w:pPr>
      <w:r w:rsidRPr="00FF3D47">
        <w:rPr>
          <w:b/>
          <w:i/>
          <w:szCs w:val="24"/>
          <w:lang w:eastAsia="en-US"/>
        </w:rPr>
        <w:t>1.</w:t>
      </w:r>
      <w:r w:rsidRPr="00FF3D47">
        <w:rPr>
          <w:szCs w:val="24"/>
          <w:lang w:eastAsia="en-US"/>
        </w:rPr>
        <w:tab/>
      </w:r>
      <w:r w:rsidRPr="00FF3D47">
        <w:rPr>
          <w:b/>
          <w:i/>
          <w:szCs w:val="24"/>
          <w:lang w:eastAsia="en-US"/>
        </w:rPr>
        <w:t>Al fine di sostenere l'attuazione della presente direttiva, la Commissione elabora un pacchetto di strumenti per la gestione sostenibile del suolo che mette a disposizione dei gestori del suolo informazioni pratiche sull'uso di pratiche di gestione sostenibile del suolo e che include le informazioni fornite dagli Stati membri.</w:t>
      </w:r>
    </w:p>
    <w:p w14:paraId="6B1674A5" w14:textId="77777777" w:rsidR="00FC3418" w:rsidRDefault="00FC3418" w:rsidP="00FF3D47">
      <w:pPr>
        <w:spacing w:before="120" w:after="120" w:line="360" w:lineRule="auto"/>
        <w:ind w:left="850" w:hanging="850"/>
        <w:rPr>
          <w:b/>
          <w:i/>
          <w:szCs w:val="24"/>
          <w:lang w:eastAsia="en-US"/>
        </w:rPr>
      </w:pPr>
      <w:r>
        <w:rPr>
          <w:b/>
          <w:i/>
          <w:szCs w:val="24"/>
          <w:lang w:eastAsia="en-US"/>
        </w:rPr>
        <w:br w:type="page"/>
      </w:r>
    </w:p>
    <w:p w14:paraId="13C29C96" w14:textId="24BFBF31"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2.</w:t>
      </w:r>
      <w:r w:rsidRPr="00FF3D47">
        <w:rPr>
          <w:szCs w:val="24"/>
          <w:lang w:eastAsia="en-US"/>
        </w:rPr>
        <w:tab/>
      </w:r>
      <w:r w:rsidRPr="00FF3D47">
        <w:rPr>
          <w:b/>
          <w:i/>
          <w:szCs w:val="24"/>
          <w:lang w:eastAsia="en-US"/>
        </w:rPr>
        <w:t>Il pacchetto di strumenti comprende:</w:t>
      </w:r>
    </w:p>
    <w:p w14:paraId="2BFDD4B9"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a)</w:t>
      </w:r>
      <w:r w:rsidRPr="00FF3D47">
        <w:rPr>
          <w:szCs w:val="24"/>
          <w:lang w:eastAsia="en-US"/>
        </w:rPr>
        <w:tab/>
      </w:r>
      <w:r w:rsidRPr="00FF3D47">
        <w:rPr>
          <w:b/>
          <w:i/>
          <w:szCs w:val="24"/>
          <w:lang w:eastAsia="en-US"/>
        </w:rPr>
        <w:t xml:space="preserve">raccomandazioni ed esempi di migliori pratiche delle autorità degli Stati membri competenti per il monitoraggio dell'impatto delle pratiche di gestione del suolo e informazioni sull'impatto delle suddette pratiche sui diversi servizi </w:t>
      </w:r>
      <w:proofErr w:type="spellStart"/>
      <w:r w:rsidRPr="00FF3D47">
        <w:rPr>
          <w:b/>
          <w:i/>
          <w:szCs w:val="24"/>
          <w:lang w:eastAsia="en-US"/>
        </w:rPr>
        <w:t>ecosistemici</w:t>
      </w:r>
      <w:proofErr w:type="spellEnd"/>
      <w:r w:rsidRPr="00FF3D47">
        <w:rPr>
          <w:b/>
          <w:i/>
          <w:szCs w:val="24"/>
          <w:lang w:eastAsia="en-US"/>
        </w:rPr>
        <w:t xml:space="preserve"> e sulle minacce per il suolo;</w:t>
      </w:r>
    </w:p>
    <w:p w14:paraId="43D699D2"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b)</w:t>
      </w:r>
      <w:r w:rsidRPr="00FF3D47">
        <w:rPr>
          <w:szCs w:val="24"/>
          <w:lang w:eastAsia="en-US"/>
        </w:rPr>
        <w:tab/>
      </w:r>
      <w:r w:rsidRPr="00FF3D47">
        <w:rPr>
          <w:b/>
          <w:i/>
          <w:szCs w:val="24"/>
          <w:lang w:eastAsia="en-US"/>
        </w:rPr>
        <w:t>informazioni specifiche per ogni contesto relative alle combinazioni di tipo di suolo, uso del suolo e condizioni climatiche;</w:t>
      </w:r>
    </w:p>
    <w:p w14:paraId="1AD7D440"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c)</w:t>
      </w:r>
      <w:r w:rsidRPr="00FF3D47">
        <w:rPr>
          <w:szCs w:val="24"/>
          <w:lang w:eastAsia="en-US"/>
        </w:rPr>
        <w:tab/>
      </w:r>
      <w:r w:rsidRPr="00FF3D47">
        <w:rPr>
          <w:b/>
          <w:i/>
          <w:szCs w:val="24"/>
          <w:lang w:eastAsia="en-US"/>
        </w:rPr>
        <w:t>le nuove conoscenze derivanti dalla ricerca e dall'innovazione, compresa la missione di Orizzonte Europa "Un patto europeo per i suoli";</w:t>
      </w:r>
    </w:p>
    <w:p w14:paraId="64F64F40" w14:textId="77777777" w:rsidR="00FF3D47" w:rsidRPr="00FF3D47" w:rsidRDefault="00FF3D47" w:rsidP="00FF3D47">
      <w:pPr>
        <w:spacing w:before="120" w:after="120" w:line="360" w:lineRule="auto"/>
        <w:ind w:left="1416" w:hanging="566"/>
        <w:rPr>
          <w:szCs w:val="24"/>
          <w:lang w:eastAsia="en-US"/>
        </w:rPr>
      </w:pPr>
      <w:r w:rsidRPr="00FF3D47">
        <w:rPr>
          <w:b/>
          <w:i/>
          <w:szCs w:val="24"/>
          <w:lang w:eastAsia="en-US"/>
        </w:rPr>
        <w:t>d)</w:t>
      </w:r>
      <w:r w:rsidRPr="00FF3D47">
        <w:rPr>
          <w:szCs w:val="24"/>
          <w:lang w:eastAsia="en-US"/>
        </w:rPr>
        <w:tab/>
      </w:r>
      <w:r w:rsidRPr="00FF3D47">
        <w:rPr>
          <w:b/>
          <w:i/>
          <w:szCs w:val="24"/>
          <w:lang w:eastAsia="en-US"/>
        </w:rPr>
        <w:t>altre informazioni pertinenti raccolte dalla Commissione o fornite alla Commissione dagli Stati membri.</w:t>
      </w:r>
    </w:p>
    <w:p w14:paraId="584B2656" w14:textId="77777777" w:rsidR="00FF3D47" w:rsidRPr="00FF3D47" w:rsidRDefault="00FF3D47" w:rsidP="00FF3D47">
      <w:pPr>
        <w:spacing w:before="120" w:after="120" w:line="360" w:lineRule="auto"/>
        <w:ind w:left="850" w:hanging="850"/>
        <w:rPr>
          <w:szCs w:val="24"/>
          <w:lang w:eastAsia="en-US"/>
        </w:rPr>
      </w:pPr>
      <w:r w:rsidRPr="00FF3D47">
        <w:rPr>
          <w:b/>
          <w:i/>
          <w:szCs w:val="24"/>
          <w:lang w:eastAsia="en-US"/>
        </w:rPr>
        <w:t>3.</w:t>
      </w:r>
      <w:r w:rsidRPr="00FF3D47">
        <w:rPr>
          <w:szCs w:val="24"/>
          <w:lang w:eastAsia="en-US"/>
        </w:rPr>
        <w:tab/>
      </w:r>
      <w:r w:rsidRPr="00FF3D47">
        <w:rPr>
          <w:b/>
          <w:i/>
          <w:szCs w:val="24"/>
          <w:lang w:eastAsia="en-US"/>
        </w:rPr>
        <w:t>Il pacchetto di strumenti è disponibile al pubblico a titolo gratuito ed è incluso nel portale digitale dei dati sulla salute del suolo istituito a norma dell'articolo 6, paragrafo 6.</w:t>
      </w:r>
    </w:p>
    <w:p w14:paraId="560A9426" w14:textId="0AEC02A1" w:rsidR="00FF3D47" w:rsidRPr="00FF3D47" w:rsidRDefault="00FF3D47" w:rsidP="00FF3D47">
      <w:pPr>
        <w:spacing w:before="120" w:after="120" w:line="360" w:lineRule="auto"/>
        <w:ind w:left="850"/>
        <w:rPr>
          <w:szCs w:val="24"/>
          <w:lang w:eastAsia="en-US"/>
        </w:rPr>
      </w:pPr>
      <w:r w:rsidRPr="00FF3D47">
        <w:rPr>
          <w:b/>
          <w:i/>
          <w:szCs w:val="24"/>
          <w:lang w:eastAsia="en-US"/>
        </w:rPr>
        <w:t>La Commissione aggiorna attivamente il contenuto del pacchetto di strumenti e adotta tutte le misure necessarie per promuoverlo presso i gestori dei terreni. [</w:t>
      </w:r>
      <w:proofErr w:type="spellStart"/>
      <w:r w:rsidRPr="00FF3D47">
        <w:rPr>
          <w:b/>
          <w:i/>
          <w:szCs w:val="24"/>
          <w:lang w:eastAsia="en-US"/>
        </w:rPr>
        <w:t>Em</w:t>
      </w:r>
      <w:proofErr w:type="spellEnd"/>
      <w:r w:rsidRPr="00FF3D47">
        <w:rPr>
          <w:b/>
          <w:i/>
          <w:szCs w:val="24"/>
          <w:lang w:eastAsia="en-US"/>
        </w:rPr>
        <w:t>.</w:t>
      </w:r>
      <w:r w:rsidR="00FC3418">
        <w:rPr>
          <w:b/>
          <w:szCs w:val="24"/>
          <w:lang w:eastAsia="en-US"/>
        </w:rPr>
        <w:t> </w:t>
      </w:r>
      <w:r w:rsidRPr="00FF3D47">
        <w:rPr>
          <w:b/>
          <w:i/>
          <w:szCs w:val="24"/>
          <w:lang w:eastAsia="en-US"/>
        </w:rPr>
        <w:t>125]</w:t>
      </w:r>
    </w:p>
    <w:p w14:paraId="5F202CBC" w14:textId="77777777" w:rsidR="00FC3418" w:rsidRDefault="00FC3418" w:rsidP="00FF3D47">
      <w:pPr>
        <w:spacing w:before="120" w:after="120" w:line="360" w:lineRule="auto"/>
        <w:jc w:val="center"/>
        <w:rPr>
          <w:szCs w:val="24"/>
          <w:lang w:eastAsia="en-US"/>
        </w:rPr>
      </w:pPr>
      <w:r>
        <w:rPr>
          <w:szCs w:val="24"/>
          <w:lang w:eastAsia="en-US"/>
        </w:rPr>
        <w:br w:type="page"/>
      </w:r>
    </w:p>
    <w:p w14:paraId="6EE246A6" w14:textId="3F529B64"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11</w:t>
      </w:r>
      <w:r w:rsidRPr="00FF3D47">
        <w:rPr>
          <w:szCs w:val="24"/>
          <w:lang w:eastAsia="en-US"/>
        </w:rPr>
        <w:br/>
      </w:r>
      <w:r w:rsidRPr="00FF3D47">
        <w:rPr>
          <w:strike/>
          <w:szCs w:val="24"/>
          <w:lang w:eastAsia="en-US"/>
        </w:rPr>
        <w:t xml:space="preserve">Principi di </w:t>
      </w:r>
      <w:r w:rsidRPr="00FF3D47">
        <w:rPr>
          <w:szCs w:val="24"/>
          <w:lang w:eastAsia="en-US"/>
        </w:rPr>
        <w:t>Mitigazione del consumo di suolo</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126]</w:t>
      </w:r>
    </w:p>
    <w:p w14:paraId="79BD4E21" w14:textId="77777777" w:rsidR="00FF3D47" w:rsidRPr="00FF3D47" w:rsidRDefault="00FF3D47" w:rsidP="00FF3D47">
      <w:pPr>
        <w:spacing w:before="120" w:after="120" w:line="360" w:lineRule="auto"/>
        <w:rPr>
          <w:szCs w:val="24"/>
          <w:lang w:eastAsia="en-US"/>
        </w:rPr>
      </w:pPr>
      <w:r w:rsidRPr="00FF3D47">
        <w:rPr>
          <w:strike/>
          <w:szCs w:val="24"/>
          <w:lang w:eastAsia="en-US"/>
        </w:rPr>
        <w:t xml:space="preserve">Gli Stati membri provvedono </w:t>
      </w:r>
      <w:proofErr w:type="spellStart"/>
      <w:r w:rsidRPr="00FF3D47">
        <w:rPr>
          <w:strike/>
          <w:szCs w:val="24"/>
          <w:lang w:eastAsia="en-US"/>
        </w:rPr>
        <w:t>affinché</w:t>
      </w:r>
      <w:r w:rsidRPr="00FF3D47">
        <w:rPr>
          <w:b/>
          <w:i/>
          <w:szCs w:val="24"/>
          <w:lang w:eastAsia="en-US"/>
        </w:rPr>
        <w:t>Nei</w:t>
      </w:r>
      <w:proofErr w:type="spellEnd"/>
      <w:r w:rsidRPr="00FF3D47">
        <w:rPr>
          <w:b/>
          <w:i/>
          <w:szCs w:val="24"/>
          <w:lang w:eastAsia="en-US"/>
        </w:rPr>
        <w:t xml:space="preserve"> casi che prevedono</w:t>
      </w:r>
      <w:r w:rsidRPr="00FF3D47">
        <w:rPr>
          <w:szCs w:val="24"/>
          <w:lang w:eastAsia="en-US"/>
        </w:rPr>
        <w:t xml:space="preserve"> il consumo di suolo</w:t>
      </w:r>
      <w:r w:rsidRPr="00FF3D47">
        <w:rPr>
          <w:strike/>
          <w:szCs w:val="24"/>
          <w:lang w:eastAsia="en-US"/>
        </w:rPr>
        <w:t xml:space="preserve"> rispetti i</w:t>
      </w:r>
      <w:r w:rsidRPr="00FF3D47">
        <w:rPr>
          <w:b/>
          <w:i/>
          <w:szCs w:val="24"/>
          <w:lang w:eastAsia="en-US"/>
        </w:rPr>
        <w:t>, gli Stati membri prendono in considerazione le</w:t>
      </w:r>
      <w:r w:rsidRPr="00FF3D47">
        <w:rPr>
          <w:szCs w:val="24"/>
          <w:lang w:eastAsia="en-US"/>
        </w:rPr>
        <w:t xml:space="preserve"> seguenti </w:t>
      </w:r>
      <w:proofErr w:type="spellStart"/>
      <w:proofErr w:type="gramStart"/>
      <w:r w:rsidRPr="00FF3D47">
        <w:rPr>
          <w:strike/>
          <w:szCs w:val="24"/>
          <w:lang w:eastAsia="en-US"/>
        </w:rPr>
        <w:t>principi:</w:t>
      </w:r>
      <w:r w:rsidRPr="00FF3D47">
        <w:rPr>
          <w:b/>
          <w:i/>
          <w:szCs w:val="24"/>
          <w:lang w:eastAsia="en-US"/>
        </w:rPr>
        <w:t>azioni</w:t>
      </w:r>
      <w:proofErr w:type="spellEnd"/>
      <w:proofErr w:type="gramEnd"/>
      <w:r w:rsidRPr="00FF3D47">
        <w:rPr>
          <w:b/>
          <w:i/>
          <w:szCs w:val="24"/>
          <w:lang w:eastAsia="en-US"/>
        </w:rPr>
        <w:t>, tenendo conto delle specificità locali e degli impatti socioeconomici. [</w:t>
      </w:r>
      <w:proofErr w:type="spellStart"/>
      <w:r w:rsidRPr="00FF3D47">
        <w:rPr>
          <w:b/>
          <w:i/>
          <w:szCs w:val="24"/>
          <w:lang w:eastAsia="en-US"/>
        </w:rPr>
        <w:t>Em</w:t>
      </w:r>
      <w:proofErr w:type="spellEnd"/>
      <w:r w:rsidRPr="00FF3D47">
        <w:rPr>
          <w:b/>
          <w:i/>
          <w:szCs w:val="24"/>
          <w:lang w:eastAsia="en-US"/>
        </w:rPr>
        <w:t>. 127]</w:t>
      </w:r>
    </w:p>
    <w:p w14:paraId="6E6B43B1" w14:textId="555F4197" w:rsidR="00FF3D47" w:rsidRPr="00FF3D47" w:rsidRDefault="00FF3D47" w:rsidP="00FF3D47">
      <w:pPr>
        <w:spacing w:before="120" w:after="120" w:line="360" w:lineRule="auto"/>
        <w:ind w:left="850" w:hanging="850"/>
        <w:rPr>
          <w:szCs w:val="24"/>
          <w:lang w:eastAsia="en-US"/>
        </w:rPr>
      </w:pPr>
      <w:r w:rsidRPr="00FF3D47">
        <w:rPr>
          <w:szCs w:val="24"/>
          <w:lang w:eastAsia="en-US"/>
        </w:rPr>
        <w:t>a)</w:t>
      </w:r>
      <w:r w:rsidRPr="00FF3D47">
        <w:rPr>
          <w:szCs w:val="24"/>
          <w:lang w:eastAsia="en-US"/>
        </w:rPr>
        <w:tab/>
        <w:t>evitare o ridurre il più possibile, entro i limiti della fattibilità tecnica</w:t>
      </w:r>
      <w:r w:rsidRPr="00FF3D47">
        <w:rPr>
          <w:b/>
          <w:i/>
          <w:szCs w:val="24"/>
          <w:lang w:eastAsia="en-US"/>
        </w:rPr>
        <w:t>, sociale</w:t>
      </w:r>
      <w:r w:rsidRPr="00FF3D47">
        <w:rPr>
          <w:szCs w:val="24"/>
          <w:lang w:eastAsia="en-US"/>
        </w:rPr>
        <w:t xml:space="preserve"> ed economica, la perdita di capacità del suolo di fornire molteplici servizi </w:t>
      </w:r>
      <w:proofErr w:type="spellStart"/>
      <w:r w:rsidRPr="00FF3D47">
        <w:rPr>
          <w:szCs w:val="24"/>
          <w:lang w:eastAsia="en-US"/>
        </w:rPr>
        <w:t>ecosistemici</w:t>
      </w:r>
      <w:proofErr w:type="spellEnd"/>
      <w:r w:rsidRPr="00FF3D47">
        <w:rPr>
          <w:b/>
          <w:i/>
          <w:szCs w:val="24"/>
          <w:lang w:eastAsia="en-US"/>
        </w:rPr>
        <w:t xml:space="preserve"> e di altro tipo</w:t>
      </w:r>
      <w:r w:rsidRPr="00FF3D47">
        <w:rPr>
          <w:szCs w:val="24"/>
          <w:lang w:eastAsia="en-US"/>
        </w:rPr>
        <w:t>, tra cui</w:t>
      </w:r>
      <w:r w:rsidRPr="00FF3D47">
        <w:rPr>
          <w:b/>
          <w:i/>
          <w:szCs w:val="24"/>
          <w:lang w:eastAsia="en-US"/>
        </w:rPr>
        <w:t xml:space="preserve"> l'agricoltura,</w:t>
      </w:r>
      <w:r w:rsidRPr="00FF3D47">
        <w:rPr>
          <w:szCs w:val="24"/>
          <w:lang w:eastAsia="en-US"/>
        </w:rPr>
        <w:t xml:space="preserve"> la produzione alimentare</w:t>
      </w:r>
      <w:r w:rsidRPr="00FF3D47">
        <w:rPr>
          <w:b/>
          <w:i/>
          <w:szCs w:val="24"/>
          <w:lang w:eastAsia="en-US"/>
        </w:rPr>
        <w:t xml:space="preserve"> e la gestione forestale sostenibile</w:t>
      </w:r>
      <w:r w:rsidRPr="00FF3D47">
        <w:rPr>
          <w:szCs w:val="24"/>
          <w:lang w:eastAsia="en-US"/>
        </w:rPr>
        <w:t>, mediante azioni volte a:</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128 e 254]</w:t>
      </w:r>
    </w:p>
    <w:p w14:paraId="2410D94F" w14:textId="43D05C0C" w:rsidR="00FF3D47" w:rsidRPr="00FF3D47" w:rsidRDefault="00FF3D47" w:rsidP="00FF3D47">
      <w:pPr>
        <w:spacing w:before="120" w:after="120" w:line="360" w:lineRule="auto"/>
        <w:ind w:left="1416" w:hanging="566"/>
        <w:rPr>
          <w:szCs w:val="24"/>
          <w:lang w:eastAsia="en-US"/>
        </w:rPr>
      </w:pPr>
      <w:r w:rsidRPr="00FF3D47">
        <w:rPr>
          <w:szCs w:val="24"/>
          <w:lang w:eastAsia="en-US"/>
        </w:rPr>
        <w:t>i)</w:t>
      </w:r>
      <w:r w:rsidRPr="00FF3D47">
        <w:rPr>
          <w:szCs w:val="24"/>
          <w:lang w:eastAsia="en-US"/>
        </w:rPr>
        <w:tab/>
        <w:t>ridurre il più possibile la superficie interessata dal consumo di suolo;</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xml:space="preserve">. </w:t>
      </w:r>
      <w:r w:rsidR="00A81817">
        <w:rPr>
          <w:b/>
          <w:i/>
          <w:szCs w:val="24"/>
          <w:lang w:eastAsia="en-US"/>
        </w:rPr>
        <w:t>129 -</w:t>
      </w:r>
      <w:r w:rsidRPr="00FF3D47">
        <w:rPr>
          <w:b/>
          <w:i/>
          <w:szCs w:val="24"/>
          <w:lang w:eastAsia="en-US"/>
        </w:rPr>
        <w:t xml:space="preserve"> non concerne l</w:t>
      </w:r>
      <w:r w:rsidR="00FC3418">
        <w:rPr>
          <w:b/>
          <w:i/>
          <w:szCs w:val="24"/>
          <w:lang w:eastAsia="en-US"/>
        </w:rPr>
        <w:t>a</w:t>
      </w:r>
      <w:r w:rsidRPr="00FF3D47">
        <w:rPr>
          <w:b/>
          <w:i/>
          <w:szCs w:val="24"/>
          <w:lang w:eastAsia="en-US"/>
        </w:rPr>
        <w:t xml:space="preserve"> versione italiana]</w:t>
      </w:r>
    </w:p>
    <w:p w14:paraId="356D76DA" w14:textId="77777777" w:rsidR="00FF3D47" w:rsidRPr="00FF3D47" w:rsidRDefault="00FF3D47" w:rsidP="00FF3D47">
      <w:pPr>
        <w:spacing w:before="120" w:after="120" w:line="360" w:lineRule="auto"/>
        <w:ind w:left="1416" w:hanging="566"/>
        <w:rPr>
          <w:szCs w:val="24"/>
          <w:lang w:eastAsia="en-US"/>
        </w:rPr>
      </w:pPr>
      <w:r w:rsidRPr="00FF3D47">
        <w:rPr>
          <w:szCs w:val="24"/>
          <w:lang w:eastAsia="en-US"/>
        </w:rPr>
        <w:t>ii)</w:t>
      </w:r>
      <w:r w:rsidRPr="00FF3D47">
        <w:rPr>
          <w:szCs w:val="24"/>
          <w:lang w:eastAsia="en-US"/>
        </w:rPr>
        <w:tab/>
      </w:r>
      <w:r w:rsidRPr="00FF3D47">
        <w:rPr>
          <w:strike/>
          <w:szCs w:val="24"/>
          <w:lang w:eastAsia="en-US"/>
        </w:rPr>
        <w:t xml:space="preserve">selezionare </w:t>
      </w:r>
      <w:proofErr w:type="spellStart"/>
      <w:r w:rsidRPr="00FF3D47">
        <w:rPr>
          <w:strike/>
          <w:szCs w:val="24"/>
          <w:lang w:eastAsia="en-US"/>
        </w:rPr>
        <w:t>le</w:t>
      </w:r>
      <w:r w:rsidRPr="00FF3D47">
        <w:rPr>
          <w:b/>
          <w:i/>
          <w:szCs w:val="24"/>
          <w:lang w:eastAsia="en-US"/>
        </w:rPr>
        <w:t>attribuire</w:t>
      </w:r>
      <w:proofErr w:type="spellEnd"/>
      <w:r w:rsidRPr="00FF3D47">
        <w:rPr>
          <w:b/>
          <w:i/>
          <w:szCs w:val="24"/>
          <w:lang w:eastAsia="en-US"/>
        </w:rPr>
        <w:t xml:space="preserve"> priorità alle</w:t>
      </w:r>
      <w:r w:rsidRPr="00FF3D47">
        <w:rPr>
          <w:szCs w:val="24"/>
          <w:lang w:eastAsia="en-US"/>
        </w:rPr>
        <w:t xml:space="preserve"> aree in cui la perdita di servizi </w:t>
      </w:r>
      <w:proofErr w:type="spellStart"/>
      <w:r w:rsidRPr="00FF3D47">
        <w:rPr>
          <w:szCs w:val="24"/>
          <w:lang w:eastAsia="en-US"/>
        </w:rPr>
        <w:t>ecosistemici</w:t>
      </w:r>
      <w:proofErr w:type="spellEnd"/>
      <w:r w:rsidRPr="00FF3D47">
        <w:rPr>
          <w:szCs w:val="24"/>
          <w:lang w:eastAsia="en-US"/>
        </w:rPr>
        <w:t xml:space="preserve"> sarebbe ridotta al minimo; </w:t>
      </w:r>
      <w:proofErr w:type="gramStart"/>
      <w:r w:rsidRPr="00FF3D47">
        <w:rPr>
          <w:strike/>
          <w:szCs w:val="24"/>
          <w:lang w:eastAsia="en-US"/>
        </w:rPr>
        <w:t>e</w:t>
      </w:r>
      <w:r w:rsidRPr="00FF3D47">
        <w:rPr>
          <w:b/>
          <w:i/>
          <w:szCs w:val="24"/>
          <w:lang w:eastAsia="en-US"/>
        </w:rPr>
        <w:t>[</w:t>
      </w:r>
      <w:proofErr w:type="spellStart"/>
      <w:proofErr w:type="gramEnd"/>
      <w:r w:rsidRPr="00FF3D47">
        <w:rPr>
          <w:b/>
          <w:i/>
          <w:szCs w:val="24"/>
          <w:lang w:eastAsia="en-US"/>
        </w:rPr>
        <w:t>Em</w:t>
      </w:r>
      <w:proofErr w:type="spellEnd"/>
      <w:r w:rsidRPr="00FF3D47">
        <w:rPr>
          <w:b/>
          <w:i/>
          <w:szCs w:val="24"/>
          <w:lang w:eastAsia="en-US"/>
        </w:rPr>
        <w:t>. 130]</w:t>
      </w:r>
    </w:p>
    <w:p w14:paraId="43756A27" w14:textId="77777777" w:rsidR="00FF3D47" w:rsidRPr="00FF3D47" w:rsidRDefault="00FF3D47" w:rsidP="00FF3D47">
      <w:pPr>
        <w:spacing w:before="120" w:after="120" w:line="360" w:lineRule="auto"/>
        <w:ind w:left="1416" w:hanging="566"/>
        <w:rPr>
          <w:szCs w:val="24"/>
          <w:lang w:eastAsia="en-US"/>
        </w:rPr>
      </w:pPr>
      <w:r w:rsidRPr="00FF3D47">
        <w:rPr>
          <w:szCs w:val="24"/>
          <w:lang w:eastAsia="en-US"/>
        </w:rPr>
        <w:t>iii)</w:t>
      </w:r>
      <w:r w:rsidRPr="00FF3D47">
        <w:rPr>
          <w:szCs w:val="24"/>
          <w:lang w:eastAsia="en-US"/>
        </w:rPr>
        <w:tab/>
        <w:t xml:space="preserve">occupare suolo in modo da </w:t>
      </w:r>
      <w:r w:rsidRPr="00FF3D47">
        <w:rPr>
          <w:strike/>
          <w:szCs w:val="24"/>
          <w:lang w:eastAsia="en-US"/>
        </w:rPr>
        <w:t xml:space="preserve">ridurre al minimo gli effetti negativi su di </w:t>
      </w:r>
      <w:proofErr w:type="spellStart"/>
      <w:r w:rsidRPr="00FF3D47">
        <w:rPr>
          <w:strike/>
          <w:szCs w:val="24"/>
          <w:lang w:eastAsia="en-US"/>
        </w:rPr>
        <w:t>esso</w:t>
      </w:r>
      <w:r w:rsidRPr="00FF3D47">
        <w:rPr>
          <w:b/>
          <w:i/>
          <w:szCs w:val="24"/>
          <w:lang w:eastAsia="en-US"/>
        </w:rPr>
        <w:t>agire</w:t>
      </w:r>
      <w:proofErr w:type="spellEnd"/>
      <w:r w:rsidRPr="00FF3D47">
        <w:rPr>
          <w:b/>
          <w:i/>
          <w:szCs w:val="24"/>
          <w:lang w:eastAsia="en-US"/>
        </w:rPr>
        <w:t xml:space="preserve"> in linea con lo sviluppo sostenibile, anche preservando la fertilità, la biodiversità, la permeabilità all'acqua e la capacità del suolo di filtrare e conservare acqua nella misura del possibile</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131]</w:t>
      </w:r>
    </w:p>
    <w:p w14:paraId="2F049BDD" w14:textId="77777777" w:rsidR="00FC3418" w:rsidRDefault="00FC3418" w:rsidP="00FF3D47">
      <w:pPr>
        <w:spacing w:before="120" w:after="120" w:line="360" w:lineRule="auto"/>
        <w:ind w:left="850" w:hanging="850"/>
        <w:rPr>
          <w:szCs w:val="24"/>
          <w:lang w:eastAsia="en-US"/>
        </w:rPr>
      </w:pPr>
      <w:r>
        <w:rPr>
          <w:szCs w:val="24"/>
          <w:lang w:eastAsia="en-US"/>
        </w:rPr>
        <w:br w:type="page"/>
      </w:r>
    </w:p>
    <w:p w14:paraId="0A7635A9" w14:textId="35FC66E8"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b)</w:t>
      </w:r>
      <w:r w:rsidRPr="00FF3D47">
        <w:rPr>
          <w:szCs w:val="24"/>
          <w:lang w:eastAsia="en-US"/>
        </w:rPr>
        <w:tab/>
      </w:r>
      <w:r w:rsidRPr="00FF3D47">
        <w:rPr>
          <w:b/>
          <w:i/>
          <w:szCs w:val="24"/>
          <w:lang w:eastAsia="en-US"/>
        </w:rPr>
        <w:t xml:space="preserve">ove possibile, </w:t>
      </w:r>
      <w:r w:rsidRPr="00FF3D47">
        <w:rPr>
          <w:szCs w:val="24"/>
          <w:lang w:eastAsia="en-US"/>
        </w:rPr>
        <w:t xml:space="preserve">compensare il più possibile la perdita di capacità del suolo di fornire molteplici servizi </w:t>
      </w:r>
      <w:proofErr w:type="spellStart"/>
      <w:r w:rsidRPr="00FF3D47">
        <w:rPr>
          <w:szCs w:val="24"/>
          <w:lang w:eastAsia="en-US"/>
        </w:rPr>
        <w:t>ecosistemici</w:t>
      </w:r>
      <w:proofErr w:type="spellEnd"/>
      <w:r w:rsidRPr="00FF3D47">
        <w:rPr>
          <w:b/>
          <w:i/>
          <w:szCs w:val="24"/>
          <w:lang w:eastAsia="en-US"/>
        </w:rPr>
        <w:t>; se del caso, tale compensazione può avvenire a livello aggregato o transfrontaliero tra Stati membri, se il distretto del suolo presenta caratteristiche analoghe al distretto del suolo adiacente nello Stato membro confinante o a un distretto del suolo transfrontaliero</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132]</w:t>
      </w:r>
    </w:p>
    <w:p w14:paraId="73F53F8D" w14:textId="50795B28" w:rsidR="00FF3D47" w:rsidRPr="00FF3D47" w:rsidRDefault="00FF3D47" w:rsidP="00FF3D47">
      <w:pPr>
        <w:spacing w:before="120" w:after="120" w:line="360" w:lineRule="auto"/>
        <w:ind w:left="850" w:hanging="850"/>
        <w:rPr>
          <w:szCs w:val="24"/>
          <w:lang w:eastAsia="en-US"/>
        </w:rPr>
      </w:pPr>
      <w:r w:rsidRPr="00FF3D47">
        <w:rPr>
          <w:b/>
          <w:i/>
          <w:szCs w:val="24"/>
          <w:lang w:eastAsia="en-US"/>
        </w:rPr>
        <w:t>b</w:t>
      </w:r>
      <w:r w:rsidR="00FC3418">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adottare misure volte a garantire un'equa compensazione ai proprietari dei terreni in caso di consumo di suolo; [</w:t>
      </w:r>
      <w:proofErr w:type="spellStart"/>
      <w:r w:rsidRPr="00FF3D47">
        <w:rPr>
          <w:b/>
          <w:i/>
          <w:szCs w:val="24"/>
          <w:lang w:eastAsia="en-US"/>
        </w:rPr>
        <w:t>Em</w:t>
      </w:r>
      <w:proofErr w:type="spellEnd"/>
      <w:r w:rsidRPr="00FF3D47">
        <w:rPr>
          <w:b/>
          <w:i/>
          <w:szCs w:val="24"/>
          <w:lang w:eastAsia="en-US"/>
        </w:rPr>
        <w:t>. 133]</w:t>
      </w:r>
    </w:p>
    <w:p w14:paraId="2293F60A" w14:textId="19116CEB" w:rsidR="00FF3D47" w:rsidRPr="00FF3D47" w:rsidRDefault="00FF3D47" w:rsidP="00FF3D47">
      <w:pPr>
        <w:spacing w:before="120" w:after="120" w:line="360" w:lineRule="auto"/>
        <w:ind w:left="850" w:hanging="850"/>
        <w:rPr>
          <w:szCs w:val="24"/>
          <w:lang w:eastAsia="en-US"/>
        </w:rPr>
      </w:pPr>
      <w:r w:rsidRPr="00FF3D47">
        <w:rPr>
          <w:b/>
          <w:i/>
          <w:szCs w:val="24"/>
          <w:lang w:eastAsia="en-US"/>
        </w:rPr>
        <w:t>b</w:t>
      </w:r>
      <w:r w:rsidR="00FC3418">
        <w:rPr>
          <w:b/>
          <w:i/>
          <w:szCs w:val="24"/>
          <w:lang w:eastAsia="en-US"/>
        </w:rPr>
        <w:t xml:space="preserve"> ter</w:t>
      </w:r>
      <w:r w:rsidRPr="00FF3D47">
        <w:rPr>
          <w:b/>
          <w:i/>
          <w:szCs w:val="24"/>
          <w:lang w:eastAsia="en-US"/>
        </w:rPr>
        <w:t>)</w:t>
      </w:r>
      <w:r w:rsidRPr="00FF3D47">
        <w:rPr>
          <w:szCs w:val="24"/>
          <w:lang w:eastAsia="en-US"/>
        </w:rPr>
        <w:tab/>
      </w:r>
      <w:r w:rsidRPr="00FF3D47">
        <w:rPr>
          <w:b/>
          <w:i/>
          <w:szCs w:val="24"/>
          <w:lang w:eastAsia="en-US"/>
        </w:rPr>
        <w:t>porre in atto misure intese a prevenire o limitare il consumo di suolo, compresa la mappatura dei siti industriali, dismessi e abbandonati e incentivi per ripristinare e riutilizzare le aree abbandonate mediante l'imper</w:t>
      </w:r>
      <w:r w:rsidR="00FC3418">
        <w:rPr>
          <w:b/>
          <w:i/>
          <w:szCs w:val="24"/>
          <w:lang w:eastAsia="en-US"/>
        </w:rPr>
        <w:t>meabilizzazione del suolo. [</w:t>
      </w:r>
      <w:proofErr w:type="spellStart"/>
      <w:r w:rsidR="00FC3418">
        <w:rPr>
          <w:b/>
          <w:i/>
          <w:szCs w:val="24"/>
          <w:lang w:eastAsia="en-US"/>
        </w:rPr>
        <w:t>Em</w:t>
      </w:r>
      <w:proofErr w:type="spellEnd"/>
      <w:r w:rsidR="00FC3418">
        <w:rPr>
          <w:b/>
          <w:i/>
          <w:szCs w:val="24"/>
          <w:lang w:eastAsia="en-US"/>
        </w:rPr>
        <w:t>.</w:t>
      </w:r>
      <w:r w:rsidR="00FC3418">
        <w:rPr>
          <w:b/>
          <w:szCs w:val="24"/>
          <w:lang w:eastAsia="en-US"/>
        </w:rPr>
        <w:t> </w:t>
      </w:r>
      <w:r w:rsidRPr="00FF3D47">
        <w:rPr>
          <w:b/>
          <w:i/>
          <w:szCs w:val="24"/>
          <w:lang w:eastAsia="en-US"/>
        </w:rPr>
        <w:t>134]</w:t>
      </w:r>
    </w:p>
    <w:p w14:paraId="66165F4E" w14:textId="77777777" w:rsidR="00FC3418" w:rsidRDefault="00FC3418" w:rsidP="00FF3D47">
      <w:pPr>
        <w:spacing w:before="120" w:after="120" w:line="360" w:lineRule="auto"/>
        <w:jc w:val="center"/>
        <w:rPr>
          <w:szCs w:val="24"/>
          <w:lang w:eastAsia="en-US"/>
        </w:rPr>
      </w:pPr>
      <w:r>
        <w:rPr>
          <w:szCs w:val="24"/>
          <w:lang w:eastAsia="en-US"/>
        </w:rPr>
        <w:br w:type="page"/>
      </w:r>
    </w:p>
    <w:p w14:paraId="2152B42D" w14:textId="3978B076" w:rsidR="00FF3D47" w:rsidRPr="00FF3D47" w:rsidRDefault="00FF3D47" w:rsidP="00FF3D47">
      <w:pPr>
        <w:spacing w:before="120" w:after="120" w:line="360" w:lineRule="auto"/>
        <w:jc w:val="center"/>
        <w:rPr>
          <w:szCs w:val="24"/>
          <w:lang w:eastAsia="en-US"/>
        </w:rPr>
      </w:pPr>
      <w:r w:rsidRPr="00FF3D47">
        <w:rPr>
          <w:szCs w:val="24"/>
          <w:lang w:eastAsia="en-US"/>
        </w:rPr>
        <w:lastRenderedPageBreak/>
        <w:t>Capo IV</w:t>
      </w:r>
      <w:r w:rsidRPr="00FF3D47">
        <w:rPr>
          <w:szCs w:val="24"/>
          <w:lang w:eastAsia="en-US"/>
        </w:rPr>
        <w:br/>
        <w:t>Siti contaminati</w:t>
      </w:r>
    </w:p>
    <w:p w14:paraId="7CD6F451" w14:textId="77777777" w:rsidR="00FF3D47" w:rsidRPr="00FF3D47" w:rsidRDefault="00FF3D47" w:rsidP="00FF3D47">
      <w:pPr>
        <w:spacing w:before="120" w:after="120" w:line="360" w:lineRule="auto"/>
        <w:jc w:val="center"/>
        <w:rPr>
          <w:szCs w:val="24"/>
          <w:lang w:eastAsia="en-US"/>
        </w:rPr>
      </w:pPr>
      <w:r w:rsidRPr="00FF3D47">
        <w:rPr>
          <w:szCs w:val="24"/>
          <w:lang w:eastAsia="en-US"/>
        </w:rPr>
        <w:t>Articolo 12</w:t>
      </w:r>
      <w:r w:rsidRPr="00FF3D47">
        <w:rPr>
          <w:szCs w:val="24"/>
          <w:lang w:eastAsia="en-US"/>
        </w:rPr>
        <w:br/>
        <w:t>Approccio basato sul rischio</w:t>
      </w:r>
    </w:p>
    <w:p w14:paraId="5D67BCB0"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Gli Stati membri gestiscono</w:t>
      </w:r>
      <w:r w:rsidRPr="00FF3D47">
        <w:rPr>
          <w:b/>
          <w:i/>
          <w:szCs w:val="24"/>
          <w:lang w:eastAsia="en-US"/>
        </w:rPr>
        <w:t xml:space="preserve"> e riducono</w:t>
      </w:r>
      <w:r w:rsidRPr="00FF3D47">
        <w:rPr>
          <w:szCs w:val="24"/>
          <w:lang w:eastAsia="en-US"/>
        </w:rPr>
        <w:t xml:space="preserve"> i rischi per la salute umana</w:t>
      </w:r>
      <w:r w:rsidRPr="00FF3D47">
        <w:rPr>
          <w:b/>
          <w:i/>
          <w:szCs w:val="24"/>
          <w:lang w:eastAsia="en-US"/>
        </w:rPr>
        <w:t xml:space="preserve"> e animale</w:t>
      </w:r>
      <w:r w:rsidRPr="00FF3D47">
        <w:rPr>
          <w:szCs w:val="24"/>
          <w:lang w:eastAsia="en-US"/>
        </w:rPr>
        <w:t xml:space="preserve"> e per l'ambiente derivanti da siti potenzialmente contaminati e da siti contaminati e li mantengono a livelli accettabili</w:t>
      </w:r>
      <w:r w:rsidRPr="00FF3D47">
        <w:rPr>
          <w:b/>
          <w:i/>
          <w:szCs w:val="24"/>
          <w:lang w:eastAsia="en-US"/>
        </w:rPr>
        <w:t>, in considerazione dell'uso previsto del suolo</w:t>
      </w:r>
      <w:r w:rsidRPr="00FF3D47">
        <w:rPr>
          <w:szCs w:val="24"/>
          <w:lang w:eastAsia="en-US"/>
        </w:rPr>
        <w:t>, tenendo conto dell'impatto ambientale, sociale ed economico della contaminazione del suolo e delle misure di riduzione dei rischi adottate a norma dell'articolo 15, paragrafo 4.</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135]</w:t>
      </w:r>
    </w:p>
    <w:p w14:paraId="6FBE901D"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Entro il … (OP: inserire la data corrispondente a 4 anni dopo la data di entrata in vigore della direttiva) gli Stati membri definiscono un approccio basato sul rischio per quanto riguarda:</w:t>
      </w:r>
    </w:p>
    <w:p w14:paraId="7CABA31D" w14:textId="04DC7FAA"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l'individuazione dei siti potenzialmente contaminati conformemente all'articolo 13;</w:t>
      </w:r>
    </w:p>
    <w:p w14:paraId="5F9D9608" w14:textId="1A1A49DE" w:rsidR="00FF3D47" w:rsidRPr="00FF3D47" w:rsidRDefault="00FF3D47" w:rsidP="00FF3D47">
      <w:pPr>
        <w:spacing w:before="120" w:after="120" w:line="360" w:lineRule="auto"/>
        <w:ind w:left="1416" w:hanging="566"/>
        <w:rPr>
          <w:szCs w:val="24"/>
          <w:lang w:eastAsia="en-US"/>
        </w:rPr>
      </w:pPr>
      <w:r w:rsidRPr="00FF3D47">
        <w:rPr>
          <w:szCs w:val="24"/>
          <w:lang w:eastAsia="en-US"/>
        </w:rPr>
        <w:t>b)</w:t>
      </w:r>
      <w:r w:rsidRPr="00FF3D47">
        <w:rPr>
          <w:szCs w:val="24"/>
          <w:lang w:eastAsia="en-US"/>
        </w:rPr>
        <w:tab/>
        <w:t>l'analisi dei siti potenzialmente contaminati conformemente all'articolo 14;</w:t>
      </w:r>
    </w:p>
    <w:p w14:paraId="3B918C8B" w14:textId="7D908A75" w:rsidR="00FF3D47" w:rsidRPr="00FF3D47" w:rsidRDefault="00FF3D47" w:rsidP="00FF3D47">
      <w:pPr>
        <w:spacing w:before="120" w:after="120" w:line="360" w:lineRule="auto"/>
        <w:ind w:left="1416" w:hanging="566"/>
        <w:rPr>
          <w:szCs w:val="24"/>
          <w:lang w:eastAsia="en-US"/>
        </w:rPr>
      </w:pPr>
      <w:r w:rsidRPr="00FF3D47">
        <w:rPr>
          <w:szCs w:val="24"/>
          <w:lang w:eastAsia="en-US"/>
        </w:rPr>
        <w:t>c)</w:t>
      </w:r>
      <w:r w:rsidRPr="00FF3D47">
        <w:rPr>
          <w:szCs w:val="24"/>
          <w:lang w:eastAsia="en-US"/>
        </w:rPr>
        <w:tab/>
        <w:t>la gestione dei siti contaminati conformemente all'articolo 15.</w:t>
      </w:r>
    </w:p>
    <w:p w14:paraId="18307152" w14:textId="77777777" w:rsidR="000A2560" w:rsidRDefault="000A2560" w:rsidP="00FF3D47">
      <w:pPr>
        <w:spacing w:before="120" w:after="120" w:line="360" w:lineRule="auto"/>
        <w:ind w:left="850" w:hanging="850"/>
        <w:rPr>
          <w:szCs w:val="24"/>
          <w:lang w:eastAsia="en-US"/>
        </w:rPr>
      </w:pPr>
      <w:r>
        <w:rPr>
          <w:szCs w:val="24"/>
          <w:lang w:eastAsia="en-US"/>
        </w:rPr>
        <w:br w:type="page"/>
      </w:r>
    </w:p>
    <w:p w14:paraId="59C98FF4" w14:textId="407D0B8A"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3.</w:t>
      </w:r>
      <w:r w:rsidRPr="00FF3D47">
        <w:rPr>
          <w:szCs w:val="24"/>
          <w:lang w:eastAsia="en-US"/>
        </w:rPr>
        <w:tab/>
        <w:t>L'obbligo del paragrafo 2 lascia impregiudicati eventuali obblighi più rigorosi derivanti dalla legislazione dell'Unione o nazionale.</w:t>
      </w:r>
    </w:p>
    <w:p w14:paraId="24A46D37"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4.</w:t>
      </w:r>
      <w:r w:rsidRPr="00FF3D47">
        <w:rPr>
          <w:szCs w:val="24"/>
          <w:lang w:eastAsia="en-US"/>
        </w:rPr>
        <w:tab/>
        <w:t>Al pubblico</w:t>
      </w:r>
      <w:r w:rsidRPr="00FF3D47">
        <w:rPr>
          <w:strike/>
          <w:szCs w:val="24"/>
          <w:lang w:eastAsia="en-US"/>
        </w:rPr>
        <w:t xml:space="preserve"> interessato</w:t>
      </w:r>
      <w:r w:rsidRPr="00FF3D47">
        <w:rPr>
          <w:szCs w:val="24"/>
          <w:lang w:eastAsia="en-US"/>
        </w:rPr>
        <w:t xml:space="preserve"> è tempestivamente offerta l'opportunità effettiva di:</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136]</w:t>
      </w:r>
    </w:p>
    <w:p w14:paraId="52FEAE32" w14:textId="15781582"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partecipare all'istituzione e all'applicazione concreta dell'approccio basato sul rischio quale definito nel presente articolo</w:t>
      </w:r>
      <w:r w:rsidRPr="00FF3D47">
        <w:rPr>
          <w:b/>
          <w:i/>
          <w:szCs w:val="24"/>
          <w:lang w:eastAsia="en-US"/>
        </w:rPr>
        <w:t>, all'individuazione dei siti potenzialmente contaminati conformemente all'articolo 13, all'analisi dei siti potenzialmente contaminati conformemente all'articolo 14 e alla valutazione del rischio e alla gestione dei siti contaminati conformemente all'articolo 15, laddove tali opzioni siano ancora disponibili</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137]</w:t>
      </w:r>
    </w:p>
    <w:p w14:paraId="0F6D9E7E" w14:textId="3ADDD0FA" w:rsidR="00FF3D47" w:rsidRPr="00FF3D47" w:rsidRDefault="00FF3D47" w:rsidP="00FF3D47">
      <w:pPr>
        <w:spacing w:before="120" w:after="120" w:line="360" w:lineRule="auto"/>
        <w:ind w:left="1416" w:hanging="566"/>
        <w:rPr>
          <w:szCs w:val="24"/>
          <w:lang w:eastAsia="en-US"/>
        </w:rPr>
      </w:pPr>
      <w:r w:rsidRPr="00FF3D47">
        <w:rPr>
          <w:szCs w:val="24"/>
          <w:lang w:eastAsia="en-US"/>
        </w:rPr>
        <w:t>b)</w:t>
      </w:r>
      <w:r w:rsidRPr="00FF3D47">
        <w:rPr>
          <w:szCs w:val="24"/>
          <w:lang w:eastAsia="en-US"/>
        </w:rPr>
        <w:tab/>
        <w:t xml:space="preserve">fornire informazioni </w:t>
      </w:r>
      <w:r w:rsidRPr="00FF3D47">
        <w:rPr>
          <w:b/>
          <w:i/>
          <w:szCs w:val="24"/>
          <w:lang w:eastAsia="en-US"/>
        </w:rPr>
        <w:t xml:space="preserve">e prove </w:t>
      </w:r>
      <w:r w:rsidRPr="00FF3D47">
        <w:rPr>
          <w:szCs w:val="24"/>
          <w:lang w:eastAsia="en-US"/>
        </w:rPr>
        <w:t xml:space="preserve">rilevanti per </w:t>
      </w:r>
      <w:r w:rsidRPr="00FF3D47">
        <w:rPr>
          <w:strike/>
          <w:szCs w:val="24"/>
          <w:lang w:eastAsia="en-US"/>
        </w:rPr>
        <w:t xml:space="preserve">l'individuazione dei siti potenzialmente contaminati conformemente all'articolo 13, l'analisi dei siti potenzialmente contaminati conformemente all'articolo 14 e la gestione dei siti contaminati conformemente all'articolo </w:t>
      </w:r>
      <w:proofErr w:type="gramStart"/>
      <w:r w:rsidRPr="00FF3D47">
        <w:rPr>
          <w:strike/>
          <w:szCs w:val="24"/>
          <w:lang w:eastAsia="en-US"/>
        </w:rPr>
        <w:t>15;</w:t>
      </w:r>
      <w:r w:rsidRPr="00FF3D47">
        <w:rPr>
          <w:b/>
          <w:i/>
          <w:szCs w:val="24"/>
          <w:lang w:eastAsia="en-US"/>
        </w:rPr>
        <w:t>le</w:t>
      </w:r>
      <w:proofErr w:type="gramEnd"/>
      <w:r w:rsidRPr="00FF3D47">
        <w:rPr>
          <w:b/>
          <w:i/>
          <w:szCs w:val="24"/>
          <w:lang w:eastAsia="en-US"/>
        </w:rPr>
        <w:t xml:space="preserve"> attività di cui alla lettera a) in qualsiasi momento, quali dati di </w:t>
      </w:r>
      <w:proofErr w:type="spellStart"/>
      <w:r w:rsidRPr="00FF3D47">
        <w:rPr>
          <w:b/>
          <w:i/>
          <w:szCs w:val="24"/>
          <w:lang w:eastAsia="en-US"/>
        </w:rPr>
        <w:t>biomonitoraggio</w:t>
      </w:r>
      <w:proofErr w:type="spellEnd"/>
      <w:r w:rsidRPr="00FF3D47">
        <w:rPr>
          <w:b/>
          <w:i/>
          <w:szCs w:val="24"/>
          <w:lang w:eastAsia="en-US"/>
        </w:rPr>
        <w:t xml:space="preserve"> umano o di monitoraggio ambientale; [</w:t>
      </w:r>
      <w:proofErr w:type="spellStart"/>
      <w:r w:rsidRPr="00FF3D47">
        <w:rPr>
          <w:b/>
          <w:i/>
          <w:szCs w:val="24"/>
          <w:lang w:eastAsia="en-US"/>
        </w:rPr>
        <w:t>Em</w:t>
      </w:r>
      <w:proofErr w:type="spellEnd"/>
      <w:r w:rsidRPr="00FF3D47">
        <w:rPr>
          <w:b/>
          <w:i/>
          <w:szCs w:val="24"/>
          <w:lang w:eastAsia="en-US"/>
        </w:rPr>
        <w:t>. 138]</w:t>
      </w:r>
    </w:p>
    <w:p w14:paraId="7B65F195" w14:textId="6AA6DBDD" w:rsidR="00FF3D47" w:rsidRPr="00FF3D47" w:rsidRDefault="00FF3D47" w:rsidP="00FF3D47">
      <w:pPr>
        <w:spacing w:before="120" w:after="120" w:line="360" w:lineRule="auto"/>
        <w:ind w:left="1416" w:hanging="566"/>
        <w:rPr>
          <w:szCs w:val="24"/>
          <w:lang w:eastAsia="en-US"/>
        </w:rPr>
      </w:pPr>
      <w:r w:rsidRPr="00FF3D47">
        <w:rPr>
          <w:szCs w:val="24"/>
          <w:lang w:eastAsia="en-US"/>
        </w:rPr>
        <w:t>c)</w:t>
      </w:r>
      <w:r w:rsidRPr="00FF3D47">
        <w:rPr>
          <w:szCs w:val="24"/>
          <w:lang w:eastAsia="en-US"/>
        </w:rPr>
        <w:tab/>
        <w:t>chiedere la correzione di informazioni contenute nel registro dei siti contaminati e dei siti potenzialmente contaminati conformemente all'articolo16.</w:t>
      </w:r>
    </w:p>
    <w:p w14:paraId="0F2A99ED" w14:textId="77777777" w:rsidR="000A2560" w:rsidRDefault="000A2560" w:rsidP="00FF3D47">
      <w:pPr>
        <w:spacing w:before="120" w:after="120" w:line="360" w:lineRule="auto"/>
        <w:ind w:left="850" w:hanging="850"/>
        <w:rPr>
          <w:b/>
          <w:i/>
          <w:szCs w:val="24"/>
          <w:lang w:eastAsia="en-US"/>
        </w:rPr>
      </w:pPr>
      <w:r>
        <w:rPr>
          <w:b/>
          <w:i/>
          <w:szCs w:val="24"/>
          <w:lang w:eastAsia="en-US"/>
        </w:rPr>
        <w:br w:type="page"/>
      </w:r>
    </w:p>
    <w:p w14:paraId="10F1C89C" w14:textId="0AD63A09"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4</w:t>
      </w:r>
      <w:r w:rsidR="000A2560">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Ai fini del paragrafo 4, gli Stati membri provvedono affinché il pubblico sia informato in modo tempestivo, adeguato ed efficace, anche attraverso avvisi pubblici e strumenti elettronici, in merito a tutte le informa</w:t>
      </w:r>
      <w:r w:rsidR="000A2560">
        <w:rPr>
          <w:b/>
          <w:i/>
          <w:szCs w:val="24"/>
          <w:lang w:eastAsia="en-US"/>
        </w:rPr>
        <w:t>zioni pertinenti. [</w:t>
      </w:r>
      <w:proofErr w:type="spellStart"/>
      <w:r w:rsidR="000A2560">
        <w:rPr>
          <w:b/>
          <w:i/>
          <w:szCs w:val="24"/>
          <w:lang w:eastAsia="en-US"/>
        </w:rPr>
        <w:t>Em</w:t>
      </w:r>
      <w:proofErr w:type="spellEnd"/>
      <w:r w:rsidR="000A2560">
        <w:rPr>
          <w:b/>
          <w:szCs w:val="24"/>
          <w:lang w:eastAsia="en-US"/>
        </w:rPr>
        <w:t>. </w:t>
      </w:r>
      <w:r w:rsidRPr="00FF3D47">
        <w:rPr>
          <w:b/>
          <w:i/>
          <w:szCs w:val="24"/>
          <w:lang w:eastAsia="en-US"/>
        </w:rPr>
        <w:t>139]</w:t>
      </w:r>
    </w:p>
    <w:p w14:paraId="26A9B64E" w14:textId="6F2B2E48" w:rsidR="00FF3D47" w:rsidRPr="00FF3D47" w:rsidRDefault="00FF3D47" w:rsidP="00FF3D47">
      <w:pPr>
        <w:spacing w:before="120" w:after="120" w:line="360" w:lineRule="auto"/>
        <w:ind w:left="850" w:hanging="850"/>
        <w:rPr>
          <w:szCs w:val="24"/>
          <w:lang w:eastAsia="en-US"/>
        </w:rPr>
      </w:pPr>
      <w:r w:rsidRPr="00FF3D47">
        <w:rPr>
          <w:b/>
          <w:i/>
          <w:szCs w:val="24"/>
          <w:lang w:eastAsia="en-US"/>
        </w:rPr>
        <w:t>4</w:t>
      </w:r>
      <w:r w:rsidR="000A2560">
        <w:rPr>
          <w:b/>
          <w:i/>
          <w:szCs w:val="24"/>
          <w:lang w:eastAsia="en-US"/>
        </w:rPr>
        <w:t xml:space="preserve"> ter</w:t>
      </w:r>
      <w:r w:rsidRPr="00FF3D47">
        <w:rPr>
          <w:b/>
          <w:i/>
          <w:szCs w:val="24"/>
          <w:lang w:eastAsia="en-US"/>
        </w:rPr>
        <w:t>.</w:t>
      </w:r>
      <w:r w:rsidRPr="00FF3D47">
        <w:rPr>
          <w:szCs w:val="24"/>
          <w:lang w:eastAsia="en-US"/>
        </w:rPr>
        <w:tab/>
      </w:r>
      <w:r w:rsidRPr="00FF3D47">
        <w:rPr>
          <w:b/>
          <w:i/>
          <w:szCs w:val="24"/>
          <w:lang w:eastAsia="en-US"/>
        </w:rPr>
        <w:t>Nell'attuare le disposizioni di cui al presente capo e in relazione ai descrittori del suolo per determinarne la contaminazione elencati nell'allegato I, gli Stati membri tengono debito conto delle informazioni trasmesse a n</w:t>
      </w:r>
      <w:r w:rsidR="000A2560">
        <w:rPr>
          <w:b/>
          <w:i/>
          <w:szCs w:val="24"/>
          <w:lang w:eastAsia="en-US"/>
        </w:rPr>
        <w:t>orma del paragrafo 4. [</w:t>
      </w:r>
      <w:proofErr w:type="spellStart"/>
      <w:r w:rsidR="000A2560">
        <w:rPr>
          <w:b/>
          <w:i/>
          <w:szCs w:val="24"/>
          <w:lang w:eastAsia="en-US"/>
        </w:rPr>
        <w:t>Em</w:t>
      </w:r>
      <w:proofErr w:type="spellEnd"/>
      <w:r w:rsidR="000A2560">
        <w:rPr>
          <w:b/>
          <w:i/>
          <w:szCs w:val="24"/>
          <w:lang w:eastAsia="en-US"/>
        </w:rPr>
        <w:t>.</w:t>
      </w:r>
      <w:r w:rsidR="000A2560">
        <w:rPr>
          <w:b/>
          <w:szCs w:val="24"/>
          <w:lang w:eastAsia="en-US"/>
        </w:rPr>
        <w:t> </w:t>
      </w:r>
      <w:r w:rsidRPr="00FF3D47">
        <w:rPr>
          <w:b/>
          <w:i/>
          <w:szCs w:val="24"/>
          <w:lang w:eastAsia="en-US"/>
        </w:rPr>
        <w:t>140]</w:t>
      </w:r>
    </w:p>
    <w:p w14:paraId="57C39990" w14:textId="69306299" w:rsidR="00FF3D47" w:rsidRPr="00FF3D47" w:rsidRDefault="000A2560" w:rsidP="00FF3D47">
      <w:pPr>
        <w:spacing w:before="120" w:after="120" w:line="360" w:lineRule="auto"/>
        <w:ind w:left="850" w:hanging="850"/>
        <w:rPr>
          <w:szCs w:val="24"/>
          <w:lang w:eastAsia="en-US"/>
        </w:rPr>
      </w:pPr>
      <w:r>
        <w:rPr>
          <w:b/>
          <w:i/>
          <w:szCs w:val="24"/>
          <w:lang w:eastAsia="en-US"/>
        </w:rPr>
        <w:t>4 quater</w:t>
      </w:r>
      <w:r w:rsidR="00FF3D47" w:rsidRPr="00FF3D47">
        <w:rPr>
          <w:b/>
          <w:i/>
          <w:szCs w:val="24"/>
          <w:lang w:eastAsia="en-US"/>
        </w:rPr>
        <w:t>.</w:t>
      </w:r>
      <w:r w:rsidR="00FF3D47" w:rsidRPr="00FF3D47">
        <w:rPr>
          <w:szCs w:val="24"/>
          <w:lang w:eastAsia="en-US"/>
        </w:rPr>
        <w:tab/>
      </w:r>
      <w:r w:rsidR="00FF3D47" w:rsidRPr="00FF3D47">
        <w:rPr>
          <w:b/>
          <w:i/>
          <w:szCs w:val="24"/>
          <w:lang w:eastAsia="en-US"/>
        </w:rPr>
        <w:t>Se le prove indicano un'ampia dispersione dell'inquinamento del suolo o un'esposizione alla sostanza o alla miscela in questione attraverso il suolo, l'autorità competente avvia un processo di gestione del rischio. Qualora le prove manchino di informazioni esaustive sui rischi per la salute umana o animale o per l'ambiente rappresentati da una sostanza o miscela pericolosa presente nel suolo, l'autorità competente conduce ulteriori indagini al fine di adottare, se necessario, misure di gestione del rischio in linea con il principio di precauzione. [</w:t>
      </w:r>
      <w:proofErr w:type="spellStart"/>
      <w:r w:rsidR="00FF3D47" w:rsidRPr="00FF3D47">
        <w:rPr>
          <w:b/>
          <w:i/>
          <w:szCs w:val="24"/>
          <w:lang w:eastAsia="en-US"/>
        </w:rPr>
        <w:t>Em</w:t>
      </w:r>
      <w:proofErr w:type="spellEnd"/>
      <w:r w:rsidR="00FF3D47" w:rsidRPr="00FF3D47">
        <w:rPr>
          <w:b/>
          <w:i/>
          <w:szCs w:val="24"/>
          <w:lang w:eastAsia="en-US"/>
        </w:rPr>
        <w:t>. 141]</w:t>
      </w:r>
    </w:p>
    <w:p w14:paraId="05E7113E" w14:textId="088B0D9A" w:rsidR="00FF3D47" w:rsidRPr="00FF3D47" w:rsidRDefault="00FF3D47" w:rsidP="00FF3D47">
      <w:pPr>
        <w:spacing w:before="120" w:after="120" w:line="360" w:lineRule="auto"/>
        <w:ind w:left="850" w:hanging="850"/>
        <w:rPr>
          <w:szCs w:val="24"/>
          <w:lang w:eastAsia="en-US"/>
        </w:rPr>
      </w:pPr>
      <w:r w:rsidRPr="00FF3D47">
        <w:rPr>
          <w:b/>
          <w:i/>
          <w:szCs w:val="24"/>
          <w:lang w:eastAsia="en-US"/>
        </w:rPr>
        <w:t>4</w:t>
      </w:r>
      <w:r w:rsidR="000A2560">
        <w:rPr>
          <w:b/>
          <w:i/>
          <w:szCs w:val="24"/>
          <w:lang w:eastAsia="en-US"/>
        </w:rPr>
        <w:t xml:space="preserve"> </w:t>
      </w:r>
      <w:proofErr w:type="spellStart"/>
      <w:r w:rsidR="000A2560">
        <w:rPr>
          <w:b/>
          <w:i/>
          <w:szCs w:val="24"/>
          <w:lang w:eastAsia="en-US"/>
        </w:rPr>
        <w:t>quinquies</w:t>
      </w:r>
      <w:proofErr w:type="spellEnd"/>
      <w:r w:rsidRPr="00FF3D47">
        <w:rPr>
          <w:b/>
          <w:i/>
          <w:szCs w:val="24"/>
          <w:lang w:eastAsia="en-US"/>
        </w:rPr>
        <w:t>.</w:t>
      </w:r>
      <w:r w:rsidRPr="00FF3D47">
        <w:rPr>
          <w:szCs w:val="24"/>
          <w:lang w:eastAsia="en-US"/>
        </w:rPr>
        <w:tab/>
      </w:r>
      <w:r w:rsidRPr="00FF3D47">
        <w:rPr>
          <w:b/>
          <w:i/>
          <w:szCs w:val="24"/>
          <w:lang w:eastAsia="en-US"/>
        </w:rPr>
        <w:t>Gli Stati membri informano tempestivamente il pubblico della decisione o della misura adottata conformemente ai paragrafi 4 e 4 quater, nonché dei motivi e delle considerazioni alla base della decisione o della misura, compresa una spiegazione di come si sia tenuto conto delle informazioni fornite. [</w:t>
      </w:r>
      <w:proofErr w:type="spellStart"/>
      <w:r w:rsidRPr="00FF3D47">
        <w:rPr>
          <w:b/>
          <w:i/>
          <w:szCs w:val="24"/>
          <w:lang w:eastAsia="en-US"/>
        </w:rPr>
        <w:t>Em</w:t>
      </w:r>
      <w:proofErr w:type="spellEnd"/>
      <w:r w:rsidRPr="00FF3D47">
        <w:rPr>
          <w:b/>
          <w:i/>
          <w:szCs w:val="24"/>
          <w:lang w:eastAsia="en-US"/>
        </w:rPr>
        <w:t>. 142]</w:t>
      </w:r>
    </w:p>
    <w:p w14:paraId="29BADDA9" w14:textId="77777777" w:rsidR="000A2560" w:rsidRDefault="000A2560" w:rsidP="00FF3D47">
      <w:pPr>
        <w:spacing w:before="120" w:after="120" w:line="360" w:lineRule="auto"/>
        <w:jc w:val="center"/>
        <w:rPr>
          <w:szCs w:val="24"/>
          <w:lang w:eastAsia="en-US"/>
        </w:rPr>
      </w:pPr>
      <w:r>
        <w:rPr>
          <w:szCs w:val="24"/>
          <w:lang w:eastAsia="en-US"/>
        </w:rPr>
        <w:br w:type="page"/>
      </w:r>
    </w:p>
    <w:p w14:paraId="0C8D2888" w14:textId="580A99CB"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13</w:t>
      </w:r>
      <w:r w:rsidRPr="00FF3D47">
        <w:rPr>
          <w:szCs w:val="24"/>
          <w:lang w:eastAsia="en-US"/>
        </w:rPr>
        <w:br/>
        <w:t>Individuazione dei siti potenzialmente contaminati</w:t>
      </w:r>
    </w:p>
    <w:p w14:paraId="1E5894F1"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 xml:space="preserve">Gli Stati membri </w:t>
      </w:r>
      <w:r w:rsidRPr="00FF3D47">
        <w:rPr>
          <w:strike/>
          <w:szCs w:val="24"/>
          <w:lang w:eastAsia="en-US"/>
        </w:rPr>
        <w:t xml:space="preserve">individuano sistematicamente e attivamente tutti i siti in cui si sospetta una contaminazione del suolo sulla </w:t>
      </w:r>
      <w:proofErr w:type="spellStart"/>
      <w:r w:rsidRPr="00FF3D47">
        <w:rPr>
          <w:strike/>
          <w:szCs w:val="24"/>
          <w:lang w:eastAsia="en-US"/>
        </w:rPr>
        <w:t>base</w:t>
      </w:r>
      <w:r w:rsidRPr="00FF3D47">
        <w:rPr>
          <w:b/>
          <w:i/>
          <w:szCs w:val="24"/>
          <w:lang w:eastAsia="en-US"/>
        </w:rPr>
        <w:t>informano</w:t>
      </w:r>
      <w:proofErr w:type="spellEnd"/>
      <w:r w:rsidRPr="00FF3D47">
        <w:rPr>
          <w:b/>
          <w:i/>
          <w:szCs w:val="24"/>
          <w:lang w:eastAsia="en-US"/>
        </w:rPr>
        <w:t xml:space="preserve"> tempestivamente il pubblico della decisione o della misura adottata conformemente ai paragrafi 4 e 4 quater, nonché dei motivi e</w:t>
      </w:r>
      <w:r w:rsidRPr="00FF3D47">
        <w:rPr>
          <w:szCs w:val="24"/>
          <w:lang w:eastAsia="en-US"/>
        </w:rPr>
        <w:t xml:space="preserve"> delle </w:t>
      </w:r>
      <w:r w:rsidRPr="00FF3D47">
        <w:rPr>
          <w:strike/>
          <w:szCs w:val="24"/>
          <w:lang w:eastAsia="en-US"/>
        </w:rPr>
        <w:t>prove raccolte con tutti i mezzi disponibili ("siti potenzialmente contaminati</w:t>
      </w:r>
      <w:proofErr w:type="gramStart"/>
      <w:r w:rsidRPr="00FF3D47">
        <w:rPr>
          <w:strike/>
          <w:szCs w:val="24"/>
          <w:lang w:eastAsia="en-US"/>
        </w:rPr>
        <w:t>")</w:t>
      </w:r>
      <w:r w:rsidRPr="00FF3D47">
        <w:rPr>
          <w:b/>
          <w:i/>
          <w:szCs w:val="24"/>
          <w:lang w:eastAsia="en-US"/>
        </w:rPr>
        <w:t>considerazioni</w:t>
      </w:r>
      <w:proofErr w:type="gramEnd"/>
      <w:r w:rsidRPr="00FF3D47">
        <w:rPr>
          <w:b/>
          <w:i/>
          <w:szCs w:val="24"/>
          <w:lang w:eastAsia="en-US"/>
        </w:rPr>
        <w:t xml:space="preserve"> alla base della decisione o della misura, compresa una spiegazione di come si sia tenuto conto delle informazioni fornite</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143]</w:t>
      </w:r>
    </w:p>
    <w:p w14:paraId="4756A97B"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Nell'individuare i siti potenzialmente contaminati, gli Stati membri tengono conto dei seguenti criteri:</w:t>
      </w:r>
    </w:p>
    <w:p w14:paraId="62B0BBE8" w14:textId="00D658DE"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l'esercizio di un'attività, attiva o inattiva, a rischio di essere potenzialmente contaminante;</w:t>
      </w:r>
    </w:p>
    <w:p w14:paraId="3125A686" w14:textId="3A1BE02A" w:rsidR="00FF3D47" w:rsidRPr="00FF3D47" w:rsidRDefault="00FF3D47" w:rsidP="00FF3D47">
      <w:pPr>
        <w:spacing w:before="120" w:after="120" w:line="360" w:lineRule="auto"/>
        <w:ind w:left="1416" w:hanging="566"/>
        <w:rPr>
          <w:szCs w:val="24"/>
          <w:lang w:eastAsia="en-US"/>
        </w:rPr>
      </w:pPr>
      <w:r w:rsidRPr="00FF3D47">
        <w:rPr>
          <w:szCs w:val="24"/>
          <w:lang w:eastAsia="en-US"/>
        </w:rPr>
        <w:t>b)</w:t>
      </w:r>
      <w:r w:rsidRPr="00FF3D47">
        <w:rPr>
          <w:szCs w:val="24"/>
          <w:lang w:eastAsia="en-US"/>
        </w:rPr>
        <w:tab/>
        <w:t>l'esercizio di un'attività di cui all'allegato I della direttiva 2010/75/UE;</w:t>
      </w:r>
    </w:p>
    <w:p w14:paraId="0C722418" w14:textId="5A7388D8" w:rsidR="00FF3D47" w:rsidRPr="00FF3D47" w:rsidRDefault="00FF3D47" w:rsidP="00FF3D47">
      <w:pPr>
        <w:spacing w:before="120" w:after="120" w:line="360" w:lineRule="auto"/>
        <w:ind w:left="1416" w:hanging="566"/>
        <w:rPr>
          <w:szCs w:val="24"/>
          <w:lang w:eastAsia="en-US"/>
        </w:rPr>
      </w:pPr>
      <w:r w:rsidRPr="00FF3D47">
        <w:rPr>
          <w:szCs w:val="24"/>
          <w:lang w:eastAsia="en-US"/>
        </w:rPr>
        <w:t>c)</w:t>
      </w:r>
      <w:r w:rsidRPr="00FF3D47">
        <w:rPr>
          <w:szCs w:val="24"/>
          <w:lang w:eastAsia="en-US"/>
        </w:rPr>
        <w:tab/>
        <w:t>l'attività di uno stabilimento di cui alla direttiva 2012/18/UE del Parlamento europeo e del Consiglio</w:t>
      </w:r>
      <w:r w:rsidRPr="00FF3D47">
        <w:rPr>
          <w:szCs w:val="24"/>
          <w:vertAlign w:val="superscript"/>
          <w:lang w:val="en-GB" w:eastAsia="en-US"/>
        </w:rPr>
        <w:footnoteReference w:id="51"/>
      </w:r>
      <w:r w:rsidRPr="00FF3D47">
        <w:rPr>
          <w:szCs w:val="24"/>
          <w:lang w:eastAsia="en-US"/>
        </w:rPr>
        <w:t>;</w:t>
      </w:r>
    </w:p>
    <w:p w14:paraId="11DF7627" w14:textId="38147586" w:rsidR="00FF3D47" w:rsidRPr="00FF3D47" w:rsidRDefault="00FF3D47" w:rsidP="00FF3D47">
      <w:pPr>
        <w:spacing w:before="120" w:after="120" w:line="360" w:lineRule="auto"/>
        <w:ind w:left="1416" w:hanging="566"/>
        <w:rPr>
          <w:szCs w:val="24"/>
          <w:lang w:eastAsia="en-US"/>
        </w:rPr>
      </w:pPr>
      <w:r w:rsidRPr="00FF3D47">
        <w:rPr>
          <w:strike/>
          <w:szCs w:val="24"/>
          <w:lang w:eastAsia="en-US"/>
        </w:rPr>
        <w:t>(d)</w:t>
      </w:r>
      <w:r w:rsidRPr="00FF3D47">
        <w:rPr>
          <w:szCs w:val="24"/>
          <w:lang w:eastAsia="en-US"/>
        </w:rPr>
        <w:tab/>
      </w:r>
      <w:r w:rsidRPr="00FF3D47">
        <w:rPr>
          <w:strike/>
          <w:szCs w:val="24"/>
          <w:lang w:eastAsia="en-US"/>
        </w:rPr>
        <w:t>l'esercizio di un'attività di cui all'allegato III della direttiva 2004/35/UE del Parlamento europeo e del Consiglio</w:t>
      </w:r>
      <w:r w:rsidRPr="00FF3D47">
        <w:rPr>
          <w:szCs w:val="24"/>
          <w:vertAlign w:val="superscript"/>
          <w:lang w:val="en-GB" w:eastAsia="en-US"/>
        </w:rPr>
        <w:footnoteReference w:id="52"/>
      </w:r>
      <w:r w:rsidRPr="00FF3D47">
        <w:rPr>
          <w:strike/>
          <w:szCs w:val="24"/>
          <w:lang w:eastAsia="en-US"/>
        </w:rPr>
        <w:t>;</w:t>
      </w:r>
      <w:r w:rsidR="000A2560">
        <w:rPr>
          <w:strike/>
          <w:szCs w:val="24"/>
          <w:lang w:eastAsia="en-US"/>
        </w:rPr>
        <w:t xml:space="preserve"> </w:t>
      </w:r>
      <w:r w:rsidR="000A2560">
        <w:rPr>
          <w:b/>
          <w:szCs w:val="24"/>
          <w:lang w:eastAsia="en-US"/>
        </w:rPr>
        <w:t>[</w:t>
      </w:r>
      <w:proofErr w:type="spellStart"/>
      <w:r w:rsidR="000A2560">
        <w:rPr>
          <w:b/>
          <w:szCs w:val="24"/>
          <w:lang w:eastAsia="en-US"/>
        </w:rPr>
        <w:t>Em</w:t>
      </w:r>
      <w:proofErr w:type="spellEnd"/>
      <w:r w:rsidR="000A2560">
        <w:rPr>
          <w:b/>
          <w:szCs w:val="24"/>
          <w:lang w:eastAsia="en-US"/>
        </w:rPr>
        <w:t>. 144]</w:t>
      </w:r>
    </w:p>
    <w:p w14:paraId="44C469F2" w14:textId="1D55A6C1" w:rsidR="00FF3D47" w:rsidRPr="00FF3D47" w:rsidRDefault="00FF3D47" w:rsidP="00FF3D47">
      <w:pPr>
        <w:spacing w:before="120" w:after="120" w:line="360" w:lineRule="auto"/>
        <w:ind w:left="1416" w:hanging="566"/>
        <w:rPr>
          <w:szCs w:val="24"/>
          <w:lang w:eastAsia="en-US"/>
        </w:rPr>
      </w:pPr>
      <w:r w:rsidRPr="00FF3D47">
        <w:rPr>
          <w:szCs w:val="24"/>
          <w:lang w:eastAsia="en-US"/>
        </w:rPr>
        <w:t>e)</w:t>
      </w:r>
      <w:r w:rsidRPr="00FF3D47">
        <w:rPr>
          <w:szCs w:val="24"/>
          <w:lang w:eastAsia="en-US"/>
        </w:rPr>
        <w:tab/>
        <w:t>il verificarsi di un incidente, di una catastrofe, di un disastro, di un inconveniente o di uno sversamento potenzialmente inquinanti;</w:t>
      </w:r>
    </w:p>
    <w:p w14:paraId="4708FAB7" w14:textId="77777777" w:rsidR="000A2560" w:rsidRDefault="000A2560" w:rsidP="00FF3D47">
      <w:pPr>
        <w:spacing w:before="120" w:after="120" w:line="360" w:lineRule="auto"/>
        <w:ind w:left="1416" w:hanging="566"/>
        <w:rPr>
          <w:szCs w:val="24"/>
          <w:lang w:eastAsia="en-US"/>
        </w:rPr>
      </w:pPr>
      <w:r>
        <w:rPr>
          <w:szCs w:val="24"/>
          <w:lang w:eastAsia="en-US"/>
        </w:rPr>
        <w:br w:type="page"/>
      </w:r>
    </w:p>
    <w:p w14:paraId="3E213019" w14:textId="4546C539" w:rsidR="00FF3D47" w:rsidRPr="00FF3D47" w:rsidRDefault="00FF3D47" w:rsidP="00FF3D47">
      <w:pPr>
        <w:spacing w:before="120" w:after="120" w:line="360" w:lineRule="auto"/>
        <w:ind w:left="1416" w:hanging="566"/>
        <w:rPr>
          <w:szCs w:val="24"/>
          <w:lang w:eastAsia="en-US"/>
        </w:rPr>
      </w:pPr>
      <w:r w:rsidRPr="00FF3D47">
        <w:rPr>
          <w:szCs w:val="24"/>
          <w:lang w:eastAsia="en-US"/>
        </w:rPr>
        <w:lastRenderedPageBreak/>
        <w:t>f)</w:t>
      </w:r>
      <w:r w:rsidRPr="00FF3D47">
        <w:rPr>
          <w:szCs w:val="24"/>
          <w:lang w:eastAsia="en-US"/>
        </w:rPr>
        <w:tab/>
        <w:t>qualsiasi altro evento che possa provocare una contaminazione del suolo;</w:t>
      </w:r>
    </w:p>
    <w:p w14:paraId="1A3EF7FD" w14:textId="3AD3A3A5" w:rsidR="00FF3D47" w:rsidRPr="00FF3D47" w:rsidRDefault="00FF3D47" w:rsidP="00FF3D47">
      <w:pPr>
        <w:spacing w:before="120" w:after="120" w:line="360" w:lineRule="auto"/>
        <w:ind w:left="1416" w:hanging="566"/>
        <w:rPr>
          <w:szCs w:val="24"/>
          <w:lang w:eastAsia="en-US"/>
        </w:rPr>
      </w:pPr>
      <w:r w:rsidRPr="00FF3D47">
        <w:rPr>
          <w:b/>
          <w:i/>
          <w:szCs w:val="24"/>
          <w:lang w:eastAsia="en-US"/>
        </w:rPr>
        <w:t>f</w:t>
      </w:r>
      <w:r w:rsidR="000A2560">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tutte le aree utilizzate per l'estrazione di acqua potabile; [</w:t>
      </w:r>
      <w:proofErr w:type="spellStart"/>
      <w:r w:rsidRPr="00FF3D47">
        <w:rPr>
          <w:b/>
          <w:i/>
          <w:szCs w:val="24"/>
          <w:lang w:eastAsia="en-US"/>
        </w:rPr>
        <w:t>Em</w:t>
      </w:r>
      <w:proofErr w:type="spellEnd"/>
      <w:r w:rsidRPr="00FF3D47">
        <w:rPr>
          <w:b/>
          <w:i/>
          <w:szCs w:val="24"/>
          <w:lang w:eastAsia="en-US"/>
        </w:rPr>
        <w:t>. 145]</w:t>
      </w:r>
    </w:p>
    <w:p w14:paraId="7CBC74A1" w14:textId="47025080" w:rsidR="00FF3D47" w:rsidRPr="00FF3D47" w:rsidRDefault="00FF3D47" w:rsidP="00FF3D47">
      <w:pPr>
        <w:spacing w:before="120" w:after="120" w:line="360" w:lineRule="auto"/>
        <w:ind w:left="1416" w:hanging="566"/>
        <w:rPr>
          <w:szCs w:val="24"/>
          <w:lang w:eastAsia="en-US"/>
        </w:rPr>
      </w:pPr>
      <w:r w:rsidRPr="00FF3D47">
        <w:rPr>
          <w:szCs w:val="24"/>
          <w:lang w:eastAsia="en-US"/>
        </w:rPr>
        <w:t>g)</w:t>
      </w:r>
      <w:r w:rsidRPr="00FF3D47">
        <w:rPr>
          <w:szCs w:val="24"/>
          <w:lang w:eastAsia="en-US"/>
        </w:rPr>
        <w:tab/>
        <w:t>tutte le informazioni emerse dal monitoraggio della salute del suolo effettuato a norma degli articoli 6, 7 e 8.</w:t>
      </w:r>
    </w:p>
    <w:p w14:paraId="64D34EE1" w14:textId="705AE2AE" w:rsidR="00FF3D47" w:rsidRPr="00FF3D47" w:rsidRDefault="000A2560" w:rsidP="00FF3D47">
      <w:pPr>
        <w:spacing w:before="120" w:after="120" w:line="360" w:lineRule="auto"/>
        <w:ind w:left="1416" w:hanging="566"/>
        <w:rPr>
          <w:szCs w:val="24"/>
          <w:lang w:eastAsia="en-US"/>
        </w:rPr>
      </w:pPr>
      <w:r>
        <w:rPr>
          <w:b/>
          <w:i/>
          <w:szCs w:val="24"/>
          <w:lang w:eastAsia="en-US"/>
        </w:rPr>
        <w:t>g bis</w:t>
      </w:r>
      <w:r w:rsidR="00FF3D47" w:rsidRPr="00FF3D47">
        <w:rPr>
          <w:b/>
          <w:i/>
          <w:szCs w:val="24"/>
          <w:lang w:eastAsia="en-US"/>
        </w:rPr>
        <w:t>)</w:t>
      </w:r>
      <w:r w:rsidR="00FF3D47" w:rsidRPr="00FF3D47">
        <w:rPr>
          <w:szCs w:val="24"/>
          <w:lang w:eastAsia="en-US"/>
        </w:rPr>
        <w:tab/>
      </w:r>
      <w:r w:rsidR="00FF3D47" w:rsidRPr="00FF3D47">
        <w:rPr>
          <w:b/>
          <w:i/>
          <w:szCs w:val="24"/>
          <w:lang w:eastAsia="en-US"/>
        </w:rPr>
        <w:t>l'insorgenza di qualsiasi malattia che si presume sia legata all'esposizione alla contaminazione attraverso il suolo; [</w:t>
      </w:r>
      <w:proofErr w:type="spellStart"/>
      <w:r w:rsidR="00FF3D47" w:rsidRPr="00FF3D47">
        <w:rPr>
          <w:b/>
          <w:i/>
          <w:szCs w:val="24"/>
          <w:lang w:eastAsia="en-US"/>
        </w:rPr>
        <w:t>Em</w:t>
      </w:r>
      <w:proofErr w:type="spellEnd"/>
      <w:r w:rsidR="00FF3D47" w:rsidRPr="00FF3D47">
        <w:rPr>
          <w:b/>
          <w:i/>
          <w:szCs w:val="24"/>
          <w:lang w:eastAsia="en-US"/>
        </w:rPr>
        <w:t>. 146]</w:t>
      </w:r>
    </w:p>
    <w:p w14:paraId="1985FA76" w14:textId="26D5DDCF" w:rsidR="00FF3D47" w:rsidRPr="00FF3D47" w:rsidRDefault="00FF3D47" w:rsidP="00FF3D47">
      <w:pPr>
        <w:spacing w:before="120" w:after="120" w:line="360" w:lineRule="auto"/>
        <w:ind w:left="1416" w:hanging="566"/>
        <w:rPr>
          <w:szCs w:val="24"/>
          <w:lang w:eastAsia="en-US"/>
        </w:rPr>
      </w:pPr>
      <w:r w:rsidRPr="00FF3D47">
        <w:rPr>
          <w:b/>
          <w:i/>
          <w:szCs w:val="24"/>
          <w:lang w:eastAsia="en-US"/>
        </w:rPr>
        <w:t>g</w:t>
      </w:r>
      <w:r w:rsidR="000A2560">
        <w:rPr>
          <w:b/>
          <w:i/>
          <w:szCs w:val="24"/>
          <w:lang w:eastAsia="en-US"/>
        </w:rPr>
        <w:t xml:space="preserve"> ter</w:t>
      </w:r>
      <w:r w:rsidRPr="00FF3D47">
        <w:rPr>
          <w:b/>
          <w:i/>
          <w:szCs w:val="24"/>
          <w:lang w:eastAsia="en-US"/>
        </w:rPr>
        <w:t>)</w:t>
      </w:r>
      <w:r w:rsidRPr="00FF3D47">
        <w:rPr>
          <w:szCs w:val="24"/>
          <w:lang w:eastAsia="en-US"/>
        </w:rPr>
        <w:tab/>
      </w:r>
      <w:r w:rsidRPr="00FF3D47">
        <w:rPr>
          <w:b/>
          <w:i/>
          <w:szCs w:val="24"/>
          <w:lang w:eastAsia="en-US"/>
        </w:rPr>
        <w:t>tutte le informazioni fornite dal pubblico o dalle autorità degli Stati membri. [</w:t>
      </w:r>
      <w:proofErr w:type="spellStart"/>
      <w:r w:rsidRPr="00FF3D47">
        <w:rPr>
          <w:b/>
          <w:i/>
          <w:szCs w:val="24"/>
          <w:lang w:eastAsia="en-US"/>
        </w:rPr>
        <w:t>Em</w:t>
      </w:r>
      <w:proofErr w:type="spellEnd"/>
      <w:r w:rsidRPr="00FF3D47">
        <w:rPr>
          <w:b/>
          <w:i/>
          <w:szCs w:val="24"/>
          <w:lang w:eastAsia="en-US"/>
        </w:rPr>
        <w:t>. 147]</w:t>
      </w:r>
    </w:p>
    <w:p w14:paraId="43E649D9" w14:textId="77777777" w:rsidR="00FF3D47" w:rsidRPr="00FF3D47" w:rsidRDefault="00FF3D47" w:rsidP="00FF3D47">
      <w:pPr>
        <w:spacing w:before="120" w:after="120" w:line="360" w:lineRule="auto"/>
        <w:ind w:left="850"/>
        <w:rPr>
          <w:szCs w:val="24"/>
          <w:lang w:eastAsia="en-US"/>
        </w:rPr>
      </w:pPr>
      <w:r w:rsidRPr="00FF3D47">
        <w:rPr>
          <w:szCs w:val="24"/>
          <w:lang w:eastAsia="en-US"/>
        </w:rPr>
        <w:t>Ai fini del primo comma, lettera a), gli Stati membri stabiliscono un elenco delle attività a rischio di essere potenzialmente contaminanti. Tali attività possono essere ulteriormente classificate secondo il rischio di contaminazione del suolo sulla base di prove scientifiche.</w:t>
      </w:r>
    </w:p>
    <w:p w14:paraId="74ABE085"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3.</w:t>
      </w:r>
      <w:r w:rsidRPr="00FF3D47">
        <w:rPr>
          <w:szCs w:val="24"/>
          <w:lang w:eastAsia="en-US"/>
        </w:rPr>
        <w:tab/>
        <w:t>Gli Stati membri provvedono affinché entro il (</w:t>
      </w:r>
      <w:proofErr w:type="spellStart"/>
      <w:proofErr w:type="gramStart"/>
      <w:r w:rsidRPr="00FF3D47">
        <w:rPr>
          <w:szCs w:val="24"/>
          <w:lang w:eastAsia="en-US"/>
        </w:rPr>
        <w:t>OP:inserire</w:t>
      </w:r>
      <w:proofErr w:type="spellEnd"/>
      <w:proofErr w:type="gramEnd"/>
      <w:r w:rsidRPr="00FF3D47">
        <w:rPr>
          <w:szCs w:val="24"/>
          <w:lang w:eastAsia="en-US"/>
        </w:rPr>
        <w:t xml:space="preserve"> la data corrispondente a 7 anni dopo la data di entrata in vigore della direttiva) tutti i siti potenzialmente contaminati siano identificati e debitamente iscritti nel registro di cui all'articolo 16.</w:t>
      </w:r>
    </w:p>
    <w:p w14:paraId="0A388D7E" w14:textId="77777777" w:rsidR="000A2560" w:rsidRDefault="000A2560" w:rsidP="00FF3D47">
      <w:pPr>
        <w:spacing w:before="120" w:after="120" w:line="360" w:lineRule="auto"/>
        <w:jc w:val="center"/>
        <w:rPr>
          <w:szCs w:val="24"/>
          <w:lang w:eastAsia="en-US"/>
        </w:rPr>
      </w:pPr>
      <w:r>
        <w:rPr>
          <w:szCs w:val="24"/>
          <w:lang w:eastAsia="en-US"/>
        </w:rPr>
        <w:br w:type="page"/>
      </w:r>
    </w:p>
    <w:p w14:paraId="00D15498" w14:textId="3F06FD84"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14</w:t>
      </w:r>
      <w:r w:rsidRPr="00FF3D47">
        <w:rPr>
          <w:szCs w:val="24"/>
          <w:lang w:eastAsia="en-US"/>
        </w:rPr>
        <w:br/>
        <w:t>Analisi dei siti potenzialmente contaminati</w:t>
      </w:r>
    </w:p>
    <w:p w14:paraId="79A6EB82"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Gli Stati membri provvedono affinché in tutti i siti potenzialmente contaminati individuati conformemente all'articolo 13 siano condotte analisi del suolo</w:t>
      </w:r>
      <w:r w:rsidRPr="00FF3D47">
        <w:rPr>
          <w:b/>
          <w:i/>
          <w:szCs w:val="24"/>
          <w:lang w:eastAsia="en-US"/>
        </w:rPr>
        <w:t>, secondo ordine di priorità</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148]</w:t>
      </w:r>
    </w:p>
    <w:p w14:paraId="13A5E573"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Gli Stati membri stabiliscono le norme relative al termine, al contenuto, alla forma e alle priorità delle analisi del suolo</w:t>
      </w:r>
      <w:r w:rsidRPr="00FF3D47">
        <w:rPr>
          <w:b/>
          <w:i/>
          <w:szCs w:val="24"/>
          <w:lang w:eastAsia="en-US"/>
        </w:rPr>
        <w:t>, tenendo conto degli aspetti ambientali, sociali ed economici</w:t>
      </w:r>
      <w:r w:rsidRPr="00FF3D47">
        <w:rPr>
          <w:szCs w:val="24"/>
          <w:lang w:eastAsia="en-US"/>
        </w:rPr>
        <w:t>. Tali norme sono stabilite conformemente all'approccio basato sul rischio di cui all'articolo 12 e all'elenco delle attività a rischio di essere potenzialmente contaminanti di cui all'articolo 13, paragrafo 2, secondo comma.</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149]</w:t>
      </w:r>
    </w:p>
    <w:p w14:paraId="5E601829" w14:textId="54359D51" w:rsidR="00FF3D47" w:rsidRPr="0017737D" w:rsidRDefault="00FF3D47" w:rsidP="00FF3D47">
      <w:pPr>
        <w:spacing w:before="120" w:after="120" w:line="360" w:lineRule="auto"/>
        <w:ind w:left="850"/>
      </w:pPr>
      <w:r w:rsidRPr="00FF3D47">
        <w:rPr>
          <w:b/>
          <w:i/>
          <w:szCs w:val="24"/>
          <w:lang w:eastAsia="en-US"/>
        </w:rPr>
        <w:t>I siti potenzialmente contaminati situati in aree utilizzate per l'estrazione di acqua destinata al consumo umano sono oggetto di analisi del suolo prioritarie. [</w:t>
      </w:r>
      <w:proofErr w:type="spellStart"/>
      <w:r w:rsidRPr="00FF3D47">
        <w:rPr>
          <w:b/>
          <w:i/>
          <w:szCs w:val="24"/>
          <w:lang w:eastAsia="en-US"/>
        </w:rPr>
        <w:t>Em</w:t>
      </w:r>
      <w:proofErr w:type="spellEnd"/>
      <w:r w:rsidR="0017737D">
        <w:rPr>
          <w:b/>
          <w:szCs w:val="24"/>
          <w:lang w:eastAsia="en-US"/>
        </w:rPr>
        <w:t>. </w:t>
      </w:r>
      <w:r w:rsidRPr="00FF3D47">
        <w:rPr>
          <w:b/>
          <w:i/>
          <w:szCs w:val="24"/>
          <w:lang w:eastAsia="en-US"/>
        </w:rPr>
        <w:t>150]</w:t>
      </w:r>
    </w:p>
    <w:p w14:paraId="278BBD41" w14:textId="77777777" w:rsidR="00FF3D47" w:rsidRPr="00FF3D47" w:rsidRDefault="00FF3D47" w:rsidP="00FF3D47">
      <w:pPr>
        <w:spacing w:before="120" w:after="120" w:line="360" w:lineRule="auto"/>
        <w:ind w:left="850"/>
        <w:rPr>
          <w:szCs w:val="24"/>
          <w:lang w:eastAsia="en-US"/>
        </w:rPr>
      </w:pPr>
      <w:r w:rsidRPr="00FF3D47">
        <w:rPr>
          <w:szCs w:val="24"/>
          <w:lang w:eastAsia="en-US"/>
        </w:rPr>
        <w:t>Se del caso, gli Stati membri possono considerare alla stregua di analisi del suolo le relazioni di riferimento e le misure di controllo attuate in conformità della direttiva 2010/75/UE.</w:t>
      </w:r>
    </w:p>
    <w:p w14:paraId="36E830B8"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3.</w:t>
      </w:r>
      <w:r w:rsidRPr="00FF3D47">
        <w:rPr>
          <w:szCs w:val="24"/>
          <w:lang w:eastAsia="en-US"/>
        </w:rPr>
        <w:tab/>
        <w:t>Gli Stati membri stabiliscono anche gli eventi specifici che fanno scattare un'analisi prima del termine fissato a norma del paragrafo 2.</w:t>
      </w:r>
    </w:p>
    <w:p w14:paraId="58FCB0D7" w14:textId="77777777" w:rsidR="0017737D" w:rsidRDefault="0017737D" w:rsidP="00FF3D47">
      <w:pPr>
        <w:spacing w:before="120" w:after="120" w:line="360" w:lineRule="auto"/>
        <w:jc w:val="center"/>
        <w:rPr>
          <w:szCs w:val="24"/>
          <w:lang w:eastAsia="en-US"/>
        </w:rPr>
      </w:pPr>
      <w:r>
        <w:rPr>
          <w:szCs w:val="24"/>
          <w:lang w:eastAsia="en-US"/>
        </w:rPr>
        <w:br w:type="page"/>
      </w:r>
    </w:p>
    <w:p w14:paraId="04A1CEFA" w14:textId="025D867A"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15</w:t>
      </w:r>
      <w:r w:rsidRPr="00FF3D47">
        <w:rPr>
          <w:szCs w:val="24"/>
          <w:lang w:eastAsia="en-US"/>
        </w:rPr>
        <w:br/>
        <w:t>Valutazione del rischio e gestione dei siti contaminati</w:t>
      </w:r>
    </w:p>
    <w:p w14:paraId="4E8DEEEA"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Gli Stati membri stabiliscono la metodologia specifica per determinare, in funzione del sito, i rischi posti dai siti contaminati. La metodologia si basa sulle fasi e sui requisiti per la valutazione del rischio in funzione del sito di cui all'allegato VI.</w:t>
      </w:r>
    </w:p>
    <w:p w14:paraId="36135349"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Gli Stati membri definiscono ciò che costituisce un rischio inaccettabile per la salute umana</w:t>
      </w:r>
      <w:r w:rsidRPr="00FF3D47">
        <w:rPr>
          <w:b/>
          <w:i/>
          <w:szCs w:val="24"/>
          <w:lang w:eastAsia="en-US"/>
        </w:rPr>
        <w:t xml:space="preserve"> e animale</w:t>
      </w:r>
      <w:r w:rsidRPr="00FF3D47">
        <w:rPr>
          <w:szCs w:val="24"/>
          <w:lang w:eastAsia="en-US"/>
        </w:rPr>
        <w:t xml:space="preserve"> e per l'ambiente derivante dai siti contaminati tenendo conto delle conoscenze scientifiche esistenti, del </w:t>
      </w:r>
      <w:r w:rsidRPr="00FF3D47">
        <w:rPr>
          <w:b/>
          <w:i/>
          <w:szCs w:val="24"/>
          <w:lang w:eastAsia="en-US"/>
        </w:rPr>
        <w:t xml:space="preserve">parere delle autorità e degli operatori sanitari, del </w:t>
      </w:r>
      <w:r w:rsidRPr="00FF3D47">
        <w:rPr>
          <w:szCs w:val="24"/>
          <w:lang w:eastAsia="en-US"/>
        </w:rPr>
        <w:t>principio di precauzione, delle specificità locali e degli usi del suolo attuali e futuri.</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151]</w:t>
      </w:r>
    </w:p>
    <w:p w14:paraId="1E6EEDEA"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3.</w:t>
      </w:r>
      <w:r w:rsidRPr="00FF3D47">
        <w:rPr>
          <w:szCs w:val="24"/>
          <w:lang w:eastAsia="en-US"/>
        </w:rPr>
        <w:tab/>
        <w:t xml:space="preserve">Per ciascun sito contaminato identificato a norma dell'articolo 14 o con qualsiasi altro mezzo, l'autorità competente valuta il sito in funzione degli usi del suolo attuali e previsti al fine di determinare se presenta rischi inaccettabili per la salute umana </w:t>
      </w:r>
      <w:r w:rsidRPr="00FF3D47">
        <w:rPr>
          <w:b/>
          <w:i/>
          <w:szCs w:val="24"/>
          <w:lang w:eastAsia="en-US"/>
        </w:rPr>
        <w:t xml:space="preserve">e animale </w:t>
      </w:r>
      <w:r w:rsidRPr="00FF3D47">
        <w:rPr>
          <w:szCs w:val="24"/>
          <w:lang w:eastAsia="en-US"/>
        </w:rPr>
        <w:t>o per l'ambiente.</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152]</w:t>
      </w:r>
    </w:p>
    <w:p w14:paraId="20A9EE0C" w14:textId="387713FA" w:rsidR="00FF3D47" w:rsidRPr="00FF3D47" w:rsidRDefault="00FF3D47" w:rsidP="00FF3D47">
      <w:pPr>
        <w:spacing w:before="120" w:after="120" w:line="360" w:lineRule="auto"/>
        <w:ind w:left="850" w:hanging="850"/>
        <w:rPr>
          <w:szCs w:val="24"/>
          <w:lang w:eastAsia="en-US"/>
        </w:rPr>
      </w:pPr>
      <w:r w:rsidRPr="00FF3D47">
        <w:rPr>
          <w:b/>
          <w:i/>
          <w:szCs w:val="24"/>
          <w:lang w:eastAsia="en-US"/>
        </w:rPr>
        <w:t>3</w:t>
      </w:r>
      <w:r w:rsidR="0017737D">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Se del caso, gli Stati membri possono considerare sufficienti le valutazioni condotte a norma della direttiva 2010/75/UE</w:t>
      </w:r>
      <w:r w:rsidR="0017737D">
        <w:rPr>
          <w:b/>
          <w:i/>
          <w:szCs w:val="24"/>
          <w:lang w:eastAsia="en-US"/>
        </w:rPr>
        <w:t>, 2011/92/UE o 2012/18/UE. [</w:t>
      </w:r>
      <w:proofErr w:type="spellStart"/>
      <w:r w:rsidR="0017737D">
        <w:rPr>
          <w:b/>
          <w:i/>
          <w:szCs w:val="24"/>
          <w:lang w:eastAsia="en-US"/>
        </w:rPr>
        <w:t>Em</w:t>
      </w:r>
      <w:proofErr w:type="spellEnd"/>
      <w:r w:rsidR="0017737D">
        <w:rPr>
          <w:b/>
          <w:szCs w:val="24"/>
          <w:lang w:eastAsia="en-US"/>
        </w:rPr>
        <w:t>. </w:t>
      </w:r>
      <w:r w:rsidRPr="00FF3D47">
        <w:rPr>
          <w:b/>
          <w:i/>
          <w:szCs w:val="24"/>
          <w:lang w:eastAsia="en-US"/>
        </w:rPr>
        <w:t>153]</w:t>
      </w:r>
    </w:p>
    <w:p w14:paraId="3940DCEA" w14:textId="77777777" w:rsidR="0017737D" w:rsidRDefault="0017737D" w:rsidP="00FF3D47">
      <w:pPr>
        <w:spacing w:before="120" w:after="120" w:line="360" w:lineRule="auto"/>
        <w:ind w:left="850" w:hanging="850"/>
        <w:rPr>
          <w:szCs w:val="24"/>
          <w:lang w:eastAsia="en-US"/>
        </w:rPr>
      </w:pPr>
      <w:r>
        <w:rPr>
          <w:szCs w:val="24"/>
          <w:lang w:eastAsia="en-US"/>
        </w:rPr>
        <w:br w:type="page"/>
      </w:r>
    </w:p>
    <w:p w14:paraId="321DF324" w14:textId="5C656782"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4.</w:t>
      </w:r>
      <w:r w:rsidRPr="00FF3D47">
        <w:rPr>
          <w:szCs w:val="24"/>
          <w:lang w:eastAsia="en-US"/>
        </w:rPr>
        <w:tab/>
        <w:t xml:space="preserve">Sulla base dell'esito della valutazione di cui al paragrafo 3, l'autorità competente </w:t>
      </w:r>
      <w:proofErr w:type="spellStart"/>
      <w:r w:rsidRPr="00FF3D47">
        <w:rPr>
          <w:strike/>
          <w:szCs w:val="24"/>
          <w:lang w:eastAsia="en-US"/>
        </w:rPr>
        <w:t>adotta</w:t>
      </w:r>
      <w:r w:rsidRPr="00FF3D47">
        <w:rPr>
          <w:b/>
          <w:i/>
          <w:szCs w:val="24"/>
          <w:lang w:eastAsia="en-US"/>
        </w:rPr>
        <w:t>garantisce</w:t>
      </w:r>
      <w:proofErr w:type="spellEnd"/>
      <w:r w:rsidRPr="00FF3D47">
        <w:rPr>
          <w:b/>
          <w:i/>
          <w:szCs w:val="24"/>
          <w:lang w:eastAsia="en-US"/>
        </w:rPr>
        <w:t xml:space="preserve"> che siano adottate</w:t>
      </w:r>
      <w:r w:rsidRPr="00FF3D47">
        <w:rPr>
          <w:szCs w:val="24"/>
          <w:lang w:eastAsia="en-US"/>
        </w:rPr>
        <w:t xml:space="preserve"> le opportune </w:t>
      </w:r>
      <w:proofErr w:type="spellStart"/>
      <w:r w:rsidRPr="00FF3D47">
        <w:rPr>
          <w:szCs w:val="24"/>
          <w:lang w:eastAsia="en-US"/>
        </w:rPr>
        <w:t>misureper</w:t>
      </w:r>
      <w:proofErr w:type="spellEnd"/>
      <w:r w:rsidRPr="00FF3D47">
        <w:rPr>
          <w:szCs w:val="24"/>
          <w:lang w:eastAsia="en-US"/>
        </w:rPr>
        <w:t xml:space="preserve"> portare i rischi a un livello accettabile per la salute umana e per l'ambiente ("misure di riduzione dei rischi").</w:t>
      </w:r>
      <w:r w:rsidR="0017737D">
        <w:rPr>
          <w:b/>
          <w:i/>
          <w:szCs w:val="24"/>
          <w:lang w:eastAsia="en-US"/>
        </w:rPr>
        <w:t xml:space="preserve"> [</w:t>
      </w:r>
      <w:proofErr w:type="spellStart"/>
      <w:r w:rsidR="0017737D">
        <w:rPr>
          <w:b/>
          <w:i/>
          <w:szCs w:val="24"/>
          <w:lang w:eastAsia="en-US"/>
        </w:rPr>
        <w:t>Em</w:t>
      </w:r>
      <w:proofErr w:type="spellEnd"/>
      <w:r w:rsidR="0017737D">
        <w:rPr>
          <w:b/>
          <w:szCs w:val="24"/>
          <w:lang w:eastAsia="en-US"/>
        </w:rPr>
        <w:t>. </w:t>
      </w:r>
      <w:r w:rsidRPr="00FF3D47">
        <w:rPr>
          <w:b/>
          <w:i/>
          <w:szCs w:val="24"/>
          <w:lang w:eastAsia="en-US"/>
        </w:rPr>
        <w:t>154]</w:t>
      </w:r>
    </w:p>
    <w:p w14:paraId="42056912"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5.</w:t>
      </w:r>
      <w:r w:rsidRPr="00FF3D47">
        <w:rPr>
          <w:szCs w:val="24"/>
          <w:lang w:eastAsia="en-US"/>
        </w:rPr>
        <w:tab/>
        <w:t xml:space="preserve">Le misure di riduzione del rischio </w:t>
      </w:r>
      <w:r w:rsidRPr="00FF3D47">
        <w:rPr>
          <w:strike/>
          <w:szCs w:val="24"/>
          <w:lang w:eastAsia="en-US"/>
        </w:rPr>
        <w:t xml:space="preserve">possono consistere </w:t>
      </w:r>
      <w:proofErr w:type="spellStart"/>
      <w:r w:rsidRPr="00FF3D47">
        <w:rPr>
          <w:strike/>
          <w:szCs w:val="24"/>
          <w:lang w:eastAsia="en-US"/>
        </w:rPr>
        <w:t>nelle</w:t>
      </w:r>
      <w:r w:rsidRPr="00FF3D47">
        <w:rPr>
          <w:b/>
          <w:i/>
          <w:szCs w:val="24"/>
          <w:lang w:eastAsia="en-US"/>
        </w:rPr>
        <w:t>si</w:t>
      </w:r>
      <w:proofErr w:type="spellEnd"/>
      <w:r w:rsidRPr="00FF3D47">
        <w:rPr>
          <w:b/>
          <w:i/>
          <w:szCs w:val="24"/>
          <w:lang w:eastAsia="en-US"/>
        </w:rPr>
        <w:t xml:space="preserve"> basano sulle</w:t>
      </w:r>
      <w:r w:rsidRPr="00FF3D47">
        <w:rPr>
          <w:szCs w:val="24"/>
          <w:lang w:eastAsia="en-US"/>
        </w:rPr>
        <w:t xml:space="preserve"> misure di cui all'allegato V. L'autorità competente decide le opportune misure di riduzione del rischio tenendo conto dei costi, dei benefici, dell'efficacia, della durabilità e della fattibilità tecnica delle misure disponibili</w:t>
      </w:r>
      <w:r w:rsidRPr="00FF3D47">
        <w:rPr>
          <w:b/>
          <w:i/>
          <w:szCs w:val="24"/>
          <w:lang w:eastAsia="en-US"/>
        </w:rPr>
        <w:t xml:space="preserve"> a breve e a lungo termine</w:t>
      </w:r>
      <w:r w:rsidRPr="00FF3D47">
        <w:rPr>
          <w:szCs w:val="24"/>
          <w:lang w:eastAsia="en-US"/>
        </w:rPr>
        <w:t>.</w:t>
      </w:r>
      <w:r w:rsidRPr="00FF3D47">
        <w:rPr>
          <w:b/>
          <w:i/>
          <w:szCs w:val="24"/>
          <w:lang w:eastAsia="en-US"/>
        </w:rPr>
        <w:t xml:space="preserve"> Gli Stati membri si adoperano sempre ai fini della prevenzione e per la decontaminazione del suolo. [</w:t>
      </w:r>
      <w:proofErr w:type="spellStart"/>
      <w:r w:rsidRPr="00FF3D47">
        <w:rPr>
          <w:b/>
          <w:i/>
          <w:szCs w:val="24"/>
          <w:lang w:eastAsia="en-US"/>
        </w:rPr>
        <w:t>Em</w:t>
      </w:r>
      <w:proofErr w:type="spellEnd"/>
      <w:r w:rsidRPr="00FF3D47">
        <w:rPr>
          <w:b/>
          <w:i/>
          <w:szCs w:val="24"/>
          <w:lang w:eastAsia="en-US"/>
        </w:rPr>
        <w:t>. 155]</w:t>
      </w:r>
    </w:p>
    <w:p w14:paraId="649CABD5" w14:textId="77777777" w:rsidR="00FF3D47" w:rsidRPr="00FF3D47" w:rsidRDefault="00FF3D47" w:rsidP="00FF3D47">
      <w:pPr>
        <w:spacing w:before="120" w:after="120" w:line="360" w:lineRule="auto"/>
        <w:ind w:left="850"/>
        <w:rPr>
          <w:szCs w:val="24"/>
          <w:lang w:eastAsia="en-US"/>
        </w:rPr>
      </w:pPr>
      <w:r w:rsidRPr="00FF3D47">
        <w:rPr>
          <w:b/>
          <w:i/>
          <w:szCs w:val="24"/>
          <w:lang w:eastAsia="en-US"/>
        </w:rPr>
        <w:t>Le misure di riduzione del rischio che interessano corpi idrici circostanti utilizzati per l'estrazione di acqua destinata al consumo umano sono conformi alle norme relative al rischio accettabile di cui alla direttiva (UE) 2020/2184. [</w:t>
      </w:r>
      <w:proofErr w:type="spellStart"/>
      <w:r w:rsidRPr="00FF3D47">
        <w:rPr>
          <w:b/>
          <w:i/>
          <w:szCs w:val="24"/>
          <w:lang w:eastAsia="en-US"/>
        </w:rPr>
        <w:t>Em</w:t>
      </w:r>
      <w:proofErr w:type="spellEnd"/>
      <w:r w:rsidRPr="00FF3D47">
        <w:rPr>
          <w:b/>
          <w:i/>
          <w:szCs w:val="24"/>
          <w:lang w:eastAsia="en-US"/>
        </w:rPr>
        <w:t>. 156]</w:t>
      </w:r>
    </w:p>
    <w:p w14:paraId="6978F17A" w14:textId="59F9CFA9" w:rsidR="00FF3D47" w:rsidRPr="00FF3D47" w:rsidRDefault="0017737D" w:rsidP="00FF3D47">
      <w:pPr>
        <w:spacing w:before="120" w:after="120" w:line="360" w:lineRule="auto"/>
        <w:ind w:left="850" w:hanging="850"/>
        <w:rPr>
          <w:szCs w:val="24"/>
          <w:lang w:eastAsia="en-US"/>
        </w:rPr>
      </w:pPr>
      <w:r>
        <w:rPr>
          <w:b/>
          <w:i/>
          <w:szCs w:val="24"/>
          <w:lang w:eastAsia="en-US"/>
        </w:rPr>
        <w:t>5 bis</w:t>
      </w:r>
      <w:r w:rsidR="00FF3D47" w:rsidRPr="00FF3D47">
        <w:rPr>
          <w:b/>
          <w:i/>
          <w:szCs w:val="24"/>
          <w:lang w:eastAsia="en-US"/>
        </w:rPr>
        <w:t>.</w:t>
      </w:r>
      <w:r w:rsidR="00FF3D47" w:rsidRPr="00FF3D47">
        <w:rPr>
          <w:szCs w:val="24"/>
          <w:lang w:eastAsia="en-US"/>
        </w:rPr>
        <w:tab/>
      </w:r>
      <w:r w:rsidR="00FF3D47" w:rsidRPr="00FF3D47">
        <w:rPr>
          <w:b/>
          <w:i/>
          <w:szCs w:val="24"/>
          <w:lang w:eastAsia="en-US"/>
        </w:rPr>
        <w:t>La Commissione adotta atti delegati a norma dell'articolo 20 al fine di integrare la presente direttiva stabilendo valori di tolleranza massimi in relazione alla definizione di rischio inaccettabile per la saluta umana e per l'ambiente derivante da siti contaminati di cui al paragrafo 2. [</w:t>
      </w:r>
      <w:proofErr w:type="spellStart"/>
      <w:r w:rsidR="00FF3D47" w:rsidRPr="00FF3D47">
        <w:rPr>
          <w:b/>
          <w:i/>
          <w:szCs w:val="24"/>
          <w:lang w:eastAsia="en-US"/>
        </w:rPr>
        <w:t>Em</w:t>
      </w:r>
      <w:proofErr w:type="spellEnd"/>
      <w:r w:rsidR="00FF3D47" w:rsidRPr="00FF3D47">
        <w:rPr>
          <w:b/>
          <w:i/>
          <w:szCs w:val="24"/>
          <w:lang w:eastAsia="en-US"/>
        </w:rPr>
        <w:t>. 157]</w:t>
      </w:r>
    </w:p>
    <w:p w14:paraId="65EB8F84" w14:textId="77777777" w:rsidR="0017737D" w:rsidRDefault="0017737D" w:rsidP="00FF3D47">
      <w:pPr>
        <w:spacing w:before="120" w:after="120" w:line="360" w:lineRule="auto"/>
        <w:ind w:left="850" w:hanging="850"/>
        <w:rPr>
          <w:szCs w:val="24"/>
          <w:lang w:eastAsia="en-US"/>
        </w:rPr>
      </w:pPr>
      <w:r>
        <w:rPr>
          <w:szCs w:val="24"/>
          <w:lang w:eastAsia="en-US"/>
        </w:rPr>
        <w:br w:type="page"/>
      </w:r>
    </w:p>
    <w:p w14:paraId="5FD4D320" w14:textId="27E060BA"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6.</w:t>
      </w:r>
      <w:r w:rsidRPr="00FF3D47">
        <w:rPr>
          <w:szCs w:val="24"/>
          <w:lang w:eastAsia="en-US"/>
        </w:rPr>
        <w:tab/>
        <w:t>Alla Commissione è conferito il potere di adottare atti delegati conformemente all'articolo 20 al fine di modificare gli allegati V e VI per adeguare al progresso scientifico e tecnico l'elenco delle misure di riduzione del rischio e gli obblighi per la valutazione del rischio in funzione del sito.</w:t>
      </w:r>
    </w:p>
    <w:p w14:paraId="02B44B7E" w14:textId="77777777" w:rsidR="00FF3D47" w:rsidRPr="00FF3D47" w:rsidRDefault="00FF3D47" w:rsidP="00FF3D47">
      <w:pPr>
        <w:spacing w:before="120" w:after="120" w:line="360" w:lineRule="auto"/>
        <w:jc w:val="center"/>
        <w:rPr>
          <w:szCs w:val="24"/>
          <w:lang w:eastAsia="en-US"/>
        </w:rPr>
      </w:pPr>
      <w:r w:rsidRPr="00FF3D47">
        <w:rPr>
          <w:szCs w:val="24"/>
          <w:lang w:eastAsia="en-US"/>
        </w:rPr>
        <w:t>Articolo 16</w:t>
      </w:r>
      <w:r w:rsidRPr="00FF3D47">
        <w:rPr>
          <w:szCs w:val="24"/>
          <w:lang w:eastAsia="en-US"/>
        </w:rPr>
        <w:br/>
        <w:t>Registro</w:t>
      </w:r>
    </w:p>
    <w:p w14:paraId="59C0E495"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Entro il … (OP: inserire la data corrispondente a 4 anni dopo l'entrata in vigore della direttiva) gli Stati membri redigono, conformemente al paragrafo 2, il registro dei siti contaminati e di quelli potenzialmente contaminati.</w:t>
      </w:r>
    </w:p>
    <w:p w14:paraId="580E10BB"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Il registro contiene le informazioni stabilite nell'allegato VII.</w:t>
      </w:r>
    </w:p>
    <w:p w14:paraId="2EA4B64B"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3.</w:t>
      </w:r>
      <w:r w:rsidRPr="00FF3D47">
        <w:rPr>
          <w:szCs w:val="24"/>
          <w:lang w:eastAsia="en-US"/>
        </w:rPr>
        <w:tab/>
        <w:t>Il registro è gestito dall'autorità competente ed è regolarmente riesaminato e aggiornato.</w:t>
      </w:r>
    </w:p>
    <w:p w14:paraId="0DD2E7E4" w14:textId="77777777" w:rsidR="0017737D" w:rsidRDefault="0017737D" w:rsidP="00FF3D47">
      <w:pPr>
        <w:spacing w:before="120" w:after="120" w:line="360" w:lineRule="auto"/>
        <w:ind w:left="850" w:hanging="850"/>
        <w:rPr>
          <w:szCs w:val="24"/>
          <w:lang w:eastAsia="en-US"/>
        </w:rPr>
      </w:pPr>
      <w:r>
        <w:rPr>
          <w:szCs w:val="24"/>
          <w:lang w:eastAsia="en-US"/>
        </w:rPr>
        <w:br w:type="page"/>
      </w:r>
    </w:p>
    <w:p w14:paraId="7FF22559" w14:textId="721AEBBF"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4.</w:t>
      </w:r>
      <w:r w:rsidRPr="00FF3D47">
        <w:rPr>
          <w:szCs w:val="24"/>
          <w:lang w:eastAsia="en-US"/>
        </w:rPr>
        <w:tab/>
        <w:t>Gli Stati membri rendono pubblici</w:t>
      </w:r>
      <w:r w:rsidRPr="00FF3D47">
        <w:rPr>
          <w:b/>
          <w:i/>
          <w:szCs w:val="24"/>
          <w:lang w:eastAsia="en-US"/>
        </w:rPr>
        <w:t xml:space="preserve"> e facilmente accessibili, a titolo gratuito,</w:t>
      </w:r>
      <w:r w:rsidRPr="00FF3D47">
        <w:rPr>
          <w:szCs w:val="24"/>
          <w:lang w:eastAsia="en-US"/>
        </w:rPr>
        <w:t xml:space="preserve"> il registro e le informazioni di cui ai paragrafi 1 e 2. L'autorità competente può rifiutare o limitare la divulgazione di informazioni se sussistono le condizioni di cui all'articolo 4 della direttiva 2003/4/CE del Parlamento europeo e del Consiglio</w:t>
      </w:r>
      <w:r w:rsidRPr="00FF3D47">
        <w:rPr>
          <w:szCs w:val="24"/>
          <w:vertAlign w:val="superscript"/>
          <w:lang w:val="en-GB" w:eastAsia="en-US"/>
        </w:rPr>
        <w:footnoteReference w:id="53"/>
      </w:r>
      <w:r w:rsidRPr="00FF3D47">
        <w:rPr>
          <w:strike/>
          <w:szCs w:val="24"/>
          <w:lang w:eastAsia="en-US"/>
        </w:rPr>
        <w:t>,</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158]</w:t>
      </w:r>
    </w:p>
    <w:p w14:paraId="078FB9D4" w14:textId="77777777" w:rsidR="00FF3D47" w:rsidRPr="00FF3D47" w:rsidRDefault="00FF3D47" w:rsidP="00FF3D47">
      <w:pPr>
        <w:spacing w:before="120" w:after="120" w:line="360" w:lineRule="auto"/>
        <w:ind w:left="850"/>
        <w:rPr>
          <w:szCs w:val="24"/>
          <w:lang w:eastAsia="en-US"/>
        </w:rPr>
      </w:pPr>
      <w:r w:rsidRPr="00FF3D47">
        <w:rPr>
          <w:szCs w:val="24"/>
          <w:lang w:eastAsia="en-US"/>
        </w:rPr>
        <w:t xml:space="preserve">Il registro è messo a disposizione sotto forma di base di dati territoriali </w:t>
      </w:r>
      <w:proofErr w:type="spellStart"/>
      <w:r w:rsidRPr="00FF3D47">
        <w:rPr>
          <w:szCs w:val="24"/>
          <w:lang w:eastAsia="en-US"/>
        </w:rPr>
        <w:t>georeferenziati</w:t>
      </w:r>
      <w:proofErr w:type="spellEnd"/>
      <w:r w:rsidRPr="00FF3D47">
        <w:rPr>
          <w:szCs w:val="24"/>
          <w:lang w:eastAsia="en-US"/>
        </w:rPr>
        <w:t xml:space="preserve"> online.</w:t>
      </w:r>
    </w:p>
    <w:p w14:paraId="2FD89C1C" w14:textId="65CA8656" w:rsidR="00FF3D47" w:rsidRPr="00FF3D47" w:rsidRDefault="00FF3D47" w:rsidP="00FF3D47">
      <w:pPr>
        <w:spacing w:before="120" w:after="120" w:line="360" w:lineRule="auto"/>
        <w:ind w:left="850" w:hanging="850"/>
        <w:rPr>
          <w:szCs w:val="24"/>
          <w:lang w:eastAsia="en-US"/>
        </w:rPr>
      </w:pPr>
      <w:r w:rsidRPr="00FF3D47">
        <w:rPr>
          <w:szCs w:val="24"/>
          <w:lang w:eastAsia="en-US"/>
        </w:rPr>
        <w:t>5.</w:t>
      </w:r>
      <w:r w:rsidRPr="00FF3D47">
        <w:rPr>
          <w:szCs w:val="24"/>
          <w:lang w:eastAsia="en-US"/>
        </w:rPr>
        <w:tab/>
      </w:r>
      <w:r w:rsidRPr="00FF3D47">
        <w:rPr>
          <w:b/>
          <w:i/>
          <w:szCs w:val="24"/>
          <w:lang w:eastAsia="en-US"/>
        </w:rPr>
        <w:t xml:space="preserve">Entro </w:t>
      </w:r>
      <w:r w:rsidR="0017737D">
        <w:rPr>
          <w:b/>
          <w:i/>
          <w:szCs w:val="24"/>
          <w:lang w:eastAsia="en-US"/>
        </w:rPr>
        <w:t xml:space="preserve">… </w:t>
      </w:r>
      <w:r w:rsidRPr="00FF3D47">
        <w:rPr>
          <w:b/>
          <w:i/>
          <w:szCs w:val="24"/>
          <w:lang w:eastAsia="en-US"/>
        </w:rPr>
        <w:t xml:space="preserve">[OP: inserire la data corrispondente a 1 anno dopo la data di entrata in vigore della presente direttiva], </w:t>
      </w:r>
      <w:r w:rsidRPr="00FF3D47">
        <w:rPr>
          <w:szCs w:val="24"/>
          <w:lang w:eastAsia="en-US"/>
        </w:rPr>
        <w:t>la Commissione adotta atti di esecuzione che stabiliscono il formato del registro. Gli atti di esecuzione sono adottati secondo la procedura di esame di cui all'articolo 21.</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159]</w:t>
      </w:r>
    </w:p>
    <w:p w14:paraId="484F7767" w14:textId="77777777" w:rsidR="0017737D" w:rsidRDefault="0017737D" w:rsidP="00FF3D47">
      <w:pPr>
        <w:spacing w:before="120" w:after="120" w:line="360" w:lineRule="auto"/>
        <w:jc w:val="center"/>
        <w:rPr>
          <w:szCs w:val="24"/>
          <w:lang w:eastAsia="en-US"/>
        </w:rPr>
      </w:pPr>
      <w:r>
        <w:rPr>
          <w:szCs w:val="24"/>
          <w:lang w:eastAsia="en-US"/>
        </w:rPr>
        <w:br w:type="page"/>
      </w:r>
    </w:p>
    <w:p w14:paraId="23E9AA73" w14:textId="337C72DE" w:rsidR="00FF3D47" w:rsidRPr="00FF3D47" w:rsidRDefault="00FF3D47" w:rsidP="00FF3D47">
      <w:pPr>
        <w:spacing w:before="120" w:after="120" w:line="360" w:lineRule="auto"/>
        <w:jc w:val="center"/>
        <w:rPr>
          <w:szCs w:val="24"/>
          <w:lang w:eastAsia="en-US"/>
        </w:rPr>
      </w:pPr>
      <w:r w:rsidRPr="00FF3D47">
        <w:rPr>
          <w:szCs w:val="24"/>
          <w:lang w:eastAsia="en-US"/>
        </w:rPr>
        <w:lastRenderedPageBreak/>
        <w:t>Capo V</w:t>
      </w:r>
      <w:r w:rsidRPr="00FF3D47">
        <w:rPr>
          <w:szCs w:val="24"/>
          <w:lang w:eastAsia="en-US"/>
        </w:rPr>
        <w:br/>
        <w:t>Finanziamento, informazione del pubblico e comunicazione da parte degli Stati membri</w:t>
      </w:r>
    </w:p>
    <w:p w14:paraId="563CD42B" w14:textId="77777777" w:rsidR="00FF3D47" w:rsidRPr="00FF3D47" w:rsidRDefault="00FF3D47" w:rsidP="00FF3D47">
      <w:pPr>
        <w:spacing w:before="120" w:after="120" w:line="360" w:lineRule="auto"/>
        <w:jc w:val="center"/>
        <w:rPr>
          <w:szCs w:val="24"/>
          <w:lang w:eastAsia="en-US"/>
        </w:rPr>
      </w:pPr>
      <w:r w:rsidRPr="00FF3D47">
        <w:rPr>
          <w:szCs w:val="24"/>
          <w:lang w:eastAsia="en-US"/>
        </w:rPr>
        <w:t>Articolo 17</w:t>
      </w:r>
      <w:r w:rsidRPr="00FF3D47">
        <w:rPr>
          <w:szCs w:val="24"/>
          <w:lang w:eastAsia="en-US"/>
        </w:rPr>
        <w:br/>
        <w:t>Finanziamento dell'Unione</w:t>
      </w:r>
      <w:r w:rsidRPr="00FF3D47">
        <w:rPr>
          <w:b/>
          <w:i/>
          <w:szCs w:val="24"/>
          <w:lang w:eastAsia="en-US"/>
        </w:rPr>
        <w:t xml:space="preserve"> e degli Stati membri [</w:t>
      </w:r>
      <w:proofErr w:type="spellStart"/>
      <w:r w:rsidRPr="00FF3D47">
        <w:rPr>
          <w:b/>
          <w:i/>
          <w:szCs w:val="24"/>
          <w:lang w:eastAsia="en-US"/>
        </w:rPr>
        <w:t>Em</w:t>
      </w:r>
      <w:proofErr w:type="spellEnd"/>
      <w:r w:rsidRPr="00FF3D47">
        <w:rPr>
          <w:b/>
          <w:i/>
          <w:szCs w:val="24"/>
          <w:lang w:eastAsia="en-US"/>
        </w:rPr>
        <w:t>. 160]</w:t>
      </w:r>
    </w:p>
    <w:p w14:paraId="76A46004" w14:textId="77777777" w:rsidR="00FF3D47" w:rsidRPr="00FF3D47" w:rsidRDefault="00FF3D47" w:rsidP="00FF3D47">
      <w:pPr>
        <w:spacing w:before="120" w:after="120" w:line="360" w:lineRule="auto"/>
        <w:ind w:left="850" w:hanging="850"/>
        <w:rPr>
          <w:szCs w:val="24"/>
          <w:lang w:eastAsia="en-US"/>
        </w:rPr>
      </w:pPr>
      <w:r w:rsidRPr="00FF3D47">
        <w:rPr>
          <w:b/>
          <w:i/>
          <w:szCs w:val="24"/>
          <w:lang w:eastAsia="en-US"/>
        </w:rPr>
        <w:t>1.</w:t>
      </w:r>
      <w:r w:rsidRPr="00FF3D47">
        <w:rPr>
          <w:szCs w:val="24"/>
          <w:lang w:eastAsia="en-US"/>
        </w:rPr>
        <w:tab/>
        <w:t xml:space="preserve">Data la priorità intrinseca attribuita all'istituzione del monitoraggio, della gestione sostenibile e della rigenerazione del suolo, </w:t>
      </w:r>
      <w:r w:rsidRPr="00FF3D47">
        <w:rPr>
          <w:b/>
          <w:i/>
          <w:szCs w:val="24"/>
          <w:lang w:eastAsia="en-US"/>
        </w:rPr>
        <w:t xml:space="preserve">entro [OP: inserire la data corrispondente a 12 mesi dopo la data di entrata in vigore della presente direttiva] la Commissione presenta una relazione al Parlamento europeo e al Consiglio in cui valuta le risorse finanziarie disponibili a livello dell'Unione per </w:t>
      </w:r>
      <w:r w:rsidRPr="00FF3D47">
        <w:rPr>
          <w:szCs w:val="24"/>
          <w:lang w:eastAsia="en-US"/>
        </w:rPr>
        <w:t>l'attuazione della presente direttiva</w:t>
      </w:r>
      <w:r w:rsidRPr="00FF3D47">
        <w:rPr>
          <w:strike/>
          <w:szCs w:val="24"/>
          <w:lang w:eastAsia="en-US"/>
        </w:rPr>
        <w:t xml:space="preserve"> è sostenuta dai programmi finanziari dell'Unione esistenti conformemente alle rispettive norme e condizioni applicabili.</w:t>
      </w:r>
      <w:r w:rsidRPr="00FF3D47">
        <w:rPr>
          <w:b/>
          <w:i/>
          <w:szCs w:val="24"/>
          <w:lang w:eastAsia="en-US"/>
        </w:rPr>
        <w:t>. [</w:t>
      </w:r>
      <w:proofErr w:type="spellStart"/>
      <w:r w:rsidRPr="00FF3D47">
        <w:rPr>
          <w:b/>
          <w:i/>
          <w:szCs w:val="24"/>
          <w:lang w:eastAsia="en-US"/>
        </w:rPr>
        <w:t>Em</w:t>
      </w:r>
      <w:proofErr w:type="spellEnd"/>
      <w:r w:rsidRPr="00FF3D47">
        <w:rPr>
          <w:b/>
          <w:i/>
          <w:szCs w:val="24"/>
          <w:lang w:eastAsia="en-US"/>
        </w:rPr>
        <w:t>. 161]</w:t>
      </w:r>
    </w:p>
    <w:p w14:paraId="1B0476F6" w14:textId="480D379E" w:rsidR="00FF3D47" w:rsidRPr="00FF3D47" w:rsidRDefault="00FF3D47" w:rsidP="00FF3D47">
      <w:pPr>
        <w:spacing w:before="120" w:after="120" w:line="360" w:lineRule="auto"/>
        <w:ind w:left="850"/>
        <w:rPr>
          <w:szCs w:val="24"/>
          <w:lang w:eastAsia="en-US"/>
        </w:rPr>
      </w:pPr>
      <w:r w:rsidRPr="00FF3D47">
        <w:rPr>
          <w:b/>
          <w:i/>
          <w:szCs w:val="24"/>
          <w:lang w:eastAsia="en-US"/>
        </w:rPr>
        <w:t>La Commissione valuta l'eventuale divario tra i finanziamenti dell'Unione disponibili e le esigenze di finanziamento necessarie per sostenere gli Stati membri nell'attuazione della presente direttiva, prestando particolare attenzione alle esigenze di monitoraggio ambientale, compreso</w:t>
      </w:r>
      <w:r w:rsidR="0017737D">
        <w:rPr>
          <w:b/>
          <w:i/>
          <w:szCs w:val="24"/>
          <w:lang w:eastAsia="en-US"/>
        </w:rPr>
        <w:t xml:space="preserve"> il programma LUCAS Suolo. [</w:t>
      </w:r>
      <w:proofErr w:type="spellStart"/>
      <w:r w:rsidR="0017737D">
        <w:rPr>
          <w:b/>
          <w:i/>
          <w:szCs w:val="24"/>
          <w:lang w:eastAsia="en-US"/>
        </w:rPr>
        <w:t>Em</w:t>
      </w:r>
      <w:proofErr w:type="spellEnd"/>
      <w:r w:rsidR="0017737D">
        <w:rPr>
          <w:b/>
          <w:szCs w:val="24"/>
          <w:lang w:eastAsia="en-US"/>
        </w:rPr>
        <w:t>. </w:t>
      </w:r>
      <w:r w:rsidRPr="00FF3D47">
        <w:rPr>
          <w:b/>
          <w:i/>
          <w:szCs w:val="24"/>
          <w:lang w:eastAsia="en-US"/>
        </w:rPr>
        <w:t>162]</w:t>
      </w:r>
    </w:p>
    <w:p w14:paraId="15547870" w14:textId="77777777" w:rsidR="00FF3D47" w:rsidRPr="00FF3D47" w:rsidRDefault="00FF3D47" w:rsidP="00FF3D47">
      <w:pPr>
        <w:spacing w:before="120" w:after="120" w:line="360" w:lineRule="auto"/>
        <w:ind w:left="850"/>
        <w:rPr>
          <w:szCs w:val="24"/>
          <w:lang w:eastAsia="en-US"/>
        </w:rPr>
      </w:pPr>
      <w:r w:rsidRPr="00FF3D47">
        <w:rPr>
          <w:b/>
          <w:i/>
          <w:szCs w:val="24"/>
          <w:lang w:eastAsia="en-US"/>
        </w:rPr>
        <w:t>Si predispongono ulteriori risorse finanziarie per il periodo successivo al 2027 al fine di promuovere la gestione sostenibile dei suoli, la loro rigenerazione permanente e le attività di monitoraggio. [</w:t>
      </w:r>
      <w:proofErr w:type="spellStart"/>
      <w:r w:rsidRPr="00FF3D47">
        <w:rPr>
          <w:b/>
          <w:i/>
          <w:szCs w:val="24"/>
          <w:lang w:eastAsia="en-US"/>
        </w:rPr>
        <w:t>Em</w:t>
      </w:r>
      <w:proofErr w:type="spellEnd"/>
      <w:r w:rsidRPr="00FF3D47">
        <w:rPr>
          <w:b/>
          <w:i/>
          <w:szCs w:val="24"/>
          <w:lang w:eastAsia="en-US"/>
        </w:rPr>
        <w:t>. 163]</w:t>
      </w:r>
    </w:p>
    <w:p w14:paraId="66F16921" w14:textId="77777777" w:rsidR="0017737D" w:rsidRDefault="0017737D" w:rsidP="00FF3D47">
      <w:pPr>
        <w:spacing w:before="120" w:after="120" w:line="360" w:lineRule="auto"/>
        <w:ind w:left="850" w:hanging="850"/>
        <w:rPr>
          <w:b/>
          <w:i/>
          <w:szCs w:val="24"/>
          <w:lang w:eastAsia="en-US"/>
        </w:rPr>
      </w:pPr>
      <w:r>
        <w:rPr>
          <w:b/>
          <w:i/>
          <w:szCs w:val="24"/>
          <w:lang w:eastAsia="en-US"/>
        </w:rPr>
        <w:br w:type="page"/>
      </w:r>
    </w:p>
    <w:p w14:paraId="649D1596" w14:textId="3AC1C7B8" w:rsidR="00FF3D47" w:rsidRPr="00FF3D47" w:rsidRDefault="00264701" w:rsidP="00FF3D47">
      <w:pPr>
        <w:spacing w:before="120" w:after="120" w:line="360" w:lineRule="auto"/>
        <w:ind w:left="850" w:hanging="850"/>
        <w:rPr>
          <w:szCs w:val="24"/>
          <w:lang w:eastAsia="en-US"/>
        </w:rPr>
      </w:pPr>
      <w:r>
        <w:rPr>
          <w:b/>
          <w:i/>
          <w:szCs w:val="24"/>
          <w:lang w:eastAsia="en-US"/>
        </w:rPr>
        <w:lastRenderedPageBreak/>
        <w:t>1 bis</w:t>
      </w:r>
      <w:r w:rsidR="00FF3D47" w:rsidRPr="00FF3D47">
        <w:rPr>
          <w:b/>
          <w:i/>
          <w:szCs w:val="24"/>
          <w:lang w:eastAsia="en-US"/>
        </w:rPr>
        <w:t>.</w:t>
      </w:r>
      <w:r w:rsidR="00FF3D47" w:rsidRPr="00FF3D47">
        <w:rPr>
          <w:szCs w:val="24"/>
          <w:lang w:eastAsia="en-US"/>
        </w:rPr>
        <w:tab/>
      </w:r>
      <w:r w:rsidR="00FF3D47" w:rsidRPr="00FF3D47">
        <w:rPr>
          <w:b/>
          <w:i/>
          <w:szCs w:val="24"/>
          <w:lang w:eastAsia="en-US"/>
        </w:rPr>
        <w:t>Nell'attuazione della presente direttiva, gli Stati membri si avvalgono di risorse finanziarie provenienti da fonti adeguate, compresi i fondi dell'Unione, nazionali, regionali e locali, per finanziare azioni incentrate sulla protezione, la gestione sostenibile e la rigenerazione del suolo. [</w:t>
      </w:r>
      <w:proofErr w:type="spellStart"/>
      <w:r w:rsidR="00FF3D47" w:rsidRPr="00FF3D47">
        <w:rPr>
          <w:b/>
          <w:i/>
          <w:szCs w:val="24"/>
          <w:lang w:eastAsia="en-US"/>
        </w:rPr>
        <w:t>Em</w:t>
      </w:r>
      <w:proofErr w:type="spellEnd"/>
      <w:r w:rsidR="00FF3D47" w:rsidRPr="00FF3D47">
        <w:rPr>
          <w:b/>
          <w:i/>
          <w:szCs w:val="24"/>
          <w:lang w:eastAsia="en-US"/>
        </w:rPr>
        <w:t>. 164]</w:t>
      </w:r>
    </w:p>
    <w:p w14:paraId="7951FE78" w14:textId="480597FA" w:rsidR="00FF3D47" w:rsidRPr="00FF3D47" w:rsidRDefault="00264701" w:rsidP="00FF3D47">
      <w:pPr>
        <w:spacing w:before="120" w:after="120" w:line="360" w:lineRule="auto"/>
        <w:ind w:left="850" w:hanging="850"/>
        <w:rPr>
          <w:szCs w:val="24"/>
          <w:lang w:eastAsia="en-US"/>
        </w:rPr>
      </w:pPr>
      <w:r>
        <w:rPr>
          <w:b/>
          <w:i/>
          <w:szCs w:val="24"/>
          <w:lang w:eastAsia="en-US"/>
        </w:rPr>
        <w:t>1 ter</w:t>
      </w:r>
      <w:r w:rsidR="00FF3D47" w:rsidRPr="00FF3D47">
        <w:rPr>
          <w:b/>
          <w:i/>
          <w:szCs w:val="24"/>
          <w:lang w:eastAsia="en-US"/>
        </w:rPr>
        <w:t>.</w:t>
      </w:r>
      <w:r w:rsidR="00FF3D47" w:rsidRPr="00FF3D47">
        <w:rPr>
          <w:szCs w:val="24"/>
          <w:lang w:eastAsia="en-US"/>
        </w:rPr>
        <w:tab/>
      </w:r>
      <w:r w:rsidR="00FF3D47" w:rsidRPr="00FF3D47">
        <w:rPr>
          <w:b/>
          <w:i/>
          <w:szCs w:val="24"/>
          <w:lang w:eastAsia="en-US"/>
        </w:rPr>
        <w:t>La Commissione controlla la capacità degli Stati membri di assorbire i fondi dell'Unione relativi alla protezione, alla gestione sostenibile e alla rigenerazione del suolo. La Commissione offre formazioni e sostegno tecnico per aumentare la capacità di assorbimento degli Stati membri. [</w:t>
      </w:r>
      <w:proofErr w:type="spellStart"/>
      <w:r w:rsidR="00FF3D47" w:rsidRPr="00FF3D47">
        <w:rPr>
          <w:b/>
          <w:i/>
          <w:szCs w:val="24"/>
          <w:lang w:eastAsia="en-US"/>
        </w:rPr>
        <w:t>Em</w:t>
      </w:r>
      <w:proofErr w:type="spellEnd"/>
      <w:r w:rsidR="00FF3D47" w:rsidRPr="00FF3D47">
        <w:rPr>
          <w:b/>
          <w:i/>
          <w:szCs w:val="24"/>
          <w:lang w:eastAsia="en-US"/>
        </w:rPr>
        <w:t>. 165]</w:t>
      </w:r>
    </w:p>
    <w:p w14:paraId="599C3FC6" w14:textId="3CAC5A24" w:rsidR="00FF3D47" w:rsidRPr="00FF3D47" w:rsidRDefault="00264701" w:rsidP="00FF3D47">
      <w:pPr>
        <w:spacing w:before="120" w:after="120" w:line="360" w:lineRule="auto"/>
        <w:ind w:left="850" w:hanging="850"/>
        <w:rPr>
          <w:szCs w:val="24"/>
          <w:lang w:eastAsia="en-US"/>
        </w:rPr>
      </w:pPr>
      <w:r>
        <w:rPr>
          <w:b/>
          <w:i/>
          <w:szCs w:val="24"/>
          <w:lang w:eastAsia="en-US"/>
        </w:rPr>
        <w:t>1 quater</w:t>
      </w:r>
      <w:r w:rsidR="00FF3D47" w:rsidRPr="00FF3D47">
        <w:rPr>
          <w:b/>
          <w:i/>
          <w:szCs w:val="24"/>
          <w:lang w:eastAsia="en-US"/>
        </w:rPr>
        <w:t>.</w:t>
      </w:r>
      <w:r w:rsidR="00FF3D47" w:rsidRPr="00FF3D47">
        <w:rPr>
          <w:szCs w:val="24"/>
          <w:lang w:eastAsia="en-US"/>
        </w:rPr>
        <w:tab/>
      </w:r>
      <w:r w:rsidR="00FF3D47" w:rsidRPr="00FF3D47">
        <w:rPr>
          <w:b/>
          <w:i/>
          <w:szCs w:val="24"/>
          <w:lang w:eastAsia="en-US"/>
        </w:rPr>
        <w:t>Gli Stati membri e la Commissione, in collaborazione con la Banca europea per gli investimenti, migliorano e agevolano l'uso di meccanismi di finanziamento innovativi e promuovono la mobilitazione di capitale privato per le azioni necessarie a conseguire gli obiettivi della presente direttiva. [</w:t>
      </w:r>
      <w:proofErr w:type="spellStart"/>
      <w:r w:rsidR="00FF3D47" w:rsidRPr="00FF3D47">
        <w:rPr>
          <w:b/>
          <w:i/>
          <w:szCs w:val="24"/>
          <w:lang w:eastAsia="en-US"/>
        </w:rPr>
        <w:t>Em</w:t>
      </w:r>
      <w:proofErr w:type="spellEnd"/>
      <w:r w:rsidR="00FF3D47" w:rsidRPr="00FF3D47">
        <w:rPr>
          <w:b/>
          <w:i/>
          <w:szCs w:val="24"/>
          <w:lang w:eastAsia="en-US"/>
        </w:rPr>
        <w:t>. 166]</w:t>
      </w:r>
    </w:p>
    <w:p w14:paraId="5A476446" w14:textId="238443BD" w:rsidR="00FF3D47" w:rsidRPr="00FF3D47" w:rsidRDefault="00264701" w:rsidP="00FF3D47">
      <w:pPr>
        <w:spacing w:before="120" w:after="120" w:line="360" w:lineRule="auto"/>
        <w:ind w:left="850" w:hanging="850"/>
        <w:rPr>
          <w:szCs w:val="24"/>
          <w:lang w:eastAsia="en-US"/>
        </w:rPr>
      </w:pPr>
      <w:r>
        <w:rPr>
          <w:b/>
          <w:i/>
          <w:szCs w:val="24"/>
          <w:lang w:eastAsia="en-US"/>
        </w:rPr>
        <w:t xml:space="preserve">1 </w:t>
      </w:r>
      <w:proofErr w:type="spellStart"/>
      <w:r>
        <w:rPr>
          <w:b/>
          <w:i/>
          <w:szCs w:val="24"/>
          <w:lang w:eastAsia="en-US"/>
        </w:rPr>
        <w:t>quinquies</w:t>
      </w:r>
      <w:proofErr w:type="spellEnd"/>
      <w:r w:rsidR="00FF3D47" w:rsidRPr="00FF3D47">
        <w:rPr>
          <w:b/>
          <w:i/>
          <w:szCs w:val="24"/>
          <w:lang w:eastAsia="en-US"/>
        </w:rPr>
        <w:t>.</w:t>
      </w:r>
      <w:r w:rsidR="00FF3D47" w:rsidRPr="00FF3D47">
        <w:rPr>
          <w:szCs w:val="24"/>
          <w:lang w:eastAsia="en-US"/>
        </w:rPr>
        <w:tab/>
      </w:r>
      <w:r w:rsidR="00FF3D47" w:rsidRPr="00FF3D47">
        <w:rPr>
          <w:b/>
          <w:i/>
          <w:szCs w:val="24"/>
          <w:lang w:eastAsia="en-US"/>
        </w:rPr>
        <w:t>Nell'attuazione della presente direttiva gli Stati membri e la Commissione osservano il principio "non arrecare un danno significativo" ai sensi dell'articolo 17 del regolamento (UE) 2020/852. [</w:t>
      </w:r>
      <w:proofErr w:type="spellStart"/>
      <w:r w:rsidR="00FF3D47" w:rsidRPr="00FF3D47">
        <w:rPr>
          <w:b/>
          <w:i/>
          <w:szCs w:val="24"/>
          <w:lang w:eastAsia="en-US"/>
        </w:rPr>
        <w:t>Em</w:t>
      </w:r>
      <w:proofErr w:type="spellEnd"/>
      <w:r w:rsidR="00FF3D47" w:rsidRPr="00FF3D47">
        <w:rPr>
          <w:b/>
          <w:i/>
          <w:szCs w:val="24"/>
          <w:lang w:eastAsia="en-US"/>
        </w:rPr>
        <w:t>. 167]</w:t>
      </w:r>
    </w:p>
    <w:p w14:paraId="0024F9D9" w14:textId="77777777" w:rsidR="00264701" w:rsidRDefault="00264701" w:rsidP="00FF3D47">
      <w:pPr>
        <w:spacing w:before="120" w:after="120" w:line="360" w:lineRule="auto"/>
        <w:jc w:val="center"/>
        <w:rPr>
          <w:szCs w:val="24"/>
          <w:lang w:eastAsia="en-US"/>
        </w:rPr>
      </w:pPr>
      <w:r>
        <w:rPr>
          <w:szCs w:val="24"/>
          <w:lang w:eastAsia="en-US"/>
        </w:rPr>
        <w:br w:type="page"/>
      </w:r>
    </w:p>
    <w:p w14:paraId="7FDEA6FF" w14:textId="16DEE5DC"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18</w:t>
      </w:r>
      <w:r w:rsidRPr="00FF3D47">
        <w:rPr>
          <w:szCs w:val="24"/>
          <w:lang w:eastAsia="en-US"/>
        </w:rPr>
        <w:br/>
        <w:t>Comunicazione da parte degli Stati membri</w:t>
      </w:r>
    </w:p>
    <w:p w14:paraId="1BB96F1D"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r>
      <w:r w:rsidRPr="00FF3D47">
        <w:rPr>
          <w:b/>
          <w:i/>
          <w:szCs w:val="24"/>
          <w:lang w:eastAsia="en-US"/>
        </w:rPr>
        <w:t xml:space="preserve">Almeno ogni </w:t>
      </w:r>
      <w:proofErr w:type="spellStart"/>
      <w:r w:rsidRPr="00FF3D47">
        <w:rPr>
          <w:b/>
          <w:i/>
          <w:szCs w:val="24"/>
          <w:lang w:eastAsia="en-US"/>
        </w:rPr>
        <w:t>sei</w:t>
      </w:r>
      <w:r w:rsidRPr="00FF3D47">
        <w:rPr>
          <w:strike/>
          <w:szCs w:val="24"/>
          <w:lang w:eastAsia="en-US"/>
        </w:rPr>
        <w:t>Ogni</w:t>
      </w:r>
      <w:proofErr w:type="spellEnd"/>
      <w:r w:rsidRPr="00FF3D47">
        <w:rPr>
          <w:strike/>
          <w:szCs w:val="24"/>
          <w:lang w:eastAsia="en-US"/>
        </w:rPr>
        <w:t xml:space="preserve"> cinque</w:t>
      </w:r>
      <w:r w:rsidRPr="00FF3D47">
        <w:rPr>
          <w:szCs w:val="24"/>
          <w:lang w:eastAsia="en-US"/>
        </w:rPr>
        <w:t xml:space="preserve"> anni gli Stati membri comunicano per via elettronica alla Commissione e all'AEA i dati e le informazioni seguenti:</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168]</w:t>
      </w:r>
    </w:p>
    <w:p w14:paraId="33E8635C" w14:textId="2591B3E7"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i dati e i risultati emersi dal monitoraggio e dalla valutazione della salute del suolo effettuati a norma degli articoli da 6 a 9;</w:t>
      </w:r>
    </w:p>
    <w:p w14:paraId="75388042" w14:textId="61AF75FD" w:rsidR="00FF3D47" w:rsidRPr="00FF3D47" w:rsidRDefault="00FF3D47" w:rsidP="00FF3D47">
      <w:pPr>
        <w:spacing w:before="120" w:after="120" w:line="360" w:lineRule="auto"/>
        <w:ind w:left="1416" w:hanging="566"/>
        <w:rPr>
          <w:szCs w:val="24"/>
          <w:lang w:eastAsia="en-US"/>
        </w:rPr>
      </w:pPr>
      <w:r w:rsidRPr="00FF3D47">
        <w:rPr>
          <w:szCs w:val="24"/>
          <w:lang w:eastAsia="en-US"/>
        </w:rPr>
        <w:t>b)</w:t>
      </w:r>
      <w:r w:rsidRPr="00FF3D47">
        <w:rPr>
          <w:szCs w:val="24"/>
          <w:lang w:eastAsia="en-US"/>
        </w:rPr>
        <w:tab/>
      </w:r>
      <w:r w:rsidRPr="00FF3D47">
        <w:rPr>
          <w:b/>
          <w:i/>
          <w:szCs w:val="24"/>
          <w:lang w:eastAsia="en-US"/>
        </w:rPr>
        <w:t xml:space="preserve">i dati di supporto, i metadati e </w:t>
      </w:r>
      <w:r w:rsidRPr="00FF3D47">
        <w:rPr>
          <w:szCs w:val="24"/>
          <w:lang w:eastAsia="en-US"/>
        </w:rPr>
        <w:t>l'analisi delle tendenze della salute del suolo per i descrittori elencati nell'allegato I, parti A, B e C</w:t>
      </w:r>
      <w:r w:rsidRPr="00FF3D47">
        <w:rPr>
          <w:b/>
          <w:i/>
          <w:szCs w:val="24"/>
          <w:lang w:eastAsia="en-US"/>
        </w:rPr>
        <w:t>, sulla base del livello scelto per il modello di monitoraggio del suolo</w:t>
      </w:r>
      <w:r w:rsidRPr="00FF3D47">
        <w:rPr>
          <w:szCs w:val="24"/>
          <w:lang w:eastAsia="en-US"/>
        </w:rPr>
        <w:t>, e per gli indicatori del consumo di suolo e dell'impermeabilizzazione del suolo elencati nell'allegato I, parte D, conformemente all'articolo 9</w:t>
      </w:r>
      <w:r w:rsidRPr="00FF3D47">
        <w:rPr>
          <w:b/>
          <w:i/>
          <w:szCs w:val="24"/>
          <w:lang w:eastAsia="en-US"/>
        </w:rPr>
        <w:t>, compresi i descrittori estesi indicati dai singoli Stati membri</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169]</w:t>
      </w:r>
    </w:p>
    <w:p w14:paraId="79ABB966" w14:textId="77777777" w:rsidR="00264701" w:rsidRDefault="00264701" w:rsidP="00FF3D47">
      <w:pPr>
        <w:spacing w:before="120" w:after="120" w:line="360" w:lineRule="auto"/>
        <w:ind w:left="1416" w:hanging="566"/>
        <w:rPr>
          <w:szCs w:val="24"/>
          <w:lang w:eastAsia="en-US"/>
        </w:rPr>
      </w:pPr>
      <w:r>
        <w:rPr>
          <w:szCs w:val="24"/>
          <w:lang w:eastAsia="en-US"/>
        </w:rPr>
        <w:br w:type="page"/>
      </w:r>
    </w:p>
    <w:p w14:paraId="139D5AE4" w14:textId="579491D7" w:rsidR="00FF3D47" w:rsidRPr="00FF3D47" w:rsidRDefault="00FF3D47" w:rsidP="00FF3D47">
      <w:pPr>
        <w:spacing w:before="120" w:after="120" w:line="360" w:lineRule="auto"/>
        <w:ind w:left="1416" w:hanging="566"/>
        <w:rPr>
          <w:szCs w:val="24"/>
          <w:lang w:eastAsia="en-US"/>
        </w:rPr>
      </w:pPr>
      <w:r w:rsidRPr="00FF3D47">
        <w:rPr>
          <w:szCs w:val="24"/>
          <w:lang w:eastAsia="en-US"/>
        </w:rPr>
        <w:lastRenderedPageBreak/>
        <w:t>c)</w:t>
      </w:r>
      <w:r w:rsidRPr="00FF3D47">
        <w:rPr>
          <w:szCs w:val="24"/>
          <w:lang w:eastAsia="en-US"/>
        </w:rPr>
        <w:tab/>
        <w:t>la sintesi dei progressi compiuti per quanto riguarda:</w:t>
      </w:r>
    </w:p>
    <w:p w14:paraId="16B49A7F" w14:textId="77777777" w:rsidR="00FF3D47" w:rsidRPr="00FF3D47" w:rsidRDefault="00FF3D47" w:rsidP="00FF3D47">
      <w:pPr>
        <w:spacing w:before="120" w:after="120" w:line="360" w:lineRule="auto"/>
        <w:ind w:left="1982" w:hanging="566"/>
        <w:rPr>
          <w:szCs w:val="24"/>
          <w:lang w:eastAsia="en-US"/>
        </w:rPr>
      </w:pPr>
      <w:r w:rsidRPr="00FF3D47">
        <w:rPr>
          <w:szCs w:val="24"/>
          <w:lang w:eastAsia="en-US"/>
        </w:rPr>
        <w:t>i)</w:t>
      </w:r>
      <w:r w:rsidRPr="00FF3D47">
        <w:rPr>
          <w:szCs w:val="24"/>
          <w:lang w:eastAsia="en-US"/>
        </w:rPr>
        <w:tab/>
        <w:t>l'attuazione dei principi di gestione sostenibile del suolo conformemente all'articolo 10;</w:t>
      </w:r>
    </w:p>
    <w:p w14:paraId="2997C06C" w14:textId="77777777" w:rsidR="00FF3D47" w:rsidRPr="00FF3D47" w:rsidRDefault="00FF3D47" w:rsidP="00FF3D47">
      <w:pPr>
        <w:spacing w:before="120" w:after="120" w:line="360" w:lineRule="auto"/>
        <w:ind w:left="1982" w:hanging="566"/>
        <w:rPr>
          <w:szCs w:val="24"/>
          <w:lang w:eastAsia="en-US"/>
        </w:rPr>
      </w:pPr>
      <w:r w:rsidRPr="00FF3D47">
        <w:rPr>
          <w:szCs w:val="24"/>
          <w:lang w:eastAsia="en-US"/>
        </w:rPr>
        <w:t>ii)</w:t>
      </w:r>
      <w:r w:rsidRPr="00FF3D47">
        <w:rPr>
          <w:szCs w:val="24"/>
          <w:lang w:eastAsia="en-US"/>
        </w:rPr>
        <w:tab/>
        <w:t>la registrazione, l'individuazione, l'analisi e la gestione dei siti contaminati conformemente agli articoli da 12 a 16;</w:t>
      </w:r>
    </w:p>
    <w:p w14:paraId="3DBDB13F" w14:textId="4BF46528" w:rsidR="00FF3D47" w:rsidRPr="00FF3D47" w:rsidRDefault="00FF3D47" w:rsidP="00FF3D47">
      <w:pPr>
        <w:spacing w:before="120" w:after="120" w:line="360" w:lineRule="auto"/>
        <w:ind w:left="1416" w:hanging="566"/>
        <w:rPr>
          <w:szCs w:val="24"/>
          <w:lang w:eastAsia="en-US"/>
        </w:rPr>
      </w:pPr>
      <w:r w:rsidRPr="00FF3D47">
        <w:rPr>
          <w:szCs w:val="24"/>
          <w:lang w:eastAsia="en-US"/>
        </w:rPr>
        <w:t>d)</w:t>
      </w:r>
      <w:r w:rsidRPr="00FF3D47">
        <w:rPr>
          <w:szCs w:val="24"/>
          <w:lang w:eastAsia="en-US"/>
        </w:rPr>
        <w:tab/>
        <w:t>i dati e le informazioni contenuti nel registro di cui all'articolo 16.</w:t>
      </w:r>
    </w:p>
    <w:p w14:paraId="314598B3" w14:textId="77777777" w:rsidR="00FF3D47" w:rsidRPr="00FF3D47" w:rsidRDefault="00FF3D47" w:rsidP="00FF3D47">
      <w:pPr>
        <w:spacing w:before="120" w:after="120" w:line="360" w:lineRule="auto"/>
        <w:ind w:left="850"/>
        <w:rPr>
          <w:szCs w:val="24"/>
          <w:lang w:eastAsia="en-US"/>
        </w:rPr>
      </w:pPr>
      <w:r w:rsidRPr="00FF3D47">
        <w:rPr>
          <w:szCs w:val="24"/>
          <w:lang w:eastAsia="en-US"/>
        </w:rPr>
        <w:t xml:space="preserve">Le prime relazioni sono presentate entro il ... (OP: inserire la data corrispondente a </w:t>
      </w:r>
      <w:r w:rsidRPr="00FF3D47">
        <w:rPr>
          <w:strike/>
          <w:szCs w:val="24"/>
          <w:lang w:eastAsia="en-US"/>
        </w:rPr>
        <w:t>5 anni e 6 mesi</w:t>
      </w:r>
      <w:r w:rsidRPr="00FF3D47">
        <w:rPr>
          <w:b/>
          <w:i/>
          <w:szCs w:val="24"/>
          <w:lang w:eastAsia="en-US"/>
        </w:rPr>
        <w:t>6 anni</w:t>
      </w:r>
      <w:r w:rsidRPr="00FF3D47">
        <w:rPr>
          <w:szCs w:val="24"/>
          <w:lang w:eastAsia="en-US"/>
        </w:rPr>
        <w:t xml:space="preserve"> dopo la data di entrata in vigore della direttiva).</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171]</w:t>
      </w:r>
    </w:p>
    <w:p w14:paraId="55FFEA8F"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Gli Stati membri provvedono affinché la Commissione e l'AEA abbiano accesso permanente alle informazioni e ai dati di cui al paragrafo 1.</w:t>
      </w:r>
    </w:p>
    <w:p w14:paraId="55D6607E"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3.</w:t>
      </w:r>
      <w:r w:rsidRPr="00FF3D47">
        <w:rPr>
          <w:szCs w:val="24"/>
          <w:lang w:eastAsia="en-US"/>
        </w:rPr>
        <w:tab/>
        <w:t>Gli Stati membri forniscono alla Commissione l'accesso online a:</w:t>
      </w:r>
    </w:p>
    <w:p w14:paraId="1C4094DF" w14:textId="79D986F8"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 xml:space="preserve">l'elenco aggiornato dei rispettivi distretti del suolo e i relativi dati territoriali di cui all'articolo 4 entro il ... (OP: inserire la data corrispondente a </w:t>
      </w:r>
      <w:r w:rsidRPr="00FF3D47">
        <w:rPr>
          <w:strike/>
          <w:szCs w:val="24"/>
          <w:lang w:eastAsia="en-US"/>
        </w:rPr>
        <w:t>2 anni e 3</w:t>
      </w:r>
      <w:r w:rsidRPr="00FF3D47">
        <w:rPr>
          <w:b/>
          <w:i/>
          <w:szCs w:val="24"/>
          <w:lang w:eastAsia="en-US"/>
        </w:rPr>
        <w:t>12</w:t>
      </w:r>
      <w:r w:rsidRPr="00FF3D47">
        <w:rPr>
          <w:szCs w:val="24"/>
          <w:lang w:eastAsia="en-US"/>
        </w:rPr>
        <w:t xml:space="preserve"> mesi dopo la data di entrata in vigore della direttiva)</w:t>
      </w:r>
      <w:r w:rsidRPr="00FF3D47">
        <w:rPr>
          <w:b/>
          <w:i/>
          <w:szCs w:val="24"/>
          <w:lang w:eastAsia="en-US"/>
        </w:rPr>
        <w:t xml:space="preserve"> e, ove disponibili, i rispettivi piani per i distretti del suolo</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172]</w:t>
      </w:r>
    </w:p>
    <w:p w14:paraId="51790881" w14:textId="77777777" w:rsidR="00264701" w:rsidRDefault="00264701" w:rsidP="00FF3D47">
      <w:pPr>
        <w:spacing w:before="120" w:after="120" w:line="360" w:lineRule="auto"/>
        <w:ind w:left="1416" w:hanging="566"/>
        <w:rPr>
          <w:szCs w:val="24"/>
          <w:lang w:eastAsia="en-US"/>
        </w:rPr>
      </w:pPr>
      <w:r>
        <w:rPr>
          <w:szCs w:val="24"/>
          <w:lang w:eastAsia="en-US"/>
        </w:rPr>
        <w:br w:type="page"/>
      </w:r>
    </w:p>
    <w:p w14:paraId="749BF358" w14:textId="645CA6D4" w:rsidR="00FF3D47" w:rsidRPr="00FF3D47" w:rsidRDefault="00FF3D47" w:rsidP="00FF3D47">
      <w:pPr>
        <w:spacing w:before="120" w:after="120" w:line="360" w:lineRule="auto"/>
        <w:ind w:left="1416" w:hanging="566"/>
        <w:rPr>
          <w:szCs w:val="24"/>
          <w:lang w:eastAsia="en-US"/>
        </w:rPr>
      </w:pPr>
      <w:r w:rsidRPr="00FF3D47">
        <w:rPr>
          <w:szCs w:val="24"/>
          <w:lang w:eastAsia="en-US"/>
        </w:rPr>
        <w:lastRenderedPageBreak/>
        <w:t>b)</w:t>
      </w:r>
      <w:r w:rsidRPr="00FF3D47">
        <w:rPr>
          <w:szCs w:val="24"/>
          <w:lang w:eastAsia="en-US"/>
        </w:rPr>
        <w:tab/>
        <w:t xml:space="preserve">l'elenco aggiornato delle autorità competenti di cui all'articolo 5 entro il ... (OP: inserire la data corrispondente a </w:t>
      </w:r>
      <w:r w:rsidRPr="00FF3D47">
        <w:rPr>
          <w:strike/>
          <w:szCs w:val="24"/>
          <w:lang w:eastAsia="en-US"/>
        </w:rPr>
        <w:t>2 anni e 3</w:t>
      </w:r>
      <w:r w:rsidRPr="00FF3D47">
        <w:rPr>
          <w:b/>
          <w:i/>
          <w:szCs w:val="24"/>
          <w:lang w:eastAsia="en-US"/>
        </w:rPr>
        <w:t>12</w:t>
      </w:r>
      <w:r w:rsidRPr="00FF3D47">
        <w:rPr>
          <w:szCs w:val="24"/>
          <w:lang w:eastAsia="en-US"/>
        </w:rPr>
        <w:t xml:space="preserve"> mesi dopo la data di entrata in vigore della direttiva);</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173]</w:t>
      </w:r>
    </w:p>
    <w:p w14:paraId="1DD369FC" w14:textId="24158EB3" w:rsidR="00FF3D47" w:rsidRPr="00FF3D47" w:rsidRDefault="00FF3D47" w:rsidP="00FF3D47">
      <w:pPr>
        <w:spacing w:before="120" w:after="120" w:line="360" w:lineRule="auto"/>
        <w:ind w:left="1416" w:hanging="566"/>
        <w:rPr>
          <w:szCs w:val="24"/>
          <w:lang w:eastAsia="en-US"/>
        </w:rPr>
      </w:pPr>
      <w:r w:rsidRPr="00FF3D47">
        <w:rPr>
          <w:szCs w:val="24"/>
          <w:lang w:eastAsia="en-US"/>
        </w:rPr>
        <w:t>c)</w:t>
      </w:r>
      <w:r w:rsidRPr="00FF3D47">
        <w:rPr>
          <w:szCs w:val="24"/>
          <w:lang w:eastAsia="en-US"/>
        </w:rPr>
        <w:tab/>
        <w:t>le misure e le pratiche di gestione sostenibile del suolo di cui all'articolo 10 entro il ... (OP: inserire la data corrispondente a 4 anni e 3 mesi dopo la data di ent</w:t>
      </w:r>
      <w:r w:rsidR="00264701">
        <w:rPr>
          <w:szCs w:val="24"/>
          <w:lang w:eastAsia="en-US"/>
        </w:rPr>
        <w:t>rata in vigore della direttiva);</w:t>
      </w:r>
    </w:p>
    <w:p w14:paraId="5295BB7E" w14:textId="0B80803B" w:rsidR="00FF3D47" w:rsidRPr="00FF3D47" w:rsidRDefault="00264701" w:rsidP="00FF3D47">
      <w:pPr>
        <w:spacing w:before="120" w:after="120" w:line="360" w:lineRule="auto"/>
        <w:ind w:left="1416" w:hanging="566"/>
        <w:rPr>
          <w:szCs w:val="24"/>
          <w:lang w:eastAsia="en-US"/>
        </w:rPr>
      </w:pPr>
      <w:r>
        <w:rPr>
          <w:b/>
          <w:i/>
          <w:szCs w:val="24"/>
          <w:lang w:eastAsia="en-US"/>
        </w:rPr>
        <w:t>c bis</w:t>
      </w:r>
      <w:r w:rsidR="00FF3D47" w:rsidRPr="00FF3D47">
        <w:rPr>
          <w:b/>
          <w:i/>
          <w:szCs w:val="24"/>
          <w:lang w:eastAsia="en-US"/>
        </w:rPr>
        <w:t>)</w:t>
      </w:r>
      <w:r w:rsidR="00FF3D47" w:rsidRPr="00FF3D47">
        <w:rPr>
          <w:szCs w:val="24"/>
          <w:lang w:eastAsia="en-US"/>
        </w:rPr>
        <w:tab/>
      </w:r>
      <w:r w:rsidR="00FF3D47" w:rsidRPr="00FF3D47">
        <w:rPr>
          <w:b/>
          <w:i/>
          <w:szCs w:val="24"/>
          <w:lang w:eastAsia="en-US"/>
        </w:rPr>
        <w:t>le misurazioni dei descrittori del suolo al livello del punto di campionamento. [</w:t>
      </w:r>
      <w:proofErr w:type="spellStart"/>
      <w:r w:rsidR="00FF3D47" w:rsidRPr="00FF3D47">
        <w:rPr>
          <w:b/>
          <w:i/>
          <w:szCs w:val="24"/>
          <w:lang w:eastAsia="en-US"/>
        </w:rPr>
        <w:t>Em</w:t>
      </w:r>
      <w:proofErr w:type="spellEnd"/>
      <w:r w:rsidR="00FF3D47" w:rsidRPr="00FF3D47">
        <w:rPr>
          <w:b/>
          <w:i/>
          <w:szCs w:val="24"/>
          <w:lang w:eastAsia="en-US"/>
        </w:rPr>
        <w:t>. 174]</w:t>
      </w:r>
    </w:p>
    <w:p w14:paraId="5546AD89"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4.</w:t>
      </w:r>
      <w:r w:rsidRPr="00FF3D47">
        <w:rPr>
          <w:szCs w:val="24"/>
          <w:lang w:eastAsia="en-US"/>
        </w:rPr>
        <w:tab/>
        <w:t>Alla Commissione è conferito il potere di adottare atti di esecuzione per stabilire il formato e le modalità di presentazione delle informazioni di cui al paragrafo 1. Gli atti di esecuzione sono adottati secondo la procedura di esame di cui all'articolo 21.</w:t>
      </w:r>
    </w:p>
    <w:p w14:paraId="2DFABD8E" w14:textId="77777777" w:rsidR="00264701" w:rsidRDefault="00264701" w:rsidP="00FF3D47">
      <w:pPr>
        <w:spacing w:before="120" w:after="120" w:line="360" w:lineRule="auto"/>
        <w:jc w:val="center"/>
        <w:rPr>
          <w:szCs w:val="24"/>
          <w:lang w:eastAsia="en-US"/>
        </w:rPr>
      </w:pPr>
      <w:r>
        <w:rPr>
          <w:szCs w:val="24"/>
          <w:lang w:eastAsia="en-US"/>
        </w:rPr>
        <w:br w:type="page"/>
      </w:r>
    </w:p>
    <w:p w14:paraId="137C35AB" w14:textId="0C0B7100"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19</w:t>
      </w:r>
      <w:r w:rsidRPr="00FF3D47">
        <w:rPr>
          <w:szCs w:val="24"/>
          <w:lang w:eastAsia="en-US"/>
        </w:rPr>
        <w:br/>
        <w:t>Informazione del pubblico</w:t>
      </w:r>
    </w:p>
    <w:p w14:paraId="1F238CE2"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 xml:space="preserve">Gli Stati membri rendono accessibili al pubblico i dati generati dal monitoraggio effettuato a norma dell'articolo 8 e </w:t>
      </w:r>
      <w:r w:rsidRPr="00FF3D47">
        <w:rPr>
          <w:strike/>
          <w:szCs w:val="24"/>
          <w:lang w:eastAsia="en-US"/>
        </w:rPr>
        <w:t xml:space="preserve">dalla valutazione </w:t>
      </w:r>
      <w:proofErr w:type="spellStart"/>
      <w:r w:rsidRPr="00FF3D47">
        <w:rPr>
          <w:strike/>
          <w:szCs w:val="24"/>
          <w:lang w:eastAsia="en-US"/>
        </w:rPr>
        <w:t>effettuata</w:t>
      </w:r>
      <w:r w:rsidRPr="00FF3D47">
        <w:rPr>
          <w:b/>
          <w:i/>
          <w:szCs w:val="24"/>
          <w:lang w:eastAsia="en-US"/>
        </w:rPr>
        <w:t>dalle</w:t>
      </w:r>
      <w:proofErr w:type="spellEnd"/>
      <w:r w:rsidRPr="00FF3D47">
        <w:rPr>
          <w:b/>
          <w:i/>
          <w:szCs w:val="24"/>
          <w:lang w:eastAsia="en-US"/>
        </w:rPr>
        <w:t xml:space="preserve"> valutazioni effettuate</w:t>
      </w:r>
      <w:r w:rsidRPr="00FF3D47">
        <w:rPr>
          <w:szCs w:val="24"/>
          <w:lang w:eastAsia="en-US"/>
        </w:rPr>
        <w:t xml:space="preserve"> a norma dell'articolo 9</w:t>
      </w:r>
      <w:r w:rsidRPr="00FF3D47">
        <w:rPr>
          <w:b/>
          <w:i/>
          <w:szCs w:val="24"/>
          <w:lang w:eastAsia="en-US"/>
        </w:rPr>
        <w:t xml:space="preserve"> e dell'articolo 10, paragrafo 3,</w:t>
      </w:r>
      <w:r w:rsidRPr="00FF3D47">
        <w:rPr>
          <w:szCs w:val="24"/>
          <w:lang w:eastAsia="en-US"/>
        </w:rPr>
        <w:t xml:space="preserve"> della presente direttiva, conformemente alle disposizioni di cui all'articolo 11 della direttiva 2007/2/CE del Parlamento europeo e del Consiglio</w:t>
      </w:r>
      <w:r w:rsidRPr="00FF3D47">
        <w:rPr>
          <w:szCs w:val="24"/>
          <w:vertAlign w:val="superscript"/>
          <w:lang w:val="en-GB" w:eastAsia="en-US"/>
        </w:rPr>
        <w:footnoteReference w:id="54"/>
      </w:r>
      <w:r w:rsidRPr="00FF3D47">
        <w:rPr>
          <w:szCs w:val="24"/>
          <w:lang w:eastAsia="en-US"/>
        </w:rPr>
        <w:t xml:space="preserve"> per i dati geograficamente espliciti e all'articolo 5 della direttiva (UE) 2019/1024 per gli altri dati.</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175]</w:t>
      </w:r>
    </w:p>
    <w:p w14:paraId="31E07093"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La Commissione provvede affinché i</w:t>
      </w:r>
      <w:r w:rsidRPr="00FF3D47">
        <w:rPr>
          <w:b/>
          <w:i/>
          <w:szCs w:val="24"/>
          <w:lang w:eastAsia="en-US"/>
        </w:rPr>
        <w:t xml:space="preserve"> pertinenti</w:t>
      </w:r>
      <w:r w:rsidRPr="00FF3D47">
        <w:rPr>
          <w:szCs w:val="24"/>
          <w:lang w:eastAsia="en-US"/>
        </w:rPr>
        <w:t xml:space="preserve"> dati sulla salute del suolo resi accessibili attraverso il portale digitale dei dati sulla salute del suolo di cui all'articolo 6 siano accessibili al pubblico </w:t>
      </w:r>
      <w:r w:rsidRPr="00FF3D47">
        <w:rPr>
          <w:b/>
          <w:i/>
          <w:szCs w:val="24"/>
          <w:lang w:eastAsia="en-US"/>
        </w:rPr>
        <w:t xml:space="preserve">soltanto con l'esplicita autorizzazione del proprietario e del gestore dei terreni, in forma aggregata e anonima, </w:t>
      </w:r>
      <w:r w:rsidRPr="00FF3D47">
        <w:rPr>
          <w:szCs w:val="24"/>
          <w:lang w:eastAsia="en-US"/>
        </w:rPr>
        <w:t>conformemente ai regolamenti (UE) 2018/1725</w:t>
      </w:r>
      <w:r w:rsidRPr="00FF3D47">
        <w:rPr>
          <w:szCs w:val="24"/>
          <w:vertAlign w:val="superscript"/>
          <w:lang w:val="en-GB" w:eastAsia="en-US"/>
        </w:rPr>
        <w:footnoteReference w:id="55"/>
      </w:r>
      <w:r w:rsidRPr="00FF3D47">
        <w:rPr>
          <w:szCs w:val="24"/>
          <w:lang w:eastAsia="en-US"/>
        </w:rPr>
        <w:t xml:space="preserve"> e (CE) n. 1367/2006</w:t>
      </w:r>
      <w:r w:rsidRPr="00FF3D47">
        <w:rPr>
          <w:szCs w:val="24"/>
          <w:vertAlign w:val="superscript"/>
          <w:lang w:val="en-GB" w:eastAsia="en-US"/>
        </w:rPr>
        <w:footnoteReference w:id="56"/>
      </w:r>
      <w:r w:rsidRPr="00FF3D47">
        <w:rPr>
          <w:szCs w:val="24"/>
          <w:lang w:eastAsia="en-US"/>
        </w:rPr>
        <w:t xml:space="preserve"> del Parlamento europeo e del Consiglio.</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231]</w:t>
      </w:r>
    </w:p>
    <w:p w14:paraId="7E601612" w14:textId="77777777" w:rsidR="00264701" w:rsidRDefault="00264701" w:rsidP="00FF3D47">
      <w:pPr>
        <w:spacing w:before="120" w:after="120" w:line="360" w:lineRule="auto"/>
        <w:ind w:left="850" w:hanging="850"/>
        <w:rPr>
          <w:szCs w:val="24"/>
          <w:lang w:eastAsia="en-US"/>
        </w:rPr>
      </w:pPr>
      <w:r>
        <w:rPr>
          <w:szCs w:val="24"/>
          <w:lang w:eastAsia="en-US"/>
        </w:rPr>
        <w:br w:type="page"/>
      </w:r>
    </w:p>
    <w:p w14:paraId="0A4B9345" w14:textId="401B9CED"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3.</w:t>
      </w:r>
      <w:r w:rsidRPr="00FF3D47">
        <w:rPr>
          <w:szCs w:val="24"/>
          <w:lang w:eastAsia="en-US"/>
        </w:rPr>
        <w:tab/>
        <w:t>Gli Stati membri provvedono affinché le informazioni</w:t>
      </w:r>
      <w:r w:rsidRPr="00FF3D47">
        <w:rPr>
          <w:b/>
          <w:i/>
          <w:szCs w:val="24"/>
          <w:lang w:eastAsia="en-US"/>
        </w:rPr>
        <w:t xml:space="preserve"> pertinenti</w:t>
      </w:r>
      <w:r w:rsidRPr="00FF3D47">
        <w:rPr>
          <w:szCs w:val="24"/>
          <w:lang w:eastAsia="en-US"/>
        </w:rPr>
        <w:t xml:space="preserve"> di cui all'articolo 18 siano disponibili e accessibili al pubblico</w:t>
      </w:r>
      <w:r w:rsidRPr="00FF3D47">
        <w:rPr>
          <w:b/>
          <w:i/>
          <w:szCs w:val="24"/>
          <w:lang w:eastAsia="en-US"/>
        </w:rPr>
        <w:t xml:space="preserve"> soltanto con l'esplicita autorizzazione del proprietario e del gestore dei terreni, in forma aggregata e anonima,</w:t>
      </w:r>
      <w:r w:rsidRPr="00FF3D47">
        <w:rPr>
          <w:szCs w:val="24"/>
          <w:lang w:eastAsia="en-US"/>
        </w:rPr>
        <w:t xml:space="preserve"> conformemente alle direttive 2003/4/CE, 2007/2/CE e (UE) 2019/1024</w:t>
      </w:r>
      <w:r w:rsidRPr="00FF3D47">
        <w:rPr>
          <w:szCs w:val="24"/>
          <w:vertAlign w:val="superscript"/>
          <w:lang w:val="en-GB" w:eastAsia="en-US"/>
        </w:rPr>
        <w:footnoteReference w:id="57"/>
      </w:r>
      <w:r w:rsidRPr="00FF3D47">
        <w:rPr>
          <w:szCs w:val="24"/>
          <w:lang w:eastAsia="en-US"/>
        </w:rPr>
        <w:t xml:space="preserve"> del Parlamento europeo e del Consiglio.</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232]</w:t>
      </w:r>
    </w:p>
    <w:p w14:paraId="105D65B5"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4.</w:t>
      </w:r>
      <w:r w:rsidRPr="00FF3D47">
        <w:rPr>
          <w:szCs w:val="24"/>
          <w:lang w:eastAsia="en-US"/>
        </w:rPr>
        <w:tab/>
        <w:t>La divulgazione di qualsiasi informazione prevista a norma della presente direttiva può essere rifiutata o limitata se sussistono le condizioni di cui all'articolo 4 della direttiva 2003/4/CE.</w:t>
      </w:r>
    </w:p>
    <w:p w14:paraId="6A138799" w14:textId="77777777" w:rsidR="00FF3D47" w:rsidRPr="00FF3D47" w:rsidRDefault="00FF3D47" w:rsidP="00FF3D47">
      <w:pPr>
        <w:spacing w:before="120" w:after="120" w:line="360" w:lineRule="auto"/>
        <w:ind w:left="850" w:hanging="850"/>
        <w:rPr>
          <w:szCs w:val="24"/>
          <w:lang w:eastAsia="en-US"/>
        </w:rPr>
      </w:pPr>
      <w:r w:rsidRPr="00FF3D47">
        <w:rPr>
          <w:b/>
          <w:i/>
          <w:szCs w:val="24"/>
          <w:lang w:eastAsia="en-US"/>
        </w:rPr>
        <w:t>4a.</w:t>
      </w:r>
      <w:r w:rsidRPr="00FF3D47">
        <w:rPr>
          <w:szCs w:val="24"/>
          <w:lang w:eastAsia="en-US"/>
        </w:rPr>
        <w:tab/>
      </w:r>
      <w:r w:rsidRPr="00FF3D47">
        <w:rPr>
          <w:b/>
          <w:i/>
          <w:szCs w:val="24"/>
          <w:lang w:eastAsia="en-US"/>
        </w:rPr>
        <w:t>Gli Stati membri adottano misure volte a garantire che le informazioni relative al suolo raccolte attraverso l'attuazione della presente direttiva siano messe a disposizione del potenziale acquirente o del potenziale locatario dell'appezzamento in questione. [</w:t>
      </w:r>
      <w:proofErr w:type="spellStart"/>
      <w:r w:rsidRPr="00FF3D47">
        <w:rPr>
          <w:b/>
          <w:i/>
          <w:szCs w:val="24"/>
          <w:lang w:eastAsia="en-US"/>
        </w:rPr>
        <w:t>Em</w:t>
      </w:r>
      <w:proofErr w:type="spellEnd"/>
      <w:r w:rsidRPr="00FF3D47">
        <w:rPr>
          <w:b/>
          <w:i/>
          <w:szCs w:val="24"/>
          <w:lang w:eastAsia="en-US"/>
        </w:rPr>
        <w:t>. 176]</w:t>
      </w:r>
    </w:p>
    <w:p w14:paraId="5CEBAE22" w14:textId="77777777" w:rsidR="00264701" w:rsidRDefault="00264701" w:rsidP="00FF3D47">
      <w:pPr>
        <w:spacing w:before="120" w:after="120" w:line="360" w:lineRule="auto"/>
        <w:jc w:val="center"/>
        <w:rPr>
          <w:szCs w:val="24"/>
          <w:lang w:eastAsia="en-US"/>
        </w:rPr>
      </w:pPr>
      <w:r>
        <w:rPr>
          <w:szCs w:val="24"/>
          <w:lang w:eastAsia="en-US"/>
        </w:rPr>
        <w:br w:type="page"/>
      </w:r>
    </w:p>
    <w:p w14:paraId="0A45F74A" w14:textId="59318C99" w:rsidR="00FF3D47" w:rsidRPr="00FF3D47" w:rsidRDefault="00FF3D47" w:rsidP="00FF3D47">
      <w:pPr>
        <w:spacing w:before="120" w:after="120" w:line="360" w:lineRule="auto"/>
        <w:jc w:val="center"/>
        <w:rPr>
          <w:szCs w:val="24"/>
          <w:lang w:eastAsia="en-US"/>
        </w:rPr>
      </w:pPr>
      <w:r w:rsidRPr="00FF3D47">
        <w:rPr>
          <w:szCs w:val="24"/>
          <w:lang w:eastAsia="en-US"/>
        </w:rPr>
        <w:lastRenderedPageBreak/>
        <w:t>Capo VI</w:t>
      </w:r>
      <w:r w:rsidRPr="00FF3D47">
        <w:rPr>
          <w:szCs w:val="24"/>
          <w:lang w:eastAsia="en-US"/>
        </w:rPr>
        <w:br/>
        <w:t>Delega e procedura di comitato</w:t>
      </w:r>
    </w:p>
    <w:p w14:paraId="392C8B47" w14:textId="77777777" w:rsidR="00FF3D47" w:rsidRPr="00FF3D47" w:rsidRDefault="00FF3D47" w:rsidP="00FF3D47">
      <w:pPr>
        <w:spacing w:before="120" w:after="120" w:line="360" w:lineRule="auto"/>
        <w:jc w:val="center"/>
        <w:rPr>
          <w:szCs w:val="24"/>
          <w:lang w:eastAsia="en-US"/>
        </w:rPr>
      </w:pPr>
      <w:r w:rsidRPr="00FF3D47">
        <w:rPr>
          <w:szCs w:val="24"/>
          <w:lang w:eastAsia="en-US"/>
        </w:rPr>
        <w:t>Articolo 20</w:t>
      </w:r>
      <w:r w:rsidRPr="00FF3D47">
        <w:rPr>
          <w:szCs w:val="24"/>
          <w:lang w:eastAsia="en-US"/>
        </w:rPr>
        <w:br/>
        <w:t>Esercizio della delega</w:t>
      </w:r>
    </w:p>
    <w:p w14:paraId="7CE801E0"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Il potere di adottare atti delegati è conferito alla Commissione alle condizioni stabilite nel presente articolo.</w:t>
      </w:r>
    </w:p>
    <w:p w14:paraId="6B9CDB78"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 xml:space="preserve">Il potere di adottare atti delegati di cui agli articoli 8, </w:t>
      </w:r>
      <w:r w:rsidRPr="00FF3D47">
        <w:rPr>
          <w:strike/>
          <w:szCs w:val="24"/>
          <w:lang w:eastAsia="en-US"/>
        </w:rPr>
        <w:t>10, 15 e 16</w:t>
      </w:r>
      <w:r w:rsidRPr="00FF3D47">
        <w:rPr>
          <w:b/>
          <w:i/>
          <w:szCs w:val="24"/>
          <w:lang w:eastAsia="en-US"/>
        </w:rPr>
        <w:t>9 e 15</w:t>
      </w:r>
      <w:r w:rsidRPr="00FF3D47">
        <w:rPr>
          <w:szCs w:val="24"/>
          <w:lang w:eastAsia="en-US"/>
        </w:rPr>
        <w:t xml:space="preserve"> è conferito alla Commissione per un periodo indeterminato a decorrere dalla data di entrata in vigore della presente direttiva.</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177]</w:t>
      </w:r>
    </w:p>
    <w:p w14:paraId="7B9C766A"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3.</w:t>
      </w:r>
      <w:r w:rsidRPr="00FF3D47">
        <w:rPr>
          <w:szCs w:val="24"/>
          <w:lang w:eastAsia="en-US"/>
        </w:rPr>
        <w:tab/>
        <w:t xml:space="preserve">La delega di potere di cui agli articoli 8, </w:t>
      </w:r>
      <w:r w:rsidRPr="00FF3D47">
        <w:rPr>
          <w:strike/>
          <w:szCs w:val="24"/>
          <w:lang w:eastAsia="en-US"/>
        </w:rPr>
        <w:t>10, 15 e 16</w:t>
      </w:r>
      <w:r w:rsidRPr="00FF3D47">
        <w:rPr>
          <w:b/>
          <w:i/>
          <w:szCs w:val="24"/>
          <w:lang w:eastAsia="en-US"/>
        </w:rPr>
        <w:t>9 e 15</w:t>
      </w:r>
      <w:r w:rsidRPr="00FF3D47">
        <w:rPr>
          <w:szCs w:val="24"/>
          <w:lang w:eastAsia="en-US"/>
        </w:rPr>
        <w:t xml:space="preserve"> può essere revocata in qualsiasi momento dal Parlamento europeo o dal Consiglio. La decisione di revoca pone fine alla delega di potere ivi specificata. Gli effetti della decisione decorrono dal giorno successivo alla pubblicazione della decisione nella </w:t>
      </w:r>
      <w:r w:rsidRPr="004E5FB6">
        <w:rPr>
          <w:i/>
          <w:szCs w:val="24"/>
          <w:lang w:eastAsia="en-US"/>
        </w:rPr>
        <w:t>Gazzetta ufficiale dell'Unione europea</w:t>
      </w:r>
      <w:r w:rsidRPr="00FF3D47">
        <w:rPr>
          <w:szCs w:val="24"/>
          <w:lang w:eastAsia="en-US"/>
        </w:rPr>
        <w:t xml:space="preserve"> o da una data successiva ivi specificata. Essa non pregiudica la validità degli atti delegati già in vigore.</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178]</w:t>
      </w:r>
    </w:p>
    <w:p w14:paraId="581899B4" w14:textId="77777777" w:rsidR="00264701" w:rsidRDefault="00264701" w:rsidP="00FF3D47">
      <w:pPr>
        <w:spacing w:before="120" w:after="120" w:line="360" w:lineRule="auto"/>
        <w:ind w:left="850" w:hanging="850"/>
        <w:rPr>
          <w:szCs w:val="24"/>
          <w:lang w:eastAsia="en-US"/>
        </w:rPr>
      </w:pPr>
      <w:r>
        <w:rPr>
          <w:szCs w:val="24"/>
          <w:lang w:eastAsia="en-US"/>
        </w:rPr>
        <w:br w:type="page"/>
      </w:r>
    </w:p>
    <w:p w14:paraId="3C77A909" w14:textId="6567BF09"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4.</w:t>
      </w:r>
      <w:r w:rsidRPr="00FF3D47">
        <w:rPr>
          <w:szCs w:val="24"/>
          <w:lang w:eastAsia="en-US"/>
        </w:rPr>
        <w:tab/>
        <w:t xml:space="preserve">Prima dell'adozione dell'atto delegato la Commissione consulta gli esperti designati da ciascuno Stato membro nel rispetto dei principi stabiliti nell'accordo </w:t>
      </w:r>
      <w:proofErr w:type="spellStart"/>
      <w:r w:rsidRPr="00FF3D47">
        <w:rPr>
          <w:szCs w:val="24"/>
          <w:lang w:eastAsia="en-US"/>
        </w:rPr>
        <w:t>interistituzionale</w:t>
      </w:r>
      <w:proofErr w:type="spellEnd"/>
      <w:r w:rsidRPr="00FF3D47">
        <w:rPr>
          <w:szCs w:val="24"/>
          <w:lang w:eastAsia="en-US"/>
        </w:rPr>
        <w:t xml:space="preserve"> "Legiferare meglio" del 13 aprile 2016.</w:t>
      </w:r>
    </w:p>
    <w:p w14:paraId="559C80BB"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5.</w:t>
      </w:r>
      <w:r w:rsidRPr="00FF3D47">
        <w:rPr>
          <w:szCs w:val="24"/>
          <w:lang w:eastAsia="en-US"/>
        </w:rPr>
        <w:tab/>
        <w:t>Non appena adotta un atto delegato, la Commissione ne dà contestualmente notifica al Parlamento europeo e al Consiglio.</w:t>
      </w:r>
    </w:p>
    <w:p w14:paraId="70036431"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6.</w:t>
      </w:r>
      <w:r w:rsidRPr="00FF3D47">
        <w:rPr>
          <w:szCs w:val="24"/>
          <w:lang w:eastAsia="en-US"/>
        </w:rPr>
        <w:tab/>
        <w:t xml:space="preserve">L'atto delegato adottato ai sensi degli articoli 8, </w:t>
      </w:r>
      <w:r w:rsidRPr="00FF3D47">
        <w:rPr>
          <w:strike/>
          <w:szCs w:val="24"/>
          <w:lang w:eastAsia="en-US"/>
        </w:rPr>
        <w:t>10, 15 e 16</w:t>
      </w:r>
      <w:r w:rsidRPr="00FF3D47">
        <w:rPr>
          <w:b/>
          <w:i/>
          <w:szCs w:val="24"/>
          <w:lang w:eastAsia="en-US"/>
        </w:rPr>
        <w:t>9 e 15</w:t>
      </w:r>
      <w:r w:rsidRPr="00FF3D47">
        <w:rPr>
          <w:szCs w:val="24"/>
          <w:lang w:eastAsia="en-US"/>
        </w:rPr>
        <w:t xml:space="preserve">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179]</w:t>
      </w:r>
    </w:p>
    <w:p w14:paraId="6B5113E1" w14:textId="77777777" w:rsidR="00264701" w:rsidRDefault="00264701" w:rsidP="00FF3D47">
      <w:pPr>
        <w:spacing w:before="120" w:after="120" w:line="360" w:lineRule="auto"/>
        <w:jc w:val="center"/>
        <w:rPr>
          <w:szCs w:val="24"/>
          <w:lang w:eastAsia="en-US"/>
        </w:rPr>
      </w:pPr>
      <w:r>
        <w:rPr>
          <w:szCs w:val="24"/>
          <w:lang w:eastAsia="en-US"/>
        </w:rPr>
        <w:br w:type="page"/>
      </w:r>
    </w:p>
    <w:p w14:paraId="4D2798F9" w14:textId="600CEF9C"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21</w:t>
      </w:r>
      <w:r w:rsidRPr="00FF3D47">
        <w:rPr>
          <w:szCs w:val="24"/>
          <w:lang w:eastAsia="en-US"/>
        </w:rPr>
        <w:br/>
        <w:t>Comitato</w:t>
      </w:r>
    </w:p>
    <w:p w14:paraId="032454F6"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La Commissione è assistita da un comitato. Esso è un comitato ai sensi del regolamento (UE) n. 182/2011.</w:t>
      </w:r>
    </w:p>
    <w:p w14:paraId="23DC264E"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Nei casi in cui è fatto riferimento al presente paragrafo, si applica l'articolo 5 del regolamento (UE) n. 182/2011.</w:t>
      </w:r>
    </w:p>
    <w:p w14:paraId="4FB63602" w14:textId="77777777" w:rsidR="00FF3D47" w:rsidRPr="00FF3D47" w:rsidRDefault="00FF3D47" w:rsidP="00FF3D47">
      <w:pPr>
        <w:spacing w:before="120" w:after="120" w:line="360" w:lineRule="auto"/>
        <w:jc w:val="center"/>
        <w:rPr>
          <w:szCs w:val="24"/>
          <w:lang w:eastAsia="en-US"/>
        </w:rPr>
      </w:pPr>
      <w:r w:rsidRPr="00FF3D47">
        <w:rPr>
          <w:szCs w:val="24"/>
          <w:lang w:eastAsia="en-US"/>
        </w:rPr>
        <w:t>Capo VII</w:t>
      </w:r>
      <w:r w:rsidRPr="00FF3D47">
        <w:rPr>
          <w:szCs w:val="24"/>
          <w:lang w:eastAsia="en-US"/>
        </w:rPr>
        <w:br/>
        <w:t xml:space="preserve">Disposizioni finali </w:t>
      </w:r>
    </w:p>
    <w:p w14:paraId="1C42D9FF" w14:textId="77777777" w:rsidR="00FF3D47" w:rsidRPr="00FF3D47" w:rsidRDefault="00FF3D47" w:rsidP="00FF3D47">
      <w:pPr>
        <w:spacing w:before="120" w:after="120" w:line="360" w:lineRule="auto"/>
        <w:jc w:val="center"/>
        <w:rPr>
          <w:szCs w:val="24"/>
          <w:lang w:eastAsia="en-US"/>
        </w:rPr>
      </w:pPr>
      <w:r w:rsidRPr="00FF3D47">
        <w:rPr>
          <w:szCs w:val="24"/>
          <w:lang w:eastAsia="en-US"/>
        </w:rPr>
        <w:t>Articolo 22</w:t>
      </w:r>
      <w:r w:rsidRPr="00FF3D47">
        <w:rPr>
          <w:szCs w:val="24"/>
          <w:lang w:eastAsia="en-US"/>
        </w:rPr>
        <w:br/>
        <w:t>Accesso alla giustizia</w:t>
      </w:r>
    </w:p>
    <w:p w14:paraId="4BB1DB5C" w14:textId="77777777" w:rsidR="00FF3D47" w:rsidRPr="00FF3D47" w:rsidRDefault="00FF3D47" w:rsidP="00FF3D47">
      <w:pPr>
        <w:spacing w:before="120" w:after="120" w:line="360" w:lineRule="auto"/>
        <w:rPr>
          <w:szCs w:val="24"/>
          <w:lang w:eastAsia="en-US"/>
        </w:rPr>
      </w:pPr>
      <w:r w:rsidRPr="00FF3D47">
        <w:rPr>
          <w:szCs w:val="24"/>
          <w:lang w:eastAsia="en-US"/>
        </w:rPr>
        <w:t>Gli Stati membri provvedono affinché, conformemente al diritto nazionale, i membri del pubblico che vantano un interesse sufficiente o che lamentano la violazione di un diritto, abbiano accesso a una procedura di ricorso dinanzi a un organo giurisdizionale, o a un organo indipendente e imparziale istituito dalla legge, per contestare la legittimità sostanziale o procedurale della valutazione della salute del suolo, le misure adottate ai sensi della presente direttiva e le eventuali omissioni delle autorità competenti.</w:t>
      </w:r>
    </w:p>
    <w:p w14:paraId="20A35844" w14:textId="77777777" w:rsidR="00264701" w:rsidRDefault="00264701" w:rsidP="00FF3D47">
      <w:pPr>
        <w:spacing w:before="120" w:after="120" w:line="360" w:lineRule="auto"/>
        <w:rPr>
          <w:szCs w:val="24"/>
          <w:lang w:eastAsia="en-US"/>
        </w:rPr>
      </w:pPr>
      <w:r>
        <w:rPr>
          <w:szCs w:val="24"/>
          <w:lang w:eastAsia="en-US"/>
        </w:rPr>
        <w:br w:type="page"/>
      </w:r>
    </w:p>
    <w:p w14:paraId="01393C75" w14:textId="30900883" w:rsidR="00FF3D47" w:rsidRPr="00FF3D47" w:rsidRDefault="00FF3D47" w:rsidP="00FF3D47">
      <w:pPr>
        <w:spacing w:before="120" w:after="120" w:line="360" w:lineRule="auto"/>
        <w:rPr>
          <w:szCs w:val="24"/>
          <w:lang w:eastAsia="en-US"/>
        </w:rPr>
      </w:pPr>
      <w:r w:rsidRPr="00FF3D47">
        <w:rPr>
          <w:szCs w:val="24"/>
          <w:lang w:eastAsia="en-US"/>
        </w:rPr>
        <w:lastRenderedPageBreak/>
        <w:t>Gli Stati membri determinano ciò che costituisce un interesse sufficiente e la violazione di un diritto, coerentemente con l'obiettivo di offrire al pubblico un ampio accesso alla giustizia</w:t>
      </w:r>
      <w:r w:rsidRPr="00FF3D47">
        <w:rPr>
          <w:strike/>
          <w:szCs w:val="24"/>
          <w:lang w:eastAsia="en-US"/>
        </w:rPr>
        <w:t>. Ai fini del paragrafo 1, qualsiasi organizzazione non governativa che promuove la protezione dell'ambiente e che soddisfa i requisiti del diritto nazionale è considerata titolare di diritti che possono essere lesi e il suo interesse è considerato sufficiente.</w:t>
      </w:r>
      <w:r w:rsidRPr="00FF3D47">
        <w:rPr>
          <w:b/>
          <w:i/>
          <w:szCs w:val="24"/>
          <w:lang w:eastAsia="en-US"/>
        </w:rPr>
        <w:t xml:space="preserve">, in linea con l'articolo 9 della convenzione di </w:t>
      </w:r>
      <w:proofErr w:type="spellStart"/>
      <w:r w:rsidRPr="00FF3D47">
        <w:rPr>
          <w:b/>
          <w:i/>
          <w:szCs w:val="24"/>
          <w:lang w:eastAsia="en-US"/>
        </w:rPr>
        <w:t>Aarhus</w:t>
      </w:r>
      <w:proofErr w:type="spellEnd"/>
      <w:r w:rsidRPr="00FF3D47">
        <w:rPr>
          <w:b/>
          <w:i/>
          <w:szCs w:val="24"/>
          <w:lang w:eastAsia="en-US"/>
        </w:rPr>
        <w:t>. Il riconoscimento della legittimazione non è subordinato al ruolo che i singoli interessati hanno svolto durante una fase partecipativa delle procedure decisionali ai sensi della presente direttiva. [</w:t>
      </w:r>
      <w:proofErr w:type="spellStart"/>
      <w:r w:rsidRPr="00FF3D47">
        <w:rPr>
          <w:b/>
          <w:i/>
          <w:szCs w:val="24"/>
          <w:lang w:eastAsia="en-US"/>
        </w:rPr>
        <w:t>Em</w:t>
      </w:r>
      <w:proofErr w:type="spellEnd"/>
      <w:r w:rsidRPr="00FF3D47">
        <w:rPr>
          <w:b/>
          <w:i/>
          <w:szCs w:val="24"/>
          <w:lang w:eastAsia="en-US"/>
        </w:rPr>
        <w:t>. 180]</w:t>
      </w:r>
    </w:p>
    <w:p w14:paraId="0BD0F46D" w14:textId="77777777" w:rsidR="00FF3D47" w:rsidRPr="00FF3D47" w:rsidRDefault="00FF3D47" w:rsidP="00FF3D47">
      <w:pPr>
        <w:spacing w:before="120" w:after="120" w:line="360" w:lineRule="auto"/>
        <w:rPr>
          <w:szCs w:val="24"/>
          <w:lang w:eastAsia="en-US"/>
        </w:rPr>
      </w:pPr>
      <w:r w:rsidRPr="00FF3D47">
        <w:rPr>
          <w:szCs w:val="24"/>
          <w:lang w:eastAsia="en-US"/>
        </w:rPr>
        <w:t>Le procedure di ricorso di cui al paragrafo 1 devono essere giuste, eque, celeri e gratuite o non eccessivamente onerose e offrire misure correttive adeguate ed efficaci, compresi, se necessario, provvedimenti ingiuntivi.</w:t>
      </w:r>
    </w:p>
    <w:p w14:paraId="6A3DBB9C" w14:textId="77777777" w:rsidR="00FF3D47" w:rsidRPr="00FF3D47" w:rsidRDefault="00FF3D47" w:rsidP="00FF3D47">
      <w:pPr>
        <w:spacing w:before="120" w:after="120" w:line="360" w:lineRule="auto"/>
        <w:rPr>
          <w:szCs w:val="24"/>
          <w:lang w:eastAsia="en-US"/>
        </w:rPr>
      </w:pPr>
      <w:r w:rsidRPr="00FF3D47">
        <w:rPr>
          <w:szCs w:val="24"/>
          <w:lang w:eastAsia="en-US"/>
        </w:rPr>
        <w:t>Gli Stati membri provvedono affinché siano messe a disposizione del pubblico informazioni pratiche sull'accesso alle procedure di ricorso amministrativo e giurisdizionale di cui al presente articolo.</w:t>
      </w:r>
    </w:p>
    <w:p w14:paraId="4F4B6E89" w14:textId="77777777" w:rsidR="00264701" w:rsidRDefault="00264701" w:rsidP="00FF3D47">
      <w:pPr>
        <w:spacing w:before="120" w:after="120" w:line="360" w:lineRule="auto"/>
        <w:jc w:val="center"/>
        <w:rPr>
          <w:strike/>
          <w:szCs w:val="24"/>
          <w:lang w:eastAsia="en-US"/>
        </w:rPr>
      </w:pPr>
      <w:r>
        <w:rPr>
          <w:strike/>
          <w:szCs w:val="24"/>
          <w:lang w:eastAsia="en-US"/>
        </w:rPr>
        <w:br w:type="page"/>
      </w:r>
    </w:p>
    <w:p w14:paraId="5D5335FC" w14:textId="3C9C3288" w:rsidR="00FF3D47" w:rsidRPr="00FF3D47" w:rsidRDefault="00FF3D47" w:rsidP="00FF3D47">
      <w:pPr>
        <w:spacing w:before="120" w:after="120" w:line="360" w:lineRule="auto"/>
        <w:jc w:val="center"/>
        <w:rPr>
          <w:szCs w:val="24"/>
          <w:lang w:eastAsia="en-US"/>
        </w:rPr>
      </w:pPr>
      <w:r w:rsidRPr="00FF3D47">
        <w:rPr>
          <w:strike/>
          <w:szCs w:val="24"/>
          <w:lang w:eastAsia="en-US"/>
        </w:rPr>
        <w:lastRenderedPageBreak/>
        <w:t>Articolo 23</w:t>
      </w:r>
      <w:r w:rsidRPr="00FF3D47">
        <w:rPr>
          <w:szCs w:val="24"/>
          <w:lang w:eastAsia="en-US"/>
        </w:rPr>
        <w:br/>
      </w:r>
      <w:r w:rsidRPr="00FF3D47">
        <w:rPr>
          <w:strike/>
          <w:szCs w:val="24"/>
          <w:lang w:eastAsia="en-US"/>
        </w:rPr>
        <w:t>Sanzioni</w:t>
      </w:r>
    </w:p>
    <w:p w14:paraId="5C4AF2B1"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1.</w:t>
      </w:r>
      <w:r w:rsidRPr="00FF3D47">
        <w:rPr>
          <w:szCs w:val="24"/>
          <w:lang w:eastAsia="en-US"/>
        </w:rPr>
        <w:tab/>
      </w:r>
      <w:r w:rsidRPr="00FF3D47">
        <w:rPr>
          <w:strike/>
          <w:szCs w:val="24"/>
          <w:lang w:eastAsia="en-US"/>
        </w:rPr>
        <w:t>Fatti salvi gli obblighi che incombono loro in virtù della direttiva 2008/99/CE del Parlamento europeo e del Consiglio, gli Stati membri stabiliscono le norme relative alle sanzioni applicabili alle violazioni commesse da persone fisiche e giuridiche delle disposizioni nazionali adottate ai sensi della presente direttiva e provvedono affinché tali norme siano attuate. Le sanzioni previste devono essere effettive, proporzionate e dissuasive.</w:t>
      </w:r>
    </w:p>
    <w:p w14:paraId="424D4A97"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2.</w:t>
      </w:r>
      <w:r w:rsidRPr="00FF3D47">
        <w:rPr>
          <w:szCs w:val="24"/>
          <w:lang w:eastAsia="en-US"/>
        </w:rPr>
        <w:tab/>
      </w:r>
      <w:r w:rsidRPr="00FF3D47">
        <w:rPr>
          <w:strike/>
          <w:szCs w:val="24"/>
          <w:lang w:eastAsia="en-US"/>
        </w:rPr>
        <w:t>Le sanzioni di cui al paragrafo 1 comprendono sanzioni pecuniarie proporzionate al fatturato della persona giuridica o al reddito della persona fisica che ha commesso la violazione. Il livello delle sanzioni pecuniarie è calcolato in modo da garantire che privino effettivamente la persona responsabile della violazione dei benefici economici derivanti dalla stessa. In caso di violazione commessa da una persona giuridica, le sanzioni pecuniarie sono proporzionate al suo fatturato annuo nello Stato membro interessato, e tengono conto, tra l'altro, delle specificità delle piccole e medie imprese (PMI).</w:t>
      </w:r>
    </w:p>
    <w:p w14:paraId="2A3357FA"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3.</w:t>
      </w:r>
      <w:r w:rsidRPr="00FF3D47">
        <w:rPr>
          <w:szCs w:val="24"/>
          <w:lang w:eastAsia="en-US"/>
        </w:rPr>
        <w:tab/>
      </w:r>
      <w:r w:rsidRPr="00FF3D47">
        <w:rPr>
          <w:strike/>
          <w:szCs w:val="24"/>
          <w:lang w:eastAsia="en-US"/>
        </w:rPr>
        <w:t>Gli Stati membri provvedono affinché le sanzioni stabilite a norma del presente articolo tengano debitamente conto dei seguenti elementi, a seconda dei casi:</w:t>
      </w:r>
    </w:p>
    <w:p w14:paraId="0EC2D27D" w14:textId="77777777" w:rsidR="00FF3D47" w:rsidRPr="00FF3D47" w:rsidRDefault="00FF3D47" w:rsidP="00FF3D47">
      <w:pPr>
        <w:spacing w:before="120" w:after="120" w:line="360" w:lineRule="auto"/>
        <w:ind w:left="1416" w:hanging="566"/>
        <w:rPr>
          <w:szCs w:val="24"/>
          <w:lang w:eastAsia="en-US"/>
        </w:rPr>
      </w:pPr>
      <w:r w:rsidRPr="00FF3D47">
        <w:rPr>
          <w:strike/>
          <w:szCs w:val="24"/>
          <w:lang w:eastAsia="en-US"/>
        </w:rPr>
        <w:t>(a)</w:t>
      </w:r>
      <w:r w:rsidRPr="00FF3D47">
        <w:rPr>
          <w:szCs w:val="24"/>
          <w:lang w:eastAsia="en-US"/>
        </w:rPr>
        <w:tab/>
      </w:r>
      <w:r w:rsidRPr="00FF3D47">
        <w:rPr>
          <w:strike/>
          <w:szCs w:val="24"/>
          <w:lang w:eastAsia="en-US"/>
        </w:rPr>
        <w:t>la natura, la gravità e la portata della violazione;</w:t>
      </w:r>
    </w:p>
    <w:p w14:paraId="6311AF85" w14:textId="77777777" w:rsidR="00FF3D47" w:rsidRPr="00FF3D47" w:rsidRDefault="00FF3D47" w:rsidP="00FF3D47">
      <w:pPr>
        <w:spacing w:before="120" w:after="120" w:line="360" w:lineRule="auto"/>
        <w:ind w:left="1416" w:hanging="566"/>
        <w:rPr>
          <w:szCs w:val="24"/>
          <w:lang w:eastAsia="en-US"/>
        </w:rPr>
      </w:pPr>
      <w:r w:rsidRPr="00FF3D47">
        <w:rPr>
          <w:strike/>
          <w:szCs w:val="24"/>
          <w:lang w:eastAsia="en-US"/>
        </w:rPr>
        <w:t>(b)</w:t>
      </w:r>
      <w:r w:rsidRPr="00FF3D47">
        <w:rPr>
          <w:szCs w:val="24"/>
          <w:lang w:eastAsia="en-US"/>
        </w:rPr>
        <w:tab/>
      </w:r>
      <w:r w:rsidRPr="00FF3D47">
        <w:rPr>
          <w:strike/>
          <w:szCs w:val="24"/>
          <w:lang w:eastAsia="en-US"/>
        </w:rPr>
        <w:t>il carattere doloso o colposo della violazione;</w:t>
      </w:r>
    </w:p>
    <w:p w14:paraId="38875E4E" w14:textId="77777777" w:rsidR="00FF3D47" w:rsidRPr="00FF3D47" w:rsidRDefault="00FF3D47" w:rsidP="00FF3D47">
      <w:pPr>
        <w:spacing w:before="120" w:after="120" w:line="360" w:lineRule="auto"/>
        <w:ind w:left="1416" w:hanging="566"/>
        <w:rPr>
          <w:szCs w:val="24"/>
          <w:lang w:eastAsia="en-US"/>
        </w:rPr>
      </w:pPr>
      <w:r w:rsidRPr="00FF3D47">
        <w:rPr>
          <w:strike/>
          <w:szCs w:val="24"/>
          <w:lang w:eastAsia="en-US"/>
        </w:rPr>
        <w:t>(c)</w:t>
      </w:r>
      <w:r w:rsidRPr="00FF3D47">
        <w:rPr>
          <w:szCs w:val="24"/>
          <w:lang w:eastAsia="en-US"/>
        </w:rPr>
        <w:tab/>
      </w:r>
      <w:r w:rsidRPr="00FF3D47">
        <w:rPr>
          <w:strike/>
          <w:szCs w:val="24"/>
          <w:lang w:eastAsia="en-US"/>
        </w:rPr>
        <w:t>la popolazione o l'ambiente interessati dalla violazione, tenendo presente l'impatto che questa ha sull'obiettivo di conseguire un elevato livello di protezione della salute umana e dell'ambiente.</w:t>
      </w:r>
    </w:p>
    <w:p w14:paraId="183B2E8E" w14:textId="58783763" w:rsidR="00264701" w:rsidRDefault="00FF3D47" w:rsidP="00264701">
      <w:pPr>
        <w:spacing w:before="120" w:after="120" w:line="360" w:lineRule="auto"/>
        <w:ind w:left="850" w:hanging="850"/>
        <w:rPr>
          <w:b/>
          <w:szCs w:val="24"/>
          <w:lang w:eastAsia="en-US"/>
        </w:rPr>
      </w:pPr>
      <w:r w:rsidRPr="00FF3D47">
        <w:rPr>
          <w:strike/>
          <w:szCs w:val="24"/>
          <w:lang w:eastAsia="en-US"/>
        </w:rPr>
        <w:t>4.</w:t>
      </w:r>
      <w:r w:rsidRPr="00FF3D47">
        <w:rPr>
          <w:szCs w:val="24"/>
          <w:lang w:eastAsia="en-US"/>
        </w:rPr>
        <w:tab/>
      </w:r>
      <w:r w:rsidRPr="00FF3D47">
        <w:rPr>
          <w:strike/>
          <w:szCs w:val="24"/>
          <w:lang w:eastAsia="en-US"/>
        </w:rPr>
        <w:t>Gli Stati membri notificano alla Commissione le norme e misure di cui al paragrafo 1, senza indebito ritardo, e provvedono poi a dare notifica delle eventuali modifiche successive.</w:t>
      </w:r>
      <w:r w:rsidR="00264701">
        <w:rPr>
          <w:strike/>
          <w:szCs w:val="24"/>
          <w:lang w:eastAsia="en-US"/>
        </w:rPr>
        <w:t xml:space="preserve"> </w:t>
      </w:r>
      <w:r w:rsidR="00264701">
        <w:rPr>
          <w:b/>
          <w:szCs w:val="24"/>
          <w:lang w:eastAsia="en-US"/>
        </w:rPr>
        <w:t>[</w:t>
      </w:r>
      <w:proofErr w:type="spellStart"/>
      <w:r w:rsidR="00264701">
        <w:rPr>
          <w:b/>
          <w:szCs w:val="24"/>
          <w:lang w:eastAsia="en-US"/>
        </w:rPr>
        <w:t>E</w:t>
      </w:r>
      <w:r w:rsidR="00264701" w:rsidRPr="007B2C48">
        <w:rPr>
          <w:b/>
          <w:szCs w:val="24"/>
          <w:lang w:eastAsia="en-US"/>
        </w:rPr>
        <w:t>m</w:t>
      </w:r>
      <w:proofErr w:type="spellEnd"/>
      <w:r w:rsidR="00264701" w:rsidRPr="007B2C48">
        <w:rPr>
          <w:b/>
          <w:szCs w:val="24"/>
          <w:lang w:eastAsia="en-US"/>
        </w:rPr>
        <w:t>. 234]</w:t>
      </w:r>
    </w:p>
    <w:p w14:paraId="3C3999C6" w14:textId="52B095CC" w:rsidR="00264701" w:rsidRDefault="00264701" w:rsidP="00FF3D47">
      <w:pPr>
        <w:spacing w:before="120" w:after="120" w:line="360" w:lineRule="auto"/>
        <w:ind w:left="850" w:hanging="850"/>
        <w:rPr>
          <w:szCs w:val="24"/>
          <w:lang w:eastAsia="en-US"/>
        </w:rPr>
      </w:pPr>
      <w:r>
        <w:rPr>
          <w:szCs w:val="24"/>
          <w:lang w:eastAsia="en-US"/>
        </w:rPr>
        <w:br w:type="page"/>
      </w:r>
    </w:p>
    <w:p w14:paraId="08CD06B1" w14:textId="77777777"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24</w:t>
      </w:r>
      <w:r w:rsidRPr="00FF3D47">
        <w:rPr>
          <w:szCs w:val="24"/>
          <w:lang w:eastAsia="en-US"/>
        </w:rPr>
        <w:br/>
        <w:t>Valutazione e riesame</w:t>
      </w:r>
    </w:p>
    <w:p w14:paraId="3C866BE6"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Entro il</w:t>
      </w:r>
      <w:r w:rsidRPr="00FF3D47">
        <w:rPr>
          <w:b/>
          <w:i/>
          <w:szCs w:val="24"/>
          <w:lang w:eastAsia="en-US"/>
        </w:rPr>
        <w:t xml:space="preserve"> ...</w:t>
      </w:r>
      <w:r w:rsidRPr="00FF3D47">
        <w:rPr>
          <w:szCs w:val="24"/>
          <w:lang w:eastAsia="en-US"/>
        </w:rPr>
        <w:t xml:space="preserve"> (OP: inserire la data corrispondente a 6 anni dopo la data di entrata in vigore della direttiva), la Commissione procede a una valutazione della presente direttiva per verificare i progressi compiuti verso il conseguimento dei suoi obiettivi e la necessità di modificarne le disposizioni al fine di </w:t>
      </w:r>
      <w:proofErr w:type="spellStart"/>
      <w:r w:rsidRPr="00FF3D47">
        <w:rPr>
          <w:strike/>
          <w:szCs w:val="24"/>
          <w:lang w:eastAsia="en-US"/>
        </w:rPr>
        <w:t>stabilire</w:t>
      </w:r>
      <w:r w:rsidRPr="00FF3D47">
        <w:rPr>
          <w:b/>
          <w:i/>
          <w:szCs w:val="24"/>
          <w:lang w:eastAsia="en-US"/>
        </w:rPr>
        <w:t>adeguare</w:t>
      </w:r>
      <w:proofErr w:type="spellEnd"/>
      <w:r w:rsidRPr="00FF3D47">
        <w:rPr>
          <w:b/>
          <w:i/>
          <w:szCs w:val="24"/>
          <w:lang w:eastAsia="en-US"/>
        </w:rPr>
        <w:t xml:space="preserve"> gli</w:t>
      </w:r>
      <w:r w:rsidRPr="00FF3D47">
        <w:rPr>
          <w:szCs w:val="24"/>
          <w:lang w:eastAsia="en-US"/>
        </w:rPr>
        <w:t xml:space="preserve"> obblighi </w:t>
      </w:r>
      <w:r w:rsidRPr="00FF3D47">
        <w:rPr>
          <w:strike/>
          <w:szCs w:val="24"/>
          <w:lang w:eastAsia="en-US"/>
        </w:rPr>
        <w:t xml:space="preserve">più </w:t>
      </w:r>
      <w:proofErr w:type="spellStart"/>
      <w:r w:rsidRPr="00FF3D47">
        <w:rPr>
          <w:strike/>
          <w:szCs w:val="24"/>
          <w:lang w:eastAsia="en-US"/>
        </w:rPr>
        <w:t>specifici</w:t>
      </w:r>
      <w:r w:rsidRPr="00FF3D47">
        <w:rPr>
          <w:b/>
          <w:i/>
          <w:szCs w:val="24"/>
          <w:lang w:eastAsia="en-US"/>
        </w:rPr>
        <w:t>da</w:t>
      </w:r>
      <w:proofErr w:type="spellEnd"/>
      <w:r w:rsidRPr="00FF3D47">
        <w:rPr>
          <w:b/>
          <w:i/>
          <w:szCs w:val="24"/>
          <w:lang w:eastAsia="en-US"/>
        </w:rPr>
        <w:t xml:space="preserve"> essa stabiliti</w:t>
      </w:r>
      <w:r w:rsidRPr="00FF3D47">
        <w:rPr>
          <w:szCs w:val="24"/>
          <w:lang w:eastAsia="en-US"/>
        </w:rPr>
        <w:t xml:space="preserve"> per garantire che </w:t>
      </w:r>
      <w:r w:rsidRPr="00FF3D47">
        <w:rPr>
          <w:strike/>
          <w:szCs w:val="24"/>
          <w:lang w:eastAsia="en-US"/>
        </w:rPr>
        <w:t xml:space="preserve">siano rigenerati i suoli non sani </w:t>
      </w:r>
      <w:proofErr w:type="spellStart"/>
      <w:r w:rsidRPr="00FF3D47">
        <w:rPr>
          <w:strike/>
          <w:szCs w:val="24"/>
          <w:lang w:eastAsia="en-US"/>
        </w:rPr>
        <w:t>e</w:t>
      </w:r>
      <w:r w:rsidRPr="00FF3D47">
        <w:rPr>
          <w:b/>
          <w:i/>
          <w:szCs w:val="24"/>
          <w:lang w:eastAsia="en-US"/>
        </w:rPr>
        <w:t>si</w:t>
      </w:r>
      <w:proofErr w:type="spellEnd"/>
      <w:r w:rsidRPr="00FF3D47">
        <w:rPr>
          <w:b/>
          <w:i/>
          <w:szCs w:val="24"/>
          <w:lang w:eastAsia="en-US"/>
        </w:rPr>
        <w:t xml:space="preserve"> continuino a realizzare progressi verso l'obiettivo di assicurare</w:t>
      </w:r>
      <w:r w:rsidRPr="00FF3D47">
        <w:rPr>
          <w:szCs w:val="24"/>
          <w:lang w:eastAsia="en-US"/>
        </w:rPr>
        <w:t xml:space="preserve"> che tutti i suoli siano sani entro il 2050. La valutazione tiene conto, tra l'altro, dei seguenti elementi:</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186]</w:t>
      </w:r>
    </w:p>
    <w:p w14:paraId="0BE627DB" w14:textId="2B061A6C"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l'esperienza acquisita con l'attuazione della presente direttiva;</w:t>
      </w:r>
    </w:p>
    <w:p w14:paraId="1793B31C" w14:textId="24305E3A" w:rsidR="00FF3D47" w:rsidRPr="00FF3D47" w:rsidRDefault="00FF3D47" w:rsidP="00FF3D47">
      <w:pPr>
        <w:spacing w:before="120" w:after="120" w:line="360" w:lineRule="auto"/>
        <w:ind w:left="1416" w:hanging="566"/>
        <w:rPr>
          <w:szCs w:val="24"/>
          <w:lang w:eastAsia="en-US"/>
        </w:rPr>
      </w:pPr>
      <w:r w:rsidRPr="00FF3D47">
        <w:rPr>
          <w:szCs w:val="24"/>
          <w:lang w:eastAsia="en-US"/>
        </w:rPr>
        <w:t>b)</w:t>
      </w:r>
      <w:r w:rsidRPr="00FF3D47">
        <w:rPr>
          <w:szCs w:val="24"/>
          <w:lang w:eastAsia="en-US"/>
        </w:rPr>
        <w:tab/>
        <w:t>i dati e le informazioni di cui all'articolo 18;</w:t>
      </w:r>
    </w:p>
    <w:p w14:paraId="184AF5A4" w14:textId="6E9BAB5D" w:rsidR="00FF3D47" w:rsidRPr="00FF3D47" w:rsidRDefault="00FF3D47" w:rsidP="00FF3D47">
      <w:pPr>
        <w:spacing w:before="120" w:after="120" w:line="360" w:lineRule="auto"/>
        <w:ind w:left="1416" w:hanging="566"/>
        <w:rPr>
          <w:szCs w:val="24"/>
          <w:lang w:eastAsia="en-US"/>
        </w:rPr>
      </w:pPr>
      <w:r w:rsidRPr="00FF3D47">
        <w:rPr>
          <w:szCs w:val="24"/>
          <w:lang w:eastAsia="en-US"/>
        </w:rPr>
        <w:t>c)</w:t>
      </w:r>
      <w:r w:rsidRPr="00FF3D47">
        <w:rPr>
          <w:szCs w:val="24"/>
          <w:lang w:eastAsia="en-US"/>
        </w:rPr>
        <w:tab/>
        <w:t>i dati scientifici e analitici pertinenti, compresi i risultati di progetti di ricerca finanziati dall'Unione</w:t>
      </w:r>
      <w:r w:rsidRPr="00FF3D47">
        <w:rPr>
          <w:b/>
          <w:i/>
          <w:szCs w:val="24"/>
          <w:lang w:eastAsia="en-US"/>
        </w:rPr>
        <w:t xml:space="preserve"> e dagli Stati membri</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187]</w:t>
      </w:r>
    </w:p>
    <w:p w14:paraId="0EBE5E76" w14:textId="6509F5E2" w:rsidR="00FF3D47" w:rsidRPr="00FF3D47" w:rsidRDefault="00FF3D47" w:rsidP="00FF3D47">
      <w:pPr>
        <w:spacing w:before="120" w:after="120" w:line="360" w:lineRule="auto"/>
        <w:ind w:left="1416" w:hanging="566"/>
        <w:rPr>
          <w:szCs w:val="24"/>
          <w:lang w:eastAsia="en-US"/>
        </w:rPr>
      </w:pPr>
      <w:r w:rsidRPr="00FF3D47">
        <w:rPr>
          <w:szCs w:val="24"/>
          <w:lang w:eastAsia="en-US"/>
        </w:rPr>
        <w:t>d)</w:t>
      </w:r>
      <w:r w:rsidRPr="00FF3D47">
        <w:rPr>
          <w:szCs w:val="24"/>
          <w:lang w:eastAsia="en-US"/>
        </w:rPr>
        <w:tab/>
        <w:t>l'analisi della distanza dall'obiettivo di suoli sani entro il 2050</w:t>
      </w:r>
      <w:r w:rsidRPr="00FF3D47">
        <w:rPr>
          <w:b/>
          <w:i/>
          <w:szCs w:val="24"/>
          <w:lang w:eastAsia="en-US"/>
        </w:rPr>
        <w:t xml:space="preserve"> e delle misure necessarie per raggiungerlo</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188]</w:t>
      </w:r>
    </w:p>
    <w:p w14:paraId="559CBF07" w14:textId="77777777" w:rsidR="00AF1F08" w:rsidRDefault="00AF1F08" w:rsidP="00FF3D47">
      <w:pPr>
        <w:spacing w:before="120" w:after="120" w:line="360" w:lineRule="auto"/>
        <w:ind w:left="1416" w:hanging="566"/>
        <w:rPr>
          <w:szCs w:val="24"/>
          <w:lang w:eastAsia="en-US"/>
        </w:rPr>
      </w:pPr>
      <w:r>
        <w:rPr>
          <w:szCs w:val="24"/>
          <w:lang w:eastAsia="en-US"/>
        </w:rPr>
        <w:br w:type="page"/>
      </w:r>
    </w:p>
    <w:p w14:paraId="383A8C17" w14:textId="24791EBB" w:rsidR="00FF3D47" w:rsidRPr="00FF3D47" w:rsidRDefault="00FF3D47" w:rsidP="00FF3D47">
      <w:pPr>
        <w:spacing w:before="120" w:after="120" w:line="360" w:lineRule="auto"/>
        <w:ind w:left="1416" w:hanging="566"/>
        <w:rPr>
          <w:szCs w:val="24"/>
          <w:lang w:eastAsia="en-US"/>
        </w:rPr>
      </w:pPr>
      <w:r w:rsidRPr="00FF3D47">
        <w:rPr>
          <w:szCs w:val="24"/>
          <w:lang w:eastAsia="en-US"/>
        </w:rPr>
        <w:lastRenderedPageBreak/>
        <w:t>e)</w:t>
      </w:r>
      <w:r w:rsidRPr="00FF3D47">
        <w:rPr>
          <w:szCs w:val="24"/>
          <w:lang w:eastAsia="en-US"/>
        </w:rPr>
        <w:tab/>
        <w:t>l'analisi dell'eventuale necessità di adeguare le disposizioni della presente direttiva al progresso scientifico e tecnico, in particolare per quanto riguarda:</w:t>
      </w:r>
    </w:p>
    <w:p w14:paraId="391D232D" w14:textId="77777777" w:rsidR="00FF3D47" w:rsidRPr="00FF3D47" w:rsidRDefault="00FF3D47" w:rsidP="00FF3D47">
      <w:pPr>
        <w:spacing w:before="120" w:after="120" w:line="360" w:lineRule="auto"/>
        <w:ind w:left="1982" w:hanging="566"/>
        <w:rPr>
          <w:szCs w:val="24"/>
          <w:lang w:eastAsia="en-US"/>
        </w:rPr>
      </w:pPr>
      <w:r w:rsidRPr="00FF3D47">
        <w:rPr>
          <w:szCs w:val="24"/>
          <w:lang w:eastAsia="en-US"/>
        </w:rPr>
        <w:t>i)</w:t>
      </w:r>
      <w:r w:rsidRPr="00FF3D47">
        <w:rPr>
          <w:szCs w:val="24"/>
          <w:lang w:eastAsia="en-US"/>
        </w:rPr>
        <w:tab/>
        <w:t>la definizione di suoli sani;</w:t>
      </w:r>
    </w:p>
    <w:p w14:paraId="2DDB4081" w14:textId="77777777" w:rsidR="00FF3D47" w:rsidRPr="00FF3D47" w:rsidRDefault="00FF3D47" w:rsidP="00FF3D47">
      <w:pPr>
        <w:spacing w:before="120" w:after="120" w:line="360" w:lineRule="auto"/>
        <w:ind w:left="1982" w:hanging="566"/>
        <w:rPr>
          <w:szCs w:val="24"/>
          <w:lang w:eastAsia="en-US"/>
        </w:rPr>
      </w:pPr>
      <w:r w:rsidRPr="00FF3D47">
        <w:rPr>
          <w:szCs w:val="24"/>
          <w:lang w:eastAsia="en-US"/>
        </w:rPr>
        <w:t>ii)</w:t>
      </w:r>
      <w:r w:rsidRPr="00FF3D47">
        <w:rPr>
          <w:szCs w:val="24"/>
          <w:lang w:eastAsia="en-US"/>
        </w:rPr>
        <w:tab/>
        <w:t>la definizione di criteri per i descrittori del suolo elencati nell'allegato I</w:t>
      </w:r>
      <w:r w:rsidRPr="00FF3D47">
        <w:rPr>
          <w:strike/>
          <w:szCs w:val="24"/>
          <w:lang w:eastAsia="en-US"/>
        </w:rPr>
        <w:t xml:space="preserve">, parte </w:t>
      </w:r>
      <w:proofErr w:type="gramStart"/>
      <w:r w:rsidRPr="00FF3D47">
        <w:rPr>
          <w:strike/>
          <w:szCs w:val="24"/>
          <w:lang w:eastAsia="en-US"/>
        </w:rPr>
        <w:t>C;</w:t>
      </w:r>
      <w:r w:rsidRPr="00FF3D47">
        <w:rPr>
          <w:b/>
          <w:i/>
          <w:szCs w:val="24"/>
          <w:lang w:eastAsia="en-US"/>
        </w:rPr>
        <w:t>;</w:t>
      </w:r>
      <w:proofErr w:type="gramEnd"/>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189]</w:t>
      </w:r>
    </w:p>
    <w:p w14:paraId="4F464F75" w14:textId="77777777" w:rsidR="00FF3D47" w:rsidRPr="00FF3D47" w:rsidRDefault="00FF3D47" w:rsidP="00FF3D47">
      <w:pPr>
        <w:spacing w:before="120" w:after="120" w:line="360" w:lineRule="auto"/>
        <w:ind w:left="1982" w:hanging="566"/>
        <w:rPr>
          <w:szCs w:val="24"/>
          <w:lang w:eastAsia="en-US"/>
        </w:rPr>
      </w:pPr>
      <w:r w:rsidRPr="00FF3D47">
        <w:rPr>
          <w:szCs w:val="24"/>
          <w:lang w:eastAsia="en-US"/>
        </w:rPr>
        <w:t>iii)</w:t>
      </w:r>
      <w:r w:rsidRPr="00FF3D47">
        <w:rPr>
          <w:szCs w:val="24"/>
          <w:lang w:eastAsia="en-US"/>
        </w:rPr>
        <w:tab/>
        <w:t>l'aggiunta di nuovi descrittori del suolo ai fini del monitoraggio</w:t>
      </w:r>
      <w:r w:rsidRPr="00FF3D47">
        <w:rPr>
          <w:b/>
          <w:i/>
          <w:szCs w:val="24"/>
          <w:lang w:eastAsia="en-US"/>
        </w:rPr>
        <w:t xml:space="preserve"> o l'adeguamento dei descrittori del suolo e dei criteri esistenti di cui all'allegato I; [</w:t>
      </w:r>
      <w:proofErr w:type="spellStart"/>
      <w:r w:rsidRPr="00FF3D47">
        <w:rPr>
          <w:b/>
          <w:i/>
          <w:szCs w:val="24"/>
          <w:lang w:eastAsia="en-US"/>
        </w:rPr>
        <w:t>Em</w:t>
      </w:r>
      <w:proofErr w:type="spellEnd"/>
      <w:r w:rsidRPr="00FF3D47">
        <w:rPr>
          <w:szCs w:val="24"/>
          <w:lang w:eastAsia="en-US"/>
        </w:rPr>
        <w:t>.</w:t>
      </w:r>
      <w:r w:rsidRPr="00FF3D47">
        <w:rPr>
          <w:b/>
          <w:i/>
          <w:szCs w:val="24"/>
          <w:lang w:eastAsia="en-US"/>
        </w:rPr>
        <w:t xml:space="preserve"> 190]</w:t>
      </w:r>
    </w:p>
    <w:p w14:paraId="576316FE" w14:textId="6DA6397D" w:rsidR="00FF3D47" w:rsidRPr="00FF3D47" w:rsidRDefault="00FF3D47" w:rsidP="00FF3D47">
      <w:pPr>
        <w:spacing w:before="120" w:after="120" w:line="360" w:lineRule="auto"/>
        <w:ind w:left="1416" w:hanging="566"/>
        <w:rPr>
          <w:szCs w:val="24"/>
          <w:lang w:eastAsia="en-US"/>
        </w:rPr>
      </w:pPr>
      <w:r w:rsidRPr="00FF3D47">
        <w:rPr>
          <w:b/>
          <w:i/>
          <w:szCs w:val="24"/>
          <w:lang w:eastAsia="en-US"/>
        </w:rPr>
        <w:t>e</w:t>
      </w:r>
      <w:r w:rsidR="00AF1F08">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l'analisi dei modelli di monitoraggio previsti e dei valori soglia stabiliti dagli Stati membri a norma della presente direttiva; [</w:t>
      </w:r>
      <w:proofErr w:type="spellStart"/>
      <w:r w:rsidRPr="00FF3D47">
        <w:rPr>
          <w:b/>
          <w:i/>
          <w:szCs w:val="24"/>
          <w:lang w:eastAsia="en-US"/>
        </w:rPr>
        <w:t>Em</w:t>
      </w:r>
      <w:proofErr w:type="spellEnd"/>
      <w:r w:rsidRPr="00FF3D47">
        <w:rPr>
          <w:b/>
          <w:i/>
          <w:szCs w:val="24"/>
          <w:lang w:eastAsia="en-US"/>
        </w:rPr>
        <w:t>. 191]</w:t>
      </w:r>
    </w:p>
    <w:p w14:paraId="0F75DFCC" w14:textId="4FE08AE6" w:rsidR="00FF3D47" w:rsidRPr="00FF3D47" w:rsidRDefault="00FF3D47" w:rsidP="00FF3D47">
      <w:pPr>
        <w:spacing w:before="120" w:after="120" w:line="360" w:lineRule="auto"/>
        <w:ind w:left="1416" w:hanging="566"/>
        <w:rPr>
          <w:szCs w:val="24"/>
          <w:lang w:eastAsia="en-US"/>
        </w:rPr>
      </w:pPr>
      <w:r w:rsidRPr="00FF3D47">
        <w:rPr>
          <w:b/>
          <w:i/>
          <w:szCs w:val="24"/>
          <w:lang w:eastAsia="en-US"/>
        </w:rPr>
        <w:t>e</w:t>
      </w:r>
      <w:r w:rsidR="00AF1F08">
        <w:rPr>
          <w:b/>
          <w:i/>
          <w:szCs w:val="24"/>
          <w:lang w:eastAsia="en-US"/>
        </w:rPr>
        <w:t xml:space="preserve"> ter</w:t>
      </w:r>
      <w:r w:rsidRPr="00FF3D47">
        <w:rPr>
          <w:b/>
          <w:i/>
          <w:szCs w:val="24"/>
          <w:lang w:eastAsia="en-US"/>
        </w:rPr>
        <w:t>)</w:t>
      </w:r>
      <w:r w:rsidRPr="00FF3D47">
        <w:rPr>
          <w:szCs w:val="24"/>
          <w:lang w:eastAsia="en-US"/>
        </w:rPr>
        <w:tab/>
      </w:r>
      <w:r w:rsidRPr="00FF3D47">
        <w:rPr>
          <w:b/>
          <w:i/>
          <w:szCs w:val="24"/>
          <w:lang w:eastAsia="en-US"/>
        </w:rPr>
        <w:t>l'impatto socioeconomico della presente direttiva. [</w:t>
      </w:r>
      <w:proofErr w:type="spellStart"/>
      <w:r w:rsidRPr="00FF3D47">
        <w:rPr>
          <w:b/>
          <w:i/>
          <w:szCs w:val="24"/>
          <w:lang w:eastAsia="en-US"/>
        </w:rPr>
        <w:t>Em</w:t>
      </w:r>
      <w:proofErr w:type="spellEnd"/>
      <w:r w:rsidRPr="00FF3D47">
        <w:rPr>
          <w:b/>
          <w:i/>
          <w:szCs w:val="24"/>
          <w:lang w:eastAsia="en-US"/>
        </w:rPr>
        <w:t>. 192]</w:t>
      </w:r>
    </w:p>
    <w:p w14:paraId="38176090"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La Commissione presenta al Parlamento europeo, al Consiglio, al Comitato economico e sociale europeo e al Comitato delle regioni una relazione sui principali risultati della valutazione di cui al paragrafo 1</w:t>
      </w:r>
      <w:r w:rsidRPr="00FF3D47">
        <w:rPr>
          <w:b/>
          <w:i/>
          <w:szCs w:val="24"/>
          <w:lang w:eastAsia="en-US"/>
        </w:rPr>
        <w:t>, accompagnata se del caso da una proposta legislativa</w:t>
      </w:r>
      <w:r w:rsidRPr="00FF3D47">
        <w:rPr>
          <w:szCs w:val="24"/>
          <w:lang w:eastAsia="en-US"/>
        </w:rPr>
        <w:t>.</w:t>
      </w:r>
      <w:r w:rsidRPr="00FF3D47">
        <w:rPr>
          <w:b/>
          <w:i/>
          <w:szCs w:val="24"/>
          <w:lang w:eastAsia="en-US"/>
        </w:rPr>
        <w:t xml:space="preserve"> [</w:t>
      </w:r>
      <w:proofErr w:type="spellStart"/>
      <w:r w:rsidRPr="00FF3D47">
        <w:rPr>
          <w:b/>
          <w:i/>
          <w:szCs w:val="24"/>
          <w:lang w:eastAsia="en-US"/>
        </w:rPr>
        <w:t>Em</w:t>
      </w:r>
      <w:proofErr w:type="spellEnd"/>
      <w:r w:rsidRPr="00FF3D47">
        <w:rPr>
          <w:b/>
          <w:i/>
          <w:szCs w:val="24"/>
          <w:lang w:eastAsia="en-US"/>
        </w:rPr>
        <w:t>. 193]</w:t>
      </w:r>
    </w:p>
    <w:p w14:paraId="0F556485" w14:textId="77777777" w:rsidR="00AF1F08" w:rsidRDefault="00AF1F08" w:rsidP="00FF3D47">
      <w:pPr>
        <w:spacing w:before="120" w:after="120" w:line="360" w:lineRule="auto"/>
        <w:ind w:left="850" w:hanging="850"/>
        <w:rPr>
          <w:b/>
          <w:i/>
          <w:szCs w:val="24"/>
          <w:lang w:eastAsia="en-US"/>
        </w:rPr>
      </w:pPr>
      <w:r>
        <w:rPr>
          <w:b/>
          <w:i/>
          <w:szCs w:val="24"/>
          <w:lang w:eastAsia="en-US"/>
        </w:rPr>
        <w:br w:type="page"/>
      </w:r>
    </w:p>
    <w:p w14:paraId="73E04AC7" w14:textId="2F31AE37" w:rsidR="00FF3D47" w:rsidRPr="00FF3D47" w:rsidRDefault="00FF3D47" w:rsidP="00FF3D47">
      <w:pPr>
        <w:spacing w:before="120" w:after="120" w:line="360" w:lineRule="auto"/>
        <w:ind w:left="850" w:hanging="850"/>
        <w:rPr>
          <w:szCs w:val="24"/>
          <w:lang w:eastAsia="en-US"/>
        </w:rPr>
      </w:pPr>
      <w:r w:rsidRPr="00FF3D47">
        <w:rPr>
          <w:b/>
          <w:i/>
          <w:szCs w:val="24"/>
          <w:lang w:eastAsia="en-US"/>
        </w:rPr>
        <w:lastRenderedPageBreak/>
        <w:t>2</w:t>
      </w:r>
      <w:r w:rsidR="00AF1F08">
        <w:rPr>
          <w:b/>
          <w:i/>
          <w:szCs w:val="24"/>
          <w:lang w:eastAsia="en-US"/>
        </w:rPr>
        <w:t xml:space="preserve"> bis</w:t>
      </w:r>
      <w:r w:rsidRPr="00FF3D47">
        <w:rPr>
          <w:b/>
          <w:i/>
          <w:szCs w:val="24"/>
          <w:lang w:eastAsia="en-US"/>
        </w:rPr>
        <w:t>.</w:t>
      </w:r>
      <w:r w:rsidRPr="00FF3D47">
        <w:rPr>
          <w:szCs w:val="24"/>
          <w:lang w:eastAsia="en-US"/>
        </w:rPr>
        <w:tab/>
      </w:r>
      <w:r w:rsidRPr="00FF3D47">
        <w:rPr>
          <w:b/>
          <w:i/>
          <w:szCs w:val="24"/>
          <w:lang w:eastAsia="en-US"/>
        </w:rPr>
        <w:t>A partire dal ... [OP: inserire la data corrispondente a 8 anni dopo la data di entrata in vigore della direttiva], e successivamente ogni cinque anni, la Commissione riferisce al Parlamento europeo e al Consiglio in merito all'attuazione della presente direttiva, comprese le misure necessarie adottate dagli Stati membri per conformarsi alla presente direttiva. La relazione comprende una valutazione generale dei progressi compiuti per conseguire l'obiettivo di suoli sani. [</w:t>
      </w:r>
      <w:proofErr w:type="spellStart"/>
      <w:r w:rsidRPr="00FF3D47">
        <w:rPr>
          <w:b/>
          <w:i/>
          <w:szCs w:val="24"/>
          <w:lang w:eastAsia="en-US"/>
        </w:rPr>
        <w:t>Em</w:t>
      </w:r>
      <w:proofErr w:type="spellEnd"/>
      <w:r w:rsidRPr="00FF3D47">
        <w:rPr>
          <w:b/>
          <w:i/>
          <w:szCs w:val="24"/>
          <w:lang w:eastAsia="en-US"/>
        </w:rPr>
        <w:t>.</w:t>
      </w:r>
      <w:r w:rsidR="00AF1F08">
        <w:rPr>
          <w:b/>
          <w:i/>
          <w:szCs w:val="24"/>
          <w:lang w:eastAsia="en-US"/>
        </w:rPr>
        <w:t xml:space="preserve"> </w:t>
      </w:r>
      <w:r w:rsidRPr="00FF3D47">
        <w:rPr>
          <w:b/>
          <w:i/>
          <w:szCs w:val="24"/>
          <w:lang w:eastAsia="en-US"/>
        </w:rPr>
        <w:t>194]</w:t>
      </w:r>
    </w:p>
    <w:p w14:paraId="7EA1A5A8" w14:textId="655E2CC2" w:rsidR="00FF3D47" w:rsidRPr="00FF3D47" w:rsidRDefault="00FF3D47" w:rsidP="00FF3D47">
      <w:pPr>
        <w:spacing w:before="120" w:after="120" w:line="360" w:lineRule="auto"/>
        <w:ind w:left="850" w:hanging="850"/>
        <w:rPr>
          <w:szCs w:val="24"/>
          <w:lang w:eastAsia="en-US"/>
        </w:rPr>
      </w:pPr>
      <w:r w:rsidRPr="00FF3D47">
        <w:rPr>
          <w:b/>
          <w:i/>
          <w:szCs w:val="24"/>
          <w:lang w:eastAsia="en-US"/>
        </w:rPr>
        <w:t>2</w:t>
      </w:r>
      <w:r w:rsidR="00AF1F08">
        <w:rPr>
          <w:b/>
          <w:i/>
          <w:szCs w:val="24"/>
          <w:lang w:eastAsia="en-US"/>
        </w:rPr>
        <w:t xml:space="preserve"> ter</w:t>
      </w:r>
      <w:r w:rsidRPr="00FF3D47">
        <w:rPr>
          <w:b/>
          <w:i/>
          <w:szCs w:val="24"/>
          <w:lang w:eastAsia="en-US"/>
        </w:rPr>
        <w:t>.</w:t>
      </w:r>
      <w:r w:rsidRPr="00FF3D47">
        <w:rPr>
          <w:szCs w:val="24"/>
          <w:lang w:eastAsia="en-US"/>
        </w:rPr>
        <w:tab/>
      </w:r>
      <w:r w:rsidRPr="00FF3D47">
        <w:rPr>
          <w:b/>
          <w:i/>
          <w:szCs w:val="24"/>
          <w:lang w:eastAsia="en-US"/>
        </w:rPr>
        <w:t>Entro il ... [OP: inserire la data corrispondente a 6 anni dalla data di entrata in vigore della direttiva], la Commissione esamina, nell'ambito della valutazione di cui al paragrafo 1, le informazioni raccolte negli Stati membri per quanto riguarda la presenza, la dispersione e i valori dei contaminanti del suolo al fine di definire un elenco di sostanze prioritarie, seguito se del caso da un elenco di controllo sui contaminanti del suolo. [</w:t>
      </w:r>
      <w:proofErr w:type="spellStart"/>
      <w:r w:rsidRPr="00FF3D47">
        <w:rPr>
          <w:b/>
          <w:i/>
          <w:szCs w:val="24"/>
          <w:lang w:eastAsia="en-US"/>
        </w:rPr>
        <w:t>Em</w:t>
      </w:r>
      <w:proofErr w:type="spellEnd"/>
      <w:r w:rsidRPr="00FF3D47">
        <w:rPr>
          <w:b/>
          <w:i/>
          <w:szCs w:val="24"/>
          <w:lang w:eastAsia="en-US"/>
        </w:rPr>
        <w:t>. 195]</w:t>
      </w:r>
    </w:p>
    <w:p w14:paraId="7AFE98B5" w14:textId="77777777" w:rsidR="00AF1F08" w:rsidRDefault="00AF1F08" w:rsidP="00FF3D47">
      <w:pPr>
        <w:spacing w:before="120" w:after="120" w:line="360" w:lineRule="auto"/>
        <w:jc w:val="center"/>
        <w:rPr>
          <w:b/>
          <w:i/>
          <w:szCs w:val="24"/>
          <w:lang w:eastAsia="en-US"/>
        </w:rPr>
      </w:pPr>
      <w:r>
        <w:rPr>
          <w:b/>
          <w:i/>
          <w:szCs w:val="24"/>
          <w:lang w:eastAsia="en-US"/>
        </w:rPr>
        <w:br w:type="page"/>
      </w:r>
    </w:p>
    <w:p w14:paraId="1A5D177E" w14:textId="06B21D64" w:rsidR="00FF3D47" w:rsidRPr="00FF3D47" w:rsidRDefault="00FF3D47" w:rsidP="00FF3D47">
      <w:pPr>
        <w:spacing w:before="120" w:after="120" w:line="360" w:lineRule="auto"/>
        <w:jc w:val="center"/>
        <w:rPr>
          <w:szCs w:val="24"/>
          <w:lang w:eastAsia="en-US"/>
        </w:rPr>
      </w:pPr>
      <w:r w:rsidRPr="00FF3D47">
        <w:rPr>
          <w:b/>
          <w:i/>
          <w:szCs w:val="24"/>
          <w:lang w:eastAsia="en-US"/>
        </w:rPr>
        <w:lastRenderedPageBreak/>
        <w:t>Articolo 24</w:t>
      </w:r>
      <w:r w:rsidR="00AF1F08">
        <w:rPr>
          <w:b/>
          <w:i/>
          <w:szCs w:val="24"/>
          <w:lang w:eastAsia="en-US"/>
        </w:rPr>
        <w:t xml:space="preserve"> bis</w:t>
      </w:r>
      <w:r w:rsidRPr="00FF3D47">
        <w:rPr>
          <w:szCs w:val="24"/>
          <w:lang w:eastAsia="en-US"/>
        </w:rPr>
        <w:br/>
      </w:r>
      <w:r w:rsidRPr="00FF3D47">
        <w:rPr>
          <w:b/>
          <w:i/>
          <w:szCs w:val="24"/>
          <w:lang w:eastAsia="en-US"/>
        </w:rPr>
        <w:t>Forum dell'Osservatorio del suolo dell'Unione europea (EUSO)</w:t>
      </w:r>
    </w:p>
    <w:p w14:paraId="005B0130" w14:textId="77777777" w:rsidR="00FF3D47" w:rsidRPr="00FF3D47" w:rsidRDefault="00FF3D47" w:rsidP="00FF3D47">
      <w:pPr>
        <w:spacing w:before="120" w:after="120" w:line="360" w:lineRule="auto"/>
        <w:rPr>
          <w:szCs w:val="24"/>
          <w:lang w:eastAsia="en-US"/>
        </w:rPr>
      </w:pPr>
      <w:r w:rsidRPr="00FF3D47">
        <w:rPr>
          <w:b/>
          <w:i/>
          <w:szCs w:val="24"/>
          <w:lang w:eastAsia="en-US"/>
        </w:rPr>
        <w:t>La Commissione, attraverso il forum dell'EUSO, agevola la collaborazione periodica tra i portatori di interessi, comprese le autorità competenti degli Stati membri a tutti i livelli pertinenti, l'industria, la società civile e la comunità scientifica. Il forum dell'EUSO agevola l'attuazione coordinata del diritto e delle politiche dell'Unione in materia di monitoraggio e miglioramento della salute del suolo, tra l'altro mediante lo scambio di esperienze e buone pratiche, anche per quanto riguarda la gestione sostenibile del suolo e le pratiche di rigenerazione, nonché lo scambio di esperienze sulle pratiche di gestione del suolo da evitare. [</w:t>
      </w:r>
      <w:proofErr w:type="spellStart"/>
      <w:r w:rsidRPr="00FF3D47">
        <w:rPr>
          <w:b/>
          <w:i/>
          <w:szCs w:val="24"/>
          <w:lang w:eastAsia="en-US"/>
        </w:rPr>
        <w:t>Em</w:t>
      </w:r>
      <w:proofErr w:type="spellEnd"/>
      <w:r w:rsidRPr="00FF3D47">
        <w:rPr>
          <w:b/>
          <w:i/>
          <w:szCs w:val="24"/>
          <w:lang w:eastAsia="en-US"/>
        </w:rPr>
        <w:t>. 196]</w:t>
      </w:r>
    </w:p>
    <w:p w14:paraId="7CDED075" w14:textId="77777777" w:rsidR="00AF1F08" w:rsidRDefault="00AF1F08" w:rsidP="00FF3D47">
      <w:pPr>
        <w:spacing w:before="120" w:after="120" w:line="360" w:lineRule="auto"/>
        <w:jc w:val="center"/>
        <w:rPr>
          <w:szCs w:val="24"/>
          <w:lang w:eastAsia="en-US"/>
        </w:rPr>
      </w:pPr>
      <w:r>
        <w:rPr>
          <w:szCs w:val="24"/>
          <w:lang w:eastAsia="en-US"/>
        </w:rPr>
        <w:br w:type="page"/>
      </w:r>
    </w:p>
    <w:p w14:paraId="3E493BB2" w14:textId="7519E122"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25</w:t>
      </w:r>
      <w:r w:rsidRPr="00FF3D47">
        <w:rPr>
          <w:szCs w:val="24"/>
          <w:lang w:eastAsia="en-US"/>
        </w:rPr>
        <w:br/>
        <w:t>Recepimento</w:t>
      </w:r>
    </w:p>
    <w:p w14:paraId="1A83EA6B"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Gli Stati membri mettono in vigore le disposizioni legislative, regolamentari e amministrative necessarie per conformarsi alla presente direttiva entro il (OP: inserire la data corrispondente a 2 anni dopo la data di entrata in vigore della direttiva). Essi comunicano immediatamente alla Commissione il testo di tali disposizioni.</w:t>
      </w:r>
    </w:p>
    <w:p w14:paraId="51C4C910" w14:textId="77777777" w:rsidR="00FF3D47" w:rsidRPr="00FF3D47" w:rsidRDefault="00FF3D47" w:rsidP="00FF3D47">
      <w:pPr>
        <w:spacing w:before="120" w:after="120" w:line="360" w:lineRule="auto"/>
        <w:ind w:left="850"/>
        <w:rPr>
          <w:szCs w:val="24"/>
          <w:lang w:eastAsia="en-US"/>
        </w:rPr>
      </w:pPr>
      <w:r w:rsidRPr="00FF3D47">
        <w:rPr>
          <w:szCs w:val="24"/>
          <w:lang w:eastAsia="en-US"/>
        </w:rPr>
        <w:t>Le disposizioni adottate dagli Stati membri contengono un riferimento alla presente direttiva o sono corredate di tale riferimento all'atto della pubblicazione ufficiale. Le modalità del riferimento sono stabilite dagli Stati membri.</w:t>
      </w:r>
    </w:p>
    <w:p w14:paraId="05623B84"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Gli Stati membri comunicano alla Commissione il testo delle disposizioni fondamentali di diritto interno che adottano nel settore disciplinato dalla presente direttiva.</w:t>
      </w:r>
    </w:p>
    <w:p w14:paraId="176C5359" w14:textId="77777777" w:rsidR="00AF1F08" w:rsidRDefault="00AF1F08" w:rsidP="00FF3D47">
      <w:pPr>
        <w:spacing w:before="120" w:after="120" w:line="360" w:lineRule="auto"/>
        <w:jc w:val="center"/>
        <w:rPr>
          <w:szCs w:val="24"/>
          <w:lang w:eastAsia="en-US"/>
        </w:rPr>
      </w:pPr>
      <w:r>
        <w:rPr>
          <w:szCs w:val="24"/>
          <w:lang w:eastAsia="en-US"/>
        </w:rPr>
        <w:br w:type="page"/>
      </w:r>
    </w:p>
    <w:p w14:paraId="2491DC1F" w14:textId="34B4CEBF" w:rsidR="00FF3D47" w:rsidRPr="00FF3D47" w:rsidRDefault="00FF3D47" w:rsidP="00FF3D47">
      <w:pPr>
        <w:spacing w:before="120" w:after="120" w:line="360" w:lineRule="auto"/>
        <w:jc w:val="center"/>
        <w:rPr>
          <w:szCs w:val="24"/>
          <w:lang w:eastAsia="en-US"/>
        </w:rPr>
      </w:pPr>
      <w:r w:rsidRPr="00FF3D47">
        <w:rPr>
          <w:szCs w:val="24"/>
          <w:lang w:eastAsia="en-US"/>
        </w:rPr>
        <w:lastRenderedPageBreak/>
        <w:t>Articolo 26</w:t>
      </w:r>
      <w:r w:rsidRPr="00FF3D47">
        <w:rPr>
          <w:szCs w:val="24"/>
          <w:lang w:eastAsia="en-US"/>
        </w:rPr>
        <w:br/>
        <w:t>Entrata in vigore</w:t>
      </w:r>
    </w:p>
    <w:p w14:paraId="0AB64856" w14:textId="77777777" w:rsidR="00FF3D47" w:rsidRPr="00FF3D47" w:rsidRDefault="00FF3D47" w:rsidP="00FF3D47">
      <w:pPr>
        <w:spacing w:before="120" w:after="120" w:line="360" w:lineRule="auto"/>
        <w:rPr>
          <w:szCs w:val="24"/>
          <w:lang w:eastAsia="en-US"/>
        </w:rPr>
      </w:pPr>
      <w:r w:rsidRPr="00FF3D47">
        <w:rPr>
          <w:szCs w:val="24"/>
          <w:lang w:eastAsia="en-US"/>
        </w:rPr>
        <w:t xml:space="preserve">La presente direttiva entra in vigore il ventesimo giorno successivo alla pubblicazione nella </w:t>
      </w:r>
      <w:r w:rsidRPr="004E5FB6">
        <w:rPr>
          <w:i/>
          <w:szCs w:val="24"/>
          <w:lang w:eastAsia="en-US"/>
        </w:rPr>
        <w:t>Gazzetta ufficiale dell'Unione europea</w:t>
      </w:r>
      <w:r w:rsidRPr="00FF3D47">
        <w:rPr>
          <w:szCs w:val="24"/>
          <w:lang w:eastAsia="en-US"/>
        </w:rPr>
        <w:t>.</w:t>
      </w:r>
    </w:p>
    <w:p w14:paraId="0E01D221" w14:textId="77777777" w:rsidR="00FF3D47" w:rsidRPr="00FF3D47" w:rsidRDefault="00FF3D47" w:rsidP="00FF3D47">
      <w:pPr>
        <w:spacing w:before="120" w:after="120" w:line="360" w:lineRule="auto"/>
        <w:jc w:val="center"/>
        <w:rPr>
          <w:szCs w:val="24"/>
          <w:lang w:eastAsia="en-US"/>
        </w:rPr>
      </w:pPr>
      <w:r w:rsidRPr="00FF3D47">
        <w:rPr>
          <w:szCs w:val="24"/>
          <w:lang w:eastAsia="en-US"/>
        </w:rPr>
        <w:t>Articolo 27</w:t>
      </w:r>
      <w:r w:rsidRPr="00FF3D47">
        <w:rPr>
          <w:szCs w:val="24"/>
          <w:lang w:eastAsia="en-US"/>
        </w:rPr>
        <w:br/>
        <w:t>Destinatari</w:t>
      </w:r>
    </w:p>
    <w:p w14:paraId="76E6E904" w14:textId="77777777" w:rsidR="00FF3D47" w:rsidRPr="00FF3D47" w:rsidRDefault="00FF3D47" w:rsidP="00FF3D47">
      <w:pPr>
        <w:spacing w:before="120" w:after="120" w:line="360" w:lineRule="auto"/>
        <w:rPr>
          <w:szCs w:val="24"/>
          <w:lang w:eastAsia="en-US"/>
        </w:rPr>
      </w:pPr>
      <w:r w:rsidRPr="00FF3D47">
        <w:rPr>
          <w:szCs w:val="24"/>
          <w:lang w:eastAsia="en-US"/>
        </w:rPr>
        <w:t>Gli Stati membri sono destinatari della presente direttiva.</w:t>
      </w:r>
    </w:p>
    <w:p w14:paraId="13864507" w14:textId="63D2E6B6" w:rsidR="00FF3D47" w:rsidRPr="00FF3D47" w:rsidRDefault="00FF3D47" w:rsidP="00FF3D47">
      <w:pPr>
        <w:keepNext/>
        <w:widowControl/>
        <w:spacing w:before="120" w:line="360" w:lineRule="auto"/>
        <w:rPr>
          <w:szCs w:val="24"/>
          <w:lang w:eastAsia="en-US"/>
        </w:rPr>
      </w:pPr>
      <w:r w:rsidRPr="00FF3D47">
        <w:rPr>
          <w:szCs w:val="24"/>
          <w:lang w:eastAsia="en-US"/>
        </w:rPr>
        <w:t xml:space="preserve">Fatto a </w:t>
      </w:r>
      <w:r w:rsidR="004E5FB6">
        <w:rPr>
          <w:szCs w:val="24"/>
          <w:lang w:eastAsia="en-US"/>
        </w:rPr>
        <w:t>…</w:t>
      </w:r>
      <w:r w:rsidRPr="00FF3D47">
        <w:rPr>
          <w:szCs w:val="24"/>
          <w:lang w:eastAsia="en-US"/>
        </w:rPr>
        <w:t>, il</w:t>
      </w:r>
    </w:p>
    <w:p w14:paraId="2112D9B6" w14:textId="77777777" w:rsidR="00FF3D47" w:rsidRPr="00FF3D47" w:rsidRDefault="00FF3D47" w:rsidP="00FF3D47">
      <w:pPr>
        <w:keepNext/>
        <w:widowControl/>
        <w:tabs>
          <w:tab w:val="left" w:pos="4252"/>
        </w:tabs>
        <w:spacing w:before="720" w:after="100" w:line="360" w:lineRule="auto"/>
        <w:jc w:val="both"/>
        <w:rPr>
          <w:i/>
          <w:szCs w:val="24"/>
          <w:lang w:eastAsia="en-US"/>
        </w:rPr>
      </w:pPr>
      <w:r w:rsidRPr="00FF3D47">
        <w:rPr>
          <w:i/>
          <w:szCs w:val="24"/>
          <w:lang w:eastAsia="en-US"/>
        </w:rPr>
        <w:t>Per il Parlamento europeo</w:t>
      </w:r>
      <w:r w:rsidRPr="00FF3D47">
        <w:rPr>
          <w:i/>
          <w:szCs w:val="24"/>
          <w:lang w:eastAsia="en-US"/>
        </w:rPr>
        <w:tab/>
        <w:t>Per il Consiglio</w:t>
      </w:r>
    </w:p>
    <w:p w14:paraId="6B36EF7C" w14:textId="77777777" w:rsidR="00FF3D47" w:rsidRPr="00FF3D47" w:rsidRDefault="00FF3D47" w:rsidP="00FF3D47">
      <w:pPr>
        <w:widowControl/>
        <w:tabs>
          <w:tab w:val="left" w:pos="4252"/>
        </w:tabs>
        <w:spacing w:line="360" w:lineRule="auto"/>
        <w:rPr>
          <w:i/>
          <w:szCs w:val="24"/>
          <w:lang w:eastAsia="en-US"/>
        </w:rPr>
      </w:pPr>
      <w:proofErr w:type="gramStart"/>
      <w:r w:rsidRPr="00FF3D47">
        <w:rPr>
          <w:i/>
          <w:szCs w:val="24"/>
          <w:lang w:eastAsia="en-US"/>
        </w:rPr>
        <w:t>La presidente</w:t>
      </w:r>
      <w:proofErr w:type="gramEnd"/>
      <w:r w:rsidRPr="00FF3D47">
        <w:rPr>
          <w:i/>
          <w:szCs w:val="24"/>
          <w:lang w:eastAsia="en-US"/>
        </w:rPr>
        <w:tab/>
        <w:t>Il presidente</w:t>
      </w:r>
    </w:p>
    <w:p w14:paraId="358E561E" w14:textId="77777777" w:rsidR="00FF3D47" w:rsidRPr="00FF3D47" w:rsidRDefault="00FF3D47" w:rsidP="00FF3D47">
      <w:pPr>
        <w:spacing w:before="120" w:after="120" w:line="360" w:lineRule="auto"/>
        <w:rPr>
          <w:szCs w:val="24"/>
          <w:lang w:eastAsia="en-US"/>
        </w:rPr>
        <w:sectPr w:rsidR="00FF3D47" w:rsidRPr="00FF3D47">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0C25B6E5" w14:textId="50535D71" w:rsidR="008D196E" w:rsidRPr="008D196E" w:rsidRDefault="008D196E" w:rsidP="008D196E">
      <w:pPr>
        <w:widowControl/>
        <w:spacing w:before="120" w:after="120"/>
        <w:jc w:val="center"/>
        <w:rPr>
          <w:rFonts w:eastAsia="Calibri"/>
          <w:b/>
          <w:noProof/>
          <w:szCs w:val="22"/>
          <w:u w:val="single"/>
          <w:lang w:eastAsia="en-US"/>
        </w:rPr>
      </w:pPr>
      <w:r w:rsidRPr="008D196E">
        <w:rPr>
          <w:rFonts w:eastAsia="Calibri"/>
          <w:b/>
          <w:noProof/>
          <w:szCs w:val="22"/>
          <w:u w:val="single"/>
          <w:lang w:eastAsia="en-US"/>
        </w:rPr>
        <w:lastRenderedPageBreak/>
        <w:t xml:space="preserve">ALLEGATO I </w:t>
      </w:r>
      <w:r w:rsidRPr="008D196E">
        <w:rPr>
          <w:rFonts w:eastAsia="Calibri"/>
          <w:b/>
          <w:noProof/>
          <w:szCs w:val="22"/>
          <w:u w:val="single"/>
          <w:lang w:eastAsia="en-US"/>
        </w:rPr>
        <w:br/>
        <w:t xml:space="preserve">DESCRITTORI DEL SUOLO, CRITERI PER DETERMINARE LA SANITÀ DEL SUOLO E INDICATORI DEL CONSUMO DI SUOLO E DELL'IMPERMEABILIZZAZIONE DEL SUOLO </w:t>
      </w:r>
    </w:p>
    <w:p w14:paraId="1DE61E66" w14:textId="77777777" w:rsidR="008D196E" w:rsidRPr="008D196E" w:rsidRDefault="008D196E" w:rsidP="008D196E">
      <w:pPr>
        <w:widowControl/>
        <w:spacing w:before="120" w:after="120"/>
        <w:jc w:val="both"/>
        <w:rPr>
          <w:rFonts w:eastAsia="Calibri"/>
          <w:noProof/>
          <w:szCs w:val="22"/>
          <w:lang w:eastAsia="en-US"/>
        </w:rPr>
      </w:pPr>
      <w:r w:rsidRPr="008D196E">
        <w:rPr>
          <w:rFonts w:eastAsia="Calibri"/>
          <w:noProof/>
          <w:szCs w:val="22"/>
          <w:lang w:eastAsia="en-US"/>
        </w:rPr>
        <w:t>Ai fini del presente allegato si applicano le definizioni seguenti:</w:t>
      </w:r>
    </w:p>
    <w:p w14:paraId="2028F32B" w14:textId="77777777" w:rsidR="008D196E" w:rsidRPr="008D196E" w:rsidRDefault="008D196E" w:rsidP="008D196E">
      <w:pPr>
        <w:widowControl/>
        <w:numPr>
          <w:ilvl w:val="0"/>
          <w:numId w:val="47"/>
        </w:numPr>
        <w:spacing w:before="120" w:after="120"/>
        <w:jc w:val="both"/>
        <w:rPr>
          <w:rFonts w:eastAsia="Calibri"/>
          <w:noProof/>
          <w:szCs w:val="22"/>
          <w:lang w:eastAsia="en-US"/>
        </w:rPr>
      </w:pPr>
      <w:r w:rsidRPr="008D196E">
        <w:rPr>
          <w:rFonts w:eastAsia="Calibri"/>
          <w:noProof/>
          <w:szCs w:val="22"/>
          <w:lang w:eastAsia="en-US"/>
        </w:rPr>
        <w:t>"consumo inverso di suolo": la conversione di terreno artificiale in terreno naturale o seminaturale;</w:t>
      </w:r>
    </w:p>
    <w:p w14:paraId="5E05705E" w14:textId="77777777" w:rsidR="008D196E" w:rsidRPr="008D196E" w:rsidRDefault="008D196E" w:rsidP="008D196E">
      <w:pPr>
        <w:widowControl/>
        <w:numPr>
          <w:ilvl w:val="0"/>
          <w:numId w:val="46"/>
        </w:numPr>
        <w:spacing w:before="120" w:after="120"/>
        <w:jc w:val="both"/>
        <w:rPr>
          <w:rFonts w:eastAsia="Calibri"/>
          <w:noProof/>
          <w:szCs w:val="22"/>
          <w:lang w:eastAsia="en-US"/>
        </w:rPr>
      </w:pPr>
      <w:r w:rsidRPr="008D196E">
        <w:rPr>
          <w:rFonts w:eastAsia="Calibri"/>
          <w:noProof/>
          <w:szCs w:val="22"/>
          <w:lang w:eastAsia="en-US"/>
        </w:rPr>
        <w:t>"consumo netto di suolo": il risultato del consumo di suolo meno il consumo inverso di suolo.</w:t>
      </w:r>
    </w:p>
    <w:tbl>
      <w:tblPr>
        <w:tblStyle w:val="TableGrid1"/>
        <w:tblW w:w="9924" w:type="dxa"/>
        <w:tblInd w:w="-318" w:type="dxa"/>
        <w:tblLayout w:type="fixed"/>
        <w:tblLook w:val="04A0" w:firstRow="1" w:lastRow="0" w:firstColumn="1" w:lastColumn="0" w:noHBand="0" w:noVBand="1"/>
      </w:tblPr>
      <w:tblGrid>
        <w:gridCol w:w="1844"/>
        <w:gridCol w:w="1984"/>
        <w:gridCol w:w="3261"/>
        <w:gridCol w:w="2835"/>
      </w:tblGrid>
      <w:tr w:rsidR="008D196E" w:rsidRPr="00E8077D" w14:paraId="548649D1" w14:textId="77777777" w:rsidTr="008D196E">
        <w:tc>
          <w:tcPr>
            <w:tcW w:w="1844" w:type="dxa"/>
            <w:tcBorders>
              <w:top w:val="single" w:sz="4" w:space="0" w:color="auto"/>
              <w:left w:val="single" w:sz="4" w:space="0" w:color="auto"/>
              <w:bottom w:val="single" w:sz="4" w:space="0" w:color="auto"/>
              <w:right w:val="single" w:sz="4" w:space="0" w:color="auto"/>
            </w:tcBorders>
            <w:hideMark/>
          </w:tcPr>
          <w:p w14:paraId="11B4A563" w14:textId="77777777" w:rsidR="008D196E" w:rsidRPr="00E8077D" w:rsidRDefault="008D196E" w:rsidP="008D196E">
            <w:pPr>
              <w:spacing w:before="120" w:after="120"/>
              <w:rPr>
                <w:rFonts w:ascii="Times New Roman" w:hAnsi="Times New Roman" w:cs="Times New Roman"/>
                <w:b/>
                <w:bCs/>
                <w:strike/>
                <w:noProof/>
                <w:spacing w:val="-4"/>
              </w:rPr>
            </w:pPr>
            <w:r w:rsidRPr="00E8077D">
              <w:rPr>
                <w:rFonts w:ascii="Times New Roman" w:hAnsi="Times New Roman" w:cs="Times New Roman"/>
                <w:b/>
                <w:strike/>
                <w:noProof/>
                <w:spacing w:val="-4"/>
              </w:rPr>
              <w:t>Tipo di degrado del suolo</w:t>
            </w:r>
          </w:p>
        </w:tc>
        <w:tc>
          <w:tcPr>
            <w:tcW w:w="1984" w:type="dxa"/>
            <w:tcBorders>
              <w:top w:val="single" w:sz="4" w:space="0" w:color="auto"/>
              <w:left w:val="single" w:sz="4" w:space="0" w:color="auto"/>
              <w:bottom w:val="single" w:sz="4" w:space="0" w:color="auto"/>
              <w:right w:val="single" w:sz="4" w:space="0" w:color="auto"/>
            </w:tcBorders>
            <w:hideMark/>
          </w:tcPr>
          <w:p w14:paraId="5A397545" w14:textId="77777777" w:rsidR="008D196E" w:rsidRPr="00E8077D" w:rsidRDefault="008D196E" w:rsidP="008D196E">
            <w:pPr>
              <w:spacing w:before="120" w:after="120"/>
              <w:rPr>
                <w:rFonts w:ascii="Times New Roman" w:hAnsi="Times New Roman" w:cs="Times New Roman"/>
                <w:b/>
                <w:bCs/>
                <w:strike/>
                <w:noProof/>
                <w:spacing w:val="-4"/>
              </w:rPr>
            </w:pPr>
            <w:r w:rsidRPr="00E8077D">
              <w:rPr>
                <w:rFonts w:ascii="Times New Roman" w:hAnsi="Times New Roman" w:cs="Times New Roman"/>
                <w:b/>
                <w:strike/>
                <w:noProof/>
                <w:spacing w:val="-4"/>
              </w:rPr>
              <w:t>Descrittore del suolo</w:t>
            </w:r>
          </w:p>
        </w:tc>
        <w:tc>
          <w:tcPr>
            <w:tcW w:w="3261" w:type="dxa"/>
            <w:tcBorders>
              <w:top w:val="single" w:sz="4" w:space="0" w:color="auto"/>
              <w:left w:val="single" w:sz="4" w:space="0" w:color="auto"/>
              <w:bottom w:val="single" w:sz="4" w:space="0" w:color="auto"/>
              <w:right w:val="single" w:sz="4" w:space="0" w:color="auto"/>
            </w:tcBorders>
            <w:hideMark/>
          </w:tcPr>
          <w:p w14:paraId="6954BBA5" w14:textId="77777777" w:rsidR="008D196E" w:rsidRPr="00E8077D" w:rsidRDefault="008D196E" w:rsidP="008D196E">
            <w:pPr>
              <w:spacing w:before="120" w:after="120"/>
              <w:rPr>
                <w:rFonts w:ascii="Times New Roman" w:hAnsi="Times New Roman" w:cs="Times New Roman"/>
                <w:b/>
                <w:bCs/>
                <w:strike/>
                <w:noProof/>
                <w:spacing w:val="-4"/>
              </w:rPr>
            </w:pPr>
            <w:r w:rsidRPr="00E8077D">
              <w:rPr>
                <w:rFonts w:ascii="Times New Roman" w:hAnsi="Times New Roman" w:cs="Times New Roman"/>
                <w:b/>
                <w:strike/>
                <w:noProof/>
                <w:spacing w:val="-4"/>
              </w:rPr>
              <w:t xml:space="preserve">Criteri di sanità del suolo </w:t>
            </w:r>
          </w:p>
        </w:tc>
        <w:tc>
          <w:tcPr>
            <w:tcW w:w="2835" w:type="dxa"/>
            <w:tcBorders>
              <w:top w:val="single" w:sz="4" w:space="0" w:color="auto"/>
              <w:left w:val="single" w:sz="4" w:space="0" w:color="auto"/>
              <w:bottom w:val="single" w:sz="4" w:space="0" w:color="auto"/>
              <w:right w:val="single" w:sz="4" w:space="0" w:color="auto"/>
            </w:tcBorders>
            <w:hideMark/>
          </w:tcPr>
          <w:p w14:paraId="72AF9223" w14:textId="77777777" w:rsidR="008D196E" w:rsidRPr="00E8077D" w:rsidRDefault="008D196E" w:rsidP="008D196E">
            <w:pPr>
              <w:spacing w:before="120" w:after="120"/>
              <w:rPr>
                <w:rFonts w:ascii="Times New Roman" w:hAnsi="Times New Roman" w:cs="Times New Roman"/>
                <w:b/>
                <w:bCs/>
                <w:strike/>
                <w:noProof/>
                <w:spacing w:val="-4"/>
              </w:rPr>
            </w:pPr>
            <w:r w:rsidRPr="00E8077D">
              <w:rPr>
                <w:rFonts w:ascii="Times New Roman" w:hAnsi="Times New Roman" w:cs="Times New Roman"/>
                <w:b/>
                <w:strike/>
                <w:noProof/>
                <w:spacing w:val="-4"/>
              </w:rPr>
              <w:t>Terreni che devono essere esonerati dal rispetto del criterio</w:t>
            </w:r>
          </w:p>
        </w:tc>
      </w:tr>
      <w:tr w:rsidR="008D196E" w:rsidRPr="00E8077D" w14:paraId="00BE22F3" w14:textId="77777777" w:rsidTr="008D196E">
        <w:tc>
          <w:tcPr>
            <w:tcW w:w="9924" w:type="dxa"/>
            <w:gridSpan w:val="4"/>
            <w:tcBorders>
              <w:top w:val="single" w:sz="4" w:space="0" w:color="auto"/>
              <w:left w:val="single" w:sz="4" w:space="0" w:color="auto"/>
              <w:bottom w:val="single" w:sz="4" w:space="0" w:color="auto"/>
              <w:right w:val="single" w:sz="4" w:space="0" w:color="auto"/>
            </w:tcBorders>
          </w:tcPr>
          <w:p w14:paraId="3ECAAF91" w14:textId="77777777" w:rsidR="008D196E" w:rsidRPr="00E8077D" w:rsidRDefault="008D196E" w:rsidP="008D196E">
            <w:pPr>
              <w:spacing w:before="120" w:after="120"/>
              <w:rPr>
                <w:rFonts w:ascii="Times New Roman" w:hAnsi="Times New Roman" w:cs="Times New Roman"/>
                <w:b/>
                <w:i/>
                <w:strike/>
                <w:noProof/>
                <w:spacing w:val="-4"/>
              </w:rPr>
            </w:pPr>
            <w:r w:rsidRPr="00E8077D">
              <w:rPr>
                <w:rFonts w:ascii="Times New Roman" w:hAnsi="Times New Roman" w:cs="Times New Roman"/>
                <w:b/>
                <w:i/>
                <w:strike/>
                <w:noProof/>
                <w:spacing w:val="-4"/>
              </w:rPr>
              <w:t>Parte A: descrittori del suolo con criteri di sanità del suolo stabiliti a livello dell'Unione</w:t>
            </w:r>
          </w:p>
        </w:tc>
      </w:tr>
      <w:tr w:rsidR="008D196E" w:rsidRPr="00E8077D" w14:paraId="5C6301E7" w14:textId="77777777" w:rsidTr="008D196E">
        <w:tc>
          <w:tcPr>
            <w:tcW w:w="1844" w:type="dxa"/>
            <w:tcBorders>
              <w:top w:val="single" w:sz="4" w:space="0" w:color="auto"/>
              <w:left w:val="single" w:sz="4" w:space="0" w:color="auto"/>
              <w:bottom w:val="single" w:sz="4" w:space="0" w:color="auto"/>
              <w:right w:val="single" w:sz="4" w:space="0" w:color="auto"/>
            </w:tcBorders>
            <w:hideMark/>
          </w:tcPr>
          <w:p w14:paraId="194F6C84"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Salinizzazione</w:t>
            </w:r>
          </w:p>
        </w:tc>
        <w:tc>
          <w:tcPr>
            <w:tcW w:w="1984" w:type="dxa"/>
            <w:tcBorders>
              <w:top w:val="single" w:sz="4" w:space="0" w:color="auto"/>
              <w:left w:val="single" w:sz="4" w:space="0" w:color="auto"/>
              <w:bottom w:val="single" w:sz="4" w:space="0" w:color="auto"/>
              <w:right w:val="single" w:sz="4" w:space="0" w:color="auto"/>
            </w:tcBorders>
            <w:hideMark/>
          </w:tcPr>
          <w:p w14:paraId="1702CC30" w14:textId="77777777" w:rsidR="008D196E" w:rsidRPr="00E8077D" w:rsidRDefault="008D196E" w:rsidP="008D196E">
            <w:pPr>
              <w:spacing w:before="120" w:after="120"/>
              <w:rPr>
                <w:rFonts w:ascii="Times New Roman" w:hAnsi="Times New Roman" w:cs="Times New Roman"/>
                <w:b/>
                <w:bCs/>
                <w:strike/>
                <w:noProof/>
                <w:spacing w:val="-4"/>
              </w:rPr>
            </w:pPr>
            <w:r w:rsidRPr="00E8077D">
              <w:rPr>
                <w:rFonts w:ascii="Times New Roman" w:hAnsi="Times New Roman" w:cs="Times New Roman"/>
                <w:strike/>
                <w:noProof/>
                <w:spacing w:val="-4"/>
              </w:rPr>
              <w:t>Conducibilità elettrica (deci-Siemens per metro)</w:t>
            </w:r>
          </w:p>
        </w:tc>
        <w:tc>
          <w:tcPr>
            <w:tcW w:w="3261" w:type="dxa"/>
            <w:tcBorders>
              <w:top w:val="single" w:sz="4" w:space="0" w:color="auto"/>
              <w:left w:val="single" w:sz="4" w:space="0" w:color="auto"/>
              <w:bottom w:val="single" w:sz="4" w:space="0" w:color="auto"/>
              <w:right w:val="single" w:sz="4" w:space="0" w:color="auto"/>
            </w:tcBorders>
            <w:hideMark/>
          </w:tcPr>
          <w:p w14:paraId="6160104F" w14:textId="77777777" w:rsidR="008D196E" w:rsidRPr="00E8077D" w:rsidRDefault="008D196E" w:rsidP="008D196E">
            <w:pPr>
              <w:spacing w:before="120" w:after="120"/>
              <w:rPr>
                <w:rFonts w:ascii="Times New Roman" w:hAnsi="Times New Roman" w:cs="Times New Roman"/>
                <w:b/>
                <w:bCs/>
                <w:strike/>
                <w:noProof/>
                <w:spacing w:val="-4"/>
              </w:rPr>
            </w:pPr>
            <w:r w:rsidRPr="00E8077D">
              <w:rPr>
                <w:rFonts w:ascii="Times New Roman" w:hAnsi="Times New Roman" w:cs="Times New Roman"/>
                <w:strike/>
                <w:noProof/>
                <w:spacing w:val="-4"/>
              </w:rPr>
              <w:t>&lt; 4 dS m</w:t>
            </w:r>
            <w:r w:rsidRPr="00E8077D">
              <w:rPr>
                <w:rFonts w:ascii="Times New Roman" w:hAnsi="Times New Roman" w:cs="Times New Roman"/>
                <w:strike/>
                <w:noProof/>
                <w:spacing w:val="-4"/>
                <w:vertAlign w:val="superscript"/>
              </w:rPr>
              <w:t>−1</w:t>
            </w:r>
            <w:r w:rsidRPr="00E8077D">
              <w:rPr>
                <w:rFonts w:ascii="Times New Roman" w:hAnsi="Times New Roman" w:cs="Times New Roman"/>
                <w:strike/>
                <w:noProof/>
                <w:spacing w:val="-4"/>
              </w:rPr>
              <w:t xml:space="preserve"> se si usa il metodo di misurazione in estratto a pasta satura (eEC) o un criterio equivalente se si usa un altro metodo di misurazione</w:t>
            </w:r>
          </w:p>
        </w:tc>
        <w:tc>
          <w:tcPr>
            <w:tcW w:w="2835" w:type="dxa"/>
            <w:tcBorders>
              <w:top w:val="single" w:sz="4" w:space="0" w:color="auto"/>
              <w:left w:val="single" w:sz="4" w:space="0" w:color="auto"/>
              <w:bottom w:val="single" w:sz="4" w:space="0" w:color="auto"/>
              <w:right w:val="single" w:sz="4" w:space="0" w:color="auto"/>
            </w:tcBorders>
            <w:hideMark/>
          </w:tcPr>
          <w:p w14:paraId="3D5E981B"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 xml:space="preserve">Terreni naturalmente salini </w:t>
            </w:r>
          </w:p>
          <w:p w14:paraId="70FE0717"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Terreni direttamente interessati dall'innalzamento del livello del mare</w:t>
            </w:r>
          </w:p>
        </w:tc>
      </w:tr>
      <w:tr w:rsidR="008D196E" w:rsidRPr="00E8077D" w14:paraId="79E6C712" w14:textId="77777777" w:rsidTr="008D196E">
        <w:tc>
          <w:tcPr>
            <w:tcW w:w="1844" w:type="dxa"/>
            <w:tcBorders>
              <w:top w:val="single" w:sz="4" w:space="0" w:color="auto"/>
              <w:left w:val="single" w:sz="4" w:space="0" w:color="auto"/>
              <w:bottom w:val="single" w:sz="4" w:space="0" w:color="auto"/>
              <w:right w:val="single" w:sz="4" w:space="0" w:color="auto"/>
            </w:tcBorders>
            <w:hideMark/>
          </w:tcPr>
          <w:p w14:paraId="5D4CE132"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Erosione del suolo</w:t>
            </w:r>
          </w:p>
        </w:tc>
        <w:tc>
          <w:tcPr>
            <w:tcW w:w="1984" w:type="dxa"/>
            <w:tcBorders>
              <w:top w:val="single" w:sz="4" w:space="0" w:color="auto"/>
              <w:left w:val="single" w:sz="4" w:space="0" w:color="auto"/>
              <w:bottom w:val="single" w:sz="4" w:space="0" w:color="auto"/>
              <w:right w:val="single" w:sz="4" w:space="0" w:color="auto"/>
            </w:tcBorders>
            <w:hideMark/>
          </w:tcPr>
          <w:p w14:paraId="696812AE"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Tasso di erosione del suolo</w:t>
            </w:r>
          </w:p>
          <w:p w14:paraId="58A17D0B"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(tonnellate per ettaro/anno)</w:t>
            </w:r>
          </w:p>
        </w:tc>
        <w:tc>
          <w:tcPr>
            <w:tcW w:w="3261" w:type="dxa"/>
            <w:tcBorders>
              <w:top w:val="single" w:sz="4" w:space="0" w:color="auto"/>
              <w:left w:val="single" w:sz="4" w:space="0" w:color="auto"/>
              <w:bottom w:val="single" w:sz="4" w:space="0" w:color="auto"/>
              <w:right w:val="single" w:sz="4" w:space="0" w:color="auto"/>
            </w:tcBorders>
            <w:hideMark/>
          </w:tcPr>
          <w:p w14:paraId="4646F50C" w14:textId="77777777" w:rsidR="008D196E" w:rsidRPr="00E8077D" w:rsidRDefault="008D196E" w:rsidP="008D196E">
            <w:pPr>
              <w:spacing w:before="120" w:after="120"/>
              <w:rPr>
                <w:rFonts w:ascii="Times New Roman" w:hAnsi="Times New Roman" w:cs="Times New Roman"/>
                <w:b/>
                <w:bCs/>
                <w:strike/>
                <w:noProof/>
                <w:spacing w:val="-4"/>
              </w:rPr>
            </w:pPr>
            <w:r w:rsidRPr="00E8077D">
              <w:rPr>
                <w:rFonts w:ascii="Times New Roman" w:hAnsi="Times New Roman" w:cs="Times New Roman"/>
                <w:strike/>
                <w:noProof/>
                <w:spacing w:val="-4"/>
              </w:rPr>
              <w:t>≤ 2 t ha</w:t>
            </w:r>
            <w:r w:rsidRPr="00E8077D">
              <w:rPr>
                <w:rFonts w:ascii="Times New Roman" w:hAnsi="Times New Roman" w:cs="Times New Roman"/>
                <w:strike/>
                <w:noProof/>
                <w:spacing w:val="-4"/>
                <w:vertAlign w:val="superscript"/>
              </w:rPr>
              <w:t>-1</w:t>
            </w:r>
            <w:r w:rsidRPr="00E8077D">
              <w:rPr>
                <w:rFonts w:ascii="Times New Roman" w:hAnsi="Times New Roman" w:cs="Times New Roman"/>
                <w:strike/>
                <w:noProof/>
                <w:spacing w:val="-4"/>
              </w:rPr>
              <w:t xml:space="preserve"> a</w:t>
            </w:r>
            <w:r w:rsidRPr="00E8077D">
              <w:rPr>
                <w:rFonts w:ascii="Times New Roman" w:hAnsi="Times New Roman" w:cs="Times New Roman"/>
                <w:strike/>
                <w:noProof/>
                <w:spacing w:val="-4"/>
                <w:vertAlign w:val="superscript"/>
              </w:rPr>
              <w:t>-1</w:t>
            </w:r>
            <w:r w:rsidRPr="00E8077D">
              <w:rPr>
                <w:rFonts w:ascii="Times New Roman" w:hAnsi="Times New Roman" w:cs="Times New Roman"/>
                <w:strike/>
                <w:noProof/>
                <w:spacing w:val="-4"/>
              </w:rPr>
              <w:t xml:space="preserve"> </w:t>
            </w:r>
          </w:p>
        </w:tc>
        <w:tc>
          <w:tcPr>
            <w:tcW w:w="2835" w:type="dxa"/>
            <w:tcBorders>
              <w:top w:val="single" w:sz="4" w:space="0" w:color="auto"/>
              <w:left w:val="single" w:sz="4" w:space="0" w:color="auto"/>
              <w:bottom w:val="single" w:sz="4" w:space="0" w:color="auto"/>
              <w:right w:val="single" w:sz="4" w:space="0" w:color="auto"/>
            </w:tcBorders>
            <w:hideMark/>
          </w:tcPr>
          <w:p w14:paraId="2B33B656" w14:textId="77777777" w:rsidR="008D196E" w:rsidRPr="00E8077D" w:rsidRDefault="008D196E" w:rsidP="008D196E">
            <w:pPr>
              <w:spacing w:before="120" w:after="120"/>
              <w:rPr>
                <w:rFonts w:ascii="Times New Roman" w:hAnsi="Times New Roman" w:cs="Times New Roman"/>
                <w:b/>
                <w:bCs/>
                <w:strike/>
                <w:noProof/>
                <w:spacing w:val="-4"/>
              </w:rPr>
            </w:pPr>
            <w:r w:rsidRPr="00E8077D">
              <w:rPr>
                <w:rFonts w:ascii="Times New Roman" w:hAnsi="Times New Roman" w:cs="Times New Roman"/>
                <w:strike/>
                <w:noProof/>
                <w:spacing w:val="-4"/>
              </w:rPr>
              <w:t>Calanchi e altri terreni naturali non gestiti, salvo se rappresentano un rischio significativo di catastrofi</w:t>
            </w:r>
          </w:p>
        </w:tc>
      </w:tr>
      <w:tr w:rsidR="008D196E" w:rsidRPr="00E8077D" w14:paraId="5B44EB6D" w14:textId="77777777" w:rsidTr="008D196E">
        <w:tc>
          <w:tcPr>
            <w:tcW w:w="1844" w:type="dxa"/>
            <w:vMerge w:val="restart"/>
            <w:tcBorders>
              <w:top w:val="single" w:sz="4" w:space="0" w:color="auto"/>
              <w:left w:val="single" w:sz="4" w:space="0" w:color="auto"/>
              <w:bottom w:val="single" w:sz="4" w:space="0" w:color="auto"/>
              <w:right w:val="single" w:sz="4" w:space="0" w:color="auto"/>
            </w:tcBorders>
            <w:hideMark/>
          </w:tcPr>
          <w:p w14:paraId="257008D5"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Perdita di carbonio organico nel suolo</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560FA0A1"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Concentrazione di carbonio organico nel suolo (</w:t>
            </w:r>
            <w:r w:rsidRPr="00E8077D">
              <w:rPr>
                <w:rFonts w:ascii="Times New Roman" w:hAnsi="Times New Roman" w:cs="Times New Roman"/>
                <w:i/>
                <w:iCs/>
                <w:strike/>
                <w:noProof/>
                <w:spacing w:val="-4"/>
              </w:rPr>
              <w:t>Soil Organic Carbon</w:t>
            </w:r>
            <w:r w:rsidRPr="00E8077D">
              <w:rPr>
                <w:rFonts w:ascii="Times New Roman" w:hAnsi="Times New Roman" w:cs="Times New Roman"/>
                <w:strike/>
                <w:noProof/>
                <w:spacing w:val="-4"/>
              </w:rPr>
              <w:t>, SOC) (g per kg)</w:t>
            </w:r>
          </w:p>
          <w:p w14:paraId="309224BE" w14:textId="77777777" w:rsidR="008D196E" w:rsidRPr="00E8077D" w:rsidRDefault="008D196E" w:rsidP="008D196E">
            <w:pPr>
              <w:spacing w:before="120" w:after="120"/>
              <w:rPr>
                <w:rFonts w:ascii="Times New Roman" w:hAnsi="Times New Roman" w:cs="Times New Roman"/>
                <w:strike/>
                <w:noProof/>
                <w:spacing w:val="-4"/>
              </w:rPr>
            </w:pPr>
          </w:p>
        </w:tc>
        <w:tc>
          <w:tcPr>
            <w:tcW w:w="3261" w:type="dxa"/>
            <w:tcBorders>
              <w:top w:val="single" w:sz="4" w:space="0" w:color="auto"/>
              <w:left w:val="single" w:sz="4" w:space="0" w:color="auto"/>
              <w:bottom w:val="single" w:sz="4" w:space="0" w:color="auto"/>
              <w:right w:val="single" w:sz="4" w:space="0" w:color="auto"/>
            </w:tcBorders>
            <w:hideMark/>
          </w:tcPr>
          <w:p w14:paraId="71986835"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 Per i suoli organici: rispettare gli obiettivi fissati a livello nazionale conformemente all'articolo 4, paragrafi 1 e 2, e all'articolo 9, paragrafo 4, del regolamento (UE).../...</w:t>
            </w:r>
            <w:r w:rsidRPr="00E8077D">
              <w:rPr>
                <w:rFonts w:ascii="Times New Roman" w:hAnsi="Times New Roman" w:cs="Times New Roman"/>
                <w:strike/>
                <w:noProof/>
                <w:spacing w:val="-4"/>
                <w:vertAlign w:val="superscript"/>
              </w:rPr>
              <w:footnoteReference w:customMarkFollows="1" w:id="58"/>
              <w:t>+</w:t>
            </w:r>
            <w:r w:rsidRPr="00E8077D">
              <w:rPr>
                <w:rFonts w:ascii="Times New Roman" w:hAnsi="Times New Roman" w:cs="Times New Roman"/>
                <w:strike/>
                <w:noProof/>
                <w:spacing w:val="-4"/>
              </w:rPr>
              <w:t xml:space="preserve"> </w:t>
            </w:r>
          </w:p>
        </w:tc>
        <w:tc>
          <w:tcPr>
            <w:tcW w:w="2835" w:type="dxa"/>
            <w:tcBorders>
              <w:top w:val="single" w:sz="4" w:space="0" w:color="auto"/>
              <w:left w:val="single" w:sz="4" w:space="0" w:color="auto"/>
              <w:bottom w:val="single" w:sz="4" w:space="0" w:color="auto"/>
              <w:right w:val="single" w:sz="4" w:space="0" w:color="auto"/>
            </w:tcBorders>
            <w:hideMark/>
          </w:tcPr>
          <w:p w14:paraId="7EE2BBA0"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Senza eccezioni</w:t>
            </w:r>
          </w:p>
        </w:tc>
      </w:tr>
      <w:tr w:rsidR="008D196E" w:rsidRPr="00E8077D" w14:paraId="010FB8D5" w14:textId="77777777" w:rsidTr="008D196E">
        <w:tc>
          <w:tcPr>
            <w:tcW w:w="1844" w:type="dxa"/>
            <w:vMerge/>
            <w:vAlign w:val="center"/>
            <w:hideMark/>
          </w:tcPr>
          <w:p w14:paraId="7E0889A3" w14:textId="77777777" w:rsidR="008D196E" w:rsidRPr="00E8077D" w:rsidRDefault="008D196E" w:rsidP="008D196E">
            <w:pPr>
              <w:spacing w:before="120" w:after="120"/>
              <w:rPr>
                <w:rFonts w:ascii="Times New Roman" w:hAnsi="Times New Roman" w:cs="Times New Roman"/>
                <w:strike/>
                <w:noProof/>
                <w:spacing w:val="-4"/>
              </w:rPr>
            </w:pPr>
          </w:p>
        </w:tc>
        <w:tc>
          <w:tcPr>
            <w:tcW w:w="1984" w:type="dxa"/>
            <w:vMerge/>
            <w:vAlign w:val="center"/>
            <w:hideMark/>
          </w:tcPr>
          <w:p w14:paraId="289538A3" w14:textId="77777777" w:rsidR="008D196E" w:rsidRPr="00E8077D" w:rsidRDefault="008D196E" w:rsidP="008D196E">
            <w:pPr>
              <w:spacing w:before="120" w:after="120"/>
              <w:rPr>
                <w:rFonts w:ascii="Times New Roman" w:hAnsi="Times New Roman" w:cs="Times New Roman"/>
                <w:strike/>
                <w:noProof/>
                <w:spacing w:val="-4"/>
              </w:rPr>
            </w:pPr>
          </w:p>
        </w:tc>
        <w:tc>
          <w:tcPr>
            <w:tcW w:w="3261" w:type="dxa"/>
            <w:tcBorders>
              <w:top w:val="single" w:sz="4" w:space="0" w:color="auto"/>
              <w:left w:val="single" w:sz="4" w:space="0" w:color="auto"/>
              <w:bottom w:val="single" w:sz="4" w:space="0" w:color="auto"/>
              <w:right w:val="single" w:sz="4" w:space="0" w:color="auto"/>
            </w:tcBorders>
            <w:hideMark/>
          </w:tcPr>
          <w:p w14:paraId="7FAA99F5"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 xml:space="preserve">- Per i suoli minerali: rapporto SOC/argilla &gt; 1/13 </w:t>
            </w:r>
          </w:p>
          <w:p w14:paraId="4EE1368D"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Gli Stati membri possono applicare un fattore correttivo se particolari tipi di suolo o condizioni climatiche lo giustificano, tenendo conto dell'effettivo tenore di carbonio organico nel suolo nei prati permanenti.</w:t>
            </w:r>
          </w:p>
        </w:tc>
        <w:tc>
          <w:tcPr>
            <w:tcW w:w="2835" w:type="dxa"/>
            <w:tcBorders>
              <w:top w:val="single" w:sz="4" w:space="0" w:color="auto"/>
              <w:left w:val="single" w:sz="4" w:space="0" w:color="auto"/>
              <w:bottom w:val="single" w:sz="4" w:space="0" w:color="auto"/>
              <w:right w:val="single" w:sz="4" w:space="0" w:color="auto"/>
            </w:tcBorders>
            <w:hideMark/>
          </w:tcPr>
          <w:p w14:paraId="30F6A474"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Suoli non gestiti in terreni naturali</w:t>
            </w:r>
          </w:p>
        </w:tc>
      </w:tr>
      <w:tr w:rsidR="008D196E" w:rsidRPr="00E8077D" w14:paraId="5D6836AB" w14:textId="77777777" w:rsidTr="008D196E">
        <w:tc>
          <w:tcPr>
            <w:tcW w:w="1844" w:type="dxa"/>
            <w:tcBorders>
              <w:top w:val="single" w:sz="4" w:space="0" w:color="auto"/>
              <w:left w:val="single" w:sz="4" w:space="0" w:color="auto"/>
              <w:bottom w:val="single" w:sz="4" w:space="0" w:color="auto"/>
              <w:right w:val="single" w:sz="4" w:space="0" w:color="auto"/>
            </w:tcBorders>
            <w:hideMark/>
          </w:tcPr>
          <w:p w14:paraId="533269D1"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Compattazione del sottosuolo</w:t>
            </w:r>
          </w:p>
        </w:tc>
        <w:tc>
          <w:tcPr>
            <w:tcW w:w="1984" w:type="dxa"/>
            <w:tcBorders>
              <w:top w:val="single" w:sz="4" w:space="0" w:color="auto"/>
              <w:left w:val="single" w:sz="4" w:space="0" w:color="auto"/>
              <w:bottom w:val="single" w:sz="4" w:space="0" w:color="auto"/>
              <w:right w:val="single" w:sz="4" w:space="0" w:color="auto"/>
            </w:tcBorders>
            <w:hideMark/>
          </w:tcPr>
          <w:p w14:paraId="501257BC"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 xml:space="preserve">Densità apparente nel sottosuolo (parte superiore </w:t>
            </w:r>
            <w:r w:rsidRPr="00E8077D">
              <w:rPr>
                <w:rFonts w:ascii="Times New Roman" w:hAnsi="Times New Roman" w:cs="Times New Roman"/>
                <w:strike/>
                <w:noProof/>
                <w:spacing w:val="-4"/>
              </w:rPr>
              <w:lastRenderedPageBreak/>
              <w:t>dell'orizzonte B o E</w:t>
            </w:r>
            <w:r w:rsidRPr="00E8077D">
              <w:rPr>
                <w:rFonts w:ascii="Times New Roman" w:hAnsi="Times New Roman" w:cs="Times New Roman"/>
                <w:strike/>
                <w:noProof/>
                <w:spacing w:val="-4"/>
                <w:vertAlign w:val="superscript"/>
              </w:rPr>
              <w:footnoteReference w:id="59"/>
            </w:r>
            <w:r w:rsidRPr="00E8077D">
              <w:rPr>
                <w:rFonts w:ascii="Times New Roman" w:hAnsi="Times New Roman" w:cs="Times New Roman"/>
                <w:strike/>
                <w:noProof/>
                <w:spacing w:val="-4"/>
              </w:rPr>
              <w:t xml:space="preserve">). Gli Stati membri possono sostituire questo descrittore con un parametro equivalente </w:t>
            </w:r>
            <w:r w:rsidRPr="00E8077D">
              <w:rPr>
                <w:rFonts w:ascii="Times New Roman" w:hAnsi="Times New Roman" w:cs="Times New Roman"/>
                <w:strike/>
                <w:noProof/>
                <w:spacing w:val="-4"/>
              </w:rPr>
              <w:br/>
              <w:t>(g per cm</w:t>
            </w:r>
            <w:r w:rsidRPr="00E8077D">
              <w:rPr>
                <w:rFonts w:ascii="Times New Roman" w:hAnsi="Times New Roman" w:cs="Times New Roman"/>
                <w:strike/>
                <w:noProof/>
                <w:spacing w:val="-4"/>
                <w:vertAlign w:val="superscript"/>
              </w:rPr>
              <w:t>3</w:t>
            </w:r>
            <w:r w:rsidRPr="00E8077D">
              <w:rPr>
                <w:rFonts w:ascii="Times New Roman" w:hAnsi="Times New Roman" w:cs="Times New Roman"/>
                <w:strike/>
                <w:noProof/>
                <w:spacing w:val="-4"/>
              </w:rPr>
              <w:t>)</w:t>
            </w:r>
          </w:p>
        </w:tc>
        <w:tc>
          <w:tcPr>
            <w:tcW w:w="3261" w:type="dxa"/>
            <w:tcBorders>
              <w:top w:val="single" w:sz="4" w:space="0" w:color="auto"/>
              <w:left w:val="single" w:sz="4" w:space="0" w:color="auto"/>
              <w:bottom w:val="single" w:sz="4" w:space="0" w:color="auto"/>
              <w:right w:val="single" w:sz="4" w:space="0" w:color="auto"/>
            </w:tcBorders>
          </w:tcPr>
          <w:tbl>
            <w:tblPr>
              <w:tblStyle w:val="TableGrid1"/>
              <w:tblW w:w="3435" w:type="dxa"/>
              <w:tblLayout w:type="fixed"/>
              <w:tblLook w:val="04A0" w:firstRow="1" w:lastRow="0" w:firstColumn="1" w:lastColumn="0" w:noHBand="0" w:noVBand="1"/>
            </w:tblPr>
            <w:tblGrid>
              <w:gridCol w:w="1827"/>
              <w:gridCol w:w="1608"/>
            </w:tblGrid>
            <w:tr w:rsidR="008D196E" w:rsidRPr="00E8077D" w14:paraId="11FC5B8F" w14:textId="77777777" w:rsidTr="008D196E">
              <w:trPr>
                <w:trHeight w:val="300"/>
              </w:trPr>
              <w:tc>
                <w:tcPr>
                  <w:tcW w:w="1827" w:type="dxa"/>
                  <w:tcBorders>
                    <w:top w:val="single" w:sz="4" w:space="0" w:color="auto"/>
                    <w:left w:val="single" w:sz="4" w:space="0" w:color="auto"/>
                    <w:bottom w:val="single" w:sz="4" w:space="0" w:color="auto"/>
                    <w:right w:val="single" w:sz="4" w:space="0" w:color="auto"/>
                  </w:tcBorders>
                  <w:hideMark/>
                </w:tcPr>
                <w:p w14:paraId="6ABCA04F"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lastRenderedPageBreak/>
                    <w:t xml:space="preserve">Tessitura del </w:t>
                  </w:r>
                  <w:r w:rsidRPr="00E8077D">
                    <w:rPr>
                      <w:rFonts w:ascii="Times New Roman" w:hAnsi="Times New Roman" w:cs="Times New Roman"/>
                      <w:strike/>
                      <w:noProof/>
                      <w:spacing w:val="-4"/>
                    </w:rPr>
                    <w:lastRenderedPageBreak/>
                    <w:t>suolo</w:t>
                  </w:r>
                  <w:r w:rsidRPr="00E8077D">
                    <w:rPr>
                      <w:rFonts w:ascii="Times New Roman" w:hAnsi="Times New Roman" w:cs="Times New Roman"/>
                      <w:strike/>
                      <w:noProof/>
                      <w:spacing w:val="-4"/>
                      <w:vertAlign w:val="superscript"/>
                    </w:rPr>
                    <w:footnoteReference w:id="60"/>
                  </w:r>
                </w:p>
              </w:tc>
              <w:tc>
                <w:tcPr>
                  <w:tcW w:w="1608" w:type="dxa"/>
                  <w:tcBorders>
                    <w:top w:val="single" w:sz="4" w:space="0" w:color="auto"/>
                    <w:left w:val="single" w:sz="4" w:space="0" w:color="auto"/>
                    <w:bottom w:val="single" w:sz="4" w:space="0" w:color="auto"/>
                    <w:right w:val="single" w:sz="4" w:space="0" w:color="auto"/>
                  </w:tcBorders>
                  <w:hideMark/>
                </w:tcPr>
                <w:p w14:paraId="615EEECF"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lastRenderedPageBreak/>
                    <w:t>Estensione</w:t>
                  </w:r>
                </w:p>
              </w:tc>
            </w:tr>
            <w:tr w:rsidR="008D196E" w:rsidRPr="00E8077D" w14:paraId="00B7F671" w14:textId="77777777" w:rsidTr="008D196E">
              <w:trPr>
                <w:trHeight w:val="300"/>
              </w:trPr>
              <w:tc>
                <w:tcPr>
                  <w:tcW w:w="1827" w:type="dxa"/>
                  <w:tcBorders>
                    <w:top w:val="single" w:sz="4" w:space="0" w:color="auto"/>
                    <w:left w:val="single" w:sz="4" w:space="0" w:color="auto"/>
                    <w:bottom w:val="single" w:sz="4" w:space="0" w:color="auto"/>
                    <w:right w:val="single" w:sz="4" w:space="0" w:color="auto"/>
                  </w:tcBorders>
                  <w:hideMark/>
                </w:tcPr>
                <w:p w14:paraId="1951470E"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Sabbia, sabbia con medio impasto, medio impasto sabbioso, medio impasto</w:t>
                  </w:r>
                </w:p>
              </w:tc>
              <w:tc>
                <w:tcPr>
                  <w:tcW w:w="1608" w:type="dxa"/>
                  <w:tcBorders>
                    <w:top w:val="single" w:sz="4" w:space="0" w:color="auto"/>
                    <w:left w:val="single" w:sz="4" w:space="0" w:color="auto"/>
                    <w:bottom w:val="single" w:sz="4" w:space="0" w:color="auto"/>
                    <w:right w:val="single" w:sz="4" w:space="0" w:color="auto"/>
                  </w:tcBorders>
                  <w:hideMark/>
                </w:tcPr>
                <w:p w14:paraId="5E1FB036"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&lt;1,80</w:t>
                  </w:r>
                </w:p>
              </w:tc>
            </w:tr>
            <w:tr w:rsidR="008D196E" w:rsidRPr="00E8077D" w14:paraId="6CCECF29" w14:textId="77777777" w:rsidTr="008D196E">
              <w:trPr>
                <w:trHeight w:val="300"/>
              </w:trPr>
              <w:tc>
                <w:tcPr>
                  <w:tcW w:w="1827" w:type="dxa"/>
                  <w:tcBorders>
                    <w:top w:val="single" w:sz="4" w:space="0" w:color="auto"/>
                    <w:left w:val="single" w:sz="4" w:space="0" w:color="auto"/>
                    <w:bottom w:val="single" w:sz="4" w:space="0" w:color="auto"/>
                    <w:right w:val="single" w:sz="4" w:space="0" w:color="auto"/>
                  </w:tcBorders>
                  <w:hideMark/>
                </w:tcPr>
                <w:p w14:paraId="2C75F2F7"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Medio impasto sabbioso-argilloso, medio impasto, medio impasto argilloso, limo, medio impasto limoso</w:t>
                  </w:r>
                </w:p>
              </w:tc>
              <w:tc>
                <w:tcPr>
                  <w:tcW w:w="1608" w:type="dxa"/>
                  <w:tcBorders>
                    <w:top w:val="single" w:sz="4" w:space="0" w:color="auto"/>
                    <w:left w:val="single" w:sz="4" w:space="0" w:color="auto"/>
                    <w:bottom w:val="single" w:sz="4" w:space="0" w:color="auto"/>
                    <w:right w:val="single" w:sz="4" w:space="0" w:color="auto"/>
                  </w:tcBorders>
                  <w:hideMark/>
                </w:tcPr>
                <w:p w14:paraId="43F6C420"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&lt;1,75</w:t>
                  </w:r>
                </w:p>
              </w:tc>
            </w:tr>
            <w:tr w:rsidR="008D196E" w:rsidRPr="00E8077D" w14:paraId="2496E9D8" w14:textId="77777777" w:rsidTr="008D196E">
              <w:trPr>
                <w:trHeight w:val="300"/>
              </w:trPr>
              <w:tc>
                <w:tcPr>
                  <w:tcW w:w="1827" w:type="dxa"/>
                  <w:tcBorders>
                    <w:top w:val="single" w:sz="4" w:space="0" w:color="auto"/>
                    <w:left w:val="single" w:sz="4" w:space="0" w:color="auto"/>
                    <w:bottom w:val="single" w:sz="4" w:space="0" w:color="auto"/>
                    <w:right w:val="single" w:sz="4" w:space="0" w:color="auto"/>
                  </w:tcBorders>
                  <w:hideMark/>
                </w:tcPr>
                <w:p w14:paraId="54EE3DA5"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Medio impasto limoso, medio impasto limoso-argilloso</w:t>
                  </w:r>
                </w:p>
              </w:tc>
              <w:tc>
                <w:tcPr>
                  <w:tcW w:w="1608" w:type="dxa"/>
                  <w:tcBorders>
                    <w:top w:val="single" w:sz="4" w:space="0" w:color="auto"/>
                    <w:left w:val="single" w:sz="4" w:space="0" w:color="auto"/>
                    <w:bottom w:val="single" w:sz="4" w:space="0" w:color="auto"/>
                    <w:right w:val="single" w:sz="4" w:space="0" w:color="auto"/>
                  </w:tcBorders>
                  <w:hideMark/>
                </w:tcPr>
                <w:p w14:paraId="52BFD68E"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&lt;1,65</w:t>
                  </w:r>
                </w:p>
              </w:tc>
            </w:tr>
            <w:tr w:rsidR="008D196E" w:rsidRPr="00E8077D" w14:paraId="78F34CE9" w14:textId="77777777" w:rsidTr="008D196E">
              <w:trPr>
                <w:trHeight w:val="300"/>
              </w:trPr>
              <w:tc>
                <w:tcPr>
                  <w:tcW w:w="1827" w:type="dxa"/>
                  <w:tcBorders>
                    <w:top w:val="single" w:sz="4" w:space="0" w:color="auto"/>
                    <w:left w:val="single" w:sz="4" w:space="0" w:color="auto"/>
                    <w:bottom w:val="single" w:sz="4" w:space="0" w:color="auto"/>
                    <w:right w:val="single" w:sz="4" w:space="0" w:color="auto"/>
                  </w:tcBorders>
                  <w:hideMark/>
                </w:tcPr>
                <w:p w14:paraId="4C95B84B"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Argilla sabbiosa, argilla limosa, medio impasto argilloso con 35-45 % di argilla</w:t>
                  </w:r>
                </w:p>
              </w:tc>
              <w:tc>
                <w:tcPr>
                  <w:tcW w:w="1608" w:type="dxa"/>
                  <w:tcBorders>
                    <w:top w:val="single" w:sz="4" w:space="0" w:color="auto"/>
                    <w:left w:val="single" w:sz="4" w:space="0" w:color="auto"/>
                    <w:bottom w:val="single" w:sz="4" w:space="0" w:color="auto"/>
                    <w:right w:val="single" w:sz="4" w:space="0" w:color="auto"/>
                  </w:tcBorders>
                  <w:hideMark/>
                </w:tcPr>
                <w:p w14:paraId="26CBF143"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&lt;1,58</w:t>
                  </w:r>
                </w:p>
              </w:tc>
            </w:tr>
            <w:tr w:rsidR="008D196E" w:rsidRPr="00E8077D" w14:paraId="18027F1B" w14:textId="77777777" w:rsidTr="008D196E">
              <w:trPr>
                <w:trHeight w:val="300"/>
              </w:trPr>
              <w:tc>
                <w:tcPr>
                  <w:tcW w:w="1827" w:type="dxa"/>
                  <w:tcBorders>
                    <w:top w:val="single" w:sz="4" w:space="0" w:color="auto"/>
                    <w:left w:val="single" w:sz="4" w:space="0" w:color="auto"/>
                    <w:bottom w:val="single" w:sz="4" w:space="0" w:color="auto"/>
                    <w:right w:val="single" w:sz="4" w:space="0" w:color="auto"/>
                  </w:tcBorders>
                  <w:hideMark/>
                </w:tcPr>
                <w:p w14:paraId="28DA81FA"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Argilla</w:t>
                  </w:r>
                </w:p>
              </w:tc>
              <w:tc>
                <w:tcPr>
                  <w:tcW w:w="1608" w:type="dxa"/>
                  <w:tcBorders>
                    <w:top w:val="single" w:sz="4" w:space="0" w:color="auto"/>
                    <w:left w:val="single" w:sz="4" w:space="0" w:color="auto"/>
                    <w:bottom w:val="single" w:sz="4" w:space="0" w:color="auto"/>
                    <w:right w:val="single" w:sz="4" w:space="0" w:color="auto"/>
                  </w:tcBorders>
                  <w:hideMark/>
                </w:tcPr>
                <w:p w14:paraId="61B92D0F"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&lt;1,47</w:t>
                  </w:r>
                </w:p>
              </w:tc>
            </w:tr>
          </w:tbl>
          <w:p w14:paraId="32D2DC71" w14:textId="77777777" w:rsidR="008D196E" w:rsidRPr="00E8077D" w:rsidRDefault="008D196E" w:rsidP="008D196E">
            <w:pPr>
              <w:spacing w:before="120" w:after="120"/>
              <w:rPr>
                <w:rFonts w:ascii="Times New Roman" w:hAnsi="Times New Roman" w:cs="Times New Roman"/>
                <w:strike/>
                <w:noProof/>
                <w:spacing w:val="-4"/>
              </w:rPr>
            </w:pPr>
          </w:p>
          <w:p w14:paraId="5E5FA647"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Lo Stato membro, se sostituisce il descrittore del suolo "densità apparente nel sottosuolo" con un parametro equivalente, adotta, per il descrittore scelto, un criterio di sanità del suolo equivalente a quello stabilito per la "densità apparente nel sottosuolo".</w:t>
            </w:r>
          </w:p>
        </w:tc>
        <w:tc>
          <w:tcPr>
            <w:tcW w:w="2835" w:type="dxa"/>
            <w:tcBorders>
              <w:top w:val="single" w:sz="4" w:space="0" w:color="auto"/>
              <w:left w:val="single" w:sz="4" w:space="0" w:color="auto"/>
              <w:bottom w:val="single" w:sz="4" w:space="0" w:color="auto"/>
              <w:right w:val="single" w:sz="4" w:space="0" w:color="auto"/>
            </w:tcBorders>
          </w:tcPr>
          <w:p w14:paraId="167AD9B9"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lastRenderedPageBreak/>
              <w:t>Suoli non gestiti in terreni naturali</w:t>
            </w:r>
          </w:p>
          <w:p w14:paraId="01FF3F37" w14:textId="77777777" w:rsidR="008D196E" w:rsidRPr="00E8077D" w:rsidRDefault="008D196E" w:rsidP="008D196E">
            <w:pPr>
              <w:spacing w:before="120" w:after="120"/>
              <w:rPr>
                <w:rFonts w:ascii="Times New Roman" w:hAnsi="Times New Roman" w:cs="Times New Roman"/>
                <w:strike/>
                <w:noProof/>
                <w:spacing w:val="-4"/>
              </w:rPr>
            </w:pPr>
          </w:p>
          <w:p w14:paraId="3828CC84" w14:textId="77777777" w:rsidR="008D196E" w:rsidRPr="00E8077D" w:rsidRDefault="008D196E" w:rsidP="008D196E">
            <w:pPr>
              <w:spacing w:before="120" w:after="120"/>
              <w:rPr>
                <w:rFonts w:ascii="Times New Roman" w:hAnsi="Times New Roman" w:cs="Times New Roman"/>
                <w:strike/>
                <w:noProof/>
                <w:spacing w:val="-4"/>
              </w:rPr>
            </w:pPr>
          </w:p>
          <w:p w14:paraId="103AABE4" w14:textId="77777777" w:rsidR="008D196E" w:rsidRPr="00E8077D" w:rsidRDefault="008D196E" w:rsidP="008D196E">
            <w:pPr>
              <w:spacing w:before="120" w:after="120"/>
              <w:rPr>
                <w:rFonts w:ascii="Times New Roman" w:hAnsi="Times New Roman" w:cs="Times New Roman"/>
                <w:strike/>
                <w:noProof/>
                <w:spacing w:val="-4"/>
              </w:rPr>
            </w:pPr>
          </w:p>
          <w:p w14:paraId="35E0FC55" w14:textId="77777777" w:rsidR="008D196E" w:rsidRPr="00E8077D" w:rsidRDefault="008D196E" w:rsidP="008D196E">
            <w:pPr>
              <w:spacing w:before="120" w:after="120"/>
              <w:rPr>
                <w:rFonts w:ascii="Times New Roman" w:hAnsi="Times New Roman" w:cs="Times New Roman"/>
                <w:strike/>
                <w:noProof/>
                <w:spacing w:val="-4"/>
              </w:rPr>
            </w:pPr>
          </w:p>
          <w:p w14:paraId="133D0CB1" w14:textId="77777777" w:rsidR="008D196E" w:rsidRPr="00E8077D" w:rsidRDefault="008D196E" w:rsidP="008D196E">
            <w:pPr>
              <w:spacing w:before="120" w:after="120"/>
              <w:rPr>
                <w:rFonts w:ascii="Times New Roman" w:hAnsi="Times New Roman" w:cs="Times New Roman"/>
                <w:strike/>
                <w:noProof/>
                <w:spacing w:val="-4"/>
              </w:rPr>
            </w:pPr>
          </w:p>
          <w:p w14:paraId="281CA48A" w14:textId="77777777" w:rsidR="008D196E" w:rsidRPr="00E8077D" w:rsidRDefault="008D196E" w:rsidP="008D196E">
            <w:pPr>
              <w:spacing w:before="120" w:after="120"/>
              <w:rPr>
                <w:rFonts w:ascii="Times New Roman" w:hAnsi="Times New Roman" w:cs="Times New Roman"/>
                <w:strike/>
                <w:noProof/>
                <w:spacing w:val="-4"/>
              </w:rPr>
            </w:pPr>
          </w:p>
          <w:p w14:paraId="6DE10B7C" w14:textId="77777777" w:rsidR="008D196E" w:rsidRPr="00E8077D" w:rsidRDefault="008D196E" w:rsidP="008D196E">
            <w:pPr>
              <w:spacing w:before="120" w:after="120"/>
              <w:rPr>
                <w:rFonts w:ascii="Times New Roman" w:hAnsi="Times New Roman" w:cs="Times New Roman"/>
                <w:strike/>
                <w:noProof/>
                <w:spacing w:val="-4"/>
              </w:rPr>
            </w:pPr>
          </w:p>
          <w:p w14:paraId="6D828D94" w14:textId="77777777" w:rsidR="008D196E" w:rsidRPr="00E8077D" w:rsidRDefault="008D196E" w:rsidP="008D196E">
            <w:pPr>
              <w:spacing w:before="120" w:after="120"/>
              <w:rPr>
                <w:rFonts w:ascii="Times New Roman" w:hAnsi="Times New Roman" w:cs="Times New Roman"/>
                <w:strike/>
                <w:noProof/>
                <w:spacing w:val="-4"/>
              </w:rPr>
            </w:pPr>
          </w:p>
          <w:p w14:paraId="447E5895" w14:textId="77777777" w:rsidR="008D196E" w:rsidRPr="00E8077D" w:rsidRDefault="008D196E" w:rsidP="008D196E">
            <w:pPr>
              <w:spacing w:before="120" w:after="120"/>
              <w:rPr>
                <w:rFonts w:ascii="Times New Roman" w:hAnsi="Times New Roman" w:cs="Times New Roman"/>
                <w:strike/>
                <w:noProof/>
                <w:spacing w:val="-4"/>
              </w:rPr>
            </w:pPr>
          </w:p>
          <w:p w14:paraId="3E1922AC" w14:textId="77777777" w:rsidR="008D196E" w:rsidRPr="00E8077D" w:rsidRDefault="008D196E" w:rsidP="008D196E">
            <w:pPr>
              <w:spacing w:before="120" w:after="120"/>
              <w:rPr>
                <w:rFonts w:ascii="Times New Roman" w:hAnsi="Times New Roman" w:cs="Times New Roman"/>
                <w:strike/>
                <w:noProof/>
                <w:spacing w:val="-4"/>
              </w:rPr>
            </w:pPr>
          </w:p>
          <w:p w14:paraId="6553F274" w14:textId="77777777" w:rsidR="008D196E" w:rsidRPr="00E8077D" w:rsidRDefault="008D196E" w:rsidP="008D196E">
            <w:pPr>
              <w:spacing w:before="120" w:after="120"/>
              <w:rPr>
                <w:rFonts w:ascii="Times New Roman" w:hAnsi="Times New Roman" w:cs="Times New Roman"/>
                <w:strike/>
                <w:noProof/>
                <w:spacing w:val="-4"/>
              </w:rPr>
            </w:pPr>
          </w:p>
          <w:p w14:paraId="60894167" w14:textId="77777777" w:rsidR="008D196E" w:rsidRPr="00E8077D" w:rsidRDefault="008D196E" w:rsidP="008D196E">
            <w:pPr>
              <w:spacing w:before="120" w:after="120"/>
              <w:rPr>
                <w:rFonts w:ascii="Times New Roman" w:hAnsi="Times New Roman" w:cs="Times New Roman"/>
                <w:strike/>
                <w:noProof/>
                <w:spacing w:val="-4"/>
              </w:rPr>
            </w:pPr>
          </w:p>
          <w:p w14:paraId="0C9EF087" w14:textId="77777777" w:rsidR="008D196E" w:rsidRPr="00E8077D" w:rsidRDefault="008D196E" w:rsidP="008D196E">
            <w:pPr>
              <w:spacing w:before="120" w:after="120"/>
              <w:rPr>
                <w:rFonts w:ascii="Times New Roman" w:hAnsi="Times New Roman" w:cs="Times New Roman"/>
                <w:strike/>
                <w:noProof/>
                <w:spacing w:val="-4"/>
              </w:rPr>
            </w:pPr>
          </w:p>
          <w:p w14:paraId="487E11EE" w14:textId="77777777" w:rsidR="008D196E" w:rsidRPr="00E8077D" w:rsidRDefault="008D196E" w:rsidP="008D196E">
            <w:pPr>
              <w:spacing w:before="120" w:after="120"/>
              <w:rPr>
                <w:rFonts w:ascii="Times New Roman" w:hAnsi="Times New Roman" w:cs="Times New Roman"/>
                <w:strike/>
                <w:noProof/>
                <w:spacing w:val="-4"/>
              </w:rPr>
            </w:pPr>
          </w:p>
          <w:p w14:paraId="2782BBB8" w14:textId="77777777" w:rsidR="008D196E" w:rsidRPr="00E8077D" w:rsidRDefault="008D196E" w:rsidP="008D196E">
            <w:pPr>
              <w:spacing w:before="120" w:after="120"/>
              <w:rPr>
                <w:rFonts w:ascii="Times New Roman" w:hAnsi="Times New Roman" w:cs="Times New Roman"/>
                <w:strike/>
                <w:noProof/>
                <w:spacing w:val="-4"/>
              </w:rPr>
            </w:pPr>
          </w:p>
        </w:tc>
      </w:tr>
    </w:tbl>
    <w:tbl>
      <w:tblPr>
        <w:tblW w:w="8926" w:type="dxa"/>
        <w:tblLook w:val="04A0" w:firstRow="1" w:lastRow="0" w:firstColumn="1" w:lastColumn="0" w:noHBand="0" w:noVBand="1"/>
      </w:tblPr>
      <w:tblGrid>
        <w:gridCol w:w="2822"/>
        <w:gridCol w:w="2741"/>
        <w:gridCol w:w="2059"/>
        <w:gridCol w:w="1304"/>
      </w:tblGrid>
      <w:tr w:rsidR="00E8077D" w:rsidRPr="00B50018" w14:paraId="5181339E" w14:textId="77777777" w:rsidTr="008D41A0">
        <w:tc>
          <w:tcPr>
            <w:tcW w:w="8926" w:type="dxa"/>
            <w:gridSpan w:val="4"/>
            <w:tcBorders>
              <w:top w:val="single" w:sz="4" w:space="0" w:color="auto"/>
              <w:left w:val="single" w:sz="4" w:space="0" w:color="auto"/>
              <w:bottom w:val="single" w:sz="4" w:space="0" w:color="auto"/>
              <w:right w:val="single" w:sz="4" w:space="0" w:color="auto"/>
            </w:tcBorders>
            <w:hideMark/>
          </w:tcPr>
          <w:p w14:paraId="769DEA1D" w14:textId="77777777" w:rsidR="00E8077D" w:rsidRPr="00B50018" w:rsidRDefault="00E8077D" w:rsidP="008D41A0">
            <w:pPr>
              <w:widowControl/>
              <w:spacing w:before="120"/>
              <w:jc w:val="both"/>
              <w:rPr>
                <w:b/>
                <w:bCs/>
                <w:i/>
                <w:sz w:val="22"/>
                <w:szCs w:val="22"/>
              </w:rPr>
            </w:pPr>
            <w:r w:rsidRPr="00B50018">
              <w:rPr>
                <w:b/>
                <w:i/>
                <w:sz w:val="22"/>
              </w:rPr>
              <w:lastRenderedPageBreak/>
              <w:t>Parte A: modello di monitoraggio del suolo di livello 1</w:t>
            </w:r>
          </w:p>
          <w:p w14:paraId="232B5C50" w14:textId="77777777" w:rsidR="00E8077D" w:rsidRPr="00B50018" w:rsidRDefault="00E8077D" w:rsidP="008D41A0">
            <w:pPr>
              <w:widowControl/>
              <w:spacing w:before="120"/>
              <w:jc w:val="both"/>
              <w:rPr>
                <w:b/>
                <w:bCs/>
                <w:i/>
                <w:sz w:val="22"/>
                <w:szCs w:val="22"/>
              </w:rPr>
            </w:pPr>
            <w:r w:rsidRPr="00B50018">
              <w:rPr>
                <w:b/>
                <w:i/>
                <w:sz w:val="22"/>
              </w:rPr>
              <w:t>Uno Stato membro si qualifica per il modello di monitoraggio del suolo di livello 1 se soddisfa tutti i criteri definiti nella colonna 2 e include tutti i descrittori del suolo.</w:t>
            </w:r>
          </w:p>
        </w:tc>
      </w:tr>
      <w:tr w:rsidR="00E8077D" w:rsidRPr="00B50018" w14:paraId="4FF33D8D" w14:textId="77777777" w:rsidTr="008D41A0">
        <w:tc>
          <w:tcPr>
            <w:tcW w:w="8926" w:type="dxa"/>
            <w:gridSpan w:val="4"/>
            <w:tcBorders>
              <w:top w:val="single" w:sz="4" w:space="0" w:color="auto"/>
              <w:left w:val="single" w:sz="4" w:space="0" w:color="auto"/>
              <w:bottom w:val="single" w:sz="4" w:space="0" w:color="auto"/>
              <w:right w:val="single" w:sz="4" w:space="0" w:color="auto"/>
            </w:tcBorders>
            <w:hideMark/>
          </w:tcPr>
          <w:p w14:paraId="64A603F8" w14:textId="77777777" w:rsidR="00E8077D" w:rsidRPr="00B50018" w:rsidRDefault="00E8077D" w:rsidP="008D41A0">
            <w:pPr>
              <w:widowControl/>
              <w:spacing w:before="120"/>
              <w:jc w:val="both"/>
              <w:rPr>
                <w:b/>
                <w:bCs/>
                <w:i/>
                <w:sz w:val="22"/>
                <w:szCs w:val="22"/>
              </w:rPr>
            </w:pPr>
            <w:r w:rsidRPr="00B50018">
              <w:rPr>
                <w:b/>
                <w:i/>
                <w:sz w:val="22"/>
              </w:rPr>
              <w:t>Modalità di campionamento</w:t>
            </w:r>
          </w:p>
        </w:tc>
      </w:tr>
      <w:tr w:rsidR="00E8077D" w:rsidRPr="00B50018" w14:paraId="0F32270C"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418D18BF" w14:textId="77777777" w:rsidR="00E8077D" w:rsidRPr="00B50018" w:rsidRDefault="00E8077D" w:rsidP="008D41A0">
            <w:pPr>
              <w:widowControl/>
              <w:spacing w:before="120"/>
              <w:jc w:val="both"/>
              <w:rPr>
                <w:b/>
                <w:bCs/>
                <w:i/>
                <w:iCs/>
                <w:sz w:val="22"/>
                <w:szCs w:val="22"/>
              </w:rPr>
            </w:pPr>
            <w:r w:rsidRPr="00B50018">
              <w:rPr>
                <w:b/>
                <w:i/>
                <w:sz w:val="22"/>
              </w:rPr>
              <w:lastRenderedPageBreak/>
              <w:t>Metodologia di riferimento</w:t>
            </w:r>
          </w:p>
        </w:tc>
        <w:tc>
          <w:tcPr>
            <w:tcW w:w="2741" w:type="dxa"/>
            <w:tcBorders>
              <w:top w:val="single" w:sz="4" w:space="0" w:color="auto"/>
              <w:left w:val="single" w:sz="4" w:space="0" w:color="auto"/>
              <w:bottom w:val="single" w:sz="4" w:space="0" w:color="auto"/>
              <w:right w:val="single" w:sz="4" w:space="0" w:color="auto"/>
            </w:tcBorders>
            <w:hideMark/>
          </w:tcPr>
          <w:p w14:paraId="5CFB3F03" w14:textId="77777777" w:rsidR="00E8077D" w:rsidRPr="00B50018" w:rsidRDefault="00E8077D" w:rsidP="008D41A0">
            <w:pPr>
              <w:widowControl/>
              <w:spacing w:before="120"/>
              <w:jc w:val="both"/>
              <w:rPr>
                <w:b/>
                <w:bCs/>
                <w:i/>
                <w:iCs/>
                <w:sz w:val="22"/>
                <w:szCs w:val="22"/>
              </w:rPr>
            </w:pPr>
            <w:r w:rsidRPr="00B50018">
              <w:rPr>
                <w:b/>
                <w:i/>
                <w:sz w:val="22"/>
              </w:rPr>
              <w:t>Criteri da soddisfare</w:t>
            </w:r>
          </w:p>
        </w:tc>
        <w:tc>
          <w:tcPr>
            <w:tcW w:w="2059" w:type="dxa"/>
            <w:tcBorders>
              <w:top w:val="single" w:sz="4" w:space="0" w:color="auto"/>
              <w:left w:val="single" w:sz="4" w:space="0" w:color="auto"/>
              <w:bottom w:val="single" w:sz="4" w:space="0" w:color="auto"/>
              <w:right w:val="single" w:sz="4" w:space="0" w:color="auto"/>
            </w:tcBorders>
            <w:hideMark/>
          </w:tcPr>
          <w:p w14:paraId="2DAD37F3" w14:textId="77777777" w:rsidR="00E8077D" w:rsidRPr="00B50018" w:rsidRDefault="00E8077D" w:rsidP="008D41A0">
            <w:pPr>
              <w:widowControl/>
              <w:spacing w:before="120"/>
              <w:jc w:val="both"/>
              <w:rPr>
                <w:b/>
                <w:bCs/>
                <w:i/>
                <w:iCs/>
                <w:sz w:val="22"/>
                <w:szCs w:val="22"/>
              </w:rPr>
            </w:pPr>
            <w:r w:rsidRPr="00B50018">
              <w:rPr>
                <w:b/>
                <w:i/>
                <w:sz w:val="22"/>
              </w:rPr>
              <w:t>Eccezioni</w:t>
            </w:r>
          </w:p>
        </w:tc>
        <w:tc>
          <w:tcPr>
            <w:tcW w:w="1304" w:type="dxa"/>
            <w:tcBorders>
              <w:top w:val="single" w:sz="4" w:space="0" w:color="auto"/>
              <w:left w:val="single" w:sz="4" w:space="0" w:color="auto"/>
              <w:bottom w:val="single" w:sz="4" w:space="0" w:color="auto"/>
              <w:right w:val="single" w:sz="4" w:space="0" w:color="auto"/>
            </w:tcBorders>
            <w:hideMark/>
          </w:tcPr>
          <w:p w14:paraId="6948214B" w14:textId="77777777" w:rsidR="00E8077D" w:rsidRPr="00B50018" w:rsidRDefault="00E8077D" w:rsidP="008D41A0">
            <w:pPr>
              <w:widowControl/>
              <w:spacing w:before="120"/>
              <w:jc w:val="both"/>
              <w:rPr>
                <w:b/>
                <w:bCs/>
                <w:i/>
                <w:iCs/>
                <w:sz w:val="22"/>
                <w:szCs w:val="22"/>
              </w:rPr>
            </w:pPr>
            <w:r w:rsidRPr="00B50018">
              <w:rPr>
                <w:b/>
                <w:i/>
                <w:sz w:val="22"/>
              </w:rPr>
              <w:t>Note</w:t>
            </w:r>
          </w:p>
        </w:tc>
      </w:tr>
      <w:tr w:rsidR="00E8077D" w:rsidRPr="00B50018" w14:paraId="5ACC588E"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1210A0F3" w14:textId="77777777" w:rsidR="00E8077D" w:rsidRPr="00B50018" w:rsidRDefault="00E8077D" w:rsidP="008D41A0">
            <w:pPr>
              <w:widowControl/>
              <w:spacing w:before="120"/>
              <w:jc w:val="both"/>
              <w:rPr>
                <w:b/>
                <w:i/>
                <w:sz w:val="22"/>
                <w:szCs w:val="22"/>
              </w:rPr>
            </w:pPr>
            <w:r w:rsidRPr="00B50018">
              <w:rPr>
                <w:b/>
                <w:i/>
                <w:sz w:val="22"/>
              </w:rPr>
              <w:t>L'indagine per campione parte da un quadro di campionamento completo che comprende le migliori informazioni disponibili sulla distribuzione delle proprietà del suolo, compresi tra l'altro i dati risultanti da precedenti misurazioni, sia nazionali che in ambito LUCAS.</w:t>
            </w:r>
          </w:p>
          <w:p w14:paraId="22FB367D" w14:textId="77777777" w:rsidR="00E8077D" w:rsidRPr="00B50018" w:rsidRDefault="00E8077D" w:rsidP="008D41A0">
            <w:pPr>
              <w:widowControl/>
              <w:spacing w:before="120"/>
              <w:jc w:val="both"/>
              <w:rPr>
                <w:b/>
                <w:i/>
                <w:sz w:val="22"/>
                <w:szCs w:val="22"/>
              </w:rPr>
            </w:pPr>
            <w:r w:rsidRPr="00B50018">
              <w:rPr>
                <w:b/>
                <w:i/>
                <w:sz w:val="22"/>
              </w:rPr>
              <w:t>Lo schema di campionamento deve configurare un campionamento casuale stratificato.</w:t>
            </w:r>
          </w:p>
          <w:p w14:paraId="1A661355" w14:textId="77777777" w:rsidR="00E8077D" w:rsidRPr="00B50018" w:rsidRDefault="00E8077D" w:rsidP="008D41A0">
            <w:pPr>
              <w:widowControl/>
              <w:spacing w:before="120"/>
              <w:jc w:val="both"/>
              <w:rPr>
                <w:b/>
                <w:i/>
                <w:sz w:val="22"/>
                <w:szCs w:val="22"/>
              </w:rPr>
            </w:pPr>
            <w:r w:rsidRPr="00B50018">
              <w:rPr>
                <w:b/>
                <w:i/>
                <w:sz w:val="22"/>
              </w:rPr>
              <w:t>Per stimare l'area di suolo sano, le dimensioni del campione nazionale devono soddisfare il requisito di errore massimo percentuale (o coefficiente di variazione) del 5 %.</w:t>
            </w:r>
          </w:p>
          <w:p w14:paraId="59006703" w14:textId="77777777" w:rsidR="00E8077D" w:rsidRPr="00B50018" w:rsidRDefault="00E8077D" w:rsidP="008D41A0">
            <w:pPr>
              <w:widowControl/>
              <w:spacing w:before="120"/>
              <w:jc w:val="both"/>
              <w:rPr>
                <w:b/>
                <w:i/>
                <w:sz w:val="22"/>
                <w:szCs w:val="22"/>
              </w:rPr>
            </w:pPr>
            <w:r w:rsidRPr="00B50018">
              <w:rPr>
                <w:b/>
                <w:i/>
                <w:sz w:val="22"/>
              </w:rPr>
              <w:t>Il campione della Commissione per l'indagine di cui all'articolo 6, paragrafo 4, contribuisce a un minimo del 20 % delle dimensioni dei campioni nazionali.</w:t>
            </w:r>
          </w:p>
          <w:p w14:paraId="7F7CD4B3" w14:textId="77777777" w:rsidR="00E8077D" w:rsidRPr="00B50018" w:rsidRDefault="00E8077D" w:rsidP="008D41A0">
            <w:pPr>
              <w:widowControl/>
              <w:spacing w:before="120"/>
              <w:jc w:val="both"/>
              <w:rPr>
                <w:b/>
                <w:i/>
                <w:sz w:val="22"/>
                <w:szCs w:val="22"/>
              </w:rPr>
            </w:pPr>
            <w:r w:rsidRPr="00B50018">
              <w:rPr>
                <w:b/>
                <w:i/>
                <w:sz w:val="22"/>
              </w:rPr>
              <w:t>La distribuzione e le dimensioni del campione sono determinate applicando l'algoritmo Bethel (Bethel, 1989) che tiene conto del requisito di errore massimo di stima.</w:t>
            </w:r>
          </w:p>
        </w:tc>
        <w:tc>
          <w:tcPr>
            <w:tcW w:w="2741" w:type="dxa"/>
            <w:tcBorders>
              <w:top w:val="single" w:sz="4" w:space="0" w:color="auto"/>
              <w:left w:val="single" w:sz="4" w:space="0" w:color="auto"/>
              <w:bottom w:val="single" w:sz="4" w:space="0" w:color="auto"/>
              <w:right w:val="single" w:sz="4" w:space="0" w:color="auto"/>
            </w:tcBorders>
            <w:hideMark/>
          </w:tcPr>
          <w:p w14:paraId="72F8C578" w14:textId="77777777" w:rsidR="00E8077D" w:rsidRPr="00B50018" w:rsidRDefault="00E8077D" w:rsidP="008D41A0">
            <w:pPr>
              <w:widowControl/>
              <w:spacing w:before="120"/>
              <w:jc w:val="both"/>
              <w:rPr>
                <w:b/>
                <w:i/>
                <w:sz w:val="22"/>
                <w:szCs w:val="22"/>
              </w:rPr>
            </w:pPr>
            <w:r w:rsidRPr="00B50018">
              <w:rPr>
                <w:b/>
                <w:i/>
                <w:sz w:val="22"/>
              </w:rPr>
              <w:t xml:space="preserve">a) Campionamento casuale stratificato basato sul tipo di suolo; gli </w:t>
            </w:r>
            <w:proofErr w:type="spellStart"/>
            <w:r w:rsidRPr="00B50018">
              <w:rPr>
                <w:b/>
                <w:i/>
                <w:sz w:val="22"/>
              </w:rPr>
              <w:t>stratificatori</w:t>
            </w:r>
            <w:proofErr w:type="spellEnd"/>
            <w:r w:rsidRPr="00B50018">
              <w:rPr>
                <w:b/>
                <w:i/>
                <w:sz w:val="22"/>
              </w:rPr>
              <w:t xml:space="preserve"> possono includere le condizioni climatiche, il tipo di suolo, il tipo di terreno e le regioni amministrative a norma dell'articolo 4.</w:t>
            </w:r>
          </w:p>
          <w:p w14:paraId="4CBC82E8" w14:textId="77777777" w:rsidR="00E8077D" w:rsidRPr="00B50018" w:rsidRDefault="00E8077D" w:rsidP="008D41A0">
            <w:pPr>
              <w:widowControl/>
              <w:spacing w:before="120"/>
              <w:jc w:val="both"/>
              <w:rPr>
                <w:b/>
                <w:i/>
                <w:sz w:val="22"/>
                <w:szCs w:val="22"/>
              </w:rPr>
            </w:pPr>
            <w:r w:rsidRPr="00B50018">
              <w:rPr>
                <w:b/>
                <w:i/>
                <w:sz w:val="22"/>
              </w:rPr>
              <w:t>b) La stima del numero di campioni è conforme all'uso dell'algoritmo Bethel, che tiene conto del requisito di errore massimo di stima.</w:t>
            </w:r>
          </w:p>
          <w:p w14:paraId="76F6D0ED" w14:textId="77777777" w:rsidR="00E8077D" w:rsidRPr="00B50018" w:rsidRDefault="00E8077D" w:rsidP="008D41A0">
            <w:pPr>
              <w:widowControl/>
              <w:spacing w:before="120"/>
              <w:jc w:val="both"/>
              <w:rPr>
                <w:b/>
                <w:i/>
                <w:sz w:val="22"/>
                <w:szCs w:val="22"/>
              </w:rPr>
            </w:pPr>
            <w:r w:rsidRPr="00B50018">
              <w:rPr>
                <w:b/>
                <w:i/>
                <w:sz w:val="22"/>
              </w:rPr>
              <w:t>c) Una percentuale (fino al 20 % e non meno del 10 %) dei siti di campionamento è destinata a un campionamento mirato relativo alle indagini o alla valutazione del rischio.</w:t>
            </w:r>
          </w:p>
        </w:tc>
        <w:tc>
          <w:tcPr>
            <w:tcW w:w="2059" w:type="dxa"/>
            <w:tcBorders>
              <w:top w:val="single" w:sz="4" w:space="0" w:color="auto"/>
              <w:left w:val="single" w:sz="4" w:space="0" w:color="auto"/>
              <w:bottom w:val="single" w:sz="4" w:space="0" w:color="auto"/>
              <w:right w:val="single" w:sz="4" w:space="0" w:color="auto"/>
            </w:tcBorders>
            <w:hideMark/>
          </w:tcPr>
          <w:p w14:paraId="75B9FB59" w14:textId="77777777" w:rsidR="00E8077D" w:rsidRPr="00B50018" w:rsidRDefault="00E8077D" w:rsidP="008D41A0">
            <w:pPr>
              <w:widowControl/>
              <w:spacing w:before="120"/>
              <w:jc w:val="both"/>
              <w:rPr>
                <w:b/>
                <w:i/>
                <w:sz w:val="22"/>
                <w:szCs w:val="22"/>
              </w:rPr>
            </w:pPr>
            <w:r w:rsidRPr="00B50018">
              <w:rPr>
                <w:b/>
                <w:i/>
                <w:sz w:val="22"/>
              </w:rPr>
              <w:t>Se a livello di Stato membro esiste una modalità di campionamento che soddisfa i criteri stabiliti per il livello 1, è possibile adeguare la metodologia di riferimento o proporre alla Commissione altri approcci in materia di modello, purché il modello attuato fornisca una copertura sufficiente dello Stato membro in linea con la metodologia di riferimento (compresi i campioni nazionali e LUCAS). Nell'adeguare la metodologia di riferimento, gli Stati membri devono comunque rispettare il modello in situ della Commissione.</w:t>
            </w:r>
          </w:p>
        </w:tc>
        <w:tc>
          <w:tcPr>
            <w:tcW w:w="1304" w:type="dxa"/>
            <w:tcBorders>
              <w:top w:val="single" w:sz="4" w:space="0" w:color="auto"/>
              <w:left w:val="single" w:sz="4" w:space="0" w:color="auto"/>
              <w:bottom w:val="single" w:sz="4" w:space="0" w:color="auto"/>
              <w:right w:val="single" w:sz="4" w:space="0" w:color="auto"/>
            </w:tcBorders>
          </w:tcPr>
          <w:p w14:paraId="7AEC6ADB" w14:textId="77777777" w:rsidR="00E8077D" w:rsidRPr="00B50018" w:rsidRDefault="00E8077D" w:rsidP="008D41A0">
            <w:pPr>
              <w:widowControl/>
              <w:spacing w:before="120"/>
              <w:jc w:val="both"/>
              <w:rPr>
                <w:b/>
                <w:i/>
                <w:sz w:val="22"/>
                <w:szCs w:val="22"/>
                <w:lang w:eastAsia="en-US"/>
              </w:rPr>
            </w:pPr>
          </w:p>
        </w:tc>
      </w:tr>
      <w:tr w:rsidR="00E8077D" w:rsidRPr="00B50018" w14:paraId="5933A0DA" w14:textId="77777777" w:rsidTr="008D41A0">
        <w:tc>
          <w:tcPr>
            <w:tcW w:w="8926" w:type="dxa"/>
            <w:gridSpan w:val="4"/>
            <w:tcBorders>
              <w:top w:val="single" w:sz="4" w:space="0" w:color="auto"/>
              <w:left w:val="single" w:sz="4" w:space="0" w:color="auto"/>
              <w:bottom w:val="single" w:sz="4" w:space="0" w:color="auto"/>
              <w:right w:val="single" w:sz="4" w:space="0" w:color="auto"/>
            </w:tcBorders>
            <w:hideMark/>
          </w:tcPr>
          <w:p w14:paraId="6C6E294F" w14:textId="77777777" w:rsidR="00E8077D" w:rsidRPr="00B50018" w:rsidRDefault="00E8077D" w:rsidP="008D41A0">
            <w:pPr>
              <w:widowControl/>
              <w:spacing w:before="120"/>
              <w:jc w:val="both"/>
              <w:rPr>
                <w:b/>
                <w:i/>
                <w:sz w:val="22"/>
                <w:szCs w:val="22"/>
              </w:rPr>
            </w:pPr>
            <w:r w:rsidRPr="00B50018">
              <w:rPr>
                <w:b/>
                <w:i/>
                <w:sz w:val="22"/>
              </w:rPr>
              <w:t>Fattori di degradazione</w:t>
            </w:r>
          </w:p>
        </w:tc>
      </w:tr>
      <w:tr w:rsidR="00E8077D" w:rsidRPr="00B50018" w14:paraId="434DE360"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2CAEAD6E" w14:textId="77777777" w:rsidR="00E8077D" w:rsidRPr="00B50018" w:rsidRDefault="00E8077D" w:rsidP="008D41A0">
            <w:pPr>
              <w:widowControl/>
              <w:spacing w:before="120"/>
              <w:jc w:val="both"/>
              <w:rPr>
                <w:b/>
                <w:i/>
                <w:iCs/>
                <w:sz w:val="22"/>
                <w:szCs w:val="22"/>
              </w:rPr>
            </w:pPr>
            <w:r w:rsidRPr="00B50018">
              <w:rPr>
                <w:b/>
                <w:i/>
                <w:sz w:val="22"/>
              </w:rPr>
              <w:t>Fattore di degradazione</w:t>
            </w:r>
          </w:p>
        </w:tc>
        <w:tc>
          <w:tcPr>
            <w:tcW w:w="2741" w:type="dxa"/>
            <w:tcBorders>
              <w:top w:val="single" w:sz="4" w:space="0" w:color="auto"/>
              <w:left w:val="single" w:sz="4" w:space="0" w:color="auto"/>
              <w:bottom w:val="single" w:sz="4" w:space="0" w:color="auto"/>
              <w:right w:val="single" w:sz="4" w:space="0" w:color="auto"/>
            </w:tcBorders>
            <w:hideMark/>
          </w:tcPr>
          <w:p w14:paraId="44400D75" w14:textId="77777777" w:rsidR="00E8077D" w:rsidRPr="00B50018" w:rsidRDefault="00E8077D" w:rsidP="008D41A0">
            <w:pPr>
              <w:widowControl/>
              <w:spacing w:before="120"/>
              <w:jc w:val="both"/>
              <w:rPr>
                <w:b/>
                <w:bCs/>
                <w:i/>
                <w:iCs/>
                <w:sz w:val="22"/>
                <w:szCs w:val="22"/>
              </w:rPr>
            </w:pPr>
            <w:r w:rsidRPr="00B50018">
              <w:rPr>
                <w:b/>
                <w:i/>
                <w:sz w:val="22"/>
              </w:rPr>
              <w:t>Descrittore del suolo</w:t>
            </w:r>
          </w:p>
        </w:tc>
        <w:tc>
          <w:tcPr>
            <w:tcW w:w="2059" w:type="dxa"/>
            <w:tcBorders>
              <w:top w:val="single" w:sz="4" w:space="0" w:color="auto"/>
              <w:left w:val="single" w:sz="4" w:space="0" w:color="auto"/>
              <w:bottom w:val="single" w:sz="4" w:space="0" w:color="auto"/>
              <w:right w:val="single" w:sz="4" w:space="0" w:color="auto"/>
            </w:tcBorders>
            <w:hideMark/>
          </w:tcPr>
          <w:p w14:paraId="685119B1" w14:textId="77777777" w:rsidR="00E8077D" w:rsidRPr="00B50018" w:rsidRDefault="00E8077D" w:rsidP="008D41A0">
            <w:pPr>
              <w:widowControl/>
              <w:spacing w:before="120"/>
              <w:jc w:val="both"/>
              <w:rPr>
                <w:b/>
                <w:bCs/>
                <w:i/>
                <w:iCs/>
                <w:sz w:val="22"/>
                <w:szCs w:val="22"/>
              </w:rPr>
            </w:pPr>
            <w:r w:rsidRPr="00B50018">
              <w:rPr>
                <w:b/>
                <w:i/>
                <w:sz w:val="22"/>
              </w:rPr>
              <w:t>Eccezioni</w:t>
            </w:r>
          </w:p>
        </w:tc>
        <w:tc>
          <w:tcPr>
            <w:tcW w:w="1304" w:type="dxa"/>
            <w:tcBorders>
              <w:top w:val="single" w:sz="4" w:space="0" w:color="auto"/>
              <w:left w:val="single" w:sz="4" w:space="0" w:color="auto"/>
              <w:bottom w:val="single" w:sz="4" w:space="0" w:color="auto"/>
              <w:right w:val="single" w:sz="4" w:space="0" w:color="auto"/>
            </w:tcBorders>
            <w:hideMark/>
          </w:tcPr>
          <w:p w14:paraId="0A53937D" w14:textId="77777777" w:rsidR="00E8077D" w:rsidRPr="00B50018" w:rsidRDefault="00E8077D" w:rsidP="008D41A0">
            <w:pPr>
              <w:widowControl/>
              <w:spacing w:before="120"/>
              <w:jc w:val="both"/>
              <w:rPr>
                <w:b/>
                <w:bCs/>
                <w:i/>
                <w:iCs/>
                <w:sz w:val="22"/>
                <w:szCs w:val="22"/>
              </w:rPr>
            </w:pPr>
            <w:r w:rsidRPr="00B50018">
              <w:rPr>
                <w:b/>
                <w:i/>
                <w:sz w:val="22"/>
              </w:rPr>
              <w:t>Note</w:t>
            </w:r>
          </w:p>
        </w:tc>
      </w:tr>
      <w:tr w:rsidR="00E8077D" w:rsidRPr="00B50018" w14:paraId="40AEB751"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1E189FDC" w14:textId="77777777" w:rsidR="00E8077D" w:rsidRPr="00B50018" w:rsidRDefault="00E8077D" w:rsidP="008D41A0">
            <w:pPr>
              <w:widowControl/>
              <w:spacing w:before="120"/>
              <w:jc w:val="both"/>
              <w:rPr>
                <w:b/>
                <w:i/>
                <w:sz w:val="22"/>
                <w:szCs w:val="22"/>
              </w:rPr>
            </w:pPr>
            <w:r w:rsidRPr="00B50018">
              <w:rPr>
                <w:b/>
                <w:i/>
                <w:sz w:val="22"/>
              </w:rPr>
              <w:t>Erosione del suolo</w:t>
            </w:r>
          </w:p>
        </w:tc>
        <w:tc>
          <w:tcPr>
            <w:tcW w:w="2741" w:type="dxa"/>
            <w:tcBorders>
              <w:top w:val="single" w:sz="4" w:space="0" w:color="auto"/>
              <w:left w:val="single" w:sz="4" w:space="0" w:color="auto"/>
              <w:bottom w:val="single" w:sz="4" w:space="0" w:color="auto"/>
              <w:right w:val="single" w:sz="4" w:space="0" w:color="auto"/>
            </w:tcBorders>
            <w:hideMark/>
          </w:tcPr>
          <w:p w14:paraId="31B9876D" w14:textId="77777777" w:rsidR="00E8077D" w:rsidRPr="00B50018" w:rsidRDefault="00E8077D" w:rsidP="008D41A0">
            <w:pPr>
              <w:widowControl/>
              <w:spacing w:before="120" w:after="160" w:line="252" w:lineRule="auto"/>
              <w:ind w:left="346" w:hanging="360"/>
              <w:contextualSpacing/>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Tasso di erosione del suolo (tonnellate di perdita di suolo per ettaro/anno (t ha</w:t>
            </w:r>
            <w:r w:rsidRPr="00B50018">
              <w:rPr>
                <w:b/>
                <w:i/>
                <w:sz w:val="22"/>
                <w:vertAlign w:val="superscript"/>
              </w:rPr>
              <w:t xml:space="preserve">-1 </w:t>
            </w:r>
            <w:r w:rsidRPr="00B50018">
              <w:rPr>
                <w:b/>
                <w:i/>
                <w:sz w:val="22"/>
              </w:rPr>
              <w:t>a</w:t>
            </w:r>
            <w:r w:rsidRPr="00B50018">
              <w:rPr>
                <w:b/>
                <w:i/>
                <w:sz w:val="22"/>
                <w:vertAlign w:val="superscript"/>
              </w:rPr>
              <w:t>-1</w:t>
            </w:r>
            <w:r w:rsidRPr="00B50018">
              <w:rPr>
                <w:b/>
                <w:i/>
                <w:sz w:val="22"/>
              </w:rPr>
              <w:t>))</w:t>
            </w:r>
          </w:p>
        </w:tc>
        <w:tc>
          <w:tcPr>
            <w:tcW w:w="2059" w:type="dxa"/>
            <w:tcBorders>
              <w:top w:val="single" w:sz="4" w:space="0" w:color="auto"/>
              <w:left w:val="single" w:sz="4" w:space="0" w:color="auto"/>
              <w:bottom w:val="single" w:sz="4" w:space="0" w:color="auto"/>
              <w:right w:val="single" w:sz="4" w:space="0" w:color="auto"/>
            </w:tcBorders>
            <w:hideMark/>
          </w:tcPr>
          <w:p w14:paraId="358D2588" w14:textId="77777777" w:rsidR="00E8077D" w:rsidRPr="00B50018" w:rsidRDefault="00E8077D" w:rsidP="008D41A0">
            <w:pPr>
              <w:widowControl/>
              <w:spacing w:before="120"/>
              <w:jc w:val="both"/>
              <w:rPr>
                <w:b/>
                <w:i/>
                <w:sz w:val="22"/>
                <w:szCs w:val="22"/>
              </w:rPr>
            </w:pPr>
            <w:r w:rsidRPr="00B50018">
              <w:rPr>
                <w:b/>
                <w:i/>
                <w:sz w:val="22"/>
              </w:rPr>
              <w:t>-</w:t>
            </w:r>
          </w:p>
        </w:tc>
        <w:tc>
          <w:tcPr>
            <w:tcW w:w="1304" w:type="dxa"/>
            <w:tcBorders>
              <w:top w:val="single" w:sz="4" w:space="0" w:color="auto"/>
              <w:left w:val="single" w:sz="4" w:space="0" w:color="auto"/>
              <w:bottom w:val="single" w:sz="4" w:space="0" w:color="auto"/>
              <w:right w:val="single" w:sz="4" w:space="0" w:color="auto"/>
            </w:tcBorders>
          </w:tcPr>
          <w:p w14:paraId="02E5B072" w14:textId="77777777" w:rsidR="00E8077D" w:rsidRPr="00B50018" w:rsidRDefault="00E8077D" w:rsidP="008D41A0">
            <w:pPr>
              <w:widowControl/>
              <w:spacing w:before="120"/>
              <w:jc w:val="both"/>
              <w:rPr>
                <w:b/>
                <w:i/>
                <w:sz w:val="22"/>
                <w:szCs w:val="22"/>
                <w:lang w:eastAsia="en-US"/>
              </w:rPr>
            </w:pPr>
          </w:p>
        </w:tc>
      </w:tr>
      <w:tr w:rsidR="00E8077D" w:rsidRPr="00B50018" w14:paraId="2203011D"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09BB7739" w14:textId="77777777" w:rsidR="00E8077D" w:rsidRPr="00B50018" w:rsidRDefault="00E8077D" w:rsidP="008D41A0">
            <w:pPr>
              <w:widowControl/>
              <w:spacing w:before="120"/>
              <w:jc w:val="both"/>
              <w:rPr>
                <w:b/>
                <w:i/>
                <w:sz w:val="22"/>
                <w:szCs w:val="22"/>
              </w:rPr>
            </w:pPr>
            <w:r w:rsidRPr="00B50018">
              <w:rPr>
                <w:b/>
                <w:i/>
                <w:sz w:val="22"/>
              </w:rPr>
              <w:t>Perdita di carbonio organico nel suolo</w:t>
            </w:r>
          </w:p>
        </w:tc>
        <w:tc>
          <w:tcPr>
            <w:tcW w:w="2741" w:type="dxa"/>
            <w:tcBorders>
              <w:top w:val="single" w:sz="4" w:space="0" w:color="auto"/>
              <w:left w:val="single" w:sz="4" w:space="0" w:color="auto"/>
              <w:bottom w:val="single" w:sz="4" w:space="0" w:color="auto"/>
              <w:right w:val="single" w:sz="4" w:space="0" w:color="auto"/>
            </w:tcBorders>
            <w:hideMark/>
          </w:tcPr>
          <w:p w14:paraId="77D9732F" w14:textId="77777777" w:rsidR="00E8077D" w:rsidRPr="00B50018" w:rsidRDefault="00E8077D" w:rsidP="008D41A0">
            <w:pPr>
              <w:widowControl/>
              <w:spacing w:before="120" w:after="160" w:line="252" w:lineRule="auto"/>
              <w:ind w:left="346" w:hanging="360"/>
              <w:contextualSpacing/>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Concentrazione di carbonio organico nel suolo (</w:t>
            </w:r>
            <w:proofErr w:type="spellStart"/>
            <w:r w:rsidRPr="00B50018">
              <w:rPr>
                <w:b/>
                <w:i/>
                <w:sz w:val="22"/>
              </w:rPr>
              <w:t>Soil</w:t>
            </w:r>
            <w:proofErr w:type="spellEnd"/>
            <w:r w:rsidRPr="00B50018">
              <w:rPr>
                <w:b/>
                <w:i/>
                <w:sz w:val="22"/>
              </w:rPr>
              <w:t xml:space="preserve"> </w:t>
            </w:r>
            <w:proofErr w:type="spellStart"/>
            <w:r w:rsidRPr="00B50018">
              <w:rPr>
                <w:b/>
                <w:i/>
                <w:sz w:val="22"/>
              </w:rPr>
              <w:t>Organic</w:t>
            </w:r>
            <w:proofErr w:type="spellEnd"/>
            <w:r w:rsidRPr="00B50018">
              <w:rPr>
                <w:b/>
                <w:i/>
                <w:sz w:val="22"/>
              </w:rPr>
              <w:t xml:space="preserve"> Carbon, SOC) (g di carbonio per kg (g kg</w:t>
            </w:r>
            <w:r w:rsidRPr="00B50018">
              <w:rPr>
                <w:b/>
                <w:i/>
                <w:sz w:val="22"/>
                <w:vertAlign w:val="superscript"/>
              </w:rPr>
              <w:t>-1</w:t>
            </w:r>
            <w:r w:rsidRPr="00B50018">
              <w:rPr>
                <w:b/>
                <w:i/>
                <w:sz w:val="22"/>
              </w:rPr>
              <w:t>))</w:t>
            </w:r>
          </w:p>
        </w:tc>
        <w:tc>
          <w:tcPr>
            <w:tcW w:w="2059" w:type="dxa"/>
            <w:tcBorders>
              <w:top w:val="single" w:sz="4" w:space="0" w:color="auto"/>
              <w:left w:val="single" w:sz="4" w:space="0" w:color="auto"/>
              <w:bottom w:val="single" w:sz="4" w:space="0" w:color="auto"/>
              <w:right w:val="single" w:sz="4" w:space="0" w:color="auto"/>
            </w:tcBorders>
            <w:hideMark/>
          </w:tcPr>
          <w:p w14:paraId="6C24DC17" w14:textId="77777777" w:rsidR="00E8077D" w:rsidRPr="00B50018" w:rsidRDefault="00E8077D" w:rsidP="008D41A0">
            <w:pPr>
              <w:widowControl/>
              <w:spacing w:before="120"/>
              <w:jc w:val="both"/>
              <w:rPr>
                <w:b/>
                <w:i/>
                <w:sz w:val="22"/>
                <w:szCs w:val="22"/>
              </w:rPr>
            </w:pPr>
            <w:r w:rsidRPr="00B50018">
              <w:rPr>
                <w:b/>
                <w:i/>
                <w:sz w:val="22"/>
              </w:rPr>
              <w:t>-</w:t>
            </w:r>
          </w:p>
        </w:tc>
        <w:tc>
          <w:tcPr>
            <w:tcW w:w="1304" w:type="dxa"/>
            <w:tcBorders>
              <w:top w:val="single" w:sz="4" w:space="0" w:color="auto"/>
              <w:left w:val="single" w:sz="4" w:space="0" w:color="auto"/>
              <w:bottom w:val="single" w:sz="4" w:space="0" w:color="auto"/>
              <w:right w:val="single" w:sz="4" w:space="0" w:color="auto"/>
            </w:tcBorders>
            <w:hideMark/>
          </w:tcPr>
          <w:p w14:paraId="5D1C4EAC"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w:t>
            </w:r>
          </w:p>
        </w:tc>
      </w:tr>
      <w:tr w:rsidR="00E8077D" w:rsidRPr="00B50018" w14:paraId="3FEE965F"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684E8D33" w14:textId="77777777" w:rsidR="00E8077D" w:rsidRPr="00B50018" w:rsidRDefault="00E8077D" w:rsidP="008D41A0">
            <w:pPr>
              <w:widowControl/>
              <w:spacing w:before="120"/>
              <w:jc w:val="both"/>
              <w:rPr>
                <w:b/>
                <w:i/>
                <w:sz w:val="22"/>
                <w:szCs w:val="22"/>
              </w:rPr>
            </w:pPr>
            <w:r w:rsidRPr="00B50018">
              <w:rPr>
                <w:b/>
                <w:i/>
                <w:sz w:val="22"/>
              </w:rPr>
              <w:lastRenderedPageBreak/>
              <w:t>Compattazione del suolo</w:t>
            </w:r>
          </w:p>
        </w:tc>
        <w:tc>
          <w:tcPr>
            <w:tcW w:w="2741" w:type="dxa"/>
            <w:tcBorders>
              <w:top w:val="single" w:sz="4" w:space="0" w:color="auto"/>
              <w:left w:val="single" w:sz="4" w:space="0" w:color="auto"/>
              <w:bottom w:val="single" w:sz="4" w:space="0" w:color="auto"/>
              <w:right w:val="single" w:sz="4" w:space="0" w:color="auto"/>
            </w:tcBorders>
            <w:hideMark/>
          </w:tcPr>
          <w:p w14:paraId="288BCB4D" w14:textId="77777777" w:rsidR="00E8077D" w:rsidRPr="00B50018" w:rsidRDefault="00E8077D" w:rsidP="008D41A0">
            <w:pPr>
              <w:widowControl/>
              <w:spacing w:before="120" w:after="160" w:line="252" w:lineRule="auto"/>
              <w:ind w:left="346" w:hanging="360"/>
              <w:contextualSpacing/>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Densità apparente dello strato superficiale (g cm</w:t>
            </w:r>
            <w:r w:rsidRPr="00B50018">
              <w:rPr>
                <w:b/>
                <w:i/>
                <w:sz w:val="22"/>
                <w:vertAlign w:val="superscript"/>
              </w:rPr>
              <w:t>-3</w:t>
            </w:r>
            <w:r w:rsidRPr="00B50018">
              <w:rPr>
                <w:b/>
                <w:i/>
                <w:sz w:val="22"/>
              </w:rPr>
              <w:t>)</w:t>
            </w:r>
          </w:p>
        </w:tc>
        <w:tc>
          <w:tcPr>
            <w:tcW w:w="2059" w:type="dxa"/>
            <w:tcBorders>
              <w:top w:val="single" w:sz="4" w:space="0" w:color="auto"/>
              <w:left w:val="single" w:sz="4" w:space="0" w:color="auto"/>
              <w:bottom w:val="single" w:sz="4" w:space="0" w:color="auto"/>
              <w:right w:val="single" w:sz="4" w:space="0" w:color="auto"/>
            </w:tcBorders>
            <w:hideMark/>
          </w:tcPr>
          <w:p w14:paraId="1603006C" w14:textId="77777777" w:rsidR="00E8077D" w:rsidRPr="00B50018" w:rsidRDefault="00E8077D" w:rsidP="008D41A0">
            <w:pPr>
              <w:widowControl/>
              <w:spacing w:before="120"/>
              <w:rPr>
                <w:b/>
                <w:i/>
                <w:sz w:val="22"/>
                <w:szCs w:val="22"/>
              </w:rPr>
            </w:pPr>
            <w:r w:rsidRPr="00B50018">
              <w:rPr>
                <w:b/>
                <w:i/>
                <w:sz w:val="22"/>
              </w:rPr>
              <w:t>-</w:t>
            </w:r>
          </w:p>
        </w:tc>
        <w:tc>
          <w:tcPr>
            <w:tcW w:w="1304" w:type="dxa"/>
            <w:tcBorders>
              <w:top w:val="single" w:sz="4" w:space="0" w:color="auto"/>
              <w:left w:val="single" w:sz="4" w:space="0" w:color="auto"/>
              <w:bottom w:val="single" w:sz="4" w:space="0" w:color="auto"/>
              <w:right w:val="single" w:sz="4" w:space="0" w:color="auto"/>
            </w:tcBorders>
            <w:hideMark/>
          </w:tcPr>
          <w:p w14:paraId="0C33F299"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0723240A"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3F0B9C98" w14:textId="77777777" w:rsidR="00E8077D" w:rsidRPr="00B50018" w:rsidRDefault="00E8077D" w:rsidP="008D41A0">
            <w:pPr>
              <w:widowControl/>
              <w:spacing w:before="120"/>
              <w:jc w:val="both"/>
              <w:rPr>
                <w:b/>
                <w:i/>
                <w:sz w:val="22"/>
                <w:szCs w:val="22"/>
              </w:rPr>
            </w:pPr>
            <w:r w:rsidRPr="00B50018">
              <w:rPr>
                <w:b/>
                <w:i/>
                <w:sz w:val="22"/>
              </w:rPr>
              <w:t>Tenore di nutrienti in eccesso nel suolo</w:t>
            </w:r>
          </w:p>
        </w:tc>
        <w:tc>
          <w:tcPr>
            <w:tcW w:w="2741" w:type="dxa"/>
            <w:tcBorders>
              <w:top w:val="single" w:sz="4" w:space="0" w:color="auto"/>
              <w:left w:val="single" w:sz="4" w:space="0" w:color="auto"/>
              <w:bottom w:val="single" w:sz="4" w:space="0" w:color="auto"/>
              <w:right w:val="single" w:sz="4" w:space="0" w:color="auto"/>
            </w:tcBorders>
            <w:hideMark/>
          </w:tcPr>
          <w:p w14:paraId="3B834424" w14:textId="77777777" w:rsidR="00E8077D" w:rsidRPr="00B50018" w:rsidRDefault="00E8077D" w:rsidP="008D41A0">
            <w:pPr>
              <w:widowControl/>
              <w:spacing w:before="120" w:after="160" w:line="252" w:lineRule="auto"/>
              <w:ind w:left="346" w:hanging="360"/>
              <w:contextualSpacing/>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Fosforo disponibile (mg kg</w:t>
            </w:r>
            <w:r w:rsidRPr="00B50018">
              <w:rPr>
                <w:b/>
                <w:i/>
                <w:sz w:val="22"/>
                <w:vertAlign w:val="superscript"/>
              </w:rPr>
              <w:t>-1</w:t>
            </w:r>
            <w:r w:rsidRPr="00B50018">
              <w:rPr>
                <w:b/>
                <w:i/>
                <w:sz w:val="22"/>
              </w:rPr>
              <w:t>)</w:t>
            </w:r>
          </w:p>
          <w:p w14:paraId="35D9F983" w14:textId="77777777" w:rsidR="00E8077D" w:rsidRPr="00B50018" w:rsidRDefault="00E8077D" w:rsidP="008D41A0">
            <w:pPr>
              <w:widowControl/>
              <w:spacing w:before="120" w:after="160" w:line="252" w:lineRule="auto"/>
              <w:ind w:left="346" w:hanging="360"/>
              <w:contextualSpacing/>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Azoto totale nel suolo (mg g</w:t>
            </w:r>
            <w:r w:rsidRPr="00B50018">
              <w:rPr>
                <w:b/>
                <w:i/>
                <w:sz w:val="22"/>
                <w:vertAlign w:val="superscript"/>
              </w:rPr>
              <w:t>-1</w:t>
            </w:r>
            <w:r w:rsidRPr="00B50018">
              <w:rPr>
                <w:b/>
                <w:i/>
                <w:sz w:val="22"/>
              </w:rPr>
              <w:t>)</w:t>
            </w:r>
          </w:p>
        </w:tc>
        <w:tc>
          <w:tcPr>
            <w:tcW w:w="2059" w:type="dxa"/>
            <w:tcBorders>
              <w:top w:val="single" w:sz="4" w:space="0" w:color="auto"/>
              <w:left w:val="single" w:sz="4" w:space="0" w:color="auto"/>
              <w:bottom w:val="single" w:sz="4" w:space="0" w:color="auto"/>
              <w:right w:val="single" w:sz="4" w:space="0" w:color="auto"/>
            </w:tcBorders>
            <w:hideMark/>
          </w:tcPr>
          <w:p w14:paraId="0645E7AB" w14:textId="77777777" w:rsidR="00E8077D" w:rsidRPr="00B50018" w:rsidRDefault="00E8077D" w:rsidP="008D41A0">
            <w:pPr>
              <w:widowControl/>
              <w:spacing w:before="120"/>
              <w:jc w:val="both"/>
              <w:rPr>
                <w:b/>
                <w:i/>
                <w:sz w:val="22"/>
                <w:szCs w:val="22"/>
              </w:rPr>
            </w:pPr>
            <w:r w:rsidRPr="00B50018">
              <w:rPr>
                <w:b/>
                <w:i/>
                <w:sz w:val="22"/>
              </w:rPr>
              <w:t>-</w:t>
            </w:r>
          </w:p>
        </w:tc>
        <w:tc>
          <w:tcPr>
            <w:tcW w:w="1304" w:type="dxa"/>
            <w:tcBorders>
              <w:top w:val="single" w:sz="4" w:space="0" w:color="auto"/>
              <w:left w:val="single" w:sz="4" w:space="0" w:color="auto"/>
              <w:bottom w:val="single" w:sz="4" w:space="0" w:color="auto"/>
              <w:right w:val="single" w:sz="4" w:space="0" w:color="auto"/>
            </w:tcBorders>
            <w:hideMark/>
          </w:tcPr>
          <w:p w14:paraId="42D52CC4" w14:textId="77777777" w:rsidR="00E8077D" w:rsidRPr="00B50018" w:rsidRDefault="00E8077D" w:rsidP="008D41A0">
            <w:pPr>
              <w:widowControl/>
              <w:spacing w:before="120"/>
              <w:jc w:val="both"/>
              <w:rPr>
                <w:b/>
                <w:i/>
                <w:iCs/>
                <w:sz w:val="22"/>
                <w:szCs w:val="22"/>
              </w:rPr>
            </w:pPr>
            <w:r w:rsidRPr="00B50018">
              <w:rPr>
                <w:b/>
                <w:i/>
                <w:sz w:val="22"/>
              </w:rPr>
              <w:t>Da effettuare per lo strato superficiale (0-10 cm, 10-30 cm)</w:t>
            </w:r>
          </w:p>
        </w:tc>
      </w:tr>
      <w:tr w:rsidR="00E8077D" w:rsidRPr="00B50018" w14:paraId="52075B79"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6A2A3606" w14:textId="77777777" w:rsidR="00E8077D" w:rsidRPr="00B50018" w:rsidRDefault="00E8077D" w:rsidP="008D41A0">
            <w:pPr>
              <w:widowControl/>
              <w:spacing w:before="120"/>
              <w:jc w:val="both"/>
              <w:rPr>
                <w:b/>
                <w:i/>
                <w:sz w:val="22"/>
                <w:szCs w:val="22"/>
              </w:rPr>
            </w:pPr>
            <w:r w:rsidRPr="00B50018">
              <w:rPr>
                <w:b/>
                <w:i/>
                <w:sz w:val="22"/>
              </w:rPr>
              <w:t>Contaminazione del suolo</w:t>
            </w:r>
          </w:p>
        </w:tc>
        <w:tc>
          <w:tcPr>
            <w:tcW w:w="2741" w:type="dxa"/>
            <w:tcBorders>
              <w:top w:val="single" w:sz="4" w:space="0" w:color="auto"/>
              <w:left w:val="single" w:sz="4" w:space="0" w:color="auto"/>
              <w:bottom w:val="single" w:sz="4" w:space="0" w:color="auto"/>
              <w:right w:val="single" w:sz="4" w:space="0" w:color="auto"/>
            </w:tcBorders>
            <w:hideMark/>
          </w:tcPr>
          <w:p w14:paraId="70676C54" w14:textId="77777777" w:rsidR="00E8077D" w:rsidRPr="00B50018" w:rsidRDefault="00E8077D" w:rsidP="008D41A0">
            <w:pPr>
              <w:widowControl/>
              <w:spacing w:before="120" w:after="160" w:line="252" w:lineRule="auto"/>
              <w:ind w:left="346" w:hanging="360"/>
              <w:contextualSpacing/>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 xml:space="preserve">Concentrazione di metalli pesanti nel suolo: </w:t>
            </w:r>
            <w:proofErr w:type="spellStart"/>
            <w:r w:rsidRPr="00B50018">
              <w:rPr>
                <w:b/>
                <w:i/>
                <w:sz w:val="22"/>
              </w:rPr>
              <w:t>As</w:t>
            </w:r>
            <w:proofErr w:type="spellEnd"/>
            <w:r w:rsidRPr="00B50018">
              <w:rPr>
                <w:b/>
                <w:i/>
                <w:sz w:val="22"/>
              </w:rPr>
              <w:t xml:space="preserve">, Sb, </w:t>
            </w:r>
            <w:proofErr w:type="spellStart"/>
            <w:r w:rsidRPr="00B50018">
              <w:rPr>
                <w:b/>
                <w:i/>
                <w:sz w:val="22"/>
              </w:rPr>
              <w:t>Cd</w:t>
            </w:r>
            <w:proofErr w:type="spellEnd"/>
            <w:r w:rsidRPr="00B50018">
              <w:rPr>
                <w:b/>
                <w:i/>
                <w:sz w:val="22"/>
              </w:rPr>
              <w:t xml:space="preserve">, Co, Cr (totale), Cr (VI), Cu, Hg, Pb, Ni, </w:t>
            </w:r>
            <w:proofErr w:type="spellStart"/>
            <w:r w:rsidRPr="00B50018">
              <w:rPr>
                <w:b/>
                <w:i/>
                <w:sz w:val="22"/>
              </w:rPr>
              <w:t>Tl</w:t>
            </w:r>
            <w:proofErr w:type="spellEnd"/>
            <w:r w:rsidRPr="00B50018">
              <w:rPr>
                <w:b/>
                <w:i/>
                <w:sz w:val="22"/>
              </w:rPr>
              <w:t>, V, Zn (µg per kg)</w:t>
            </w:r>
          </w:p>
          <w:p w14:paraId="4AB3BEC9" w14:textId="77777777" w:rsidR="00E8077D" w:rsidRPr="00B50018" w:rsidRDefault="00E8077D" w:rsidP="008D41A0">
            <w:pPr>
              <w:widowControl/>
              <w:spacing w:before="120" w:after="160" w:line="252" w:lineRule="auto"/>
              <w:ind w:left="346" w:hanging="360"/>
              <w:contextualSpacing/>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Concentrazione di una serie di contaminanti organici stabilita dagli Stati membri tenendo conto dei contaminanti di cui al regolamento (UE) 2019/1021 e dei limiti di concentrazione vigenti nella legislazione dell'Unione, ad esempio per la qualità dell'acqua e le emissioni atmosferiche, segnatamente le sostanze prioritarie di cui alla direttiva quadro sulle acque e i relativi standard di qualità ambientale (direttiva 2008/105/CE) e la direttiva sulle acque sotterranee (direttiva 2006/118/CE)</w:t>
            </w:r>
          </w:p>
          <w:p w14:paraId="6CAB10FD" w14:textId="77777777" w:rsidR="00E8077D" w:rsidRPr="00B50018" w:rsidRDefault="00E8077D" w:rsidP="008D41A0">
            <w:pPr>
              <w:widowControl/>
              <w:spacing w:after="160" w:line="252" w:lineRule="auto"/>
              <w:ind w:left="346" w:hanging="360"/>
              <w:contextualSpacing/>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Prodotti fitosanitari candidati alla sostituzione e sostanze autorizzate in regime di emergenza, e residui di biocidi</w:t>
            </w:r>
          </w:p>
          <w:p w14:paraId="79B7B04B" w14:textId="77777777" w:rsidR="00E8077D" w:rsidRPr="00B50018" w:rsidRDefault="00E8077D" w:rsidP="008D41A0">
            <w:pPr>
              <w:widowControl/>
              <w:spacing w:before="120" w:after="160" w:line="252" w:lineRule="auto"/>
              <w:ind w:left="346" w:hanging="360"/>
              <w:contextualSpacing/>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 xml:space="preserve">Sostanze </w:t>
            </w:r>
            <w:proofErr w:type="spellStart"/>
            <w:r w:rsidRPr="00B50018">
              <w:rPr>
                <w:b/>
                <w:i/>
                <w:sz w:val="22"/>
              </w:rPr>
              <w:t>perfluoroalchiliche</w:t>
            </w:r>
            <w:proofErr w:type="spellEnd"/>
            <w:r w:rsidRPr="00B50018">
              <w:rPr>
                <w:b/>
                <w:i/>
                <w:sz w:val="22"/>
              </w:rPr>
              <w:t xml:space="preserve"> (PFAS) totali o somma delle PFAS totali</w:t>
            </w:r>
            <w:r w:rsidRPr="00B50018">
              <w:t xml:space="preserve"> </w:t>
            </w:r>
          </w:p>
        </w:tc>
        <w:tc>
          <w:tcPr>
            <w:tcW w:w="2059" w:type="dxa"/>
            <w:tcBorders>
              <w:top w:val="single" w:sz="4" w:space="0" w:color="auto"/>
              <w:left w:val="single" w:sz="4" w:space="0" w:color="auto"/>
              <w:bottom w:val="single" w:sz="4" w:space="0" w:color="auto"/>
              <w:right w:val="single" w:sz="4" w:space="0" w:color="auto"/>
            </w:tcBorders>
            <w:hideMark/>
          </w:tcPr>
          <w:p w14:paraId="16F32D27" w14:textId="77777777" w:rsidR="00E8077D" w:rsidRPr="00B50018" w:rsidRDefault="00E8077D" w:rsidP="008D41A0">
            <w:pPr>
              <w:widowControl/>
              <w:spacing w:before="120"/>
              <w:jc w:val="both"/>
              <w:rPr>
                <w:b/>
                <w:i/>
                <w:sz w:val="22"/>
                <w:szCs w:val="22"/>
              </w:rPr>
            </w:pPr>
            <w:r w:rsidRPr="00B50018">
              <w:rPr>
                <w:b/>
                <w:i/>
                <w:sz w:val="22"/>
              </w:rPr>
              <w:t>-</w:t>
            </w:r>
          </w:p>
        </w:tc>
        <w:tc>
          <w:tcPr>
            <w:tcW w:w="1304" w:type="dxa"/>
            <w:tcBorders>
              <w:top w:val="single" w:sz="4" w:space="0" w:color="auto"/>
              <w:left w:val="single" w:sz="4" w:space="0" w:color="auto"/>
              <w:bottom w:val="single" w:sz="4" w:space="0" w:color="auto"/>
              <w:right w:val="single" w:sz="4" w:space="0" w:color="auto"/>
            </w:tcBorders>
            <w:hideMark/>
          </w:tcPr>
          <w:p w14:paraId="0A17E70C"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2EEA777B"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7F4D1FEC" w14:textId="77777777" w:rsidR="00E8077D" w:rsidRPr="00B50018" w:rsidRDefault="00E8077D" w:rsidP="008D41A0">
            <w:pPr>
              <w:widowControl/>
              <w:spacing w:before="120"/>
              <w:jc w:val="both"/>
              <w:rPr>
                <w:b/>
                <w:i/>
                <w:sz w:val="22"/>
                <w:szCs w:val="22"/>
              </w:rPr>
            </w:pPr>
            <w:r w:rsidRPr="00B50018">
              <w:rPr>
                <w:b/>
                <w:i/>
                <w:sz w:val="22"/>
              </w:rPr>
              <w:lastRenderedPageBreak/>
              <w:t>Riduzione della ritenzione idrica</w:t>
            </w:r>
          </w:p>
        </w:tc>
        <w:tc>
          <w:tcPr>
            <w:tcW w:w="2741" w:type="dxa"/>
            <w:tcBorders>
              <w:top w:val="single" w:sz="4" w:space="0" w:color="auto"/>
              <w:left w:val="single" w:sz="4" w:space="0" w:color="auto"/>
              <w:bottom w:val="single" w:sz="4" w:space="0" w:color="auto"/>
              <w:right w:val="single" w:sz="4" w:space="0" w:color="auto"/>
            </w:tcBorders>
            <w:hideMark/>
          </w:tcPr>
          <w:p w14:paraId="4CCEA150" w14:textId="77777777" w:rsidR="00E8077D" w:rsidRPr="00B50018" w:rsidRDefault="00E8077D" w:rsidP="008D41A0">
            <w:pPr>
              <w:widowControl/>
              <w:spacing w:before="120" w:after="160" w:line="252" w:lineRule="auto"/>
              <w:ind w:left="346" w:hanging="360"/>
              <w:contextualSpacing/>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Capacità di ritenzione idrica del campione di suolo (% del volume d'acqua)</w:t>
            </w:r>
          </w:p>
          <w:p w14:paraId="2E0F4837" w14:textId="77777777" w:rsidR="00E8077D" w:rsidRPr="00B50018" w:rsidRDefault="00E8077D" w:rsidP="008D41A0">
            <w:pPr>
              <w:widowControl/>
              <w:spacing w:before="120" w:after="160" w:line="252" w:lineRule="auto"/>
              <w:ind w:left="346" w:hanging="360"/>
              <w:contextualSpacing/>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Volume di suolo saturo</w:t>
            </w:r>
          </w:p>
        </w:tc>
        <w:tc>
          <w:tcPr>
            <w:tcW w:w="2059" w:type="dxa"/>
            <w:tcBorders>
              <w:top w:val="single" w:sz="4" w:space="0" w:color="auto"/>
              <w:left w:val="single" w:sz="4" w:space="0" w:color="auto"/>
              <w:bottom w:val="single" w:sz="4" w:space="0" w:color="auto"/>
              <w:right w:val="single" w:sz="4" w:space="0" w:color="auto"/>
            </w:tcBorders>
            <w:hideMark/>
          </w:tcPr>
          <w:p w14:paraId="1B522AC4" w14:textId="77777777" w:rsidR="00E8077D" w:rsidRPr="00B50018" w:rsidRDefault="00E8077D" w:rsidP="008D41A0">
            <w:pPr>
              <w:widowControl/>
              <w:spacing w:before="120"/>
              <w:jc w:val="both"/>
              <w:rPr>
                <w:b/>
                <w:i/>
                <w:sz w:val="22"/>
                <w:szCs w:val="22"/>
              </w:rPr>
            </w:pPr>
            <w:r w:rsidRPr="00B50018">
              <w:rPr>
                <w:b/>
                <w:i/>
                <w:sz w:val="22"/>
              </w:rPr>
              <w:t>-</w:t>
            </w:r>
          </w:p>
        </w:tc>
        <w:tc>
          <w:tcPr>
            <w:tcW w:w="1304" w:type="dxa"/>
            <w:tcBorders>
              <w:top w:val="single" w:sz="4" w:space="0" w:color="auto"/>
              <w:left w:val="single" w:sz="4" w:space="0" w:color="auto"/>
              <w:bottom w:val="single" w:sz="4" w:space="0" w:color="auto"/>
              <w:right w:val="single" w:sz="4" w:space="0" w:color="auto"/>
            </w:tcBorders>
            <w:hideMark/>
          </w:tcPr>
          <w:p w14:paraId="3A3F714D"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7CB93C05"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73F681B9" w14:textId="77777777" w:rsidR="00E8077D" w:rsidRPr="00B50018" w:rsidRDefault="00E8077D" w:rsidP="008D41A0">
            <w:pPr>
              <w:widowControl/>
              <w:spacing w:before="120"/>
              <w:jc w:val="both"/>
              <w:rPr>
                <w:b/>
                <w:i/>
                <w:sz w:val="22"/>
                <w:szCs w:val="22"/>
              </w:rPr>
            </w:pPr>
            <w:r w:rsidRPr="00B50018">
              <w:rPr>
                <w:b/>
                <w:i/>
                <w:sz w:val="22"/>
              </w:rPr>
              <w:t>Acidificazione</w:t>
            </w:r>
          </w:p>
        </w:tc>
        <w:tc>
          <w:tcPr>
            <w:tcW w:w="2741" w:type="dxa"/>
            <w:tcBorders>
              <w:top w:val="single" w:sz="4" w:space="0" w:color="auto"/>
              <w:left w:val="single" w:sz="4" w:space="0" w:color="auto"/>
              <w:bottom w:val="single" w:sz="4" w:space="0" w:color="auto"/>
              <w:right w:val="single" w:sz="4" w:space="0" w:color="auto"/>
            </w:tcBorders>
            <w:hideMark/>
          </w:tcPr>
          <w:p w14:paraId="52DB8074" w14:textId="77777777" w:rsidR="00E8077D" w:rsidRPr="00B50018" w:rsidRDefault="00E8077D" w:rsidP="008D41A0">
            <w:pPr>
              <w:widowControl/>
              <w:spacing w:before="120" w:after="160" w:line="252" w:lineRule="auto"/>
              <w:ind w:left="346" w:hanging="360"/>
              <w:contextualSpacing/>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Acidità del suolo (</w:t>
            </w:r>
            <w:proofErr w:type="spellStart"/>
            <w:r w:rsidRPr="00B50018">
              <w:rPr>
                <w:b/>
                <w:i/>
                <w:sz w:val="22"/>
              </w:rPr>
              <w:t>pH</w:t>
            </w:r>
            <w:proofErr w:type="spellEnd"/>
            <w:r w:rsidRPr="00B50018">
              <w:rPr>
                <w:b/>
                <w:i/>
                <w:sz w:val="22"/>
              </w:rPr>
              <w:t xml:space="preserve"> H</w:t>
            </w:r>
            <w:r w:rsidRPr="00B50018">
              <w:rPr>
                <w:b/>
                <w:i/>
                <w:sz w:val="22"/>
                <w:vertAlign w:val="subscript"/>
              </w:rPr>
              <w:t>2</w:t>
            </w:r>
            <w:r w:rsidRPr="00B50018">
              <w:rPr>
                <w:b/>
                <w:i/>
                <w:sz w:val="22"/>
              </w:rPr>
              <w:t>O)</w:t>
            </w:r>
          </w:p>
        </w:tc>
        <w:tc>
          <w:tcPr>
            <w:tcW w:w="2059" w:type="dxa"/>
            <w:tcBorders>
              <w:top w:val="single" w:sz="4" w:space="0" w:color="auto"/>
              <w:left w:val="single" w:sz="4" w:space="0" w:color="auto"/>
              <w:bottom w:val="single" w:sz="4" w:space="0" w:color="auto"/>
              <w:right w:val="single" w:sz="4" w:space="0" w:color="auto"/>
            </w:tcBorders>
            <w:hideMark/>
          </w:tcPr>
          <w:p w14:paraId="49DBD1DC" w14:textId="77777777" w:rsidR="00E8077D" w:rsidRPr="00B50018" w:rsidRDefault="00E8077D" w:rsidP="008D41A0">
            <w:pPr>
              <w:widowControl/>
              <w:spacing w:before="120"/>
              <w:jc w:val="both"/>
              <w:rPr>
                <w:b/>
                <w:i/>
                <w:sz w:val="22"/>
                <w:szCs w:val="22"/>
              </w:rPr>
            </w:pPr>
            <w:r w:rsidRPr="00B50018">
              <w:rPr>
                <w:b/>
                <w:i/>
                <w:sz w:val="22"/>
              </w:rPr>
              <w:t>-</w:t>
            </w:r>
          </w:p>
        </w:tc>
        <w:tc>
          <w:tcPr>
            <w:tcW w:w="1304" w:type="dxa"/>
            <w:tcBorders>
              <w:top w:val="single" w:sz="4" w:space="0" w:color="auto"/>
              <w:left w:val="single" w:sz="4" w:space="0" w:color="auto"/>
              <w:bottom w:val="single" w:sz="4" w:space="0" w:color="auto"/>
              <w:right w:val="single" w:sz="4" w:space="0" w:color="auto"/>
            </w:tcBorders>
            <w:hideMark/>
          </w:tcPr>
          <w:p w14:paraId="110EB818"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69B06B5C" w14:textId="77777777" w:rsidTr="008D41A0">
        <w:tc>
          <w:tcPr>
            <w:tcW w:w="8926" w:type="dxa"/>
            <w:gridSpan w:val="4"/>
            <w:tcBorders>
              <w:top w:val="single" w:sz="4" w:space="0" w:color="auto"/>
              <w:left w:val="single" w:sz="4" w:space="0" w:color="auto"/>
              <w:bottom w:val="single" w:sz="4" w:space="0" w:color="auto"/>
              <w:right w:val="single" w:sz="4" w:space="0" w:color="auto"/>
            </w:tcBorders>
            <w:hideMark/>
          </w:tcPr>
          <w:p w14:paraId="69407AB5" w14:textId="77777777" w:rsidR="00E8077D" w:rsidRPr="00B50018" w:rsidRDefault="00E8077D" w:rsidP="008D41A0">
            <w:pPr>
              <w:widowControl/>
              <w:spacing w:before="120"/>
              <w:jc w:val="both"/>
              <w:rPr>
                <w:b/>
                <w:i/>
                <w:sz w:val="22"/>
                <w:szCs w:val="22"/>
              </w:rPr>
            </w:pPr>
            <w:r w:rsidRPr="00B50018">
              <w:rPr>
                <w:b/>
                <w:i/>
                <w:sz w:val="22"/>
              </w:rPr>
              <w:t>Funzioni ecologiche del suolo</w:t>
            </w:r>
          </w:p>
        </w:tc>
      </w:tr>
      <w:tr w:rsidR="00E8077D" w:rsidRPr="00B50018" w14:paraId="0FC4610F"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3013A10F" w14:textId="77777777" w:rsidR="00E8077D" w:rsidRPr="00B50018" w:rsidRDefault="00E8077D" w:rsidP="008D41A0">
            <w:pPr>
              <w:widowControl/>
              <w:spacing w:before="120"/>
              <w:jc w:val="both"/>
              <w:rPr>
                <w:b/>
                <w:i/>
                <w:sz w:val="22"/>
                <w:szCs w:val="22"/>
              </w:rPr>
            </w:pPr>
            <w:r w:rsidRPr="00B50018">
              <w:rPr>
                <w:b/>
                <w:i/>
                <w:sz w:val="22"/>
              </w:rPr>
              <w:t>Funzione ecologica</w:t>
            </w:r>
          </w:p>
        </w:tc>
        <w:tc>
          <w:tcPr>
            <w:tcW w:w="2741" w:type="dxa"/>
            <w:tcBorders>
              <w:top w:val="single" w:sz="4" w:space="0" w:color="auto"/>
              <w:left w:val="single" w:sz="4" w:space="0" w:color="auto"/>
              <w:bottom w:val="single" w:sz="4" w:space="0" w:color="auto"/>
              <w:right w:val="single" w:sz="4" w:space="0" w:color="auto"/>
            </w:tcBorders>
            <w:hideMark/>
          </w:tcPr>
          <w:p w14:paraId="7C1680DB" w14:textId="77777777" w:rsidR="00E8077D" w:rsidRPr="00B50018" w:rsidRDefault="00E8077D" w:rsidP="008D41A0">
            <w:pPr>
              <w:widowControl/>
              <w:spacing w:before="120"/>
              <w:jc w:val="both"/>
              <w:rPr>
                <w:b/>
                <w:i/>
                <w:sz w:val="22"/>
                <w:szCs w:val="22"/>
              </w:rPr>
            </w:pPr>
            <w:r w:rsidRPr="00B50018">
              <w:rPr>
                <w:b/>
                <w:i/>
                <w:sz w:val="22"/>
              </w:rPr>
              <w:t>Descrittore del suolo</w:t>
            </w:r>
          </w:p>
        </w:tc>
        <w:tc>
          <w:tcPr>
            <w:tcW w:w="2059" w:type="dxa"/>
            <w:tcBorders>
              <w:top w:val="single" w:sz="4" w:space="0" w:color="auto"/>
              <w:left w:val="single" w:sz="4" w:space="0" w:color="auto"/>
              <w:bottom w:val="single" w:sz="4" w:space="0" w:color="auto"/>
              <w:right w:val="single" w:sz="4" w:space="0" w:color="auto"/>
            </w:tcBorders>
            <w:hideMark/>
          </w:tcPr>
          <w:p w14:paraId="065A4B8C" w14:textId="77777777" w:rsidR="00E8077D" w:rsidRPr="00B50018" w:rsidRDefault="00E8077D" w:rsidP="008D41A0">
            <w:pPr>
              <w:widowControl/>
              <w:spacing w:before="120"/>
              <w:jc w:val="both"/>
              <w:rPr>
                <w:b/>
                <w:i/>
                <w:sz w:val="22"/>
                <w:szCs w:val="22"/>
              </w:rPr>
            </w:pPr>
            <w:r w:rsidRPr="00B50018">
              <w:rPr>
                <w:b/>
                <w:i/>
                <w:sz w:val="22"/>
              </w:rPr>
              <w:t>Eccezioni</w:t>
            </w:r>
          </w:p>
        </w:tc>
        <w:tc>
          <w:tcPr>
            <w:tcW w:w="1304" w:type="dxa"/>
            <w:tcBorders>
              <w:top w:val="single" w:sz="4" w:space="0" w:color="auto"/>
              <w:left w:val="single" w:sz="4" w:space="0" w:color="auto"/>
              <w:bottom w:val="single" w:sz="4" w:space="0" w:color="auto"/>
              <w:right w:val="single" w:sz="4" w:space="0" w:color="auto"/>
            </w:tcBorders>
            <w:hideMark/>
          </w:tcPr>
          <w:p w14:paraId="5110E23F" w14:textId="77777777" w:rsidR="00E8077D" w:rsidRPr="00B50018" w:rsidRDefault="00E8077D" w:rsidP="008D41A0">
            <w:pPr>
              <w:widowControl/>
              <w:spacing w:before="120"/>
              <w:jc w:val="both"/>
              <w:rPr>
                <w:b/>
                <w:bCs/>
                <w:i/>
                <w:iCs/>
                <w:sz w:val="22"/>
                <w:szCs w:val="22"/>
              </w:rPr>
            </w:pPr>
            <w:r w:rsidRPr="00B50018">
              <w:rPr>
                <w:b/>
                <w:i/>
                <w:sz w:val="22"/>
              </w:rPr>
              <w:t>Note</w:t>
            </w:r>
          </w:p>
        </w:tc>
      </w:tr>
      <w:tr w:rsidR="00E8077D" w:rsidRPr="00B50018" w14:paraId="04FEFECA"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7BCC2B93" w14:textId="77777777" w:rsidR="00E8077D" w:rsidRPr="00B50018" w:rsidRDefault="00E8077D" w:rsidP="008D41A0">
            <w:pPr>
              <w:widowControl/>
              <w:spacing w:before="120"/>
              <w:jc w:val="both"/>
              <w:rPr>
                <w:b/>
                <w:i/>
                <w:sz w:val="22"/>
                <w:szCs w:val="22"/>
              </w:rPr>
            </w:pPr>
            <w:r w:rsidRPr="00B50018">
              <w:rPr>
                <w:b/>
                <w:i/>
                <w:sz w:val="22"/>
              </w:rPr>
              <w:t>Aggregazione del suolo</w:t>
            </w:r>
          </w:p>
        </w:tc>
        <w:tc>
          <w:tcPr>
            <w:tcW w:w="2741" w:type="dxa"/>
            <w:tcBorders>
              <w:top w:val="single" w:sz="4" w:space="0" w:color="auto"/>
              <w:left w:val="single" w:sz="4" w:space="0" w:color="auto"/>
              <w:bottom w:val="single" w:sz="4" w:space="0" w:color="auto"/>
              <w:right w:val="single" w:sz="4" w:space="0" w:color="auto"/>
            </w:tcBorders>
            <w:hideMark/>
          </w:tcPr>
          <w:p w14:paraId="62B0B045"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Aggregati stabili all'acqua (%)</w:t>
            </w:r>
          </w:p>
        </w:tc>
        <w:tc>
          <w:tcPr>
            <w:tcW w:w="2059" w:type="dxa"/>
            <w:tcBorders>
              <w:top w:val="single" w:sz="4" w:space="0" w:color="auto"/>
              <w:left w:val="single" w:sz="4" w:space="0" w:color="auto"/>
              <w:bottom w:val="single" w:sz="4" w:space="0" w:color="auto"/>
              <w:right w:val="single" w:sz="4" w:space="0" w:color="auto"/>
            </w:tcBorders>
            <w:hideMark/>
          </w:tcPr>
          <w:p w14:paraId="2F67294C" w14:textId="77777777" w:rsidR="00E8077D" w:rsidRPr="00B50018" w:rsidRDefault="00E8077D" w:rsidP="008D41A0">
            <w:pPr>
              <w:widowControl/>
              <w:spacing w:before="120"/>
              <w:jc w:val="both"/>
              <w:rPr>
                <w:b/>
                <w:i/>
                <w:sz w:val="22"/>
                <w:szCs w:val="22"/>
              </w:rPr>
            </w:pPr>
            <w:r w:rsidRPr="00B50018">
              <w:rPr>
                <w:b/>
                <w:i/>
                <w:sz w:val="22"/>
              </w:rPr>
              <w:t>-</w:t>
            </w:r>
          </w:p>
        </w:tc>
        <w:tc>
          <w:tcPr>
            <w:tcW w:w="1304" w:type="dxa"/>
            <w:tcBorders>
              <w:top w:val="single" w:sz="4" w:space="0" w:color="auto"/>
              <w:left w:val="single" w:sz="4" w:space="0" w:color="auto"/>
              <w:bottom w:val="single" w:sz="4" w:space="0" w:color="auto"/>
              <w:right w:val="single" w:sz="4" w:space="0" w:color="auto"/>
            </w:tcBorders>
            <w:hideMark/>
          </w:tcPr>
          <w:p w14:paraId="23A82778"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03691FE7"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458136D7" w14:textId="77777777" w:rsidR="00E8077D" w:rsidRPr="00B50018" w:rsidRDefault="00E8077D" w:rsidP="008D41A0">
            <w:pPr>
              <w:widowControl/>
              <w:spacing w:before="120"/>
              <w:jc w:val="both"/>
              <w:rPr>
                <w:b/>
                <w:i/>
                <w:sz w:val="22"/>
                <w:szCs w:val="22"/>
              </w:rPr>
            </w:pPr>
            <w:r w:rsidRPr="00B50018">
              <w:rPr>
                <w:b/>
                <w:i/>
                <w:sz w:val="22"/>
              </w:rPr>
              <w:t>Respirazione del suolo</w:t>
            </w:r>
          </w:p>
        </w:tc>
        <w:tc>
          <w:tcPr>
            <w:tcW w:w="2741" w:type="dxa"/>
            <w:tcBorders>
              <w:top w:val="single" w:sz="4" w:space="0" w:color="auto"/>
              <w:left w:val="single" w:sz="4" w:space="0" w:color="auto"/>
              <w:bottom w:val="single" w:sz="4" w:space="0" w:color="auto"/>
              <w:right w:val="single" w:sz="4" w:space="0" w:color="auto"/>
            </w:tcBorders>
            <w:hideMark/>
          </w:tcPr>
          <w:p w14:paraId="0921BD6F"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Respirazione microbica basale del suolo (</w:t>
            </w:r>
            <w:proofErr w:type="spellStart"/>
            <w:r w:rsidRPr="00B50018">
              <w:rPr>
                <w:b/>
                <w:i/>
                <w:sz w:val="22"/>
              </w:rPr>
              <w:t>μl</w:t>
            </w:r>
            <w:proofErr w:type="spellEnd"/>
            <w:r w:rsidRPr="00B50018">
              <w:rPr>
                <w:b/>
                <w:i/>
                <w:sz w:val="22"/>
              </w:rPr>
              <w:t xml:space="preserve"> O</w:t>
            </w:r>
            <w:r w:rsidRPr="00B50018">
              <w:rPr>
                <w:b/>
                <w:i/>
                <w:sz w:val="22"/>
                <w:vertAlign w:val="subscript"/>
              </w:rPr>
              <w:t>2</w:t>
            </w:r>
            <w:r w:rsidRPr="00B50018">
              <w:rPr>
                <w:b/>
                <w:i/>
                <w:sz w:val="22"/>
              </w:rPr>
              <w:t xml:space="preserve"> h</w:t>
            </w:r>
            <w:r w:rsidRPr="00B50018">
              <w:rPr>
                <w:b/>
                <w:i/>
                <w:sz w:val="22"/>
                <w:vertAlign w:val="superscript"/>
              </w:rPr>
              <w:t>-1</w:t>
            </w:r>
            <w:r w:rsidRPr="00B50018">
              <w:rPr>
                <w:b/>
                <w:i/>
                <w:sz w:val="22"/>
              </w:rPr>
              <w:t xml:space="preserve"> g</w:t>
            </w:r>
            <w:r w:rsidRPr="00B50018">
              <w:rPr>
                <w:b/>
                <w:i/>
                <w:sz w:val="22"/>
                <w:vertAlign w:val="superscript"/>
              </w:rPr>
              <w:t>-1</w:t>
            </w:r>
            <w:r w:rsidRPr="00B50018">
              <w:rPr>
                <w:b/>
                <w:i/>
                <w:sz w:val="22"/>
              </w:rPr>
              <w:t xml:space="preserve"> peso del suolo asciutto)</w:t>
            </w:r>
          </w:p>
        </w:tc>
        <w:tc>
          <w:tcPr>
            <w:tcW w:w="2059" w:type="dxa"/>
            <w:tcBorders>
              <w:top w:val="single" w:sz="4" w:space="0" w:color="auto"/>
              <w:left w:val="single" w:sz="4" w:space="0" w:color="auto"/>
              <w:bottom w:val="single" w:sz="4" w:space="0" w:color="auto"/>
              <w:right w:val="single" w:sz="4" w:space="0" w:color="auto"/>
            </w:tcBorders>
            <w:hideMark/>
          </w:tcPr>
          <w:p w14:paraId="6E6D114E" w14:textId="77777777" w:rsidR="00E8077D" w:rsidRPr="00B50018" w:rsidRDefault="00E8077D" w:rsidP="008D41A0">
            <w:pPr>
              <w:widowControl/>
              <w:spacing w:before="120"/>
              <w:jc w:val="both"/>
              <w:rPr>
                <w:b/>
                <w:i/>
                <w:sz w:val="22"/>
                <w:szCs w:val="22"/>
              </w:rPr>
            </w:pPr>
            <w:r w:rsidRPr="00B50018">
              <w:rPr>
                <w:b/>
                <w:i/>
                <w:sz w:val="22"/>
              </w:rPr>
              <w:t>-</w:t>
            </w:r>
          </w:p>
        </w:tc>
        <w:tc>
          <w:tcPr>
            <w:tcW w:w="1304" w:type="dxa"/>
            <w:tcBorders>
              <w:top w:val="single" w:sz="4" w:space="0" w:color="auto"/>
              <w:left w:val="single" w:sz="4" w:space="0" w:color="auto"/>
              <w:bottom w:val="single" w:sz="4" w:space="0" w:color="auto"/>
              <w:right w:val="single" w:sz="4" w:space="0" w:color="auto"/>
            </w:tcBorders>
            <w:hideMark/>
          </w:tcPr>
          <w:p w14:paraId="693DD033"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69D1BBE5"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72F99F8E" w14:textId="77777777" w:rsidR="00E8077D" w:rsidRPr="00B50018" w:rsidRDefault="00E8077D" w:rsidP="008D41A0">
            <w:pPr>
              <w:widowControl/>
              <w:spacing w:before="120"/>
              <w:jc w:val="both"/>
              <w:rPr>
                <w:b/>
                <w:i/>
                <w:sz w:val="22"/>
                <w:szCs w:val="22"/>
              </w:rPr>
            </w:pPr>
            <w:r w:rsidRPr="00B50018">
              <w:rPr>
                <w:b/>
                <w:i/>
                <w:sz w:val="22"/>
              </w:rPr>
              <w:t>Biomassa del suolo</w:t>
            </w:r>
          </w:p>
        </w:tc>
        <w:tc>
          <w:tcPr>
            <w:tcW w:w="2741" w:type="dxa"/>
            <w:tcBorders>
              <w:top w:val="single" w:sz="4" w:space="0" w:color="auto"/>
              <w:left w:val="single" w:sz="4" w:space="0" w:color="auto"/>
              <w:bottom w:val="single" w:sz="4" w:space="0" w:color="auto"/>
              <w:right w:val="single" w:sz="4" w:space="0" w:color="auto"/>
            </w:tcBorders>
            <w:hideMark/>
          </w:tcPr>
          <w:p w14:paraId="6D6B0517"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Carbonio della biomassa microbica del suolo (</w:t>
            </w:r>
            <w:proofErr w:type="spellStart"/>
            <w:r w:rsidRPr="00B50018">
              <w:rPr>
                <w:b/>
                <w:i/>
                <w:sz w:val="22"/>
              </w:rPr>
              <w:t>Cmic</w:t>
            </w:r>
            <w:proofErr w:type="spellEnd"/>
            <w:r w:rsidRPr="00B50018">
              <w:rPr>
                <w:b/>
                <w:i/>
                <w:sz w:val="22"/>
              </w:rPr>
              <w:t xml:space="preserve"> </w:t>
            </w:r>
            <w:proofErr w:type="spellStart"/>
            <w:r w:rsidRPr="00B50018">
              <w:rPr>
                <w:b/>
                <w:i/>
                <w:sz w:val="22"/>
              </w:rPr>
              <w:t>μg</w:t>
            </w:r>
            <w:proofErr w:type="spellEnd"/>
            <w:r w:rsidRPr="00B50018">
              <w:rPr>
                <w:b/>
                <w:i/>
                <w:sz w:val="22"/>
              </w:rPr>
              <w:t xml:space="preserve"> C g</w:t>
            </w:r>
            <w:r w:rsidRPr="00B50018">
              <w:rPr>
                <w:b/>
                <w:i/>
                <w:sz w:val="22"/>
                <w:vertAlign w:val="superscript"/>
              </w:rPr>
              <w:t>-1</w:t>
            </w:r>
            <w:r w:rsidRPr="00B50018">
              <w:rPr>
                <w:b/>
                <w:i/>
                <w:sz w:val="22"/>
              </w:rPr>
              <w:t xml:space="preserve"> peso del suolo asciutto)</w:t>
            </w:r>
          </w:p>
        </w:tc>
        <w:tc>
          <w:tcPr>
            <w:tcW w:w="2059" w:type="dxa"/>
            <w:tcBorders>
              <w:top w:val="single" w:sz="4" w:space="0" w:color="auto"/>
              <w:left w:val="single" w:sz="4" w:space="0" w:color="auto"/>
              <w:bottom w:val="single" w:sz="4" w:space="0" w:color="auto"/>
              <w:right w:val="single" w:sz="4" w:space="0" w:color="auto"/>
            </w:tcBorders>
            <w:hideMark/>
          </w:tcPr>
          <w:p w14:paraId="3DAF42F5" w14:textId="77777777" w:rsidR="00E8077D" w:rsidRPr="00B50018" w:rsidRDefault="00E8077D" w:rsidP="008D41A0">
            <w:pPr>
              <w:widowControl/>
              <w:spacing w:before="120"/>
              <w:jc w:val="both"/>
              <w:rPr>
                <w:b/>
                <w:i/>
                <w:sz w:val="22"/>
                <w:szCs w:val="22"/>
              </w:rPr>
            </w:pPr>
            <w:r w:rsidRPr="00B50018">
              <w:rPr>
                <w:b/>
                <w:i/>
                <w:sz w:val="22"/>
              </w:rPr>
              <w:t>-</w:t>
            </w:r>
          </w:p>
        </w:tc>
        <w:tc>
          <w:tcPr>
            <w:tcW w:w="1304" w:type="dxa"/>
            <w:tcBorders>
              <w:top w:val="single" w:sz="4" w:space="0" w:color="auto"/>
              <w:left w:val="single" w:sz="4" w:space="0" w:color="auto"/>
              <w:bottom w:val="single" w:sz="4" w:space="0" w:color="auto"/>
              <w:right w:val="single" w:sz="4" w:space="0" w:color="auto"/>
            </w:tcBorders>
            <w:hideMark/>
          </w:tcPr>
          <w:p w14:paraId="07A897BC"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703E94B1" w14:textId="77777777" w:rsidTr="008D41A0">
        <w:tc>
          <w:tcPr>
            <w:tcW w:w="8926" w:type="dxa"/>
            <w:gridSpan w:val="4"/>
            <w:tcBorders>
              <w:top w:val="single" w:sz="4" w:space="0" w:color="auto"/>
              <w:left w:val="single" w:sz="4" w:space="0" w:color="auto"/>
              <w:bottom w:val="single" w:sz="4" w:space="0" w:color="auto"/>
              <w:right w:val="single" w:sz="4" w:space="0" w:color="auto"/>
            </w:tcBorders>
            <w:hideMark/>
          </w:tcPr>
          <w:p w14:paraId="2E222DAA" w14:textId="77777777" w:rsidR="00E8077D" w:rsidRPr="00B50018" w:rsidRDefault="00E8077D" w:rsidP="008D41A0">
            <w:pPr>
              <w:widowControl/>
              <w:spacing w:before="120"/>
              <w:jc w:val="both"/>
              <w:rPr>
                <w:b/>
                <w:bCs/>
                <w:i/>
                <w:sz w:val="22"/>
                <w:szCs w:val="22"/>
              </w:rPr>
            </w:pPr>
            <w:r w:rsidRPr="00B50018">
              <w:rPr>
                <w:b/>
                <w:i/>
                <w:sz w:val="22"/>
              </w:rPr>
              <w:t>Biodiversità del suolo</w:t>
            </w:r>
          </w:p>
        </w:tc>
      </w:tr>
      <w:tr w:rsidR="00E8077D" w:rsidRPr="00B50018" w14:paraId="42FF0BB3"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2BDB4483" w14:textId="77777777" w:rsidR="00E8077D" w:rsidRPr="00B50018" w:rsidRDefault="00E8077D" w:rsidP="008D41A0">
            <w:pPr>
              <w:widowControl/>
              <w:spacing w:before="120"/>
              <w:jc w:val="both"/>
              <w:rPr>
                <w:b/>
                <w:i/>
                <w:sz w:val="22"/>
                <w:szCs w:val="22"/>
              </w:rPr>
            </w:pPr>
            <w:r w:rsidRPr="00B50018">
              <w:rPr>
                <w:b/>
                <w:i/>
                <w:sz w:val="22"/>
              </w:rPr>
              <w:t>Caratteristica della biodiversità del suolo</w:t>
            </w:r>
          </w:p>
        </w:tc>
        <w:tc>
          <w:tcPr>
            <w:tcW w:w="2741" w:type="dxa"/>
            <w:tcBorders>
              <w:top w:val="single" w:sz="4" w:space="0" w:color="auto"/>
              <w:left w:val="single" w:sz="4" w:space="0" w:color="auto"/>
              <w:bottom w:val="single" w:sz="4" w:space="0" w:color="auto"/>
              <w:right w:val="single" w:sz="4" w:space="0" w:color="auto"/>
            </w:tcBorders>
            <w:hideMark/>
          </w:tcPr>
          <w:p w14:paraId="15E012F6" w14:textId="77777777" w:rsidR="00E8077D" w:rsidRPr="00B50018" w:rsidRDefault="00E8077D" w:rsidP="008D41A0">
            <w:pPr>
              <w:widowControl/>
              <w:spacing w:before="120"/>
              <w:jc w:val="both"/>
              <w:rPr>
                <w:b/>
                <w:i/>
                <w:sz w:val="22"/>
                <w:szCs w:val="22"/>
              </w:rPr>
            </w:pPr>
            <w:r w:rsidRPr="00B50018">
              <w:rPr>
                <w:b/>
                <w:i/>
                <w:sz w:val="22"/>
              </w:rPr>
              <w:t>Descrittore del suolo</w:t>
            </w:r>
          </w:p>
        </w:tc>
        <w:tc>
          <w:tcPr>
            <w:tcW w:w="2059" w:type="dxa"/>
            <w:tcBorders>
              <w:top w:val="single" w:sz="4" w:space="0" w:color="auto"/>
              <w:left w:val="single" w:sz="4" w:space="0" w:color="auto"/>
              <w:bottom w:val="single" w:sz="4" w:space="0" w:color="auto"/>
              <w:right w:val="single" w:sz="4" w:space="0" w:color="auto"/>
            </w:tcBorders>
            <w:hideMark/>
          </w:tcPr>
          <w:p w14:paraId="504411C7" w14:textId="77777777" w:rsidR="00E8077D" w:rsidRPr="00B50018" w:rsidRDefault="00E8077D" w:rsidP="008D41A0">
            <w:pPr>
              <w:widowControl/>
              <w:spacing w:before="120"/>
              <w:jc w:val="both"/>
              <w:rPr>
                <w:b/>
                <w:i/>
                <w:sz w:val="22"/>
                <w:szCs w:val="22"/>
              </w:rPr>
            </w:pPr>
            <w:r w:rsidRPr="00B50018">
              <w:rPr>
                <w:b/>
                <w:i/>
                <w:sz w:val="22"/>
              </w:rPr>
              <w:t>Eccezioni</w:t>
            </w:r>
          </w:p>
        </w:tc>
        <w:tc>
          <w:tcPr>
            <w:tcW w:w="1304" w:type="dxa"/>
            <w:tcBorders>
              <w:top w:val="single" w:sz="4" w:space="0" w:color="auto"/>
              <w:left w:val="single" w:sz="4" w:space="0" w:color="auto"/>
              <w:bottom w:val="single" w:sz="4" w:space="0" w:color="auto"/>
              <w:right w:val="single" w:sz="4" w:space="0" w:color="auto"/>
            </w:tcBorders>
            <w:hideMark/>
          </w:tcPr>
          <w:p w14:paraId="5E6AD1CA" w14:textId="77777777" w:rsidR="00E8077D" w:rsidRPr="00B50018" w:rsidRDefault="00E8077D" w:rsidP="008D41A0">
            <w:pPr>
              <w:widowControl/>
              <w:spacing w:before="120"/>
              <w:jc w:val="both"/>
              <w:rPr>
                <w:b/>
                <w:bCs/>
                <w:i/>
                <w:iCs/>
                <w:sz w:val="22"/>
                <w:szCs w:val="22"/>
              </w:rPr>
            </w:pPr>
            <w:r w:rsidRPr="00B50018">
              <w:rPr>
                <w:b/>
                <w:i/>
                <w:sz w:val="22"/>
              </w:rPr>
              <w:t>Note</w:t>
            </w:r>
          </w:p>
        </w:tc>
      </w:tr>
      <w:tr w:rsidR="00E8077D" w:rsidRPr="00B50018" w14:paraId="7D692D4C"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4D709949" w14:textId="77777777" w:rsidR="00E8077D" w:rsidRPr="00B50018" w:rsidRDefault="00E8077D" w:rsidP="008D41A0">
            <w:pPr>
              <w:widowControl/>
              <w:spacing w:before="120"/>
              <w:jc w:val="both"/>
              <w:rPr>
                <w:b/>
                <w:i/>
                <w:sz w:val="22"/>
                <w:szCs w:val="22"/>
              </w:rPr>
            </w:pPr>
            <w:r w:rsidRPr="00B50018">
              <w:rPr>
                <w:b/>
                <w:i/>
                <w:sz w:val="22"/>
              </w:rPr>
              <w:t>Diversità tassonomica</w:t>
            </w:r>
          </w:p>
        </w:tc>
        <w:tc>
          <w:tcPr>
            <w:tcW w:w="2741" w:type="dxa"/>
            <w:tcBorders>
              <w:top w:val="single" w:sz="4" w:space="0" w:color="auto"/>
              <w:left w:val="single" w:sz="4" w:space="0" w:color="auto"/>
              <w:bottom w:val="single" w:sz="4" w:space="0" w:color="auto"/>
              <w:right w:val="single" w:sz="4" w:space="0" w:color="auto"/>
            </w:tcBorders>
            <w:hideMark/>
          </w:tcPr>
          <w:p w14:paraId="73B55564"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 xml:space="preserve">Diversità degli organismi del suolo (attraverso conteggi di presenza per gruppo tassonomico) sulla base di </w:t>
            </w:r>
            <w:proofErr w:type="spellStart"/>
            <w:r w:rsidRPr="00B50018">
              <w:rPr>
                <w:b/>
                <w:i/>
                <w:sz w:val="22"/>
              </w:rPr>
              <w:t>metabarcoding</w:t>
            </w:r>
            <w:proofErr w:type="spellEnd"/>
            <w:r w:rsidRPr="00B50018">
              <w:rPr>
                <w:b/>
                <w:i/>
                <w:sz w:val="22"/>
              </w:rPr>
              <w:t xml:space="preserve"> delle regioni dei geni 16S e 18S </w:t>
            </w:r>
            <w:proofErr w:type="spellStart"/>
            <w:r w:rsidRPr="00B50018">
              <w:rPr>
                <w:b/>
                <w:i/>
                <w:sz w:val="22"/>
              </w:rPr>
              <w:t>rRNA</w:t>
            </w:r>
            <w:proofErr w:type="spellEnd"/>
            <w:r w:rsidRPr="00B50018">
              <w:rPr>
                <w:b/>
                <w:i/>
                <w:sz w:val="22"/>
              </w:rPr>
              <w:t xml:space="preserve"> e utilizzando la regione dello spaziatore interno trascritto (ITS), in particolare per i funghi </w:t>
            </w:r>
            <w:r w:rsidRPr="00B50018">
              <w:rPr>
                <w:b/>
                <w:i/>
                <w:sz w:val="22"/>
              </w:rPr>
              <w:lastRenderedPageBreak/>
              <w:t>(inoltre possono essere presi in considerazione altri marcatori come il COI per la fauna del suolo)</w:t>
            </w:r>
          </w:p>
        </w:tc>
        <w:tc>
          <w:tcPr>
            <w:tcW w:w="2059" w:type="dxa"/>
            <w:tcBorders>
              <w:top w:val="single" w:sz="4" w:space="0" w:color="auto"/>
              <w:left w:val="single" w:sz="4" w:space="0" w:color="auto"/>
              <w:bottom w:val="single" w:sz="4" w:space="0" w:color="auto"/>
              <w:right w:val="single" w:sz="4" w:space="0" w:color="auto"/>
            </w:tcBorders>
            <w:hideMark/>
          </w:tcPr>
          <w:p w14:paraId="0E99CF4C" w14:textId="77777777" w:rsidR="00E8077D" w:rsidRPr="00B50018" w:rsidRDefault="00E8077D" w:rsidP="008D41A0">
            <w:pPr>
              <w:widowControl/>
              <w:spacing w:before="120"/>
              <w:jc w:val="both"/>
              <w:rPr>
                <w:b/>
                <w:i/>
                <w:sz w:val="22"/>
                <w:szCs w:val="22"/>
              </w:rPr>
            </w:pPr>
            <w:r w:rsidRPr="00B50018">
              <w:rPr>
                <w:b/>
                <w:i/>
                <w:sz w:val="22"/>
              </w:rPr>
              <w:lastRenderedPageBreak/>
              <w:t>-</w:t>
            </w:r>
          </w:p>
        </w:tc>
        <w:tc>
          <w:tcPr>
            <w:tcW w:w="1304" w:type="dxa"/>
            <w:tcBorders>
              <w:top w:val="single" w:sz="4" w:space="0" w:color="auto"/>
              <w:left w:val="single" w:sz="4" w:space="0" w:color="auto"/>
              <w:bottom w:val="single" w:sz="4" w:space="0" w:color="auto"/>
              <w:right w:val="single" w:sz="4" w:space="0" w:color="auto"/>
            </w:tcBorders>
            <w:hideMark/>
          </w:tcPr>
          <w:p w14:paraId="3DB254BA"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2E9BBD15"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46FBB29F" w14:textId="77777777" w:rsidR="00E8077D" w:rsidRPr="00B50018" w:rsidRDefault="00E8077D" w:rsidP="008D41A0">
            <w:pPr>
              <w:widowControl/>
              <w:spacing w:before="120"/>
              <w:jc w:val="both"/>
              <w:rPr>
                <w:b/>
                <w:i/>
                <w:sz w:val="22"/>
                <w:szCs w:val="22"/>
              </w:rPr>
            </w:pPr>
            <w:r w:rsidRPr="00B50018">
              <w:rPr>
                <w:b/>
                <w:i/>
                <w:sz w:val="22"/>
              </w:rPr>
              <w:t>Abbondanza delle popolazioni</w:t>
            </w:r>
          </w:p>
        </w:tc>
        <w:tc>
          <w:tcPr>
            <w:tcW w:w="2741" w:type="dxa"/>
            <w:tcBorders>
              <w:top w:val="single" w:sz="4" w:space="0" w:color="auto"/>
              <w:left w:val="single" w:sz="4" w:space="0" w:color="auto"/>
              <w:bottom w:val="single" w:sz="4" w:space="0" w:color="auto"/>
              <w:right w:val="single" w:sz="4" w:space="0" w:color="auto"/>
            </w:tcBorders>
            <w:hideMark/>
          </w:tcPr>
          <w:p w14:paraId="41005AE6"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 xml:space="preserve">Abbondanza totale di batteri e archei (utilizzando copie della regione del gene 16S </w:t>
            </w:r>
            <w:proofErr w:type="spellStart"/>
            <w:r w:rsidRPr="00B50018">
              <w:rPr>
                <w:b/>
                <w:i/>
                <w:sz w:val="22"/>
              </w:rPr>
              <w:t>rRNA</w:t>
            </w:r>
            <w:proofErr w:type="spellEnd"/>
            <w:r w:rsidRPr="00B50018">
              <w:rPr>
                <w:b/>
                <w:i/>
                <w:sz w:val="22"/>
              </w:rPr>
              <w:t>)</w:t>
            </w:r>
          </w:p>
          <w:p w14:paraId="45ABFAED"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 xml:space="preserve">Abbondanza totale di funghi (utilizzando copie del della regione del gene 18S </w:t>
            </w:r>
            <w:proofErr w:type="spellStart"/>
            <w:r w:rsidRPr="00B50018">
              <w:rPr>
                <w:b/>
                <w:i/>
                <w:sz w:val="22"/>
              </w:rPr>
              <w:t>rRNA</w:t>
            </w:r>
            <w:proofErr w:type="spellEnd"/>
            <w:r w:rsidRPr="00B50018">
              <w:rPr>
                <w:b/>
                <w:i/>
                <w:sz w:val="22"/>
              </w:rPr>
              <w:t>)</w:t>
            </w:r>
          </w:p>
          <w:p w14:paraId="71C639F9"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Numero totale e proporzione di funghi patogeni</w:t>
            </w:r>
          </w:p>
          <w:p w14:paraId="5CAB0A87" w14:textId="77777777" w:rsidR="00E8077D" w:rsidRPr="00B50018" w:rsidRDefault="00E8077D" w:rsidP="008D41A0">
            <w:pPr>
              <w:widowControl/>
              <w:spacing w:before="120"/>
              <w:ind w:left="347" w:hanging="360"/>
              <w:contextualSpacing/>
              <w:jc w:val="both"/>
              <w:rPr>
                <w:b/>
                <w:i/>
              </w:rPr>
            </w:pPr>
            <w:r w:rsidRPr="00B50018">
              <w:rPr>
                <w:rFonts w:ascii="Symbol" w:hAnsi="Symbol"/>
              </w:rPr>
              <w:sym w:font="Symbol" w:char="F0B7"/>
            </w:r>
            <w:r w:rsidRPr="00B50018">
              <w:rPr>
                <w:rFonts w:ascii="Symbol" w:hAnsi="Symbol"/>
              </w:rPr>
              <w:tab/>
            </w:r>
            <w:r w:rsidRPr="00B50018">
              <w:rPr>
                <w:b/>
                <w:i/>
                <w:sz w:val="22"/>
              </w:rPr>
              <w:t>Abbondanza totale di nematodi per gruppo funzionale in base alla morfologia (</w:t>
            </w:r>
            <w:proofErr w:type="spellStart"/>
            <w:r w:rsidRPr="00B50018">
              <w:rPr>
                <w:b/>
                <w:i/>
                <w:sz w:val="22"/>
              </w:rPr>
              <w:t>batterivori</w:t>
            </w:r>
            <w:proofErr w:type="spellEnd"/>
            <w:r w:rsidRPr="00B50018">
              <w:rPr>
                <w:b/>
                <w:i/>
                <w:sz w:val="22"/>
              </w:rPr>
              <w:t xml:space="preserve">, fungivori, </w:t>
            </w:r>
            <w:proofErr w:type="spellStart"/>
            <w:r w:rsidRPr="00B50018">
              <w:rPr>
                <w:b/>
                <w:i/>
                <w:sz w:val="22"/>
              </w:rPr>
              <w:t>radicivori</w:t>
            </w:r>
            <w:proofErr w:type="spellEnd"/>
            <w:r w:rsidRPr="00B50018">
              <w:rPr>
                <w:b/>
                <w:i/>
                <w:sz w:val="22"/>
              </w:rPr>
              <w:t>, onnivori, predatori)</w:t>
            </w:r>
          </w:p>
        </w:tc>
        <w:tc>
          <w:tcPr>
            <w:tcW w:w="2059" w:type="dxa"/>
            <w:tcBorders>
              <w:top w:val="single" w:sz="4" w:space="0" w:color="auto"/>
              <w:left w:val="single" w:sz="4" w:space="0" w:color="auto"/>
              <w:bottom w:val="single" w:sz="4" w:space="0" w:color="auto"/>
              <w:right w:val="single" w:sz="4" w:space="0" w:color="auto"/>
            </w:tcBorders>
            <w:hideMark/>
          </w:tcPr>
          <w:p w14:paraId="28BFCDA9" w14:textId="77777777" w:rsidR="00E8077D" w:rsidRPr="00B50018" w:rsidRDefault="00E8077D" w:rsidP="008D41A0">
            <w:pPr>
              <w:widowControl/>
              <w:spacing w:before="120"/>
              <w:jc w:val="both"/>
              <w:rPr>
                <w:b/>
                <w:i/>
                <w:sz w:val="22"/>
                <w:szCs w:val="22"/>
              </w:rPr>
            </w:pPr>
            <w:r w:rsidRPr="00B50018">
              <w:rPr>
                <w:b/>
                <w:i/>
                <w:sz w:val="22"/>
              </w:rPr>
              <w:t>-</w:t>
            </w:r>
          </w:p>
        </w:tc>
        <w:tc>
          <w:tcPr>
            <w:tcW w:w="1304" w:type="dxa"/>
            <w:tcBorders>
              <w:top w:val="single" w:sz="4" w:space="0" w:color="auto"/>
              <w:left w:val="single" w:sz="4" w:space="0" w:color="auto"/>
              <w:bottom w:val="single" w:sz="4" w:space="0" w:color="auto"/>
              <w:right w:val="single" w:sz="4" w:space="0" w:color="auto"/>
            </w:tcBorders>
            <w:hideMark/>
          </w:tcPr>
          <w:p w14:paraId="6141A675"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63AD4B61" w14:textId="77777777" w:rsidTr="008D41A0">
        <w:tc>
          <w:tcPr>
            <w:tcW w:w="8926" w:type="dxa"/>
            <w:gridSpan w:val="4"/>
            <w:tcBorders>
              <w:top w:val="single" w:sz="4" w:space="0" w:color="auto"/>
              <w:left w:val="single" w:sz="4" w:space="0" w:color="auto"/>
              <w:bottom w:val="single" w:sz="4" w:space="0" w:color="auto"/>
              <w:right w:val="single" w:sz="4" w:space="0" w:color="auto"/>
            </w:tcBorders>
            <w:hideMark/>
          </w:tcPr>
          <w:p w14:paraId="27B19BA8" w14:textId="77777777" w:rsidR="00E8077D" w:rsidRPr="00B50018" w:rsidRDefault="00E8077D" w:rsidP="008D41A0">
            <w:pPr>
              <w:widowControl/>
              <w:spacing w:before="120"/>
              <w:jc w:val="both"/>
              <w:rPr>
                <w:b/>
                <w:i/>
                <w:sz w:val="22"/>
                <w:szCs w:val="22"/>
              </w:rPr>
            </w:pPr>
            <w:r w:rsidRPr="00B50018">
              <w:rPr>
                <w:b/>
                <w:i/>
                <w:sz w:val="22"/>
              </w:rPr>
              <w:t>Habitat del suolo</w:t>
            </w:r>
          </w:p>
        </w:tc>
      </w:tr>
      <w:tr w:rsidR="00E8077D" w:rsidRPr="00B50018" w14:paraId="5489A18D"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0A31AFCB" w14:textId="77777777" w:rsidR="00E8077D" w:rsidRPr="00B50018" w:rsidRDefault="00E8077D" w:rsidP="008D41A0">
            <w:pPr>
              <w:widowControl/>
              <w:spacing w:before="120"/>
              <w:jc w:val="both"/>
              <w:rPr>
                <w:b/>
                <w:i/>
                <w:sz w:val="22"/>
                <w:szCs w:val="22"/>
              </w:rPr>
            </w:pPr>
            <w:r w:rsidRPr="00B50018">
              <w:rPr>
                <w:b/>
                <w:i/>
                <w:sz w:val="22"/>
              </w:rPr>
              <w:t>Caratteristica dell'habitat del suolo</w:t>
            </w:r>
          </w:p>
        </w:tc>
        <w:tc>
          <w:tcPr>
            <w:tcW w:w="2741" w:type="dxa"/>
            <w:tcBorders>
              <w:top w:val="single" w:sz="4" w:space="0" w:color="auto"/>
              <w:left w:val="single" w:sz="4" w:space="0" w:color="auto"/>
              <w:bottom w:val="single" w:sz="4" w:space="0" w:color="auto"/>
              <w:right w:val="single" w:sz="4" w:space="0" w:color="auto"/>
            </w:tcBorders>
            <w:hideMark/>
          </w:tcPr>
          <w:p w14:paraId="2F31B346" w14:textId="77777777" w:rsidR="00E8077D" w:rsidRPr="00B50018" w:rsidRDefault="00E8077D" w:rsidP="008D41A0">
            <w:pPr>
              <w:widowControl/>
              <w:spacing w:before="120"/>
              <w:jc w:val="both"/>
              <w:rPr>
                <w:b/>
                <w:i/>
                <w:sz w:val="22"/>
                <w:szCs w:val="22"/>
              </w:rPr>
            </w:pPr>
            <w:r w:rsidRPr="00B50018">
              <w:rPr>
                <w:b/>
                <w:i/>
                <w:sz w:val="22"/>
              </w:rPr>
              <w:t>Descrittore del suolo</w:t>
            </w:r>
          </w:p>
        </w:tc>
        <w:tc>
          <w:tcPr>
            <w:tcW w:w="2059" w:type="dxa"/>
            <w:tcBorders>
              <w:top w:val="single" w:sz="4" w:space="0" w:color="auto"/>
              <w:left w:val="single" w:sz="4" w:space="0" w:color="auto"/>
              <w:bottom w:val="single" w:sz="4" w:space="0" w:color="auto"/>
              <w:right w:val="single" w:sz="4" w:space="0" w:color="auto"/>
            </w:tcBorders>
            <w:hideMark/>
          </w:tcPr>
          <w:p w14:paraId="20B74492" w14:textId="77777777" w:rsidR="00E8077D" w:rsidRPr="00B50018" w:rsidRDefault="00E8077D" w:rsidP="008D41A0">
            <w:pPr>
              <w:widowControl/>
              <w:spacing w:before="120"/>
              <w:jc w:val="both"/>
              <w:rPr>
                <w:b/>
                <w:i/>
                <w:sz w:val="22"/>
                <w:szCs w:val="22"/>
              </w:rPr>
            </w:pPr>
            <w:r w:rsidRPr="00B50018">
              <w:rPr>
                <w:b/>
                <w:i/>
                <w:sz w:val="22"/>
              </w:rPr>
              <w:t>Eccezioni</w:t>
            </w:r>
          </w:p>
        </w:tc>
        <w:tc>
          <w:tcPr>
            <w:tcW w:w="1304" w:type="dxa"/>
            <w:tcBorders>
              <w:top w:val="single" w:sz="4" w:space="0" w:color="auto"/>
              <w:left w:val="single" w:sz="4" w:space="0" w:color="auto"/>
              <w:bottom w:val="single" w:sz="4" w:space="0" w:color="auto"/>
              <w:right w:val="single" w:sz="4" w:space="0" w:color="auto"/>
            </w:tcBorders>
          </w:tcPr>
          <w:p w14:paraId="31CE5B19" w14:textId="77777777" w:rsidR="00E8077D" w:rsidRPr="00B50018" w:rsidRDefault="00E8077D" w:rsidP="008D41A0">
            <w:pPr>
              <w:widowControl/>
              <w:spacing w:before="120"/>
              <w:jc w:val="both"/>
              <w:rPr>
                <w:b/>
                <w:bCs/>
                <w:i/>
                <w:iCs/>
                <w:sz w:val="22"/>
                <w:szCs w:val="22"/>
                <w:lang w:eastAsia="en-US"/>
              </w:rPr>
            </w:pPr>
          </w:p>
        </w:tc>
      </w:tr>
      <w:tr w:rsidR="00E8077D" w:rsidRPr="00B50018" w14:paraId="356C612A" w14:textId="77777777" w:rsidTr="00E8077D">
        <w:tc>
          <w:tcPr>
            <w:tcW w:w="2822" w:type="dxa"/>
            <w:tcBorders>
              <w:top w:val="single" w:sz="4" w:space="0" w:color="auto"/>
              <w:left w:val="single" w:sz="4" w:space="0" w:color="auto"/>
              <w:bottom w:val="single" w:sz="4" w:space="0" w:color="auto"/>
              <w:right w:val="single" w:sz="4" w:space="0" w:color="auto"/>
            </w:tcBorders>
            <w:hideMark/>
          </w:tcPr>
          <w:p w14:paraId="3F078566" w14:textId="77777777" w:rsidR="00E8077D" w:rsidRPr="00B50018" w:rsidRDefault="00E8077D" w:rsidP="008D41A0">
            <w:pPr>
              <w:widowControl/>
              <w:spacing w:before="120"/>
              <w:jc w:val="both"/>
              <w:rPr>
                <w:b/>
                <w:i/>
                <w:sz w:val="22"/>
                <w:szCs w:val="22"/>
              </w:rPr>
            </w:pPr>
            <w:r w:rsidRPr="00B50018">
              <w:rPr>
                <w:b/>
                <w:i/>
                <w:sz w:val="22"/>
              </w:rPr>
              <w:t>Struttura del suolo</w:t>
            </w:r>
          </w:p>
        </w:tc>
        <w:tc>
          <w:tcPr>
            <w:tcW w:w="2741" w:type="dxa"/>
            <w:tcBorders>
              <w:top w:val="single" w:sz="4" w:space="0" w:color="auto"/>
              <w:left w:val="single" w:sz="4" w:space="0" w:color="auto"/>
              <w:bottom w:val="single" w:sz="4" w:space="0" w:color="auto"/>
              <w:right w:val="single" w:sz="4" w:space="0" w:color="auto"/>
            </w:tcBorders>
            <w:hideMark/>
          </w:tcPr>
          <w:p w14:paraId="1E957877"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Proporzioni delle classi dimensionali (sabbia, limo, argilla)</w:t>
            </w:r>
          </w:p>
          <w:p w14:paraId="673B41F9" w14:textId="77777777" w:rsidR="00E8077D" w:rsidRPr="00B50018" w:rsidRDefault="00E8077D" w:rsidP="008D41A0">
            <w:pPr>
              <w:widowControl/>
              <w:spacing w:before="120"/>
              <w:ind w:left="347" w:hanging="360"/>
              <w:contextualSpacing/>
              <w:jc w:val="both"/>
              <w:rPr>
                <w:b/>
                <w:i/>
              </w:rPr>
            </w:pPr>
            <w:r w:rsidRPr="00B50018">
              <w:rPr>
                <w:rFonts w:ascii="Symbol" w:hAnsi="Symbol"/>
              </w:rPr>
              <w:sym w:font="Symbol" w:char="F0B7"/>
            </w:r>
            <w:r w:rsidRPr="00B50018">
              <w:rPr>
                <w:rFonts w:ascii="Symbol" w:hAnsi="Symbol"/>
              </w:rPr>
              <w:tab/>
            </w:r>
            <w:r w:rsidRPr="00B50018">
              <w:rPr>
                <w:b/>
                <w:i/>
                <w:sz w:val="22"/>
              </w:rPr>
              <w:t>Proporzione di materiali grossolani (&gt;2 mm)</w:t>
            </w:r>
          </w:p>
        </w:tc>
        <w:tc>
          <w:tcPr>
            <w:tcW w:w="2059" w:type="dxa"/>
            <w:tcBorders>
              <w:top w:val="single" w:sz="4" w:space="0" w:color="auto"/>
              <w:left w:val="single" w:sz="4" w:space="0" w:color="auto"/>
              <w:bottom w:val="single" w:sz="4" w:space="0" w:color="auto"/>
              <w:right w:val="single" w:sz="4" w:space="0" w:color="auto"/>
            </w:tcBorders>
            <w:hideMark/>
          </w:tcPr>
          <w:p w14:paraId="675ED801" w14:textId="77777777" w:rsidR="00E8077D" w:rsidRPr="00B50018" w:rsidRDefault="00E8077D" w:rsidP="008D41A0">
            <w:pPr>
              <w:widowControl/>
              <w:spacing w:before="120"/>
              <w:jc w:val="both"/>
              <w:rPr>
                <w:b/>
                <w:i/>
                <w:sz w:val="22"/>
                <w:szCs w:val="22"/>
              </w:rPr>
            </w:pPr>
            <w:r w:rsidRPr="00B50018">
              <w:rPr>
                <w:b/>
                <w:i/>
                <w:sz w:val="22"/>
              </w:rPr>
              <w:t>-</w:t>
            </w:r>
          </w:p>
        </w:tc>
        <w:tc>
          <w:tcPr>
            <w:tcW w:w="1304" w:type="dxa"/>
            <w:tcBorders>
              <w:top w:val="single" w:sz="4" w:space="0" w:color="auto"/>
              <w:left w:val="single" w:sz="4" w:space="0" w:color="auto"/>
              <w:bottom w:val="single" w:sz="4" w:space="0" w:color="auto"/>
              <w:right w:val="single" w:sz="4" w:space="0" w:color="auto"/>
            </w:tcBorders>
            <w:hideMark/>
          </w:tcPr>
          <w:p w14:paraId="3C918371"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w:t>
            </w:r>
          </w:p>
        </w:tc>
      </w:tr>
    </w:tbl>
    <w:p w14:paraId="19D85D4E" w14:textId="77777777" w:rsidR="00E8077D" w:rsidRPr="00B50018" w:rsidRDefault="00E8077D" w:rsidP="00E8077D"/>
    <w:p w14:paraId="20959C8F" w14:textId="606A950B" w:rsidR="00E8077D" w:rsidRPr="00051CB3" w:rsidRDefault="00E8077D" w:rsidP="00E8077D">
      <w:pPr>
        <w:jc w:val="right"/>
        <w:rPr>
          <w:b/>
        </w:rPr>
      </w:pPr>
      <w:r>
        <w:rPr>
          <w:b/>
        </w:rPr>
        <w:t>[</w:t>
      </w:r>
      <w:proofErr w:type="spellStart"/>
      <w:r>
        <w:rPr>
          <w:b/>
        </w:rPr>
        <w:t>Em</w:t>
      </w:r>
      <w:proofErr w:type="spellEnd"/>
      <w:r>
        <w:rPr>
          <w:b/>
        </w:rPr>
        <w:t>. 198]</w:t>
      </w:r>
    </w:p>
    <w:p w14:paraId="5A66452C" w14:textId="77777777" w:rsidR="00E8077D" w:rsidRDefault="00E8077D">
      <w:r>
        <w:br w:type="page"/>
      </w:r>
    </w:p>
    <w:tbl>
      <w:tblPr>
        <w:tblStyle w:val="TableGrid1"/>
        <w:tblW w:w="9924" w:type="dxa"/>
        <w:tblInd w:w="-318" w:type="dxa"/>
        <w:tblLayout w:type="fixed"/>
        <w:tblLook w:val="04A0" w:firstRow="1" w:lastRow="0" w:firstColumn="1" w:lastColumn="0" w:noHBand="0" w:noVBand="1"/>
      </w:tblPr>
      <w:tblGrid>
        <w:gridCol w:w="1844"/>
        <w:gridCol w:w="1984"/>
        <w:gridCol w:w="3261"/>
        <w:gridCol w:w="2835"/>
      </w:tblGrid>
      <w:tr w:rsidR="008D196E" w:rsidRPr="00E8077D" w14:paraId="3F25664A" w14:textId="77777777" w:rsidTr="008D196E">
        <w:tc>
          <w:tcPr>
            <w:tcW w:w="9924" w:type="dxa"/>
            <w:gridSpan w:val="4"/>
            <w:tcBorders>
              <w:top w:val="single" w:sz="4" w:space="0" w:color="auto"/>
              <w:left w:val="single" w:sz="4" w:space="0" w:color="auto"/>
              <w:bottom w:val="single" w:sz="4" w:space="0" w:color="auto"/>
              <w:right w:val="single" w:sz="4" w:space="0" w:color="auto"/>
            </w:tcBorders>
          </w:tcPr>
          <w:p w14:paraId="02061A23" w14:textId="21C9EBC2" w:rsidR="008D196E" w:rsidRPr="00E8077D" w:rsidRDefault="008D196E" w:rsidP="008D196E">
            <w:pPr>
              <w:keepNext/>
              <w:keepLines/>
              <w:spacing w:before="120" w:after="120"/>
              <w:rPr>
                <w:rFonts w:ascii="Times New Roman" w:hAnsi="Times New Roman" w:cs="Times New Roman"/>
                <w:strike/>
                <w:noProof/>
                <w:spacing w:val="-4"/>
              </w:rPr>
            </w:pPr>
            <w:r w:rsidRPr="00E8077D">
              <w:rPr>
                <w:rFonts w:ascii="Times New Roman" w:hAnsi="Times New Roman" w:cs="Times New Roman"/>
                <w:b/>
                <w:i/>
                <w:strike/>
                <w:noProof/>
                <w:spacing w:val="-4"/>
              </w:rPr>
              <w:lastRenderedPageBreak/>
              <w:t>Parte B: descrittori del suolo con criteri di sanità del suolo stabiliti a livello di Stati membri</w:t>
            </w:r>
          </w:p>
        </w:tc>
      </w:tr>
      <w:tr w:rsidR="008D196E" w:rsidRPr="00E8077D" w14:paraId="3A7DEBA3" w14:textId="77777777" w:rsidTr="008D196E">
        <w:tc>
          <w:tcPr>
            <w:tcW w:w="1844" w:type="dxa"/>
            <w:tcBorders>
              <w:top w:val="single" w:sz="4" w:space="0" w:color="auto"/>
              <w:left w:val="single" w:sz="4" w:space="0" w:color="auto"/>
              <w:bottom w:val="single" w:sz="4" w:space="0" w:color="auto"/>
              <w:right w:val="single" w:sz="4" w:space="0" w:color="auto"/>
            </w:tcBorders>
            <w:hideMark/>
          </w:tcPr>
          <w:p w14:paraId="18D1F9DB"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Tenore di nutrienti in eccesso nel suolo</w:t>
            </w:r>
          </w:p>
        </w:tc>
        <w:tc>
          <w:tcPr>
            <w:tcW w:w="1984" w:type="dxa"/>
            <w:tcBorders>
              <w:top w:val="single" w:sz="4" w:space="0" w:color="auto"/>
              <w:left w:val="single" w:sz="4" w:space="0" w:color="auto"/>
              <w:bottom w:val="single" w:sz="4" w:space="0" w:color="auto"/>
              <w:right w:val="single" w:sz="4" w:space="0" w:color="auto"/>
            </w:tcBorders>
            <w:hideMark/>
          </w:tcPr>
          <w:p w14:paraId="4A6B104A"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Fosforo estraibile (mg/kg)</w:t>
            </w:r>
          </w:p>
        </w:tc>
        <w:tc>
          <w:tcPr>
            <w:tcW w:w="3261" w:type="dxa"/>
            <w:tcBorders>
              <w:top w:val="single" w:sz="4" w:space="0" w:color="auto"/>
              <w:left w:val="single" w:sz="4" w:space="0" w:color="auto"/>
              <w:bottom w:val="single" w:sz="4" w:space="0" w:color="auto"/>
              <w:right w:val="single" w:sz="4" w:space="0" w:color="auto"/>
            </w:tcBorders>
            <w:hideMark/>
          </w:tcPr>
          <w:p w14:paraId="085CB689"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 xml:space="preserve">&lt; "Valore massimo" </w:t>
            </w:r>
          </w:p>
          <w:p w14:paraId="67D35C77"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Il "valore massimo" è fissato dallo Stato membro nell'intervallo 30</w:t>
            </w:r>
            <w:r w:rsidRPr="00E8077D">
              <w:rPr>
                <w:rFonts w:ascii="Times New Roman" w:hAnsi="Times New Roman" w:cs="Times New Roman"/>
                <w:strike/>
                <w:noProof/>
                <w:spacing w:val="-4"/>
              </w:rPr>
              <w:noBreakHyphen/>
              <w:t>50 mg kg</w:t>
            </w:r>
            <w:r w:rsidRPr="00E8077D">
              <w:rPr>
                <w:rFonts w:ascii="Times New Roman" w:hAnsi="Times New Roman" w:cs="Times New Roman"/>
                <w:strike/>
                <w:noProof/>
                <w:spacing w:val="-4"/>
                <w:vertAlign w:val="superscript"/>
              </w:rPr>
              <w:t>-1</w:t>
            </w:r>
            <w:r w:rsidRPr="00E8077D">
              <w:rPr>
                <w:rFonts w:ascii="Times New Roman" w:hAnsi="Times New Roman" w:cs="Times New Roman"/>
                <w:strike/>
                <w:noProof/>
                <w:spacing w:val="-4"/>
              </w:rPr>
              <w:t xml:space="preserve"> </w:t>
            </w:r>
          </w:p>
        </w:tc>
        <w:tc>
          <w:tcPr>
            <w:tcW w:w="2835" w:type="dxa"/>
            <w:tcBorders>
              <w:top w:val="single" w:sz="4" w:space="0" w:color="auto"/>
              <w:left w:val="single" w:sz="4" w:space="0" w:color="auto"/>
              <w:bottom w:val="single" w:sz="4" w:space="0" w:color="auto"/>
              <w:right w:val="single" w:sz="4" w:space="0" w:color="auto"/>
            </w:tcBorders>
            <w:hideMark/>
          </w:tcPr>
          <w:p w14:paraId="328F3200"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Senza eccezioni</w:t>
            </w:r>
          </w:p>
        </w:tc>
      </w:tr>
      <w:tr w:rsidR="008D196E" w:rsidRPr="00E8077D" w14:paraId="4CC4BD5B" w14:textId="77777777" w:rsidTr="008D196E">
        <w:tc>
          <w:tcPr>
            <w:tcW w:w="1844" w:type="dxa"/>
            <w:tcBorders>
              <w:top w:val="single" w:sz="4" w:space="0" w:color="auto"/>
              <w:left w:val="single" w:sz="4" w:space="0" w:color="auto"/>
              <w:bottom w:val="single" w:sz="4" w:space="0" w:color="auto"/>
              <w:right w:val="single" w:sz="4" w:space="0" w:color="auto"/>
            </w:tcBorders>
            <w:hideMark/>
          </w:tcPr>
          <w:p w14:paraId="0BC5AA8E"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Contaminazione del suolo</w:t>
            </w:r>
          </w:p>
        </w:tc>
        <w:tc>
          <w:tcPr>
            <w:tcW w:w="1984" w:type="dxa"/>
            <w:tcBorders>
              <w:top w:val="single" w:sz="4" w:space="0" w:color="auto"/>
              <w:left w:val="single" w:sz="4" w:space="0" w:color="auto"/>
              <w:bottom w:val="single" w:sz="4" w:space="0" w:color="auto"/>
              <w:right w:val="single" w:sz="4" w:space="0" w:color="auto"/>
            </w:tcBorders>
            <w:hideMark/>
          </w:tcPr>
          <w:p w14:paraId="392CB100"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 xml:space="preserve">- Concentrazione di metalli pesanti nel suolo: As, Sb, Cd, Co, Cr (totale), Cr (VI), Cu, Hg, Pb, Ni, Tl, V, Zn (µg per kg) </w:t>
            </w:r>
            <w:r w:rsidRPr="00E8077D">
              <w:rPr>
                <w:rFonts w:ascii="Times New Roman" w:hAnsi="Times New Roman" w:cs="Times New Roman"/>
                <w:strike/>
                <w:noProof/>
                <w:spacing w:val="-4"/>
              </w:rPr>
              <w:br/>
              <w:t xml:space="preserve"> - Concentrazione di una serie di contaminanti organici stabilita dagli Stati membri tenendo conto dei limiti di concentrazione vigenti nella legislazione dell'Unione, ad esempio per la qualità dell'acqua e le emissioni atmosferiche </w:t>
            </w:r>
          </w:p>
        </w:tc>
        <w:tc>
          <w:tcPr>
            <w:tcW w:w="3261" w:type="dxa"/>
            <w:tcBorders>
              <w:top w:val="single" w:sz="4" w:space="0" w:color="auto"/>
              <w:left w:val="single" w:sz="4" w:space="0" w:color="auto"/>
              <w:bottom w:val="single" w:sz="4" w:space="0" w:color="auto"/>
              <w:right w:val="single" w:sz="4" w:space="0" w:color="auto"/>
            </w:tcBorders>
            <w:hideMark/>
          </w:tcPr>
          <w:p w14:paraId="028F154F" w14:textId="77777777" w:rsidR="008D196E" w:rsidRPr="00E8077D" w:rsidRDefault="008D196E" w:rsidP="008D196E">
            <w:pPr>
              <w:spacing w:before="120" w:after="120"/>
              <w:rPr>
                <w:rFonts w:ascii="Times New Roman" w:hAnsi="Times New Roman" w:cs="Times New Roman"/>
                <w:strike/>
                <w:noProof/>
                <w:spacing w:val="-4"/>
                <w:vertAlign w:val="superscript"/>
              </w:rPr>
            </w:pPr>
            <w:r w:rsidRPr="00E8077D">
              <w:rPr>
                <w:rFonts w:ascii="Times New Roman" w:hAnsi="Times New Roman" w:cs="Times New Roman"/>
                <w:strike/>
                <w:noProof/>
                <w:spacing w:val="-4"/>
              </w:rPr>
              <w:t>Ragionevole garanzia, ottenuta tramite campionamento per punti del suolo, identificazione e analisi dei siti contaminati e altre informazioni pertinenti, che la contaminazione del suolo non crea alcun rischio inaccettabile per la salute umana e per l'ambiente.</w:t>
            </w:r>
          </w:p>
          <w:p w14:paraId="4631360A"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Gli habitat con forte concentrazione naturale di metalli pesanti che figurano nell'allegato I della direttiva 92/43/CEE del Consiglio</w:t>
            </w:r>
            <w:r w:rsidRPr="00E8077D">
              <w:rPr>
                <w:rFonts w:ascii="Times New Roman" w:hAnsi="Times New Roman" w:cs="Times New Roman"/>
                <w:strike/>
                <w:noProof/>
                <w:spacing w:val="-4"/>
                <w:vertAlign w:val="superscript"/>
              </w:rPr>
              <w:footnoteReference w:id="61"/>
            </w:r>
            <w:r w:rsidRPr="00E8077D">
              <w:rPr>
                <w:rFonts w:ascii="Times New Roman" w:hAnsi="Times New Roman" w:cs="Times New Roman"/>
                <w:strike/>
                <w:noProof/>
                <w:spacing w:val="-4"/>
              </w:rPr>
              <w:t xml:space="preserve"> restano protetti.</w:t>
            </w:r>
          </w:p>
        </w:tc>
        <w:tc>
          <w:tcPr>
            <w:tcW w:w="2835" w:type="dxa"/>
            <w:tcBorders>
              <w:top w:val="single" w:sz="4" w:space="0" w:color="auto"/>
              <w:left w:val="single" w:sz="4" w:space="0" w:color="auto"/>
              <w:bottom w:val="single" w:sz="4" w:space="0" w:color="auto"/>
              <w:right w:val="single" w:sz="4" w:space="0" w:color="auto"/>
            </w:tcBorders>
            <w:hideMark/>
          </w:tcPr>
          <w:p w14:paraId="68F2FC44"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Senza eccezioni</w:t>
            </w:r>
          </w:p>
        </w:tc>
      </w:tr>
      <w:tr w:rsidR="008D196E" w:rsidRPr="00E8077D" w14:paraId="6B8A7BD4" w14:textId="77777777" w:rsidTr="008D196E">
        <w:tc>
          <w:tcPr>
            <w:tcW w:w="1844" w:type="dxa"/>
            <w:tcBorders>
              <w:top w:val="single" w:sz="4" w:space="0" w:color="auto"/>
              <w:left w:val="single" w:sz="4" w:space="0" w:color="auto"/>
              <w:bottom w:val="single" w:sz="4" w:space="0" w:color="auto"/>
              <w:right w:val="single" w:sz="4" w:space="0" w:color="auto"/>
            </w:tcBorders>
            <w:hideMark/>
          </w:tcPr>
          <w:p w14:paraId="32A1212E"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Riduzione della capacità di ritenzione idrica del suolo</w:t>
            </w:r>
          </w:p>
        </w:tc>
        <w:tc>
          <w:tcPr>
            <w:tcW w:w="1984" w:type="dxa"/>
            <w:tcBorders>
              <w:top w:val="single" w:sz="4" w:space="0" w:color="auto"/>
              <w:left w:val="single" w:sz="4" w:space="0" w:color="auto"/>
              <w:bottom w:val="single" w:sz="4" w:space="0" w:color="auto"/>
              <w:right w:val="single" w:sz="4" w:space="0" w:color="auto"/>
            </w:tcBorders>
            <w:hideMark/>
          </w:tcPr>
          <w:p w14:paraId="6A82A25F"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Capacità di ritenzione idrica del campione di suolo (% del volume d'acqua/volume di suolo saturo)</w:t>
            </w:r>
          </w:p>
        </w:tc>
        <w:tc>
          <w:tcPr>
            <w:tcW w:w="3261" w:type="dxa"/>
            <w:tcBorders>
              <w:top w:val="single" w:sz="4" w:space="0" w:color="auto"/>
              <w:left w:val="single" w:sz="4" w:space="0" w:color="auto"/>
              <w:bottom w:val="single" w:sz="4" w:space="0" w:color="auto"/>
              <w:right w:val="single" w:sz="4" w:space="0" w:color="auto"/>
            </w:tcBorders>
            <w:hideMark/>
          </w:tcPr>
          <w:p w14:paraId="309C0D59"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 xml:space="preserve">Il valore stimato della capacità totale di ritenzione idrica di un distretto di suolo per bacino o sottobacino idrografico è superiore alla soglia minima. </w:t>
            </w:r>
          </w:p>
          <w:p w14:paraId="6DB8EC51"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 xml:space="preserve">La soglia minima è fissata (in tonnellate) dallo Stato membro a livello di distretto del suolo e di bacino o sottobacino idrografico a un valore tale da attenuare l'impatto delle inondazioni dovute a precipitazioni intense o dei periodi di bassa umidità del suolo dovuta alla siccità. </w:t>
            </w:r>
          </w:p>
        </w:tc>
        <w:tc>
          <w:tcPr>
            <w:tcW w:w="2835" w:type="dxa"/>
            <w:tcBorders>
              <w:top w:val="single" w:sz="4" w:space="0" w:color="auto"/>
              <w:left w:val="single" w:sz="4" w:space="0" w:color="auto"/>
              <w:bottom w:val="single" w:sz="4" w:space="0" w:color="auto"/>
              <w:right w:val="single" w:sz="4" w:space="0" w:color="auto"/>
            </w:tcBorders>
            <w:hideMark/>
          </w:tcPr>
          <w:p w14:paraId="6A4EC939" w14:textId="77777777" w:rsidR="008D196E" w:rsidRPr="00E8077D" w:rsidRDefault="008D196E" w:rsidP="008D196E">
            <w:pPr>
              <w:spacing w:before="120" w:after="120"/>
              <w:rPr>
                <w:rFonts w:ascii="Times New Roman" w:hAnsi="Times New Roman" w:cs="Times New Roman"/>
                <w:strike/>
                <w:noProof/>
                <w:spacing w:val="-4"/>
              </w:rPr>
            </w:pPr>
            <w:r w:rsidRPr="00E8077D">
              <w:rPr>
                <w:rFonts w:ascii="Times New Roman" w:hAnsi="Times New Roman" w:cs="Times New Roman"/>
                <w:strike/>
                <w:noProof/>
                <w:spacing w:val="-4"/>
              </w:rPr>
              <w:t>Senza eccezioni</w:t>
            </w:r>
          </w:p>
        </w:tc>
      </w:tr>
    </w:tbl>
    <w:tbl>
      <w:tblPr>
        <w:tblW w:w="9493" w:type="dxa"/>
        <w:tblLook w:val="04A0" w:firstRow="1" w:lastRow="0" w:firstColumn="1" w:lastColumn="0" w:noHBand="0" w:noVBand="1"/>
      </w:tblPr>
      <w:tblGrid>
        <w:gridCol w:w="2949"/>
        <w:gridCol w:w="2802"/>
        <w:gridCol w:w="2071"/>
        <w:gridCol w:w="1671"/>
      </w:tblGrid>
      <w:tr w:rsidR="00E8077D" w:rsidRPr="00B50018" w14:paraId="636E58F1" w14:textId="77777777" w:rsidTr="008D41A0">
        <w:tc>
          <w:tcPr>
            <w:tcW w:w="9493" w:type="dxa"/>
            <w:gridSpan w:val="4"/>
            <w:tcBorders>
              <w:top w:val="single" w:sz="4" w:space="0" w:color="auto"/>
              <w:left w:val="single" w:sz="4" w:space="0" w:color="auto"/>
              <w:bottom w:val="single" w:sz="4" w:space="0" w:color="auto"/>
              <w:right w:val="single" w:sz="4" w:space="0" w:color="auto"/>
            </w:tcBorders>
            <w:hideMark/>
          </w:tcPr>
          <w:p w14:paraId="79E5E16D" w14:textId="77777777" w:rsidR="00E8077D" w:rsidRPr="00B50018" w:rsidRDefault="00E8077D" w:rsidP="008D41A0">
            <w:pPr>
              <w:widowControl/>
              <w:spacing w:before="120"/>
              <w:jc w:val="both"/>
              <w:rPr>
                <w:b/>
                <w:bCs/>
                <w:i/>
                <w:sz w:val="22"/>
                <w:szCs w:val="22"/>
              </w:rPr>
            </w:pPr>
            <w:r w:rsidRPr="00B50018">
              <w:rPr>
                <w:b/>
                <w:i/>
                <w:sz w:val="22"/>
              </w:rPr>
              <w:t>Parte B: Modello di monitoraggio del suolo di livello 2</w:t>
            </w:r>
          </w:p>
          <w:p w14:paraId="03061188" w14:textId="77777777" w:rsidR="00E8077D" w:rsidRPr="00B50018" w:rsidRDefault="00E8077D" w:rsidP="008D41A0">
            <w:pPr>
              <w:widowControl/>
              <w:spacing w:before="120"/>
              <w:jc w:val="both"/>
              <w:rPr>
                <w:b/>
                <w:i/>
                <w:iCs/>
                <w:sz w:val="22"/>
                <w:szCs w:val="22"/>
              </w:rPr>
            </w:pPr>
            <w:r w:rsidRPr="00B50018">
              <w:rPr>
                <w:b/>
                <w:i/>
                <w:sz w:val="22"/>
              </w:rPr>
              <w:t>Uno Stato membro si qualifica per il modello di monitoraggio del suolo di livello 2 se:</w:t>
            </w:r>
          </w:p>
          <w:p w14:paraId="1ADB367F" w14:textId="77777777" w:rsidR="00E8077D" w:rsidRPr="00B50018" w:rsidRDefault="00E8077D" w:rsidP="008D41A0">
            <w:pPr>
              <w:widowControl/>
              <w:spacing w:before="120"/>
              <w:jc w:val="both"/>
              <w:rPr>
                <w:b/>
                <w:i/>
                <w:iCs/>
                <w:sz w:val="22"/>
                <w:szCs w:val="22"/>
              </w:rPr>
            </w:pPr>
            <w:r w:rsidRPr="00B50018">
              <w:rPr>
                <w:b/>
                <w:i/>
                <w:sz w:val="22"/>
              </w:rPr>
              <w:lastRenderedPageBreak/>
              <w:t xml:space="preserve">- include cumulativamente tutti i descrittori del suolo del livello 1 e i criteri definiti nella colonna 2 per la modalità di campionamento della parte B e include almeno il 50 % dei descrittori del suolo della parte B; oppure </w:t>
            </w:r>
          </w:p>
          <w:p w14:paraId="66C6606E" w14:textId="77777777" w:rsidR="00E8077D" w:rsidRPr="00B50018" w:rsidRDefault="00E8077D" w:rsidP="008D41A0">
            <w:pPr>
              <w:widowControl/>
              <w:spacing w:before="120"/>
              <w:jc w:val="both"/>
              <w:rPr>
                <w:b/>
                <w:bCs/>
                <w:i/>
                <w:sz w:val="22"/>
                <w:szCs w:val="22"/>
              </w:rPr>
            </w:pPr>
            <w:r w:rsidRPr="00B50018">
              <w:rPr>
                <w:b/>
                <w:i/>
                <w:sz w:val="22"/>
              </w:rPr>
              <w:t>- soddisfa cumulativamente i criteri per la modalità di campionamento del suolo del livello 1 e include tutti i descrittori del suolo delle parti A e B.</w:t>
            </w:r>
          </w:p>
        </w:tc>
      </w:tr>
      <w:tr w:rsidR="00E8077D" w:rsidRPr="00B50018" w14:paraId="7108228D" w14:textId="77777777" w:rsidTr="008D41A0">
        <w:tc>
          <w:tcPr>
            <w:tcW w:w="9493" w:type="dxa"/>
            <w:gridSpan w:val="4"/>
            <w:tcBorders>
              <w:top w:val="single" w:sz="4" w:space="0" w:color="auto"/>
              <w:left w:val="single" w:sz="4" w:space="0" w:color="auto"/>
              <w:bottom w:val="single" w:sz="4" w:space="0" w:color="auto"/>
              <w:right w:val="single" w:sz="4" w:space="0" w:color="auto"/>
            </w:tcBorders>
            <w:hideMark/>
          </w:tcPr>
          <w:p w14:paraId="1B56EE7E" w14:textId="77777777" w:rsidR="00E8077D" w:rsidRPr="00B50018" w:rsidRDefault="00E8077D" w:rsidP="008D41A0">
            <w:pPr>
              <w:widowControl/>
              <w:spacing w:before="120"/>
              <w:jc w:val="both"/>
              <w:rPr>
                <w:b/>
                <w:bCs/>
                <w:i/>
                <w:sz w:val="22"/>
                <w:szCs w:val="22"/>
              </w:rPr>
            </w:pPr>
            <w:r w:rsidRPr="00B50018">
              <w:rPr>
                <w:b/>
                <w:i/>
                <w:sz w:val="22"/>
              </w:rPr>
              <w:lastRenderedPageBreak/>
              <w:t>Modalità di campionamento</w:t>
            </w:r>
          </w:p>
        </w:tc>
      </w:tr>
      <w:tr w:rsidR="00E8077D" w:rsidRPr="00B50018" w14:paraId="4718F75C"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60225FB3" w14:textId="77777777" w:rsidR="00E8077D" w:rsidRPr="00B50018" w:rsidRDefault="00E8077D" w:rsidP="008D41A0">
            <w:pPr>
              <w:widowControl/>
              <w:spacing w:before="120"/>
              <w:jc w:val="both"/>
              <w:rPr>
                <w:b/>
                <w:bCs/>
                <w:i/>
                <w:iCs/>
                <w:sz w:val="22"/>
                <w:szCs w:val="22"/>
              </w:rPr>
            </w:pPr>
            <w:r w:rsidRPr="00B50018">
              <w:rPr>
                <w:b/>
                <w:i/>
                <w:sz w:val="22"/>
              </w:rPr>
              <w:t>Metodologia di riferimento</w:t>
            </w:r>
          </w:p>
        </w:tc>
        <w:tc>
          <w:tcPr>
            <w:tcW w:w="2802" w:type="dxa"/>
            <w:tcBorders>
              <w:top w:val="single" w:sz="4" w:space="0" w:color="auto"/>
              <w:left w:val="single" w:sz="4" w:space="0" w:color="auto"/>
              <w:bottom w:val="single" w:sz="4" w:space="0" w:color="auto"/>
              <w:right w:val="single" w:sz="4" w:space="0" w:color="auto"/>
            </w:tcBorders>
            <w:hideMark/>
          </w:tcPr>
          <w:p w14:paraId="21BE4632" w14:textId="77777777" w:rsidR="00E8077D" w:rsidRPr="00B50018" w:rsidRDefault="00E8077D" w:rsidP="008D41A0">
            <w:pPr>
              <w:widowControl/>
              <w:spacing w:before="120"/>
              <w:jc w:val="both"/>
              <w:rPr>
                <w:b/>
                <w:bCs/>
                <w:i/>
                <w:iCs/>
                <w:sz w:val="22"/>
                <w:szCs w:val="22"/>
              </w:rPr>
            </w:pPr>
            <w:r w:rsidRPr="00B50018">
              <w:rPr>
                <w:b/>
                <w:i/>
                <w:sz w:val="22"/>
              </w:rPr>
              <w:t>Criteri da soddisfare</w:t>
            </w:r>
          </w:p>
        </w:tc>
        <w:tc>
          <w:tcPr>
            <w:tcW w:w="2071" w:type="dxa"/>
            <w:tcBorders>
              <w:top w:val="single" w:sz="4" w:space="0" w:color="auto"/>
              <w:left w:val="single" w:sz="4" w:space="0" w:color="auto"/>
              <w:bottom w:val="single" w:sz="4" w:space="0" w:color="auto"/>
              <w:right w:val="single" w:sz="4" w:space="0" w:color="auto"/>
            </w:tcBorders>
            <w:hideMark/>
          </w:tcPr>
          <w:p w14:paraId="1B97C2C9" w14:textId="77777777" w:rsidR="00E8077D" w:rsidRPr="00B50018" w:rsidRDefault="00E8077D" w:rsidP="008D41A0">
            <w:pPr>
              <w:widowControl/>
              <w:spacing w:before="120"/>
              <w:jc w:val="both"/>
              <w:rPr>
                <w:b/>
                <w:bCs/>
                <w:i/>
                <w:iCs/>
                <w:sz w:val="22"/>
                <w:szCs w:val="22"/>
              </w:rPr>
            </w:pPr>
            <w:r w:rsidRPr="00B50018">
              <w:rPr>
                <w:b/>
                <w:i/>
                <w:sz w:val="22"/>
              </w:rPr>
              <w:t>Eccezioni</w:t>
            </w:r>
          </w:p>
        </w:tc>
        <w:tc>
          <w:tcPr>
            <w:tcW w:w="1671" w:type="dxa"/>
            <w:tcBorders>
              <w:top w:val="single" w:sz="4" w:space="0" w:color="auto"/>
              <w:left w:val="single" w:sz="4" w:space="0" w:color="auto"/>
              <w:bottom w:val="single" w:sz="4" w:space="0" w:color="auto"/>
              <w:right w:val="single" w:sz="4" w:space="0" w:color="auto"/>
            </w:tcBorders>
            <w:hideMark/>
          </w:tcPr>
          <w:p w14:paraId="28184B99" w14:textId="77777777" w:rsidR="00E8077D" w:rsidRPr="00B50018" w:rsidRDefault="00E8077D" w:rsidP="008D41A0">
            <w:pPr>
              <w:widowControl/>
              <w:spacing w:before="120"/>
              <w:jc w:val="both"/>
              <w:rPr>
                <w:b/>
                <w:bCs/>
                <w:i/>
                <w:iCs/>
                <w:sz w:val="22"/>
                <w:szCs w:val="22"/>
              </w:rPr>
            </w:pPr>
            <w:r w:rsidRPr="00B50018">
              <w:rPr>
                <w:b/>
                <w:i/>
                <w:sz w:val="22"/>
              </w:rPr>
              <w:t>Note</w:t>
            </w:r>
          </w:p>
        </w:tc>
      </w:tr>
      <w:tr w:rsidR="00E8077D" w:rsidRPr="00B50018" w14:paraId="1E201D27"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23D668E7" w14:textId="77777777" w:rsidR="00E8077D" w:rsidRPr="00B50018" w:rsidRDefault="00E8077D" w:rsidP="008D41A0">
            <w:pPr>
              <w:widowControl/>
              <w:spacing w:before="120"/>
              <w:jc w:val="both"/>
              <w:rPr>
                <w:b/>
                <w:i/>
                <w:sz w:val="22"/>
                <w:szCs w:val="22"/>
              </w:rPr>
            </w:pPr>
            <w:r w:rsidRPr="00B50018">
              <w:rPr>
                <w:b/>
                <w:i/>
                <w:sz w:val="22"/>
              </w:rPr>
              <w:t>Campionamento sistematico stratificato utilizzando una griglia territoriale per garantire una copertura omogenea del territorio dello Stato membro per tutti i tipi di terreno. Per affinare ulteriormente la modalità di campionamento si possono utilizzare anche informazioni ausiliarie come le zone ambientali o i tipi di suolo.</w:t>
            </w:r>
          </w:p>
          <w:p w14:paraId="73832FA5" w14:textId="77777777" w:rsidR="00E8077D" w:rsidRPr="00B50018" w:rsidRDefault="00E8077D" w:rsidP="008D41A0">
            <w:pPr>
              <w:widowControl/>
              <w:spacing w:before="120"/>
              <w:jc w:val="both"/>
              <w:rPr>
                <w:b/>
                <w:i/>
                <w:sz w:val="22"/>
                <w:szCs w:val="22"/>
              </w:rPr>
            </w:pPr>
            <w:r w:rsidRPr="00B50018">
              <w:rPr>
                <w:b/>
                <w:i/>
                <w:sz w:val="22"/>
              </w:rPr>
              <w:t>Se del caso, gli Stati membri coordinano l'assegnazione dei punti di campionamento con altri programmi di monitoraggio esistenti, quali gli inventari nazionali della vegetazione e delle foreste. Lo stesso vale per altri tipi di censimenti, come quello agricolo, per consentire una migliore raccolta di dati sulle pratiche di gestione e un'ottimizzazione dei costi.</w:t>
            </w:r>
          </w:p>
          <w:p w14:paraId="0AC7C2F5" w14:textId="77777777" w:rsidR="00E8077D" w:rsidRPr="00B50018" w:rsidRDefault="00E8077D" w:rsidP="008D41A0">
            <w:pPr>
              <w:widowControl/>
              <w:spacing w:before="120"/>
              <w:jc w:val="both"/>
              <w:rPr>
                <w:b/>
                <w:i/>
                <w:sz w:val="22"/>
                <w:szCs w:val="22"/>
              </w:rPr>
            </w:pPr>
            <w:r w:rsidRPr="00B50018">
              <w:rPr>
                <w:b/>
                <w:i/>
                <w:sz w:val="22"/>
              </w:rPr>
              <w:t>L'assegnazione e la dimensione del campione sono determinate con metodi scientificamente consolidati per la modalità di campionamento applicata, come quelli citati in Bethel (1989) per il campionamento casuale stratificato.</w:t>
            </w:r>
          </w:p>
        </w:tc>
        <w:tc>
          <w:tcPr>
            <w:tcW w:w="2802" w:type="dxa"/>
            <w:tcBorders>
              <w:top w:val="single" w:sz="4" w:space="0" w:color="auto"/>
              <w:left w:val="single" w:sz="4" w:space="0" w:color="auto"/>
              <w:bottom w:val="single" w:sz="4" w:space="0" w:color="auto"/>
              <w:right w:val="single" w:sz="4" w:space="0" w:color="auto"/>
            </w:tcBorders>
            <w:hideMark/>
          </w:tcPr>
          <w:p w14:paraId="2C8EE7C7" w14:textId="77777777" w:rsidR="00E8077D" w:rsidRPr="00B50018" w:rsidRDefault="00E8077D" w:rsidP="008D41A0">
            <w:pPr>
              <w:widowControl/>
              <w:spacing w:before="120"/>
              <w:jc w:val="both"/>
              <w:rPr>
                <w:b/>
                <w:i/>
                <w:sz w:val="22"/>
                <w:szCs w:val="22"/>
              </w:rPr>
            </w:pPr>
            <w:r w:rsidRPr="00B50018">
              <w:rPr>
                <w:b/>
                <w:i/>
                <w:sz w:val="22"/>
              </w:rPr>
              <w:t xml:space="preserve">a) Garantire la copertura omogenea del territorio dello Stato membro per tutti i tipi di terreno (ad esempio attuando un </w:t>
            </w:r>
            <w:proofErr w:type="spellStart"/>
            <w:r w:rsidRPr="00B50018">
              <w:rPr>
                <w:b/>
                <w:i/>
                <w:sz w:val="22"/>
              </w:rPr>
              <w:t>stratificatore</w:t>
            </w:r>
            <w:proofErr w:type="spellEnd"/>
            <w:r w:rsidRPr="00B50018">
              <w:rPr>
                <w:b/>
                <w:i/>
                <w:sz w:val="22"/>
              </w:rPr>
              <w:t xml:space="preserve"> sistematico, come una griglia continua) nell'ambito della modalità di campionamento.</w:t>
            </w:r>
          </w:p>
          <w:p w14:paraId="015E8EAB" w14:textId="77777777" w:rsidR="00E8077D" w:rsidRPr="00B50018" w:rsidRDefault="00E8077D" w:rsidP="008D41A0">
            <w:pPr>
              <w:widowControl/>
              <w:spacing w:before="120"/>
              <w:jc w:val="both"/>
              <w:rPr>
                <w:b/>
                <w:i/>
                <w:sz w:val="22"/>
                <w:szCs w:val="22"/>
              </w:rPr>
            </w:pPr>
            <w:r w:rsidRPr="00B50018">
              <w:rPr>
                <w:b/>
                <w:i/>
                <w:sz w:val="22"/>
              </w:rPr>
              <w:t xml:space="preserve">b) Campionamento casuale stratificato basato sul tipo di suolo; gli </w:t>
            </w:r>
            <w:proofErr w:type="spellStart"/>
            <w:r w:rsidRPr="00B50018">
              <w:rPr>
                <w:b/>
                <w:i/>
                <w:sz w:val="22"/>
              </w:rPr>
              <w:t>stratificatori</w:t>
            </w:r>
            <w:proofErr w:type="spellEnd"/>
            <w:r w:rsidRPr="00B50018">
              <w:rPr>
                <w:b/>
                <w:i/>
                <w:sz w:val="22"/>
              </w:rPr>
              <w:t xml:space="preserve"> possono includere le condizioni climatiche, il tipo di suolo, il tipo di terreno e le regioni amministrative a norma dell'articolo 4.</w:t>
            </w:r>
          </w:p>
          <w:p w14:paraId="2393F3A4" w14:textId="77777777" w:rsidR="00E8077D" w:rsidRPr="00B50018" w:rsidRDefault="00E8077D" w:rsidP="008D41A0">
            <w:pPr>
              <w:widowControl/>
              <w:spacing w:before="120"/>
              <w:jc w:val="both"/>
              <w:rPr>
                <w:b/>
                <w:i/>
                <w:sz w:val="22"/>
                <w:szCs w:val="22"/>
              </w:rPr>
            </w:pPr>
            <w:r w:rsidRPr="00B50018">
              <w:rPr>
                <w:b/>
                <w:i/>
                <w:sz w:val="22"/>
              </w:rPr>
              <w:t>c) La stima del numero minimo complessivo di campioni segue la procedura di cui al livello 1.</w:t>
            </w:r>
          </w:p>
          <w:p w14:paraId="7DF692EC" w14:textId="77777777" w:rsidR="00E8077D" w:rsidRPr="00B50018" w:rsidRDefault="00E8077D" w:rsidP="008D41A0">
            <w:pPr>
              <w:widowControl/>
              <w:spacing w:before="120"/>
              <w:jc w:val="both"/>
              <w:rPr>
                <w:b/>
                <w:i/>
                <w:sz w:val="22"/>
                <w:szCs w:val="22"/>
              </w:rPr>
            </w:pPr>
            <w:r w:rsidRPr="00B50018">
              <w:rPr>
                <w:b/>
                <w:i/>
                <w:sz w:val="22"/>
              </w:rPr>
              <w:t>d) Fino al 20 % dei siti di campionamento è destinato a un campionamento mirato relativo alle indagini o alla valutazione del rischio.</w:t>
            </w:r>
          </w:p>
        </w:tc>
        <w:tc>
          <w:tcPr>
            <w:tcW w:w="2071" w:type="dxa"/>
            <w:tcBorders>
              <w:top w:val="single" w:sz="4" w:space="0" w:color="auto"/>
              <w:left w:val="single" w:sz="4" w:space="0" w:color="auto"/>
              <w:bottom w:val="single" w:sz="4" w:space="0" w:color="auto"/>
              <w:right w:val="single" w:sz="4" w:space="0" w:color="auto"/>
            </w:tcBorders>
            <w:hideMark/>
          </w:tcPr>
          <w:p w14:paraId="776F63DA" w14:textId="77777777" w:rsidR="00E8077D" w:rsidRPr="00B50018" w:rsidRDefault="00E8077D" w:rsidP="008D41A0">
            <w:pPr>
              <w:widowControl/>
              <w:spacing w:before="120"/>
              <w:jc w:val="both"/>
              <w:rPr>
                <w:b/>
                <w:i/>
                <w:sz w:val="22"/>
                <w:szCs w:val="22"/>
              </w:rPr>
            </w:pPr>
            <w:r w:rsidRPr="00B50018">
              <w:rPr>
                <w:b/>
                <w:i/>
                <w:sz w:val="22"/>
              </w:rPr>
              <w:t>-</w:t>
            </w:r>
          </w:p>
        </w:tc>
        <w:tc>
          <w:tcPr>
            <w:tcW w:w="1671" w:type="dxa"/>
            <w:tcBorders>
              <w:top w:val="single" w:sz="4" w:space="0" w:color="auto"/>
              <w:left w:val="single" w:sz="4" w:space="0" w:color="auto"/>
              <w:bottom w:val="single" w:sz="4" w:space="0" w:color="auto"/>
              <w:right w:val="single" w:sz="4" w:space="0" w:color="auto"/>
            </w:tcBorders>
            <w:hideMark/>
          </w:tcPr>
          <w:p w14:paraId="07568B06" w14:textId="77777777" w:rsidR="00E8077D" w:rsidRPr="00B50018" w:rsidRDefault="00E8077D" w:rsidP="008D41A0">
            <w:pPr>
              <w:widowControl/>
              <w:spacing w:before="120"/>
              <w:jc w:val="both"/>
              <w:rPr>
                <w:b/>
                <w:i/>
                <w:iCs/>
                <w:sz w:val="22"/>
                <w:szCs w:val="22"/>
              </w:rPr>
            </w:pPr>
            <w:r w:rsidRPr="00B50018">
              <w:rPr>
                <w:b/>
                <w:i/>
                <w:sz w:val="22"/>
              </w:rPr>
              <w:t>Si raccomanda che la progettazione e l'attuazione del sistema di monitoraggio del suolo coinvolgano più portatori di interessi e, se necessario, includano accordi internazionali sulle frontiere, al fine di garantire che siano considerate misure efficaci sotto il profilo dei costi e che siano prese in considerazione le competenze disponibili.</w:t>
            </w:r>
          </w:p>
        </w:tc>
      </w:tr>
      <w:tr w:rsidR="00E8077D" w:rsidRPr="00B50018" w14:paraId="3514C239" w14:textId="77777777" w:rsidTr="008D41A0">
        <w:tc>
          <w:tcPr>
            <w:tcW w:w="9493" w:type="dxa"/>
            <w:gridSpan w:val="4"/>
            <w:tcBorders>
              <w:top w:val="single" w:sz="4" w:space="0" w:color="auto"/>
              <w:left w:val="single" w:sz="4" w:space="0" w:color="auto"/>
              <w:bottom w:val="single" w:sz="4" w:space="0" w:color="auto"/>
              <w:right w:val="single" w:sz="4" w:space="0" w:color="auto"/>
            </w:tcBorders>
            <w:hideMark/>
          </w:tcPr>
          <w:p w14:paraId="510B2EF1" w14:textId="77777777" w:rsidR="00E8077D" w:rsidRPr="00B50018" w:rsidRDefault="00E8077D" w:rsidP="008D41A0">
            <w:pPr>
              <w:widowControl/>
              <w:spacing w:before="120"/>
              <w:jc w:val="both"/>
              <w:rPr>
                <w:b/>
                <w:i/>
                <w:sz w:val="22"/>
                <w:szCs w:val="22"/>
              </w:rPr>
            </w:pPr>
            <w:r w:rsidRPr="00B50018">
              <w:rPr>
                <w:b/>
                <w:i/>
                <w:sz w:val="22"/>
              </w:rPr>
              <w:t>Fattori di degradazione</w:t>
            </w:r>
          </w:p>
        </w:tc>
      </w:tr>
      <w:tr w:rsidR="00E8077D" w:rsidRPr="00B50018" w14:paraId="7C20FC76"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786BC30B" w14:textId="77777777" w:rsidR="00E8077D" w:rsidRPr="00B50018" w:rsidRDefault="00E8077D" w:rsidP="008D41A0">
            <w:pPr>
              <w:widowControl/>
              <w:spacing w:before="120"/>
              <w:jc w:val="both"/>
              <w:rPr>
                <w:b/>
                <w:i/>
                <w:iCs/>
                <w:sz w:val="22"/>
                <w:szCs w:val="22"/>
              </w:rPr>
            </w:pPr>
            <w:r w:rsidRPr="00B50018">
              <w:rPr>
                <w:b/>
                <w:i/>
                <w:sz w:val="22"/>
              </w:rPr>
              <w:t>Fattore di degradazione</w:t>
            </w:r>
          </w:p>
        </w:tc>
        <w:tc>
          <w:tcPr>
            <w:tcW w:w="2802" w:type="dxa"/>
            <w:tcBorders>
              <w:top w:val="single" w:sz="4" w:space="0" w:color="auto"/>
              <w:left w:val="single" w:sz="4" w:space="0" w:color="auto"/>
              <w:bottom w:val="single" w:sz="4" w:space="0" w:color="auto"/>
              <w:right w:val="single" w:sz="4" w:space="0" w:color="auto"/>
            </w:tcBorders>
            <w:hideMark/>
          </w:tcPr>
          <w:p w14:paraId="592681FE" w14:textId="77777777" w:rsidR="00E8077D" w:rsidRPr="00B50018" w:rsidRDefault="00E8077D" w:rsidP="008D41A0">
            <w:pPr>
              <w:widowControl/>
              <w:spacing w:before="120"/>
              <w:jc w:val="both"/>
              <w:rPr>
                <w:b/>
                <w:bCs/>
                <w:i/>
                <w:iCs/>
                <w:sz w:val="22"/>
                <w:szCs w:val="22"/>
              </w:rPr>
            </w:pPr>
            <w:r w:rsidRPr="00B50018">
              <w:rPr>
                <w:b/>
                <w:i/>
                <w:sz w:val="22"/>
              </w:rPr>
              <w:t>Descrittore del suolo</w:t>
            </w:r>
          </w:p>
        </w:tc>
        <w:tc>
          <w:tcPr>
            <w:tcW w:w="2071" w:type="dxa"/>
            <w:tcBorders>
              <w:top w:val="single" w:sz="4" w:space="0" w:color="auto"/>
              <w:left w:val="single" w:sz="4" w:space="0" w:color="auto"/>
              <w:bottom w:val="single" w:sz="4" w:space="0" w:color="auto"/>
              <w:right w:val="single" w:sz="4" w:space="0" w:color="auto"/>
            </w:tcBorders>
            <w:hideMark/>
          </w:tcPr>
          <w:p w14:paraId="3555D700" w14:textId="77777777" w:rsidR="00E8077D" w:rsidRPr="00B50018" w:rsidRDefault="00E8077D" w:rsidP="008D41A0">
            <w:pPr>
              <w:widowControl/>
              <w:spacing w:before="120"/>
              <w:jc w:val="both"/>
              <w:rPr>
                <w:b/>
                <w:bCs/>
                <w:i/>
                <w:iCs/>
                <w:sz w:val="22"/>
                <w:szCs w:val="22"/>
              </w:rPr>
            </w:pPr>
            <w:r w:rsidRPr="00B50018">
              <w:rPr>
                <w:b/>
                <w:i/>
                <w:sz w:val="22"/>
              </w:rPr>
              <w:t>Eccezioni</w:t>
            </w:r>
          </w:p>
        </w:tc>
        <w:tc>
          <w:tcPr>
            <w:tcW w:w="1671" w:type="dxa"/>
            <w:tcBorders>
              <w:top w:val="single" w:sz="4" w:space="0" w:color="auto"/>
              <w:left w:val="single" w:sz="4" w:space="0" w:color="auto"/>
              <w:bottom w:val="single" w:sz="4" w:space="0" w:color="auto"/>
              <w:right w:val="single" w:sz="4" w:space="0" w:color="auto"/>
            </w:tcBorders>
            <w:hideMark/>
          </w:tcPr>
          <w:p w14:paraId="3925D9CA" w14:textId="77777777" w:rsidR="00E8077D" w:rsidRPr="00B50018" w:rsidRDefault="00E8077D" w:rsidP="008D41A0">
            <w:pPr>
              <w:widowControl/>
              <w:spacing w:before="120"/>
              <w:jc w:val="both"/>
              <w:rPr>
                <w:b/>
                <w:bCs/>
                <w:i/>
                <w:iCs/>
                <w:sz w:val="22"/>
                <w:szCs w:val="22"/>
              </w:rPr>
            </w:pPr>
            <w:r w:rsidRPr="00B50018">
              <w:rPr>
                <w:b/>
                <w:i/>
                <w:sz w:val="22"/>
              </w:rPr>
              <w:t>Note</w:t>
            </w:r>
          </w:p>
        </w:tc>
      </w:tr>
      <w:tr w:rsidR="00E8077D" w:rsidRPr="00B50018" w14:paraId="0EE6A97C"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18823228" w14:textId="77777777" w:rsidR="00E8077D" w:rsidRPr="00B50018" w:rsidRDefault="00E8077D" w:rsidP="008D41A0">
            <w:pPr>
              <w:widowControl/>
              <w:spacing w:before="120"/>
              <w:jc w:val="both"/>
              <w:rPr>
                <w:b/>
                <w:i/>
                <w:sz w:val="22"/>
                <w:szCs w:val="22"/>
              </w:rPr>
            </w:pPr>
            <w:r w:rsidRPr="00B50018">
              <w:rPr>
                <w:b/>
                <w:i/>
                <w:sz w:val="22"/>
              </w:rPr>
              <w:t>Salinizzazione</w:t>
            </w:r>
          </w:p>
        </w:tc>
        <w:tc>
          <w:tcPr>
            <w:tcW w:w="2802" w:type="dxa"/>
            <w:tcBorders>
              <w:top w:val="single" w:sz="4" w:space="0" w:color="auto"/>
              <w:left w:val="single" w:sz="4" w:space="0" w:color="auto"/>
              <w:bottom w:val="single" w:sz="4" w:space="0" w:color="auto"/>
              <w:right w:val="single" w:sz="4" w:space="0" w:color="auto"/>
            </w:tcBorders>
            <w:hideMark/>
          </w:tcPr>
          <w:p w14:paraId="55CAE29A"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Conducibilità elettrica (Siemens per metro (S m</w:t>
            </w:r>
            <w:r w:rsidRPr="00B50018">
              <w:rPr>
                <w:b/>
                <w:i/>
                <w:sz w:val="22"/>
                <w:vertAlign w:val="superscript"/>
              </w:rPr>
              <w:t>-1</w:t>
            </w:r>
            <w:r w:rsidRPr="00B50018">
              <w:rPr>
                <w:b/>
                <w:i/>
                <w:sz w:val="22"/>
              </w:rPr>
              <w:t>))</w:t>
            </w:r>
          </w:p>
        </w:tc>
        <w:tc>
          <w:tcPr>
            <w:tcW w:w="2071" w:type="dxa"/>
            <w:tcBorders>
              <w:top w:val="single" w:sz="4" w:space="0" w:color="auto"/>
              <w:left w:val="single" w:sz="4" w:space="0" w:color="auto"/>
              <w:bottom w:val="single" w:sz="4" w:space="0" w:color="auto"/>
              <w:right w:val="single" w:sz="4" w:space="0" w:color="auto"/>
            </w:tcBorders>
            <w:hideMark/>
          </w:tcPr>
          <w:p w14:paraId="6363FF04" w14:textId="77777777" w:rsidR="00E8077D" w:rsidRPr="00B50018" w:rsidRDefault="00E8077D" w:rsidP="008D41A0">
            <w:pPr>
              <w:widowControl/>
              <w:spacing w:before="120"/>
              <w:jc w:val="both"/>
              <w:rPr>
                <w:b/>
                <w:i/>
                <w:sz w:val="22"/>
                <w:szCs w:val="22"/>
              </w:rPr>
            </w:pPr>
            <w:r w:rsidRPr="00B50018">
              <w:rPr>
                <w:b/>
                <w:i/>
                <w:sz w:val="22"/>
              </w:rPr>
              <w:t>-</w:t>
            </w:r>
          </w:p>
        </w:tc>
        <w:tc>
          <w:tcPr>
            <w:tcW w:w="1671" w:type="dxa"/>
            <w:tcBorders>
              <w:top w:val="single" w:sz="4" w:space="0" w:color="auto"/>
              <w:left w:val="single" w:sz="4" w:space="0" w:color="auto"/>
              <w:bottom w:val="single" w:sz="4" w:space="0" w:color="auto"/>
              <w:right w:val="single" w:sz="4" w:space="0" w:color="auto"/>
            </w:tcBorders>
            <w:hideMark/>
          </w:tcPr>
          <w:p w14:paraId="0E3B2AD3"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26E1CFE5" w14:textId="77777777" w:rsidTr="00E8077D">
        <w:trPr>
          <w:trHeight w:val="359"/>
        </w:trPr>
        <w:tc>
          <w:tcPr>
            <w:tcW w:w="2949" w:type="dxa"/>
            <w:tcBorders>
              <w:top w:val="single" w:sz="4" w:space="0" w:color="auto"/>
              <w:left w:val="single" w:sz="4" w:space="0" w:color="auto"/>
              <w:bottom w:val="single" w:sz="4" w:space="0" w:color="auto"/>
              <w:right w:val="single" w:sz="4" w:space="0" w:color="auto"/>
            </w:tcBorders>
            <w:hideMark/>
          </w:tcPr>
          <w:p w14:paraId="4200C2CD" w14:textId="77777777" w:rsidR="00E8077D" w:rsidRPr="00B50018" w:rsidRDefault="00E8077D" w:rsidP="008D41A0">
            <w:pPr>
              <w:widowControl/>
              <w:spacing w:before="120"/>
              <w:jc w:val="both"/>
              <w:rPr>
                <w:b/>
                <w:i/>
              </w:rPr>
            </w:pPr>
            <w:r w:rsidRPr="00B50018">
              <w:rPr>
                <w:b/>
                <w:i/>
                <w:sz w:val="22"/>
              </w:rPr>
              <w:t>Consumo di suolo</w:t>
            </w:r>
          </w:p>
        </w:tc>
        <w:tc>
          <w:tcPr>
            <w:tcW w:w="2802" w:type="dxa"/>
            <w:tcBorders>
              <w:top w:val="single" w:sz="4" w:space="0" w:color="auto"/>
              <w:left w:val="single" w:sz="4" w:space="0" w:color="auto"/>
              <w:bottom w:val="single" w:sz="4" w:space="0" w:color="auto"/>
              <w:right w:val="single" w:sz="4" w:space="0" w:color="auto"/>
            </w:tcBorders>
            <w:hideMark/>
          </w:tcPr>
          <w:p w14:paraId="323E1AA0"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 xml:space="preserve">Impermeabilizzazione del suolo (percentuale di terreno </w:t>
            </w:r>
            <w:r w:rsidRPr="00B50018">
              <w:rPr>
                <w:b/>
                <w:i/>
                <w:sz w:val="22"/>
              </w:rPr>
              <w:lastRenderedPageBreak/>
              <w:t>impermeabilizzato da qualsiasi tipo di infrastruttura antropica per 100 m²)</w:t>
            </w:r>
          </w:p>
        </w:tc>
        <w:tc>
          <w:tcPr>
            <w:tcW w:w="2071" w:type="dxa"/>
            <w:tcBorders>
              <w:top w:val="single" w:sz="4" w:space="0" w:color="auto"/>
              <w:left w:val="single" w:sz="4" w:space="0" w:color="auto"/>
              <w:bottom w:val="single" w:sz="4" w:space="0" w:color="auto"/>
              <w:right w:val="single" w:sz="4" w:space="0" w:color="auto"/>
            </w:tcBorders>
            <w:hideMark/>
          </w:tcPr>
          <w:p w14:paraId="13903209" w14:textId="77777777" w:rsidR="00E8077D" w:rsidRPr="00B50018" w:rsidRDefault="00E8077D" w:rsidP="008D41A0">
            <w:pPr>
              <w:widowControl/>
              <w:spacing w:before="120"/>
              <w:jc w:val="both"/>
              <w:rPr>
                <w:b/>
                <w:i/>
              </w:rPr>
            </w:pPr>
            <w:r w:rsidRPr="00B50018">
              <w:rPr>
                <w:b/>
                <w:i/>
              </w:rPr>
              <w:lastRenderedPageBreak/>
              <w:t>-</w:t>
            </w:r>
          </w:p>
        </w:tc>
        <w:tc>
          <w:tcPr>
            <w:tcW w:w="1671" w:type="dxa"/>
            <w:tcBorders>
              <w:top w:val="single" w:sz="4" w:space="0" w:color="auto"/>
              <w:left w:val="single" w:sz="4" w:space="0" w:color="auto"/>
              <w:bottom w:val="single" w:sz="4" w:space="0" w:color="auto"/>
              <w:right w:val="single" w:sz="4" w:space="0" w:color="auto"/>
            </w:tcBorders>
            <w:hideMark/>
          </w:tcPr>
          <w:p w14:paraId="1DDC48CE" w14:textId="77777777" w:rsidR="00E8077D" w:rsidRPr="00B50018" w:rsidRDefault="00E8077D" w:rsidP="008D41A0">
            <w:pPr>
              <w:widowControl/>
              <w:spacing w:before="120"/>
              <w:jc w:val="both"/>
              <w:rPr>
                <w:b/>
                <w:i/>
                <w:iCs/>
              </w:rPr>
            </w:pPr>
            <w:r w:rsidRPr="00B50018">
              <w:rPr>
                <w:b/>
                <w:i/>
                <w:sz w:val="22"/>
              </w:rPr>
              <w:t xml:space="preserve">Come riferimento, il sito di </w:t>
            </w:r>
            <w:r w:rsidRPr="00B50018">
              <w:rPr>
                <w:b/>
                <w:i/>
                <w:sz w:val="22"/>
              </w:rPr>
              <w:lastRenderedPageBreak/>
              <w:t xml:space="preserve">campionamento dovrebbe essere considerato il </w:t>
            </w:r>
            <w:proofErr w:type="spellStart"/>
            <w:r w:rsidRPr="00B50018">
              <w:rPr>
                <w:b/>
                <w:i/>
                <w:sz w:val="22"/>
              </w:rPr>
              <w:t>centroide</w:t>
            </w:r>
            <w:proofErr w:type="spellEnd"/>
            <w:r w:rsidRPr="00B50018">
              <w:rPr>
                <w:b/>
                <w:i/>
                <w:sz w:val="22"/>
              </w:rPr>
              <w:t xml:space="preserve"> di questa valutazione</w:t>
            </w:r>
          </w:p>
        </w:tc>
      </w:tr>
      <w:tr w:rsidR="00E8077D" w:rsidRPr="00B50018" w14:paraId="06937633"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3FF13B7D" w14:textId="77777777" w:rsidR="00E8077D" w:rsidRPr="00B50018" w:rsidRDefault="00E8077D" w:rsidP="008D41A0">
            <w:pPr>
              <w:widowControl/>
              <w:spacing w:before="120"/>
              <w:jc w:val="both"/>
              <w:rPr>
                <w:b/>
                <w:i/>
                <w:sz w:val="22"/>
                <w:szCs w:val="22"/>
              </w:rPr>
            </w:pPr>
            <w:r w:rsidRPr="00B50018">
              <w:rPr>
                <w:b/>
                <w:i/>
                <w:sz w:val="22"/>
              </w:rPr>
              <w:lastRenderedPageBreak/>
              <w:t>Contaminazione del suolo</w:t>
            </w:r>
          </w:p>
        </w:tc>
        <w:tc>
          <w:tcPr>
            <w:tcW w:w="2802" w:type="dxa"/>
            <w:tcBorders>
              <w:top w:val="single" w:sz="4" w:space="0" w:color="auto"/>
              <w:left w:val="single" w:sz="4" w:space="0" w:color="auto"/>
              <w:bottom w:val="single" w:sz="4" w:space="0" w:color="auto"/>
              <w:right w:val="single" w:sz="4" w:space="0" w:color="auto"/>
            </w:tcBorders>
            <w:hideMark/>
          </w:tcPr>
          <w:p w14:paraId="24840633"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Prodotti farmaceutici e veterinari</w:t>
            </w:r>
          </w:p>
        </w:tc>
        <w:tc>
          <w:tcPr>
            <w:tcW w:w="2071" w:type="dxa"/>
            <w:tcBorders>
              <w:top w:val="single" w:sz="4" w:space="0" w:color="auto"/>
              <w:left w:val="single" w:sz="4" w:space="0" w:color="auto"/>
              <w:bottom w:val="single" w:sz="4" w:space="0" w:color="auto"/>
              <w:right w:val="single" w:sz="4" w:space="0" w:color="auto"/>
            </w:tcBorders>
            <w:hideMark/>
          </w:tcPr>
          <w:p w14:paraId="77EE998E" w14:textId="77777777" w:rsidR="00E8077D" w:rsidRPr="00B50018" w:rsidRDefault="00E8077D" w:rsidP="008D41A0">
            <w:pPr>
              <w:widowControl/>
              <w:spacing w:before="120"/>
              <w:jc w:val="both"/>
              <w:rPr>
                <w:b/>
                <w:i/>
                <w:sz w:val="22"/>
                <w:szCs w:val="22"/>
              </w:rPr>
            </w:pPr>
            <w:r w:rsidRPr="00B50018">
              <w:rPr>
                <w:b/>
                <w:i/>
                <w:sz w:val="22"/>
              </w:rPr>
              <w:t>-</w:t>
            </w:r>
          </w:p>
        </w:tc>
        <w:tc>
          <w:tcPr>
            <w:tcW w:w="1671" w:type="dxa"/>
            <w:tcBorders>
              <w:top w:val="single" w:sz="4" w:space="0" w:color="auto"/>
              <w:left w:val="single" w:sz="4" w:space="0" w:color="auto"/>
              <w:bottom w:val="single" w:sz="4" w:space="0" w:color="auto"/>
              <w:right w:val="single" w:sz="4" w:space="0" w:color="auto"/>
            </w:tcBorders>
          </w:tcPr>
          <w:p w14:paraId="1785E449" w14:textId="77777777" w:rsidR="00E8077D" w:rsidRPr="00B50018" w:rsidRDefault="00E8077D" w:rsidP="008D41A0">
            <w:pPr>
              <w:widowControl/>
              <w:spacing w:before="120"/>
              <w:jc w:val="both"/>
              <w:rPr>
                <w:b/>
                <w:i/>
                <w:sz w:val="22"/>
                <w:szCs w:val="22"/>
                <w:lang w:eastAsia="en-US"/>
              </w:rPr>
            </w:pPr>
          </w:p>
        </w:tc>
      </w:tr>
      <w:tr w:rsidR="00E8077D" w:rsidRPr="00B50018" w14:paraId="44BD0A53"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622A4669" w14:textId="77777777" w:rsidR="00E8077D" w:rsidRPr="00B50018" w:rsidRDefault="00E8077D" w:rsidP="008D41A0">
            <w:pPr>
              <w:widowControl/>
              <w:spacing w:before="120"/>
              <w:jc w:val="both"/>
              <w:rPr>
                <w:b/>
                <w:i/>
                <w:sz w:val="22"/>
                <w:szCs w:val="22"/>
              </w:rPr>
            </w:pPr>
            <w:r w:rsidRPr="00B50018">
              <w:rPr>
                <w:b/>
                <w:i/>
                <w:sz w:val="22"/>
              </w:rPr>
              <w:t>Compattazione del suolo</w:t>
            </w:r>
          </w:p>
        </w:tc>
        <w:tc>
          <w:tcPr>
            <w:tcW w:w="2802" w:type="dxa"/>
            <w:tcBorders>
              <w:top w:val="single" w:sz="4" w:space="0" w:color="auto"/>
              <w:left w:val="single" w:sz="4" w:space="0" w:color="auto"/>
              <w:bottom w:val="single" w:sz="4" w:space="0" w:color="auto"/>
              <w:right w:val="single" w:sz="4" w:space="0" w:color="auto"/>
            </w:tcBorders>
            <w:hideMark/>
          </w:tcPr>
          <w:p w14:paraId="0ADC19B7" w14:textId="77777777" w:rsidR="00E8077D" w:rsidRPr="00B50018" w:rsidRDefault="00E8077D" w:rsidP="008D41A0">
            <w:pPr>
              <w:widowControl/>
              <w:spacing w:before="120" w:after="160" w:line="252" w:lineRule="auto"/>
              <w:ind w:left="346" w:hanging="360"/>
              <w:contextualSpacing/>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Densità apparente nel sottosuolo. Gli Stati membri possono sostituire questo descrittore con un parametro equivalente (g per cm</w:t>
            </w:r>
            <w:r w:rsidRPr="00B50018">
              <w:rPr>
                <w:b/>
                <w:i/>
                <w:sz w:val="22"/>
                <w:vertAlign w:val="superscript"/>
              </w:rPr>
              <w:t>3</w:t>
            </w:r>
            <w:r w:rsidRPr="00B50018">
              <w:rPr>
                <w:b/>
                <w:i/>
                <w:sz w:val="22"/>
              </w:rPr>
              <w:t>)</w:t>
            </w:r>
          </w:p>
        </w:tc>
        <w:tc>
          <w:tcPr>
            <w:tcW w:w="2071" w:type="dxa"/>
            <w:tcBorders>
              <w:top w:val="single" w:sz="4" w:space="0" w:color="auto"/>
              <w:left w:val="single" w:sz="4" w:space="0" w:color="auto"/>
              <w:bottom w:val="single" w:sz="4" w:space="0" w:color="auto"/>
              <w:right w:val="single" w:sz="4" w:space="0" w:color="auto"/>
            </w:tcBorders>
            <w:hideMark/>
          </w:tcPr>
          <w:p w14:paraId="38D346B7" w14:textId="77777777" w:rsidR="00E8077D" w:rsidRPr="00B50018" w:rsidRDefault="00E8077D" w:rsidP="008D41A0">
            <w:pPr>
              <w:widowControl/>
              <w:spacing w:before="120"/>
              <w:rPr>
                <w:b/>
                <w:i/>
                <w:sz w:val="22"/>
                <w:szCs w:val="22"/>
              </w:rPr>
            </w:pPr>
            <w:r w:rsidRPr="00B50018">
              <w:rPr>
                <w:b/>
                <w:i/>
                <w:sz w:val="22"/>
              </w:rPr>
              <w:t>Suoli non gestiti in terreni naturali</w:t>
            </w:r>
          </w:p>
        </w:tc>
        <w:tc>
          <w:tcPr>
            <w:tcW w:w="1671" w:type="dxa"/>
            <w:tcBorders>
              <w:top w:val="single" w:sz="4" w:space="0" w:color="auto"/>
              <w:left w:val="single" w:sz="4" w:space="0" w:color="auto"/>
              <w:bottom w:val="single" w:sz="4" w:space="0" w:color="auto"/>
              <w:right w:val="single" w:sz="4" w:space="0" w:color="auto"/>
            </w:tcBorders>
            <w:hideMark/>
          </w:tcPr>
          <w:p w14:paraId="1C4CAE07" w14:textId="77777777" w:rsidR="00E8077D" w:rsidRPr="00B50018" w:rsidRDefault="00E8077D" w:rsidP="008D41A0">
            <w:pPr>
              <w:widowControl/>
              <w:spacing w:before="120"/>
              <w:jc w:val="both"/>
              <w:rPr>
                <w:b/>
                <w:i/>
                <w:sz w:val="22"/>
                <w:szCs w:val="22"/>
              </w:rPr>
            </w:pPr>
            <w:r w:rsidRPr="00B50018">
              <w:rPr>
                <w:b/>
                <w:i/>
                <w:sz w:val="22"/>
              </w:rPr>
              <w:t>Da effettuare per il sottosuolo   (30-50 cm, 50-100 cm)</w:t>
            </w:r>
          </w:p>
        </w:tc>
      </w:tr>
      <w:tr w:rsidR="00E8077D" w:rsidRPr="00B50018" w14:paraId="3318802C" w14:textId="77777777" w:rsidTr="008D41A0">
        <w:tc>
          <w:tcPr>
            <w:tcW w:w="9493" w:type="dxa"/>
            <w:gridSpan w:val="4"/>
            <w:tcBorders>
              <w:top w:val="single" w:sz="4" w:space="0" w:color="auto"/>
              <w:left w:val="single" w:sz="4" w:space="0" w:color="auto"/>
              <w:bottom w:val="single" w:sz="4" w:space="0" w:color="auto"/>
              <w:right w:val="single" w:sz="4" w:space="0" w:color="auto"/>
            </w:tcBorders>
            <w:hideMark/>
          </w:tcPr>
          <w:p w14:paraId="2341EC71" w14:textId="77777777" w:rsidR="00E8077D" w:rsidRPr="00B50018" w:rsidRDefault="00E8077D" w:rsidP="008D41A0">
            <w:pPr>
              <w:widowControl/>
              <w:spacing w:before="120"/>
              <w:jc w:val="both"/>
              <w:rPr>
                <w:b/>
                <w:i/>
                <w:sz w:val="22"/>
                <w:szCs w:val="22"/>
              </w:rPr>
            </w:pPr>
            <w:r w:rsidRPr="00B50018">
              <w:rPr>
                <w:b/>
                <w:i/>
                <w:sz w:val="22"/>
              </w:rPr>
              <w:t>Funzioni ecologiche del suolo</w:t>
            </w:r>
          </w:p>
        </w:tc>
      </w:tr>
      <w:tr w:rsidR="00E8077D" w:rsidRPr="00B50018" w14:paraId="1273F4FB"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4DF9D8A6" w14:textId="77777777" w:rsidR="00E8077D" w:rsidRPr="00B50018" w:rsidRDefault="00E8077D" w:rsidP="008D41A0">
            <w:pPr>
              <w:widowControl/>
              <w:spacing w:before="120"/>
              <w:jc w:val="both"/>
              <w:rPr>
                <w:b/>
                <w:i/>
                <w:sz w:val="22"/>
                <w:szCs w:val="22"/>
              </w:rPr>
            </w:pPr>
            <w:r w:rsidRPr="00B50018">
              <w:rPr>
                <w:b/>
                <w:i/>
                <w:sz w:val="22"/>
              </w:rPr>
              <w:t>Funzione ecologica</w:t>
            </w:r>
          </w:p>
        </w:tc>
        <w:tc>
          <w:tcPr>
            <w:tcW w:w="2802" w:type="dxa"/>
            <w:tcBorders>
              <w:top w:val="single" w:sz="4" w:space="0" w:color="auto"/>
              <w:left w:val="single" w:sz="4" w:space="0" w:color="auto"/>
              <w:bottom w:val="single" w:sz="4" w:space="0" w:color="auto"/>
              <w:right w:val="single" w:sz="4" w:space="0" w:color="auto"/>
            </w:tcBorders>
            <w:hideMark/>
          </w:tcPr>
          <w:p w14:paraId="04F928C8" w14:textId="77777777" w:rsidR="00E8077D" w:rsidRPr="00B50018" w:rsidRDefault="00E8077D" w:rsidP="008D41A0">
            <w:pPr>
              <w:widowControl/>
              <w:spacing w:before="120"/>
              <w:jc w:val="both"/>
              <w:rPr>
                <w:b/>
                <w:i/>
                <w:sz w:val="22"/>
                <w:szCs w:val="22"/>
              </w:rPr>
            </w:pPr>
            <w:r w:rsidRPr="00B50018">
              <w:rPr>
                <w:b/>
                <w:i/>
                <w:sz w:val="22"/>
              </w:rPr>
              <w:t>Descrittore del suolo</w:t>
            </w:r>
          </w:p>
        </w:tc>
        <w:tc>
          <w:tcPr>
            <w:tcW w:w="2071" w:type="dxa"/>
            <w:tcBorders>
              <w:top w:val="single" w:sz="4" w:space="0" w:color="auto"/>
              <w:left w:val="single" w:sz="4" w:space="0" w:color="auto"/>
              <w:bottom w:val="single" w:sz="4" w:space="0" w:color="auto"/>
              <w:right w:val="single" w:sz="4" w:space="0" w:color="auto"/>
            </w:tcBorders>
            <w:hideMark/>
          </w:tcPr>
          <w:p w14:paraId="659E3747" w14:textId="77777777" w:rsidR="00E8077D" w:rsidRPr="00B50018" w:rsidRDefault="00E8077D" w:rsidP="008D41A0">
            <w:pPr>
              <w:widowControl/>
              <w:spacing w:before="120"/>
              <w:jc w:val="both"/>
              <w:rPr>
                <w:b/>
                <w:i/>
                <w:sz w:val="22"/>
                <w:szCs w:val="22"/>
              </w:rPr>
            </w:pPr>
            <w:r w:rsidRPr="00B50018">
              <w:rPr>
                <w:b/>
                <w:i/>
                <w:sz w:val="22"/>
              </w:rPr>
              <w:t>Eccezioni</w:t>
            </w:r>
          </w:p>
        </w:tc>
        <w:tc>
          <w:tcPr>
            <w:tcW w:w="1671" w:type="dxa"/>
            <w:tcBorders>
              <w:top w:val="single" w:sz="4" w:space="0" w:color="auto"/>
              <w:left w:val="single" w:sz="4" w:space="0" w:color="auto"/>
              <w:bottom w:val="single" w:sz="4" w:space="0" w:color="auto"/>
              <w:right w:val="single" w:sz="4" w:space="0" w:color="auto"/>
            </w:tcBorders>
          </w:tcPr>
          <w:p w14:paraId="01BB8899" w14:textId="77777777" w:rsidR="00E8077D" w:rsidRPr="00B50018" w:rsidRDefault="00E8077D" w:rsidP="008D41A0">
            <w:pPr>
              <w:widowControl/>
              <w:spacing w:before="120"/>
              <w:jc w:val="both"/>
              <w:rPr>
                <w:b/>
                <w:bCs/>
                <w:i/>
                <w:iCs/>
                <w:sz w:val="22"/>
                <w:szCs w:val="22"/>
                <w:lang w:eastAsia="en-US"/>
              </w:rPr>
            </w:pPr>
          </w:p>
        </w:tc>
      </w:tr>
      <w:tr w:rsidR="00E8077D" w:rsidRPr="00B50018" w14:paraId="0278379A"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0589F8C9" w14:textId="77777777" w:rsidR="00E8077D" w:rsidRPr="00B50018" w:rsidRDefault="00E8077D" w:rsidP="008D41A0">
            <w:pPr>
              <w:widowControl/>
              <w:spacing w:before="120"/>
              <w:jc w:val="both"/>
              <w:rPr>
                <w:b/>
                <w:i/>
                <w:sz w:val="22"/>
                <w:szCs w:val="22"/>
              </w:rPr>
            </w:pPr>
            <w:r w:rsidRPr="00B50018">
              <w:rPr>
                <w:b/>
                <w:i/>
                <w:sz w:val="22"/>
              </w:rPr>
              <w:t>Ciclo dei nutrienti</w:t>
            </w:r>
          </w:p>
        </w:tc>
        <w:tc>
          <w:tcPr>
            <w:tcW w:w="2802" w:type="dxa"/>
            <w:tcBorders>
              <w:top w:val="single" w:sz="4" w:space="0" w:color="auto"/>
              <w:left w:val="single" w:sz="4" w:space="0" w:color="auto"/>
              <w:bottom w:val="single" w:sz="4" w:space="0" w:color="auto"/>
              <w:right w:val="single" w:sz="4" w:space="0" w:color="auto"/>
            </w:tcBorders>
            <w:hideMark/>
          </w:tcPr>
          <w:p w14:paraId="1919F8F6"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 xml:space="preserve">Mineralizzazione dell'azoto </w:t>
            </w:r>
          </w:p>
          <w:p w14:paraId="1470A2DA" w14:textId="77777777" w:rsidR="00E8077D" w:rsidRPr="00B50018" w:rsidRDefault="00E8077D" w:rsidP="008D41A0">
            <w:pPr>
              <w:widowControl/>
              <w:spacing w:before="120"/>
              <w:ind w:left="347" w:hanging="360"/>
              <w:contextualSpacing/>
              <w:jc w:val="both"/>
              <w:rPr>
                <w:b/>
                <w:i/>
              </w:rPr>
            </w:pPr>
            <w:r w:rsidRPr="00B50018">
              <w:rPr>
                <w:rFonts w:ascii="Symbol" w:hAnsi="Symbol"/>
              </w:rPr>
              <w:sym w:font="Symbol" w:char="F0B7"/>
            </w:r>
            <w:r w:rsidRPr="00B50018">
              <w:rPr>
                <w:rFonts w:ascii="Symbol" w:hAnsi="Symbol"/>
              </w:rPr>
              <w:tab/>
            </w:r>
            <w:r w:rsidRPr="00B50018">
              <w:rPr>
                <w:b/>
                <w:i/>
                <w:sz w:val="22"/>
              </w:rPr>
              <w:t>Disponibilità di azoto</w:t>
            </w:r>
          </w:p>
        </w:tc>
        <w:tc>
          <w:tcPr>
            <w:tcW w:w="2071" w:type="dxa"/>
            <w:tcBorders>
              <w:top w:val="single" w:sz="4" w:space="0" w:color="auto"/>
              <w:left w:val="single" w:sz="4" w:space="0" w:color="auto"/>
              <w:bottom w:val="single" w:sz="4" w:space="0" w:color="auto"/>
              <w:right w:val="single" w:sz="4" w:space="0" w:color="auto"/>
            </w:tcBorders>
            <w:hideMark/>
          </w:tcPr>
          <w:p w14:paraId="4024427D" w14:textId="77777777" w:rsidR="00E8077D" w:rsidRPr="00B50018" w:rsidRDefault="00E8077D" w:rsidP="008D41A0">
            <w:pPr>
              <w:widowControl/>
              <w:spacing w:before="120"/>
              <w:jc w:val="both"/>
              <w:rPr>
                <w:b/>
                <w:i/>
                <w:sz w:val="22"/>
                <w:szCs w:val="22"/>
              </w:rPr>
            </w:pPr>
            <w:r w:rsidRPr="00B50018">
              <w:rPr>
                <w:b/>
                <w:i/>
                <w:sz w:val="22"/>
              </w:rPr>
              <w:t>-</w:t>
            </w:r>
          </w:p>
        </w:tc>
        <w:tc>
          <w:tcPr>
            <w:tcW w:w="1671" w:type="dxa"/>
            <w:tcBorders>
              <w:top w:val="single" w:sz="4" w:space="0" w:color="auto"/>
              <w:left w:val="single" w:sz="4" w:space="0" w:color="auto"/>
              <w:bottom w:val="single" w:sz="4" w:space="0" w:color="auto"/>
              <w:right w:val="single" w:sz="4" w:space="0" w:color="auto"/>
            </w:tcBorders>
            <w:hideMark/>
          </w:tcPr>
          <w:p w14:paraId="4A177F37"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53DC6C60"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58F9C185" w14:textId="77777777" w:rsidR="00E8077D" w:rsidRPr="00B50018" w:rsidRDefault="00E8077D" w:rsidP="008D41A0">
            <w:pPr>
              <w:widowControl/>
              <w:spacing w:before="120"/>
              <w:jc w:val="both"/>
              <w:rPr>
                <w:b/>
                <w:i/>
                <w:sz w:val="22"/>
                <w:szCs w:val="22"/>
              </w:rPr>
            </w:pPr>
            <w:r w:rsidRPr="00B50018">
              <w:rPr>
                <w:b/>
                <w:i/>
                <w:sz w:val="22"/>
              </w:rPr>
              <w:t>Aggregazione del suolo</w:t>
            </w:r>
          </w:p>
        </w:tc>
        <w:tc>
          <w:tcPr>
            <w:tcW w:w="2802" w:type="dxa"/>
            <w:tcBorders>
              <w:top w:val="single" w:sz="4" w:space="0" w:color="auto"/>
              <w:left w:val="single" w:sz="4" w:space="0" w:color="auto"/>
              <w:bottom w:val="single" w:sz="4" w:space="0" w:color="auto"/>
              <w:right w:val="single" w:sz="4" w:space="0" w:color="auto"/>
            </w:tcBorders>
            <w:hideMark/>
          </w:tcPr>
          <w:p w14:paraId="0081FC77"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Frazione stabile all'acqua-materia grossolana</w:t>
            </w:r>
          </w:p>
        </w:tc>
        <w:tc>
          <w:tcPr>
            <w:tcW w:w="2071" w:type="dxa"/>
            <w:tcBorders>
              <w:top w:val="single" w:sz="4" w:space="0" w:color="auto"/>
              <w:left w:val="single" w:sz="4" w:space="0" w:color="auto"/>
              <w:bottom w:val="single" w:sz="4" w:space="0" w:color="auto"/>
              <w:right w:val="single" w:sz="4" w:space="0" w:color="auto"/>
            </w:tcBorders>
            <w:hideMark/>
          </w:tcPr>
          <w:p w14:paraId="15BF0FFD" w14:textId="77777777" w:rsidR="00E8077D" w:rsidRPr="00B50018" w:rsidRDefault="00E8077D" w:rsidP="008D41A0">
            <w:pPr>
              <w:widowControl/>
              <w:spacing w:before="120"/>
              <w:jc w:val="both"/>
              <w:rPr>
                <w:b/>
                <w:i/>
                <w:sz w:val="22"/>
                <w:szCs w:val="22"/>
              </w:rPr>
            </w:pPr>
            <w:r w:rsidRPr="00B50018">
              <w:rPr>
                <w:b/>
                <w:i/>
                <w:sz w:val="22"/>
              </w:rPr>
              <w:t>-</w:t>
            </w:r>
          </w:p>
        </w:tc>
        <w:tc>
          <w:tcPr>
            <w:tcW w:w="1671" w:type="dxa"/>
            <w:tcBorders>
              <w:top w:val="single" w:sz="4" w:space="0" w:color="auto"/>
              <w:left w:val="single" w:sz="4" w:space="0" w:color="auto"/>
              <w:bottom w:val="single" w:sz="4" w:space="0" w:color="auto"/>
              <w:right w:val="single" w:sz="4" w:space="0" w:color="auto"/>
            </w:tcBorders>
            <w:hideMark/>
          </w:tcPr>
          <w:p w14:paraId="5DD51D93"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3EC6D59A"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4A368A79" w14:textId="77777777" w:rsidR="00E8077D" w:rsidRPr="00B50018" w:rsidRDefault="00E8077D" w:rsidP="008D41A0">
            <w:pPr>
              <w:widowControl/>
              <w:spacing w:before="120"/>
              <w:jc w:val="both"/>
              <w:rPr>
                <w:b/>
                <w:i/>
                <w:sz w:val="22"/>
                <w:szCs w:val="22"/>
              </w:rPr>
            </w:pPr>
            <w:r w:rsidRPr="00B50018">
              <w:rPr>
                <w:b/>
                <w:i/>
                <w:sz w:val="22"/>
              </w:rPr>
              <w:t>Attività enzimatica</w:t>
            </w:r>
          </w:p>
        </w:tc>
        <w:tc>
          <w:tcPr>
            <w:tcW w:w="2802" w:type="dxa"/>
            <w:tcBorders>
              <w:top w:val="single" w:sz="4" w:space="0" w:color="auto"/>
              <w:left w:val="single" w:sz="4" w:space="0" w:color="auto"/>
              <w:bottom w:val="single" w:sz="4" w:space="0" w:color="auto"/>
              <w:right w:val="single" w:sz="4" w:space="0" w:color="auto"/>
            </w:tcBorders>
            <w:hideMark/>
          </w:tcPr>
          <w:p w14:paraId="296B1781" w14:textId="77777777" w:rsidR="00E8077D" w:rsidRPr="00B50018" w:rsidRDefault="00E8077D" w:rsidP="008D41A0">
            <w:pPr>
              <w:widowControl/>
              <w:spacing w:before="120"/>
              <w:ind w:left="363"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Potenziale di attività enzimatica della fosfatasi acida (EC 3.13.2)</w:t>
            </w:r>
          </w:p>
          <w:p w14:paraId="0C7177A6" w14:textId="77777777" w:rsidR="00E8077D" w:rsidRPr="00B50018" w:rsidRDefault="00E8077D" w:rsidP="008D41A0">
            <w:pPr>
              <w:widowControl/>
              <w:spacing w:before="120"/>
              <w:ind w:left="363"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Potenziale di attività enzimatica per la N-</w:t>
            </w:r>
            <w:proofErr w:type="spellStart"/>
            <w:r w:rsidRPr="00B50018">
              <w:rPr>
                <w:b/>
                <w:i/>
                <w:sz w:val="22"/>
              </w:rPr>
              <w:t>acetilglucosaminidasi</w:t>
            </w:r>
            <w:proofErr w:type="spellEnd"/>
            <w:r w:rsidRPr="00B50018">
              <w:rPr>
                <w:b/>
                <w:i/>
                <w:sz w:val="22"/>
              </w:rPr>
              <w:t xml:space="preserve"> (EC 3.2.1.50)</w:t>
            </w:r>
          </w:p>
          <w:p w14:paraId="7807CF3A" w14:textId="77777777" w:rsidR="00E8077D" w:rsidRPr="00B50018" w:rsidRDefault="00E8077D" w:rsidP="008D41A0">
            <w:pPr>
              <w:widowControl/>
              <w:spacing w:before="120"/>
              <w:ind w:left="363"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 xml:space="preserve">Potenziale di attività enzimatica per la </w:t>
            </w:r>
            <w:proofErr w:type="spellStart"/>
            <w:r w:rsidRPr="00B50018">
              <w:rPr>
                <w:b/>
                <w:i/>
                <w:sz w:val="22"/>
              </w:rPr>
              <w:t>xilosidasi</w:t>
            </w:r>
            <w:proofErr w:type="spellEnd"/>
            <w:r w:rsidRPr="00B50018">
              <w:rPr>
                <w:b/>
                <w:i/>
                <w:sz w:val="22"/>
              </w:rPr>
              <w:t xml:space="preserve"> (EC 3.2.1.37)</w:t>
            </w:r>
          </w:p>
          <w:p w14:paraId="5EA5DF8D" w14:textId="77777777" w:rsidR="00E8077D" w:rsidRPr="00B50018" w:rsidRDefault="00E8077D" w:rsidP="008D41A0">
            <w:pPr>
              <w:widowControl/>
              <w:spacing w:before="120"/>
              <w:ind w:left="363"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 xml:space="preserve">Potenziale di attività enzimatica per la </w:t>
            </w:r>
            <w:proofErr w:type="spellStart"/>
            <w:r w:rsidRPr="00B50018">
              <w:rPr>
                <w:b/>
                <w:i/>
                <w:sz w:val="22"/>
              </w:rPr>
              <w:t>cellobioidrolasi</w:t>
            </w:r>
            <w:proofErr w:type="spellEnd"/>
            <w:r w:rsidRPr="00B50018">
              <w:rPr>
                <w:b/>
                <w:i/>
                <w:sz w:val="22"/>
              </w:rPr>
              <w:t xml:space="preserve"> (EC 3.2.1.91)</w:t>
            </w:r>
          </w:p>
          <w:p w14:paraId="1C7E0B40" w14:textId="77777777" w:rsidR="00E8077D" w:rsidRPr="00B50018" w:rsidRDefault="00E8077D" w:rsidP="008D41A0">
            <w:pPr>
              <w:widowControl/>
              <w:spacing w:before="120"/>
              <w:ind w:left="363"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Potenziale di attività enzimatica per la β-glucosidasi (EC 3.2.1.21)</w:t>
            </w:r>
          </w:p>
        </w:tc>
        <w:tc>
          <w:tcPr>
            <w:tcW w:w="2071" w:type="dxa"/>
            <w:tcBorders>
              <w:top w:val="single" w:sz="4" w:space="0" w:color="auto"/>
              <w:left w:val="single" w:sz="4" w:space="0" w:color="auto"/>
              <w:bottom w:val="single" w:sz="4" w:space="0" w:color="auto"/>
              <w:right w:val="single" w:sz="4" w:space="0" w:color="auto"/>
            </w:tcBorders>
            <w:hideMark/>
          </w:tcPr>
          <w:p w14:paraId="2A8266BA" w14:textId="77777777" w:rsidR="00E8077D" w:rsidRPr="00B50018" w:rsidRDefault="00E8077D" w:rsidP="008D41A0">
            <w:pPr>
              <w:widowControl/>
              <w:spacing w:before="120"/>
              <w:jc w:val="both"/>
              <w:rPr>
                <w:b/>
                <w:i/>
                <w:sz w:val="22"/>
                <w:szCs w:val="22"/>
              </w:rPr>
            </w:pPr>
            <w:r w:rsidRPr="00B50018">
              <w:rPr>
                <w:b/>
                <w:i/>
                <w:sz w:val="22"/>
              </w:rPr>
              <w:t>-</w:t>
            </w:r>
          </w:p>
        </w:tc>
        <w:tc>
          <w:tcPr>
            <w:tcW w:w="1671" w:type="dxa"/>
            <w:tcBorders>
              <w:top w:val="single" w:sz="4" w:space="0" w:color="auto"/>
              <w:left w:val="single" w:sz="4" w:space="0" w:color="auto"/>
              <w:bottom w:val="single" w:sz="4" w:space="0" w:color="auto"/>
              <w:right w:val="single" w:sz="4" w:space="0" w:color="auto"/>
            </w:tcBorders>
            <w:hideMark/>
          </w:tcPr>
          <w:p w14:paraId="67ABA431"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079FDCB1"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6CFD3AB3" w14:textId="77777777" w:rsidR="00E8077D" w:rsidRPr="00B50018" w:rsidRDefault="00E8077D" w:rsidP="008D41A0">
            <w:pPr>
              <w:widowControl/>
              <w:spacing w:before="120"/>
              <w:jc w:val="both"/>
              <w:rPr>
                <w:b/>
                <w:i/>
                <w:sz w:val="22"/>
                <w:szCs w:val="22"/>
              </w:rPr>
            </w:pPr>
            <w:r w:rsidRPr="00B50018">
              <w:rPr>
                <w:b/>
                <w:i/>
                <w:sz w:val="22"/>
              </w:rPr>
              <w:t>Biomassa del suolo</w:t>
            </w:r>
          </w:p>
        </w:tc>
        <w:tc>
          <w:tcPr>
            <w:tcW w:w="2802" w:type="dxa"/>
            <w:tcBorders>
              <w:top w:val="single" w:sz="4" w:space="0" w:color="auto"/>
              <w:left w:val="single" w:sz="4" w:space="0" w:color="auto"/>
              <w:bottom w:val="single" w:sz="4" w:space="0" w:color="auto"/>
              <w:right w:val="single" w:sz="4" w:space="0" w:color="auto"/>
            </w:tcBorders>
            <w:hideMark/>
          </w:tcPr>
          <w:p w14:paraId="49C1E95A"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 xml:space="preserve">Biomassa microbica indicata dai marcatori di acidi grassi (biomassa per gruppo funzionale microbico; </w:t>
            </w:r>
            <w:proofErr w:type="spellStart"/>
            <w:r w:rsidRPr="00B50018">
              <w:rPr>
                <w:b/>
                <w:i/>
                <w:sz w:val="22"/>
              </w:rPr>
              <w:t>ng</w:t>
            </w:r>
            <w:proofErr w:type="spellEnd"/>
            <w:r w:rsidRPr="00B50018">
              <w:rPr>
                <w:b/>
                <w:i/>
                <w:sz w:val="22"/>
              </w:rPr>
              <w:t xml:space="preserve"> FAME g</w:t>
            </w:r>
            <w:r w:rsidRPr="00B50018">
              <w:rPr>
                <w:b/>
                <w:i/>
                <w:sz w:val="22"/>
                <w:vertAlign w:val="superscript"/>
              </w:rPr>
              <w:t>-1</w:t>
            </w:r>
            <w:r w:rsidRPr="00B50018">
              <w:rPr>
                <w:b/>
                <w:i/>
                <w:sz w:val="22"/>
              </w:rPr>
              <w:t xml:space="preserve"> peso del suolo asciutto)</w:t>
            </w:r>
          </w:p>
        </w:tc>
        <w:tc>
          <w:tcPr>
            <w:tcW w:w="2071" w:type="dxa"/>
            <w:tcBorders>
              <w:top w:val="single" w:sz="4" w:space="0" w:color="auto"/>
              <w:left w:val="single" w:sz="4" w:space="0" w:color="auto"/>
              <w:bottom w:val="single" w:sz="4" w:space="0" w:color="auto"/>
              <w:right w:val="single" w:sz="4" w:space="0" w:color="auto"/>
            </w:tcBorders>
            <w:hideMark/>
          </w:tcPr>
          <w:p w14:paraId="2F21F325" w14:textId="77777777" w:rsidR="00E8077D" w:rsidRPr="00B50018" w:rsidRDefault="00E8077D" w:rsidP="008D41A0">
            <w:pPr>
              <w:widowControl/>
              <w:spacing w:before="120"/>
              <w:jc w:val="both"/>
              <w:rPr>
                <w:b/>
                <w:i/>
                <w:sz w:val="22"/>
                <w:szCs w:val="22"/>
              </w:rPr>
            </w:pPr>
            <w:r w:rsidRPr="00B50018">
              <w:rPr>
                <w:b/>
                <w:i/>
                <w:sz w:val="22"/>
              </w:rPr>
              <w:t>-</w:t>
            </w:r>
          </w:p>
        </w:tc>
        <w:tc>
          <w:tcPr>
            <w:tcW w:w="1671" w:type="dxa"/>
            <w:tcBorders>
              <w:top w:val="single" w:sz="4" w:space="0" w:color="auto"/>
              <w:left w:val="single" w:sz="4" w:space="0" w:color="auto"/>
              <w:bottom w:val="single" w:sz="4" w:space="0" w:color="auto"/>
              <w:right w:val="single" w:sz="4" w:space="0" w:color="auto"/>
            </w:tcBorders>
            <w:hideMark/>
          </w:tcPr>
          <w:p w14:paraId="447996ED"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6E888F37" w14:textId="77777777" w:rsidTr="008D41A0">
        <w:tc>
          <w:tcPr>
            <w:tcW w:w="9493" w:type="dxa"/>
            <w:gridSpan w:val="4"/>
            <w:tcBorders>
              <w:top w:val="single" w:sz="4" w:space="0" w:color="auto"/>
              <w:left w:val="single" w:sz="4" w:space="0" w:color="auto"/>
              <w:bottom w:val="single" w:sz="4" w:space="0" w:color="auto"/>
              <w:right w:val="single" w:sz="4" w:space="0" w:color="auto"/>
            </w:tcBorders>
            <w:hideMark/>
          </w:tcPr>
          <w:p w14:paraId="1AE21692" w14:textId="77777777" w:rsidR="00E8077D" w:rsidRPr="00B50018" w:rsidRDefault="00E8077D" w:rsidP="008D41A0">
            <w:pPr>
              <w:widowControl/>
              <w:spacing w:before="120"/>
              <w:jc w:val="both"/>
              <w:rPr>
                <w:b/>
                <w:bCs/>
                <w:i/>
                <w:sz w:val="22"/>
                <w:szCs w:val="22"/>
              </w:rPr>
            </w:pPr>
            <w:r w:rsidRPr="00B50018">
              <w:rPr>
                <w:b/>
                <w:i/>
                <w:sz w:val="22"/>
              </w:rPr>
              <w:lastRenderedPageBreak/>
              <w:t>Biodiversità del suolo</w:t>
            </w:r>
          </w:p>
        </w:tc>
      </w:tr>
      <w:tr w:rsidR="00E8077D" w:rsidRPr="00B50018" w14:paraId="2C21A9BB"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07EB2952" w14:textId="77777777" w:rsidR="00E8077D" w:rsidRPr="00B50018" w:rsidRDefault="00E8077D" w:rsidP="008D41A0">
            <w:pPr>
              <w:widowControl/>
              <w:spacing w:before="120"/>
              <w:jc w:val="both"/>
              <w:rPr>
                <w:b/>
                <w:i/>
                <w:sz w:val="22"/>
                <w:szCs w:val="22"/>
              </w:rPr>
            </w:pPr>
            <w:r w:rsidRPr="00B50018">
              <w:rPr>
                <w:b/>
                <w:i/>
                <w:sz w:val="22"/>
              </w:rPr>
              <w:t>Caratteristica della biodiversità del suolo</w:t>
            </w:r>
          </w:p>
        </w:tc>
        <w:tc>
          <w:tcPr>
            <w:tcW w:w="2802" w:type="dxa"/>
            <w:tcBorders>
              <w:top w:val="single" w:sz="4" w:space="0" w:color="auto"/>
              <w:left w:val="single" w:sz="4" w:space="0" w:color="auto"/>
              <w:bottom w:val="single" w:sz="4" w:space="0" w:color="auto"/>
              <w:right w:val="single" w:sz="4" w:space="0" w:color="auto"/>
            </w:tcBorders>
            <w:hideMark/>
          </w:tcPr>
          <w:p w14:paraId="639CD779" w14:textId="77777777" w:rsidR="00E8077D" w:rsidRPr="00B50018" w:rsidRDefault="00E8077D" w:rsidP="008D41A0">
            <w:pPr>
              <w:widowControl/>
              <w:spacing w:before="120"/>
              <w:jc w:val="both"/>
              <w:rPr>
                <w:b/>
                <w:i/>
                <w:sz w:val="22"/>
                <w:szCs w:val="22"/>
              </w:rPr>
            </w:pPr>
            <w:r w:rsidRPr="00B50018">
              <w:rPr>
                <w:b/>
                <w:i/>
                <w:sz w:val="22"/>
              </w:rPr>
              <w:t>Descrittore del suolo</w:t>
            </w:r>
          </w:p>
        </w:tc>
        <w:tc>
          <w:tcPr>
            <w:tcW w:w="2071" w:type="dxa"/>
            <w:tcBorders>
              <w:top w:val="single" w:sz="4" w:space="0" w:color="auto"/>
              <w:left w:val="single" w:sz="4" w:space="0" w:color="auto"/>
              <w:bottom w:val="single" w:sz="4" w:space="0" w:color="auto"/>
              <w:right w:val="single" w:sz="4" w:space="0" w:color="auto"/>
            </w:tcBorders>
            <w:hideMark/>
          </w:tcPr>
          <w:p w14:paraId="13032F00" w14:textId="77777777" w:rsidR="00E8077D" w:rsidRPr="00B50018" w:rsidRDefault="00E8077D" w:rsidP="008D41A0">
            <w:pPr>
              <w:widowControl/>
              <w:spacing w:before="120"/>
              <w:jc w:val="both"/>
              <w:rPr>
                <w:b/>
                <w:i/>
                <w:sz w:val="22"/>
                <w:szCs w:val="22"/>
              </w:rPr>
            </w:pPr>
            <w:r w:rsidRPr="00B50018">
              <w:rPr>
                <w:b/>
                <w:i/>
                <w:sz w:val="22"/>
              </w:rPr>
              <w:t>Eccezioni</w:t>
            </w:r>
          </w:p>
        </w:tc>
        <w:tc>
          <w:tcPr>
            <w:tcW w:w="1671" w:type="dxa"/>
            <w:tcBorders>
              <w:top w:val="single" w:sz="4" w:space="0" w:color="auto"/>
              <w:left w:val="single" w:sz="4" w:space="0" w:color="auto"/>
              <w:bottom w:val="single" w:sz="4" w:space="0" w:color="auto"/>
              <w:right w:val="single" w:sz="4" w:space="0" w:color="auto"/>
            </w:tcBorders>
            <w:hideMark/>
          </w:tcPr>
          <w:p w14:paraId="7C2ED801" w14:textId="77777777" w:rsidR="00E8077D" w:rsidRPr="00B50018" w:rsidRDefault="00E8077D" w:rsidP="008D41A0">
            <w:pPr>
              <w:widowControl/>
              <w:spacing w:before="120"/>
              <w:jc w:val="both"/>
              <w:rPr>
                <w:b/>
                <w:bCs/>
                <w:i/>
                <w:iCs/>
                <w:sz w:val="22"/>
                <w:szCs w:val="22"/>
              </w:rPr>
            </w:pPr>
            <w:r w:rsidRPr="00B50018">
              <w:rPr>
                <w:b/>
                <w:i/>
                <w:sz w:val="22"/>
              </w:rPr>
              <w:t>Note</w:t>
            </w:r>
          </w:p>
        </w:tc>
      </w:tr>
      <w:tr w:rsidR="00E8077D" w:rsidRPr="00B50018" w14:paraId="5C5A2B6B"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22793F15" w14:textId="77777777" w:rsidR="00E8077D" w:rsidRPr="00B50018" w:rsidRDefault="00E8077D" w:rsidP="008D41A0">
            <w:pPr>
              <w:widowControl/>
              <w:spacing w:before="120"/>
              <w:jc w:val="both"/>
              <w:rPr>
                <w:b/>
                <w:i/>
                <w:sz w:val="22"/>
                <w:szCs w:val="22"/>
              </w:rPr>
            </w:pPr>
            <w:r w:rsidRPr="00B50018">
              <w:rPr>
                <w:b/>
                <w:i/>
                <w:sz w:val="22"/>
              </w:rPr>
              <w:t>Diversità tassonomica</w:t>
            </w:r>
          </w:p>
        </w:tc>
        <w:tc>
          <w:tcPr>
            <w:tcW w:w="2802" w:type="dxa"/>
            <w:tcBorders>
              <w:top w:val="single" w:sz="4" w:space="0" w:color="auto"/>
              <w:left w:val="single" w:sz="4" w:space="0" w:color="auto"/>
              <w:bottom w:val="single" w:sz="4" w:space="0" w:color="auto"/>
              <w:right w:val="single" w:sz="4" w:space="0" w:color="auto"/>
            </w:tcBorders>
            <w:hideMark/>
          </w:tcPr>
          <w:p w14:paraId="2075BB6F"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Diversità (ricchezza) degli animali del suolo per gruppo sulla base di metodi morfologici; può comprendere anche l'identificazione per immagini (nematodi (per i nematodi, la classificazione dovrebbe essere effettuata almeno a livello di famiglia) e lombrichi (per i lombrichi, la classificazione dovrebbe essere effettuata a livello di specie))</w:t>
            </w:r>
          </w:p>
          <w:p w14:paraId="5FA44AA5"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 xml:space="preserve">Conteggi tassonomici della biodiversità del suolo basati sul </w:t>
            </w:r>
            <w:proofErr w:type="spellStart"/>
            <w:r w:rsidRPr="00B50018">
              <w:rPr>
                <w:b/>
                <w:i/>
                <w:sz w:val="22"/>
              </w:rPr>
              <w:t>metagenoma</w:t>
            </w:r>
            <w:proofErr w:type="spellEnd"/>
            <w:r w:rsidRPr="00B50018">
              <w:rPr>
                <w:b/>
                <w:i/>
                <w:sz w:val="22"/>
              </w:rPr>
              <w:t xml:space="preserve"> per gruppo tassonomico</w:t>
            </w:r>
          </w:p>
        </w:tc>
        <w:tc>
          <w:tcPr>
            <w:tcW w:w="2071" w:type="dxa"/>
            <w:tcBorders>
              <w:top w:val="single" w:sz="4" w:space="0" w:color="auto"/>
              <w:left w:val="single" w:sz="4" w:space="0" w:color="auto"/>
              <w:bottom w:val="single" w:sz="4" w:space="0" w:color="auto"/>
              <w:right w:val="single" w:sz="4" w:space="0" w:color="auto"/>
            </w:tcBorders>
            <w:hideMark/>
          </w:tcPr>
          <w:p w14:paraId="3CD0740F" w14:textId="77777777" w:rsidR="00E8077D" w:rsidRPr="00B50018" w:rsidRDefault="00E8077D" w:rsidP="008D41A0">
            <w:pPr>
              <w:widowControl/>
              <w:spacing w:before="120"/>
              <w:jc w:val="both"/>
              <w:rPr>
                <w:b/>
                <w:i/>
                <w:sz w:val="22"/>
                <w:szCs w:val="22"/>
              </w:rPr>
            </w:pPr>
            <w:r w:rsidRPr="00B50018">
              <w:rPr>
                <w:b/>
                <w:i/>
                <w:sz w:val="22"/>
              </w:rPr>
              <w:t>-</w:t>
            </w:r>
          </w:p>
        </w:tc>
        <w:tc>
          <w:tcPr>
            <w:tcW w:w="1671" w:type="dxa"/>
            <w:tcBorders>
              <w:top w:val="single" w:sz="4" w:space="0" w:color="auto"/>
              <w:left w:val="single" w:sz="4" w:space="0" w:color="auto"/>
              <w:bottom w:val="single" w:sz="4" w:space="0" w:color="auto"/>
              <w:right w:val="single" w:sz="4" w:space="0" w:color="auto"/>
            </w:tcBorders>
            <w:hideMark/>
          </w:tcPr>
          <w:p w14:paraId="24012E4E"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58FA0594"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0A4093D9" w14:textId="77777777" w:rsidR="00E8077D" w:rsidRPr="00B50018" w:rsidRDefault="00E8077D" w:rsidP="008D41A0">
            <w:pPr>
              <w:widowControl/>
              <w:spacing w:before="120"/>
              <w:jc w:val="both"/>
              <w:rPr>
                <w:b/>
                <w:i/>
                <w:sz w:val="22"/>
                <w:szCs w:val="22"/>
              </w:rPr>
            </w:pPr>
            <w:r w:rsidRPr="00B50018">
              <w:rPr>
                <w:b/>
                <w:i/>
                <w:sz w:val="22"/>
              </w:rPr>
              <w:t>Abbondanza delle popolazioni</w:t>
            </w:r>
          </w:p>
        </w:tc>
        <w:tc>
          <w:tcPr>
            <w:tcW w:w="2802" w:type="dxa"/>
            <w:tcBorders>
              <w:top w:val="single" w:sz="4" w:space="0" w:color="auto"/>
              <w:left w:val="single" w:sz="4" w:space="0" w:color="auto"/>
              <w:bottom w:val="single" w:sz="4" w:space="0" w:color="auto"/>
              <w:right w:val="single" w:sz="4" w:space="0" w:color="auto"/>
            </w:tcBorders>
            <w:hideMark/>
          </w:tcPr>
          <w:p w14:paraId="6A74957D"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Abbondanza totale di funghi (utilizzando la regione dello spaziatore interno trascritto (ITS))</w:t>
            </w:r>
          </w:p>
        </w:tc>
        <w:tc>
          <w:tcPr>
            <w:tcW w:w="2071" w:type="dxa"/>
            <w:tcBorders>
              <w:top w:val="single" w:sz="4" w:space="0" w:color="auto"/>
              <w:left w:val="single" w:sz="4" w:space="0" w:color="auto"/>
              <w:bottom w:val="single" w:sz="4" w:space="0" w:color="auto"/>
              <w:right w:val="single" w:sz="4" w:space="0" w:color="auto"/>
            </w:tcBorders>
            <w:hideMark/>
          </w:tcPr>
          <w:p w14:paraId="1597DC51" w14:textId="77777777" w:rsidR="00E8077D" w:rsidRPr="00B50018" w:rsidRDefault="00E8077D" w:rsidP="008D41A0">
            <w:pPr>
              <w:widowControl/>
              <w:spacing w:before="120"/>
              <w:jc w:val="both"/>
              <w:rPr>
                <w:b/>
                <w:i/>
                <w:sz w:val="22"/>
                <w:szCs w:val="22"/>
              </w:rPr>
            </w:pPr>
            <w:r w:rsidRPr="00B50018">
              <w:rPr>
                <w:b/>
                <w:i/>
                <w:sz w:val="22"/>
              </w:rPr>
              <w:t>-</w:t>
            </w:r>
          </w:p>
        </w:tc>
        <w:tc>
          <w:tcPr>
            <w:tcW w:w="1671" w:type="dxa"/>
            <w:tcBorders>
              <w:top w:val="single" w:sz="4" w:space="0" w:color="auto"/>
              <w:left w:val="single" w:sz="4" w:space="0" w:color="auto"/>
              <w:bottom w:val="single" w:sz="4" w:space="0" w:color="auto"/>
              <w:right w:val="single" w:sz="4" w:space="0" w:color="auto"/>
            </w:tcBorders>
            <w:hideMark/>
          </w:tcPr>
          <w:p w14:paraId="7DEBC539"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5AB21844" w14:textId="77777777" w:rsidTr="008D41A0">
        <w:tc>
          <w:tcPr>
            <w:tcW w:w="9493" w:type="dxa"/>
            <w:gridSpan w:val="4"/>
            <w:tcBorders>
              <w:top w:val="single" w:sz="4" w:space="0" w:color="auto"/>
              <w:left w:val="single" w:sz="4" w:space="0" w:color="auto"/>
              <w:bottom w:val="single" w:sz="4" w:space="0" w:color="auto"/>
              <w:right w:val="single" w:sz="4" w:space="0" w:color="auto"/>
            </w:tcBorders>
            <w:hideMark/>
          </w:tcPr>
          <w:p w14:paraId="0AB4F1EF" w14:textId="77777777" w:rsidR="00E8077D" w:rsidRPr="00B50018" w:rsidRDefault="00E8077D" w:rsidP="008D41A0">
            <w:pPr>
              <w:widowControl/>
              <w:spacing w:before="120"/>
              <w:jc w:val="both"/>
              <w:rPr>
                <w:b/>
                <w:i/>
                <w:sz w:val="22"/>
                <w:szCs w:val="22"/>
              </w:rPr>
            </w:pPr>
            <w:r w:rsidRPr="00B50018">
              <w:rPr>
                <w:b/>
                <w:i/>
                <w:sz w:val="22"/>
              </w:rPr>
              <w:t>Habitat del suolo</w:t>
            </w:r>
          </w:p>
        </w:tc>
      </w:tr>
      <w:tr w:rsidR="00E8077D" w:rsidRPr="00B50018" w14:paraId="11F6873E" w14:textId="77777777" w:rsidTr="00E8077D">
        <w:tc>
          <w:tcPr>
            <w:tcW w:w="2949" w:type="dxa"/>
            <w:tcBorders>
              <w:top w:val="single" w:sz="4" w:space="0" w:color="auto"/>
              <w:left w:val="single" w:sz="4" w:space="0" w:color="auto"/>
              <w:bottom w:val="single" w:sz="4" w:space="0" w:color="auto"/>
              <w:right w:val="single" w:sz="4" w:space="0" w:color="auto"/>
            </w:tcBorders>
            <w:hideMark/>
          </w:tcPr>
          <w:p w14:paraId="7D59DC9D" w14:textId="77777777" w:rsidR="00E8077D" w:rsidRPr="00B50018" w:rsidRDefault="00E8077D" w:rsidP="008D41A0">
            <w:pPr>
              <w:widowControl/>
              <w:spacing w:before="120"/>
              <w:jc w:val="both"/>
              <w:rPr>
                <w:b/>
                <w:i/>
                <w:sz w:val="22"/>
                <w:szCs w:val="22"/>
              </w:rPr>
            </w:pPr>
            <w:r w:rsidRPr="00B50018">
              <w:rPr>
                <w:b/>
                <w:i/>
                <w:sz w:val="22"/>
              </w:rPr>
              <w:t>Caratteristica dell'habitat del suolo</w:t>
            </w:r>
          </w:p>
        </w:tc>
        <w:tc>
          <w:tcPr>
            <w:tcW w:w="2802" w:type="dxa"/>
            <w:tcBorders>
              <w:top w:val="single" w:sz="4" w:space="0" w:color="auto"/>
              <w:left w:val="single" w:sz="4" w:space="0" w:color="auto"/>
              <w:bottom w:val="single" w:sz="4" w:space="0" w:color="auto"/>
              <w:right w:val="single" w:sz="4" w:space="0" w:color="auto"/>
            </w:tcBorders>
            <w:hideMark/>
          </w:tcPr>
          <w:p w14:paraId="7B717329" w14:textId="77777777" w:rsidR="00E8077D" w:rsidRPr="00B50018" w:rsidRDefault="00E8077D" w:rsidP="008D41A0">
            <w:pPr>
              <w:widowControl/>
              <w:spacing w:before="120"/>
              <w:jc w:val="both"/>
              <w:rPr>
                <w:b/>
                <w:i/>
                <w:sz w:val="22"/>
                <w:szCs w:val="22"/>
              </w:rPr>
            </w:pPr>
            <w:r w:rsidRPr="00B50018">
              <w:rPr>
                <w:b/>
                <w:i/>
                <w:sz w:val="22"/>
              </w:rPr>
              <w:t>Descrittore del suolo</w:t>
            </w:r>
          </w:p>
        </w:tc>
        <w:tc>
          <w:tcPr>
            <w:tcW w:w="2071" w:type="dxa"/>
            <w:tcBorders>
              <w:top w:val="single" w:sz="4" w:space="0" w:color="auto"/>
              <w:left w:val="single" w:sz="4" w:space="0" w:color="auto"/>
              <w:bottom w:val="single" w:sz="4" w:space="0" w:color="auto"/>
              <w:right w:val="single" w:sz="4" w:space="0" w:color="auto"/>
            </w:tcBorders>
            <w:hideMark/>
          </w:tcPr>
          <w:p w14:paraId="4A5BDD1C" w14:textId="77777777" w:rsidR="00E8077D" w:rsidRPr="00B50018" w:rsidRDefault="00E8077D" w:rsidP="008D41A0">
            <w:pPr>
              <w:widowControl/>
              <w:spacing w:before="120"/>
              <w:jc w:val="both"/>
              <w:rPr>
                <w:b/>
                <w:i/>
                <w:sz w:val="22"/>
                <w:szCs w:val="22"/>
              </w:rPr>
            </w:pPr>
            <w:r w:rsidRPr="00B50018">
              <w:rPr>
                <w:b/>
                <w:i/>
                <w:sz w:val="22"/>
              </w:rPr>
              <w:t>Eccezioni</w:t>
            </w:r>
          </w:p>
        </w:tc>
        <w:tc>
          <w:tcPr>
            <w:tcW w:w="1671" w:type="dxa"/>
            <w:tcBorders>
              <w:top w:val="single" w:sz="4" w:space="0" w:color="auto"/>
              <w:left w:val="single" w:sz="4" w:space="0" w:color="auto"/>
              <w:bottom w:val="single" w:sz="4" w:space="0" w:color="auto"/>
              <w:right w:val="single" w:sz="4" w:space="0" w:color="auto"/>
            </w:tcBorders>
            <w:hideMark/>
          </w:tcPr>
          <w:p w14:paraId="413E66B2" w14:textId="77777777" w:rsidR="00E8077D" w:rsidRPr="00B50018" w:rsidRDefault="00E8077D" w:rsidP="008D41A0">
            <w:pPr>
              <w:widowControl/>
              <w:spacing w:before="120"/>
              <w:jc w:val="both"/>
              <w:rPr>
                <w:b/>
                <w:bCs/>
                <w:i/>
                <w:iCs/>
                <w:sz w:val="22"/>
                <w:szCs w:val="22"/>
              </w:rPr>
            </w:pPr>
            <w:r w:rsidRPr="00B50018">
              <w:rPr>
                <w:b/>
                <w:i/>
                <w:sz w:val="22"/>
              </w:rPr>
              <w:t>Note</w:t>
            </w:r>
          </w:p>
        </w:tc>
      </w:tr>
    </w:tbl>
    <w:p w14:paraId="0EA22C84" w14:textId="77777777" w:rsidR="00E8077D" w:rsidRPr="006D1073" w:rsidRDefault="00E8077D" w:rsidP="00E8077D">
      <w:pPr>
        <w:widowControl/>
        <w:spacing w:before="120" w:after="120"/>
        <w:jc w:val="right"/>
        <w:rPr>
          <w:rFonts w:eastAsia="Calibri"/>
          <w:b/>
          <w:iCs/>
          <w:noProof/>
          <w:szCs w:val="22"/>
          <w:lang w:val="en-IE" w:eastAsia="en-US"/>
        </w:rPr>
      </w:pPr>
      <w:r>
        <w:rPr>
          <w:rFonts w:eastAsia="Calibri"/>
          <w:b/>
          <w:iCs/>
          <w:noProof/>
          <w:szCs w:val="22"/>
          <w:lang w:val="en-IE" w:eastAsia="en-US"/>
        </w:rPr>
        <w:t>[Am. 199]</w:t>
      </w:r>
    </w:p>
    <w:tbl>
      <w:tblPr>
        <w:tblStyle w:val="TableGrid1"/>
        <w:tblW w:w="0" w:type="auto"/>
        <w:tblLook w:val="04A0" w:firstRow="1" w:lastRow="0" w:firstColumn="1" w:lastColumn="0" w:noHBand="0" w:noVBand="1"/>
      </w:tblPr>
      <w:tblGrid>
        <w:gridCol w:w="3440"/>
        <w:gridCol w:w="5623"/>
      </w:tblGrid>
      <w:tr w:rsidR="008D196E" w:rsidRPr="00E8077D" w14:paraId="457CDC8D" w14:textId="77777777" w:rsidTr="00E8077D">
        <w:tc>
          <w:tcPr>
            <w:tcW w:w="9063" w:type="dxa"/>
            <w:gridSpan w:val="2"/>
          </w:tcPr>
          <w:p w14:paraId="0BFEB545" w14:textId="77777777" w:rsidR="008D196E" w:rsidRPr="00E8077D" w:rsidRDefault="008D196E" w:rsidP="008D196E">
            <w:pPr>
              <w:widowControl/>
              <w:spacing w:before="120" w:after="120"/>
              <w:rPr>
                <w:rFonts w:ascii="Times New Roman" w:hAnsi="Times New Roman" w:cs="Times New Roman"/>
                <w:b/>
                <w:strike/>
                <w:noProof/>
              </w:rPr>
            </w:pPr>
            <w:r w:rsidRPr="00E8077D">
              <w:rPr>
                <w:rFonts w:ascii="Times New Roman" w:hAnsi="Times New Roman" w:cs="Times New Roman"/>
                <w:b/>
                <w:i/>
                <w:strike/>
                <w:noProof/>
              </w:rPr>
              <w:t>Parte C: descrittori del suolo senza criteri</w:t>
            </w:r>
          </w:p>
        </w:tc>
      </w:tr>
      <w:tr w:rsidR="008D196E" w:rsidRPr="00E8077D" w14:paraId="64DDEB57" w14:textId="77777777" w:rsidTr="00E8077D">
        <w:tc>
          <w:tcPr>
            <w:tcW w:w="3440" w:type="dxa"/>
          </w:tcPr>
          <w:p w14:paraId="6225E7CF" w14:textId="77777777" w:rsidR="008D196E" w:rsidRPr="00E8077D" w:rsidRDefault="008D196E" w:rsidP="008D196E">
            <w:pPr>
              <w:widowControl/>
              <w:spacing w:before="120" w:after="120"/>
              <w:rPr>
                <w:rFonts w:ascii="Times New Roman" w:hAnsi="Times New Roman" w:cs="Times New Roman"/>
                <w:b/>
                <w:bCs/>
                <w:strike/>
                <w:noProof/>
              </w:rPr>
            </w:pPr>
            <w:r w:rsidRPr="00E8077D">
              <w:rPr>
                <w:rFonts w:ascii="Times New Roman" w:hAnsi="Times New Roman" w:cs="Times New Roman"/>
                <w:b/>
                <w:strike/>
                <w:noProof/>
              </w:rPr>
              <w:t>Tipo di degrado del suolo</w:t>
            </w:r>
          </w:p>
        </w:tc>
        <w:tc>
          <w:tcPr>
            <w:tcW w:w="5623" w:type="dxa"/>
          </w:tcPr>
          <w:p w14:paraId="633AE130" w14:textId="77777777" w:rsidR="008D196E" w:rsidRPr="00E8077D" w:rsidRDefault="008D196E" w:rsidP="008D196E">
            <w:pPr>
              <w:widowControl/>
              <w:spacing w:before="120" w:after="120"/>
              <w:rPr>
                <w:rFonts w:ascii="Times New Roman" w:hAnsi="Times New Roman" w:cs="Times New Roman"/>
                <w:b/>
                <w:bCs/>
                <w:strike/>
                <w:noProof/>
              </w:rPr>
            </w:pPr>
            <w:r w:rsidRPr="00E8077D">
              <w:rPr>
                <w:rFonts w:ascii="Times New Roman" w:hAnsi="Times New Roman" w:cs="Times New Roman"/>
                <w:b/>
                <w:strike/>
                <w:noProof/>
              </w:rPr>
              <w:t>Descrittore del suolo</w:t>
            </w:r>
          </w:p>
        </w:tc>
      </w:tr>
      <w:tr w:rsidR="008D196E" w:rsidRPr="00E8077D" w14:paraId="01013BE3" w14:textId="77777777" w:rsidTr="00E8077D">
        <w:tc>
          <w:tcPr>
            <w:tcW w:w="3440" w:type="dxa"/>
          </w:tcPr>
          <w:p w14:paraId="309A60F1" w14:textId="77777777" w:rsidR="008D196E" w:rsidRPr="00E8077D" w:rsidRDefault="008D196E" w:rsidP="008D196E">
            <w:pPr>
              <w:widowControl/>
              <w:spacing w:before="120" w:after="120"/>
              <w:rPr>
                <w:rFonts w:ascii="Times New Roman" w:hAnsi="Times New Roman" w:cs="Times New Roman"/>
                <w:i/>
                <w:iCs/>
                <w:strike/>
                <w:noProof/>
              </w:rPr>
            </w:pPr>
            <w:r w:rsidRPr="00E8077D">
              <w:rPr>
                <w:rFonts w:ascii="Times New Roman" w:hAnsi="Times New Roman" w:cs="Times New Roman"/>
                <w:strike/>
                <w:noProof/>
              </w:rPr>
              <w:t>Tenore di nutrienti in eccesso nel suolo</w:t>
            </w:r>
          </w:p>
        </w:tc>
        <w:tc>
          <w:tcPr>
            <w:tcW w:w="5623" w:type="dxa"/>
          </w:tcPr>
          <w:p w14:paraId="2D85CC74" w14:textId="77777777" w:rsidR="008D196E" w:rsidRPr="00E8077D" w:rsidRDefault="008D196E" w:rsidP="008D196E">
            <w:pPr>
              <w:widowControl/>
              <w:spacing w:before="120" w:after="120"/>
              <w:rPr>
                <w:rFonts w:ascii="Times New Roman" w:hAnsi="Times New Roman" w:cs="Times New Roman"/>
                <w:i/>
                <w:strike/>
                <w:noProof/>
              </w:rPr>
            </w:pPr>
            <w:r w:rsidRPr="00E8077D">
              <w:rPr>
                <w:rFonts w:ascii="Times New Roman" w:hAnsi="Times New Roman" w:cs="Times New Roman"/>
                <w:strike/>
                <w:noProof/>
              </w:rPr>
              <w:t>Azoto nel suolo (mg g</w:t>
            </w:r>
            <w:r w:rsidRPr="00E8077D">
              <w:rPr>
                <w:rFonts w:ascii="Times New Roman" w:hAnsi="Times New Roman" w:cs="Times New Roman"/>
                <w:strike/>
                <w:noProof/>
                <w:vertAlign w:val="superscript"/>
              </w:rPr>
              <w:t>-1</w:t>
            </w:r>
            <w:r w:rsidRPr="00E8077D">
              <w:rPr>
                <w:rFonts w:ascii="Times New Roman" w:hAnsi="Times New Roman" w:cs="Times New Roman"/>
                <w:strike/>
                <w:noProof/>
              </w:rPr>
              <w:t>)</w:t>
            </w:r>
          </w:p>
        </w:tc>
      </w:tr>
      <w:tr w:rsidR="008D196E" w:rsidRPr="00E8077D" w14:paraId="5B079AF7" w14:textId="77777777" w:rsidTr="00E8077D">
        <w:tc>
          <w:tcPr>
            <w:tcW w:w="3440" w:type="dxa"/>
          </w:tcPr>
          <w:p w14:paraId="27631A5B" w14:textId="77777777" w:rsidR="008D196E" w:rsidRPr="00E8077D" w:rsidRDefault="008D196E" w:rsidP="008D196E">
            <w:pPr>
              <w:widowControl/>
              <w:spacing w:before="120" w:after="120"/>
              <w:rPr>
                <w:rFonts w:ascii="Times New Roman" w:hAnsi="Times New Roman" w:cs="Times New Roman"/>
                <w:i/>
                <w:iCs/>
                <w:strike/>
                <w:noProof/>
              </w:rPr>
            </w:pPr>
            <w:r w:rsidRPr="00E8077D">
              <w:rPr>
                <w:rFonts w:ascii="Times New Roman" w:hAnsi="Times New Roman" w:cs="Times New Roman"/>
                <w:strike/>
                <w:noProof/>
              </w:rPr>
              <w:t>Acidificazione</w:t>
            </w:r>
          </w:p>
        </w:tc>
        <w:tc>
          <w:tcPr>
            <w:tcW w:w="5623" w:type="dxa"/>
          </w:tcPr>
          <w:p w14:paraId="1FF6D2F4" w14:textId="77777777" w:rsidR="008D196E" w:rsidRPr="00E8077D" w:rsidRDefault="008D196E" w:rsidP="008D196E">
            <w:pPr>
              <w:widowControl/>
              <w:spacing w:before="120" w:after="120"/>
              <w:rPr>
                <w:rFonts w:ascii="Times New Roman" w:hAnsi="Times New Roman" w:cs="Times New Roman"/>
                <w:i/>
                <w:iCs/>
                <w:strike/>
                <w:noProof/>
              </w:rPr>
            </w:pPr>
            <w:r w:rsidRPr="00E8077D">
              <w:rPr>
                <w:rFonts w:ascii="Times New Roman" w:hAnsi="Times New Roman" w:cs="Times New Roman"/>
                <w:strike/>
                <w:noProof/>
              </w:rPr>
              <w:t>Acidità del suolo (pH)</w:t>
            </w:r>
          </w:p>
        </w:tc>
      </w:tr>
      <w:tr w:rsidR="008D196E" w:rsidRPr="00E8077D" w14:paraId="04B2BD07" w14:textId="77777777" w:rsidTr="00E8077D">
        <w:tc>
          <w:tcPr>
            <w:tcW w:w="3440" w:type="dxa"/>
          </w:tcPr>
          <w:p w14:paraId="4DD0E064" w14:textId="77777777" w:rsidR="008D196E" w:rsidRPr="00E8077D" w:rsidRDefault="008D196E" w:rsidP="008D196E">
            <w:pPr>
              <w:widowControl/>
              <w:spacing w:before="120" w:after="120"/>
              <w:rPr>
                <w:rFonts w:ascii="Times New Roman" w:hAnsi="Times New Roman" w:cs="Times New Roman"/>
                <w:i/>
                <w:iCs/>
                <w:strike/>
                <w:noProof/>
              </w:rPr>
            </w:pPr>
            <w:r w:rsidRPr="00E8077D">
              <w:rPr>
                <w:rFonts w:ascii="Times New Roman" w:hAnsi="Times New Roman" w:cs="Times New Roman"/>
                <w:strike/>
                <w:noProof/>
              </w:rPr>
              <w:t>Compattazione dello strato superficiale</w:t>
            </w:r>
          </w:p>
        </w:tc>
        <w:tc>
          <w:tcPr>
            <w:tcW w:w="5623" w:type="dxa"/>
          </w:tcPr>
          <w:p w14:paraId="613D38A3" w14:textId="77777777" w:rsidR="008D196E" w:rsidRPr="00E8077D" w:rsidRDefault="008D196E" w:rsidP="008D196E">
            <w:pPr>
              <w:widowControl/>
              <w:spacing w:before="120" w:after="120"/>
              <w:rPr>
                <w:rFonts w:ascii="Times New Roman" w:hAnsi="Times New Roman" w:cs="Times New Roman"/>
                <w:i/>
                <w:iCs/>
                <w:strike/>
                <w:noProof/>
              </w:rPr>
            </w:pPr>
            <w:r w:rsidRPr="00E8077D">
              <w:rPr>
                <w:rFonts w:ascii="Times New Roman" w:hAnsi="Times New Roman" w:cs="Times New Roman"/>
                <w:strike/>
                <w:noProof/>
              </w:rPr>
              <w:t>Densità apparente dello strato superficiale (orizzonte A</w:t>
            </w:r>
            <w:r w:rsidRPr="00E8077D">
              <w:rPr>
                <w:rFonts w:ascii="Times New Roman" w:hAnsi="Times New Roman" w:cs="Times New Roman"/>
                <w:strike/>
                <w:noProof/>
                <w:vertAlign w:val="superscript"/>
              </w:rPr>
              <w:footnoteReference w:id="62"/>
            </w:r>
            <w:r w:rsidRPr="00E8077D">
              <w:rPr>
                <w:rFonts w:ascii="Times New Roman" w:hAnsi="Times New Roman" w:cs="Times New Roman"/>
                <w:strike/>
                <w:noProof/>
              </w:rPr>
              <w:t>) (g cm</w:t>
            </w:r>
            <w:r w:rsidRPr="00E8077D">
              <w:rPr>
                <w:rFonts w:ascii="Times New Roman" w:hAnsi="Times New Roman" w:cs="Times New Roman"/>
                <w:strike/>
                <w:noProof/>
                <w:vertAlign w:val="superscript"/>
              </w:rPr>
              <w:t>-3</w:t>
            </w:r>
            <w:r w:rsidRPr="00E8077D">
              <w:rPr>
                <w:rFonts w:ascii="Times New Roman" w:hAnsi="Times New Roman" w:cs="Times New Roman"/>
                <w:strike/>
                <w:noProof/>
              </w:rPr>
              <w:t>)</w:t>
            </w:r>
          </w:p>
        </w:tc>
      </w:tr>
      <w:tr w:rsidR="008D196E" w:rsidRPr="00E8077D" w14:paraId="5D322E65" w14:textId="77777777" w:rsidTr="00E8077D">
        <w:tc>
          <w:tcPr>
            <w:tcW w:w="3440" w:type="dxa"/>
          </w:tcPr>
          <w:p w14:paraId="580A7A07" w14:textId="77777777" w:rsidR="008D196E" w:rsidRPr="00E8077D" w:rsidRDefault="008D196E" w:rsidP="008D196E">
            <w:pPr>
              <w:widowControl/>
              <w:spacing w:before="120" w:after="120"/>
              <w:rPr>
                <w:rFonts w:ascii="Times New Roman" w:hAnsi="Times New Roman" w:cs="Times New Roman"/>
                <w:i/>
                <w:iCs/>
                <w:strike/>
                <w:noProof/>
              </w:rPr>
            </w:pPr>
            <w:r w:rsidRPr="00E8077D">
              <w:rPr>
                <w:rFonts w:ascii="Times New Roman" w:hAnsi="Times New Roman" w:cs="Times New Roman"/>
                <w:strike/>
                <w:noProof/>
              </w:rPr>
              <w:t>Perdita di biodiversità del suolo</w:t>
            </w:r>
          </w:p>
        </w:tc>
        <w:tc>
          <w:tcPr>
            <w:tcW w:w="5623" w:type="dxa"/>
          </w:tcPr>
          <w:p w14:paraId="24F83922" w14:textId="77777777" w:rsidR="008D196E" w:rsidRPr="00E8077D" w:rsidRDefault="008D196E" w:rsidP="008D196E">
            <w:pPr>
              <w:widowControl/>
              <w:spacing w:before="120" w:after="120"/>
              <w:rPr>
                <w:rFonts w:ascii="Times New Roman" w:hAnsi="Times New Roman" w:cs="Times New Roman"/>
                <w:strike/>
                <w:noProof/>
              </w:rPr>
            </w:pPr>
            <w:r w:rsidRPr="00E8077D">
              <w:rPr>
                <w:rFonts w:ascii="Times New Roman" w:hAnsi="Times New Roman" w:cs="Times New Roman"/>
                <w:strike/>
                <w:noProof/>
              </w:rPr>
              <w:t>Respirazione basale del suolo (mm</w:t>
            </w:r>
            <w:r w:rsidRPr="00E8077D">
              <w:rPr>
                <w:rFonts w:ascii="Times New Roman" w:hAnsi="Times New Roman" w:cs="Times New Roman"/>
                <w:strike/>
                <w:noProof/>
                <w:vertAlign w:val="superscript"/>
              </w:rPr>
              <w:t>3</w:t>
            </w:r>
            <w:r w:rsidRPr="00E8077D">
              <w:rPr>
                <w:rFonts w:ascii="Times New Roman" w:hAnsi="Times New Roman" w:cs="Times New Roman"/>
                <w:strike/>
                <w:noProof/>
              </w:rPr>
              <w:t xml:space="preserve"> O</w:t>
            </w:r>
            <w:r w:rsidRPr="00E8077D">
              <w:rPr>
                <w:rFonts w:ascii="Times New Roman" w:hAnsi="Times New Roman" w:cs="Times New Roman"/>
                <w:strike/>
                <w:noProof/>
                <w:vertAlign w:val="subscript"/>
              </w:rPr>
              <w:t>2</w:t>
            </w:r>
            <w:r w:rsidRPr="00E8077D">
              <w:rPr>
                <w:rFonts w:ascii="Times New Roman" w:hAnsi="Times New Roman" w:cs="Times New Roman"/>
                <w:strike/>
                <w:noProof/>
              </w:rPr>
              <w:t xml:space="preserve"> g</w:t>
            </w:r>
            <w:r w:rsidRPr="00E8077D">
              <w:rPr>
                <w:rFonts w:ascii="Times New Roman" w:hAnsi="Times New Roman" w:cs="Times New Roman"/>
                <w:strike/>
                <w:noProof/>
                <w:vertAlign w:val="superscript"/>
              </w:rPr>
              <w:t>-1</w:t>
            </w:r>
            <w:r w:rsidRPr="00E8077D">
              <w:rPr>
                <w:rFonts w:ascii="Times New Roman" w:hAnsi="Times New Roman" w:cs="Times New Roman"/>
                <w:strike/>
                <w:noProof/>
              </w:rPr>
              <w:t xml:space="preserve"> hr</w:t>
            </w:r>
            <w:r w:rsidRPr="00E8077D">
              <w:rPr>
                <w:rFonts w:ascii="Times New Roman" w:hAnsi="Times New Roman" w:cs="Times New Roman"/>
                <w:strike/>
                <w:noProof/>
                <w:vertAlign w:val="superscript"/>
              </w:rPr>
              <w:t>-1</w:t>
            </w:r>
            <w:r w:rsidRPr="00E8077D">
              <w:rPr>
                <w:rFonts w:ascii="Times New Roman" w:hAnsi="Times New Roman" w:cs="Times New Roman"/>
                <w:strike/>
                <w:noProof/>
              </w:rPr>
              <w:t>) in suolo asciutto</w:t>
            </w:r>
          </w:p>
          <w:p w14:paraId="61B497FA" w14:textId="77777777" w:rsidR="008D196E" w:rsidRPr="00E8077D" w:rsidRDefault="008D196E" w:rsidP="008D196E">
            <w:pPr>
              <w:widowControl/>
              <w:spacing w:before="120" w:after="120"/>
              <w:rPr>
                <w:rFonts w:ascii="Times New Roman" w:hAnsi="Times New Roman" w:cs="Times New Roman"/>
                <w:strike/>
                <w:noProof/>
              </w:rPr>
            </w:pPr>
          </w:p>
          <w:p w14:paraId="68374EB9" w14:textId="77777777" w:rsidR="008D196E" w:rsidRPr="00E8077D" w:rsidRDefault="008D196E" w:rsidP="008D196E">
            <w:pPr>
              <w:widowControl/>
              <w:spacing w:before="120" w:after="120"/>
              <w:contextualSpacing/>
              <w:rPr>
                <w:rFonts w:ascii="Times New Roman" w:hAnsi="Times New Roman" w:cs="Times New Roman"/>
                <w:strike/>
                <w:noProof/>
              </w:rPr>
            </w:pPr>
            <w:r w:rsidRPr="00E8077D">
              <w:rPr>
                <w:rFonts w:ascii="Times New Roman" w:hAnsi="Times New Roman" w:cs="Times New Roman"/>
                <w:strike/>
                <w:noProof/>
              </w:rPr>
              <w:t xml:space="preserve">Gli Stati membri possono scegliere altri descrittori del suolo facoltativi per la biodiversità, quali: </w:t>
            </w:r>
            <w:r w:rsidRPr="00E8077D">
              <w:rPr>
                <w:rFonts w:ascii="Times New Roman" w:hAnsi="Times New Roman" w:cs="Times New Roman"/>
                <w:strike/>
                <w:noProof/>
              </w:rPr>
              <w:br/>
              <w:t xml:space="preserve"> - metabarcoding di batteri, funghi, protisti e animali; </w:t>
            </w:r>
            <w:r w:rsidRPr="00E8077D">
              <w:rPr>
                <w:rFonts w:ascii="Times New Roman" w:hAnsi="Times New Roman" w:cs="Times New Roman"/>
                <w:strike/>
                <w:noProof/>
              </w:rPr>
              <w:br/>
              <w:t xml:space="preserve"> - abbondanza e diversità di nematodi; </w:t>
            </w:r>
            <w:r w:rsidRPr="00E8077D">
              <w:rPr>
                <w:rFonts w:ascii="Times New Roman" w:hAnsi="Times New Roman" w:cs="Times New Roman"/>
                <w:strike/>
                <w:noProof/>
              </w:rPr>
              <w:br/>
              <w:t xml:space="preserve"> - biomassa microbica; </w:t>
            </w:r>
            <w:r w:rsidRPr="00E8077D">
              <w:rPr>
                <w:rFonts w:ascii="Times New Roman" w:hAnsi="Times New Roman" w:cs="Times New Roman"/>
                <w:strike/>
                <w:noProof/>
              </w:rPr>
              <w:br/>
              <w:t xml:space="preserve"> - abbondanza e diversità di lombrichi (nelle terre coltivate);</w:t>
            </w:r>
          </w:p>
          <w:p w14:paraId="2CD4078B" w14:textId="77777777" w:rsidR="008D196E" w:rsidRPr="00E8077D" w:rsidRDefault="008D196E" w:rsidP="008D196E">
            <w:pPr>
              <w:widowControl/>
              <w:spacing w:before="120" w:after="120"/>
              <w:rPr>
                <w:rFonts w:ascii="Times New Roman" w:hAnsi="Times New Roman" w:cs="Times New Roman"/>
                <w:strike/>
                <w:noProof/>
              </w:rPr>
            </w:pPr>
            <w:r w:rsidRPr="00E8077D">
              <w:rPr>
                <w:rFonts w:ascii="Times New Roman" w:hAnsi="Times New Roman" w:cs="Times New Roman"/>
                <w:strike/>
                <w:noProof/>
              </w:rPr>
              <w:t>- specie esotiche invasive e organismi nocivi per le piante;</w:t>
            </w:r>
          </w:p>
        </w:tc>
      </w:tr>
    </w:tbl>
    <w:tbl>
      <w:tblPr>
        <w:tblW w:w="9715" w:type="dxa"/>
        <w:tblLook w:val="04A0" w:firstRow="1" w:lastRow="0" w:firstColumn="1" w:lastColumn="0" w:noHBand="0" w:noVBand="1"/>
      </w:tblPr>
      <w:tblGrid>
        <w:gridCol w:w="3055"/>
        <w:gridCol w:w="2610"/>
        <w:gridCol w:w="2160"/>
        <w:gridCol w:w="1890"/>
      </w:tblGrid>
      <w:tr w:rsidR="00E8077D" w:rsidRPr="00B50018" w14:paraId="0AB89A6C" w14:textId="77777777" w:rsidTr="008D41A0">
        <w:tc>
          <w:tcPr>
            <w:tcW w:w="9715" w:type="dxa"/>
            <w:gridSpan w:val="4"/>
            <w:tcBorders>
              <w:top w:val="single" w:sz="4" w:space="0" w:color="auto"/>
              <w:left w:val="single" w:sz="4" w:space="0" w:color="auto"/>
              <w:bottom w:val="single" w:sz="4" w:space="0" w:color="auto"/>
              <w:right w:val="single" w:sz="4" w:space="0" w:color="auto"/>
            </w:tcBorders>
            <w:hideMark/>
          </w:tcPr>
          <w:p w14:paraId="500E6CA1" w14:textId="77777777" w:rsidR="00E8077D" w:rsidRPr="00B50018" w:rsidRDefault="00E8077D" w:rsidP="008D41A0">
            <w:pPr>
              <w:widowControl/>
              <w:spacing w:before="120"/>
              <w:jc w:val="both"/>
              <w:rPr>
                <w:b/>
                <w:bCs/>
                <w:i/>
                <w:sz w:val="22"/>
                <w:szCs w:val="22"/>
              </w:rPr>
            </w:pPr>
            <w:r w:rsidRPr="00B50018">
              <w:rPr>
                <w:b/>
                <w:i/>
                <w:sz w:val="22"/>
              </w:rPr>
              <w:lastRenderedPageBreak/>
              <w:t>Parte C: Modello di monitoraggio del suolo di livello 3</w:t>
            </w:r>
          </w:p>
          <w:p w14:paraId="546A3D25" w14:textId="77777777" w:rsidR="00E8077D" w:rsidRPr="00B50018" w:rsidRDefault="00E8077D" w:rsidP="008D41A0">
            <w:pPr>
              <w:widowControl/>
              <w:spacing w:before="120"/>
              <w:jc w:val="both"/>
              <w:rPr>
                <w:b/>
                <w:bCs/>
                <w:i/>
                <w:sz w:val="22"/>
                <w:szCs w:val="22"/>
              </w:rPr>
            </w:pPr>
            <w:r w:rsidRPr="00B50018">
              <w:rPr>
                <w:b/>
                <w:i/>
                <w:sz w:val="22"/>
              </w:rPr>
              <w:t>Uno Stato membro si qualifica per il modello di monitoraggio del suolo di livello 3 se soddisfa le condizioni del livello 2 e include almeno il 50 % dei descrittori del suolo della parte C.</w:t>
            </w:r>
          </w:p>
        </w:tc>
      </w:tr>
      <w:tr w:rsidR="00E8077D" w:rsidRPr="00B50018" w14:paraId="5A0E6DB1" w14:textId="77777777" w:rsidTr="008D41A0">
        <w:tc>
          <w:tcPr>
            <w:tcW w:w="9715" w:type="dxa"/>
            <w:gridSpan w:val="4"/>
            <w:tcBorders>
              <w:top w:val="single" w:sz="4" w:space="0" w:color="auto"/>
              <w:left w:val="single" w:sz="4" w:space="0" w:color="auto"/>
              <w:bottom w:val="single" w:sz="4" w:space="0" w:color="auto"/>
              <w:right w:val="single" w:sz="4" w:space="0" w:color="auto"/>
            </w:tcBorders>
            <w:hideMark/>
          </w:tcPr>
          <w:p w14:paraId="6708DCE0" w14:textId="77777777" w:rsidR="00E8077D" w:rsidRPr="00B50018" w:rsidRDefault="00E8077D" w:rsidP="008D41A0">
            <w:pPr>
              <w:widowControl/>
              <w:spacing w:before="120"/>
              <w:jc w:val="both"/>
              <w:rPr>
                <w:b/>
                <w:i/>
                <w:sz w:val="22"/>
                <w:szCs w:val="22"/>
              </w:rPr>
            </w:pPr>
            <w:r w:rsidRPr="00B50018">
              <w:rPr>
                <w:b/>
                <w:i/>
                <w:sz w:val="22"/>
              </w:rPr>
              <w:t>Fattori di degradazione</w:t>
            </w:r>
          </w:p>
        </w:tc>
      </w:tr>
      <w:tr w:rsidR="00E8077D" w:rsidRPr="00B50018" w14:paraId="492DF43F" w14:textId="77777777" w:rsidTr="008D41A0">
        <w:tc>
          <w:tcPr>
            <w:tcW w:w="3055" w:type="dxa"/>
            <w:tcBorders>
              <w:top w:val="single" w:sz="4" w:space="0" w:color="auto"/>
              <w:left w:val="single" w:sz="4" w:space="0" w:color="auto"/>
              <w:bottom w:val="single" w:sz="4" w:space="0" w:color="auto"/>
              <w:right w:val="single" w:sz="4" w:space="0" w:color="auto"/>
            </w:tcBorders>
            <w:hideMark/>
          </w:tcPr>
          <w:p w14:paraId="769303DA" w14:textId="77777777" w:rsidR="00E8077D" w:rsidRPr="00B50018" w:rsidRDefault="00E8077D" w:rsidP="008D41A0">
            <w:pPr>
              <w:widowControl/>
              <w:spacing w:before="120"/>
              <w:jc w:val="both"/>
              <w:rPr>
                <w:b/>
                <w:bCs/>
                <w:i/>
              </w:rPr>
            </w:pPr>
            <w:r w:rsidRPr="00B50018">
              <w:rPr>
                <w:b/>
                <w:i/>
                <w:sz w:val="22"/>
              </w:rPr>
              <w:t>Fattore di degradazione</w:t>
            </w:r>
          </w:p>
        </w:tc>
        <w:tc>
          <w:tcPr>
            <w:tcW w:w="2610" w:type="dxa"/>
            <w:tcBorders>
              <w:top w:val="single" w:sz="4" w:space="0" w:color="auto"/>
              <w:left w:val="single" w:sz="4" w:space="0" w:color="auto"/>
              <w:bottom w:val="single" w:sz="4" w:space="0" w:color="auto"/>
              <w:right w:val="single" w:sz="4" w:space="0" w:color="auto"/>
            </w:tcBorders>
            <w:hideMark/>
          </w:tcPr>
          <w:p w14:paraId="0107B943" w14:textId="77777777" w:rsidR="00E8077D" w:rsidRPr="00B50018" w:rsidRDefault="00E8077D" w:rsidP="008D41A0">
            <w:pPr>
              <w:widowControl/>
              <w:spacing w:before="120"/>
              <w:jc w:val="both"/>
              <w:rPr>
                <w:b/>
                <w:i/>
              </w:rPr>
            </w:pPr>
            <w:r w:rsidRPr="00B50018">
              <w:rPr>
                <w:b/>
                <w:i/>
                <w:sz w:val="22"/>
              </w:rPr>
              <w:t>Descrittore del suolo</w:t>
            </w:r>
          </w:p>
        </w:tc>
        <w:tc>
          <w:tcPr>
            <w:tcW w:w="2160" w:type="dxa"/>
            <w:tcBorders>
              <w:top w:val="single" w:sz="4" w:space="0" w:color="auto"/>
              <w:left w:val="single" w:sz="4" w:space="0" w:color="auto"/>
              <w:bottom w:val="single" w:sz="4" w:space="0" w:color="auto"/>
              <w:right w:val="single" w:sz="4" w:space="0" w:color="auto"/>
            </w:tcBorders>
            <w:hideMark/>
          </w:tcPr>
          <w:p w14:paraId="205AE495" w14:textId="77777777" w:rsidR="00E8077D" w:rsidRPr="00B50018" w:rsidRDefault="00E8077D" w:rsidP="008D41A0">
            <w:pPr>
              <w:widowControl/>
              <w:spacing w:before="120"/>
              <w:jc w:val="both"/>
              <w:rPr>
                <w:b/>
                <w:i/>
              </w:rPr>
            </w:pPr>
            <w:r w:rsidRPr="00B50018">
              <w:rPr>
                <w:b/>
                <w:i/>
                <w:sz w:val="22"/>
              </w:rPr>
              <w:t>Eccezioni</w:t>
            </w:r>
          </w:p>
        </w:tc>
        <w:tc>
          <w:tcPr>
            <w:tcW w:w="1890" w:type="dxa"/>
            <w:tcBorders>
              <w:top w:val="single" w:sz="4" w:space="0" w:color="auto"/>
              <w:left w:val="single" w:sz="4" w:space="0" w:color="auto"/>
              <w:bottom w:val="single" w:sz="4" w:space="0" w:color="auto"/>
              <w:right w:val="single" w:sz="4" w:space="0" w:color="auto"/>
            </w:tcBorders>
            <w:hideMark/>
          </w:tcPr>
          <w:p w14:paraId="59FFE62B" w14:textId="77777777" w:rsidR="00E8077D" w:rsidRPr="00B50018" w:rsidRDefault="00E8077D" w:rsidP="008D41A0">
            <w:pPr>
              <w:widowControl/>
              <w:spacing w:before="120"/>
              <w:jc w:val="both"/>
              <w:rPr>
                <w:b/>
                <w:i/>
                <w:sz w:val="22"/>
                <w:szCs w:val="22"/>
              </w:rPr>
            </w:pPr>
            <w:r w:rsidRPr="00B50018">
              <w:rPr>
                <w:b/>
                <w:i/>
                <w:sz w:val="22"/>
              </w:rPr>
              <w:t>Note</w:t>
            </w:r>
          </w:p>
        </w:tc>
      </w:tr>
      <w:tr w:rsidR="00E8077D" w:rsidRPr="00B50018" w14:paraId="2E46426F" w14:textId="77777777" w:rsidTr="008D41A0">
        <w:tc>
          <w:tcPr>
            <w:tcW w:w="3055" w:type="dxa"/>
            <w:tcBorders>
              <w:top w:val="single" w:sz="4" w:space="0" w:color="auto"/>
              <w:left w:val="single" w:sz="4" w:space="0" w:color="auto"/>
              <w:bottom w:val="single" w:sz="4" w:space="0" w:color="auto"/>
              <w:right w:val="single" w:sz="4" w:space="0" w:color="auto"/>
            </w:tcBorders>
            <w:hideMark/>
          </w:tcPr>
          <w:p w14:paraId="02FFF759" w14:textId="77777777" w:rsidR="00E8077D" w:rsidRPr="00B50018" w:rsidRDefault="00E8077D" w:rsidP="008D41A0">
            <w:pPr>
              <w:widowControl/>
              <w:spacing w:before="120"/>
              <w:jc w:val="both"/>
              <w:rPr>
                <w:b/>
                <w:bCs/>
                <w:i/>
              </w:rPr>
            </w:pPr>
            <w:r w:rsidRPr="00B50018">
              <w:rPr>
                <w:b/>
                <w:i/>
                <w:sz w:val="22"/>
              </w:rPr>
              <w:t>Contaminazione del suolo</w:t>
            </w:r>
          </w:p>
        </w:tc>
        <w:tc>
          <w:tcPr>
            <w:tcW w:w="2610" w:type="dxa"/>
            <w:tcBorders>
              <w:top w:val="single" w:sz="4" w:space="0" w:color="auto"/>
              <w:left w:val="single" w:sz="4" w:space="0" w:color="auto"/>
              <w:bottom w:val="single" w:sz="4" w:space="0" w:color="auto"/>
              <w:right w:val="single" w:sz="4" w:space="0" w:color="auto"/>
            </w:tcBorders>
            <w:hideMark/>
          </w:tcPr>
          <w:p w14:paraId="30C0B85F" w14:textId="77777777" w:rsidR="00E8077D" w:rsidRPr="00B50018" w:rsidRDefault="00E8077D" w:rsidP="008D41A0">
            <w:pPr>
              <w:widowControl/>
              <w:spacing w:before="120"/>
              <w:ind w:left="347" w:hanging="360"/>
              <w:contextualSpacing/>
              <w:jc w:val="both"/>
              <w:rPr>
                <w:b/>
                <w:i/>
              </w:rPr>
            </w:pPr>
            <w:r w:rsidRPr="00B50018">
              <w:rPr>
                <w:rFonts w:ascii="Symbol" w:hAnsi="Symbol"/>
              </w:rPr>
              <w:sym w:font="Symbol" w:char="F0B7"/>
            </w:r>
            <w:r w:rsidRPr="00B50018">
              <w:rPr>
                <w:rFonts w:ascii="Symbol" w:hAnsi="Symbol"/>
              </w:rPr>
              <w:tab/>
            </w:r>
            <w:r w:rsidRPr="00B50018">
              <w:rPr>
                <w:b/>
                <w:i/>
                <w:sz w:val="22"/>
              </w:rPr>
              <w:t xml:space="preserve">Concentrazione di microplastiche e </w:t>
            </w:r>
            <w:proofErr w:type="spellStart"/>
            <w:r w:rsidRPr="00B50018">
              <w:rPr>
                <w:b/>
                <w:i/>
                <w:sz w:val="22"/>
              </w:rPr>
              <w:t>nanoplastiche</w:t>
            </w:r>
            <w:proofErr w:type="spellEnd"/>
          </w:p>
        </w:tc>
        <w:tc>
          <w:tcPr>
            <w:tcW w:w="2160" w:type="dxa"/>
            <w:tcBorders>
              <w:top w:val="single" w:sz="4" w:space="0" w:color="auto"/>
              <w:left w:val="single" w:sz="4" w:space="0" w:color="auto"/>
              <w:bottom w:val="single" w:sz="4" w:space="0" w:color="auto"/>
              <w:right w:val="single" w:sz="4" w:space="0" w:color="auto"/>
            </w:tcBorders>
            <w:hideMark/>
          </w:tcPr>
          <w:p w14:paraId="6C6DE057" w14:textId="77777777" w:rsidR="00E8077D" w:rsidRPr="00B50018" w:rsidRDefault="00E8077D" w:rsidP="008D41A0">
            <w:pPr>
              <w:widowControl/>
              <w:spacing w:before="120"/>
              <w:jc w:val="both"/>
              <w:rPr>
                <w:b/>
                <w:i/>
              </w:rPr>
            </w:pPr>
            <w:r w:rsidRPr="00B50018">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14:paraId="4E44538E"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42CDCC34" w14:textId="77777777" w:rsidTr="008D41A0">
        <w:tc>
          <w:tcPr>
            <w:tcW w:w="9715" w:type="dxa"/>
            <w:gridSpan w:val="4"/>
            <w:tcBorders>
              <w:top w:val="single" w:sz="4" w:space="0" w:color="auto"/>
              <w:left w:val="single" w:sz="4" w:space="0" w:color="auto"/>
              <w:bottom w:val="single" w:sz="4" w:space="0" w:color="auto"/>
              <w:right w:val="single" w:sz="4" w:space="0" w:color="auto"/>
            </w:tcBorders>
            <w:hideMark/>
          </w:tcPr>
          <w:p w14:paraId="586F599D" w14:textId="77777777" w:rsidR="00E8077D" w:rsidRPr="00B50018" w:rsidRDefault="00E8077D" w:rsidP="008D41A0">
            <w:pPr>
              <w:widowControl/>
              <w:spacing w:before="120"/>
              <w:jc w:val="both"/>
              <w:rPr>
                <w:b/>
                <w:i/>
                <w:sz w:val="22"/>
                <w:szCs w:val="22"/>
              </w:rPr>
            </w:pPr>
            <w:r w:rsidRPr="00B50018">
              <w:rPr>
                <w:b/>
                <w:i/>
                <w:sz w:val="22"/>
              </w:rPr>
              <w:t>Funzioni ecologiche del suolo</w:t>
            </w:r>
          </w:p>
        </w:tc>
      </w:tr>
      <w:tr w:rsidR="00E8077D" w:rsidRPr="00B50018" w14:paraId="7AEE2163" w14:textId="77777777" w:rsidTr="008D41A0">
        <w:tc>
          <w:tcPr>
            <w:tcW w:w="3055" w:type="dxa"/>
            <w:tcBorders>
              <w:top w:val="single" w:sz="4" w:space="0" w:color="auto"/>
              <w:left w:val="single" w:sz="4" w:space="0" w:color="auto"/>
              <w:bottom w:val="single" w:sz="4" w:space="0" w:color="auto"/>
              <w:right w:val="single" w:sz="4" w:space="0" w:color="auto"/>
            </w:tcBorders>
            <w:hideMark/>
          </w:tcPr>
          <w:p w14:paraId="6C1FBD81" w14:textId="77777777" w:rsidR="00E8077D" w:rsidRPr="00B50018" w:rsidRDefault="00E8077D" w:rsidP="008D41A0">
            <w:pPr>
              <w:widowControl/>
              <w:spacing w:before="120"/>
              <w:jc w:val="both"/>
              <w:rPr>
                <w:b/>
                <w:i/>
                <w:sz w:val="22"/>
                <w:szCs w:val="22"/>
              </w:rPr>
            </w:pPr>
            <w:r w:rsidRPr="00B50018">
              <w:rPr>
                <w:b/>
                <w:i/>
                <w:sz w:val="22"/>
              </w:rPr>
              <w:t>Funzione ecologica</w:t>
            </w:r>
          </w:p>
        </w:tc>
        <w:tc>
          <w:tcPr>
            <w:tcW w:w="2610" w:type="dxa"/>
            <w:tcBorders>
              <w:top w:val="single" w:sz="4" w:space="0" w:color="auto"/>
              <w:left w:val="single" w:sz="4" w:space="0" w:color="auto"/>
              <w:bottom w:val="single" w:sz="4" w:space="0" w:color="auto"/>
              <w:right w:val="single" w:sz="4" w:space="0" w:color="auto"/>
            </w:tcBorders>
            <w:hideMark/>
          </w:tcPr>
          <w:p w14:paraId="18B5FD2B" w14:textId="77777777" w:rsidR="00E8077D" w:rsidRPr="00B50018" w:rsidRDefault="00E8077D" w:rsidP="008D41A0">
            <w:pPr>
              <w:widowControl/>
              <w:spacing w:before="120"/>
              <w:jc w:val="both"/>
              <w:rPr>
                <w:b/>
                <w:i/>
                <w:sz w:val="22"/>
                <w:szCs w:val="22"/>
              </w:rPr>
            </w:pPr>
            <w:r w:rsidRPr="00B50018">
              <w:rPr>
                <w:b/>
                <w:i/>
                <w:sz w:val="22"/>
              </w:rPr>
              <w:t>Descrittore del suolo</w:t>
            </w:r>
          </w:p>
        </w:tc>
        <w:tc>
          <w:tcPr>
            <w:tcW w:w="2160" w:type="dxa"/>
            <w:tcBorders>
              <w:top w:val="single" w:sz="4" w:space="0" w:color="auto"/>
              <w:left w:val="single" w:sz="4" w:space="0" w:color="auto"/>
              <w:bottom w:val="single" w:sz="4" w:space="0" w:color="auto"/>
              <w:right w:val="single" w:sz="4" w:space="0" w:color="auto"/>
            </w:tcBorders>
            <w:hideMark/>
          </w:tcPr>
          <w:p w14:paraId="18BE257A" w14:textId="77777777" w:rsidR="00E8077D" w:rsidRPr="00B50018" w:rsidRDefault="00E8077D" w:rsidP="008D41A0">
            <w:pPr>
              <w:widowControl/>
              <w:spacing w:before="120"/>
              <w:jc w:val="both"/>
              <w:rPr>
                <w:b/>
                <w:i/>
                <w:sz w:val="22"/>
                <w:szCs w:val="22"/>
              </w:rPr>
            </w:pPr>
            <w:r w:rsidRPr="00B50018">
              <w:rPr>
                <w:b/>
                <w:i/>
                <w:sz w:val="22"/>
              </w:rPr>
              <w:t>Eccezioni</w:t>
            </w:r>
          </w:p>
        </w:tc>
        <w:tc>
          <w:tcPr>
            <w:tcW w:w="1890" w:type="dxa"/>
            <w:tcBorders>
              <w:top w:val="single" w:sz="4" w:space="0" w:color="auto"/>
              <w:left w:val="single" w:sz="4" w:space="0" w:color="auto"/>
              <w:bottom w:val="single" w:sz="4" w:space="0" w:color="auto"/>
              <w:right w:val="single" w:sz="4" w:space="0" w:color="auto"/>
            </w:tcBorders>
            <w:hideMark/>
          </w:tcPr>
          <w:p w14:paraId="51B07E67" w14:textId="77777777" w:rsidR="00E8077D" w:rsidRPr="00B50018" w:rsidRDefault="00E8077D" w:rsidP="008D41A0">
            <w:pPr>
              <w:widowControl/>
              <w:spacing w:before="120"/>
              <w:jc w:val="both"/>
              <w:rPr>
                <w:b/>
                <w:bCs/>
                <w:i/>
                <w:iCs/>
                <w:sz w:val="22"/>
                <w:szCs w:val="22"/>
              </w:rPr>
            </w:pPr>
            <w:r w:rsidRPr="00B50018">
              <w:rPr>
                <w:b/>
                <w:i/>
                <w:sz w:val="22"/>
              </w:rPr>
              <w:t>Note</w:t>
            </w:r>
          </w:p>
        </w:tc>
      </w:tr>
      <w:tr w:rsidR="00E8077D" w:rsidRPr="00B50018" w14:paraId="785FE212" w14:textId="77777777" w:rsidTr="008D41A0">
        <w:tc>
          <w:tcPr>
            <w:tcW w:w="3055" w:type="dxa"/>
            <w:tcBorders>
              <w:top w:val="single" w:sz="4" w:space="0" w:color="auto"/>
              <w:left w:val="single" w:sz="4" w:space="0" w:color="auto"/>
              <w:bottom w:val="single" w:sz="4" w:space="0" w:color="auto"/>
              <w:right w:val="single" w:sz="4" w:space="0" w:color="auto"/>
            </w:tcBorders>
            <w:hideMark/>
          </w:tcPr>
          <w:p w14:paraId="1C83C95B" w14:textId="77777777" w:rsidR="00E8077D" w:rsidRPr="00B50018" w:rsidRDefault="00E8077D" w:rsidP="008D41A0">
            <w:pPr>
              <w:widowControl/>
              <w:spacing w:before="120"/>
              <w:jc w:val="both"/>
              <w:rPr>
                <w:b/>
                <w:i/>
                <w:sz w:val="22"/>
                <w:szCs w:val="22"/>
              </w:rPr>
            </w:pPr>
            <w:r w:rsidRPr="00B50018">
              <w:rPr>
                <w:b/>
                <w:i/>
                <w:sz w:val="22"/>
              </w:rPr>
              <w:t>Biomassa del suolo</w:t>
            </w:r>
          </w:p>
        </w:tc>
        <w:tc>
          <w:tcPr>
            <w:tcW w:w="2610" w:type="dxa"/>
            <w:tcBorders>
              <w:top w:val="single" w:sz="4" w:space="0" w:color="auto"/>
              <w:left w:val="single" w:sz="4" w:space="0" w:color="auto"/>
              <w:bottom w:val="single" w:sz="4" w:space="0" w:color="auto"/>
              <w:right w:val="single" w:sz="4" w:space="0" w:color="auto"/>
            </w:tcBorders>
            <w:hideMark/>
          </w:tcPr>
          <w:p w14:paraId="06D05B3D"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Biomassa animale del suolo (per gruppo tassonomico (nematodi e lombrichi); mg di peso fresco (per i nematodi) / secco (per i lombrichi) per g di suolo asciutto)</w:t>
            </w:r>
          </w:p>
          <w:p w14:paraId="0248E8F6"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Biomassa delle radici (mg di peso secco per g peso del suolo asciutto)</w:t>
            </w:r>
          </w:p>
        </w:tc>
        <w:tc>
          <w:tcPr>
            <w:tcW w:w="2160" w:type="dxa"/>
            <w:tcBorders>
              <w:top w:val="single" w:sz="4" w:space="0" w:color="auto"/>
              <w:left w:val="single" w:sz="4" w:space="0" w:color="auto"/>
              <w:bottom w:val="single" w:sz="4" w:space="0" w:color="auto"/>
              <w:right w:val="single" w:sz="4" w:space="0" w:color="auto"/>
            </w:tcBorders>
            <w:hideMark/>
          </w:tcPr>
          <w:p w14:paraId="421DE8E1" w14:textId="77777777" w:rsidR="00E8077D" w:rsidRPr="00B50018" w:rsidRDefault="00E8077D" w:rsidP="008D41A0">
            <w:pPr>
              <w:widowControl/>
              <w:spacing w:before="120"/>
              <w:jc w:val="both"/>
              <w:rPr>
                <w:b/>
                <w:i/>
                <w:sz w:val="22"/>
                <w:szCs w:val="22"/>
              </w:rPr>
            </w:pPr>
            <w:r w:rsidRPr="00B50018">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14:paraId="107BCC78"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30FBAFBF" w14:textId="77777777" w:rsidTr="008D41A0">
        <w:tc>
          <w:tcPr>
            <w:tcW w:w="3055" w:type="dxa"/>
            <w:tcBorders>
              <w:top w:val="single" w:sz="4" w:space="0" w:color="auto"/>
              <w:left w:val="single" w:sz="4" w:space="0" w:color="auto"/>
              <w:bottom w:val="single" w:sz="4" w:space="0" w:color="auto"/>
              <w:right w:val="single" w:sz="4" w:space="0" w:color="auto"/>
            </w:tcBorders>
            <w:hideMark/>
          </w:tcPr>
          <w:p w14:paraId="1170BB83" w14:textId="77777777" w:rsidR="00E8077D" w:rsidRPr="00B50018" w:rsidRDefault="00E8077D" w:rsidP="008D41A0">
            <w:pPr>
              <w:widowControl/>
              <w:spacing w:before="120"/>
              <w:jc w:val="both"/>
              <w:rPr>
                <w:b/>
                <w:i/>
                <w:sz w:val="22"/>
                <w:szCs w:val="22"/>
              </w:rPr>
            </w:pPr>
            <w:r w:rsidRPr="00B50018">
              <w:rPr>
                <w:b/>
                <w:i/>
                <w:sz w:val="22"/>
              </w:rPr>
              <w:t>Caratteristiche delle radici a livello di comunità</w:t>
            </w:r>
          </w:p>
        </w:tc>
        <w:tc>
          <w:tcPr>
            <w:tcW w:w="2610" w:type="dxa"/>
            <w:tcBorders>
              <w:top w:val="single" w:sz="4" w:space="0" w:color="auto"/>
              <w:left w:val="single" w:sz="4" w:space="0" w:color="auto"/>
              <w:bottom w:val="single" w:sz="4" w:space="0" w:color="auto"/>
              <w:right w:val="single" w:sz="4" w:space="0" w:color="auto"/>
            </w:tcBorders>
            <w:hideMark/>
          </w:tcPr>
          <w:p w14:paraId="2CD64484"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Azoto totale presente nelle radici</w:t>
            </w:r>
          </w:p>
          <w:p w14:paraId="330F5113"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Densità di lunghezza delle radici</w:t>
            </w:r>
          </w:p>
          <w:p w14:paraId="6DA60690"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Diametro medio delle radici</w:t>
            </w:r>
          </w:p>
          <w:p w14:paraId="1556B927"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Variazione del diametro delle radici</w:t>
            </w:r>
          </w:p>
          <w:p w14:paraId="3B09C3F1"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Contenuto di sostanza secca delle radici</w:t>
            </w:r>
          </w:p>
        </w:tc>
        <w:tc>
          <w:tcPr>
            <w:tcW w:w="2160" w:type="dxa"/>
            <w:tcBorders>
              <w:top w:val="single" w:sz="4" w:space="0" w:color="auto"/>
              <w:left w:val="single" w:sz="4" w:space="0" w:color="auto"/>
              <w:bottom w:val="single" w:sz="4" w:space="0" w:color="auto"/>
              <w:right w:val="single" w:sz="4" w:space="0" w:color="auto"/>
            </w:tcBorders>
            <w:hideMark/>
          </w:tcPr>
          <w:p w14:paraId="00AEC5ED" w14:textId="77777777" w:rsidR="00E8077D" w:rsidRPr="00B50018" w:rsidRDefault="00E8077D" w:rsidP="008D41A0">
            <w:pPr>
              <w:widowControl/>
              <w:spacing w:before="120"/>
              <w:jc w:val="both"/>
              <w:rPr>
                <w:b/>
                <w:i/>
                <w:sz w:val="22"/>
                <w:szCs w:val="22"/>
              </w:rPr>
            </w:pPr>
            <w:r w:rsidRPr="00B50018">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14:paraId="4BEBD29D"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7DAC386C" w14:textId="77777777" w:rsidTr="008D41A0">
        <w:tc>
          <w:tcPr>
            <w:tcW w:w="7825" w:type="dxa"/>
            <w:gridSpan w:val="3"/>
            <w:tcBorders>
              <w:top w:val="single" w:sz="4" w:space="0" w:color="auto"/>
              <w:left w:val="single" w:sz="4" w:space="0" w:color="auto"/>
              <w:bottom w:val="single" w:sz="4" w:space="0" w:color="auto"/>
              <w:right w:val="single" w:sz="4" w:space="0" w:color="auto"/>
            </w:tcBorders>
            <w:hideMark/>
          </w:tcPr>
          <w:p w14:paraId="4292081B" w14:textId="77777777" w:rsidR="00E8077D" w:rsidRPr="00B50018" w:rsidRDefault="00E8077D" w:rsidP="008D41A0">
            <w:pPr>
              <w:widowControl/>
              <w:spacing w:before="120"/>
              <w:jc w:val="both"/>
              <w:rPr>
                <w:b/>
                <w:i/>
                <w:sz w:val="22"/>
                <w:szCs w:val="22"/>
              </w:rPr>
            </w:pPr>
            <w:r w:rsidRPr="00B50018">
              <w:rPr>
                <w:b/>
                <w:i/>
                <w:sz w:val="22"/>
              </w:rPr>
              <w:t>Biodiversità del suolo</w:t>
            </w:r>
          </w:p>
        </w:tc>
        <w:tc>
          <w:tcPr>
            <w:tcW w:w="1890" w:type="dxa"/>
            <w:tcBorders>
              <w:top w:val="single" w:sz="4" w:space="0" w:color="auto"/>
              <w:left w:val="single" w:sz="4" w:space="0" w:color="auto"/>
              <w:bottom w:val="single" w:sz="4" w:space="0" w:color="auto"/>
              <w:right w:val="single" w:sz="4" w:space="0" w:color="auto"/>
            </w:tcBorders>
          </w:tcPr>
          <w:p w14:paraId="774DC5DA" w14:textId="77777777" w:rsidR="00E8077D" w:rsidRPr="00B50018" w:rsidRDefault="00E8077D" w:rsidP="008D41A0">
            <w:pPr>
              <w:widowControl/>
              <w:spacing w:before="120"/>
              <w:jc w:val="both"/>
              <w:rPr>
                <w:b/>
                <w:bCs/>
                <w:i/>
                <w:sz w:val="22"/>
                <w:szCs w:val="22"/>
                <w:lang w:eastAsia="en-US"/>
              </w:rPr>
            </w:pPr>
          </w:p>
        </w:tc>
      </w:tr>
      <w:tr w:rsidR="00E8077D" w:rsidRPr="00B50018" w14:paraId="38E0EC56" w14:textId="77777777" w:rsidTr="008D41A0">
        <w:tc>
          <w:tcPr>
            <w:tcW w:w="3055" w:type="dxa"/>
            <w:tcBorders>
              <w:top w:val="single" w:sz="4" w:space="0" w:color="auto"/>
              <w:left w:val="single" w:sz="4" w:space="0" w:color="auto"/>
              <w:bottom w:val="single" w:sz="4" w:space="0" w:color="auto"/>
              <w:right w:val="single" w:sz="4" w:space="0" w:color="auto"/>
            </w:tcBorders>
            <w:hideMark/>
          </w:tcPr>
          <w:p w14:paraId="52FD8DBB" w14:textId="77777777" w:rsidR="00E8077D" w:rsidRPr="00B50018" w:rsidRDefault="00E8077D" w:rsidP="008D41A0">
            <w:pPr>
              <w:widowControl/>
              <w:spacing w:before="120"/>
              <w:jc w:val="both"/>
              <w:rPr>
                <w:b/>
                <w:i/>
                <w:sz w:val="22"/>
                <w:szCs w:val="22"/>
              </w:rPr>
            </w:pPr>
            <w:r w:rsidRPr="00B50018">
              <w:rPr>
                <w:b/>
                <w:i/>
                <w:sz w:val="22"/>
              </w:rPr>
              <w:t>Caratteristica della biodiversità del suolo</w:t>
            </w:r>
          </w:p>
        </w:tc>
        <w:tc>
          <w:tcPr>
            <w:tcW w:w="2610" w:type="dxa"/>
            <w:tcBorders>
              <w:top w:val="single" w:sz="4" w:space="0" w:color="auto"/>
              <w:left w:val="single" w:sz="4" w:space="0" w:color="auto"/>
              <w:bottom w:val="single" w:sz="4" w:space="0" w:color="auto"/>
              <w:right w:val="single" w:sz="4" w:space="0" w:color="auto"/>
            </w:tcBorders>
            <w:hideMark/>
          </w:tcPr>
          <w:p w14:paraId="64331A92" w14:textId="77777777" w:rsidR="00E8077D" w:rsidRPr="00B50018" w:rsidRDefault="00E8077D" w:rsidP="008D41A0">
            <w:pPr>
              <w:widowControl/>
              <w:spacing w:before="120"/>
              <w:jc w:val="both"/>
              <w:rPr>
                <w:b/>
                <w:i/>
                <w:sz w:val="22"/>
                <w:szCs w:val="22"/>
              </w:rPr>
            </w:pPr>
            <w:r w:rsidRPr="00B50018">
              <w:rPr>
                <w:b/>
                <w:i/>
                <w:sz w:val="22"/>
              </w:rPr>
              <w:t>Descrittore del suolo</w:t>
            </w:r>
          </w:p>
        </w:tc>
        <w:tc>
          <w:tcPr>
            <w:tcW w:w="2160" w:type="dxa"/>
            <w:tcBorders>
              <w:top w:val="single" w:sz="4" w:space="0" w:color="auto"/>
              <w:left w:val="single" w:sz="4" w:space="0" w:color="auto"/>
              <w:bottom w:val="single" w:sz="4" w:space="0" w:color="auto"/>
              <w:right w:val="single" w:sz="4" w:space="0" w:color="auto"/>
            </w:tcBorders>
            <w:hideMark/>
          </w:tcPr>
          <w:p w14:paraId="178F3280" w14:textId="77777777" w:rsidR="00E8077D" w:rsidRPr="00B50018" w:rsidRDefault="00E8077D" w:rsidP="008D41A0">
            <w:pPr>
              <w:widowControl/>
              <w:spacing w:before="120"/>
              <w:jc w:val="both"/>
              <w:rPr>
                <w:b/>
                <w:i/>
                <w:sz w:val="22"/>
                <w:szCs w:val="22"/>
              </w:rPr>
            </w:pPr>
            <w:r w:rsidRPr="00B50018">
              <w:rPr>
                <w:b/>
                <w:i/>
                <w:sz w:val="22"/>
              </w:rPr>
              <w:t>Eccezioni</w:t>
            </w:r>
          </w:p>
        </w:tc>
        <w:tc>
          <w:tcPr>
            <w:tcW w:w="1890" w:type="dxa"/>
            <w:tcBorders>
              <w:top w:val="single" w:sz="4" w:space="0" w:color="auto"/>
              <w:left w:val="single" w:sz="4" w:space="0" w:color="auto"/>
              <w:bottom w:val="single" w:sz="4" w:space="0" w:color="auto"/>
              <w:right w:val="single" w:sz="4" w:space="0" w:color="auto"/>
            </w:tcBorders>
            <w:hideMark/>
          </w:tcPr>
          <w:p w14:paraId="6B911BB5" w14:textId="77777777" w:rsidR="00E8077D" w:rsidRPr="00B50018" w:rsidRDefault="00E8077D" w:rsidP="008D41A0">
            <w:pPr>
              <w:widowControl/>
              <w:spacing w:before="120"/>
              <w:jc w:val="both"/>
              <w:rPr>
                <w:b/>
                <w:bCs/>
                <w:i/>
                <w:iCs/>
                <w:sz w:val="22"/>
                <w:szCs w:val="22"/>
              </w:rPr>
            </w:pPr>
            <w:r w:rsidRPr="00B50018">
              <w:rPr>
                <w:b/>
                <w:i/>
                <w:sz w:val="22"/>
              </w:rPr>
              <w:t>Note</w:t>
            </w:r>
          </w:p>
        </w:tc>
      </w:tr>
      <w:tr w:rsidR="00E8077D" w:rsidRPr="00B50018" w14:paraId="627F9E24" w14:textId="77777777" w:rsidTr="008D41A0">
        <w:tc>
          <w:tcPr>
            <w:tcW w:w="3055" w:type="dxa"/>
            <w:tcBorders>
              <w:top w:val="single" w:sz="4" w:space="0" w:color="auto"/>
              <w:left w:val="single" w:sz="4" w:space="0" w:color="auto"/>
              <w:bottom w:val="single" w:sz="4" w:space="0" w:color="auto"/>
              <w:right w:val="single" w:sz="4" w:space="0" w:color="auto"/>
            </w:tcBorders>
            <w:hideMark/>
          </w:tcPr>
          <w:p w14:paraId="27D76334" w14:textId="77777777" w:rsidR="00E8077D" w:rsidRPr="00B50018" w:rsidRDefault="00E8077D" w:rsidP="008D41A0">
            <w:pPr>
              <w:widowControl/>
              <w:spacing w:before="120"/>
              <w:jc w:val="both"/>
              <w:rPr>
                <w:b/>
                <w:i/>
                <w:sz w:val="22"/>
                <w:szCs w:val="22"/>
              </w:rPr>
            </w:pPr>
            <w:r w:rsidRPr="00B50018">
              <w:rPr>
                <w:b/>
                <w:i/>
                <w:sz w:val="22"/>
              </w:rPr>
              <w:lastRenderedPageBreak/>
              <w:t>Diversità tassonomica</w:t>
            </w:r>
          </w:p>
        </w:tc>
        <w:tc>
          <w:tcPr>
            <w:tcW w:w="2610" w:type="dxa"/>
            <w:tcBorders>
              <w:top w:val="single" w:sz="4" w:space="0" w:color="auto"/>
              <w:left w:val="single" w:sz="4" w:space="0" w:color="auto"/>
              <w:bottom w:val="single" w:sz="4" w:space="0" w:color="auto"/>
              <w:right w:val="single" w:sz="4" w:space="0" w:color="auto"/>
            </w:tcBorders>
            <w:hideMark/>
          </w:tcPr>
          <w:p w14:paraId="0D059211"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Diversità (ricchezza) degli animali del suolo per gruppo (collemboli e acari)</w:t>
            </w:r>
          </w:p>
          <w:p w14:paraId="29C1574A"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 xml:space="preserve">Presenza di specie </w:t>
            </w:r>
            <w:proofErr w:type="spellStart"/>
            <w:r w:rsidRPr="00B50018">
              <w:rPr>
                <w:b/>
                <w:i/>
                <w:sz w:val="22"/>
              </w:rPr>
              <w:t>esotiche</w:t>
            </w:r>
            <w:proofErr w:type="spellEnd"/>
            <w:r w:rsidRPr="00B50018">
              <w:rPr>
                <w:b/>
                <w:i/>
                <w:sz w:val="22"/>
              </w:rPr>
              <w:t xml:space="preserve"> invasive</w:t>
            </w:r>
          </w:p>
          <w:p w14:paraId="793E85CD"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 xml:space="preserve">Diversità dei virus utilizzando approcci </w:t>
            </w:r>
            <w:proofErr w:type="spellStart"/>
            <w:r w:rsidRPr="00B50018">
              <w:rPr>
                <w:b/>
                <w:i/>
                <w:sz w:val="22"/>
              </w:rPr>
              <w:t>metagenomici</w:t>
            </w:r>
            <w:proofErr w:type="spellEnd"/>
          </w:p>
        </w:tc>
        <w:tc>
          <w:tcPr>
            <w:tcW w:w="2160" w:type="dxa"/>
            <w:tcBorders>
              <w:top w:val="single" w:sz="4" w:space="0" w:color="auto"/>
              <w:left w:val="single" w:sz="4" w:space="0" w:color="auto"/>
              <w:bottom w:val="single" w:sz="4" w:space="0" w:color="auto"/>
              <w:right w:val="single" w:sz="4" w:space="0" w:color="auto"/>
            </w:tcBorders>
            <w:hideMark/>
          </w:tcPr>
          <w:p w14:paraId="6E9FF418" w14:textId="77777777" w:rsidR="00E8077D" w:rsidRPr="00B50018" w:rsidRDefault="00E8077D" w:rsidP="008D41A0">
            <w:pPr>
              <w:widowControl/>
              <w:spacing w:before="120"/>
              <w:jc w:val="both"/>
              <w:rPr>
                <w:b/>
                <w:i/>
                <w:sz w:val="22"/>
                <w:szCs w:val="22"/>
              </w:rPr>
            </w:pPr>
            <w:r w:rsidRPr="00B50018">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14:paraId="096428D8"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2D65D4CE" w14:textId="77777777" w:rsidTr="008D41A0">
        <w:tc>
          <w:tcPr>
            <w:tcW w:w="3055" w:type="dxa"/>
            <w:tcBorders>
              <w:top w:val="single" w:sz="4" w:space="0" w:color="auto"/>
              <w:left w:val="single" w:sz="4" w:space="0" w:color="auto"/>
              <w:bottom w:val="single" w:sz="4" w:space="0" w:color="auto"/>
              <w:right w:val="single" w:sz="4" w:space="0" w:color="auto"/>
            </w:tcBorders>
            <w:hideMark/>
          </w:tcPr>
          <w:p w14:paraId="54E2A358" w14:textId="77777777" w:rsidR="00E8077D" w:rsidRPr="00B50018" w:rsidRDefault="00E8077D" w:rsidP="008D41A0">
            <w:pPr>
              <w:widowControl/>
              <w:spacing w:before="120"/>
              <w:jc w:val="both"/>
              <w:rPr>
                <w:b/>
                <w:i/>
                <w:sz w:val="22"/>
                <w:szCs w:val="22"/>
              </w:rPr>
            </w:pPr>
            <w:r w:rsidRPr="00B50018">
              <w:rPr>
                <w:b/>
                <w:i/>
                <w:sz w:val="22"/>
              </w:rPr>
              <w:t>Abbondanza delle popolazioni</w:t>
            </w:r>
          </w:p>
        </w:tc>
        <w:tc>
          <w:tcPr>
            <w:tcW w:w="2610" w:type="dxa"/>
            <w:tcBorders>
              <w:top w:val="single" w:sz="4" w:space="0" w:color="auto"/>
              <w:left w:val="single" w:sz="4" w:space="0" w:color="auto"/>
              <w:bottom w:val="single" w:sz="4" w:space="0" w:color="auto"/>
              <w:right w:val="single" w:sz="4" w:space="0" w:color="auto"/>
            </w:tcBorders>
            <w:hideMark/>
          </w:tcPr>
          <w:p w14:paraId="15A13FC3" w14:textId="77777777" w:rsidR="00E8077D" w:rsidRPr="00B50018" w:rsidRDefault="00E8077D" w:rsidP="008D41A0">
            <w:pPr>
              <w:widowControl/>
              <w:spacing w:before="120"/>
              <w:ind w:left="347" w:hanging="360"/>
              <w:contextualSpacing/>
              <w:jc w:val="both"/>
              <w:rPr>
                <w:b/>
                <w:i/>
                <w:sz w:val="22"/>
                <w:szCs w:val="22"/>
              </w:rPr>
            </w:pPr>
            <w:r w:rsidRPr="00B50018">
              <w:rPr>
                <w:rFonts w:ascii="Symbol" w:hAnsi="Symbol"/>
                <w:sz w:val="22"/>
              </w:rPr>
              <w:sym w:font="Symbol" w:char="F0B7"/>
            </w:r>
            <w:r w:rsidRPr="00B50018">
              <w:rPr>
                <w:rFonts w:ascii="Symbol" w:hAnsi="Symbol"/>
                <w:sz w:val="22"/>
              </w:rPr>
              <w:tab/>
            </w:r>
            <w:r w:rsidRPr="00B50018">
              <w:rPr>
                <w:b/>
                <w:i/>
                <w:sz w:val="22"/>
              </w:rPr>
              <w:t xml:space="preserve">Abbondanza totale degli animali del suolo per </w:t>
            </w:r>
            <w:proofErr w:type="spellStart"/>
            <w:r w:rsidRPr="00B50018">
              <w:rPr>
                <w:b/>
                <w:i/>
                <w:sz w:val="22"/>
              </w:rPr>
              <w:t>taxon</w:t>
            </w:r>
            <w:proofErr w:type="spellEnd"/>
            <w:r w:rsidRPr="00B50018">
              <w:rPr>
                <w:b/>
                <w:i/>
                <w:sz w:val="22"/>
              </w:rPr>
              <w:t xml:space="preserve"> (nematodi e lombrichi)</w:t>
            </w:r>
          </w:p>
        </w:tc>
        <w:tc>
          <w:tcPr>
            <w:tcW w:w="2160" w:type="dxa"/>
            <w:tcBorders>
              <w:top w:val="single" w:sz="4" w:space="0" w:color="auto"/>
              <w:left w:val="single" w:sz="4" w:space="0" w:color="auto"/>
              <w:bottom w:val="single" w:sz="4" w:space="0" w:color="auto"/>
              <w:right w:val="single" w:sz="4" w:space="0" w:color="auto"/>
            </w:tcBorders>
            <w:hideMark/>
          </w:tcPr>
          <w:p w14:paraId="6617D8AE" w14:textId="77777777" w:rsidR="00E8077D" w:rsidRPr="00B50018" w:rsidRDefault="00E8077D" w:rsidP="008D41A0">
            <w:pPr>
              <w:widowControl/>
              <w:spacing w:before="120"/>
              <w:jc w:val="both"/>
              <w:rPr>
                <w:b/>
                <w:i/>
                <w:sz w:val="22"/>
                <w:szCs w:val="22"/>
              </w:rPr>
            </w:pPr>
            <w:r w:rsidRPr="00B50018">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14:paraId="3BE077EF" w14:textId="77777777" w:rsidR="00E8077D" w:rsidRPr="00B50018" w:rsidRDefault="00E8077D" w:rsidP="008D41A0">
            <w:pPr>
              <w:widowControl/>
              <w:spacing w:before="120"/>
              <w:jc w:val="both"/>
              <w:rPr>
                <w:b/>
                <w:i/>
                <w:sz w:val="22"/>
                <w:szCs w:val="22"/>
              </w:rPr>
            </w:pPr>
            <w:r w:rsidRPr="00B50018">
              <w:rPr>
                <w:b/>
                <w:i/>
                <w:sz w:val="22"/>
              </w:rPr>
              <w:t>Da effettuare per lo strato superficiale (0-10 cm, 10-30 cm (opzionale))</w:t>
            </w:r>
          </w:p>
        </w:tc>
      </w:tr>
      <w:tr w:rsidR="00E8077D" w:rsidRPr="00B50018" w14:paraId="75574FF3" w14:textId="77777777" w:rsidTr="008D41A0">
        <w:tc>
          <w:tcPr>
            <w:tcW w:w="9715" w:type="dxa"/>
            <w:gridSpan w:val="4"/>
            <w:tcBorders>
              <w:top w:val="single" w:sz="4" w:space="0" w:color="auto"/>
              <w:left w:val="single" w:sz="4" w:space="0" w:color="auto"/>
              <w:bottom w:val="single" w:sz="4" w:space="0" w:color="auto"/>
              <w:right w:val="single" w:sz="4" w:space="0" w:color="auto"/>
            </w:tcBorders>
            <w:hideMark/>
          </w:tcPr>
          <w:p w14:paraId="36A1B987" w14:textId="77777777" w:rsidR="00E8077D" w:rsidRPr="00B50018" w:rsidRDefault="00E8077D" w:rsidP="008D41A0">
            <w:pPr>
              <w:widowControl/>
              <w:spacing w:before="120"/>
              <w:jc w:val="both"/>
              <w:rPr>
                <w:b/>
                <w:i/>
                <w:sz w:val="22"/>
                <w:szCs w:val="22"/>
              </w:rPr>
            </w:pPr>
            <w:r w:rsidRPr="00B50018">
              <w:rPr>
                <w:b/>
                <w:i/>
                <w:sz w:val="22"/>
              </w:rPr>
              <w:t>Habitat del suolo</w:t>
            </w:r>
          </w:p>
        </w:tc>
      </w:tr>
      <w:tr w:rsidR="00E8077D" w:rsidRPr="00B50018" w14:paraId="1EB0CEDC" w14:textId="77777777" w:rsidTr="008D41A0">
        <w:tc>
          <w:tcPr>
            <w:tcW w:w="3055" w:type="dxa"/>
            <w:tcBorders>
              <w:top w:val="single" w:sz="4" w:space="0" w:color="auto"/>
              <w:left w:val="single" w:sz="4" w:space="0" w:color="auto"/>
              <w:bottom w:val="single" w:sz="4" w:space="0" w:color="auto"/>
              <w:right w:val="single" w:sz="4" w:space="0" w:color="auto"/>
            </w:tcBorders>
            <w:hideMark/>
          </w:tcPr>
          <w:p w14:paraId="31A30A4D" w14:textId="77777777" w:rsidR="00E8077D" w:rsidRPr="00B50018" w:rsidRDefault="00E8077D" w:rsidP="008D41A0">
            <w:pPr>
              <w:widowControl/>
              <w:spacing w:before="120"/>
              <w:jc w:val="both"/>
              <w:rPr>
                <w:b/>
                <w:i/>
                <w:sz w:val="22"/>
                <w:szCs w:val="22"/>
              </w:rPr>
            </w:pPr>
            <w:r w:rsidRPr="00B50018">
              <w:rPr>
                <w:b/>
                <w:i/>
                <w:sz w:val="22"/>
              </w:rPr>
              <w:t>Caratteristica dell'habitat del suolo</w:t>
            </w:r>
          </w:p>
        </w:tc>
        <w:tc>
          <w:tcPr>
            <w:tcW w:w="2610" w:type="dxa"/>
            <w:tcBorders>
              <w:top w:val="single" w:sz="4" w:space="0" w:color="auto"/>
              <w:left w:val="single" w:sz="4" w:space="0" w:color="auto"/>
              <w:bottom w:val="single" w:sz="4" w:space="0" w:color="auto"/>
              <w:right w:val="single" w:sz="4" w:space="0" w:color="auto"/>
            </w:tcBorders>
            <w:hideMark/>
          </w:tcPr>
          <w:p w14:paraId="56CEEA89" w14:textId="77777777" w:rsidR="00E8077D" w:rsidRPr="00B50018" w:rsidRDefault="00E8077D" w:rsidP="008D41A0">
            <w:pPr>
              <w:widowControl/>
              <w:spacing w:before="120"/>
              <w:jc w:val="both"/>
              <w:rPr>
                <w:b/>
                <w:i/>
                <w:sz w:val="22"/>
                <w:szCs w:val="22"/>
              </w:rPr>
            </w:pPr>
            <w:r w:rsidRPr="00B50018">
              <w:rPr>
                <w:b/>
                <w:i/>
                <w:sz w:val="22"/>
              </w:rPr>
              <w:t>Descrittore del suolo</w:t>
            </w:r>
          </w:p>
        </w:tc>
        <w:tc>
          <w:tcPr>
            <w:tcW w:w="2160" w:type="dxa"/>
            <w:tcBorders>
              <w:top w:val="single" w:sz="4" w:space="0" w:color="auto"/>
              <w:left w:val="single" w:sz="4" w:space="0" w:color="auto"/>
              <w:bottom w:val="single" w:sz="4" w:space="0" w:color="auto"/>
              <w:right w:val="single" w:sz="4" w:space="0" w:color="auto"/>
            </w:tcBorders>
            <w:hideMark/>
          </w:tcPr>
          <w:p w14:paraId="5B087D4F" w14:textId="77777777" w:rsidR="00E8077D" w:rsidRPr="00B50018" w:rsidRDefault="00E8077D" w:rsidP="008D41A0">
            <w:pPr>
              <w:widowControl/>
              <w:spacing w:before="120"/>
              <w:jc w:val="both"/>
              <w:rPr>
                <w:b/>
                <w:i/>
                <w:sz w:val="22"/>
                <w:szCs w:val="22"/>
              </w:rPr>
            </w:pPr>
            <w:r w:rsidRPr="00B50018">
              <w:rPr>
                <w:b/>
                <w:i/>
                <w:sz w:val="22"/>
              </w:rPr>
              <w:t>Eccezioni</w:t>
            </w:r>
          </w:p>
        </w:tc>
        <w:tc>
          <w:tcPr>
            <w:tcW w:w="1890" w:type="dxa"/>
            <w:tcBorders>
              <w:top w:val="single" w:sz="4" w:space="0" w:color="auto"/>
              <w:left w:val="single" w:sz="4" w:space="0" w:color="auto"/>
              <w:bottom w:val="single" w:sz="4" w:space="0" w:color="auto"/>
              <w:right w:val="single" w:sz="4" w:space="0" w:color="auto"/>
            </w:tcBorders>
            <w:hideMark/>
          </w:tcPr>
          <w:p w14:paraId="6FBC1CFB" w14:textId="77777777" w:rsidR="00E8077D" w:rsidRPr="00B50018" w:rsidRDefault="00E8077D" w:rsidP="008D41A0">
            <w:pPr>
              <w:widowControl/>
              <w:spacing w:before="120"/>
              <w:jc w:val="both"/>
              <w:rPr>
                <w:b/>
                <w:bCs/>
                <w:i/>
                <w:iCs/>
                <w:sz w:val="22"/>
                <w:szCs w:val="22"/>
              </w:rPr>
            </w:pPr>
            <w:r w:rsidRPr="00B50018">
              <w:rPr>
                <w:b/>
                <w:i/>
                <w:sz w:val="22"/>
              </w:rPr>
              <w:t>Note</w:t>
            </w:r>
          </w:p>
        </w:tc>
      </w:tr>
    </w:tbl>
    <w:p w14:paraId="1541F4A0" w14:textId="77777777" w:rsidR="00E8077D" w:rsidRPr="006D1073" w:rsidRDefault="00E8077D" w:rsidP="00E8077D">
      <w:pPr>
        <w:widowControl/>
        <w:spacing w:before="120" w:after="120"/>
        <w:jc w:val="right"/>
        <w:rPr>
          <w:rFonts w:eastAsia="Calibri"/>
          <w:b/>
          <w:iCs/>
          <w:noProof/>
          <w:szCs w:val="22"/>
          <w:lang w:val="en-IE" w:eastAsia="en-US"/>
        </w:rPr>
      </w:pPr>
      <w:r>
        <w:rPr>
          <w:rFonts w:eastAsia="Calibri"/>
          <w:b/>
          <w:iCs/>
          <w:noProof/>
          <w:szCs w:val="22"/>
          <w:lang w:val="en-IE" w:eastAsia="en-US"/>
        </w:rPr>
        <w:t>[Am. 200]</w:t>
      </w:r>
    </w:p>
    <w:tbl>
      <w:tblPr>
        <w:tblStyle w:val="TableGrid1"/>
        <w:tblW w:w="9606" w:type="dxa"/>
        <w:tblLook w:val="04A0" w:firstRow="1" w:lastRow="0" w:firstColumn="1" w:lastColumn="0" w:noHBand="0" w:noVBand="1"/>
      </w:tblPr>
      <w:tblGrid>
        <w:gridCol w:w="2518"/>
        <w:gridCol w:w="7088"/>
      </w:tblGrid>
      <w:tr w:rsidR="008D196E" w:rsidRPr="00E8077D" w14:paraId="4D4FCCAD" w14:textId="77777777" w:rsidTr="008D196E">
        <w:tc>
          <w:tcPr>
            <w:tcW w:w="9606" w:type="dxa"/>
            <w:gridSpan w:val="2"/>
            <w:tcBorders>
              <w:top w:val="single" w:sz="4" w:space="0" w:color="auto"/>
              <w:left w:val="single" w:sz="4" w:space="0" w:color="auto"/>
              <w:bottom w:val="single" w:sz="4" w:space="0" w:color="auto"/>
              <w:right w:val="single" w:sz="4" w:space="0" w:color="auto"/>
            </w:tcBorders>
            <w:hideMark/>
          </w:tcPr>
          <w:p w14:paraId="2799AB5D" w14:textId="77777777" w:rsidR="008D196E" w:rsidRPr="00E8077D" w:rsidRDefault="008D196E" w:rsidP="008D196E">
            <w:pPr>
              <w:widowControl/>
              <w:spacing w:before="120" w:after="120"/>
              <w:rPr>
                <w:rFonts w:ascii="Times New Roman" w:hAnsi="Times New Roman" w:cs="Times New Roman"/>
                <w:b/>
                <w:bCs/>
                <w:noProof/>
              </w:rPr>
            </w:pPr>
            <w:r w:rsidRPr="00E8077D">
              <w:rPr>
                <w:rFonts w:ascii="Times New Roman" w:hAnsi="Times New Roman" w:cs="Times New Roman"/>
                <w:b/>
                <w:i/>
                <w:noProof/>
              </w:rPr>
              <w:t>Parte D: indicatori del consumo di suolo e dell'impermeabilizzazione del suolo</w:t>
            </w:r>
          </w:p>
        </w:tc>
      </w:tr>
      <w:tr w:rsidR="008D196E" w:rsidRPr="00E8077D" w14:paraId="3428EB18" w14:textId="77777777" w:rsidTr="008D196E">
        <w:tc>
          <w:tcPr>
            <w:tcW w:w="2518" w:type="dxa"/>
            <w:tcBorders>
              <w:top w:val="single" w:sz="4" w:space="0" w:color="auto"/>
              <w:left w:val="single" w:sz="4" w:space="0" w:color="auto"/>
              <w:bottom w:val="single" w:sz="4" w:space="0" w:color="auto"/>
              <w:right w:val="single" w:sz="4" w:space="0" w:color="auto"/>
            </w:tcBorders>
            <w:hideMark/>
          </w:tcPr>
          <w:p w14:paraId="096BE40A" w14:textId="77777777" w:rsidR="008D196E" w:rsidRPr="00E8077D" w:rsidRDefault="008D196E" w:rsidP="008D196E">
            <w:pPr>
              <w:widowControl/>
              <w:spacing w:before="120" w:after="120"/>
              <w:rPr>
                <w:rFonts w:ascii="Times New Roman" w:hAnsi="Times New Roman" w:cs="Times New Roman"/>
                <w:b/>
                <w:bCs/>
                <w:noProof/>
              </w:rPr>
            </w:pPr>
            <w:r w:rsidRPr="00E8077D">
              <w:rPr>
                <w:rFonts w:ascii="Times New Roman" w:hAnsi="Times New Roman" w:cs="Times New Roman"/>
                <w:b/>
                <w:noProof/>
              </w:rPr>
              <w:t>Tipo di degrado del suolo</w:t>
            </w:r>
          </w:p>
        </w:tc>
        <w:tc>
          <w:tcPr>
            <w:tcW w:w="7088" w:type="dxa"/>
            <w:tcBorders>
              <w:top w:val="single" w:sz="4" w:space="0" w:color="auto"/>
              <w:left w:val="single" w:sz="4" w:space="0" w:color="auto"/>
              <w:bottom w:val="single" w:sz="4" w:space="0" w:color="auto"/>
              <w:right w:val="single" w:sz="4" w:space="0" w:color="auto"/>
            </w:tcBorders>
            <w:hideMark/>
          </w:tcPr>
          <w:p w14:paraId="0B180949" w14:textId="77777777" w:rsidR="008D196E" w:rsidRPr="00E8077D" w:rsidRDefault="008D196E" w:rsidP="008D196E">
            <w:pPr>
              <w:widowControl/>
              <w:spacing w:before="120" w:after="120"/>
              <w:rPr>
                <w:rFonts w:ascii="Times New Roman" w:hAnsi="Times New Roman" w:cs="Times New Roman"/>
                <w:bCs/>
                <w:noProof/>
              </w:rPr>
            </w:pPr>
            <w:r w:rsidRPr="00E8077D">
              <w:rPr>
                <w:rFonts w:ascii="Times New Roman" w:hAnsi="Times New Roman" w:cs="Times New Roman"/>
                <w:b/>
                <w:noProof/>
              </w:rPr>
              <w:t>Indicatori del consumo di suolo e dell'impermeabilizzazione del suolo</w:t>
            </w:r>
          </w:p>
        </w:tc>
      </w:tr>
      <w:tr w:rsidR="008D196E" w:rsidRPr="00E8077D" w14:paraId="5875E7FA" w14:textId="77777777" w:rsidTr="008D196E">
        <w:tc>
          <w:tcPr>
            <w:tcW w:w="2518" w:type="dxa"/>
            <w:tcBorders>
              <w:top w:val="single" w:sz="4" w:space="0" w:color="auto"/>
              <w:left w:val="single" w:sz="4" w:space="0" w:color="auto"/>
              <w:bottom w:val="single" w:sz="4" w:space="0" w:color="auto"/>
              <w:right w:val="single" w:sz="4" w:space="0" w:color="auto"/>
            </w:tcBorders>
            <w:hideMark/>
          </w:tcPr>
          <w:p w14:paraId="20CFCCB1" w14:textId="77777777" w:rsidR="008D196E" w:rsidRPr="00E8077D" w:rsidRDefault="008D196E" w:rsidP="008D196E">
            <w:pPr>
              <w:widowControl/>
              <w:spacing w:before="120" w:after="120"/>
              <w:rPr>
                <w:rFonts w:ascii="Times New Roman" w:hAnsi="Times New Roman" w:cs="Times New Roman"/>
                <w:bCs/>
                <w:noProof/>
              </w:rPr>
            </w:pPr>
            <w:r w:rsidRPr="00E8077D">
              <w:rPr>
                <w:rFonts w:ascii="Times New Roman" w:hAnsi="Times New Roman" w:cs="Times New Roman"/>
                <w:noProof/>
              </w:rPr>
              <w:t>Consumo di suolo e impermeabilizzazione del suolo</w:t>
            </w:r>
          </w:p>
        </w:tc>
        <w:tc>
          <w:tcPr>
            <w:tcW w:w="7088" w:type="dxa"/>
            <w:tcBorders>
              <w:top w:val="single" w:sz="4" w:space="0" w:color="auto"/>
              <w:left w:val="single" w:sz="4" w:space="0" w:color="auto"/>
              <w:bottom w:val="single" w:sz="4" w:space="0" w:color="auto"/>
              <w:right w:val="single" w:sz="4" w:space="0" w:color="auto"/>
            </w:tcBorders>
          </w:tcPr>
          <w:p w14:paraId="5EEC5507" w14:textId="77777777" w:rsidR="008D196E" w:rsidRPr="00E8077D" w:rsidRDefault="008D196E" w:rsidP="008D196E">
            <w:pPr>
              <w:widowControl/>
              <w:spacing w:before="120" w:after="120"/>
              <w:rPr>
                <w:rFonts w:ascii="Times New Roman" w:hAnsi="Times New Roman" w:cs="Times New Roman"/>
                <w:bCs/>
                <w:noProof/>
              </w:rPr>
            </w:pPr>
            <w:r w:rsidRPr="00E8077D">
              <w:rPr>
                <w:rFonts w:ascii="Times New Roman" w:hAnsi="Times New Roman" w:cs="Times New Roman"/>
                <w:noProof/>
              </w:rPr>
              <w:t>Terreno artificiale totale (km² e % di superficie dello Stato membro)</w:t>
            </w:r>
          </w:p>
          <w:p w14:paraId="2B86C642" w14:textId="77777777" w:rsidR="008D196E" w:rsidRPr="00E8077D" w:rsidRDefault="008D196E" w:rsidP="008D196E">
            <w:pPr>
              <w:widowControl/>
              <w:spacing w:before="120" w:after="120"/>
              <w:rPr>
                <w:rFonts w:ascii="Times New Roman" w:hAnsi="Times New Roman" w:cs="Times New Roman"/>
                <w:bCs/>
                <w:noProof/>
              </w:rPr>
            </w:pPr>
            <w:r w:rsidRPr="00E8077D">
              <w:rPr>
                <w:rFonts w:ascii="Times New Roman" w:hAnsi="Times New Roman" w:cs="Times New Roman"/>
                <w:noProof/>
              </w:rPr>
              <w:t>Consumo, consumo inverso e consumo netto di suolo (media annua — in km² e % della superficie dello Stato membro)</w:t>
            </w:r>
          </w:p>
          <w:p w14:paraId="6C70AE36" w14:textId="77777777" w:rsidR="008D196E" w:rsidRPr="00E8077D" w:rsidRDefault="008D196E" w:rsidP="008D196E">
            <w:pPr>
              <w:widowControl/>
              <w:spacing w:before="120" w:after="120"/>
              <w:rPr>
                <w:rFonts w:ascii="Times New Roman" w:hAnsi="Times New Roman" w:cs="Times New Roman"/>
                <w:bCs/>
                <w:noProof/>
              </w:rPr>
            </w:pPr>
            <w:r w:rsidRPr="00E8077D">
              <w:rPr>
                <w:rFonts w:ascii="Times New Roman" w:hAnsi="Times New Roman" w:cs="Times New Roman"/>
                <w:noProof/>
              </w:rPr>
              <w:t>Impermeabilizzazione del suolo (totale km² e % di superficie dello Stato membro)</w:t>
            </w:r>
          </w:p>
          <w:p w14:paraId="39D83E76" w14:textId="77777777" w:rsidR="008D196E" w:rsidRPr="00E8077D" w:rsidRDefault="008D196E" w:rsidP="008D196E">
            <w:pPr>
              <w:widowControl/>
              <w:spacing w:before="120" w:after="120"/>
              <w:rPr>
                <w:rFonts w:ascii="Times New Roman" w:hAnsi="Times New Roman" w:cs="Times New Roman"/>
                <w:noProof/>
              </w:rPr>
            </w:pPr>
          </w:p>
          <w:p w14:paraId="37E0FDA0" w14:textId="77777777" w:rsidR="008D196E" w:rsidRPr="00E8077D" w:rsidRDefault="008D196E" w:rsidP="008D196E">
            <w:pPr>
              <w:widowControl/>
              <w:spacing w:before="120" w:after="120"/>
              <w:rPr>
                <w:rFonts w:ascii="Times New Roman" w:hAnsi="Times New Roman" w:cs="Times New Roman"/>
                <w:noProof/>
              </w:rPr>
            </w:pPr>
            <w:r w:rsidRPr="00E8077D">
              <w:rPr>
                <w:rFonts w:ascii="Times New Roman" w:hAnsi="Times New Roman" w:cs="Times New Roman"/>
                <w:noProof/>
              </w:rPr>
              <w:t xml:space="preserve">Gli Stati membri possono misurare altri indicatori facoltativi correlati, quali: </w:t>
            </w:r>
          </w:p>
          <w:p w14:paraId="4D6EA4E9" w14:textId="77777777" w:rsidR="008D196E" w:rsidRPr="00E8077D" w:rsidRDefault="008D196E" w:rsidP="008D196E">
            <w:pPr>
              <w:widowControl/>
              <w:spacing w:before="120" w:after="120"/>
              <w:rPr>
                <w:rFonts w:ascii="Times New Roman" w:hAnsi="Times New Roman" w:cs="Times New Roman"/>
                <w:noProof/>
              </w:rPr>
            </w:pPr>
            <w:r w:rsidRPr="00E8077D">
              <w:rPr>
                <w:rFonts w:ascii="Times New Roman" w:hAnsi="Times New Roman" w:cs="Times New Roman"/>
                <w:noProof/>
              </w:rPr>
              <w:t xml:space="preserve">- frammentazione del territorio </w:t>
            </w:r>
          </w:p>
          <w:p w14:paraId="28B96AEB" w14:textId="77777777" w:rsidR="008D196E" w:rsidRPr="00E8077D" w:rsidRDefault="008D196E" w:rsidP="008D196E">
            <w:pPr>
              <w:widowControl/>
              <w:spacing w:before="120" w:after="360"/>
              <w:rPr>
                <w:rFonts w:ascii="Times New Roman" w:hAnsi="Times New Roman" w:cs="Times New Roman"/>
                <w:noProof/>
              </w:rPr>
            </w:pPr>
            <w:r w:rsidRPr="00E8077D">
              <w:rPr>
                <w:rFonts w:ascii="Times New Roman" w:hAnsi="Times New Roman" w:cs="Times New Roman"/>
                <w:noProof/>
              </w:rPr>
              <w:t xml:space="preserve">- tasso di riciclo dei terreni </w:t>
            </w:r>
          </w:p>
          <w:p w14:paraId="6C477EE7" w14:textId="77777777" w:rsidR="008D196E" w:rsidRPr="00E8077D" w:rsidRDefault="008D196E" w:rsidP="008D196E">
            <w:pPr>
              <w:widowControl/>
              <w:spacing w:before="120" w:after="120"/>
              <w:rPr>
                <w:rFonts w:ascii="Times New Roman" w:hAnsi="Times New Roman" w:cs="Times New Roman"/>
                <w:noProof/>
              </w:rPr>
            </w:pPr>
            <w:r w:rsidRPr="00E8077D">
              <w:rPr>
                <w:rFonts w:ascii="Times New Roman" w:hAnsi="Times New Roman" w:cs="Times New Roman"/>
                <w:noProof/>
              </w:rPr>
              <w:t>- terreni sfruttati per attività commerciali, poli logistici, energie rinnovabili, superfici quali aeroporti, strade, miniere</w:t>
            </w:r>
          </w:p>
          <w:p w14:paraId="0DDC5357" w14:textId="77777777" w:rsidR="008D196E" w:rsidRPr="00E8077D" w:rsidRDefault="008D196E" w:rsidP="008D196E">
            <w:pPr>
              <w:widowControl/>
              <w:spacing w:before="120" w:after="120"/>
              <w:rPr>
                <w:rFonts w:ascii="Times New Roman" w:hAnsi="Times New Roman" w:cs="Times New Roman"/>
                <w:noProof/>
              </w:rPr>
            </w:pPr>
            <w:r w:rsidRPr="00E8077D">
              <w:rPr>
                <w:rFonts w:ascii="Times New Roman" w:hAnsi="Times New Roman" w:cs="Times New Roman"/>
                <w:noProof/>
              </w:rPr>
              <w:t xml:space="preserve"> - conseguenze del consumo di suolo, quali la quantificazione della perdita di servizi ecosistemici, cambiamenti nell'intensità delle inondazioni</w:t>
            </w:r>
          </w:p>
        </w:tc>
      </w:tr>
    </w:tbl>
    <w:p w14:paraId="3E514494" w14:textId="77777777" w:rsidR="008D196E" w:rsidRPr="008D196E" w:rsidRDefault="008D196E" w:rsidP="008D196E">
      <w:pPr>
        <w:widowControl/>
        <w:spacing w:before="120" w:after="120"/>
        <w:jc w:val="both"/>
        <w:rPr>
          <w:rFonts w:eastAsia="Calibri"/>
          <w:noProof/>
          <w:szCs w:val="22"/>
          <w:lang w:eastAsia="en-US"/>
        </w:rPr>
        <w:sectPr w:rsidR="008D196E" w:rsidRPr="008D196E" w:rsidSect="008D196E">
          <w:footerReference w:type="default" r:id="rId12"/>
          <w:footerReference w:type="first" r:id="rId13"/>
          <w:pgSz w:w="11907" w:h="16839"/>
          <w:pgMar w:top="1134" w:right="1417" w:bottom="1134" w:left="1417" w:header="709" w:footer="709" w:gutter="0"/>
          <w:cols w:space="720"/>
          <w:docGrid w:linePitch="360"/>
        </w:sectPr>
      </w:pPr>
    </w:p>
    <w:p w14:paraId="4EC0A4AD" w14:textId="77777777" w:rsidR="008D196E" w:rsidRPr="008D196E" w:rsidRDefault="008D196E" w:rsidP="008D196E">
      <w:pPr>
        <w:widowControl/>
        <w:spacing w:before="120" w:after="120"/>
        <w:jc w:val="center"/>
        <w:rPr>
          <w:rFonts w:eastAsia="Calibri"/>
          <w:b/>
          <w:noProof/>
          <w:color w:val="0000FF"/>
          <w:szCs w:val="22"/>
          <w:u w:val="single"/>
          <w:lang w:eastAsia="en-US"/>
        </w:rPr>
      </w:pPr>
      <w:r w:rsidRPr="008D196E">
        <w:rPr>
          <w:rFonts w:eastAsia="Calibri"/>
          <w:b/>
          <w:noProof/>
          <w:szCs w:val="22"/>
          <w:u w:val="single"/>
          <w:lang w:eastAsia="en-US"/>
        </w:rPr>
        <w:lastRenderedPageBreak/>
        <w:t>ALLEGATO II</w:t>
      </w:r>
      <w:r w:rsidRPr="008D196E">
        <w:rPr>
          <w:rFonts w:eastAsia="Calibri"/>
          <w:b/>
          <w:noProof/>
          <w:szCs w:val="22"/>
          <w:u w:val="single"/>
          <w:lang w:eastAsia="en-US"/>
        </w:rPr>
        <w:br/>
      </w:r>
      <w:r w:rsidRPr="008D196E">
        <w:rPr>
          <w:rFonts w:eastAsia="Calibri"/>
          <w:b/>
          <w:noProof/>
          <w:szCs w:val="22"/>
          <w:u w:val="single"/>
          <w:lang w:eastAsia="en-US"/>
        </w:rPr>
        <w:br/>
        <w:t xml:space="preserve">METODOLOGIE </w:t>
      </w:r>
    </w:p>
    <w:p w14:paraId="4F7A628E" w14:textId="77777777" w:rsidR="008D196E" w:rsidRPr="008D196E" w:rsidRDefault="008D196E" w:rsidP="008D196E">
      <w:pPr>
        <w:widowControl/>
        <w:spacing w:before="120" w:after="120"/>
        <w:jc w:val="both"/>
        <w:rPr>
          <w:rFonts w:eastAsia="Calibri"/>
          <w:noProof/>
          <w:szCs w:val="22"/>
          <w:lang w:eastAsia="en-US"/>
        </w:rPr>
      </w:pPr>
    </w:p>
    <w:p w14:paraId="2523B608" w14:textId="77777777" w:rsidR="008D196E" w:rsidRPr="00EA72A8" w:rsidRDefault="008D196E" w:rsidP="008D196E">
      <w:pPr>
        <w:widowControl/>
        <w:spacing w:before="120" w:after="120"/>
        <w:jc w:val="both"/>
        <w:rPr>
          <w:rFonts w:eastAsia="Calibri"/>
          <w:strike/>
          <w:noProof/>
          <w:szCs w:val="22"/>
          <w:lang w:eastAsia="en-US"/>
        </w:rPr>
      </w:pPr>
      <w:r w:rsidRPr="00EA72A8">
        <w:rPr>
          <w:rFonts w:eastAsia="Calibri"/>
          <w:strike/>
          <w:noProof/>
          <w:szCs w:val="22"/>
          <w:lang w:eastAsia="en-US"/>
        </w:rPr>
        <w:t>Parte A: metodologia per determinare i punti di campionamento</w:t>
      </w:r>
    </w:p>
    <w:tbl>
      <w:tblPr>
        <w:tblStyle w:val="TableGrid1"/>
        <w:tblW w:w="9322" w:type="dxa"/>
        <w:tblLook w:val="04A0" w:firstRow="1" w:lastRow="0" w:firstColumn="1" w:lastColumn="0" w:noHBand="0" w:noVBand="1"/>
      </w:tblPr>
      <w:tblGrid>
        <w:gridCol w:w="3492"/>
        <w:gridCol w:w="5830"/>
      </w:tblGrid>
      <w:tr w:rsidR="008D196E" w:rsidRPr="00EA72A8" w14:paraId="23AD7E22" w14:textId="77777777" w:rsidTr="008D196E">
        <w:tc>
          <w:tcPr>
            <w:tcW w:w="3492" w:type="dxa"/>
            <w:tcBorders>
              <w:top w:val="single" w:sz="4" w:space="0" w:color="auto"/>
              <w:left w:val="single" w:sz="4" w:space="0" w:color="auto"/>
              <w:bottom w:val="single" w:sz="4" w:space="0" w:color="auto"/>
              <w:right w:val="single" w:sz="4" w:space="0" w:color="auto"/>
            </w:tcBorders>
            <w:hideMark/>
          </w:tcPr>
          <w:p w14:paraId="660B1F94" w14:textId="77777777" w:rsidR="008D196E" w:rsidRPr="00EA72A8" w:rsidRDefault="008D196E" w:rsidP="008D196E">
            <w:pPr>
              <w:widowControl/>
              <w:spacing w:before="120" w:after="120"/>
              <w:jc w:val="both"/>
              <w:rPr>
                <w:rFonts w:ascii="Times New Roman" w:hAnsi="Times New Roman" w:cs="Times New Roman"/>
                <w:b/>
                <w:bCs/>
                <w:strike/>
                <w:noProof/>
              </w:rPr>
            </w:pPr>
            <w:r w:rsidRPr="00EA72A8">
              <w:rPr>
                <w:rFonts w:ascii="Times New Roman" w:hAnsi="Times New Roman" w:cs="Times New Roman"/>
                <w:b/>
                <w:strike/>
                <w:noProof/>
              </w:rPr>
              <w:t>Attività</w:t>
            </w:r>
          </w:p>
        </w:tc>
        <w:tc>
          <w:tcPr>
            <w:tcW w:w="5830" w:type="dxa"/>
            <w:tcBorders>
              <w:top w:val="single" w:sz="4" w:space="0" w:color="auto"/>
              <w:left w:val="single" w:sz="4" w:space="0" w:color="auto"/>
              <w:bottom w:val="single" w:sz="4" w:space="0" w:color="auto"/>
              <w:right w:val="single" w:sz="4" w:space="0" w:color="auto"/>
            </w:tcBorders>
            <w:hideMark/>
          </w:tcPr>
          <w:p w14:paraId="53C76654" w14:textId="77777777" w:rsidR="008D196E" w:rsidRPr="00EA72A8" w:rsidRDefault="008D196E" w:rsidP="008D196E">
            <w:pPr>
              <w:widowControl/>
              <w:spacing w:before="120" w:after="120"/>
              <w:jc w:val="both"/>
              <w:rPr>
                <w:rFonts w:ascii="Times New Roman" w:hAnsi="Times New Roman" w:cs="Times New Roman"/>
                <w:b/>
                <w:bCs/>
                <w:strike/>
                <w:noProof/>
              </w:rPr>
            </w:pPr>
            <w:r w:rsidRPr="00EA72A8">
              <w:rPr>
                <w:rFonts w:ascii="Times New Roman" w:hAnsi="Times New Roman" w:cs="Times New Roman"/>
                <w:b/>
                <w:strike/>
                <w:noProof/>
              </w:rPr>
              <w:t>Criteri minimi di metodologia</w:t>
            </w:r>
          </w:p>
        </w:tc>
      </w:tr>
      <w:tr w:rsidR="008D196E" w:rsidRPr="00EA72A8" w14:paraId="307D790C" w14:textId="77777777" w:rsidTr="008D196E">
        <w:tc>
          <w:tcPr>
            <w:tcW w:w="3492" w:type="dxa"/>
            <w:tcBorders>
              <w:top w:val="single" w:sz="4" w:space="0" w:color="auto"/>
              <w:left w:val="single" w:sz="4" w:space="0" w:color="auto"/>
              <w:bottom w:val="single" w:sz="4" w:space="0" w:color="auto"/>
              <w:right w:val="single" w:sz="4" w:space="0" w:color="auto"/>
            </w:tcBorders>
            <w:hideMark/>
          </w:tcPr>
          <w:p w14:paraId="51CC9B1E" w14:textId="77777777" w:rsidR="008D196E" w:rsidRPr="00EA72A8" w:rsidRDefault="008D196E" w:rsidP="008D196E">
            <w:pPr>
              <w:widowControl/>
              <w:spacing w:before="120" w:after="120"/>
              <w:rPr>
                <w:rFonts w:ascii="Times New Roman" w:hAnsi="Times New Roman" w:cs="Times New Roman"/>
                <w:strike/>
                <w:noProof/>
              </w:rPr>
            </w:pPr>
            <w:r w:rsidRPr="00EA72A8">
              <w:rPr>
                <w:rFonts w:ascii="Times New Roman" w:hAnsi="Times New Roman" w:cs="Times New Roman"/>
                <w:strike/>
                <w:noProof/>
              </w:rPr>
              <w:t>Scelta dei punti di campionamento del suolo (indagine per campione)</w:t>
            </w:r>
          </w:p>
        </w:tc>
        <w:tc>
          <w:tcPr>
            <w:tcW w:w="5830" w:type="dxa"/>
            <w:tcBorders>
              <w:top w:val="single" w:sz="4" w:space="0" w:color="auto"/>
              <w:left w:val="single" w:sz="4" w:space="0" w:color="auto"/>
              <w:bottom w:val="single" w:sz="4" w:space="0" w:color="auto"/>
              <w:right w:val="single" w:sz="4" w:space="0" w:color="auto"/>
            </w:tcBorders>
            <w:hideMark/>
          </w:tcPr>
          <w:p w14:paraId="3167B3A7" w14:textId="77777777" w:rsidR="008D196E" w:rsidRPr="00EA72A8" w:rsidRDefault="008D196E" w:rsidP="008D196E">
            <w:pPr>
              <w:widowControl/>
              <w:spacing w:before="120" w:after="120"/>
              <w:jc w:val="both"/>
              <w:rPr>
                <w:rFonts w:ascii="Times New Roman" w:hAnsi="Times New Roman" w:cs="Times New Roman"/>
                <w:strike/>
                <w:noProof/>
              </w:rPr>
            </w:pPr>
            <w:r w:rsidRPr="00EA72A8">
              <w:rPr>
                <w:rFonts w:ascii="Times New Roman" w:hAnsi="Times New Roman" w:cs="Times New Roman"/>
                <w:strike/>
                <w:noProof/>
              </w:rPr>
              <w:t>L'indagine per campione parte da un quadro completo che comprende le migliori informazioni disponibili sulla distribuzione delle proprietà del suolo, compresi i dati risultanti da precedenti misurazioni, sia nazionali che in ambito LUCAS.</w:t>
            </w:r>
          </w:p>
          <w:p w14:paraId="7263DAC4" w14:textId="77777777" w:rsidR="008D196E" w:rsidRPr="00EA72A8" w:rsidRDefault="008D196E" w:rsidP="008D196E">
            <w:pPr>
              <w:widowControl/>
              <w:spacing w:before="120" w:after="120"/>
              <w:jc w:val="both"/>
              <w:rPr>
                <w:rFonts w:ascii="Times New Roman" w:hAnsi="Times New Roman" w:cs="Times New Roman"/>
                <w:strike/>
                <w:noProof/>
              </w:rPr>
            </w:pPr>
            <w:r w:rsidRPr="00EA72A8">
              <w:rPr>
                <w:rFonts w:ascii="Times New Roman" w:hAnsi="Times New Roman" w:cs="Times New Roman"/>
                <w:strike/>
                <w:noProof/>
              </w:rPr>
              <w:t xml:space="preserve">Lo schema deve configurare un campionamento casuale stratificato ottimizzato sui descrittori della salute del suolo. </w:t>
            </w:r>
          </w:p>
          <w:p w14:paraId="7BCC8DE1" w14:textId="77777777" w:rsidR="008D196E" w:rsidRPr="00EA72A8" w:rsidRDefault="008D196E" w:rsidP="008D196E">
            <w:pPr>
              <w:widowControl/>
              <w:spacing w:before="120" w:after="120"/>
              <w:jc w:val="both"/>
              <w:rPr>
                <w:rFonts w:ascii="Times New Roman" w:hAnsi="Times New Roman" w:cs="Times New Roman"/>
                <w:strike/>
                <w:noProof/>
              </w:rPr>
            </w:pPr>
            <w:r w:rsidRPr="00EA72A8">
              <w:rPr>
                <w:rFonts w:ascii="Times New Roman" w:hAnsi="Times New Roman" w:cs="Times New Roman"/>
                <w:strike/>
                <w:noProof/>
              </w:rPr>
              <w:t>Per stimare l'area di suolo sano, le dimensioni del campione nazionale devono soddisfare il requisito di errore massimo percentuale (o coefficiente di variazione) del 5 %.</w:t>
            </w:r>
          </w:p>
          <w:p w14:paraId="716BFA87" w14:textId="77777777" w:rsidR="008D196E" w:rsidRPr="00EA72A8" w:rsidRDefault="008D196E" w:rsidP="008D196E">
            <w:pPr>
              <w:widowControl/>
              <w:spacing w:before="120" w:after="120"/>
              <w:jc w:val="both"/>
              <w:rPr>
                <w:rFonts w:ascii="Times New Roman" w:hAnsi="Times New Roman" w:cs="Times New Roman"/>
                <w:strike/>
                <w:noProof/>
              </w:rPr>
            </w:pPr>
            <w:r w:rsidRPr="00EA72A8">
              <w:rPr>
                <w:rFonts w:ascii="Times New Roman" w:hAnsi="Times New Roman" w:cs="Times New Roman"/>
                <w:strike/>
                <w:noProof/>
              </w:rPr>
              <w:t>Il campione della Commissione per l'indagine di cui all'articolo 6, paragrafo 4, può contribuire al massimo per il 20 % delle dimensioni dei campioni nazionali.</w:t>
            </w:r>
          </w:p>
          <w:p w14:paraId="56770EBE" w14:textId="77777777" w:rsidR="008D196E" w:rsidRPr="00EA72A8" w:rsidRDefault="008D196E" w:rsidP="008D196E">
            <w:pPr>
              <w:widowControl/>
              <w:spacing w:before="120" w:after="120"/>
              <w:jc w:val="both"/>
              <w:rPr>
                <w:rFonts w:ascii="Times New Roman" w:hAnsi="Times New Roman" w:cs="Times New Roman"/>
                <w:strike/>
                <w:noProof/>
              </w:rPr>
            </w:pPr>
            <w:r w:rsidRPr="00EA72A8">
              <w:rPr>
                <w:rFonts w:ascii="Times New Roman" w:hAnsi="Times New Roman" w:cs="Times New Roman"/>
                <w:strike/>
                <w:noProof/>
              </w:rPr>
              <w:t>La distribuzione e le dimensioni del campione sono determinate applicando l'algoritmo Bethel (Bethel, 1989)</w:t>
            </w:r>
            <w:r w:rsidRPr="00EA72A8">
              <w:rPr>
                <w:rFonts w:ascii="Times New Roman" w:hAnsi="Times New Roman" w:cs="Times New Roman"/>
                <w:strike/>
                <w:noProof/>
                <w:vertAlign w:val="superscript"/>
              </w:rPr>
              <w:footnoteReference w:id="63"/>
            </w:r>
            <w:r w:rsidRPr="00EA72A8">
              <w:rPr>
                <w:rFonts w:ascii="Times New Roman" w:hAnsi="Times New Roman" w:cs="Times New Roman"/>
                <w:strike/>
                <w:noProof/>
              </w:rPr>
              <w:t xml:space="preserve"> che tiene conto del requisito di errore massimo di stima. </w:t>
            </w:r>
          </w:p>
        </w:tc>
      </w:tr>
    </w:tbl>
    <w:p w14:paraId="3C4D933F" w14:textId="77777777" w:rsidR="00EA72A8" w:rsidRPr="00B50018" w:rsidRDefault="00EA72A8" w:rsidP="00EA72A8">
      <w:pPr>
        <w:spacing w:after="60"/>
        <w:rPr>
          <w:rFonts w:cs="Calibri"/>
          <w:b/>
          <w:bCs/>
          <w:i/>
          <w:sz w:val="22"/>
          <w:szCs w:val="22"/>
        </w:rPr>
      </w:pPr>
      <w:r w:rsidRPr="00B50018">
        <w:rPr>
          <w:b/>
          <w:i/>
          <w:sz w:val="22"/>
        </w:rPr>
        <w:t>Parte A: metodi generali per il campionamento della biodiversità e delle funzioni ecologiche del suolo</w:t>
      </w:r>
    </w:p>
    <w:tbl>
      <w:tblPr>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EA72A8" w:rsidRPr="00B50018" w14:paraId="0B027B5F" w14:textId="77777777" w:rsidTr="008D41A0">
        <w:tc>
          <w:tcPr>
            <w:tcW w:w="3389" w:type="dxa"/>
            <w:tcBorders>
              <w:top w:val="single" w:sz="4" w:space="0" w:color="000000"/>
              <w:left w:val="single" w:sz="4" w:space="0" w:color="000000"/>
              <w:bottom w:val="single" w:sz="4" w:space="0" w:color="000000"/>
              <w:right w:val="single" w:sz="4" w:space="0" w:color="000000"/>
            </w:tcBorders>
            <w:hideMark/>
          </w:tcPr>
          <w:p w14:paraId="0716B21B" w14:textId="77777777" w:rsidR="00EA72A8" w:rsidRPr="00B50018" w:rsidRDefault="00EA72A8" w:rsidP="008D41A0">
            <w:pPr>
              <w:rPr>
                <w:rFonts w:cs="Calibri"/>
                <w:b/>
                <w:i/>
                <w:sz w:val="22"/>
                <w:szCs w:val="22"/>
              </w:rPr>
            </w:pPr>
            <w:r w:rsidRPr="00B50018">
              <w:rPr>
                <w:b/>
                <w:i/>
                <w:sz w:val="22"/>
              </w:rPr>
              <w:t>Attività</w:t>
            </w:r>
          </w:p>
        </w:tc>
        <w:tc>
          <w:tcPr>
            <w:tcW w:w="5971" w:type="dxa"/>
            <w:tcBorders>
              <w:top w:val="single" w:sz="4" w:space="0" w:color="000000"/>
              <w:left w:val="single" w:sz="4" w:space="0" w:color="000000"/>
              <w:bottom w:val="single" w:sz="4" w:space="0" w:color="000000"/>
              <w:right w:val="single" w:sz="4" w:space="0" w:color="000000"/>
            </w:tcBorders>
            <w:hideMark/>
          </w:tcPr>
          <w:p w14:paraId="0CBB5D99" w14:textId="77777777" w:rsidR="00EA72A8" w:rsidRPr="00B50018" w:rsidRDefault="00EA72A8" w:rsidP="008D41A0">
            <w:pPr>
              <w:rPr>
                <w:rFonts w:cs="Calibri"/>
                <w:b/>
                <w:i/>
                <w:sz w:val="22"/>
                <w:szCs w:val="22"/>
              </w:rPr>
            </w:pPr>
            <w:r w:rsidRPr="00B50018">
              <w:rPr>
                <w:b/>
                <w:i/>
                <w:sz w:val="22"/>
              </w:rPr>
              <w:t>Criteri di riferimento per la metodologia</w:t>
            </w:r>
          </w:p>
        </w:tc>
      </w:tr>
      <w:tr w:rsidR="00EA72A8" w:rsidRPr="00B50018" w14:paraId="427B442F" w14:textId="77777777" w:rsidTr="008D41A0">
        <w:tc>
          <w:tcPr>
            <w:tcW w:w="3389" w:type="dxa"/>
            <w:tcBorders>
              <w:top w:val="single" w:sz="4" w:space="0" w:color="000000"/>
              <w:left w:val="single" w:sz="4" w:space="0" w:color="000000"/>
              <w:bottom w:val="single" w:sz="4" w:space="0" w:color="000000"/>
              <w:right w:val="single" w:sz="4" w:space="0" w:color="000000"/>
            </w:tcBorders>
            <w:hideMark/>
          </w:tcPr>
          <w:p w14:paraId="7943953E" w14:textId="77777777" w:rsidR="00EA72A8" w:rsidRPr="00B50018" w:rsidRDefault="00EA72A8" w:rsidP="008D41A0">
            <w:pPr>
              <w:rPr>
                <w:rFonts w:cs="Calibri"/>
                <w:b/>
                <w:i/>
                <w:sz w:val="22"/>
                <w:szCs w:val="22"/>
              </w:rPr>
            </w:pPr>
            <w:r w:rsidRPr="00B50018">
              <w:rPr>
                <w:b/>
                <w:i/>
                <w:sz w:val="22"/>
              </w:rPr>
              <w:t>Monitoraggio ecologico del suolo</w:t>
            </w:r>
          </w:p>
        </w:tc>
        <w:tc>
          <w:tcPr>
            <w:tcW w:w="5971" w:type="dxa"/>
            <w:tcBorders>
              <w:top w:val="single" w:sz="4" w:space="0" w:color="000000"/>
              <w:left w:val="single" w:sz="4" w:space="0" w:color="000000"/>
              <w:bottom w:val="single" w:sz="4" w:space="0" w:color="000000"/>
              <w:right w:val="single" w:sz="4" w:space="0" w:color="000000"/>
            </w:tcBorders>
            <w:hideMark/>
          </w:tcPr>
          <w:p w14:paraId="30C17265" w14:textId="77777777" w:rsidR="00EA72A8" w:rsidRPr="00B50018" w:rsidRDefault="00EA72A8" w:rsidP="008D41A0">
            <w:pPr>
              <w:rPr>
                <w:rFonts w:cs="Calibri"/>
                <w:b/>
                <w:bCs/>
                <w:i/>
                <w:sz w:val="22"/>
                <w:szCs w:val="22"/>
              </w:rPr>
            </w:pPr>
            <w:r w:rsidRPr="00B50018">
              <w:rPr>
                <w:b/>
                <w:i/>
                <w:sz w:val="22"/>
              </w:rPr>
              <w:t>L'obiettivo è utilizzare un semplice protocollo di campionamento del suolo che possa standardizzare il campionamento ecologico del suolo in tutti gli Stati membri e che sia applicabile a tutti i descrittori ecologici del suolo di livello 1 e 2 (funzioni ecologiche del suolo, biodiversità del suolo e descrittori dell'habitat del suolo), ad eccezione dei descrittori della fauna del suolo.</w:t>
            </w:r>
          </w:p>
          <w:p w14:paraId="084E64BC" w14:textId="77777777" w:rsidR="00EA72A8" w:rsidRPr="00B50018" w:rsidRDefault="00EA72A8" w:rsidP="008D41A0">
            <w:pPr>
              <w:rPr>
                <w:rFonts w:cs="Calibri"/>
                <w:b/>
                <w:bCs/>
                <w:i/>
                <w:sz w:val="22"/>
                <w:szCs w:val="22"/>
              </w:rPr>
            </w:pPr>
            <w:r w:rsidRPr="00B50018">
              <w:rPr>
                <w:b/>
                <w:i/>
                <w:sz w:val="22"/>
              </w:rPr>
              <w:t xml:space="preserve">Seguendo il protocollo di campionamento adottato per </w:t>
            </w:r>
            <w:proofErr w:type="spellStart"/>
            <w:r w:rsidRPr="00B50018">
              <w:rPr>
                <w:b/>
                <w:i/>
                <w:sz w:val="22"/>
              </w:rPr>
              <w:t>Soil</w:t>
            </w:r>
            <w:proofErr w:type="spellEnd"/>
            <w:r w:rsidRPr="00B50018">
              <w:rPr>
                <w:b/>
                <w:i/>
                <w:sz w:val="22"/>
              </w:rPr>
              <w:t xml:space="preserve"> BON, considerando un'area quadrata omogenea di 30x30 metri, si stabiliscono nove </w:t>
            </w:r>
            <w:proofErr w:type="spellStart"/>
            <w:r w:rsidRPr="00B50018">
              <w:rPr>
                <w:b/>
                <w:i/>
                <w:sz w:val="22"/>
              </w:rPr>
              <w:t>sottocampioni</w:t>
            </w:r>
            <w:proofErr w:type="spellEnd"/>
            <w:r w:rsidRPr="00B50018">
              <w:rPr>
                <w:b/>
                <w:i/>
                <w:sz w:val="22"/>
              </w:rPr>
              <w:t xml:space="preserve"> corrispondenti agli angoli del quadrato, al suo centro e ai punti intermedi. Utilizzando un carotatore metallico del suolo o simili, estrarre una porzione di suolo con un volume di 5 cm di diametro e 10 cm di profondità. La profondità del suolo può essere aumentata fino a 30 cm, ma il primo (fino a 10 cm) e il secondo strato devono essere separati. </w:t>
            </w:r>
          </w:p>
        </w:tc>
      </w:tr>
      <w:tr w:rsidR="00EA72A8" w:rsidRPr="00B50018" w14:paraId="497F87D2" w14:textId="77777777" w:rsidTr="008D41A0">
        <w:tc>
          <w:tcPr>
            <w:tcW w:w="3389" w:type="dxa"/>
            <w:tcBorders>
              <w:top w:val="single" w:sz="4" w:space="0" w:color="000000"/>
              <w:left w:val="single" w:sz="4" w:space="0" w:color="000000"/>
              <w:bottom w:val="single" w:sz="4" w:space="0" w:color="000000"/>
              <w:right w:val="single" w:sz="4" w:space="0" w:color="000000"/>
            </w:tcBorders>
            <w:hideMark/>
          </w:tcPr>
          <w:p w14:paraId="0DF38848" w14:textId="77777777" w:rsidR="00EA72A8" w:rsidRPr="00B50018" w:rsidRDefault="00EA72A8" w:rsidP="008D41A0">
            <w:pPr>
              <w:rPr>
                <w:rFonts w:cs="Calibri"/>
                <w:b/>
                <w:i/>
                <w:sz w:val="22"/>
                <w:szCs w:val="22"/>
              </w:rPr>
            </w:pPr>
            <w:r w:rsidRPr="00B50018">
              <w:rPr>
                <w:b/>
                <w:i/>
                <w:sz w:val="22"/>
              </w:rPr>
              <w:t>Monitoraggio della fauna del suolo</w:t>
            </w:r>
          </w:p>
        </w:tc>
        <w:tc>
          <w:tcPr>
            <w:tcW w:w="5971" w:type="dxa"/>
            <w:tcBorders>
              <w:top w:val="single" w:sz="4" w:space="0" w:color="000000"/>
              <w:left w:val="single" w:sz="4" w:space="0" w:color="000000"/>
              <w:bottom w:val="single" w:sz="4" w:space="0" w:color="000000"/>
              <w:right w:val="single" w:sz="4" w:space="0" w:color="000000"/>
            </w:tcBorders>
            <w:hideMark/>
          </w:tcPr>
          <w:p w14:paraId="52BFF764" w14:textId="77777777" w:rsidR="00EA72A8" w:rsidRPr="00B50018" w:rsidRDefault="00EA72A8" w:rsidP="008D41A0">
            <w:pPr>
              <w:rPr>
                <w:rFonts w:cs="Calibri"/>
                <w:b/>
                <w:bCs/>
                <w:i/>
                <w:sz w:val="22"/>
                <w:szCs w:val="22"/>
              </w:rPr>
            </w:pPr>
            <w:r w:rsidRPr="00B50018">
              <w:rPr>
                <w:b/>
                <w:i/>
                <w:sz w:val="22"/>
              </w:rPr>
              <w:t xml:space="preserve">Per i lombrichi: raccogliere manualmente sulla base dei protocolli di campionamento indicati in </w:t>
            </w:r>
            <w:proofErr w:type="spellStart"/>
            <w:r w:rsidRPr="00B50018">
              <w:rPr>
                <w:b/>
                <w:i/>
                <w:sz w:val="22"/>
              </w:rPr>
              <w:t>Briones</w:t>
            </w:r>
            <w:proofErr w:type="spellEnd"/>
            <w:r w:rsidRPr="00B50018">
              <w:rPr>
                <w:b/>
                <w:i/>
                <w:sz w:val="22"/>
              </w:rPr>
              <w:t xml:space="preserve"> et al. 2020.</w:t>
            </w:r>
          </w:p>
          <w:p w14:paraId="29828AE0" w14:textId="77777777" w:rsidR="00EA72A8" w:rsidRPr="00B50018" w:rsidRDefault="00EA72A8" w:rsidP="008D41A0">
            <w:pPr>
              <w:rPr>
                <w:rFonts w:cs="Calibri"/>
                <w:b/>
                <w:bCs/>
                <w:i/>
                <w:sz w:val="22"/>
                <w:szCs w:val="22"/>
              </w:rPr>
            </w:pPr>
            <w:r w:rsidRPr="00B50018">
              <w:rPr>
                <w:b/>
                <w:i/>
                <w:sz w:val="22"/>
              </w:rPr>
              <w:t xml:space="preserve">Per i nematodi: seguire i criteri stabiliti nel protocollo di campionamento standard </w:t>
            </w:r>
            <w:proofErr w:type="spellStart"/>
            <w:r w:rsidRPr="00B50018">
              <w:rPr>
                <w:b/>
                <w:i/>
                <w:sz w:val="22"/>
              </w:rPr>
              <w:t>Soil</w:t>
            </w:r>
            <w:proofErr w:type="spellEnd"/>
            <w:r w:rsidRPr="00B50018">
              <w:rPr>
                <w:b/>
                <w:i/>
                <w:sz w:val="22"/>
              </w:rPr>
              <w:t xml:space="preserve"> BON.</w:t>
            </w:r>
          </w:p>
          <w:p w14:paraId="10167B29" w14:textId="77777777" w:rsidR="00EA72A8" w:rsidRPr="00B50018" w:rsidRDefault="00EA72A8" w:rsidP="008D41A0">
            <w:pPr>
              <w:rPr>
                <w:rFonts w:cs="Calibri"/>
                <w:b/>
                <w:bCs/>
                <w:i/>
                <w:sz w:val="22"/>
                <w:szCs w:val="22"/>
              </w:rPr>
            </w:pPr>
            <w:r w:rsidRPr="00B50018">
              <w:rPr>
                <w:b/>
                <w:i/>
                <w:sz w:val="22"/>
              </w:rPr>
              <w:t xml:space="preserve">Per i collemboli e gli acari: seguire i protocolli stabiliti in </w:t>
            </w:r>
            <w:proofErr w:type="spellStart"/>
            <w:r w:rsidRPr="00B50018">
              <w:rPr>
                <w:b/>
                <w:i/>
                <w:sz w:val="22"/>
              </w:rPr>
              <w:lastRenderedPageBreak/>
              <w:t>Potapov</w:t>
            </w:r>
            <w:proofErr w:type="spellEnd"/>
            <w:r w:rsidRPr="00B50018">
              <w:rPr>
                <w:b/>
                <w:i/>
                <w:sz w:val="22"/>
              </w:rPr>
              <w:t xml:space="preserve"> et al. 2022.</w:t>
            </w:r>
          </w:p>
        </w:tc>
      </w:tr>
      <w:tr w:rsidR="00EA72A8" w:rsidRPr="00B50018" w14:paraId="0283F9AD" w14:textId="77777777" w:rsidTr="008D41A0">
        <w:tc>
          <w:tcPr>
            <w:tcW w:w="3389" w:type="dxa"/>
            <w:tcBorders>
              <w:top w:val="single" w:sz="4" w:space="0" w:color="000000"/>
              <w:left w:val="single" w:sz="4" w:space="0" w:color="000000"/>
              <w:bottom w:val="single" w:sz="4" w:space="0" w:color="000000"/>
              <w:right w:val="single" w:sz="4" w:space="0" w:color="000000"/>
            </w:tcBorders>
            <w:hideMark/>
          </w:tcPr>
          <w:p w14:paraId="3C8A5868" w14:textId="77777777" w:rsidR="00EA72A8" w:rsidRPr="00B50018" w:rsidRDefault="00EA72A8" w:rsidP="008D41A0">
            <w:pPr>
              <w:rPr>
                <w:rFonts w:cs="Calibri"/>
                <w:b/>
                <w:i/>
                <w:sz w:val="22"/>
                <w:szCs w:val="22"/>
              </w:rPr>
            </w:pPr>
            <w:r w:rsidRPr="00B50018">
              <w:rPr>
                <w:b/>
                <w:i/>
                <w:sz w:val="22"/>
              </w:rPr>
              <w:lastRenderedPageBreak/>
              <w:t>Altri descrittori del suolo basati su punti</w:t>
            </w:r>
          </w:p>
        </w:tc>
        <w:tc>
          <w:tcPr>
            <w:tcW w:w="5971" w:type="dxa"/>
            <w:tcBorders>
              <w:top w:val="single" w:sz="4" w:space="0" w:color="000000"/>
              <w:left w:val="single" w:sz="4" w:space="0" w:color="000000"/>
              <w:bottom w:val="single" w:sz="4" w:space="0" w:color="000000"/>
              <w:right w:val="single" w:sz="4" w:space="0" w:color="000000"/>
            </w:tcBorders>
            <w:hideMark/>
          </w:tcPr>
          <w:p w14:paraId="226E74CF" w14:textId="77777777" w:rsidR="00EA72A8" w:rsidRPr="00B50018" w:rsidRDefault="00EA72A8" w:rsidP="008D41A0">
            <w:pPr>
              <w:rPr>
                <w:rFonts w:cs="Calibri"/>
                <w:b/>
                <w:bCs/>
                <w:i/>
                <w:sz w:val="22"/>
                <w:szCs w:val="22"/>
              </w:rPr>
            </w:pPr>
            <w:r w:rsidRPr="00B50018">
              <w:rPr>
                <w:b/>
                <w:i/>
                <w:sz w:val="22"/>
              </w:rPr>
              <w:t>Gli Stati membri ricorrono alla metodologia LUCAS Suolo come riferimento per il campionamento del suolo.</w:t>
            </w:r>
          </w:p>
        </w:tc>
      </w:tr>
    </w:tbl>
    <w:p w14:paraId="621C0873" w14:textId="77777777" w:rsidR="00EA72A8" w:rsidRPr="006D1073" w:rsidRDefault="00EA72A8" w:rsidP="00EA72A8">
      <w:pPr>
        <w:widowControl/>
        <w:spacing w:before="120" w:after="120"/>
        <w:jc w:val="right"/>
        <w:rPr>
          <w:rFonts w:eastAsia="Calibri"/>
          <w:b/>
          <w:noProof/>
          <w:szCs w:val="22"/>
          <w:lang w:eastAsia="en-US"/>
        </w:rPr>
      </w:pPr>
      <w:r>
        <w:rPr>
          <w:rFonts w:eastAsia="Calibri"/>
          <w:b/>
          <w:noProof/>
          <w:szCs w:val="22"/>
          <w:lang w:eastAsia="en-US"/>
        </w:rPr>
        <w:t>[Am. 201]</w:t>
      </w:r>
    </w:p>
    <w:p w14:paraId="180363C8" w14:textId="77777777" w:rsidR="008D196E" w:rsidRPr="008D196E" w:rsidRDefault="008D196E" w:rsidP="008D196E">
      <w:pPr>
        <w:widowControl/>
        <w:spacing w:before="120" w:after="120"/>
        <w:jc w:val="both"/>
        <w:rPr>
          <w:rFonts w:eastAsia="Calibri"/>
          <w:noProof/>
          <w:szCs w:val="22"/>
          <w:lang w:eastAsia="en-US"/>
        </w:rPr>
      </w:pPr>
      <w:r w:rsidRPr="008D196E">
        <w:rPr>
          <w:rFonts w:eastAsia="Calibri"/>
          <w:noProof/>
          <w:szCs w:val="22"/>
          <w:lang w:eastAsia="en-US"/>
        </w:rPr>
        <w:t>Parte B: metodologia per determinare o stimare i valori dei descrittori del suolo</w:t>
      </w:r>
    </w:p>
    <w:p w14:paraId="55179BB7" w14:textId="77777777" w:rsidR="008D196E" w:rsidRPr="008D196E" w:rsidRDefault="008D196E" w:rsidP="008D196E">
      <w:pPr>
        <w:widowControl/>
        <w:spacing w:before="120" w:after="120"/>
        <w:jc w:val="both"/>
        <w:rPr>
          <w:rFonts w:eastAsia="Calibri"/>
          <w:noProof/>
          <w:szCs w:val="22"/>
          <w:lang w:eastAsia="en-US"/>
        </w:rPr>
      </w:pPr>
      <w:r w:rsidRPr="008D196E">
        <w:rPr>
          <w:rFonts w:eastAsia="Calibri"/>
          <w:noProof/>
          <w:szCs w:val="22"/>
          <w:lang w:eastAsia="en-US"/>
        </w:rPr>
        <w:t>Si può usare una metodologia di riferimento precedentemente stabilita o altra metodologia purché sia disponibile nella letteratura scientifica o pubblicamente e comprenda una funzione di trasferimento convalidata.</w:t>
      </w:r>
    </w:p>
    <w:tbl>
      <w:tblPr>
        <w:tblStyle w:val="TableGrid1"/>
        <w:tblW w:w="10490" w:type="dxa"/>
        <w:tblInd w:w="-459" w:type="dxa"/>
        <w:tblLook w:val="04A0" w:firstRow="1" w:lastRow="0" w:firstColumn="1" w:lastColumn="0" w:noHBand="0" w:noVBand="1"/>
      </w:tblPr>
      <w:tblGrid>
        <w:gridCol w:w="2530"/>
        <w:gridCol w:w="2827"/>
        <w:gridCol w:w="3290"/>
        <w:gridCol w:w="1843"/>
      </w:tblGrid>
      <w:tr w:rsidR="008D196E" w:rsidRPr="00EA72A8" w14:paraId="039B13BF" w14:textId="77777777" w:rsidTr="008D196E">
        <w:tc>
          <w:tcPr>
            <w:tcW w:w="2530" w:type="dxa"/>
            <w:tcBorders>
              <w:top w:val="single" w:sz="4" w:space="0" w:color="auto"/>
              <w:left w:val="single" w:sz="4" w:space="0" w:color="auto"/>
              <w:bottom w:val="single" w:sz="4" w:space="0" w:color="auto"/>
              <w:right w:val="single" w:sz="4" w:space="0" w:color="auto"/>
            </w:tcBorders>
            <w:hideMark/>
          </w:tcPr>
          <w:p w14:paraId="05BD8DD5" w14:textId="77777777" w:rsidR="008D196E" w:rsidRPr="00EA72A8" w:rsidRDefault="008D196E" w:rsidP="008D196E">
            <w:pPr>
              <w:keepNext/>
              <w:widowControl/>
              <w:spacing w:before="120" w:after="120"/>
              <w:rPr>
                <w:rFonts w:ascii="Times New Roman" w:hAnsi="Times New Roman" w:cs="Times New Roman"/>
                <w:b/>
                <w:bCs/>
                <w:strike/>
                <w:noProof/>
              </w:rPr>
            </w:pPr>
            <w:r w:rsidRPr="00EA72A8">
              <w:rPr>
                <w:rFonts w:ascii="Times New Roman" w:hAnsi="Times New Roman" w:cs="Times New Roman"/>
                <w:b/>
                <w:strike/>
                <w:noProof/>
              </w:rPr>
              <w:lastRenderedPageBreak/>
              <w:t>Descrittore del suolo</w:t>
            </w:r>
          </w:p>
        </w:tc>
        <w:tc>
          <w:tcPr>
            <w:tcW w:w="2827" w:type="dxa"/>
            <w:tcBorders>
              <w:top w:val="single" w:sz="4" w:space="0" w:color="auto"/>
              <w:left w:val="single" w:sz="4" w:space="0" w:color="auto"/>
              <w:bottom w:val="single" w:sz="4" w:space="0" w:color="auto"/>
              <w:right w:val="single" w:sz="4" w:space="0" w:color="auto"/>
            </w:tcBorders>
            <w:hideMark/>
          </w:tcPr>
          <w:p w14:paraId="53F6C965" w14:textId="77777777" w:rsidR="008D196E" w:rsidRPr="00EA72A8" w:rsidRDefault="008D196E" w:rsidP="008D196E">
            <w:pPr>
              <w:keepNext/>
              <w:widowControl/>
              <w:spacing w:before="120" w:after="120"/>
              <w:rPr>
                <w:rFonts w:ascii="Times New Roman" w:hAnsi="Times New Roman" w:cs="Times New Roman"/>
                <w:b/>
                <w:bCs/>
                <w:strike/>
                <w:noProof/>
              </w:rPr>
            </w:pPr>
            <w:r w:rsidRPr="00EA72A8">
              <w:rPr>
                <w:rFonts w:ascii="Times New Roman" w:hAnsi="Times New Roman" w:cs="Times New Roman"/>
                <w:b/>
                <w:strike/>
                <w:noProof/>
              </w:rPr>
              <w:t>Metodologia di riferimento</w:t>
            </w:r>
          </w:p>
        </w:tc>
        <w:tc>
          <w:tcPr>
            <w:tcW w:w="3290" w:type="dxa"/>
            <w:tcBorders>
              <w:top w:val="single" w:sz="4" w:space="0" w:color="auto"/>
              <w:left w:val="single" w:sz="4" w:space="0" w:color="auto"/>
              <w:bottom w:val="single" w:sz="4" w:space="0" w:color="auto"/>
              <w:right w:val="single" w:sz="4" w:space="0" w:color="auto"/>
            </w:tcBorders>
            <w:hideMark/>
          </w:tcPr>
          <w:p w14:paraId="3D98F731" w14:textId="77777777" w:rsidR="008D196E" w:rsidRPr="00EA72A8" w:rsidRDefault="008D196E" w:rsidP="008D196E">
            <w:pPr>
              <w:keepNext/>
              <w:widowControl/>
              <w:spacing w:before="120" w:after="120"/>
              <w:rPr>
                <w:rFonts w:ascii="Times New Roman" w:hAnsi="Times New Roman" w:cs="Times New Roman"/>
                <w:b/>
                <w:bCs/>
                <w:strike/>
                <w:noProof/>
              </w:rPr>
            </w:pPr>
            <w:r w:rsidRPr="00EA72A8">
              <w:rPr>
                <w:rFonts w:ascii="Times New Roman" w:hAnsi="Times New Roman" w:cs="Times New Roman"/>
                <w:b/>
                <w:strike/>
                <w:noProof/>
              </w:rPr>
              <w:t>Criteri minimi di metodologia</w:t>
            </w:r>
          </w:p>
        </w:tc>
        <w:tc>
          <w:tcPr>
            <w:tcW w:w="1843" w:type="dxa"/>
            <w:tcBorders>
              <w:top w:val="single" w:sz="4" w:space="0" w:color="auto"/>
              <w:left w:val="single" w:sz="4" w:space="0" w:color="auto"/>
              <w:bottom w:val="single" w:sz="4" w:space="0" w:color="auto"/>
              <w:right w:val="single" w:sz="4" w:space="0" w:color="auto"/>
            </w:tcBorders>
          </w:tcPr>
          <w:p w14:paraId="304FE1ED" w14:textId="77777777" w:rsidR="008D196E" w:rsidRPr="00EA72A8" w:rsidRDefault="008D196E" w:rsidP="008D196E">
            <w:pPr>
              <w:keepNext/>
              <w:widowControl/>
              <w:spacing w:before="120" w:after="120"/>
              <w:rPr>
                <w:rFonts w:ascii="Times New Roman" w:hAnsi="Times New Roman" w:cs="Times New Roman"/>
                <w:b/>
                <w:bCs/>
                <w:strike/>
                <w:noProof/>
              </w:rPr>
            </w:pPr>
            <w:r w:rsidRPr="00EA72A8">
              <w:rPr>
                <w:rFonts w:ascii="Times New Roman" w:hAnsi="Times New Roman" w:cs="Times New Roman"/>
                <w:b/>
                <w:strike/>
                <w:noProof/>
              </w:rPr>
              <w:t>Funzione di trasferimento convalidata obbligatoria (se si usa una metodologia diversa dalla metodologia di riferimento</w:t>
            </w:r>
            <w:r w:rsidRPr="00EA72A8">
              <w:rPr>
                <w:rFonts w:ascii="Times New Roman" w:hAnsi="Times New Roman" w:cs="Times New Roman"/>
                <w:b/>
                <w:bCs/>
                <w:strike/>
                <w:noProof/>
                <w:vertAlign w:val="superscript"/>
              </w:rPr>
              <w:footnoteReference w:id="64"/>
            </w:r>
            <w:r w:rsidRPr="00EA72A8">
              <w:rPr>
                <w:rFonts w:ascii="Times New Roman" w:hAnsi="Times New Roman" w:cs="Times New Roman"/>
                <w:b/>
                <w:strike/>
                <w:noProof/>
              </w:rPr>
              <w:t xml:space="preserve">)? </w:t>
            </w:r>
          </w:p>
        </w:tc>
      </w:tr>
      <w:tr w:rsidR="008D196E" w:rsidRPr="00EA72A8" w14:paraId="260FEB0F" w14:textId="77777777" w:rsidTr="008D196E">
        <w:tc>
          <w:tcPr>
            <w:tcW w:w="2530" w:type="dxa"/>
            <w:tcBorders>
              <w:top w:val="single" w:sz="4" w:space="0" w:color="auto"/>
              <w:left w:val="single" w:sz="4" w:space="0" w:color="auto"/>
              <w:bottom w:val="single" w:sz="4" w:space="0" w:color="auto"/>
              <w:right w:val="single" w:sz="4" w:space="0" w:color="auto"/>
            </w:tcBorders>
            <w:hideMark/>
          </w:tcPr>
          <w:p w14:paraId="6F514746"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Tessitura del suolo (tenore di argilla, limo e sabbia, necessario per determinare altri descrittori e le relative estensioni)</w:t>
            </w:r>
          </w:p>
        </w:tc>
        <w:tc>
          <w:tcPr>
            <w:tcW w:w="2827" w:type="dxa"/>
            <w:tcBorders>
              <w:top w:val="single" w:sz="4" w:space="0" w:color="auto"/>
              <w:left w:val="single" w:sz="4" w:space="0" w:color="auto"/>
              <w:bottom w:val="single" w:sz="4" w:space="0" w:color="auto"/>
              <w:right w:val="single" w:sz="4" w:space="0" w:color="auto"/>
            </w:tcBorders>
            <w:hideMark/>
          </w:tcPr>
          <w:p w14:paraId="1C282DCF"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Metodo preferito: ISO 11277:1998 Determinazione della distribuzione dimensionale delle particelle nel materiale del suolo minerale - Metodo di screening e precipitazione</w:t>
            </w:r>
          </w:p>
          <w:p w14:paraId="4C722EE6"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Metodo alternativo: ISO 13320:2009 — Analisi granulometrica - Metodi di diffrazione laser</w:t>
            </w:r>
          </w:p>
        </w:tc>
        <w:tc>
          <w:tcPr>
            <w:tcW w:w="3290" w:type="dxa"/>
            <w:tcBorders>
              <w:top w:val="single" w:sz="4" w:space="0" w:color="auto"/>
              <w:left w:val="single" w:sz="4" w:space="0" w:color="auto"/>
              <w:bottom w:val="single" w:sz="4" w:space="0" w:color="auto"/>
              <w:right w:val="single" w:sz="4" w:space="0" w:color="auto"/>
            </w:tcBorders>
          </w:tcPr>
          <w:p w14:paraId="537DF915" w14:textId="77777777" w:rsidR="008D196E" w:rsidRPr="00EA72A8" w:rsidRDefault="008D196E" w:rsidP="008D196E">
            <w:pPr>
              <w:keepNext/>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22C97811" w14:textId="77777777" w:rsidR="008D196E" w:rsidRPr="00EA72A8" w:rsidRDefault="008D196E" w:rsidP="008D196E">
            <w:pPr>
              <w:keepNext/>
              <w:widowControl/>
              <w:spacing w:before="120" w:after="120"/>
              <w:jc w:val="both"/>
              <w:rPr>
                <w:rFonts w:ascii="Times New Roman" w:hAnsi="Times New Roman" w:cs="Times New Roman"/>
                <w:strike/>
                <w:noProof/>
              </w:rPr>
            </w:pPr>
            <w:r w:rsidRPr="00EA72A8">
              <w:rPr>
                <w:rFonts w:ascii="Times New Roman" w:hAnsi="Times New Roman" w:cs="Times New Roman"/>
                <w:strike/>
                <w:noProof/>
              </w:rPr>
              <w:t>SÌ</w:t>
            </w:r>
          </w:p>
        </w:tc>
      </w:tr>
      <w:tr w:rsidR="008D196E" w:rsidRPr="00EA72A8" w14:paraId="66582F8E" w14:textId="77777777" w:rsidTr="008D196E">
        <w:tc>
          <w:tcPr>
            <w:tcW w:w="2530" w:type="dxa"/>
            <w:tcBorders>
              <w:top w:val="single" w:sz="4" w:space="0" w:color="auto"/>
              <w:left w:val="single" w:sz="4" w:space="0" w:color="auto"/>
              <w:bottom w:val="single" w:sz="4" w:space="0" w:color="auto"/>
              <w:right w:val="single" w:sz="4" w:space="0" w:color="auto"/>
            </w:tcBorders>
            <w:hideMark/>
          </w:tcPr>
          <w:p w14:paraId="4BB971D8" w14:textId="77777777" w:rsidR="008D196E" w:rsidRPr="00EA72A8" w:rsidRDefault="008D196E" w:rsidP="008D196E">
            <w:pPr>
              <w:keepNext/>
              <w:widowControl/>
              <w:spacing w:before="120" w:after="120"/>
              <w:rPr>
                <w:rFonts w:ascii="Times New Roman" w:hAnsi="Times New Roman" w:cs="Times New Roman"/>
                <w:b/>
                <w:bCs/>
                <w:strike/>
                <w:noProof/>
              </w:rPr>
            </w:pPr>
            <w:r w:rsidRPr="00EA72A8">
              <w:rPr>
                <w:rFonts w:ascii="Times New Roman" w:hAnsi="Times New Roman" w:cs="Times New Roman"/>
                <w:strike/>
                <w:noProof/>
              </w:rPr>
              <w:t>Conducibilità elettrica</w:t>
            </w:r>
          </w:p>
        </w:tc>
        <w:tc>
          <w:tcPr>
            <w:tcW w:w="2827" w:type="dxa"/>
            <w:tcBorders>
              <w:top w:val="single" w:sz="4" w:space="0" w:color="auto"/>
              <w:left w:val="single" w:sz="4" w:space="0" w:color="auto"/>
              <w:bottom w:val="single" w:sz="4" w:space="0" w:color="auto"/>
              <w:right w:val="single" w:sz="4" w:space="0" w:color="auto"/>
            </w:tcBorders>
            <w:hideMark/>
          </w:tcPr>
          <w:p w14:paraId="24514BAE"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opzione 1: metodo di misurazione dell'estratto di suolo in pasta satura (CEE) (SOP FAO: GLOSOLAN-SOP-08</w:t>
            </w:r>
            <w:r w:rsidRPr="00EA72A8">
              <w:rPr>
                <w:rFonts w:ascii="Times New Roman" w:hAnsi="Times New Roman" w:cs="Times New Roman"/>
                <w:strike/>
                <w:noProof/>
                <w:vertAlign w:val="superscript"/>
              </w:rPr>
              <w:footnoteReference w:id="65"/>
            </w:r>
            <w:r w:rsidRPr="00EA72A8">
              <w:rPr>
                <w:rFonts w:ascii="Times New Roman" w:hAnsi="Times New Roman" w:cs="Times New Roman"/>
                <w:strike/>
                <w:noProof/>
              </w:rPr>
              <w:t>)</w:t>
            </w:r>
          </w:p>
          <w:p w14:paraId="5DD10E60"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 xml:space="preserve">opzione 2: ISO 11265:1994 Determinazione della conducibilità elettrica specifica; </w:t>
            </w:r>
          </w:p>
        </w:tc>
        <w:tc>
          <w:tcPr>
            <w:tcW w:w="3290" w:type="dxa"/>
            <w:tcBorders>
              <w:top w:val="single" w:sz="4" w:space="0" w:color="auto"/>
              <w:left w:val="single" w:sz="4" w:space="0" w:color="auto"/>
              <w:bottom w:val="single" w:sz="4" w:space="0" w:color="auto"/>
              <w:right w:val="single" w:sz="4" w:space="0" w:color="auto"/>
            </w:tcBorders>
          </w:tcPr>
          <w:p w14:paraId="3821739C" w14:textId="77777777" w:rsidR="008D196E" w:rsidRPr="00EA72A8" w:rsidRDefault="008D196E" w:rsidP="008D196E">
            <w:pPr>
              <w:keepNext/>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765CEF60"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SÌ</w:t>
            </w:r>
          </w:p>
        </w:tc>
      </w:tr>
      <w:tr w:rsidR="008D196E" w:rsidRPr="00EA72A8" w14:paraId="2CF3F0C3" w14:textId="77777777" w:rsidTr="008D196E">
        <w:tc>
          <w:tcPr>
            <w:tcW w:w="2530" w:type="dxa"/>
            <w:tcBorders>
              <w:top w:val="single" w:sz="4" w:space="0" w:color="auto"/>
              <w:left w:val="single" w:sz="4" w:space="0" w:color="auto"/>
              <w:bottom w:val="single" w:sz="4" w:space="0" w:color="auto"/>
              <w:right w:val="single" w:sz="4" w:space="0" w:color="auto"/>
            </w:tcBorders>
            <w:hideMark/>
          </w:tcPr>
          <w:p w14:paraId="60255A30" w14:textId="77777777" w:rsidR="008D196E" w:rsidRPr="00EA72A8" w:rsidRDefault="008D196E" w:rsidP="008D196E">
            <w:pPr>
              <w:keepNext/>
              <w:widowControl/>
              <w:spacing w:before="120" w:after="120"/>
              <w:rPr>
                <w:rFonts w:ascii="Times New Roman" w:hAnsi="Times New Roman" w:cs="Times New Roman"/>
                <w:b/>
                <w:bCs/>
                <w:strike/>
                <w:noProof/>
              </w:rPr>
            </w:pPr>
            <w:r w:rsidRPr="00EA72A8">
              <w:rPr>
                <w:rFonts w:ascii="Times New Roman" w:hAnsi="Times New Roman" w:cs="Times New Roman"/>
                <w:strike/>
                <w:noProof/>
              </w:rPr>
              <w:lastRenderedPageBreak/>
              <w:t>Tasso di erosione del suolo</w:t>
            </w:r>
          </w:p>
        </w:tc>
        <w:tc>
          <w:tcPr>
            <w:tcW w:w="2827" w:type="dxa"/>
            <w:tcBorders>
              <w:top w:val="single" w:sz="4" w:space="0" w:color="auto"/>
              <w:left w:val="single" w:sz="4" w:space="0" w:color="auto"/>
              <w:bottom w:val="single" w:sz="4" w:space="0" w:color="auto"/>
              <w:right w:val="single" w:sz="4" w:space="0" w:color="auto"/>
            </w:tcBorders>
          </w:tcPr>
          <w:p w14:paraId="1401CA18" w14:textId="77777777" w:rsidR="008D196E" w:rsidRPr="00EA72A8" w:rsidRDefault="008D196E" w:rsidP="008D196E">
            <w:pPr>
              <w:keepNext/>
              <w:widowControl/>
              <w:spacing w:before="120" w:after="120"/>
              <w:rPr>
                <w:rFonts w:ascii="Times New Roman" w:hAnsi="Times New Roman" w:cs="Times New Roman"/>
                <w:strike/>
                <w:noProof/>
              </w:rPr>
            </w:pPr>
          </w:p>
        </w:tc>
        <w:tc>
          <w:tcPr>
            <w:tcW w:w="3290" w:type="dxa"/>
            <w:tcBorders>
              <w:top w:val="single" w:sz="4" w:space="0" w:color="auto"/>
              <w:left w:val="single" w:sz="4" w:space="0" w:color="auto"/>
              <w:bottom w:val="single" w:sz="4" w:space="0" w:color="auto"/>
              <w:right w:val="single" w:sz="4" w:space="0" w:color="auto"/>
            </w:tcBorders>
            <w:hideMark/>
          </w:tcPr>
          <w:p w14:paraId="23B2A85A"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La stima del tasso di erosione del suolo deve tener conto di tutte le misure prese per attenuare o compensare il rischio di erosione, comprese le misure di attenuazione post-incendio.</w:t>
            </w:r>
          </w:p>
          <w:p w14:paraId="17F14FED"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La stima del tasso di erosione del suolo deve comprendere tutte le cause all'origine del processo: l'acqua, il vento, il raccolto e la lavorazione del terreno.</w:t>
            </w:r>
          </w:p>
          <w:p w14:paraId="1F93F8AA"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 xml:space="preserve">L'erosione idrica del suolo è valutata considerando i fattori seguenti: </w:t>
            </w:r>
          </w:p>
          <w:p w14:paraId="0AB742C4" w14:textId="77777777" w:rsidR="008D196E" w:rsidRPr="00EA72A8" w:rsidRDefault="008D196E" w:rsidP="008D196E">
            <w:pPr>
              <w:keepNext/>
              <w:widowControl/>
              <w:numPr>
                <w:ilvl w:val="0"/>
                <w:numId w:val="45"/>
              </w:numPr>
              <w:spacing w:before="120" w:after="120"/>
              <w:ind w:left="492"/>
              <w:jc w:val="both"/>
              <w:rPr>
                <w:rFonts w:ascii="Times New Roman" w:hAnsi="Times New Roman" w:cs="Times New Roman"/>
                <w:strike/>
                <w:noProof/>
              </w:rPr>
            </w:pPr>
            <w:r w:rsidRPr="00EA72A8">
              <w:rPr>
                <w:rFonts w:ascii="Times New Roman" w:hAnsi="Times New Roman" w:cs="Times New Roman"/>
                <w:strike/>
                <w:noProof/>
              </w:rPr>
              <w:t xml:space="preserve">caratteristiche del suolo (ad esempio erodibilità, croste deposizionali, rugosità del suolo), </w:t>
            </w:r>
          </w:p>
          <w:p w14:paraId="338904BD" w14:textId="77777777" w:rsidR="008D196E" w:rsidRPr="00EA72A8" w:rsidRDefault="008D196E" w:rsidP="008D196E">
            <w:pPr>
              <w:keepNext/>
              <w:widowControl/>
              <w:numPr>
                <w:ilvl w:val="0"/>
                <w:numId w:val="45"/>
              </w:numPr>
              <w:spacing w:before="120" w:after="120"/>
              <w:ind w:left="492"/>
              <w:jc w:val="both"/>
              <w:rPr>
                <w:rFonts w:ascii="Times New Roman" w:hAnsi="Times New Roman" w:cs="Times New Roman"/>
                <w:strike/>
                <w:noProof/>
              </w:rPr>
            </w:pPr>
            <w:r w:rsidRPr="00EA72A8">
              <w:rPr>
                <w:rFonts w:ascii="Times New Roman" w:hAnsi="Times New Roman" w:cs="Times New Roman"/>
                <w:strike/>
                <w:noProof/>
              </w:rPr>
              <w:t xml:space="preserve">clima (ad esempio, erosività delle precipitazioni: intensità e durata, considerate le proiezioni relative ai cambiamenti climatici per una determinata area), </w:t>
            </w:r>
          </w:p>
          <w:p w14:paraId="2A878E98" w14:textId="77777777" w:rsidR="008D196E" w:rsidRPr="00EA72A8" w:rsidRDefault="008D196E" w:rsidP="008D196E">
            <w:pPr>
              <w:keepNext/>
              <w:widowControl/>
              <w:numPr>
                <w:ilvl w:val="0"/>
                <w:numId w:val="45"/>
              </w:numPr>
              <w:spacing w:before="120" w:after="120"/>
              <w:ind w:left="492"/>
              <w:jc w:val="both"/>
              <w:rPr>
                <w:rFonts w:ascii="Times New Roman" w:hAnsi="Times New Roman" w:cs="Times New Roman"/>
                <w:strike/>
                <w:noProof/>
              </w:rPr>
            </w:pPr>
            <w:r w:rsidRPr="00EA72A8">
              <w:rPr>
                <w:rFonts w:ascii="Times New Roman" w:hAnsi="Times New Roman" w:cs="Times New Roman"/>
                <w:strike/>
                <w:noProof/>
              </w:rPr>
              <w:t xml:space="preserve">topografia (ad esempio, inclinazione e lunghezza della pendenza), </w:t>
            </w:r>
          </w:p>
          <w:p w14:paraId="2D761F15" w14:textId="77777777" w:rsidR="008D196E" w:rsidRPr="00EA72A8" w:rsidRDefault="008D196E" w:rsidP="008D196E">
            <w:pPr>
              <w:keepNext/>
              <w:widowControl/>
              <w:numPr>
                <w:ilvl w:val="0"/>
                <w:numId w:val="45"/>
              </w:numPr>
              <w:spacing w:before="120" w:after="120"/>
              <w:ind w:left="492"/>
              <w:jc w:val="both"/>
              <w:rPr>
                <w:rFonts w:ascii="Times New Roman" w:hAnsi="Times New Roman" w:cs="Times New Roman"/>
                <w:strike/>
                <w:noProof/>
              </w:rPr>
            </w:pPr>
            <w:r w:rsidRPr="00EA72A8">
              <w:rPr>
                <w:rFonts w:ascii="Times New Roman" w:hAnsi="Times New Roman" w:cs="Times New Roman"/>
                <w:strike/>
                <w:noProof/>
              </w:rPr>
              <w:t>manto vegetale, tipo di coltura, uso del suolo e pratiche di gestione per controllare o ridurre l'erosione,</w:t>
            </w:r>
          </w:p>
          <w:p w14:paraId="27933582" w14:textId="77777777" w:rsidR="008D196E" w:rsidRPr="00EA72A8" w:rsidRDefault="008D196E" w:rsidP="008D196E">
            <w:pPr>
              <w:keepNext/>
              <w:widowControl/>
              <w:numPr>
                <w:ilvl w:val="0"/>
                <w:numId w:val="45"/>
              </w:numPr>
              <w:spacing w:before="120" w:after="120"/>
              <w:ind w:left="492"/>
              <w:jc w:val="both"/>
              <w:rPr>
                <w:rFonts w:ascii="Times New Roman" w:hAnsi="Times New Roman" w:cs="Times New Roman"/>
                <w:strike/>
                <w:noProof/>
              </w:rPr>
            </w:pPr>
            <w:r w:rsidRPr="00EA72A8">
              <w:rPr>
                <w:rFonts w:ascii="Times New Roman" w:hAnsi="Times New Roman" w:cs="Times New Roman"/>
                <w:strike/>
                <w:noProof/>
              </w:rPr>
              <w:t>pratiche di gestione (ad esempio colture di copertura, lavorazione ridotta, pacciamatura ecc.),</w:t>
            </w:r>
          </w:p>
          <w:p w14:paraId="55787DA3" w14:textId="77777777" w:rsidR="008D196E" w:rsidRPr="00EA72A8" w:rsidRDefault="008D196E" w:rsidP="008D196E">
            <w:pPr>
              <w:keepNext/>
              <w:widowControl/>
              <w:numPr>
                <w:ilvl w:val="0"/>
                <w:numId w:val="45"/>
              </w:numPr>
              <w:spacing w:before="120" w:after="120"/>
              <w:ind w:left="492"/>
              <w:jc w:val="both"/>
              <w:rPr>
                <w:rFonts w:ascii="Times New Roman" w:hAnsi="Times New Roman" w:cs="Times New Roman"/>
                <w:strike/>
                <w:noProof/>
              </w:rPr>
            </w:pPr>
            <w:r w:rsidRPr="00EA72A8">
              <w:rPr>
                <w:rFonts w:ascii="Times New Roman" w:hAnsi="Times New Roman" w:cs="Times New Roman"/>
                <w:strike/>
                <w:noProof/>
              </w:rPr>
              <w:t>aree bruciate.</w:t>
            </w:r>
          </w:p>
          <w:p w14:paraId="0A78C603"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 xml:space="preserve">L'erosione eolica del suolo è valutata considerando i fattori seguenti: </w:t>
            </w:r>
          </w:p>
          <w:p w14:paraId="565114DD" w14:textId="77777777" w:rsidR="008D196E" w:rsidRPr="00EA72A8" w:rsidRDefault="008D196E" w:rsidP="008D196E">
            <w:pPr>
              <w:keepNext/>
              <w:widowControl/>
              <w:numPr>
                <w:ilvl w:val="0"/>
                <w:numId w:val="45"/>
              </w:numPr>
              <w:spacing w:before="120" w:after="120"/>
              <w:ind w:left="492"/>
              <w:jc w:val="both"/>
              <w:rPr>
                <w:rFonts w:ascii="Times New Roman" w:hAnsi="Times New Roman" w:cs="Times New Roman"/>
                <w:strike/>
                <w:noProof/>
              </w:rPr>
            </w:pPr>
            <w:r w:rsidRPr="00EA72A8">
              <w:rPr>
                <w:rFonts w:ascii="Times New Roman" w:hAnsi="Times New Roman" w:cs="Times New Roman"/>
                <w:strike/>
                <w:noProof/>
              </w:rPr>
              <w:t xml:space="preserve">caratteristiche del suolo (ad esempio erodibilità), </w:t>
            </w:r>
          </w:p>
          <w:p w14:paraId="7F9A4FD4" w14:textId="77777777" w:rsidR="008D196E" w:rsidRPr="00EA72A8" w:rsidRDefault="008D196E" w:rsidP="008D196E">
            <w:pPr>
              <w:keepNext/>
              <w:widowControl/>
              <w:numPr>
                <w:ilvl w:val="0"/>
                <w:numId w:val="45"/>
              </w:numPr>
              <w:spacing w:before="120" w:after="120"/>
              <w:ind w:left="492"/>
              <w:jc w:val="both"/>
              <w:rPr>
                <w:rFonts w:ascii="Times New Roman" w:hAnsi="Times New Roman" w:cs="Times New Roman"/>
                <w:strike/>
                <w:noProof/>
              </w:rPr>
            </w:pPr>
            <w:r w:rsidRPr="00EA72A8">
              <w:rPr>
                <w:rFonts w:ascii="Times New Roman" w:hAnsi="Times New Roman" w:cs="Times New Roman"/>
                <w:strike/>
                <w:noProof/>
              </w:rPr>
              <w:lastRenderedPageBreak/>
              <w:t xml:space="preserve">clima (umidità del suolo, velocità del vento, evaporazione), </w:t>
            </w:r>
          </w:p>
          <w:p w14:paraId="5DF56748" w14:textId="77777777" w:rsidR="008D196E" w:rsidRPr="00EA72A8" w:rsidRDefault="008D196E" w:rsidP="008D196E">
            <w:pPr>
              <w:keepNext/>
              <w:widowControl/>
              <w:numPr>
                <w:ilvl w:val="0"/>
                <w:numId w:val="45"/>
              </w:numPr>
              <w:spacing w:before="120" w:after="120"/>
              <w:ind w:left="492"/>
              <w:jc w:val="both"/>
              <w:rPr>
                <w:rFonts w:ascii="Times New Roman" w:hAnsi="Times New Roman" w:cs="Times New Roman"/>
                <w:strike/>
                <w:noProof/>
              </w:rPr>
            </w:pPr>
            <w:r w:rsidRPr="00EA72A8">
              <w:rPr>
                <w:rFonts w:ascii="Times New Roman" w:hAnsi="Times New Roman" w:cs="Times New Roman"/>
                <w:strike/>
                <w:noProof/>
              </w:rPr>
              <w:t>vegetazione (tipo di coltura),</w:t>
            </w:r>
          </w:p>
          <w:p w14:paraId="2A882B52" w14:textId="77777777" w:rsidR="008D196E" w:rsidRPr="00EA72A8" w:rsidRDefault="008D196E" w:rsidP="008D196E">
            <w:pPr>
              <w:keepNext/>
              <w:widowControl/>
              <w:numPr>
                <w:ilvl w:val="0"/>
                <w:numId w:val="45"/>
              </w:numPr>
              <w:spacing w:before="120" w:after="120"/>
              <w:ind w:left="492"/>
              <w:jc w:val="both"/>
              <w:rPr>
                <w:rFonts w:ascii="Times New Roman" w:hAnsi="Times New Roman" w:cs="Times New Roman"/>
                <w:strike/>
                <w:noProof/>
              </w:rPr>
            </w:pPr>
            <w:r w:rsidRPr="00EA72A8">
              <w:rPr>
                <w:rFonts w:ascii="Times New Roman" w:hAnsi="Times New Roman" w:cs="Times New Roman"/>
                <w:strike/>
                <w:noProof/>
              </w:rPr>
              <w:t>pratiche di gestione per controllare o ridurre l'erosione (barriere frangivento).</w:t>
            </w:r>
          </w:p>
        </w:tc>
        <w:tc>
          <w:tcPr>
            <w:tcW w:w="1843" w:type="dxa"/>
            <w:tcBorders>
              <w:top w:val="single" w:sz="4" w:space="0" w:color="auto"/>
              <w:left w:val="single" w:sz="4" w:space="0" w:color="auto"/>
              <w:bottom w:val="single" w:sz="4" w:space="0" w:color="auto"/>
              <w:right w:val="single" w:sz="4" w:space="0" w:color="auto"/>
            </w:tcBorders>
          </w:tcPr>
          <w:p w14:paraId="44F2AD6C"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lastRenderedPageBreak/>
              <w:t>non pertinente</w:t>
            </w:r>
          </w:p>
        </w:tc>
      </w:tr>
      <w:tr w:rsidR="008D196E" w:rsidRPr="00EA72A8" w14:paraId="7F5F6E54" w14:textId="77777777" w:rsidTr="008D196E">
        <w:trPr>
          <w:trHeight w:val="662"/>
        </w:trPr>
        <w:tc>
          <w:tcPr>
            <w:tcW w:w="2530" w:type="dxa"/>
            <w:tcBorders>
              <w:top w:val="single" w:sz="4" w:space="0" w:color="auto"/>
              <w:left w:val="single" w:sz="4" w:space="0" w:color="auto"/>
              <w:bottom w:val="single" w:sz="4" w:space="0" w:color="auto"/>
              <w:right w:val="single" w:sz="4" w:space="0" w:color="auto"/>
            </w:tcBorders>
            <w:hideMark/>
          </w:tcPr>
          <w:p w14:paraId="25682B3A"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Carbonio organico nel suolo (SOC)</w:t>
            </w:r>
          </w:p>
        </w:tc>
        <w:tc>
          <w:tcPr>
            <w:tcW w:w="2827" w:type="dxa"/>
            <w:tcBorders>
              <w:top w:val="single" w:sz="4" w:space="0" w:color="auto"/>
              <w:left w:val="single" w:sz="4" w:space="0" w:color="auto"/>
              <w:bottom w:val="single" w:sz="4" w:space="0" w:color="auto"/>
              <w:right w:val="single" w:sz="4" w:space="0" w:color="auto"/>
            </w:tcBorders>
            <w:hideMark/>
          </w:tcPr>
          <w:p w14:paraId="284F275D"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ISO 10694:1995 Determinazione del carbonio organico e del carbonio totale dopo combustione a secco</w:t>
            </w:r>
          </w:p>
        </w:tc>
        <w:tc>
          <w:tcPr>
            <w:tcW w:w="3290" w:type="dxa"/>
            <w:tcBorders>
              <w:top w:val="single" w:sz="4" w:space="0" w:color="auto"/>
              <w:left w:val="single" w:sz="4" w:space="0" w:color="auto"/>
              <w:bottom w:val="single" w:sz="4" w:space="0" w:color="auto"/>
              <w:right w:val="single" w:sz="4" w:space="0" w:color="auto"/>
            </w:tcBorders>
          </w:tcPr>
          <w:p w14:paraId="7FA5E5B6" w14:textId="77777777" w:rsidR="008D196E" w:rsidRPr="00EA72A8" w:rsidRDefault="008D196E" w:rsidP="008D196E">
            <w:pPr>
              <w:keepNext/>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1A6A6989"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SÌ</w:t>
            </w:r>
          </w:p>
        </w:tc>
      </w:tr>
      <w:tr w:rsidR="008D196E" w:rsidRPr="00EA72A8" w14:paraId="22460702" w14:textId="77777777" w:rsidTr="008D196E">
        <w:tc>
          <w:tcPr>
            <w:tcW w:w="2530" w:type="dxa"/>
            <w:tcBorders>
              <w:top w:val="single" w:sz="4" w:space="0" w:color="auto"/>
              <w:left w:val="single" w:sz="4" w:space="0" w:color="auto"/>
              <w:bottom w:val="single" w:sz="4" w:space="0" w:color="auto"/>
              <w:right w:val="single" w:sz="4" w:space="0" w:color="auto"/>
            </w:tcBorders>
            <w:hideMark/>
          </w:tcPr>
          <w:p w14:paraId="0B188A40"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Densità apparente nel sottosuolo (orizzonte B</w:t>
            </w:r>
            <w:r w:rsidRPr="00EA72A8">
              <w:rPr>
                <w:rFonts w:ascii="Times New Roman" w:hAnsi="Times New Roman" w:cs="Times New Roman"/>
                <w:strike/>
                <w:noProof/>
                <w:vertAlign w:val="superscript"/>
              </w:rPr>
              <w:footnoteReference w:id="66"/>
            </w:r>
            <w:r w:rsidRPr="00EA72A8">
              <w:rPr>
                <w:rFonts w:ascii="Times New Roman" w:hAnsi="Times New Roman" w:cs="Times New Roman"/>
                <w:strike/>
                <w:noProof/>
              </w:rPr>
              <w:t>) o parametro equivalente</w:t>
            </w:r>
            <w:r w:rsidRPr="00EA72A8">
              <w:rPr>
                <w:rFonts w:ascii="Times New Roman" w:hAnsi="Times New Roman" w:cs="Times New Roman"/>
                <w:strike/>
                <w:noProof/>
                <w:vertAlign w:val="superscript"/>
              </w:rPr>
              <w:footnoteReference w:id="67"/>
            </w:r>
            <w:r w:rsidRPr="00EA72A8">
              <w:rPr>
                <w:rFonts w:ascii="Times New Roman" w:hAnsi="Times New Roman" w:cs="Times New Roman"/>
                <w:strike/>
                <w:noProof/>
              </w:rPr>
              <w:t xml:space="preserve"> scelto dagli Stati membri</w:t>
            </w:r>
          </w:p>
        </w:tc>
        <w:tc>
          <w:tcPr>
            <w:tcW w:w="2827" w:type="dxa"/>
            <w:tcBorders>
              <w:top w:val="single" w:sz="4" w:space="0" w:color="auto"/>
              <w:left w:val="single" w:sz="4" w:space="0" w:color="auto"/>
              <w:bottom w:val="single" w:sz="4" w:space="0" w:color="auto"/>
              <w:right w:val="single" w:sz="4" w:space="0" w:color="auto"/>
            </w:tcBorders>
          </w:tcPr>
          <w:p w14:paraId="477C64EF"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 xml:space="preserve">ISO 11272:2017 per la determinazione della densità apparente a secco </w:t>
            </w:r>
          </w:p>
          <w:p w14:paraId="0A38FAB2" w14:textId="77777777" w:rsidR="008D196E" w:rsidRPr="00EA72A8" w:rsidRDefault="008D196E" w:rsidP="008D196E">
            <w:pPr>
              <w:keepNext/>
              <w:widowControl/>
              <w:spacing w:before="120" w:after="120"/>
              <w:rPr>
                <w:rFonts w:ascii="Times New Roman" w:hAnsi="Times New Roman" w:cs="Times New Roman"/>
                <w:strike/>
                <w:noProof/>
              </w:rPr>
            </w:pPr>
          </w:p>
          <w:p w14:paraId="46F63849"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 xml:space="preserve">Se si sceglie un parametro equivalente, la metodologia deve essere una norma europea o internazionale se disponibile; in mancanza, la metodologia scelta deve essere disponibile pubblicamente o nella letteratura scientifica. </w:t>
            </w:r>
          </w:p>
        </w:tc>
        <w:tc>
          <w:tcPr>
            <w:tcW w:w="3290" w:type="dxa"/>
            <w:tcBorders>
              <w:top w:val="single" w:sz="4" w:space="0" w:color="auto"/>
              <w:left w:val="single" w:sz="4" w:space="0" w:color="auto"/>
              <w:bottom w:val="single" w:sz="4" w:space="0" w:color="auto"/>
              <w:right w:val="single" w:sz="4" w:space="0" w:color="auto"/>
            </w:tcBorders>
          </w:tcPr>
          <w:p w14:paraId="6EDA1625" w14:textId="77777777" w:rsidR="008D196E" w:rsidRPr="00EA72A8" w:rsidRDefault="008D196E" w:rsidP="008D196E">
            <w:pPr>
              <w:keepNext/>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3F906A2D" w14:textId="77777777" w:rsidR="008D196E" w:rsidRPr="00EA72A8" w:rsidRDefault="008D196E" w:rsidP="008D196E">
            <w:pPr>
              <w:keepNext/>
              <w:widowControl/>
              <w:spacing w:before="120" w:after="120"/>
              <w:jc w:val="both"/>
              <w:rPr>
                <w:rFonts w:ascii="Times New Roman" w:hAnsi="Times New Roman" w:cs="Times New Roman"/>
                <w:strike/>
                <w:noProof/>
              </w:rPr>
            </w:pPr>
            <w:r w:rsidRPr="00EA72A8">
              <w:rPr>
                <w:rFonts w:ascii="Times New Roman" w:hAnsi="Times New Roman" w:cs="Times New Roman"/>
                <w:strike/>
                <w:noProof/>
              </w:rPr>
              <w:t>SÌ</w:t>
            </w:r>
          </w:p>
        </w:tc>
      </w:tr>
      <w:tr w:rsidR="008D196E" w:rsidRPr="00EA72A8" w14:paraId="1820F549" w14:textId="77777777" w:rsidTr="008D196E">
        <w:tc>
          <w:tcPr>
            <w:tcW w:w="2530" w:type="dxa"/>
            <w:tcBorders>
              <w:top w:val="single" w:sz="4" w:space="0" w:color="auto"/>
              <w:left w:val="single" w:sz="4" w:space="0" w:color="auto"/>
              <w:bottom w:val="single" w:sz="4" w:space="0" w:color="auto"/>
              <w:right w:val="single" w:sz="4" w:space="0" w:color="auto"/>
            </w:tcBorders>
            <w:hideMark/>
          </w:tcPr>
          <w:p w14:paraId="73879637"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Fosforo estraibile</w:t>
            </w:r>
          </w:p>
        </w:tc>
        <w:tc>
          <w:tcPr>
            <w:tcW w:w="2827" w:type="dxa"/>
            <w:tcBorders>
              <w:top w:val="single" w:sz="4" w:space="0" w:color="auto"/>
              <w:left w:val="single" w:sz="4" w:space="0" w:color="auto"/>
              <w:bottom w:val="single" w:sz="4" w:space="0" w:color="auto"/>
              <w:right w:val="single" w:sz="4" w:space="0" w:color="auto"/>
            </w:tcBorders>
            <w:hideMark/>
          </w:tcPr>
          <w:p w14:paraId="339AA88D"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ISO 11263:1994 per la determinazione spettrometrica del fosforo solubile in soluzione di idrogeno carbonato di sodio (P-Olsen)</w:t>
            </w:r>
          </w:p>
        </w:tc>
        <w:tc>
          <w:tcPr>
            <w:tcW w:w="3290" w:type="dxa"/>
            <w:tcBorders>
              <w:top w:val="single" w:sz="4" w:space="0" w:color="auto"/>
              <w:left w:val="single" w:sz="4" w:space="0" w:color="auto"/>
              <w:bottom w:val="single" w:sz="4" w:space="0" w:color="auto"/>
              <w:right w:val="single" w:sz="4" w:space="0" w:color="auto"/>
            </w:tcBorders>
          </w:tcPr>
          <w:p w14:paraId="4F410AB4" w14:textId="77777777" w:rsidR="008D196E" w:rsidRPr="00EA72A8" w:rsidRDefault="008D196E" w:rsidP="008D196E">
            <w:pPr>
              <w:keepNext/>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0D44814C"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SÌ</w:t>
            </w:r>
          </w:p>
        </w:tc>
      </w:tr>
      <w:tr w:rsidR="008D196E" w:rsidRPr="00EA72A8" w14:paraId="0B92E67F" w14:textId="77777777" w:rsidTr="008D196E">
        <w:tc>
          <w:tcPr>
            <w:tcW w:w="2530" w:type="dxa"/>
            <w:tcBorders>
              <w:top w:val="single" w:sz="4" w:space="0" w:color="auto"/>
              <w:left w:val="single" w:sz="4" w:space="0" w:color="auto"/>
              <w:bottom w:val="single" w:sz="4" w:space="0" w:color="auto"/>
              <w:right w:val="single" w:sz="4" w:space="0" w:color="auto"/>
            </w:tcBorders>
            <w:hideMark/>
          </w:tcPr>
          <w:p w14:paraId="436EBF98" w14:textId="77777777" w:rsidR="008D196E" w:rsidRPr="00EA72A8" w:rsidRDefault="008D196E" w:rsidP="008D196E">
            <w:pPr>
              <w:keepNext/>
              <w:widowControl/>
              <w:spacing w:before="120" w:after="360"/>
              <w:rPr>
                <w:rFonts w:ascii="Times New Roman" w:hAnsi="Times New Roman" w:cs="Times New Roman"/>
                <w:strike/>
                <w:noProof/>
              </w:rPr>
            </w:pPr>
            <w:r w:rsidRPr="00EA72A8">
              <w:rPr>
                <w:rFonts w:ascii="Times New Roman" w:hAnsi="Times New Roman" w:cs="Times New Roman"/>
                <w:strike/>
                <w:noProof/>
              </w:rPr>
              <w:lastRenderedPageBreak/>
              <w:t>- Concentrazione di metalli pesanti nel suolo:</w:t>
            </w:r>
            <w:bookmarkStart w:id="16" w:name="_Hlk125991502"/>
            <w:r w:rsidRPr="00EA72A8">
              <w:rPr>
                <w:rFonts w:ascii="Times New Roman" w:hAnsi="Times New Roman" w:cs="Times New Roman"/>
                <w:strike/>
                <w:noProof/>
              </w:rPr>
              <w:t xml:space="preserve"> As, Sb, Cd, Co, Cr (totale), Cr (VI), Cu, Hg, Pb, Ni, Tl, V, Zn </w:t>
            </w:r>
            <w:bookmarkEnd w:id="16"/>
            <w:r w:rsidRPr="00EA72A8">
              <w:rPr>
                <w:rFonts w:ascii="Times New Roman" w:hAnsi="Times New Roman" w:cs="Times New Roman"/>
                <w:strike/>
                <w:noProof/>
              </w:rPr>
              <w:br/>
              <w:t>- Concentrazione di una selezione di contaminanti organici definita dagli Stati membri tenendo conto della legislazione vigente dell'UE (ad esempio sulla qualità dell'acqua o i pesticidi)</w:t>
            </w:r>
          </w:p>
        </w:tc>
        <w:tc>
          <w:tcPr>
            <w:tcW w:w="2827" w:type="dxa"/>
            <w:tcBorders>
              <w:top w:val="single" w:sz="4" w:space="0" w:color="auto"/>
              <w:left w:val="single" w:sz="4" w:space="0" w:color="auto"/>
              <w:bottom w:val="single" w:sz="4" w:space="0" w:color="auto"/>
              <w:right w:val="single" w:sz="4" w:space="0" w:color="auto"/>
            </w:tcBorders>
            <w:hideMark/>
          </w:tcPr>
          <w:p w14:paraId="0AB90E67"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Potenziale contenuto ambientale di metalli pesanti disponibili nei suoli in base alla norma ISO 17586:2016 Estrazione con acido nitrico diluito.</w:t>
            </w:r>
          </w:p>
          <w:p w14:paraId="786A3345"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 xml:space="preserve"> </w:t>
            </w:r>
          </w:p>
        </w:tc>
        <w:tc>
          <w:tcPr>
            <w:tcW w:w="3290" w:type="dxa"/>
            <w:tcBorders>
              <w:top w:val="single" w:sz="4" w:space="0" w:color="auto"/>
              <w:left w:val="single" w:sz="4" w:space="0" w:color="auto"/>
              <w:bottom w:val="single" w:sz="4" w:space="0" w:color="auto"/>
              <w:right w:val="single" w:sz="4" w:space="0" w:color="auto"/>
            </w:tcBorders>
          </w:tcPr>
          <w:p w14:paraId="1D3DE491" w14:textId="77777777" w:rsidR="008D196E" w:rsidRPr="00EA72A8" w:rsidRDefault="008D196E" w:rsidP="008D196E">
            <w:pPr>
              <w:keepNext/>
              <w:widowControl/>
              <w:spacing w:before="120" w:after="120"/>
              <w:rPr>
                <w:rFonts w:ascii="Times New Roman" w:hAnsi="Times New Roman" w:cs="Times New Roman"/>
                <w:strike/>
                <w:noProof/>
              </w:rPr>
            </w:pPr>
          </w:p>
          <w:p w14:paraId="6A7643F3" w14:textId="77777777" w:rsidR="008D196E" w:rsidRPr="00EA72A8" w:rsidRDefault="008D196E" w:rsidP="008D196E">
            <w:pPr>
              <w:keepNext/>
              <w:widowControl/>
              <w:spacing w:before="120" w:after="120"/>
              <w:rPr>
                <w:rFonts w:ascii="Times New Roman" w:hAnsi="Times New Roman" w:cs="Times New Roman"/>
                <w:strike/>
                <w:noProof/>
              </w:rPr>
            </w:pPr>
          </w:p>
          <w:p w14:paraId="5619A0BC" w14:textId="77777777" w:rsidR="008D196E" w:rsidRPr="00EA72A8" w:rsidRDefault="008D196E" w:rsidP="008D196E">
            <w:pPr>
              <w:keepNext/>
              <w:widowControl/>
              <w:spacing w:before="120" w:after="120"/>
              <w:rPr>
                <w:rFonts w:ascii="Times New Roman" w:hAnsi="Times New Roman" w:cs="Times New Roman"/>
                <w:strike/>
                <w:noProof/>
              </w:rPr>
            </w:pPr>
          </w:p>
          <w:p w14:paraId="303835DF" w14:textId="77777777" w:rsidR="008D196E" w:rsidRPr="00EA72A8" w:rsidRDefault="008D196E" w:rsidP="008D196E">
            <w:pPr>
              <w:keepNext/>
              <w:widowControl/>
              <w:spacing w:before="120" w:after="120"/>
              <w:rPr>
                <w:rFonts w:ascii="Times New Roman" w:hAnsi="Times New Roman" w:cs="Times New Roman"/>
                <w:strike/>
                <w:noProof/>
              </w:rPr>
            </w:pPr>
          </w:p>
          <w:p w14:paraId="7777833A"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Applicare le norme europee o internazionali se disponibili; in mancanza, la metodologia scelta deve essere disponibile pubblicamente o nella letteratura scientifica.</w:t>
            </w:r>
          </w:p>
        </w:tc>
        <w:tc>
          <w:tcPr>
            <w:tcW w:w="1843" w:type="dxa"/>
            <w:tcBorders>
              <w:top w:val="single" w:sz="4" w:space="0" w:color="auto"/>
              <w:left w:val="single" w:sz="4" w:space="0" w:color="auto"/>
              <w:bottom w:val="single" w:sz="4" w:space="0" w:color="auto"/>
              <w:right w:val="single" w:sz="4" w:space="0" w:color="auto"/>
            </w:tcBorders>
          </w:tcPr>
          <w:p w14:paraId="3EF23265"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SÌ</w:t>
            </w:r>
          </w:p>
          <w:p w14:paraId="6C841CF0" w14:textId="77777777" w:rsidR="008D196E" w:rsidRPr="00EA72A8" w:rsidRDefault="008D196E" w:rsidP="008D196E">
            <w:pPr>
              <w:keepNext/>
              <w:widowControl/>
              <w:spacing w:before="120" w:after="120"/>
              <w:rPr>
                <w:rFonts w:ascii="Times New Roman" w:hAnsi="Times New Roman" w:cs="Times New Roman"/>
                <w:strike/>
                <w:noProof/>
              </w:rPr>
            </w:pPr>
          </w:p>
          <w:p w14:paraId="235711A2" w14:textId="77777777" w:rsidR="008D196E" w:rsidRPr="00EA72A8" w:rsidRDefault="008D196E" w:rsidP="008D196E">
            <w:pPr>
              <w:keepNext/>
              <w:widowControl/>
              <w:spacing w:before="120" w:after="120"/>
              <w:rPr>
                <w:rFonts w:ascii="Times New Roman" w:hAnsi="Times New Roman" w:cs="Times New Roman"/>
                <w:strike/>
                <w:noProof/>
              </w:rPr>
            </w:pPr>
          </w:p>
          <w:p w14:paraId="5E4C43CC" w14:textId="77777777" w:rsidR="008D196E" w:rsidRPr="00EA72A8" w:rsidRDefault="008D196E" w:rsidP="008D196E">
            <w:pPr>
              <w:keepNext/>
              <w:widowControl/>
              <w:spacing w:before="120" w:after="120"/>
              <w:rPr>
                <w:rFonts w:ascii="Times New Roman" w:hAnsi="Times New Roman" w:cs="Times New Roman"/>
                <w:strike/>
                <w:noProof/>
              </w:rPr>
            </w:pPr>
          </w:p>
          <w:p w14:paraId="2ED1E20C" w14:textId="77777777" w:rsidR="008D196E" w:rsidRPr="00EA72A8" w:rsidRDefault="008D196E" w:rsidP="008D196E">
            <w:pPr>
              <w:keepNext/>
              <w:widowControl/>
              <w:spacing w:before="120" w:after="120"/>
              <w:rPr>
                <w:rFonts w:ascii="Times New Roman" w:hAnsi="Times New Roman" w:cs="Times New Roman"/>
                <w:strike/>
                <w:noProof/>
              </w:rPr>
            </w:pPr>
          </w:p>
          <w:p w14:paraId="44D9A047" w14:textId="77777777" w:rsidR="008D196E" w:rsidRPr="00EA72A8" w:rsidRDefault="008D196E" w:rsidP="008D196E">
            <w:pPr>
              <w:keepNext/>
              <w:widowControl/>
              <w:spacing w:before="120" w:after="120"/>
              <w:rPr>
                <w:rFonts w:ascii="Times New Roman" w:hAnsi="Times New Roman" w:cs="Times New Roman"/>
                <w:strike/>
                <w:noProof/>
              </w:rPr>
            </w:pPr>
          </w:p>
          <w:p w14:paraId="6BE6AD4A"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non pertinente</w:t>
            </w:r>
          </w:p>
        </w:tc>
      </w:tr>
      <w:tr w:rsidR="008D196E" w:rsidRPr="00EA72A8" w14:paraId="43C444CC" w14:textId="77777777" w:rsidTr="008D196E">
        <w:tc>
          <w:tcPr>
            <w:tcW w:w="2530" w:type="dxa"/>
            <w:tcBorders>
              <w:top w:val="single" w:sz="4" w:space="0" w:color="auto"/>
              <w:left w:val="single" w:sz="4" w:space="0" w:color="auto"/>
              <w:bottom w:val="single" w:sz="4" w:space="0" w:color="auto"/>
              <w:right w:val="single" w:sz="4" w:space="0" w:color="auto"/>
            </w:tcBorders>
            <w:hideMark/>
          </w:tcPr>
          <w:p w14:paraId="1DA15E4C" w14:textId="77777777" w:rsidR="008D196E" w:rsidRPr="00EA72A8" w:rsidRDefault="008D196E" w:rsidP="008D196E">
            <w:pPr>
              <w:widowControl/>
              <w:spacing w:before="120" w:after="120"/>
              <w:rPr>
                <w:rFonts w:ascii="Times New Roman" w:hAnsi="Times New Roman" w:cs="Times New Roman"/>
                <w:strike/>
                <w:noProof/>
              </w:rPr>
            </w:pPr>
            <w:bookmarkStart w:id="17" w:name="_Hlk125991626"/>
            <w:r w:rsidRPr="00EA72A8">
              <w:rPr>
                <w:rFonts w:ascii="Times New Roman" w:hAnsi="Times New Roman" w:cs="Times New Roman"/>
                <w:strike/>
                <w:noProof/>
              </w:rPr>
              <w:t>Capacità di ritenzione idrica del suolo</w:t>
            </w:r>
            <w:bookmarkEnd w:id="17"/>
          </w:p>
        </w:tc>
        <w:tc>
          <w:tcPr>
            <w:tcW w:w="2827" w:type="dxa"/>
            <w:tcBorders>
              <w:top w:val="single" w:sz="4" w:space="0" w:color="auto"/>
              <w:left w:val="single" w:sz="4" w:space="0" w:color="auto"/>
              <w:bottom w:val="single" w:sz="4" w:space="0" w:color="auto"/>
              <w:right w:val="single" w:sz="4" w:space="0" w:color="auto"/>
            </w:tcBorders>
            <w:hideMark/>
          </w:tcPr>
          <w:p w14:paraId="52AB3A03" w14:textId="77777777" w:rsidR="008D196E" w:rsidRPr="00EA72A8" w:rsidRDefault="008D196E" w:rsidP="008D196E">
            <w:pPr>
              <w:widowControl/>
              <w:spacing w:before="120" w:after="120"/>
              <w:rPr>
                <w:rFonts w:ascii="Times New Roman" w:hAnsi="Times New Roman" w:cs="Times New Roman"/>
                <w:strike/>
                <w:noProof/>
              </w:rPr>
            </w:pPr>
            <w:r w:rsidRPr="00EA72A8">
              <w:rPr>
                <w:rFonts w:ascii="Times New Roman" w:hAnsi="Times New Roman" w:cs="Times New Roman"/>
                <w:strike/>
                <w:noProof/>
              </w:rPr>
              <w:t>Metodologia per determinare il valore di un punto di campionamento:</w:t>
            </w:r>
          </w:p>
          <w:p w14:paraId="0DDD6BF8" w14:textId="77777777" w:rsidR="008D196E" w:rsidRPr="00EA72A8" w:rsidRDefault="008D196E" w:rsidP="008D196E">
            <w:pPr>
              <w:widowControl/>
              <w:spacing w:before="120" w:after="120"/>
              <w:rPr>
                <w:rFonts w:ascii="Times New Roman" w:hAnsi="Times New Roman" w:cs="Times New Roman"/>
                <w:strike/>
                <w:noProof/>
              </w:rPr>
            </w:pPr>
            <w:r w:rsidRPr="00EA72A8">
              <w:rPr>
                <w:rFonts w:ascii="Times New Roman" w:hAnsi="Times New Roman" w:cs="Times New Roman"/>
                <w:strike/>
                <w:noProof/>
              </w:rPr>
              <w:t>opzione 1: LABORATORIO: ISO 11274:2019 per la determinazione della caratteristica di ritenzione idrica;</w:t>
            </w:r>
          </w:p>
          <w:p w14:paraId="0283CBA2" w14:textId="77777777" w:rsidR="008D196E" w:rsidRPr="00EA72A8" w:rsidRDefault="008D196E" w:rsidP="008D196E">
            <w:pPr>
              <w:widowControl/>
              <w:spacing w:before="120" w:after="120"/>
              <w:rPr>
                <w:rFonts w:ascii="Times New Roman" w:hAnsi="Times New Roman" w:cs="Times New Roman"/>
                <w:strike/>
                <w:noProof/>
              </w:rPr>
            </w:pPr>
            <w:r w:rsidRPr="00EA72A8">
              <w:rPr>
                <w:rFonts w:ascii="Times New Roman" w:hAnsi="Times New Roman" w:cs="Times New Roman"/>
                <w:strike/>
                <w:noProof/>
              </w:rPr>
              <w:t>opzione 2: STIMA: applicare la metodologia descritta nell'articolo scientifico "</w:t>
            </w:r>
            <w:r w:rsidRPr="00EA72A8">
              <w:rPr>
                <w:rFonts w:ascii="Times New Roman" w:hAnsi="Times New Roman" w:cs="Times New Roman"/>
                <w:i/>
                <w:iCs/>
                <w:strike/>
                <w:noProof/>
              </w:rPr>
              <w:t>New generation of hydraulic pedotransfer functions for Europe</w:t>
            </w:r>
            <w:r w:rsidRPr="00EA72A8">
              <w:rPr>
                <w:rFonts w:ascii="Times New Roman" w:hAnsi="Times New Roman" w:cs="Times New Roman"/>
                <w:strike/>
                <w:noProof/>
                <w:vertAlign w:val="superscript"/>
              </w:rPr>
              <w:footnoteReference w:id="68"/>
            </w:r>
            <w:r w:rsidRPr="00EA72A8">
              <w:rPr>
                <w:rFonts w:ascii="Times New Roman" w:hAnsi="Times New Roman" w:cs="Times New Roman"/>
                <w:strike/>
                <w:noProof/>
              </w:rPr>
              <w:t>" in base alla tessitura (o alla distribuzione dimensionale delle particelle) e al carbonio organico nel suolo.</w:t>
            </w:r>
          </w:p>
        </w:tc>
        <w:tc>
          <w:tcPr>
            <w:tcW w:w="3290" w:type="dxa"/>
            <w:tcBorders>
              <w:top w:val="single" w:sz="4" w:space="0" w:color="auto"/>
              <w:left w:val="single" w:sz="4" w:space="0" w:color="auto"/>
              <w:bottom w:val="single" w:sz="4" w:space="0" w:color="auto"/>
              <w:right w:val="single" w:sz="4" w:space="0" w:color="auto"/>
            </w:tcBorders>
            <w:hideMark/>
          </w:tcPr>
          <w:p w14:paraId="1527C4B8" w14:textId="77777777" w:rsidR="008D196E" w:rsidRPr="00EA72A8" w:rsidRDefault="008D196E" w:rsidP="008D196E">
            <w:pPr>
              <w:widowControl/>
              <w:spacing w:before="120" w:after="120"/>
              <w:rPr>
                <w:rFonts w:ascii="Times New Roman" w:hAnsi="Times New Roman" w:cs="Times New Roman"/>
                <w:strike/>
                <w:noProof/>
              </w:rPr>
            </w:pPr>
            <w:bookmarkStart w:id="18" w:name="_Hlk126165520"/>
            <w:r w:rsidRPr="00EA72A8">
              <w:rPr>
                <w:rFonts w:ascii="Times New Roman" w:hAnsi="Times New Roman" w:cs="Times New Roman"/>
                <w:strike/>
                <w:noProof/>
              </w:rPr>
              <w:t>Criteri minimi per stimare la capacità totale di ritenzione idrica del suolo di un distretto su scala di bacino o sottobacino idrografico:</w:t>
            </w:r>
          </w:p>
          <w:p w14:paraId="31B28989" w14:textId="77777777" w:rsidR="008D196E" w:rsidRPr="00EA72A8" w:rsidRDefault="008D196E" w:rsidP="008D196E">
            <w:pPr>
              <w:widowControl/>
              <w:numPr>
                <w:ilvl w:val="0"/>
                <w:numId w:val="45"/>
              </w:numPr>
              <w:spacing w:before="120" w:after="120"/>
              <w:jc w:val="both"/>
              <w:rPr>
                <w:rFonts w:ascii="Times New Roman" w:hAnsi="Times New Roman" w:cs="Times New Roman"/>
                <w:strike/>
                <w:noProof/>
              </w:rPr>
            </w:pPr>
            <w:r w:rsidRPr="00EA72A8">
              <w:rPr>
                <w:rFonts w:ascii="Times New Roman" w:hAnsi="Times New Roman" w:cs="Times New Roman"/>
                <w:strike/>
                <w:noProof/>
              </w:rPr>
              <w:t xml:space="preserve">per il terreno non consumato, stimare il valore totale della capacità di ritenzione idrica del suolo </w:t>
            </w:r>
          </w:p>
          <w:p w14:paraId="29530A36" w14:textId="77777777" w:rsidR="008D196E" w:rsidRPr="00EA72A8" w:rsidRDefault="008D196E" w:rsidP="008D196E">
            <w:pPr>
              <w:widowControl/>
              <w:numPr>
                <w:ilvl w:val="0"/>
                <w:numId w:val="45"/>
              </w:numPr>
              <w:spacing w:before="120" w:after="120"/>
              <w:jc w:val="both"/>
              <w:rPr>
                <w:rFonts w:ascii="Times New Roman" w:hAnsi="Times New Roman" w:cs="Times New Roman"/>
                <w:strike/>
                <w:noProof/>
              </w:rPr>
            </w:pPr>
            <w:r w:rsidRPr="00EA72A8">
              <w:rPr>
                <w:rFonts w:ascii="Times New Roman" w:hAnsi="Times New Roman" w:cs="Times New Roman"/>
                <w:strike/>
                <w:noProof/>
              </w:rPr>
              <w:t>per il terreno consumato, valutare la possibilità di azzerare la capacità di ritenzione idrica delle aree impervie, attribuendo in proporzione valori intermedi alle aree semi-impervie e ad altre aree artificiali.</w:t>
            </w:r>
            <w:bookmarkEnd w:id="18"/>
          </w:p>
        </w:tc>
        <w:tc>
          <w:tcPr>
            <w:tcW w:w="1843" w:type="dxa"/>
            <w:tcBorders>
              <w:top w:val="single" w:sz="4" w:space="0" w:color="auto"/>
              <w:left w:val="single" w:sz="4" w:space="0" w:color="auto"/>
              <w:bottom w:val="single" w:sz="4" w:space="0" w:color="auto"/>
              <w:right w:val="single" w:sz="4" w:space="0" w:color="auto"/>
            </w:tcBorders>
          </w:tcPr>
          <w:p w14:paraId="71BB915B" w14:textId="77777777" w:rsidR="008D196E" w:rsidRPr="00EA72A8" w:rsidRDefault="008D196E" w:rsidP="008D196E">
            <w:pPr>
              <w:widowControl/>
              <w:spacing w:before="120" w:after="120"/>
              <w:rPr>
                <w:rFonts w:ascii="Times New Roman" w:hAnsi="Times New Roman" w:cs="Times New Roman"/>
                <w:strike/>
                <w:noProof/>
              </w:rPr>
            </w:pPr>
            <w:r w:rsidRPr="00EA72A8">
              <w:rPr>
                <w:rFonts w:ascii="Times New Roman" w:hAnsi="Times New Roman" w:cs="Times New Roman"/>
                <w:strike/>
                <w:noProof/>
              </w:rPr>
              <w:t>Sì (per il valore del punto)</w:t>
            </w:r>
          </w:p>
        </w:tc>
      </w:tr>
      <w:tr w:rsidR="008D196E" w:rsidRPr="00EA72A8" w14:paraId="1DB92916" w14:textId="77777777" w:rsidTr="008D196E">
        <w:tc>
          <w:tcPr>
            <w:tcW w:w="2530" w:type="dxa"/>
            <w:tcBorders>
              <w:top w:val="single" w:sz="4" w:space="0" w:color="auto"/>
              <w:left w:val="single" w:sz="4" w:space="0" w:color="auto"/>
              <w:bottom w:val="single" w:sz="4" w:space="0" w:color="auto"/>
              <w:right w:val="single" w:sz="4" w:space="0" w:color="auto"/>
            </w:tcBorders>
            <w:hideMark/>
          </w:tcPr>
          <w:p w14:paraId="5B901FF2" w14:textId="77777777" w:rsidR="008D196E" w:rsidRPr="00EA72A8" w:rsidRDefault="008D196E" w:rsidP="008D196E">
            <w:pPr>
              <w:widowControl/>
              <w:spacing w:before="120" w:after="120"/>
              <w:rPr>
                <w:rFonts w:ascii="Times New Roman" w:hAnsi="Times New Roman" w:cs="Times New Roman"/>
                <w:strike/>
                <w:noProof/>
              </w:rPr>
            </w:pPr>
            <w:r w:rsidRPr="00EA72A8">
              <w:rPr>
                <w:rFonts w:ascii="Times New Roman" w:hAnsi="Times New Roman" w:cs="Times New Roman"/>
                <w:strike/>
                <w:noProof/>
              </w:rPr>
              <w:t xml:space="preserve">Azoto nel suolo </w:t>
            </w:r>
          </w:p>
        </w:tc>
        <w:tc>
          <w:tcPr>
            <w:tcW w:w="2827" w:type="dxa"/>
            <w:tcBorders>
              <w:top w:val="single" w:sz="4" w:space="0" w:color="auto"/>
              <w:left w:val="single" w:sz="4" w:space="0" w:color="auto"/>
              <w:bottom w:val="single" w:sz="4" w:space="0" w:color="auto"/>
              <w:right w:val="single" w:sz="4" w:space="0" w:color="auto"/>
            </w:tcBorders>
            <w:hideMark/>
          </w:tcPr>
          <w:p w14:paraId="43267EF3" w14:textId="77777777" w:rsidR="008D196E" w:rsidRPr="00EA72A8" w:rsidRDefault="008D196E" w:rsidP="008D196E">
            <w:pPr>
              <w:widowControl/>
              <w:spacing w:before="120" w:after="120"/>
              <w:rPr>
                <w:rFonts w:ascii="Times New Roman" w:hAnsi="Times New Roman" w:cs="Times New Roman"/>
                <w:strike/>
                <w:noProof/>
              </w:rPr>
            </w:pPr>
            <w:r w:rsidRPr="00EA72A8">
              <w:rPr>
                <w:rFonts w:ascii="Times New Roman" w:hAnsi="Times New Roman" w:cs="Times New Roman"/>
                <w:strike/>
                <w:noProof/>
              </w:rPr>
              <w:t>ISO 11261:1995 per la determinazione dell'azoto totale nel suolo con il metodo Kjeldahl modificato</w:t>
            </w:r>
          </w:p>
        </w:tc>
        <w:tc>
          <w:tcPr>
            <w:tcW w:w="3290" w:type="dxa"/>
            <w:tcBorders>
              <w:top w:val="single" w:sz="4" w:space="0" w:color="auto"/>
              <w:left w:val="single" w:sz="4" w:space="0" w:color="auto"/>
              <w:bottom w:val="single" w:sz="4" w:space="0" w:color="auto"/>
              <w:right w:val="single" w:sz="4" w:space="0" w:color="auto"/>
            </w:tcBorders>
          </w:tcPr>
          <w:p w14:paraId="36E109AB" w14:textId="77777777" w:rsidR="008D196E" w:rsidRPr="00EA72A8" w:rsidRDefault="008D196E" w:rsidP="008D196E">
            <w:pPr>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723CB358" w14:textId="77777777" w:rsidR="008D196E" w:rsidRPr="00EA72A8" w:rsidRDefault="008D196E" w:rsidP="008D196E">
            <w:pPr>
              <w:widowControl/>
              <w:spacing w:before="120" w:after="120"/>
              <w:rPr>
                <w:rFonts w:ascii="Times New Roman" w:hAnsi="Times New Roman" w:cs="Times New Roman"/>
                <w:strike/>
                <w:noProof/>
              </w:rPr>
            </w:pPr>
            <w:r w:rsidRPr="00EA72A8">
              <w:rPr>
                <w:rFonts w:ascii="Times New Roman" w:hAnsi="Times New Roman" w:cs="Times New Roman"/>
                <w:strike/>
                <w:noProof/>
              </w:rPr>
              <w:t>SÌ</w:t>
            </w:r>
          </w:p>
        </w:tc>
      </w:tr>
      <w:tr w:rsidR="008D196E" w:rsidRPr="00EA72A8" w14:paraId="6DCAED91" w14:textId="77777777" w:rsidTr="008D196E">
        <w:tc>
          <w:tcPr>
            <w:tcW w:w="2530" w:type="dxa"/>
            <w:tcBorders>
              <w:top w:val="single" w:sz="4" w:space="0" w:color="auto"/>
              <w:left w:val="single" w:sz="4" w:space="0" w:color="auto"/>
              <w:bottom w:val="single" w:sz="4" w:space="0" w:color="auto"/>
              <w:right w:val="single" w:sz="4" w:space="0" w:color="auto"/>
            </w:tcBorders>
            <w:hideMark/>
          </w:tcPr>
          <w:p w14:paraId="6369FD0B" w14:textId="77777777" w:rsidR="008D196E" w:rsidRPr="00EA72A8" w:rsidRDefault="008D196E" w:rsidP="008D196E">
            <w:pPr>
              <w:widowControl/>
              <w:spacing w:before="120" w:after="120"/>
              <w:rPr>
                <w:rFonts w:ascii="Times New Roman" w:hAnsi="Times New Roman" w:cs="Times New Roman"/>
                <w:strike/>
                <w:noProof/>
              </w:rPr>
            </w:pPr>
            <w:r w:rsidRPr="00EA72A8">
              <w:rPr>
                <w:rFonts w:ascii="Times New Roman" w:hAnsi="Times New Roman" w:cs="Times New Roman"/>
                <w:strike/>
                <w:noProof/>
              </w:rPr>
              <w:t>Acidità del suolo</w:t>
            </w:r>
          </w:p>
        </w:tc>
        <w:tc>
          <w:tcPr>
            <w:tcW w:w="2827" w:type="dxa"/>
            <w:tcBorders>
              <w:top w:val="single" w:sz="4" w:space="0" w:color="auto"/>
              <w:left w:val="single" w:sz="4" w:space="0" w:color="auto"/>
              <w:bottom w:val="single" w:sz="4" w:space="0" w:color="auto"/>
              <w:right w:val="single" w:sz="4" w:space="0" w:color="auto"/>
            </w:tcBorders>
            <w:hideMark/>
          </w:tcPr>
          <w:p w14:paraId="741D76D8" w14:textId="77777777" w:rsidR="008D196E" w:rsidRPr="00EA72A8" w:rsidRDefault="008D196E" w:rsidP="008D196E">
            <w:pPr>
              <w:widowControl/>
              <w:spacing w:before="120" w:after="120"/>
              <w:rPr>
                <w:rFonts w:ascii="Times New Roman" w:hAnsi="Times New Roman" w:cs="Times New Roman"/>
                <w:strike/>
                <w:noProof/>
              </w:rPr>
            </w:pPr>
            <w:r w:rsidRPr="00EA72A8">
              <w:rPr>
                <w:rFonts w:ascii="Times New Roman" w:hAnsi="Times New Roman" w:cs="Times New Roman"/>
                <w:strike/>
                <w:noProof/>
              </w:rPr>
              <w:t xml:space="preserve">ISO 10390:2005 per la determinazione del pH nell'estratto di H2O e </w:t>
            </w:r>
            <w:r w:rsidRPr="00EA72A8">
              <w:rPr>
                <w:rFonts w:ascii="Times New Roman" w:hAnsi="Times New Roman" w:cs="Times New Roman"/>
                <w:strike/>
                <w:noProof/>
              </w:rPr>
              <w:lastRenderedPageBreak/>
              <w:t>CaCl2 (pH-H2O e pH-CaCl2)</w:t>
            </w:r>
          </w:p>
        </w:tc>
        <w:tc>
          <w:tcPr>
            <w:tcW w:w="3290" w:type="dxa"/>
            <w:tcBorders>
              <w:top w:val="single" w:sz="4" w:space="0" w:color="auto"/>
              <w:left w:val="single" w:sz="4" w:space="0" w:color="auto"/>
              <w:bottom w:val="single" w:sz="4" w:space="0" w:color="auto"/>
              <w:right w:val="single" w:sz="4" w:space="0" w:color="auto"/>
            </w:tcBorders>
          </w:tcPr>
          <w:p w14:paraId="2965333B" w14:textId="77777777" w:rsidR="008D196E" w:rsidRPr="00EA72A8" w:rsidRDefault="008D196E" w:rsidP="008D196E">
            <w:pPr>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2A6B3487" w14:textId="77777777" w:rsidR="008D196E" w:rsidRPr="00EA72A8" w:rsidRDefault="008D196E" w:rsidP="008D196E">
            <w:pPr>
              <w:widowControl/>
              <w:spacing w:before="120" w:after="120"/>
              <w:rPr>
                <w:rFonts w:ascii="Times New Roman" w:hAnsi="Times New Roman" w:cs="Times New Roman"/>
                <w:strike/>
                <w:noProof/>
              </w:rPr>
            </w:pPr>
            <w:r w:rsidRPr="00EA72A8">
              <w:rPr>
                <w:rFonts w:ascii="Times New Roman" w:hAnsi="Times New Roman" w:cs="Times New Roman"/>
                <w:strike/>
                <w:noProof/>
              </w:rPr>
              <w:t>SÌ</w:t>
            </w:r>
          </w:p>
        </w:tc>
      </w:tr>
      <w:tr w:rsidR="008D196E" w:rsidRPr="00EA72A8" w14:paraId="7E374A24" w14:textId="77777777" w:rsidTr="008D196E">
        <w:tc>
          <w:tcPr>
            <w:tcW w:w="2530" w:type="dxa"/>
            <w:tcBorders>
              <w:top w:val="single" w:sz="4" w:space="0" w:color="auto"/>
              <w:left w:val="single" w:sz="4" w:space="0" w:color="auto"/>
              <w:bottom w:val="single" w:sz="4" w:space="0" w:color="auto"/>
              <w:right w:val="single" w:sz="4" w:space="0" w:color="auto"/>
            </w:tcBorders>
            <w:hideMark/>
          </w:tcPr>
          <w:p w14:paraId="1D08BB4E" w14:textId="77777777" w:rsidR="008D196E" w:rsidRPr="00EA72A8" w:rsidRDefault="008D196E" w:rsidP="008D196E">
            <w:pPr>
              <w:widowControl/>
              <w:spacing w:before="120" w:after="120"/>
              <w:rPr>
                <w:rFonts w:ascii="Times New Roman" w:hAnsi="Times New Roman" w:cs="Times New Roman"/>
                <w:strike/>
                <w:noProof/>
              </w:rPr>
            </w:pPr>
            <w:r w:rsidRPr="00EA72A8">
              <w:rPr>
                <w:rFonts w:ascii="Times New Roman" w:hAnsi="Times New Roman" w:cs="Times New Roman"/>
                <w:strike/>
                <w:noProof/>
              </w:rPr>
              <w:t>Densità apparente nello strato superficiale (orizzonte A</w:t>
            </w:r>
            <w:r w:rsidRPr="00EA72A8">
              <w:rPr>
                <w:rFonts w:ascii="Times New Roman" w:hAnsi="Times New Roman" w:cs="Times New Roman"/>
                <w:strike/>
                <w:noProof/>
                <w:vertAlign w:val="superscript"/>
              </w:rPr>
              <w:footnoteReference w:id="69"/>
            </w:r>
            <w:r w:rsidRPr="00EA72A8">
              <w:rPr>
                <w:rFonts w:ascii="Times New Roman" w:hAnsi="Times New Roman" w:cs="Times New Roman"/>
                <w:strike/>
                <w:noProof/>
              </w:rPr>
              <w:t>)</w:t>
            </w:r>
          </w:p>
        </w:tc>
        <w:tc>
          <w:tcPr>
            <w:tcW w:w="2827" w:type="dxa"/>
            <w:tcBorders>
              <w:top w:val="single" w:sz="4" w:space="0" w:color="auto"/>
              <w:left w:val="single" w:sz="4" w:space="0" w:color="auto"/>
              <w:bottom w:val="single" w:sz="4" w:space="0" w:color="auto"/>
              <w:right w:val="single" w:sz="4" w:space="0" w:color="auto"/>
            </w:tcBorders>
            <w:hideMark/>
          </w:tcPr>
          <w:p w14:paraId="73065AE7" w14:textId="77777777" w:rsidR="008D196E" w:rsidRPr="00EA72A8" w:rsidRDefault="008D196E" w:rsidP="008D196E">
            <w:pPr>
              <w:widowControl/>
              <w:spacing w:before="120" w:after="120"/>
              <w:rPr>
                <w:rFonts w:ascii="Times New Roman" w:hAnsi="Times New Roman" w:cs="Times New Roman"/>
                <w:strike/>
                <w:noProof/>
              </w:rPr>
            </w:pPr>
            <w:r w:rsidRPr="00EA72A8">
              <w:rPr>
                <w:rFonts w:ascii="Times New Roman" w:hAnsi="Times New Roman" w:cs="Times New Roman"/>
                <w:strike/>
                <w:noProof/>
              </w:rPr>
              <w:t xml:space="preserve">ISO 11272:2017 per la determinazione della densità apparente a secco </w:t>
            </w:r>
          </w:p>
          <w:p w14:paraId="55DA3944" w14:textId="77777777" w:rsidR="008D196E" w:rsidRPr="00EA72A8" w:rsidRDefault="008D196E" w:rsidP="008D196E">
            <w:pPr>
              <w:widowControl/>
              <w:spacing w:before="120" w:after="120"/>
              <w:rPr>
                <w:rFonts w:ascii="Times New Roman" w:hAnsi="Times New Roman" w:cs="Times New Roman"/>
                <w:strike/>
                <w:noProof/>
              </w:rPr>
            </w:pPr>
          </w:p>
        </w:tc>
        <w:tc>
          <w:tcPr>
            <w:tcW w:w="3290" w:type="dxa"/>
            <w:tcBorders>
              <w:top w:val="single" w:sz="4" w:space="0" w:color="auto"/>
              <w:left w:val="single" w:sz="4" w:space="0" w:color="auto"/>
              <w:bottom w:val="single" w:sz="4" w:space="0" w:color="auto"/>
              <w:right w:val="single" w:sz="4" w:space="0" w:color="auto"/>
            </w:tcBorders>
          </w:tcPr>
          <w:p w14:paraId="2FD3CE87" w14:textId="77777777" w:rsidR="008D196E" w:rsidRPr="00EA72A8" w:rsidRDefault="008D196E" w:rsidP="008D196E">
            <w:pPr>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6BA6EF4D" w14:textId="77777777" w:rsidR="008D196E" w:rsidRPr="00EA72A8" w:rsidRDefault="008D196E" w:rsidP="008D196E">
            <w:pPr>
              <w:widowControl/>
              <w:spacing w:before="120" w:after="120"/>
              <w:rPr>
                <w:rFonts w:ascii="Times New Roman" w:hAnsi="Times New Roman" w:cs="Times New Roman"/>
                <w:strike/>
                <w:noProof/>
              </w:rPr>
            </w:pPr>
            <w:r w:rsidRPr="00EA72A8">
              <w:rPr>
                <w:rFonts w:ascii="Times New Roman" w:hAnsi="Times New Roman" w:cs="Times New Roman"/>
                <w:strike/>
                <w:noProof/>
              </w:rPr>
              <w:t>SÌ</w:t>
            </w:r>
          </w:p>
        </w:tc>
      </w:tr>
      <w:tr w:rsidR="008D196E" w:rsidRPr="00EA72A8" w14:paraId="06D22F9E" w14:textId="77777777" w:rsidTr="008D196E">
        <w:tc>
          <w:tcPr>
            <w:tcW w:w="2530" w:type="dxa"/>
            <w:tcBorders>
              <w:top w:val="single" w:sz="4" w:space="0" w:color="auto"/>
              <w:left w:val="single" w:sz="4" w:space="0" w:color="auto"/>
              <w:bottom w:val="single" w:sz="4" w:space="0" w:color="auto"/>
              <w:right w:val="single" w:sz="4" w:space="0" w:color="auto"/>
            </w:tcBorders>
          </w:tcPr>
          <w:p w14:paraId="2A2439F2"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Respirazione basale del suolo</w:t>
            </w:r>
          </w:p>
          <w:p w14:paraId="4ACFBDEC" w14:textId="77777777" w:rsidR="008D196E" w:rsidRPr="00EA72A8" w:rsidRDefault="008D196E" w:rsidP="008D196E">
            <w:pPr>
              <w:keepNext/>
              <w:widowControl/>
              <w:spacing w:before="120" w:after="120"/>
              <w:rPr>
                <w:rFonts w:ascii="Times New Roman" w:hAnsi="Times New Roman" w:cs="Times New Roman"/>
                <w:strike/>
                <w:noProof/>
              </w:rPr>
            </w:pPr>
          </w:p>
          <w:p w14:paraId="1EB5EBBD"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 xml:space="preserve"> Gli Stati membri possono anche scegliere altri descrittori di biodiversità del suolo facoltativi, quali: </w:t>
            </w:r>
            <w:r w:rsidRPr="00EA72A8">
              <w:rPr>
                <w:rFonts w:ascii="Times New Roman" w:hAnsi="Times New Roman" w:cs="Times New Roman"/>
                <w:strike/>
                <w:noProof/>
              </w:rPr>
              <w:br/>
              <w:t>- metabarcoding</w:t>
            </w:r>
            <w:r w:rsidRPr="00EA72A8">
              <w:rPr>
                <w:rFonts w:ascii="Times New Roman" w:hAnsi="Times New Roman" w:cs="Times New Roman"/>
                <w:strike/>
                <w:noProof/>
                <w:vertAlign w:val="superscript"/>
              </w:rPr>
              <w:footnoteReference w:id="70"/>
            </w:r>
            <w:r w:rsidRPr="00EA72A8">
              <w:rPr>
                <w:rFonts w:ascii="Times New Roman" w:hAnsi="Times New Roman" w:cs="Times New Roman"/>
                <w:strike/>
                <w:noProof/>
              </w:rPr>
              <w:t xml:space="preserve"> di batteri, funghi, protisti e animali; </w:t>
            </w:r>
            <w:r w:rsidRPr="00EA72A8">
              <w:rPr>
                <w:rFonts w:ascii="Times New Roman" w:hAnsi="Times New Roman" w:cs="Times New Roman"/>
                <w:strike/>
                <w:noProof/>
              </w:rPr>
              <w:br/>
              <w:t xml:space="preserve"> - abbondanza e diversità di nematodi; </w:t>
            </w:r>
            <w:r w:rsidRPr="00EA72A8">
              <w:rPr>
                <w:rFonts w:ascii="Times New Roman" w:hAnsi="Times New Roman" w:cs="Times New Roman"/>
                <w:strike/>
                <w:noProof/>
              </w:rPr>
              <w:br/>
              <w:t xml:space="preserve"> - biomassa microbica; </w:t>
            </w:r>
            <w:r w:rsidRPr="00EA72A8">
              <w:rPr>
                <w:rFonts w:ascii="Times New Roman" w:hAnsi="Times New Roman" w:cs="Times New Roman"/>
                <w:strike/>
                <w:noProof/>
              </w:rPr>
              <w:br/>
              <w:t xml:space="preserve"> - abbondanza e diversità di lombrichi (nelle terre coltivate);</w:t>
            </w:r>
          </w:p>
        </w:tc>
        <w:tc>
          <w:tcPr>
            <w:tcW w:w="2827" w:type="dxa"/>
            <w:tcBorders>
              <w:top w:val="single" w:sz="4" w:space="0" w:color="auto"/>
              <w:left w:val="single" w:sz="4" w:space="0" w:color="auto"/>
              <w:bottom w:val="single" w:sz="4" w:space="0" w:color="auto"/>
              <w:right w:val="single" w:sz="4" w:space="0" w:color="auto"/>
            </w:tcBorders>
          </w:tcPr>
          <w:p w14:paraId="442185CE"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 xml:space="preserve"> Seguire le indicazioni descritte nell'articolo scientifico "</w:t>
            </w:r>
            <w:r w:rsidRPr="00EA72A8">
              <w:rPr>
                <w:rFonts w:ascii="Times New Roman" w:hAnsi="Times New Roman" w:cs="Times New Roman"/>
                <w:i/>
                <w:iCs/>
                <w:strike/>
                <w:noProof/>
              </w:rPr>
              <w:t>Microbial biomass and activities in soil as affected by frozen and cold storage</w:t>
            </w:r>
            <w:r w:rsidRPr="00EA72A8">
              <w:rPr>
                <w:rFonts w:ascii="Times New Roman" w:hAnsi="Times New Roman" w:cs="Times New Roman"/>
                <w:strike/>
                <w:noProof/>
              </w:rPr>
              <w:t>"</w:t>
            </w:r>
            <w:r w:rsidRPr="00EA72A8">
              <w:rPr>
                <w:rFonts w:ascii="Times New Roman" w:hAnsi="Times New Roman" w:cs="Times New Roman"/>
                <w:strike/>
                <w:noProof/>
                <w:vertAlign w:val="superscript"/>
              </w:rPr>
              <w:footnoteReference w:id="71"/>
            </w:r>
          </w:p>
          <w:p w14:paraId="55170900" w14:textId="77777777" w:rsidR="008D196E" w:rsidRPr="00EA72A8" w:rsidRDefault="008D196E" w:rsidP="008D196E">
            <w:pPr>
              <w:keepNext/>
              <w:widowControl/>
              <w:spacing w:before="120" w:after="120"/>
              <w:rPr>
                <w:rFonts w:ascii="Times New Roman" w:hAnsi="Times New Roman" w:cs="Times New Roman"/>
                <w:strike/>
                <w:noProof/>
              </w:rPr>
            </w:pPr>
          </w:p>
          <w:p w14:paraId="6FC124AE" w14:textId="77777777" w:rsidR="008D196E" w:rsidRPr="00EA72A8" w:rsidRDefault="008D196E" w:rsidP="008D196E">
            <w:pPr>
              <w:keepNext/>
              <w:widowControl/>
              <w:spacing w:before="120" w:after="120"/>
              <w:rPr>
                <w:rFonts w:ascii="Times New Roman" w:hAnsi="Times New Roman" w:cs="Times New Roman"/>
                <w:strike/>
                <w:noProof/>
              </w:rPr>
            </w:pPr>
          </w:p>
          <w:p w14:paraId="5FA925B0" w14:textId="77777777" w:rsidR="008D196E" w:rsidRPr="00EA72A8" w:rsidRDefault="008D196E" w:rsidP="008D196E">
            <w:pPr>
              <w:keepNext/>
              <w:widowControl/>
              <w:spacing w:before="120" w:after="120"/>
              <w:rPr>
                <w:rFonts w:ascii="Times New Roman" w:hAnsi="Times New Roman" w:cs="Times New Roman"/>
                <w:strike/>
                <w:noProof/>
              </w:rPr>
            </w:pPr>
          </w:p>
        </w:tc>
        <w:tc>
          <w:tcPr>
            <w:tcW w:w="3290" w:type="dxa"/>
            <w:tcBorders>
              <w:top w:val="single" w:sz="4" w:space="0" w:color="auto"/>
              <w:left w:val="single" w:sz="4" w:space="0" w:color="auto"/>
              <w:bottom w:val="single" w:sz="4" w:space="0" w:color="auto"/>
              <w:right w:val="single" w:sz="4" w:space="0" w:color="auto"/>
            </w:tcBorders>
          </w:tcPr>
          <w:p w14:paraId="7717C227" w14:textId="77777777" w:rsidR="008D196E" w:rsidRPr="00EA72A8" w:rsidRDefault="008D196E" w:rsidP="008D196E">
            <w:pPr>
              <w:keepNext/>
              <w:widowControl/>
              <w:spacing w:before="120" w:after="120"/>
              <w:rPr>
                <w:rFonts w:ascii="Times New Roman" w:hAnsi="Times New Roman" w:cs="Times New Roman"/>
                <w:strike/>
                <w:noProof/>
              </w:rPr>
            </w:pPr>
          </w:p>
          <w:p w14:paraId="65803D9D" w14:textId="77777777" w:rsidR="008D196E" w:rsidRPr="00EA72A8" w:rsidRDefault="008D196E" w:rsidP="008D196E">
            <w:pPr>
              <w:keepNext/>
              <w:widowControl/>
              <w:spacing w:before="120" w:after="120"/>
              <w:rPr>
                <w:rFonts w:ascii="Times New Roman" w:hAnsi="Times New Roman" w:cs="Times New Roman"/>
                <w:strike/>
                <w:noProof/>
              </w:rPr>
            </w:pPr>
          </w:p>
          <w:p w14:paraId="03C89C29" w14:textId="77777777" w:rsidR="008D196E" w:rsidRPr="00EA72A8" w:rsidRDefault="008D196E" w:rsidP="008D196E">
            <w:pPr>
              <w:keepNext/>
              <w:widowControl/>
              <w:spacing w:before="120" w:after="120"/>
              <w:rPr>
                <w:rFonts w:ascii="Times New Roman" w:hAnsi="Times New Roman" w:cs="Times New Roman"/>
                <w:strike/>
                <w:noProof/>
              </w:rPr>
            </w:pPr>
          </w:p>
          <w:p w14:paraId="421B887E" w14:textId="77777777" w:rsidR="008D196E" w:rsidRPr="00EA72A8" w:rsidRDefault="008D196E" w:rsidP="008D196E">
            <w:pPr>
              <w:keepNext/>
              <w:widowControl/>
              <w:spacing w:before="120" w:after="120"/>
              <w:rPr>
                <w:rFonts w:ascii="Times New Roman" w:hAnsi="Times New Roman" w:cs="Times New Roman"/>
                <w:strike/>
                <w:noProof/>
              </w:rPr>
            </w:pPr>
          </w:p>
          <w:p w14:paraId="35501B12" w14:textId="77777777" w:rsidR="008D196E" w:rsidRPr="00EA72A8" w:rsidRDefault="008D196E" w:rsidP="008D196E">
            <w:pPr>
              <w:keepNext/>
              <w:widowControl/>
              <w:spacing w:before="120" w:after="120"/>
              <w:rPr>
                <w:rFonts w:ascii="Times New Roman" w:hAnsi="Times New Roman" w:cs="Times New Roman"/>
                <w:strike/>
                <w:noProof/>
              </w:rPr>
            </w:pPr>
          </w:p>
          <w:p w14:paraId="5D2B5E73" w14:textId="77777777" w:rsidR="008D196E" w:rsidRPr="00EA72A8" w:rsidRDefault="008D196E" w:rsidP="008D196E">
            <w:pPr>
              <w:keepNext/>
              <w:widowControl/>
              <w:spacing w:before="120" w:after="120"/>
              <w:rPr>
                <w:rFonts w:ascii="Times New Roman" w:hAnsi="Times New Roman" w:cs="Times New Roman"/>
                <w:strike/>
                <w:noProof/>
              </w:rPr>
            </w:pPr>
          </w:p>
          <w:p w14:paraId="63D3449B" w14:textId="77777777" w:rsidR="008D196E" w:rsidRPr="00EA72A8" w:rsidRDefault="008D196E" w:rsidP="008D196E">
            <w:pPr>
              <w:keepNext/>
              <w:widowControl/>
              <w:spacing w:before="120" w:after="120"/>
              <w:rPr>
                <w:rFonts w:ascii="Times New Roman" w:hAnsi="Times New Roman" w:cs="Times New Roman"/>
                <w:strike/>
                <w:noProof/>
              </w:rPr>
            </w:pPr>
          </w:p>
          <w:p w14:paraId="3AFBDE8D" w14:textId="77777777" w:rsidR="008D196E" w:rsidRPr="00EA72A8" w:rsidRDefault="008D196E" w:rsidP="008D196E">
            <w:pPr>
              <w:keepNext/>
              <w:widowControl/>
              <w:spacing w:before="120" w:after="120"/>
              <w:rPr>
                <w:rFonts w:ascii="Times New Roman" w:hAnsi="Times New Roman" w:cs="Times New Roman"/>
                <w:strike/>
                <w:noProof/>
              </w:rPr>
            </w:pPr>
          </w:p>
          <w:p w14:paraId="6B95A4CE"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Applicare le norme europee o internazionali se disponibili; in mancanza, la metodologia scelta deve essere disponibile pubblicamente o nella letteratura scientifica.</w:t>
            </w:r>
          </w:p>
          <w:p w14:paraId="66E06E04" w14:textId="77777777" w:rsidR="008D196E" w:rsidRPr="00EA72A8" w:rsidRDefault="008D196E" w:rsidP="008D196E">
            <w:pPr>
              <w:keepNext/>
              <w:widowControl/>
              <w:spacing w:before="120" w:after="120"/>
              <w:rPr>
                <w:rFonts w:ascii="Times New Roman" w:hAnsi="Times New Roman" w:cs="Times New Roman"/>
                <w:strike/>
                <w:noProof/>
              </w:rPr>
            </w:pPr>
          </w:p>
          <w:p w14:paraId="4AE980F8" w14:textId="77777777" w:rsidR="008D196E" w:rsidRPr="00EA72A8" w:rsidRDefault="008D196E" w:rsidP="008D196E">
            <w:pPr>
              <w:keepNext/>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7B058B0C"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SÌ</w:t>
            </w:r>
          </w:p>
          <w:p w14:paraId="1EB44D36" w14:textId="77777777" w:rsidR="008D196E" w:rsidRPr="00EA72A8" w:rsidRDefault="008D196E" w:rsidP="008D196E">
            <w:pPr>
              <w:keepNext/>
              <w:widowControl/>
              <w:spacing w:before="120" w:after="120"/>
              <w:rPr>
                <w:rFonts w:ascii="Times New Roman" w:hAnsi="Times New Roman" w:cs="Times New Roman"/>
                <w:strike/>
                <w:noProof/>
              </w:rPr>
            </w:pPr>
          </w:p>
          <w:p w14:paraId="0602E238" w14:textId="77777777" w:rsidR="008D196E" w:rsidRPr="00EA72A8" w:rsidRDefault="008D196E" w:rsidP="008D196E">
            <w:pPr>
              <w:keepNext/>
              <w:widowControl/>
              <w:spacing w:before="120" w:after="120"/>
              <w:rPr>
                <w:rFonts w:ascii="Times New Roman" w:hAnsi="Times New Roman" w:cs="Times New Roman"/>
                <w:strike/>
                <w:noProof/>
              </w:rPr>
            </w:pPr>
          </w:p>
          <w:p w14:paraId="37AD2A67" w14:textId="77777777" w:rsidR="008D196E" w:rsidRPr="00EA72A8" w:rsidRDefault="008D196E" w:rsidP="008D196E">
            <w:pPr>
              <w:keepNext/>
              <w:widowControl/>
              <w:spacing w:before="120" w:after="120"/>
              <w:rPr>
                <w:rFonts w:ascii="Times New Roman" w:hAnsi="Times New Roman" w:cs="Times New Roman"/>
                <w:strike/>
                <w:noProof/>
              </w:rPr>
            </w:pPr>
          </w:p>
          <w:p w14:paraId="094083C5" w14:textId="77777777" w:rsidR="008D196E" w:rsidRPr="00EA72A8" w:rsidRDefault="008D196E" w:rsidP="008D196E">
            <w:pPr>
              <w:keepNext/>
              <w:widowControl/>
              <w:spacing w:before="120" w:after="120"/>
              <w:rPr>
                <w:rFonts w:ascii="Times New Roman" w:hAnsi="Times New Roman" w:cs="Times New Roman"/>
                <w:strike/>
                <w:noProof/>
              </w:rPr>
            </w:pPr>
          </w:p>
          <w:p w14:paraId="0B0BC196" w14:textId="77777777" w:rsidR="008D196E" w:rsidRPr="00EA72A8" w:rsidRDefault="008D196E" w:rsidP="008D196E">
            <w:pPr>
              <w:keepNext/>
              <w:widowControl/>
              <w:spacing w:before="120" w:after="120"/>
              <w:rPr>
                <w:rFonts w:ascii="Times New Roman" w:hAnsi="Times New Roman" w:cs="Times New Roman"/>
                <w:strike/>
                <w:noProof/>
              </w:rPr>
            </w:pPr>
          </w:p>
          <w:p w14:paraId="5D0E40A0" w14:textId="77777777" w:rsidR="008D196E" w:rsidRPr="00EA72A8" w:rsidRDefault="008D196E" w:rsidP="008D196E">
            <w:pPr>
              <w:keepNext/>
              <w:widowControl/>
              <w:spacing w:before="120" w:after="120"/>
              <w:rPr>
                <w:rFonts w:ascii="Times New Roman" w:hAnsi="Times New Roman" w:cs="Times New Roman"/>
                <w:strike/>
                <w:noProof/>
              </w:rPr>
            </w:pPr>
            <w:r w:rsidRPr="00EA72A8">
              <w:rPr>
                <w:rFonts w:ascii="Times New Roman" w:hAnsi="Times New Roman" w:cs="Times New Roman"/>
                <w:strike/>
                <w:noProof/>
              </w:rPr>
              <w:t>Per altri descrittori della biodiversità del suolo: non pertinente</w:t>
            </w:r>
          </w:p>
        </w:tc>
      </w:tr>
    </w:tbl>
    <w:p w14:paraId="7BA41F46" w14:textId="77777777" w:rsidR="00767FA2" w:rsidRPr="00B50018" w:rsidRDefault="00767FA2" w:rsidP="00767FA2">
      <w:pPr>
        <w:spacing w:after="60"/>
        <w:jc w:val="both"/>
        <w:rPr>
          <w:b/>
          <w:i/>
          <w:sz w:val="22"/>
          <w:szCs w:val="22"/>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767FA2" w:rsidRPr="00B50018" w14:paraId="6E2DF093"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6250AAD3" w14:textId="77777777" w:rsidR="00767FA2" w:rsidRPr="00B50018" w:rsidRDefault="00767FA2" w:rsidP="008D41A0">
            <w:pPr>
              <w:rPr>
                <w:b/>
                <w:i/>
                <w:sz w:val="22"/>
                <w:szCs w:val="22"/>
              </w:rPr>
            </w:pPr>
            <w:r w:rsidRPr="00B50018">
              <w:rPr>
                <w:b/>
                <w:i/>
                <w:sz w:val="22"/>
              </w:rPr>
              <w:t>Descrittore del suolo</w:t>
            </w:r>
          </w:p>
        </w:tc>
        <w:tc>
          <w:tcPr>
            <w:tcW w:w="2622" w:type="dxa"/>
            <w:tcBorders>
              <w:top w:val="single" w:sz="4" w:space="0" w:color="000000"/>
              <w:left w:val="single" w:sz="4" w:space="0" w:color="000000"/>
              <w:bottom w:val="single" w:sz="4" w:space="0" w:color="000000"/>
              <w:right w:val="single" w:sz="4" w:space="0" w:color="000000"/>
            </w:tcBorders>
            <w:hideMark/>
          </w:tcPr>
          <w:p w14:paraId="4BB65E28" w14:textId="77777777" w:rsidR="00767FA2" w:rsidRPr="00B50018" w:rsidRDefault="00767FA2" w:rsidP="008D41A0">
            <w:pPr>
              <w:rPr>
                <w:b/>
                <w:i/>
                <w:sz w:val="22"/>
                <w:szCs w:val="22"/>
              </w:rPr>
            </w:pPr>
            <w:r w:rsidRPr="00B50018">
              <w:rPr>
                <w:b/>
                <w:i/>
                <w:sz w:val="22"/>
              </w:rPr>
              <w:t>Metodologia di riferimento</w:t>
            </w:r>
          </w:p>
        </w:tc>
        <w:tc>
          <w:tcPr>
            <w:tcW w:w="3150" w:type="dxa"/>
            <w:tcBorders>
              <w:top w:val="single" w:sz="4" w:space="0" w:color="000000"/>
              <w:left w:val="single" w:sz="4" w:space="0" w:color="000000"/>
              <w:bottom w:val="single" w:sz="4" w:space="0" w:color="000000"/>
              <w:right w:val="single" w:sz="4" w:space="0" w:color="000000"/>
            </w:tcBorders>
            <w:hideMark/>
          </w:tcPr>
          <w:p w14:paraId="2E4707E3" w14:textId="77777777" w:rsidR="00767FA2" w:rsidRPr="00B50018" w:rsidRDefault="00767FA2" w:rsidP="008D41A0">
            <w:pPr>
              <w:rPr>
                <w:b/>
                <w:i/>
                <w:sz w:val="22"/>
                <w:szCs w:val="22"/>
              </w:rPr>
            </w:pPr>
            <w:r w:rsidRPr="00B50018">
              <w:rPr>
                <w:b/>
                <w:i/>
                <w:sz w:val="22"/>
              </w:rPr>
              <w:t>Criteri minimi di metodologia</w:t>
            </w:r>
          </w:p>
        </w:tc>
        <w:tc>
          <w:tcPr>
            <w:tcW w:w="1620" w:type="dxa"/>
            <w:tcBorders>
              <w:top w:val="single" w:sz="4" w:space="0" w:color="000000"/>
              <w:left w:val="single" w:sz="4" w:space="0" w:color="000000"/>
              <w:bottom w:val="single" w:sz="4" w:space="0" w:color="000000"/>
              <w:right w:val="single" w:sz="4" w:space="0" w:color="000000"/>
            </w:tcBorders>
            <w:hideMark/>
          </w:tcPr>
          <w:p w14:paraId="760663C2" w14:textId="77777777" w:rsidR="00767FA2" w:rsidRPr="00B50018" w:rsidRDefault="00767FA2" w:rsidP="008D41A0">
            <w:pPr>
              <w:rPr>
                <w:b/>
                <w:i/>
                <w:sz w:val="22"/>
                <w:szCs w:val="22"/>
              </w:rPr>
            </w:pPr>
            <w:r w:rsidRPr="00B50018">
              <w:rPr>
                <w:b/>
                <w:i/>
                <w:sz w:val="22"/>
              </w:rPr>
              <w:t>Funzione di trasferimento convalidata obbligatoria (se si usa una metodologia diversa dalla metodologia di riferimento)</w:t>
            </w:r>
          </w:p>
        </w:tc>
      </w:tr>
      <w:tr w:rsidR="00767FA2" w:rsidRPr="00B50018" w14:paraId="7F5B0E10"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73733534" w14:textId="77777777" w:rsidR="00767FA2" w:rsidRPr="00B50018" w:rsidRDefault="00767FA2" w:rsidP="008D41A0">
            <w:pPr>
              <w:rPr>
                <w:b/>
                <w:i/>
                <w:sz w:val="22"/>
                <w:szCs w:val="22"/>
              </w:rPr>
            </w:pPr>
            <w:r w:rsidRPr="00B50018">
              <w:rPr>
                <w:b/>
                <w:i/>
                <w:sz w:val="22"/>
              </w:rPr>
              <w:t>Tessitura del suolo (tenore di argilla, limo e sabbia, necessario per determinare altri descrittori e le relative estensioni)</w:t>
            </w:r>
          </w:p>
        </w:tc>
        <w:tc>
          <w:tcPr>
            <w:tcW w:w="2622" w:type="dxa"/>
            <w:tcBorders>
              <w:top w:val="single" w:sz="4" w:space="0" w:color="000000"/>
              <w:left w:val="single" w:sz="4" w:space="0" w:color="000000"/>
              <w:bottom w:val="single" w:sz="4" w:space="0" w:color="000000"/>
              <w:right w:val="single" w:sz="4" w:space="0" w:color="000000"/>
            </w:tcBorders>
            <w:hideMark/>
          </w:tcPr>
          <w:p w14:paraId="25CD0B32" w14:textId="77777777" w:rsidR="00767FA2" w:rsidRPr="00B50018" w:rsidRDefault="00767FA2" w:rsidP="008D41A0">
            <w:pPr>
              <w:rPr>
                <w:b/>
                <w:i/>
                <w:sz w:val="22"/>
                <w:szCs w:val="22"/>
              </w:rPr>
            </w:pPr>
            <w:r w:rsidRPr="00B50018">
              <w:rPr>
                <w:b/>
                <w:i/>
                <w:sz w:val="22"/>
              </w:rPr>
              <w:t xml:space="preserve">Metodo preferito: ISO 11277:1998 Determinazione della distribuzione dimensionale delle particelle nel materiale del suolo minerale – </w:t>
            </w:r>
            <w:r w:rsidRPr="00B50018">
              <w:rPr>
                <w:b/>
                <w:i/>
                <w:sz w:val="22"/>
              </w:rPr>
              <w:lastRenderedPageBreak/>
              <w:t>Metodo di screening e precipitazione</w:t>
            </w:r>
          </w:p>
          <w:p w14:paraId="46334804" w14:textId="77777777" w:rsidR="00767FA2" w:rsidRPr="00B50018" w:rsidRDefault="00767FA2" w:rsidP="008D41A0">
            <w:pPr>
              <w:rPr>
                <w:b/>
                <w:i/>
                <w:sz w:val="22"/>
                <w:szCs w:val="22"/>
              </w:rPr>
            </w:pPr>
            <w:r w:rsidRPr="00B50018">
              <w:rPr>
                <w:b/>
                <w:i/>
                <w:sz w:val="22"/>
              </w:rPr>
              <w:t>Metodo alternativo: ISO 13320:2009 – Analisi granulometrica – Metodi di diffrazione laser</w:t>
            </w:r>
          </w:p>
        </w:tc>
        <w:tc>
          <w:tcPr>
            <w:tcW w:w="3150" w:type="dxa"/>
            <w:tcBorders>
              <w:top w:val="single" w:sz="4" w:space="0" w:color="000000"/>
              <w:left w:val="single" w:sz="4" w:space="0" w:color="000000"/>
              <w:bottom w:val="single" w:sz="4" w:space="0" w:color="000000"/>
              <w:right w:val="single" w:sz="4" w:space="0" w:color="000000"/>
            </w:tcBorders>
          </w:tcPr>
          <w:p w14:paraId="385EACE7"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231BDF87" w14:textId="77777777" w:rsidR="00767FA2" w:rsidRPr="00B50018" w:rsidRDefault="00767FA2" w:rsidP="008D41A0">
            <w:pPr>
              <w:rPr>
                <w:b/>
                <w:i/>
                <w:sz w:val="22"/>
                <w:szCs w:val="22"/>
              </w:rPr>
            </w:pPr>
            <w:r w:rsidRPr="00B50018">
              <w:rPr>
                <w:b/>
                <w:i/>
                <w:sz w:val="22"/>
              </w:rPr>
              <w:t>SÌ</w:t>
            </w:r>
          </w:p>
        </w:tc>
      </w:tr>
      <w:tr w:rsidR="00767FA2" w:rsidRPr="00B50018" w14:paraId="2A8C8074"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63377BB7" w14:textId="77777777" w:rsidR="00767FA2" w:rsidRPr="00B50018" w:rsidRDefault="00767FA2" w:rsidP="008D41A0">
            <w:pPr>
              <w:rPr>
                <w:b/>
                <w:i/>
                <w:sz w:val="22"/>
                <w:szCs w:val="22"/>
              </w:rPr>
            </w:pPr>
            <w:r w:rsidRPr="00B50018">
              <w:rPr>
                <w:b/>
                <w:i/>
                <w:sz w:val="22"/>
              </w:rPr>
              <w:t>Conducibilità elettrica</w:t>
            </w:r>
          </w:p>
        </w:tc>
        <w:tc>
          <w:tcPr>
            <w:tcW w:w="2622" w:type="dxa"/>
            <w:tcBorders>
              <w:top w:val="single" w:sz="4" w:space="0" w:color="000000"/>
              <w:left w:val="single" w:sz="4" w:space="0" w:color="000000"/>
              <w:bottom w:val="single" w:sz="4" w:space="0" w:color="000000"/>
              <w:right w:val="single" w:sz="4" w:space="0" w:color="000000"/>
            </w:tcBorders>
            <w:hideMark/>
          </w:tcPr>
          <w:p w14:paraId="6291F7B7" w14:textId="77777777" w:rsidR="00767FA2" w:rsidRPr="00B50018" w:rsidRDefault="00767FA2" w:rsidP="008D41A0">
            <w:pPr>
              <w:rPr>
                <w:b/>
                <w:i/>
                <w:sz w:val="22"/>
                <w:szCs w:val="22"/>
              </w:rPr>
            </w:pPr>
            <w:r w:rsidRPr="00B50018">
              <w:rPr>
                <w:b/>
                <w:i/>
                <w:sz w:val="22"/>
              </w:rPr>
              <w:t xml:space="preserve">Opzione 1: metodo di misurazione dell'estratto di suolo in pasta satura (CEE) (SOP </w:t>
            </w:r>
            <w:proofErr w:type="gramStart"/>
            <w:r w:rsidRPr="00B50018">
              <w:rPr>
                <w:b/>
                <w:i/>
                <w:sz w:val="22"/>
              </w:rPr>
              <w:t>FAO:  GLOSOLAN</w:t>
            </w:r>
            <w:proofErr w:type="gramEnd"/>
            <w:r w:rsidRPr="00B50018">
              <w:rPr>
                <w:b/>
                <w:i/>
                <w:sz w:val="22"/>
              </w:rPr>
              <w:t>-SOP-08</w:t>
            </w:r>
            <w:r w:rsidRPr="00B50018">
              <w:rPr>
                <w:b/>
                <w:i/>
                <w:sz w:val="22"/>
                <w:vertAlign w:val="superscript"/>
              </w:rPr>
              <w:t>6</w:t>
            </w:r>
            <w:r w:rsidRPr="00B50018">
              <w:rPr>
                <w:b/>
                <w:i/>
                <w:sz w:val="22"/>
              </w:rPr>
              <w:t>)</w:t>
            </w:r>
          </w:p>
          <w:p w14:paraId="14D91853" w14:textId="77777777" w:rsidR="00767FA2" w:rsidRPr="00B50018" w:rsidRDefault="00767FA2" w:rsidP="008D41A0">
            <w:pPr>
              <w:rPr>
                <w:b/>
                <w:i/>
                <w:sz w:val="22"/>
                <w:szCs w:val="22"/>
              </w:rPr>
            </w:pPr>
            <w:r w:rsidRPr="00B50018">
              <w:rPr>
                <w:b/>
                <w:i/>
                <w:sz w:val="22"/>
              </w:rPr>
              <w:t xml:space="preserve">Opzione 2: ISO 11265:1994 Determinazione della conducibilità elettrica specifica  </w:t>
            </w:r>
          </w:p>
        </w:tc>
        <w:tc>
          <w:tcPr>
            <w:tcW w:w="3150" w:type="dxa"/>
            <w:tcBorders>
              <w:top w:val="single" w:sz="4" w:space="0" w:color="000000"/>
              <w:left w:val="single" w:sz="4" w:space="0" w:color="000000"/>
              <w:bottom w:val="single" w:sz="4" w:space="0" w:color="000000"/>
              <w:right w:val="single" w:sz="4" w:space="0" w:color="000000"/>
            </w:tcBorders>
          </w:tcPr>
          <w:p w14:paraId="6786F0C1"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ECF1CB1" w14:textId="77777777" w:rsidR="00767FA2" w:rsidRPr="00B50018" w:rsidRDefault="00767FA2" w:rsidP="008D41A0">
            <w:pPr>
              <w:rPr>
                <w:b/>
                <w:i/>
                <w:sz w:val="22"/>
                <w:szCs w:val="22"/>
              </w:rPr>
            </w:pPr>
            <w:r w:rsidRPr="00B50018">
              <w:rPr>
                <w:b/>
                <w:i/>
                <w:sz w:val="22"/>
              </w:rPr>
              <w:t>SÌ</w:t>
            </w:r>
          </w:p>
        </w:tc>
      </w:tr>
      <w:tr w:rsidR="00767FA2" w:rsidRPr="00B50018" w14:paraId="1E350790"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6B28A6EC" w14:textId="77777777" w:rsidR="00767FA2" w:rsidRPr="00B50018" w:rsidRDefault="00767FA2" w:rsidP="008D41A0">
            <w:pPr>
              <w:rPr>
                <w:b/>
                <w:i/>
                <w:sz w:val="22"/>
                <w:szCs w:val="22"/>
              </w:rPr>
            </w:pPr>
            <w:r w:rsidRPr="00B50018">
              <w:rPr>
                <w:b/>
                <w:i/>
                <w:sz w:val="22"/>
              </w:rPr>
              <w:t>Tasso di erosione del suolo</w:t>
            </w:r>
          </w:p>
        </w:tc>
        <w:tc>
          <w:tcPr>
            <w:tcW w:w="2622" w:type="dxa"/>
            <w:tcBorders>
              <w:top w:val="single" w:sz="4" w:space="0" w:color="000000"/>
              <w:left w:val="single" w:sz="4" w:space="0" w:color="000000"/>
              <w:bottom w:val="single" w:sz="4" w:space="0" w:color="000000"/>
              <w:right w:val="single" w:sz="4" w:space="0" w:color="000000"/>
            </w:tcBorders>
          </w:tcPr>
          <w:p w14:paraId="1198A233" w14:textId="77777777" w:rsidR="00767FA2" w:rsidRPr="00B50018" w:rsidRDefault="00767FA2" w:rsidP="008D41A0">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279338C0" w14:textId="77777777" w:rsidR="00767FA2" w:rsidRPr="00B50018" w:rsidRDefault="00767FA2" w:rsidP="008D41A0">
            <w:pPr>
              <w:rPr>
                <w:b/>
                <w:i/>
                <w:sz w:val="22"/>
                <w:szCs w:val="22"/>
              </w:rPr>
            </w:pPr>
            <w:r w:rsidRPr="00B50018">
              <w:rPr>
                <w:b/>
                <w:i/>
                <w:sz w:val="22"/>
              </w:rPr>
              <w:t>La stima del tasso di erosione del suolo deve tener conto di tutte le misure prese per attenuare o compensare il rischio di erosione, comprese le misure di attenuazione post-incendio.</w:t>
            </w:r>
          </w:p>
          <w:p w14:paraId="55F4D665" w14:textId="77777777" w:rsidR="00767FA2" w:rsidRPr="00B50018" w:rsidRDefault="00767FA2" w:rsidP="008D41A0">
            <w:pPr>
              <w:rPr>
                <w:b/>
                <w:i/>
                <w:sz w:val="22"/>
                <w:szCs w:val="22"/>
              </w:rPr>
            </w:pPr>
            <w:r w:rsidRPr="00B50018">
              <w:rPr>
                <w:b/>
                <w:i/>
                <w:sz w:val="22"/>
              </w:rPr>
              <w:t>La stima del tasso di erosione del suolo deve comprendere tutte le cause all'origine del processo: l'acqua, il vento, il raccolto e la lavorazione del terreno.</w:t>
            </w:r>
          </w:p>
          <w:p w14:paraId="2CD1C6D2" w14:textId="77777777" w:rsidR="00767FA2" w:rsidRPr="00B50018" w:rsidRDefault="00767FA2" w:rsidP="008D41A0">
            <w:pPr>
              <w:rPr>
                <w:b/>
                <w:i/>
                <w:sz w:val="22"/>
                <w:szCs w:val="22"/>
              </w:rPr>
            </w:pPr>
            <w:r w:rsidRPr="00B50018">
              <w:rPr>
                <w:b/>
                <w:i/>
                <w:sz w:val="22"/>
              </w:rPr>
              <w:t xml:space="preserve">L'erosione idrica del suolo è valutata considerando i fattori seguenti: </w:t>
            </w:r>
          </w:p>
          <w:p w14:paraId="06C52FDF" w14:textId="77777777" w:rsidR="00767FA2" w:rsidRPr="00B50018" w:rsidRDefault="00767FA2" w:rsidP="008D41A0">
            <w:pPr>
              <w:widowControl/>
              <w:ind w:left="492" w:hanging="360"/>
              <w:rPr>
                <w:b/>
                <w:i/>
                <w:sz w:val="22"/>
                <w:szCs w:val="22"/>
              </w:rPr>
            </w:pPr>
            <w:r w:rsidRPr="00B50018">
              <w:rPr>
                <w:rFonts w:ascii="Calibri" w:hAnsi="Calibri"/>
                <w:sz w:val="22"/>
              </w:rPr>
              <w:t>-</w:t>
            </w:r>
            <w:r w:rsidRPr="00B50018">
              <w:rPr>
                <w:rFonts w:ascii="Calibri" w:hAnsi="Calibri"/>
                <w:sz w:val="22"/>
              </w:rPr>
              <w:tab/>
            </w:r>
            <w:r w:rsidRPr="00B50018">
              <w:rPr>
                <w:b/>
                <w:i/>
                <w:sz w:val="22"/>
              </w:rPr>
              <w:t xml:space="preserve">caratteristiche del suolo (ad esempio </w:t>
            </w:r>
            <w:proofErr w:type="spellStart"/>
            <w:r w:rsidRPr="00B50018">
              <w:rPr>
                <w:b/>
                <w:i/>
                <w:sz w:val="22"/>
              </w:rPr>
              <w:t>erodibilità</w:t>
            </w:r>
            <w:proofErr w:type="spellEnd"/>
            <w:r w:rsidRPr="00B50018">
              <w:rPr>
                <w:b/>
                <w:i/>
                <w:sz w:val="22"/>
              </w:rPr>
              <w:t xml:space="preserve">, croste deposizionali, rugosità del suolo), </w:t>
            </w:r>
          </w:p>
          <w:p w14:paraId="55CA3FB9" w14:textId="77777777" w:rsidR="00767FA2" w:rsidRPr="00B50018" w:rsidRDefault="00767FA2" w:rsidP="008D41A0">
            <w:pPr>
              <w:widowControl/>
              <w:ind w:left="492" w:hanging="360"/>
              <w:rPr>
                <w:b/>
                <w:i/>
                <w:sz w:val="22"/>
                <w:szCs w:val="22"/>
              </w:rPr>
            </w:pPr>
            <w:r w:rsidRPr="00B50018">
              <w:rPr>
                <w:rFonts w:ascii="Calibri" w:hAnsi="Calibri"/>
                <w:sz w:val="22"/>
              </w:rPr>
              <w:t>-</w:t>
            </w:r>
            <w:r w:rsidRPr="00B50018">
              <w:rPr>
                <w:rFonts w:ascii="Calibri" w:hAnsi="Calibri"/>
                <w:sz w:val="22"/>
              </w:rPr>
              <w:tab/>
            </w:r>
            <w:r w:rsidRPr="00B50018">
              <w:rPr>
                <w:b/>
                <w:i/>
                <w:sz w:val="22"/>
              </w:rPr>
              <w:t xml:space="preserve">clima (ad esempio, </w:t>
            </w:r>
            <w:proofErr w:type="spellStart"/>
            <w:r w:rsidRPr="00B50018">
              <w:rPr>
                <w:b/>
                <w:i/>
                <w:sz w:val="22"/>
              </w:rPr>
              <w:t>erosività</w:t>
            </w:r>
            <w:proofErr w:type="spellEnd"/>
            <w:r w:rsidRPr="00B50018">
              <w:rPr>
                <w:b/>
                <w:i/>
                <w:sz w:val="22"/>
              </w:rPr>
              <w:t xml:space="preserve"> delle precipitazioni: intensità e durata, considerate le proiezioni relative ai cambiamenti climatici per una determinata area), </w:t>
            </w:r>
          </w:p>
          <w:p w14:paraId="4AFB8182" w14:textId="77777777" w:rsidR="00767FA2" w:rsidRPr="00B50018" w:rsidRDefault="00767FA2" w:rsidP="008D41A0">
            <w:pPr>
              <w:widowControl/>
              <w:ind w:left="492" w:hanging="360"/>
              <w:rPr>
                <w:b/>
                <w:i/>
                <w:sz w:val="22"/>
                <w:szCs w:val="22"/>
              </w:rPr>
            </w:pPr>
            <w:r w:rsidRPr="00B50018">
              <w:rPr>
                <w:rFonts w:ascii="Calibri" w:hAnsi="Calibri"/>
                <w:sz w:val="22"/>
              </w:rPr>
              <w:t>-</w:t>
            </w:r>
            <w:r w:rsidRPr="00B50018">
              <w:rPr>
                <w:rFonts w:ascii="Calibri" w:hAnsi="Calibri"/>
                <w:sz w:val="22"/>
              </w:rPr>
              <w:tab/>
            </w:r>
            <w:r w:rsidRPr="00B50018">
              <w:rPr>
                <w:b/>
                <w:i/>
                <w:sz w:val="22"/>
              </w:rPr>
              <w:t xml:space="preserve">topografia (ad esempio, inclinazione e lunghezza della pendenza), </w:t>
            </w:r>
          </w:p>
          <w:p w14:paraId="2DA4483F" w14:textId="77777777" w:rsidR="00767FA2" w:rsidRPr="00B50018" w:rsidRDefault="00767FA2" w:rsidP="008D41A0">
            <w:pPr>
              <w:widowControl/>
              <w:ind w:left="492" w:hanging="360"/>
              <w:rPr>
                <w:b/>
                <w:i/>
                <w:sz w:val="22"/>
                <w:szCs w:val="22"/>
              </w:rPr>
            </w:pPr>
            <w:r w:rsidRPr="00B50018">
              <w:rPr>
                <w:rFonts w:ascii="Calibri" w:hAnsi="Calibri"/>
                <w:sz w:val="22"/>
              </w:rPr>
              <w:t>-</w:t>
            </w:r>
            <w:r w:rsidRPr="00B50018">
              <w:rPr>
                <w:rFonts w:ascii="Calibri" w:hAnsi="Calibri"/>
                <w:sz w:val="22"/>
              </w:rPr>
              <w:tab/>
            </w:r>
            <w:r w:rsidRPr="00B50018">
              <w:rPr>
                <w:b/>
                <w:i/>
                <w:sz w:val="22"/>
              </w:rPr>
              <w:t>manto vegetale, tipo di coltura e di foresta, uso del suolo e pratiche di gestione per controllare o ridurre l'erosione,</w:t>
            </w:r>
          </w:p>
          <w:p w14:paraId="12746192" w14:textId="77777777" w:rsidR="00767FA2" w:rsidRPr="00B50018" w:rsidRDefault="00767FA2" w:rsidP="008D41A0">
            <w:pPr>
              <w:widowControl/>
              <w:ind w:left="492" w:hanging="360"/>
              <w:rPr>
                <w:b/>
                <w:i/>
                <w:sz w:val="22"/>
                <w:szCs w:val="22"/>
              </w:rPr>
            </w:pPr>
            <w:r w:rsidRPr="00B50018">
              <w:rPr>
                <w:rFonts w:ascii="Calibri" w:hAnsi="Calibri"/>
                <w:sz w:val="22"/>
              </w:rPr>
              <w:t>-</w:t>
            </w:r>
            <w:r w:rsidRPr="00B50018">
              <w:rPr>
                <w:rFonts w:ascii="Calibri" w:hAnsi="Calibri"/>
                <w:sz w:val="22"/>
              </w:rPr>
              <w:tab/>
            </w:r>
            <w:r w:rsidRPr="00B50018">
              <w:rPr>
                <w:b/>
                <w:i/>
                <w:sz w:val="22"/>
              </w:rPr>
              <w:t xml:space="preserve">pratiche di gestione (ad esempio colture di copertura, lavorazione </w:t>
            </w:r>
            <w:r w:rsidRPr="00B50018">
              <w:rPr>
                <w:b/>
                <w:i/>
                <w:sz w:val="22"/>
              </w:rPr>
              <w:lastRenderedPageBreak/>
              <w:t>ridotta, pacciamatura ecc.),</w:t>
            </w:r>
          </w:p>
          <w:p w14:paraId="15CFD8DC" w14:textId="77777777" w:rsidR="00767FA2" w:rsidRPr="00B50018" w:rsidRDefault="00767FA2" w:rsidP="008D41A0">
            <w:pPr>
              <w:widowControl/>
              <w:ind w:left="492" w:hanging="360"/>
              <w:rPr>
                <w:b/>
                <w:i/>
                <w:sz w:val="22"/>
                <w:szCs w:val="22"/>
              </w:rPr>
            </w:pPr>
            <w:r w:rsidRPr="00B50018">
              <w:rPr>
                <w:rFonts w:ascii="Calibri" w:hAnsi="Calibri"/>
                <w:sz w:val="22"/>
              </w:rPr>
              <w:t>-</w:t>
            </w:r>
            <w:r w:rsidRPr="00B50018">
              <w:rPr>
                <w:rFonts w:ascii="Calibri" w:hAnsi="Calibri"/>
                <w:sz w:val="22"/>
              </w:rPr>
              <w:tab/>
            </w:r>
            <w:r w:rsidRPr="00B50018">
              <w:rPr>
                <w:b/>
                <w:i/>
                <w:sz w:val="22"/>
              </w:rPr>
              <w:t>aree bruciate.</w:t>
            </w:r>
          </w:p>
          <w:p w14:paraId="61BF39F3" w14:textId="77777777" w:rsidR="00767FA2" w:rsidRPr="00B50018" w:rsidRDefault="00767FA2" w:rsidP="008D41A0">
            <w:pPr>
              <w:rPr>
                <w:b/>
                <w:i/>
                <w:sz w:val="22"/>
                <w:szCs w:val="22"/>
              </w:rPr>
            </w:pPr>
            <w:r w:rsidRPr="00B50018">
              <w:rPr>
                <w:b/>
                <w:i/>
                <w:sz w:val="22"/>
              </w:rPr>
              <w:t xml:space="preserve">L'erosione eolica del suolo è valutata considerando i fattori seguenti: </w:t>
            </w:r>
          </w:p>
          <w:p w14:paraId="001F0ACE" w14:textId="77777777" w:rsidR="00767FA2" w:rsidRPr="00B50018" w:rsidRDefault="00767FA2" w:rsidP="008D41A0">
            <w:pPr>
              <w:widowControl/>
              <w:ind w:left="492" w:hanging="360"/>
              <w:rPr>
                <w:b/>
                <w:i/>
                <w:sz w:val="22"/>
                <w:szCs w:val="22"/>
              </w:rPr>
            </w:pPr>
            <w:r w:rsidRPr="00B50018">
              <w:rPr>
                <w:rFonts w:ascii="Calibri" w:hAnsi="Calibri"/>
                <w:sz w:val="22"/>
              </w:rPr>
              <w:t>-</w:t>
            </w:r>
            <w:r w:rsidRPr="00B50018">
              <w:rPr>
                <w:rFonts w:ascii="Calibri" w:hAnsi="Calibri"/>
                <w:sz w:val="22"/>
              </w:rPr>
              <w:tab/>
            </w:r>
            <w:r w:rsidRPr="00B50018">
              <w:rPr>
                <w:b/>
                <w:i/>
                <w:sz w:val="22"/>
              </w:rPr>
              <w:t xml:space="preserve">caratteristiche del suolo (ad esempio </w:t>
            </w:r>
            <w:proofErr w:type="spellStart"/>
            <w:r w:rsidRPr="00B50018">
              <w:rPr>
                <w:b/>
                <w:i/>
                <w:sz w:val="22"/>
              </w:rPr>
              <w:t>erodibilità</w:t>
            </w:r>
            <w:proofErr w:type="spellEnd"/>
            <w:r w:rsidRPr="00B50018">
              <w:rPr>
                <w:b/>
                <w:i/>
                <w:sz w:val="22"/>
              </w:rPr>
              <w:t xml:space="preserve">), </w:t>
            </w:r>
          </w:p>
          <w:p w14:paraId="41EE270D" w14:textId="77777777" w:rsidR="00767FA2" w:rsidRPr="00B50018" w:rsidRDefault="00767FA2" w:rsidP="008D41A0">
            <w:pPr>
              <w:widowControl/>
              <w:ind w:left="492" w:hanging="360"/>
              <w:rPr>
                <w:b/>
                <w:i/>
                <w:sz w:val="22"/>
                <w:szCs w:val="22"/>
              </w:rPr>
            </w:pPr>
            <w:r w:rsidRPr="00B50018">
              <w:rPr>
                <w:rFonts w:ascii="Calibri" w:hAnsi="Calibri"/>
                <w:sz w:val="22"/>
              </w:rPr>
              <w:t>-</w:t>
            </w:r>
            <w:r w:rsidRPr="00B50018">
              <w:rPr>
                <w:rFonts w:ascii="Calibri" w:hAnsi="Calibri"/>
                <w:sz w:val="22"/>
              </w:rPr>
              <w:tab/>
            </w:r>
            <w:r w:rsidRPr="00B50018">
              <w:rPr>
                <w:b/>
                <w:i/>
                <w:sz w:val="22"/>
              </w:rPr>
              <w:t xml:space="preserve">clima (umidità del suolo, velocità del vento, evaporazione), </w:t>
            </w:r>
          </w:p>
          <w:p w14:paraId="685CE9A0" w14:textId="77777777" w:rsidR="00767FA2" w:rsidRPr="00B50018" w:rsidRDefault="00767FA2" w:rsidP="008D41A0">
            <w:pPr>
              <w:widowControl/>
              <w:ind w:left="492" w:hanging="360"/>
              <w:rPr>
                <w:b/>
                <w:i/>
                <w:sz w:val="22"/>
                <w:szCs w:val="22"/>
              </w:rPr>
            </w:pPr>
            <w:r w:rsidRPr="00B50018">
              <w:rPr>
                <w:rFonts w:ascii="Calibri" w:hAnsi="Calibri"/>
                <w:sz w:val="22"/>
              </w:rPr>
              <w:t>-</w:t>
            </w:r>
            <w:r w:rsidRPr="00B50018">
              <w:rPr>
                <w:rFonts w:ascii="Calibri" w:hAnsi="Calibri"/>
                <w:sz w:val="22"/>
              </w:rPr>
              <w:tab/>
            </w:r>
            <w:r w:rsidRPr="00B50018">
              <w:rPr>
                <w:b/>
                <w:i/>
                <w:sz w:val="22"/>
              </w:rPr>
              <w:t>vegetazione (tipo di coltura),</w:t>
            </w:r>
          </w:p>
          <w:p w14:paraId="4F7B876D" w14:textId="77777777" w:rsidR="00767FA2" w:rsidRPr="00B50018" w:rsidRDefault="00767FA2" w:rsidP="008D41A0">
            <w:pPr>
              <w:widowControl/>
              <w:ind w:left="492" w:hanging="360"/>
              <w:rPr>
                <w:b/>
                <w:i/>
                <w:sz w:val="22"/>
                <w:szCs w:val="22"/>
              </w:rPr>
            </w:pPr>
            <w:r w:rsidRPr="00B50018">
              <w:rPr>
                <w:rFonts w:ascii="Calibri" w:hAnsi="Calibri"/>
                <w:sz w:val="22"/>
              </w:rPr>
              <w:t>-</w:t>
            </w:r>
            <w:r w:rsidRPr="00B50018">
              <w:rPr>
                <w:rFonts w:ascii="Calibri" w:hAnsi="Calibri"/>
                <w:sz w:val="22"/>
              </w:rPr>
              <w:tab/>
            </w:r>
            <w:r w:rsidRPr="00B50018">
              <w:rPr>
                <w:b/>
                <w:i/>
                <w:sz w:val="22"/>
              </w:rPr>
              <w:t>pratiche di gestione per controllare o ridurre l'erosione (barriere frangivento),</w:t>
            </w:r>
          </w:p>
          <w:p w14:paraId="51073471" w14:textId="77777777" w:rsidR="00767FA2" w:rsidRPr="00B50018" w:rsidRDefault="00767FA2" w:rsidP="008D41A0">
            <w:pPr>
              <w:widowControl/>
              <w:ind w:left="492" w:hanging="360"/>
              <w:rPr>
                <w:b/>
                <w:i/>
                <w:sz w:val="22"/>
                <w:szCs w:val="22"/>
              </w:rPr>
            </w:pPr>
            <w:r w:rsidRPr="00B50018">
              <w:rPr>
                <w:rFonts w:ascii="Calibri" w:hAnsi="Calibri"/>
                <w:sz w:val="22"/>
              </w:rPr>
              <w:t>-</w:t>
            </w:r>
            <w:r w:rsidRPr="00B50018">
              <w:rPr>
                <w:rFonts w:ascii="Calibri" w:hAnsi="Calibri"/>
                <w:sz w:val="22"/>
              </w:rPr>
              <w:tab/>
            </w:r>
            <w:r w:rsidRPr="00B50018">
              <w:rPr>
                <w:b/>
                <w:i/>
                <w:sz w:val="22"/>
              </w:rPr>
              <w:t>aree bruciate.</w:t>
            </w:r>
          </w:p>
        </w:tc>
        <w:tc>
          <w:tcPr>
            <w:tcW w:w="1620" w:type="dxa"/>
            <w:tcBorders>
              <w:top w:val="single" w:sz="4" w:space="0" w:color="000000"/>
              <w:left w:val="single" w:sz="4" w:space="0" w:color="000000"/>
              <w:bottom w:val="single" w:sz="4" w:space="0" w:color="000000"/>
              <w:right w:val="single" w:sz="4" w:space="0" w:color="000000"/>
            </w:tcBorders>
            <w:hideMark/>
          </w:tcPr>
          <w:p w14:paraId="1C73B6B5" w14:textId="77777777" w:rsidR="00767FA2" w:rsidRPr="00B50018" w:rsidRDefault="00767FA2" w:rsidP="008D41A0">
            <w:pPr>
              <w:rPr>
                <w:b/>
                <w:i/>
                <w:sz w:val="22"/>
                <w:szCs w:val="22"/>
              </w:rPr>
            </w:pPr>
            <w:r w:rsidRPr="00B50018">
              <w:rPr>
                <w:b/>
                <w:i/>
                <w:sz w:val="22"/>
              </w:rPr>
              <w:lastRenderedPageBreak/>
              <w:t>non pertinente</w:t>
            </w:r>
          </w:p>
        </w:tc>
      </w:tr>
      <w:tr w:rsidR="00767FA2" w:rsidRPr="00B50018" w14:paraId="5BF0E8A2" w14:textId="77777777" w:rsidTr="00767FA2">
        <w:trPr>
          <w:trHeight w:val="662"/>
        </w:trPr>
        <w:tc>
          <w:tcPr>
            <w:tcW w:w="1968" w:type="dxa"/>
            <w:tcBorders>
              <w:top w:val="single" w:sz="4" w:space="0" w:color="000000"/>
              <w:left w:val="single" w:sz="4" w:space="0" w:color="000000"/>
              <w:bottom w:val="single" w:sz="4" w:space="0" w:color="000000"/>
              <w:right w:val="single" w:sz="4" w:space="0" w:color="000000"/>
            </w:tcBorders>
            <w:hideMark/>
          </w:tcPr>
          <w:p w14:paraId="736FCF90" w14:textId="77777777" w:rsidR="00767FA2" w:rsidRPr="00B50018" w:rsidRDefault="00767FA2" w:rsidP="008D41A0">
            <w:pPr>
              <w:rPr>
                <w:b/>
                <w:i/>
                <w:sz w:val="22"/>
                <w:szCs w:val="22"/>
              </w:rPr>
            </w:pPr>
            <w:r w:rsidRPr="00B50018">
              <w:rPr>
                <w:b/>
                <w:i/>
                <w:sz w:val="22"/>
              </w:rPr>
              <w:t>Carbonio organico nel suolo (SOC)</w:t>
            </w:r>
          </w:p>
        </w:tc>
        <w:tc>
          <w:tcPr>
            <w:tcW w:w="2622" w:type="dxa"/>
            <w:tcBorders>
              <w:top w:val="single" w:sz="4" w:space="0" w:color="000000"/>
              <w:left w:val="single" w:sz="4" w:space="0" w:color="000000"/>
              <w:bottom w:val="single" w:sz="4" w:space="0" w:color="000000"/>
              <w:right w:val="single" w:sz="4" w:space="0" w:color="000000"/>
            </w:tcBorders>
            <w:hideMark/>
          </w:tcPr>
          <w:p w14:paraId="237AC69E" w14:textId="77777777" w:rsidR="00767FA2" w:rsidRPr="00B50018" w:rsidRDefault="00767FA2" w:rsidP="008D41A0">
            <w:pPr>
              <w:rPr>
                <w:b/>
                <w:i/>
                <w:sz w:val="22"/>
                <w:szCs w:val="22"/>
              </w:rPr>
            </w:pPr>
            <w:r w:rsidRPr="00B50018">
              <w:rPr>
                <w:b/>
                <w:i/>
                <w:sz w:val="22"/>
              </w:rPr>
              <w:t>ISO 10694:1995 Determinazione del carbonio organico e del carbonio totale dopo combustione a secco</w:t>
            </w:r>
          </w:p>
        </w:tc>
        <w:tc>
          <w:tcPr>
            <w:tcW w:w="3150" w:type="dxa"/>
            <w:tcBorders>
              <w:top w:val="single" w:sz="4" w:space="0" w:color="000000"/>
              <w:left w:val="single" w:sz="4" w:space="0" w:color="000000"/>
              <w:bottom w:val="single" w:sz="4" w:space="0" w:color="000000"/>
              <w:right w:val="single" w:sz="4" w:space="0" w:color="000000"/>
            </w:tcBorders>
          </w:tcPr>
          <w:p w14:paraId="38226641"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1AB990B3" w14:textId="77777777" w:rsidR="00767FA2" w:rsidRPr="00B50018" w:rsidRDefault="00767FA2" w:rsidP="008D41A0">
            <w:pPr>
              <w:rPr>
                <w:b/>
                <w:i/>
                <w:sz w:val="22"/>
                <w:szCs w:val="22"/>
              </w:rPr>
            </w:pPr>
            <w:r w:rsidRPr="00B50018">
              <w:rPr>
                <w:b/>
                <w:i/>
                <w:sz w:val="22"/>
              </w:rPr>
              <w:t>SÌ</w:t>
            </w:r>
          </w:p>
        </w:tc>
      </w:tr>
      <w:tr w:rsidR="00767FA2" w:rsidRPr="00B50018" w14:paraId="15352363"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4419853D" w14:textId="77777777" w:rsidR="00767FA2" w:rsidRPr="00B50018" w:rsidRDefault="00767FA2" w:rsidP="008D41A0">
            <w:pPr>
              <w:rPr>
                <w:b/>
                <w:i/>
                <w:sz w:val="22"/>
                <w:szCs w:val="22"/>
              </w:rPr>
            </w:pPr>
            <w:r w:rsidRPr="00B50018">
              <w:rPr>
                <w:b/>
                <w:i/>
                <w:sz w:val="22"/>
              </w:rPr>
              <w:t>Densità apparente nel sottosuolo o parametro equivalente</w:t>
            </w:r>
            <w:r w:rsidRPr="00B50018">
              <w:rPr>
                <w:b/>
                <w:i/>
                <w:sz w:val="22"/>
                <w:vertAlign w:val="superscript"/>
              </w:rPr>
              <w:t>7</w:t>
            </w:r>
            <w:r w:rsidRPr="00B50018">
              <w:rPr>
                <w:b/>
                <w:i/>
                <w:sz w:val="22"/>
              </w:rPr>
              <w:t xml:space="preserve"> scelto dagli Stati membri</w:t>
            </w:r>
          </w:p>
        </w:tc>
        <w:tc>
          <w:tcPr>
            <w:tcW w:w="2622" w:type="dxa"/>
            <w:tcBorders>
              <w:top w:val="single" w:sz="4" w:space="0" w:color="000000"/>
              <w:left w:val="single" w:sz="4" w:space="0" w:color="000000"/>
              <w:bottom w:val="single" w:sz="4" w:space="0" w:color="000000"/>
              <w:right w:val="single" w:sz="4" w:space="0" w:color="000000"/>
            </w:tcBorders>
          </w:tcPr>
          <w:p w14:paraId="22194EB4" w14:textId="77777777" w:rsidR="00767FA2" w:rsidRPr="00B50018" w:rsidRDefault="00767FA2" w:rsidP="008D41A0">
            <w:pPr>
              <w:rPr>
                <w:b/>
                <w:i/>
                <w:sz w:val="22"/>
                <w:szCs w:val="22"/>
              </w:rPr>
            </w:pPr>
            <w:r w:rsidRPr="00B50018">
              <w:rPr>
                <w:b/>
                <w:i/>
                <w:sz w:val="22"/>
              </w:rPr>
              <w:t xml:space="preserve">ISO 11272:2017 per la determinazione della densità apparente a secco </w:t>
            </w:r>
          </w:p>
          <w:p w14:paraId="3FED0531" w14:textId="77777777" w:rsidR="00767FA2" w:rsidRPr="00B50018" w:rsidRDefault="00767FA2" w:rsidP="008D41A0">
            <w:pPr>
              <w:rPr>
                <w:b/>
                <w:i/>
                <w:sz w:val="22"/>
                <w:szCs w:val="22"/>
              </w:rPr>
            </w:pPr>
          </w:p>
          <w:p w14:paraId="02ECEC51" w14:textId="77777777" w:rsidR="00767FA2" w:rsidRPr="00B50018" w:rsidRDefault="00767FA2" w:rsidP="008D41A0">
            <w:pPr>
              <w:rPr>
                <w:b/>
                <w:i/>
                <w:sz w:val="22"/>
                <w:szCs w:val="22"/>
              </w:rPr>
            </w:pPr>
            <w:r w:rsidRPr="00B50018">
              <w:rPr>
                <w:b/>
                <w:i/>
                <w:sz w:val="22"/>
              </w:rPr>
              <w:t xml:space="preserve">Se si sceglie un parametro equivalente, la metodologia deve essere una norma europea o internazionale se disponibile; in mancanza, la metodologia scelta deve essere disponibile pubblicamente o nella letteratura scientifica. </w:t>
            </w:r>
          </w:p>
        </w:tc>
        <w:tc>
          <w:tcPr>
            <w:tcW w:w="3150" w:type="dxa"/>
            <w:tcBorders>
              <w:top w:val="single" w:sz="4" w:space="0" w:color="000000"/>
              <w:left w:val="single" w:sz="4" w:space="0" w:color="000000"/>
              <w:bottom w:val="single" w:sz="4" w:space="0" w:color="000000"/>
              <w:right w:val="single" w:sz="4" w:space="0" w:color="000000"/>
            </w:tcBorders>
          </w:tcPr>
          <w:p w14:paraId="563285CA"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B437039" w14:textId="77777777" w:rsidR="00767FA2" w:rsidRPr="00B50018" w:rsidRDefault="00767FA2" w:rsidP="008D41A0">
            <w:pPr>
              <w:rPr>
                <w:b/>
                <w:i/>
                <w:sz w:val="22"/>
                <w:szCs w:val="22"/>
              </w:rPr>
            </w:pPr>
            <w:r w:rsidRPr="00B50018">
              <w:rPr>
                <w:b/>
                <w:i/>
                <w:sz w:val="22"/>
              </w:rPr>
              <w:t>SÌ</w:t>
            </w:r>
          </w:p>
        </w:tc>
      </w:tr>
      <w:tr w:rsidR="00767FA2" w:rsidRPr="00B50018" w14:paraId="03776176"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329B3700" w14:textId="77777777" w:rsidR="00767FA2" w:rsidRPr="00B50018" w:rsidRDefault="00767FA2" w:rsidP="008D41A0">
            <w:pPr>
              <w:rPr>
                <w:b/>
                <w:i/>
                <w:sz w:val="22"/>
                <w:szCs w:val="22"/>
              </w:rPr>
            </w:pPr>
            <w:r w:rsidRPr="00B50018">
              <w:rPr>
                <w:b/>
                <w:i/>
                <w:sz w:val="22"/>
              </w:rPr>
              <w:t>Fosforo estraibile</w:t>
            </w:r>
          </w:p>
        </w:tc>
        <w:tc>
          <w:tcPr>
            <w:tcW w:w="2622" w:type="dxa"/>
            <w:tcBorders>
              <w:top w:val="single" w:sz="4" w:space="0" w:color="000000"/>
              <w:left w:val="single" w:sz="4" w:space="0" w:color="000000"/>
              <w:bottom w:val="single" w:sz="4" w:space="0" w:color="000000"/>
              <w:right w:val="single" w:sz="4" w:space="0" w:color="000000"/>
            </w:tcBorders>
            <w:hideMark/>
          </w:tcPr>
          <w:p w14:paraId="0799D105" w14:textId="77777777" w:rsidR="00767FA2" w:rsidRPr="00B50018" w:rsidRDefault="00767FA2" w:rsidP="008D41A0">
            <w:pPr>
              <w:rPr>
                <w:b/>
                <w:i/>
                <w:sz w:val="22"/>
                <w:szCs w:val="22"/>
              </w:rPr>
            </w:pPr>
            <w:r w:rsidRPr="00B50018">
              <w:rPr>
                <w:b/>
                <w:i/>
                <w:sz w:val="22"/>
              </w:rPr>
              <w:t>ISO 11263:1994 per la determinazione spettrometrica del fosforo solubile in soluzione di idrogeno carbonato di sodio (P-</w:t>
            </w:r>
            <w:proofErr w:type="spellStart"/>
            <w:r w:rsidRPr="00B50018">
              <w:rPr>
                <w:b/>
                <w:i/>
                <w:sz w:val="22"/>
              </w:rPr>
              <w:t>Olsen</w:t>
            </w:r>
            <w:proofErr w:type="spellEnd"/>
            <w:r w:rsidRPr="00B50018">
              <w:rPr>
                <w:b/>
                <w:i/>
                <w:sz w:val="22"/>
              </w:rPr>
              <w:t>)</w:t>
            </w:r>
          </w:p>
        </w:tc>
        <w:tc>
          <w:tcPr>
            <w:tcW w:w="3150" w:type="dxa"/>
            <w:tcBorders>
              <w:top w:val="single" w:sz="4" w:space="0" w:color="000000"/>
              <w:left w:val="single" w:sz="4" w:space="0" w:color="000000"/>
              <w:bottom w:val="single" w:sz="4" w:space="0" w:color="000000"/>
              <w:right w:val="single" w:sz="4" w:space="0" w:color="000000"/>
            </w:tcBorders>
          </w:tcPr>
          <w:p w14:paraId="32F47460"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7214C42" w14:textId="77777777" w:rsidR="00767FA2" w:rsidRPr="00B50018" w:rsidRDefault="00767FA2" w:rsidP="008D41A0">
            <w:pPr>
              <w:rPr>
                <w:b/>
                <w:i/>
                <w:sz w:val="22"/>
                <w:szCs w:val="22"/>
              </w:rPr>
            </w:pPr>
            <w:r w:rsidRPr="00B50018">
              <w:rPr>
                <w:b/>
                <w:i/>
                <w:sz w:val="22"/>
              </w:rPr>
              <w:t>SÌ</w:t>
            </w:r>
          </w:p>
        </w:tc>
      </w:tr>
      <w:tr w:rsidR="00767FA2" w:rsidRPr="00B50018" w14:paraId="2CE98033"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15E2AB69" w14:textId="77777777" w:rsidR="00767FA2" w:rsidRPr="00B50018" w:rsidRDefault="00767FA2" w:rsidP="008D41A0">
            <w:pPr>
              <w:rPr>
                <w:b/>
                <w:i/>
                <w:sz w:val="22"/>
              </w:rPr>
            </w:pPr>
            <w:r w:rsidRPr="00B50018">
              <w:rPr>
                <w:b/>
                <w:i/>
                <w:sz w:val="22"/>
              </w:rPr>
              <w:t xml:space="preserve">- Concentrazione di metalli pesanti nel suolo: </w:t>
            </w:r>
            <w:proofErr w:type="spellStart"/>
            <w:r w:rsidRPr="00B50018">
              <w:rPr>
                <w:b/>
                <w:i/>
                <w:sz w:val="22"/>
              </w:rPr>
              <w:t>As</w:t>
            </w:r>
            <w:proofErr w:type="spellEnd"/>
            <w:r w:rsidRPr="00B50018">
              <w:rPr>
                <w:b/>
                <w:i/>
                <w:sz w:val="22"/>
              </w:rPr>
              <w:t xml:space="preserve">, Sb, </w:t>
            </w:r>
            <w:proofErr w:type="spellStart"/>
            <w:r w:rsidRPr="00B50018">
              <w:rPr>
                <w:b/>
                <w:i/>
                <w:sz w:val="22"/>
              </w:rPr>
              <w:t>Cd</w:t>
            </w:r>
            <w:proofErr w:type="spellEnd"/>
            <w:r w:rsidRPr="00B50018">
              <w:rPr>
                <w:b/>
                <w:i/>
                <w:sz w:val="22"/>
              </w:rPr>
              <w:t xml:space="preserve">, Co, Cr (totale), Cr (VI), Cu, Hg, Pb, Ni, </w:t>
            </w:r>
            <w:proofErr w:type="spellStart"/>
            <w:r w:rsidRPr="00B50018">
              <w:rPr>
                <w:b/>
                <w:i/>
                <w:sz w:val="22"/>
              </w:rPr>
              <w:t>Tl</w:t>
            </w:r>
            <w:proofErr w:type="spellEnd"/>
            <w:r w:rsidRPr="00B50018">
              <w:rPr>
                <w:b/>
                <w:i/>
                <w:sz w:val="22"/>
              </w:rPr>
              <w:t xml:space="preserve">, V, Zn </w:t>
            </w:r>
          </w:p>
          <w:p w14:paraId="33D68FD2" w14:textId="77777777" w:rsidR="00767FA2" w:rsidRPr="00B50018" w:rsidRDefault="00767FA2" w:rsidP="008D41A0">
            <w:pPr>
              <w:rPr>
                <w:b/>
                <w:i/>
                <w:sz w:val="22"/>
                <w:szCs w:val="22"/>
              </w:rPr>
            </w:pPr>
            <w:r w:rsidRPr="00B50018">
              <w:rPr>
                <w:b/>
                <w:i/>
                <w:sz w:val="22"/>
              </w:rPr>
              <w:br/>
              <w:t xml:space="preserve">- Concentrazione di una selezione di contaminanti organici definita dagli Stati membri </w:t>
            </w:r>
            <w:r w:rsidRPr="00B50018">
              <w:rPr>
                <w:b/>
                <w:i/>
                <w:sz w:val="22"/>
              </w:rPr>
              <w:lastRenderedPageBreak/>
              <w:t>tenendo conto della legislazione vigente dell'UE (ad esempio sulla qualità dell'acqua o i pesticidi)</w:t>
            </w:r>
          </w:p>
          <w:p w14:paraId="4958395D" w14:textId="77777777" w:rsidR="00767FA2" w:rsidRPr="00B50018" w:rsidRDefault="00767FA2" w:rsidP="008D41A0">
            <w:pPr>
              <w:rPr>
                <w:b/>
                <w:i/>
                <w:sz w:val="22"/>
                <w:szCs w:val="22"/>
              </w:rPr>
            </w:pPr>
            <w:r w:rsidRPr="00B50018">
              <w:rPr>
                <w:b/>
                <w:i/>
                <w:sz w:val="22"/>
              </w:rPr>
              <w:t>- Residui di pesticidi e biocidi, prodotti veterinari</w:t>
            </w:r>
          </w:p>
          <w:p w14:paraId="589D88F7" w14:textId="77777777" w:rsidR="00767FA2" w:rsidRPr="00B50018" w:rsidRDefault="00767FA2" w:rsidP="008D41A0">
            <w:pPr>
              <w:rPr>
                <w:b/>
                <w:i/>
                <w:sz w:val="22"/>
                <w:szCs w:val="22"/>
              </w:rPr>
            </w:pPr>
            <w:r w:rsidRPr="00B50018">
              <w:rPr>
                <w:b/>
                <w:i/>
                <w:sz w:val="22"/>
              </w:rPr>
              <w:t>- PFAS</w:t>
            </w:r>
          </w:p>
        </w:tc>
        <w:tc>
          <w:tcPr>
            <w:tcW w:w="2622" w:type="dxa"/>
            <w:tcBorders>
              <w:top w:val="single" w:sz="4" w:space="0" w:color="000000"/>
              <w:left w:val="single" w:sz="4" w:space="0" w:color="000000"/>
              <w:bottom w:val="single" w:sz="4" w:space="0" w:color="000000"/>
              <w:right w:val="single" w:sz="4" w:space="0" w:color="000000"/>
            </w:tcBorders>
            <w:hideMark/>
          </w:tcPr>
          <w:p w14:paraId="2E9C3FF4" w14:textId="77777777" w:rsidR="00767FA2" w:rsidRPr="00B50018" w:rsidRDefault="00767FA2" w:rsidP="008D41A0">
            <w:pPr>
              <w:rPr>
                <w:b/>
                <w:i/>
                <w:sz w:val="22"/>
                <w:szCs w:val="22"/>
              </w:rPr>
            </w:pPr>
            <w:r w:rsidRPr="00B50018">
              <w:rPr>
                <w:b/>
                <w:i/>
                <w:sz w:val="22"/>
              </w:rPr>
              <w:lastRenderedPageBreak/>
              <w:t>Potenziale contenuto ambientale di metalli pesanti disponibili nei suoli in base alla norma ISO 17586:2016 Estrazione con acido nitrico diluito.</w:t>
            </w:r>
          </w:p>
          <w:p w14:paraId="3B4E2D69" w14:textId="77777777" w:rsidR="00767FA2" w:rsidRPr="00B50018" w:rsidRDefault="00767FA2" w:rsidP="008D41A0">
            <w:pPr>
              <w:rPr>
                <w:b/>
                <w:i/>
                <w:sz w:val="22"/>
                <w:szCs w:val="22"/>
              </w:rPr>
            </w:pPr>
            <w:r w:rsidRPr="00B50018">
              <w:rPr>
                <w:b/>
                <w:i/>
                <w:sz w:val="22"/>
              </w:rPr>
              <w:t xml:space="preserve">                                                  </w:t>
            </w:r>
          </w:p>
        </w:tc>
        <w:tc>
          <w:tcPr>
            <w:tcW w:w="3150" w:type="dxa"/>
            <w:tcBorders>
              <w:top w:val="single" w:sz="4" w:space="0" w:color="000000"/>
              <w:left w:val="single" w:sz="4" w:space="0" w:color="000000"/>
              <w:bottom w:val="single" w:sz="4" w:space="0" w:color="000000"/>
              <w:right w:val="single" w:sz="4" w:space="0" w:color="000000"/>
            </w:tcBorders>
          </w:tcPr>
          <w:p w14:paraId="4130F0B5" w14:textId="77777777" w:rsidR="00767FA2" w:rsidRPr="00B50018" w:rsidRDefault="00767FA2" w:rsidP="008D41A0">
            <w:pPr>
              <w:rPr>
                <w:b/>
                <w:i/>
                <w:sz w:val="22"/>
                <w:szCs w:val="22"/>
              </w:rPr>
            </w:pPr>
          </w:p>
          <w:p w14:paraId="0D8F283F" w14:textId="77777777" w:rsidR="00767FA2" w:rsidRPr="00B50018" w:rsidRDefault="00767FA2" w:rsidP="008D41A0">
            <w:pPr>
              <w:rPr>
                <w:b/>
                <w:i/>
                <w:sz w:val="22"/>
                <w:szCs w:val="22"/>
              </w:rPr>
            </w:pPr>
          </w:p>
          <w:p w14:paraId="4807C038" w14:textId="77777777" w:rsidR="00767FA2" w:rsidRPr="00B50018" w:rsidRDefault="00767FA2" w:rsidP="008D41A0">
            <w:pPr>
              <w:rPr>
                <w:b/>
                <w:i/>
                <w:sz w:val="22"/>
                <w:szCs w:val="22"/>
              </w:rPr>
            </w:pPr>
          </w:p>
          <w:p w14:paraId="6C65FB2F" w14:textId="77777777" w:rsidR="00767FA2" w:rsidRPr="00B50018" w:rsidRDefault="00767FA2" w:rsidP="008D41A0">
            <w:pPr>
              <w:rPr>
                <w:b/>
                <w:i/>
                <w:sz w:val="22"/>
                <w:szCs w:val="22"/>
              </w:rPr>
            </w:pPr>
          </w:p>
          <w:p w14:paraId="1F6227EC" w14:textId="77777777" w:rsidR="00767FA2" w:rsidRPr="00B50018" w:rsidRDefault="00767FA2" w:rsidP="008D41A0">
            <w:pPr>
              <w:rPr>
                <w:b/>
                <w:i/>
                <w:sz w:val="22"/>
                <w:szCs w:val="22"/>
              </w:rPr>
            </w:pPr>
            <w:r w:rsidRPr="00B50018">
              <w:rPr>
                <w:b/>
                <w:i/>
                <w:sz w:val="22"/>
              </w:rPr>
              <w:t>Applicare le norme europee o internazionali se disponibili; in mancanza, la metodologia scelta deve essere disponibile pubblicamente o nella letteratura scientifica.</w:t>
            </w:r>
          </w:p>
        </w:tc>
        <w:tc>
          <w:tcPr>
            <w:tcW w:w="1620" w:type="dxa"/>
            <w:tcBorders>
              <w:top w:val="single" w:sz="4" w:space="0" w:color="000000"/>
              <w:left w:val="single" w:sz="4" w:space="0" w:color="000000"/>
              <w:bottom w:val="single" w:sz="4" w:space="0" w:color="000000"/>
              <w:right w:val="single" w:sz="4" w:space="0" w:color="000000"/>
            </w:tcBorders>
          </w:tcPr>
          <w:p w14:paraId="13A2474D" w14:textId="77777777" w:rsidR="00767FA2" w:rsidRPr="00B50018" w:rsidRDefault="00767FA2" w:rsidP="008D41A0">
            <w:pPr>
              <w:rPr>
                <w:b/>
                <w:i/>
                <w:sz w:val="22"/>
                <w:szCs w:val="22"/>
              </w:rPr>
            </w:pPr>
            <w:r w:rsidRPr="00B50018">
              <w:rPr>
                <w:b/>
                <w:i/>
                <w:sz w:val="22"/>
              </w:rPr>
              <w:t>SÌ</w:t>
            </w:r>
          </w:p>
          <w:p w14:paraId="53962226" w14:textId="77777777" w:rsidR="00767FA2" w:rsidRPr="00B50018" w:rsidRDefault="00767FA2" w:rsidP="008D41A0">
            <w:pPr>
              <w:rPr>
                <w:b/>
                <w:i/>
                <w:sz w:val="22"/>
                <w:szCs w:val="22"/>
              </w:rPr>
            </w:pPr>
          </w:p>
          <w:p w14:paraId="41A8E917" w14:textId="77777777" w:rsidR="00767FA2" w:rsidRPr="00B50018" w:rsidRDefault="00767FA2" w:rsidP="008D41A0">
            <w:pPr>
              <w:rPr>
                <w:b/>
                <w:i/>
                <w:sz w:val="22"/>
                <w:szCs w:val="22"/>
              </w:rPr>
            </w:pPr>
          </w:p>
          <w:p w14:paraId="0802F6AB" w14:textId="77777777" w:rsidR="00767FA2" w:rsidRPr="00B50018" w:rsidRDefault="00767FA2" w:rsidP="008D41A0">
            <w:pPr>
              <w:rPr>
                <w:b/>
                <w:i/>
                <w:sz w:val="22"/>
                <w:szCs w:val="22"/>
              </w:rPr>
            </w:pPr>
          </w:p>
          <w:p w14:paraId="74BDB364" w14:textId="77777777" w:rsidR="00767FA2" w:rsidRPr="00B50018" w:rsidRDefault="00767FA2" w:rsidP="008D41A0">
            <w:pPr>
              <w:rPr>
                <w:b/>
                <w:i/>
                <w:sz w:val="22"/>
                <w:szCs w:val="22"/>
              </w:rPr>
            </w:pPr>
          </w:p>
          <w:p w14:paraId="2C980927" w14:textId="77777777" w:rsidR="00767FA2" w:rsidRPr="00B50018" w:rsidRDefault="00767FA2" w:rsidP="008D41A0">
            <w:pPr>
              <w:rPr>
                <w:b/>
                <w:i/>
                <w:sz w:val="22"/>
                <w:szCs w:val="22"/>
              </w:rPr>
            </w:pPr>
          </w:p>
          <w:p w14:paraId="5FA3E087" w14:textId="77777777" w:rsidR="00767FA2" w:rsidRPr="00B50018" w:rsidRDefault="00767FA2" w:rsidP="008D41A0">
            <w:pPr>
              <w:rPr>
                <w:b/>
                <w:i/>
                <w:sz w:val="22"/>
                <w:szCs w:val="22"/>
              </w:rPr>
            </w:pPr>
            <w:r w:rsidRPr="00B50018">
              <w:rPr>
                <w:b/>
                <w:i/>
                <w:sz w:val="22"/>
              </w:rPr>
              <w:t>non pertinente</w:t>
            </w:r>
          </w:p>
        </w:tc>
      </w:tr>
      <w:tr w:rsidR="00767FA2" w:rsidRPr="00B50018" w14:paraId="4B2CB555"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14E7E040" w14:textId="77777777" w:rsidR="00767FA2" w:rsidRPr="00B50018" w:rsidRDefault="00767FA2" w:rsidP="008D41A0">
            <w:pPr>
              <w:rPr>
                <w:b/>
                <w:i/>
                <w:sz w:val="22"/>
                <w:szCs w:val="22"/>
              </w:rPr>
            </w:pPr>
            <w:r w:rsidRPr="00B50018">
              <w:rPr>
                <w:b/>
                <w:i/>
                <w:sz w:val="22"/>
              </w:rPr>
              <w:t>Capacità di ritenzione idrica del suolo</w:t>
            </w:r>
          </w:p>
        </w:tc>
        <w:tc>
          <w:tcPr>
            <w:tcW w:w="2622" w:type="dxa"/>
            <w:tcBorders>
              <w:top w:val="single" w:sz="4" w:space="0" w:color="000000"/>
              <w:left w:val="single" w:sz="4" w:space="0" w:color="000000"/>
              <w:bottom w:val="single" w:sz="4" w:space="0" w:color="000000"/>
              <w:right w:val="single" w:sz="4" w:space="0" w:color="000000"/>
            </w:tcBorders>
            <w:hideMark/>
          </w:tcPr>
          <w:p w14:paraId="1E92A1D0" w14:textId="77777777" w:rsidR="00767FA2" w:rsidRPr="00B50018" w:rsidRDefault="00767FA2" w:rsidP="008D41A0">
            <w:pPr>
              <w:rPr>
                <w:b/>
                <w:i/>
                <w:sz w:val="22"/>
                <w:szCs w:val="22"/>
              </w:rPr>
            </w:pPr>
            <w:r w:rsidRPr="00B50018">
              <w:rPr>
                <w:b/>
                <w:i/>
                <w:sz w:val="22"/>
              </w:rPr>
              <w:t>Metodologia per determinare il valore di un punto di campionamento:</w:t>
            </w:r>
          </w:p>
          <w:p w14:paraId="7A5662A1" w14:textId="77777777" w:rsidR="00767FA2" w:rsidRPr="00B50018" w:rsidRDefault="00767FA2" w:rsidP="008D41A0">
            <w:pPr>
              <w:rPr>
                <w:b/>
                <w:i/>
                <w:sz w:val="22"/>
                <w:szCs w:val="22"/>
              </w:rPr>
            </w:pPr>
            <w:r w:rsidRPr="00B50018">
              <w:rPr>
                <w:b/>
                <w:i/>
                <w:sz w:val="22"/>
              </w:rPr>
              <w:t xml:space="preserve">Opzione 1: LABORATORIO: ISO 11274:2019 per la determinazione della caratteristica di ritenzione idrica                    </w:t>
            </w:r>
          </w:p>
          <w:p w14:paraId="5F12B1EC" w14:textId="77777777" w:rsidR="00767FA2" w:rsidRPr="00B50018" w:rsidRDefault="00767FA2" w:rsidP="008D41A0">
            <w:pPr>
              <w:rPr>
                <w:b/>
                <w:i/>
                <w:sz w:val="22"/>
                <w:szCs w:val="22"/>
              </w:rPr>
            </w:pPr>
            <w:r w:rsidRPr="00B50018">
              <w:rPr>
                <w:b/>
                <w:i/>
                <w:sz w:val="22"/>
              </w:rPr>
              <w:t xml:space="preserve">Opzione 2: STIMA: applicare la metodologia descritta nell'articolo scientifico "New generation of </w:t>
            </w:r>
            <w:proofErr w:type="spellStart"/>
            <w:r w:rsidRPr="00B50018">
              <w:rPr>
                <w:b/>
                <w:i/>
                <w:sz w:val="22"/>
              </w:rPr>
              <w:t>hydraulic</w:t>
            </w:r>
            <w:proofErr w:type="spellEnd"/>
            <w:r w:rsidRPr="00B50018">
              <w:rPr>
                <w:b/>
                <w:i/>
                <w:sz w:val="22"/>
              </w:rPr>
              <w:t xml:space="preserve"> </w:t>
            </w:r>
            <w:proofErr w:type="spellStart"/>
            <w:r w:rsidRPr="00B50018">
              <w:rPr>
                <w:b/>
                <w:i/>
                <w:sz w:val="22"/>
              </w:rPr>
              <w:t>pedotransfer</w:t>
            </w:r>
            <w:proofErr w:type="spellEnd"/>
            <w:r w:rsidRPr="00B50018">
              <w:rPr>
                <w:b/>
                <w:i/>
                <w:sz w:val="22"/>
              </w:rPr>
              <w:t xml:space="preserve"> </w:t>
            </w:r>
            <w:proofErr w:type="spellStart"/>
            <w:r w:rsidRPr="00B50018">
              <w:rPr>
                <w:b/>
                <w:i/>
                <w:sz w:val="22"/>
              </w:rPr>
              <w:t>functions</w:t>
            </w:r>
            <w:proofErr w:type="spellEnd"/>
            <w:r w:rsidRPr="00B50018">
              <w:rPr>
                <w:b/>
                <w:i/>
                <w:sz w:val="22"/>
              </w:rPr>
              <w:t xml:space="preserve"> for Europe" in base alla tessitura (o alla distribuzione dimensionale delle particelle) e al carbonio organico nel suolo.</w:t>
            </w:r>
          </w:p>
        </w:tc>
        <w:tc>
          <w:tcPr>
            <w:tcW w:w="3150" w:type="dxa"/>
            <w:tcBorders>
              <w:top w:val="single" w:sz="4" w:space="0" w:color="000000"/>
              <w:left w:val="single" w:sz="4" w:space="0" w:color="000000"/>
              <w:bottom w:val="single" w:sz="4" w:space="0" w:color="000000"/>
              <w:right w:val="single" w:sz="4" w:space="0" w:color="000000"/>
            </w:tcBorders>
            <w:hideMark/>
          </w:tcPr>
          <w:p w14:paraId="6B409940" w14:textId="77777777" w:rsidR="00767FA2" w:rsidRPr="00B50018" w:rsidRDefault="00767FA2" w:rsidP="008D41A0">
            <w:pPr>
              <w:rPr>
                <w:b/>
                <w:i/>
                <w:sz w:val="22"/>
                <w:szCs w:val="22"/>
              </w:rPr>
            </w:pPr>
            <w:r w:rsidRPr="00B50018">
              <w:rPr>
                <w:b/>
                <w:i/>
                <w:sz w:val="22"/>
              </w:rPr>
              <w:t>Criteri minimi per stimare la capacità totale di ritenzione idrica del suolo di un distretto su scala di bacino o sottobacino idrografico:</w:t>
            </w:r>
          </w:p>
          <w:p w14:paraId="28442962" w14:textId="77777777" w:rsidR="00767FA2" w:rsidRPr="00B50018" w:rsidRDefault="00767FA2" w:rsidP="008D41A0">
            <w:pPr>
              <w:widowControl/>
              <w:ind w:hanging="360"/>
              <w:rPr>
                <w:b/>
                <w:i/>
                <w:sz w:val="22"/>
                <w:szCs w:val="22"/>
              </w:rPr>
            </w:pPr>
            <w:r w:rsidRPr="00B50018">
              <w:rPr>
                <w:rFonts w:ascii="Calibri" w:hAnsi="Calibri"/>
                <w:sz w:val="22"/>
              </w:rPr>
              <w:t>-</w:t>
            </w:r>
            <w:r w:rsidRPr="00B50018">
              <w:rPr>
                <w:rFonts w:ascii="Calibri" w:hAnsi="Calibri"/>
                <w:sz w:val="22"/>
              </w:rPr>
              <w:tab/>
            </w:r>
            <w:r w:rsidRPr="00B50018">
              <w:rPr>
                <w:b/>
                <w:i/>
                <w:sz w:val="22"/>
              </w:rPr>
              <w:t xml:space="preserve">per il terreno non consumato, stimare il valore totale della capacità di ritenzione idrica del suolo </w:t>
            </w:r>
          </w:p>
          <w:p w14:paraId="59F45543" w14:textId="77777777" w:rsidR="00767FA2" w:rsidRPr="00B50018" w:rsidRDefault="00767FA2" w:rsidP="008D41A0">
            <w:pPr>
              <w:widowControl/>
              <w:ind w:hanging="360"/>
              <w:rPr>
                <w:b/>
                <w:i/>
                <w:sz w:val="22"/>
                <w:szCs w:val="22"/>
              </w:rPr>
            </w:pPr>
            <w:r w:rsidRPr="00B50018">
              <w:rPr>
                <w:rFonts w:ascii="Calibri" w:hAnsi="Calibri"/>
                <w:sz w:val="22"/>
              </w:rPr>
              <w:t>-</w:t>
            </w:r>
            <w:r w:rsidRPr="00B50018">
              <w:rPr>
                <w:rFonts w:ascii="Calibri" w:hAnsi="Calibri"/>
                <w:sz w:val="22"/>
              </w:rPr>
              <w:tab/>
            </w:r>
            <w:r w:rsidRPr="00B50018">
              <w:rPr>
                <w:b/>
                <w:i/>
                <w:sz w:val="22"/>
              </w:rPr>
              <w:t>per il terreno consumato, valutare la possibilità di azzerare la capacità di ritenzione idrica delle aree impervie, attribuendo in proporzione valori intermedi alle aree semi-impervie e ad altre aree artificiali.</w:t>
            </w:r>
          </w:p>
        </w:tc>
        <w:tc>
          <w:tcPr>
            <w:tcW w:w="1620" w:type="dxa"/>
            <w:tcBorders>
              <w:top w:val="single" w:sz="4" w:space="0" w:color="000000"/>
              <w:left w:val="single" w:sz="4" w:space="0" w:color="000000"/>
              <w:bottom w:val="single" w:sz="4" w:space="0" w:color="000000"/>
              <w:right w:val="single" w:sz="4" w:space="0" w:color="000000"/>
            </w:tcBorders>
            <w:hideMark/>
          </w:tcPr>
          <w:p w14:paraId="0D77E22E" w14:textId="77777777" w:rsidR="00767FA2" w:rsidRPr="00B50018" w:rsidRDefault="00767FA2" w:rsidP="008D41A0">
            <w:pPr>
              <w:rPr>
                <w:b/>
                <w:i/>
                <w:sz w:val="22"/>
                <w:szCs w:val="22"/>
              </w:rPr>
            </w:pPr>
            <w:r w:rsidRPr="00B50018">
              <w:rPr>
                <w:b/>
                <w:i/>
                <w:sz w:val="22"/>
              </w:rPr>
              <w:t>SÌ</w:t>
            </w:r>
          </w:p>
        </w:tc>
      </w:tr>
      <w:tr w:rsidR="00767FA2" w:rsidRPr="00B50018" w14:paraId="75FF2582"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0D3567AE" w14:textId="77777777" w:rsidR="00767FA2" w:rsidRPr="00B50018" w:rsidRDefault="00767FA2" w:rsidP="008D41A0">
            <w:pPr>
              <w:rPr>
                <w:b/>
                <w:i/>
                <w:sz w:val="22"/>
                <w:szCs w:val="22"/>
              </w:rPr>
            </w:pPr>
            <w:r w:rsidRPr="00B50018">
              <w:rPr>
                <w:b/>
                <w:i/>
                <w:sz w:val="22"/>
              </w:rPr>
              <w:t xml:space="preserve">Azoto nel suolo </w:t>
            </w:r>
          </w:p>
        </w:tc>
        <w:tc>
          <w:tcPr>
            <w:tcW w:w="2622" w:type="dxa"/>
            <w:tcBorders>
              <w:top w:val="single" w:sz="4" w:space="0" w:color="000000"/>
              <w:left w:val="single" w:sz="4" w:space="0" w:color="000000"/>
              <w:bottom w:val="single" w:sz="4" w:space="0" w:color="000000"/>
              <w:right w:val="single" w:sz="4" w:space="0" w:color="000000"/>
            </w:tcBorders>
            <w:hideMark/>
          </w:tcPr>
          <w:p w14:paraId="54D743F8" w14:textId="77777777" w:rsidR="00767FA2" w:rsidRPr="00B50018" w:rsidRDefault="00767FA2" w:rsidP="008D41A0">
            <w:pPr>
              <w:rPr>
                <w:b/>
                <w:i/>
                <w:sz w:val="22"/>
                <w:szCs w:val="22"/>
              </w:rPr>
            </w:pPr>
            <w:r w:rsidRPr="00B50018">
              <w:rPr>
                <w:b/>
                <w:i/>
                <w:sz w:val="22"/>
              </w:rPr>
              <w:t xml:space="preserve">ISO 11261:1995 per la determinazione dell'azoto totale nel suolo con il metodo </w:t>
            </w:r>
            <w:proofErr w:type="spellStart"/>
            <w:r w:rsidRPr="00B50018">
              <w:rPr>
                <w:b/>
                <w:i/>
                <w:sz w:val="22"/>
              </w:rPr>
              <w:t>Kjeldahl</w:t>
            </w:r>
            <w:proofErr w:type="spellEnd"/>
            <w:r w:rsidRPr="00B50018">
              <w:rPr>
                <w:b/>
                <w:i/>
                <w:sz w:val="22"/>
              </w:rPr>
              <w:t xml:space="preserve"> modificato</w:t>
            </w:r>
          </w:p>
        </w:tc>
        <w:tc>
          <w:tcPr>
            <w:tcW w:w="3150" w:type="dxa"/>
            <w:tcBorders>
              <w:top w:val="single" w:sz="4" w:space="0" w:color="000000"/>
              <w:left w:val="single" w:sz="4" w:space="0" w:color="000000"/>
              <w:bottom w:val="single" w:sz="4" w:space="0" w:color="000000"/>
              <w:right w:val="single" w:sz="4" w:space="0" w:color="000000"/>
            </w:tcBorders>
          </w:tcPr>
          <w:p w14:paraId="61575F0D"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FE66D61" w14:textId="77777777" w:rsidR="00767FA2" w:rsidRPr="00B50018" w:rsidRDefault="00767FA2" w:rsidP="008D41A0">
            <w:pPr>
              <w:rPr>
                <w:b/>
                <w:i/>
                <w:sz w:val="22"/>
                <w:szCs w:val="22"/>
              </w:rPr>
            </w:pPr>
            <w:r w:rsidRPr="00B50018">
              <w:rPr>
                <w:b/>
                <w:i/>
                <w:sz w:val="22"/>
              </w:rPr>
              <w:t>SÌ</w:t>
            </w:r>
          </w:p>
        </w:tc>
      </w:tr>
      <w:tr w:rsidR="00767FA2" w:rsidRPr="00B50018" w14:paraId="2D54DAFC"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584EF56B" w14:textId="77777777" w:rsidR="00767FA2" w:rsidRPr="00B50018" w:rsidRDefault="00767FA2" w:rsidP="008D41A0">
            <w:pPr>
              <w:rPr>
                <w:b/>
                <w:i/>
                <w:sz w:val="22"/>
                <w:szCs w:val="22"/>
              </w:rPr>
            </w:pPr>
            <w:r w:rsidRPr="00B50018">
              <w:rPr>
                <w:b/>
                <w:i/>
                <w:sz w:val="22"/>
              </w:rPr>
              <w:t>Acidità del suolo</w:t>
            </w:r>
          </w:p>
        </w:tc>
        <w:tc>
          <w:tcPr>
            <w:tcW w:w="2622" w:type="dxa"/>
            <w:tcBorders>
              <w:top w:val="single" w:sz="4" w:space="0" w:color="000000"/>
              <w:left w:val="single" w:sz="4" w:space="0" w:color="000000"/>
              <w:bottom w:val="single" w:sz="4" w:space="0" w:color="000000"/>
              <w:right w:val="single" w:sz="4" w:space="0" w:color="000000"/>
            </w:tcBorders>
            <w:hideMark/>
          </w:tcPr>
          <w:p w14:paraId="6829FA30" w14:textId="77777777" w:rsidR="00767FA2" w:rsidRPr="00B50018" w:rsidRDefault="00767FA2" w:rsidP="008D41A0">
            <w:pPr>
              <w:rPr>
                <w:b/>
                <w:i/>
                <w:sz w:val="22"/>
                <w:szCs w:val="22"/>
              </w:rPr>
            </w:pPr>
            <w:r w:rsidRPr="00B50018">
              <w:rPr>
                <w:b/>
                <w:i/>
                <w:sz w:val="22"/>
              </w:rPr>
              <w:t xml:space="preserve">ISO 10390:2005 per la determinazione del </w:t>
            </w:r>
            <w:proofErr w:type="spellStart"/>
            <w:r w:rsidRPr="00B50018">
              <w:rPr>
                <w:b/>
                <w:i/>
                <w:sz w:val="22"/>
              </w:rPr>
              <w:t>pH</w:t>
            </w:r>
            <w:proofErr w:type="spellEnd"/>
            <w:r w:rsidRPr="00B50018">
              <w:rPr>
                <w:b/>
                <w:i/>
                <w:sz w:val="22"/>
              </w:rPr>
              <w:t xml:space="preserve"> nell'estratto di H2O e CaCl2 (pH-H2O e pH-CaCl2)</w:t>
            </w:r>
          </w:p>
        </w:tc>
        <w:tc>
          <w:tcPr>
            <w:tcW w:w="3150" w:type="dxa"/>
            <w:tcBorders>
              <w:top w:val="single" w:sz="4" w:space="0" w:color="000000"/>
              <w:left w:val="single" w:sz="4" w:space="0" w:color="000000"/>
              <w:bottom w:val="single" w:sz="4" w:space="0" w:color="000000"/>
              <w:right w:val="single" w:sz="4" w:space="0" w:color="000000"/>
            </w:tcBorders>
          </w:tcPr>
          <w:p w14:paraId="2D6FE7FE"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923CBF9" w14:textId="77777777" w:rsidR="00767FA2" w:rsidRPr="00B50018" w:rsidRDefault="00767FA2" w:rsidP="008D41A0">
            <w:pPr>
              <w:rPr>
                <w:b/>
                <w:i/>
                <w:sz w:val="22"/>
                <w:szCs w:val="22"/>
              </w:rPr>
            </w:pPr>
            <w:r w:rsidRPr="00B50018">
              <w:rPr>
                <w:b/>
                <w:i/>
                <w:sz w:val="22"/>
              </w:rPr>
              <w:t>SÌ</w:t>
            </w:r>
          </w:p>
        </w:tc>
      </w:tr>
      <w:tr w:rsidR="00767FA2" w:rsidRPr="00B50018" w14:paraId="06AC332C"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2B61D2FC" w14:textId="77777777" w:rsidR="00767FA2" w:rsidRPr="00B50018" w:rsidRDefault="00767FA2" w:rsidP="008D41A0">
            <w:pPr>
              <w:rPr>
                <w:b/>
                <w:i/>
                <w:sz w:val="22"/>
                <w:szCs w:val="22"/>
              </w:rPr>
            </w:pPr>
            <w:r w:rsidRPr="00B50018">
              <w:rPr>
                <w:b/>
                <w:i/>
                <w:sz w:val="22"/>
              </w:rPr>
              <w:t>Densità apparente nello strato superficiale</w:t>
            </w:r>
          </w:p>
        </w:tc>
        <w:tc>
          <w:tcPr>
            <w:tcW w:w="2622" w:type="dxa"/>
            <w:tcBorders>
              <w:top w:val="single" w:sz="4" w:space="0" w:color="000000"/>
              <w:left w:val="single" w:sz="4" w:space="0" w:color="000000"/>
              <w:bottom w:val="single" w:sz="4" w:space="0" w:color="000000"/>
              <w:right w:val="single" w:sz="4" w:space="0" w:color="000000"/>
            </w:tcBorders>
          </w:tcPr>
          <w:p w14:paraId="62E7D46D" w14:textId="77777777" w:rsidR="00767FA2" w:rsidRPr="00B50018" w:rsidRDefault="00767FA2" w:rsidP="008D41A0">
            <w:pPr>
              <w:rPr>
                <w:b/>
                <w:i/>
                <w:sz w:val="22"/>
                <w:szCs w:val="22"/>
              </w:rPr>
            </w:pPr>
            <w:r w:rsidRPr="00B50018">
              <w:rPr>
                <w:b/>
                <w:i/>
                <w:sz w:val="22"/>
              </w:rPr>
              <w:t xml:space="preserve">ISO 11272:2017 per la determinazione della densità apparente a secco </w:t>
            </w:r>
          </w:p>
          <w:p w14:paraId="72CD535A" w14:textId="77777777" w:rsidR="00767FA2" w:rsidRPr="00B50018" w:rsidRDefault="00767FA2" w:rsidP="008D41A0">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14:paraId="4A03AA44"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9A7D53D" w14:textId="77777777" w:rsidR="00767FA2" w:rsidRPr="00B50018" w:rsidRDefault="00767FA2" w:rsidP="008D41A0">
            <w:pPr>
              <w:rPr>
                <w:b/>
                <w:i/>
                <w:sz w:val="22"/>
                <w:szCs w:val="22"/>
              </w:rPr>
            </w:pPr>
            <w:r w:rsidRPr="00B50018">
              <w:rPr>
                <w:b/>
                <w:i/>
                <w:sz w:val="22"/>
              </w:rPr>
              <w:t>SÌ</w:t>
            </w:r>
          </w:p>
        </w:tc>
      </w:tr>
      <w:tr w:rsidR="00767FA2" w:rsidRPr="00B50018" w14:paraId="410503BD"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1733C055" w14:textId="77777777" w:rsidR="00767FA2" w:rsidRPr="00B50018" w:rsidRDefault="00767FA2" w:rsidP="008D41A0">
            <w:pPr>
              <w:rPr>
                <w:b/>
                <w:i/>
                <w:sz w:val="22"/>
                <w:szCs w:val="22"/>
              </w:rPr>
            </w:pPr>
            <w:r w:rsidRPr="00B50018">
              <w:rPr>
                <w:b/>
                <w:i/>
                <w:sz w:val="22"/>
              </w:rPr>
              <w:t>Ciclo dei nutrienti</w:t>
            </w:r>
          </w:p>
        </w:tc>
        <w:tc>
          <w:tcPr>
            <w:tcW w:w="2622" w:type="dxa"/>
            <w:tcBorders>
              <w:top w:val="single" w:sz="4" w:space="0" w:color="000000"/>
              <w:left w:val="single" w:sz="4" w:space="0" w:color="000000"/>
              <w:bottom w:val="single" w:sz="4" w:space="0" w:color="000000"/>
              <w:right w:val="single" w:sz="4" w:space="0" w:color="000000"/>
            </w:tcBorders>
            <w:hideMark/>
          </w:tcPr>
          <w:p w14:paraId="376629D6" w14:textId="77777777" w:rsidR="00767FA2" w:rsidRPr="00B50018" w:rsidRDefault="00767FA2" w:rsidP="008D41A0">
            <w:pPr>
              <w:rPr>
                <w:b/>
                <w:i/>
                <w:sz w:val="22"/>
                <w:szCs w:val="22"/>
              </w:rPr>
            </w:pPr>
            <w:r w:rsidRPr="00B50018">
              <w:rPr>
                <w:b/>
                <w:i/>
                <w:sz w:val="22"/>
              </w:rPr>
              <w:t xml:space="preserve">Per la mineralizzazione dell'azoto, i campioni di suolo essiccati all'aria vengono </w:t>
            </w:r>
            <w:proofErr w:type="spellStart"/>
            <w:r w:rsidRPr="00B50018">
              <w:rPr>
                <w:b/>
                <w:i/>
                <w:sz w:val="22"/>
              </w:rPr>
              <w:t>riumidificati</w:t>
            </w:r>
            <w:proofErr w:type="spellEnd"/>
            <w:r w:rsidRPr="00B50018">
              <w:rPr>
                <w:b/>
                <w:i/>
                <w:sz w:val="22"/>
              </w:rPr>
              <w:t xml:space="preserve"> per raggiungere l'80 % della loro capacità di ritenzione idrica e tenuti in incubazione in laboratorio per 14 giorni a 30 ºC. Il potenziale tasso </w:t>
            </w:r>
            <w:r w:rsidRPr="00B50018">
              <w:rPr>
                <w:b/>
                <w:i/>
                <w:sz w:val="22"/>
              </w:rPr>
              <w:lastRenderedPageBreak/>
              <w:t>netto di mineralizzazione dell'azoto è stimato come la differenza tra l'azoto inorganico iniziale e quello finale. La disponibilità dei nutrienti del suolo è calcolata utilizzando simulatori di radici, mentre l'azoto e il fosforo disponibili sono calcolati mediante una determinazione colorimetrica basata sulla reazione con il molibdato di ammonio.</w:t>
            </w:r>
          </w:p>
        </w:tc>
        <w:tc>
          <w:tcPr>
            <w:tcW w:w="3150" w:type="dxa"/>
            <w:tcBorders>
              <w:top w:val="single" w:sz="4" w:space="0" w:color="000000"/>
              <w:left w:val="single" w:sz="4" w:space="0" w:color="000000"/>
              <w:bottom w:val="single" w:sz="4" w:space="0" w:color="000000"/>
              <w:right w:val="single" w:sz="4" w:space="0" w:color="000000"/>
            </w:tcBorders>
          </w:tcPr>
          <w:p w14:paraId="655FCFFB"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27BAB6D6" w14:textId="77777777" w:rsidR="00767FA2" w:rsidRPr="00B50018" w:rsidRDefault="00767FA2" w:rsidP="008D41A0">
            <w:pPr>
              <w:rPr>
                <w:b/>
                <w:i/>
                <w:sz w:val="22"/>
                <w:szCs w:val="22"/>
              </w:rPr>
            </w:pPr>
            <w:r w:rsidRPr="00B50018">
              <w:rPr>
                <w:b/>
                <w:i/>
                <w:sz w:val="22"/>
              </w:rPr>
              <w:t>SÌ</w:t>
            </w:r>
          </w:p>
        </w:tc>
      </w:tr>
      <w:tr w:rsidR="00767FA2" w:rsidRPr="00B50018" w14:paraId="56828BB1"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786D34E3" w14:textId="77777777" w:rsidR="00767FA2" w:rsidRPr="00B50018" w:rsidRDefault="00767FA2" w:rsidP="008D41A0">
            <w:pPr>
              <w:rPr>
                <w:b/>
                <w:i/>
                <w:sz w:val="22"/>
                <w:szCs w:val="22"/>
              </w:rPr>
            </w:pPr>
            <w:r w:rsidRPr="00B50018">
              <w:rPr>
                <w:b/>
                <w:i/>
                <w:sz w:val="22"/>
              </w:rPr>
              <w:t>Aggregazione del suolo</w:t>
            </w:r>
          </w:p>
        </w:tc>
        <w:tc>
          <w:tcPr>
            <w:tcW w:w="2622" w:type="dxa"/>
            <w:tcBorders>
              <w:top w:val="single" w:sz="4" w:space="0" w:color="000000"/>
              <w:left w:val="single" w:sz="4" w:space="0" w:color="000000"/>
              <w:bottom w:val="single" w:sz="4" w:space="0" w:color="000000"/>
              <w:right w:val="single" w:sz="4" w:space="0" w:color="000000"/>
            </w:tcBorders>
            <w:hideMark/>
          </w:tcPr>
          <w:p w14:paraId="1092D065" w14:textId="77777777" w:rsidR="00767FA2" w:rsidRPr="00B50018" w:rsidRDefault="00767FA2" w:rsidP="008D41A0">
            <w:pPr>
              <w:rPr>
                <w:b/>
                <w:i/>
                <w:sz w:val="22"/>
                <w:szCs w:val="22"/>
              </w:rPr>
            </w:pPr>
            <w:r w:rsidRPr="00B50018">
              <w:rPr>
                <w:b/>
                <w:i/>
                <w:sz w:val="22"/>
              </w:rPr>
              <w:t xml:space="preserve">I descrittori del suolo sono riportati come aggregati del suolo stabili all'acqua, valutati determinando la resistenza degli aggregati del suolo all'acqua come forza disgregante, applicando un approccio modificato da </w:t>
            </w:r>
            <w:proofErr w:type="spellStart"/>
            <w:r w:rsidRPr="00B50018">
              <w:rPr>
                <w:b/>
                <w:i/>
                <w:sz w:val="22"/>
              </w:rPr>
              <w:t>Kemper</w:t>
            </w:r>
            <w:proofErr w:type="spellEnd"/>
            <w:r w:rsidRPr="00B50018">
              <w:rPr>
                <w:b/>
                <w:i/>
                <w:sz w:val="22"/>
              </w:rPr>
              <w:t xml:space="preserve"> e </w:t>
            </w:r>
            <w:proofErr w:type="spellStart"/>
            <w:r w:rsidRPr="00B50018">
              <w:rPr>
                <w:b/>
                <w:i/>
                <w:sz w:val="22"/>
              </w:rPr>
              <w:t>Rosenau</w:t>
            </w:r>
            <w:proofErr w:type="spellEnd"/>
            <w:r w:rsidRPr="00B50018">
              <w:rPr>
                <w:b/>
                <w:i/>
                <w:sz w:val="22"/>
              </w:rPr>
              <w:t xml:space="preserve"> (1986). L'indice risultante rappresenta la percentuale di aggregati stabili all'acqua</w:t>
            </w:r>
          </w:p>
          <w:p w14:paraId="6B5163C4" w14:textId="77777777" w:rsidR="00767FA2" w:rsidRPr="00B50018" w:rsidRDefault="00767FA2" w:rsidP="008D41A0">
            <w:pPr>
              <w:rPr>
                <w:b/>
                <w:i/>
                <w:sz w:val="22"/>
                <w:szCs w:val="22"/>
              </w:rPr>
            </w:pPr>
            <w:r w:rsidRPr="00B50018">
              <w:rPr>
                <w:b/>
                <w:i/>
                <w:sz w:val="22"/>
              </w:rPr>
              <w:t>con un diametro inferiore a 4 mm. Inoltre, i detriti (cioè la materia grossolana) saranno separati dalla frazione stabile all'acqua per determinare correttamente la frazione di aggregati stabili all'acqua (WSA) del campione: % WSA = (frazione stabile all'acqua-materia grossolana) / (4 g-materia grossolana).</w:t>
            </w:r>
          </w:p>
        </w:tc>
        <w:tc>
          <w:tcPr>
            <w:tcW w:w="3150" w:type="dxa"/>
            <w:tcBorders>
              <w:top w:val="single" w:sz="4" w:space="0" w:color="000000"/>
              <w:left w:val="single" w:sz="4" w:space="0" w:color="000000"/>
              <w:bottom w:val="single" w:sz="4" w:space="0" w:color="000000"/>
              <w:right w:val="single" w:sz="4" w:space="0" w:color="000000"/>
            </w:tcBorders>
          </w:tcPr>
          <w:p w14:paraId="2C6D556F"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9734748" w14:textId="77777777" w:rsidR="00767FA2" w:rsidRPr="00B50018" w:rsidRDefault="00767FA2" w:rsidP="008D41A0">
            <w:pPr>
              <w:rPr>
                <w:b/>
                <w:i/>
                <w:sz w:val="22"/>
                <w:szCs w:val="22"/>
              </w:rPr>
            </w:pPr>
            <w:r w:rsidRPr="00B50018">
              <w:rPr>
                <w:b/>
                <w:i/>
                <w:sz w:val="22"/>
              </w:rPr>
              <w:t>SÌ</w:t>
            </w:r>
          </w:p>
        </w:tc>
      </w:tr>
      <w:tr w:rsidR="00767FA2" w:rsidRPr="00B50018" w14:paraId="4C31C2FC"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6935ECED" w14:textId="77777777" w:rsidR="00767FA2" w:rsidRPr="00B50018" w:rsidRDefault="00767FA2" w:rsidP="008D41A0">
            <w:pPr>
              <w:rPr>
                <w:b/>
                <w:i/>
                <w:sz w:val="22"/>
                <w:szCs w:val="22"/>
              </w:rPr>
            </w:pPr>
            <w:r w:rsidRPr="00B50018">
              <w:rPr>
                <w:b/>
                <w:i/>
                <w:sz w:val="22"/>
              </w:rPr>
              <w:t>Attività enzimatica</w:t>
            </w:r>
          </w:p>
        </w:tc>
        <w:tc>
          <w:tcPr>
            <w:tcW w:w="2622" w:type="dxa"/>
            <w:tcBorders>
              <w:top w:val="single" w:sz="4" w:space="0" w:color="000000"/>
              <w:left w:val="single" w:sz="4" w:space="0" w:color="000000"/>
              <w:bottom w:val="single" w:sz="4" w:space="0" w:color="000000"/>
              <w:right w:val="single" w:sz="4" w:space="0" w:color="000000"/>
            </w:tcBorders>
            <w:hideMark/>
          </w:tcPr>
          <w:p w14:paraId="54CF21F4" w14:textId="77777777" w:rsidR="00767FA2" w:rsidRPr="00B50018" w:rsidRDefault="00767FA2" w:rsidP="008D41A0">
            <w:pPr>
              <w:rPr>
                <w:b/>
                <w:i/>
                <w:sz w:val="22"/>
                <w:szCs w:val="22"/>
              </w:rPr>
            </w:pPr>
            <w:r w:rsidRPr="00B50018">
              <w:rPr>
                <w:b/>
                <w:i/>
                <w:sz w:val="22"/>
              </w:rPr>
              <w:t>Seguire le indicazioni di cui a Zeiss et al., 2022</w:t>
            </w:r>
          </w:p>
        </w:tc>
        <w:tc>
          <w:tcPr>
            <w:tcW w:w="3150" w:type="dxa"/>
            <w:tcBorders>
              <w:top w:val="single" w:sz="4" w:space="0" w:color="000000"/>
              <w:left w:val="single" w:sz="4" w:space="0" w:color="000000"/>
              <w:bottom w:val="single" w:sz="4" w:space="0" w:color="000000"/>
              <w:right w:val="single" w:sz="4" w:space="0" w:color="000000"/>
            </w:tcBorders>
          </w:tcPr>
          <w:p w14:paraId="29567006"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4145C9C" w14:textId="77777777" w:rsidR="00767FA2" w:rsidRPr="00B50018" w:rsidRDefault="00767FA2" w:rsidP="008D41A0">
            <w:pPr>
              <w:rPr>
                <w:b/>
                <w:i/>
                <w:sz w:val="22"/>
                <w:szCs w:val="22"/>
              </w:rPr>
            </w:pPr>
            <w:r w:rsidRPr="00B50018">
              <w:rPr>
                <w:b/>
                <w:i/>
                <w:sz w:val="22"/>
              </w:rPr>
              <w:t>SÌ</w:t>
            </w:r>
          </w:p>
        </w:tc>
      </w:tr>
      <w:tr w:rsidR="00767FA2" w:rsidRPr="00B50018" w14:paraId="4C117819"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2C121032" w14:textId="77777777" w:rsidR="00767FA2" w:rsidRPr="00B50018" w:rsidRDefault="00767FA2" w:rsidP="008D41A0">
            <w:pPr>
              <w:rPr>
                <w:b/>
                <w:i/>
                <w:sz w:val="22"/>
                <w:szCs w:val="22"/>
              </w:rPr>
            </w:pPr>
            <w:r w:rsidRPr="00B50018">
              <w:rPr>
                <w:b/>
                <w:i/>
                <w:sz w:val="22"/>
              </w:rPr>
              <w:t>Respirazione del suolo</w:t>
            </w:r>
          </w:p>
        </w:tc>
        <w:tc>
          <w:tcPr>
            <w:tcW w:w="2622" w:type="dxa"/>
            <w:tcBorders>
              <w:top w:val="single" w:sz="4" w:space="0" w:color="000000"/>
              <w:left w:val="single" w:sz="4" w:space="0" w:color="000000"/>
              <w:bottom w:val="single" w:sz="4" w:space="0" w:color="000000"/>
              <w:right w:val="single" w:sz="4" w:space="0" w:color="000000"/>
            </w:tcBorders>
            <w:hideMark/>
          </w:tcPr>
          <w:p w14:paraId="4C040F0D" w14:textId="77777777" w:rsidR="00767FA2" w:rsidRPr="00B50018" w:rsidRDefault="00767FA2" w:rsidP="008D41A0">
            <w:pPr>
              <w:rPr>
                <w:b/>
                <w:i/>
                <w:sz w:val="22"/>
                <w:szCs w:val="22"/>
              </w:rPr>
            </w:pPr>
            <w:r w:rsidRPr="00B50018">
              <w:rPr>
                <w:b/>
                <w:i/>
                <w:sz w:val="22"/>
              </w:rPr>
              <w:t>Seguire le indicazioni descritte nell'articolo scientifico "</w:t>
            </w:r>
            <w:proofErr w:type="spellStart"/>
            <w:r w:rsidRPr="00B50018">
              <w:rPr>
                <w:b/>
                <w:i/>
                <w:sz w:val="22"/>
              </w:rPr>
              <w:t>Microbial</w:t>
            </w:r>
            <w:proofErr w:type="spellEnd"/>
            <w:r w:rsidRPr="00B50018">
              <w:rPr>
                <w:b/>
                <w:i/>
                <w:sz w:val="22"/>
              </w:rPr>
              <w:t xml:space="preserve"> </w:t>
            </w:r>
            <w:proofErr w:type="spellStart"/>
            <w:r w:rsidRPr="00B50018">
              <w:rPr>
                <w:b/>
                <w:i/>
                <w:sz w:val="22"/>
              </w:rPr>
              <w:t>biomass</w:t>
            </w:r>
            <w:proofErr w:type="spellEnd"/>
            <w:r w:rsidRPr="00B50018">
              <w:rPr>
                <w:b/>
                <w:i/>
                <w:sz w:val="22"/>
              </w:rPr>
              <w:t xml:space="preserve"> and </w:t>
            </w:r>
            <w:proofErr w:type="spellStart"/>
            <w:r w:rsidRPr="00B50018">
              <w:rPr>
                <w:b/>
                <w:i/>
                <w:sz w:val="22"/>
              </w:rPr>
              <w:t>activities</w:t>
            </w:r>
            <w:proofErr w:type="spellEnd"/>
            <w:r w:rsidRPr="00B50018">
              <w:rPr>
                <w:b/>
                <w:i/>
                <w:sz w:val="22"/>
              </w:rPr>
              <w:t xml:space="preserve"> in </w:t>
            </w:r>
            <w:proofErr w:type="spellStart"/>
            <w:r w:rsidRPr="00B50018">
              <w:rPr>
                <w:b/>
                <w:i/>
                <w:sz w:val="22"/>
              </w:rPr>
              <w:t>soil</w:t>
            </w:r>
            <w:proofErr w:type="spellEnd"/>
            <w:r w:rsidRPr="00B50018">
              <w:rPr>
                <w:b/>
                <w:i/>
                <w:sz w:val="22"/>
              </w:rPr>
              <w:t xml:space="preserve"> </w:t>
            </w:r>
            <w:proofErr w:type="spellStart"/>
            <w:r w:rsidRPr="00B50018">
              <w:rPr>
                <w:b/>
                <w:i/>
                <w:sz w:val="22"/>
              </w:rPr>
              <w:t>as</w:t>
            </w:r>
            <w:proofErr w:type="spellEnd"/>
            <w:r w:rsidRPr="00B50018">
              <w:rPr>
                <w:b/>
                <w:i/>
                <w:sz w:val="22"/>
              </w:rPr>
              <w:t xml:space="preserve"> </w:t>
            </w:r>
            <w:proofErr w:type="spellStart"/>
            <w:r w:rsidRPr="00B50018">
              <w:rPr>
                <w:b/>
                <w:i/>
                <w:sz w:val="22"/>
              </w:rPr>
              <w:t>affected</w:t>
            </w:r>
            <w:proofErr w:type="spellEnd"/>
            <w:r w:rsidRPr="00B50018">
              <w:rPr>
                <w:b/>
                <w:i/>
                <w:sz w:val="22"/>
              </w:rPr>
              <w:t xml:space="preserve"> by </w:t>
            </w:r>
            <w:proofErr w:type="spellStart"/>
            <w:r w:rsidRPr="00B50018">
              <w:rPr>
                <w:b/>
                <w:i/>
                <w:sz w:val="22"/>
              </w:rPr>
              <w:t>frozen</w:t>
            </w:r>
            <w:proofErr w:type="spellEnd"/>
            <w:r w:rsidRPr="00B50018">
              <w:rPr>
                <w:b/>
                <w:i/>
                <w:sz w:val="22"/>
              </w:rPr>
              <w:t xml:space="preserve"> and </w:t>
            </w:r>
            <w:proofErr w:type="spellStart"/>
            <w:r w:rsidRPr="00B50018">
              <w:rPr>
                <w:b/>
                <w:i/>
                <w:sz w:val="22"/>
              </w:rPr>
              <w:t>cold</w:t>
            </w:r>
            <w:proofErr w:type="spellEnd"/>
            <w:r w:rsidRPr="00B50018">
              <w:rPr>
                <w:b/>
                <w:i/>
                <w:sz w:val="22"/>
              </w:rPr>
              <w:t xml:space="preserve"> </w:t>
            </w:r>
            <w:proofErr w:type="spellStart"/>
            <w:r w:rsidRPr="00B50018">
              <w:rPr>
                <w:b/>
                <w:i/>
                <w:sz w:val="22"/>
              </w:rPr>
              <w:t>storage</w:t>
            </w:r>
            <w:proofErr w:type="spellEnd"/>
            <w:r w:rsidRPr="00B50018">
              <w:rPr>
                <w:b/>
                <w:i/>
                <w:sz w:val="22"/>
              </w:rPr>
              <w:t>"</w:t>
            </w:r>
            <w:r w:rsidRPr="00B50018">
              <w:rPr>
                <w:b/>
                <w:i/>
                <w:sz w:val="22"/>
                <w:vertAlign w:val="superscript"/>
              </w:rPr>
              <w:t xml:space="preserve"> 8</w:t>
            </w:r>
          </w:p>
        </w:tc>
        <w:tc>
          <w:tcPr>
            <w:tcW w:w="3150" w:type="dxa"/>
            <w:tcBorders>
              <w:top w:val="single" w:sz="4" w:space="0" w:color="000000"/>
              <w:left w:val="single" w:sz="4" w:space="0" w:color="000000"/>
              <w:bottom w:val="single" w:sz="4" w:space="0" w:color="000000"/>
              <w:right w:val="single" w:sz="4" w:space="0" w:color="000000"/>
            </w:tcBorders>
          </w:tcPr>
          <w:p w14:paraId="52C24B1A"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2C7F512" w14:textId="77777777" w:rsidR="00767FA2" w:rsidRPr="00B50018" w:rsidRDefault="00767FA2" w:rsidP="008D41A0">
            <w:pPr>
              <w:rPr>
                <w:b/>
                <w:i/>
                <w:sz w:val="22"/>
                <w:szCs w:val="22"/>
              </w:rPr>
            </w:pPr>
            <w:r w:rsidRPr="00B50018">
              <w:rPr>
                <w:b/>
                <w:i/>
                <w:sz w:val="22"/>
              </w:rPr>
              <w:t>SÌ</w:t>
            </w:r>
          </w:p>
        </w:tc>
      </w:tr>
      <w:tr w:rsidR="00767FA2" w:rsidRPr="00B50018" w14:paraId="096F08C7"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553938A4" w14:textId="77777777" w:rsidR="00767FA2" w:rsidRPr="00B50018" w:rsidRDefault="00767FA2" w:rsidP="008D41A0">
            <w:pPr>
              <w:rPr>
                <w:b/>
                <w:i/>
                <w:sz w:val="22"/>
                <w:szCs w:val="22"/>
              </w:rPr>
            </w:pPr>
            <w:r w:rsidRPr="00B50018">
              <w:rPr>
                <w:b/>
                <w:i/>
                <w:sz w:val="22"/>
              </w:rPr>
              <w:t>Decomposizione dei rifiuti</w:t>
            </w:r>
          </w:p>
        </w:tc>
        <w:tc>
          <w:tcPr>
            <w:tcW w:w="2622" w:type="dxa"/>
            <w:tcBorders>
              <w:top w:val="single" w:sz="4" w:space="0" w:color="000000"/>
              <w:left w:val="single" w:sz="4" w:space="0" w:color="000000"/>
              <w:bottom w:val="single" w:sz="4" w:space="0" w:color="000000"/>
              <w:right w:val="single" w:sz="4" w:space="0" w:color="000000"/>
            </w:tcBorders>
          </w:tcPr>
          <w:p w14:paraId="0F3EC918" w14:textId="77777777" w:rsidR="00767FA2" w:rsidRPr="00B50018" w:rsidRDefault="00767FA2" w:rsidP="008D41A0">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76B54534" w14:textId="77777777" w:rsidR="00767FA2" w:rsidRPr="00B50018" w:rsidRDefault="00767FA2" w:rsidP="008D41A0">
            <w:pPr>
              <w:rPr>
                <w:b/>
                <w:i/>
                <w:sz w:val="22"/>
                <w:szCs w:val="22"/>
              </w:rPr>
            </w:pPr>
            <w:r w:rsidRPr="00B50018">
              <w:rPr>
                <w:b/>
                <w:i/>
                <w:sz w:val="22"/>
              </w:rPr>
              <w:t xml:space="preserve">Applicare le norme europee o internazionali se disponibili; in mancanza, la metodologia scelta deve essere disponibile </w:t>
            </w:r>
            <w:r w:rsidRPr="00B50018">
              <w:rPr>
                <w:b/>
                <w:i/>
                <w:sz w:val="22"/>
              </w:rPr>
              <w:lastRenderedPageBreak/>
              <w:t>pubblicamente o nella letteratura scientifica.</w:t>
            </w:r>
          </w:p>
        </w:tc>
        <w:tc>
          <w:tcPr>
            <w:tcW w:w="1620" w:type="dxa"/>
            <w:tcBorders>
              <w:top w:val="single" w:sz="4" w:space="0" w:color="000000"/>
              <w:left w:val="single" w:sz="4" w:space="0" w:color="000000"/>
              <w:bottom w:val="single" w:sz="4" w:space="0" w:color="000000"/>
              <w:right w:val="single" w:sz="4" w:space="0" w:color="000000"/>
            </w:tcBorders>
            <w:hideMark/>
          </w:tcPr>
          <w:p w14:paraId="232CD188" w14:textId="77777777" w:rsidR="00767FA2" w:rsidRPr="00B50018" w:rsidRDefault="00767FA2" w:rsidP="008D41A0">
            <w:pPr>
              <w:rPr>
                <w:b/>
                <w:i/>
                <w:sz w:val="22"/>
                <w:szCs w:val="22"/>
              </w:rPr>
            </w:pPr>
            <w:r w:rsidRPr="00B50018">
              <w:rPr>
                <w:b/>
                <w:i/>
                <w:sz w:val="22"/>
              </w:rPr>
              <w:lastRenderedPageBreak/>
              <w:t>non pertinente</w:t>
            </w:r>
          </w:p>
        </w:tc>
      </w:tr>
      <w:tr w:rsidR="00767FA2" w:rsidRPr="00B50018" w14:paraId="4CDEB6A0"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03B080E1" w14:textId="77777777" w:rsidR="00767FA2" w:rsidRPr="00B50018" w:rsidRDefault="00767FA2" w:rsidP="008D41A0">
            <w:pPr>
              <w:rPr>
                <w:b/>
                <w:i/>
                <w:sz w:val="22"/>
                <w:szCs w:val="22"/>
              </w:rPr>
            </w:pPr>
            <w:r w:rsidRPr="00B50018">
              <w:rPr>
                <w:b/>
                <w:i/>
                <w:sz w:val="22"/>
              </w:rPr>
              <w:t>Biomassa del suolo</w:t>
            </w:r>
          </w:p>
        </w:tc>
        <w:tc>
          <w:tcPr>
            <w:tcW w:w="2622" w:type="dxa"/>
            <w:tcBorders>
              <w:top w:val="single" w:sz="4" w:space="0" w:color="000000"/>
              <w:left w:val="single" w:sz="4" w:space="0" w:color="000000"/>
              <w:bottom w:val="single" w:sz="4" w:space="0" w:color="000000"/>
              <w:right w:val="single" w:sz="4" w:space="0" w:color="000000"/>
            </w:tcBorders>
            <w:hideMark/>
          </w:tcPr>
          <w:p w14:paraId="254CEF43" w14:textId="77777777" w:rsidR="00767FA2" w:rsidRPr="00B50018" w:rsidRDefault="00767FA2" w:rsidP="008D41A0">
            <w:pPr>
              <w:rPr>
                <w:b/>
                <w:i/>
                <w:sz w:val="22"/>
                <w:szCs w:val="22"/>
              </w:rPr>
            </w:pPr>
            <w:r w:rsidRPr="00B50018">
              <w:rPr>
                <w:b/>
                <w:i/>
                <w:sz w:val="22"/>
              </w:rPr>
              <w:t xml:space="preserve">Seguire le indicazioni di cui a Guerra et al., 2021, </w:t>
            </w:r>
            <w:proofErr w:type="spellStart"/>
            <w:r w:rsidRPr="00B50018">
              <w:rPr>
                <w:b/>
                <w:i/>
                <w:sz w:val="22"/>
              </w:rPr>
              <w:t>Briones</w:t>
            </w:r>
            <w:proofErr w:type="spellEnd"/>
            <w:r w:rsidRPr="00B50018">
              <w:rPr>
                <w:b/>
                <w:i/>
                <w:sz w:val="22"/>
              </w:rPr>
              <w:t xml:space="preserve"> et al. 2020, e </w:t>
            </w:r>
            <w:proofErr w:type="spellStart"/>
            <w:r w:rsidRPr="00B50018">
              <w:rPr>
                <w:b/>
                <w:i/>
                <w:sz w:val="22"/>
              </w:rPr>
              <w:t>Potapov</w:t>
            </w:r>
            <w:proofErr w:type="spellEnd"/>
            <w:r w:rsidRPr="00B50018">
              <w:rPr>
                <w:b/>
                <w:i/>
                <w:sz w:val="22"/>
              </w:rPr>
              <w:t xml:space="preserve"> et al. 2022 </w:t>
            </w:r>
          </w:p>
        </w:tc>
        <w:tc>
          <w:tcPr>
            <w:tcW w:w="3150" w:type="dxa"/>
            <w:tcBorders>
              <w:top w:val="single" w:sz="4" w:space="0" w:color="000000"/>
              <w:left w:val="single" w:sz="4" w:space="0" w:color="000000"/>
              <w:bottom w:val="single" w:sz="4" w:space="0" w:color="000000"/>
              <w:right w:val="single" w:sz="4" w:space="0" w:color="000000"/>
            </w:tcBorders>
          </w:tcPr>
          <w:p w14:paraId="1383A7AC"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CC42C27" w14:textId="77777777" w:rsidR="00767FA2" w:rsidRPr="00B50018" w:rsidRDefault="00767FA2" w:rsidP="008D41A0">
            <w:pPr>
              <w:rPr>
                <w:b/>
                <w:i/>
                <w:sz w:val="22"/>
                <w:szCs w:val="22"/>
              </w:rPr>
            </w:pPr>
            <w:r w:rsidRPr="00B50018">
              <w:rPr>
                <w:b/>
                <w:i/>
                <w:sz w:val="22"/>
              </w:rPr>
              <w:t>SÌ</w:t>
            </w:r>
          </w:p>
        </w:tc>
      </w:tr>
      <w:tr w:rsidR="00767FA2" w:rsidRPr="00B50018" w14:paraId="5C9B72F7"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1710E587" w14:textId="77777777" w:rsidR="00767FA2" w:rsidRPr="00B50018" w:rsidRDefault="00767FA2" w:rsidP="008D41A0">
            <w:pPr>
              <w:rPr>
                <w:b/>
                <w:i/>
                <w:sz w:val="22"/>
                <w:szCs w:val="22"/>
              </w:rPr>
            </w:pPr>
            <w:r w:rsidRPr="00B50018">
              <w:rPr>
                <w:b/>
                <w:i/>
                <w:sz w:val="22"/>
              </w:rPr>
              <w:t>Caratteristiche delle radici a livello di comunità</w:t>
            </w:r>
          </w:p>
        </w:tc>
        <w:tc>
          <w:tcPr>
            <w:tcW w:w="2622" w:type="dxa"/>
            <w:tcBorders>
              <w:top w:val="single" w:sz="4" w:space="0" w:color="000000"/>
              <w:left w:val="single" w:sz="4" w:space="0" w:color="000000"/>
              <w:bottom w:val="single" w:sz="4" w:space="0" w:color="000000"/>
              <w:right w:val="single" w:sz="4" w:space="0" w:color="000000"/>
            </w:tcBorders>
            <w:hideMark/>
          </w:tcPr>
          <w:p w14:paraId="7E4237DE" w14:textId="77777777" w:rsidR="00767FA2" w:rsidRPr="00B50018" w:rsidRDefault="00767FA2" w:rsidP="008D41A0">
            <w:pPr>
              <w:rPr>
                <w:b/>
                <w:i/>
                <w:sz w:val="22"/>
                <w:szCs w:val="22"/>
              </w:rPr>
            </w:pPr>
            <w:r w:rsidRPr="00B50018">
              <w:rPr>
                <w:b/>
                <w:i/>
                <w:sz w:val="22"/>
              </w:rPr>
              <w:t>Seguire le indicazioni di cui a Guerra et al., 2021</w:t>
            </w:r>
          </w:p>
        </w:tc>
        <w:tc>
          <w:tcPr>
            <w:tcW w:w="3150" w:type="dxa"/>
            <w:tcBorders>
              <w:top w:val="single" w:sz="4" w:space="0" w:color="000000"/>
              <w:left w:val="single" w:sz="4" w:space="0" w:color="000000"/>
              <w:bottom w:val="single" w:sz="4" w:space="0" w:color="000000"/>
              <w:right w:val="single" w:sz="4" w:space="0" w:color="000000"/>
            </w:tcBorders>
          </w:tcPr>
          <w:p w14:paraId="4D6638F5"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5A3EBD7" w14:textId="77777777" w:rsidR="00767FA2" w:rsidRPr="00B50018" w:rsidRDefault="00767FA2" w:rsidP="008D41A0">
            <w:pPr>
              <w:rPr>
                <w:b/>
                <w:i/>
                <w:sz w:val="22"/>
                <w:szCs w:val="22"/>
              </w:rPr>
            </w:pPr>
            <w:r w:rsidRPr="00B50018">
              <w:rPr>
                <w:b/>
                <w:i/>
                <w:sz w:val="22"/>
              </w:rPr>
              <w:t>SÌ</w:t>
            </w:r>
          </w:p>
        </w:tc>
      </w:tr>
      <w:tr w:rsidR="00767FA2" w:rsidRPr="00B50018" w14:paraId="197D2B64"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52966218" w14:textId="77777777" w:rsidR="00767FA2" w:rsidRPr="00B50018" w:rsidRDefault="00767FA2" w:rsidP="008D41A0">
            <w:pPr>
              <w:rPr>
                <w:b/>
                <w:i/>
                <w:sz w:val="22"/>
                <w:szCs w:val="22"/>
              </w:rPr>
            </w:pPr>
            <w:r w:rsidRPr="00B50018">
              <w:rPr>
                <w:b/>
                <w:i/>
                <w:sz w:val="22"/>
              </w:rPr>
              <w:t>Diversità tassonomica</w:t>
            </w:r>
          </w:p>
        </w:tc>
        <w:tc>
          <w:tcPr>
            <w:tcW w:w="2622" w:type="dxa"/>
            <w:tcBorders>
              <w:top w:val="single" w:sz="4" w:space="0" w:color="000000"/>
              <w:left w:val="single" w:sz="4" w:space="0" w:color="000000"/>
              <w:bottom w:val="single" w:sz="4" w:space="0" w:color="000000"/>
              <w:right w:val="single" w:sz="4" w:space="0" w:color="000000"/>
            </w:tcBorders>
            <w:hideMark/>
          </w:tcPr>
          <w:p w14:paraId="6E3E0FED" w14:textId="77777777" w:rsidR="00767FA2" w:rsidRPr="00B50018" w:rsidRDefault="00767FA2" w:rsidP="008D41A0">
            <w:pPr>
              <w:rPr>
                <w:b/>
                <w:i/>
                <w:sz w:val="22"/>
                <w:szCs w:val="22"/>
              </w:rPr>
            </w:pPr>
            <w:r w:rsidRPr="00B50018">
              <w:rPr>
                <w:b/>
                <w:i/>
                <w:sz w:val="22"/>
              </w:rPr>
              <w:t>Seguire le indicazioni di cui a Guerra et al., 2021</w:t>
            </w:r>
          </w:p>
        </w:tc>
        <w:tc>
          <w:tcPr>
            <w:tcW w:w="3150" w:type="dxa"/>
            <w:tcBorders>
              <w:top w:val="single" w:sz="4" w:space="0" w:color="000000"/>
              <w:left w:val="single" w:sz="4" w:space="0" w:color="000000"/>
              <w:bottom w:val="single" w:sz="4" w:space="0" w:color="000000"/>
              <w:right w:val="single" w:sz="4" w:space="0" w:color="000000"/>
            </w:tcBorders>
          </w:tcPr>
          <w:p w14:paraId="5DF5F5CD"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FE3994E" w14:textId="77777777" w:rsidR="00767FA2" w:rsidRPr="00B50018" w:rsidRDefault="00767FA2" w:rsidP="008D41A0">
            <w:pPr>
              <w:rPr>
                <w:b/>
                <w:i/>
                <w:sz w:val="22"/>
                <w:szCs w:val="22"/>
              </w:rPr>
            </w:pPr>
            <w:r w:rsidRPr="00B50018">
              <w:rPr>
                <w:b/>
                <w:i/>
                <w:sz w:val="22"/>
              </w:rPr>
              <w:t>SÌ</w:t>
            </w:r>
          </w:p>
        </w:tc>
      </w:tr>
      <w:tr w:rsidR="00767FA2" w:rsidRPr="00B50018" w14:paraId="0FC97791"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71F65DF0" w14:textId="77777777" w:rsidR="00767FA2" w:rsidRPr="00B50018" w:rsidRDefault="00767FA2" w:rsidP="008D41A0">
            <w:pPr>
              <w:rPr>
                <w:b/>
                <w:i/>
                <w:sz w:val="22"/>
                <w:szCs w:val="22"/>
              </w:rPr>
            </w:pPr>
            <w:r w:rsidRPr="00B50018">
              <w:rPr>
                <w:b/>
                <w:i/>
                <w:sz w:val="22"/>
              </w:rPr>
              <w:t>Abbondanza delle popolazioni</w:t>
            </w:r>
          </w:p>
        </w:tc>
        <w:tc>
          <w:tcPr>
            <w:tcW w:w="2622" w:type="dxa"/>
            <w:tcBorders>
              <w:top w:val="single" w:sz="4" w:space="0" w:color="000000"/>
              <w:left w:val="single" w:sz="4" w:space="0" w:color="000000"/>
              <w:bottom w:val="single" w:sz="4" w:space="0" w:color="000000"/>
              <w:right w:val="single" w:sz="4" w:space="0" w:color="000000"/>
            </w:tcBorders>
            <w:hideMark/>
          </w:tcPr>
          <w:p w14:paraId="137EAC63" w14:textId="77777777" w:rsidR="00767FA2" w:rsidRPr="00B50018" w:rsidRDefault="00767FA2" w:rsidP="008D41A0">
            <w:pPr>
              <w:rPr>
                <w:b/>
                <w:i/>
                <w:sz w:val="22"/>
                <w:szCs w:val="22"/>
              </w:rPr>
            </w:pPr>
            <w:r w:rsidRPr="00B50018">
              <w:rPr>
                <w:b/>
                <w:i/>
                <w:sz w:val="22"/>
              </w:rPr>
              <w:t>Seguire le indicazioni di cui a Guerra et al., 2021</w:t>
            </w:r>
          </w:p>
        </w:tc>
        <w:tc>
          <w:tcPr>
            <w:tcW w:w="3150" w:type="dxa"/>
            <w:tcBorders>
              <w:top w:val="single" w:sz="4" w:space="0" w:color="000000"/>
              <w:left w:val="single" w:sz="4" w:space="0" w:color="000000"/>
              <w:bottom w:val="single" w:sz="4" w:space="0" w:color="000000"/>
              <w:right w:val="single" w:sz="4" w:space="0" w:color="000000"/>
            </w:tcBorders>
          </w:tcPr>
          <w:p w14:paraId="7DA81087"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38EFE95" w14:textId="77777777" w:rsidR="00767FA2" w:rsidRPr="00B50018" w:rsidRDefault="00767FA2" w:rsidP="008D41A0">
            <w:pPr>
              <w:rPr>
                <w:b/>
                <w:i/>
                <w:sz w:val="22"/>
                <w:szCs w:val="22"/>
              </w:rPr>
            </w:pPr>
            <w:r w:rsidRPr="00B50018">
              <w:rPr>
                <w:b/>
                <w:i/>
                <w:sz w:val="22"/>
              </w:rPr>
              <w:t>SÌ</w:t>
            </w:r>
          </w:p>
        </w:tc>
      </w:tr>
      <w:tr w:rsidR="00767FA2" w:rsidRPr="00B50018" w14:paraId="49C30892"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3EFCBC8F" w14:textId="77777777" w:rsidR="00767FA2" w:rsidRPr="00B50018" w:rsidRDefault="00767FA2" w:rsidP="008D41A0">
            <w:pPr>
              <w:rPr>
                <w:b/>
                <w:i/>
                <w:sz w:val="22"/>
                <w:szCs w:val="22"/>
              </w:rPr>
            </w:pPr>
            <w:r w:rsidRPr="00B50018">
              <w:rPr>
                <w:b/>
                <w:i/>
                <w:sz w:val="22"/>
              </w:rPr>
              <w:t>Diversità genetica intraspecifica</w:t>
            </w:r>
          </w:p>
        </w:tc>
        <w:tc>
          <w:tcPr>
            <w:tcW w:w="2622" w:type="dxa"/>
            <w:tcBorders>
              <w:top w:val="single" w:sz="4" w:space="0" w:color="000000"/>
              <w:left w:val="single" w:sz="4" w:space="0" w:color="000000"/>
              <w:bottom w:val="single" w:sz="4" w:space="0" w:color="000000"/>
              <w:right w:val="single" w:sz="4" w:space="0" w:color="000000"/>
            </w:tcBorders>
            <w:hideMark/>
          </w:tcPr>
          <w:p w14:paraId="00DA8D59" w14:textId="77777777" w:rsidR="00767FA2" w:rsidRPr="00B50018" w:rsidRDefault="00767FA2" w:rsidP="008D41A0">
            <w:pPr>
              <w:rPr>
                <w:b/>
                <w:i/>
                <w:sz w:val="22"/>
                <w:szCs w:val="22"/>
              </w:rPr>
            </w:pPr>
            <w:r w:rsidRPr="00B50018">
              <w:rPr>
                <w:b/>
                <w:i/>
                <w:sz w:val="22"/>
              </w:rPr>
              <w:t>Seguire le indicazioni di cui a Guerra et al., 2021</w:t>
            </w:r>
          </w:p>
        </w:tc>
        <w:tc>
          <w:tcPr>
            <w:tcW w:w="3150" w:type="dxa"/>
            <w:tcBorders>
              <w:top w:val="single" w:sz="4" w:space="0" w:color="000000"/>
              <w:left w:val="single" w:sz="4" w:space="0" w:color="000000"/>
              <w:bottom w:val="single" w:sz="4" w:space="0" w:color="000000"/>
              <w:right w:val="single" w:sz="4" w:space="0" w:color="000000"/>
            </w:tcBorders>
          </w:tcPr>
          <w:p w14:paraId="5B6D492D"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A9D25E2" w14:textId="77777777" w:rsidR="00767FA2" w:rsidRPr="00B50018" w:rsidRDefault="00767FA2" w:rsidP="008D41A0">
            <w:pPr>
              <w:rPr>
                <w:b/>
                <w:i/>
                <w:sz w:val="22"/>
                <w:szCs w:val="22"/>
              </w:rPr>
            </w:pPr>
            <w:r w:rsidRPr="00B50018">
              <w:rPr>
                <w:b/>
                <w:i/>
                <w:sz w:val="22"/>
              </w:rPr>
              <w:t>SÌ</w:t>
            </w:r>
          </w:p>
        </w:tc>
      </w:tr>
      <w:tr w:rsidR="00767FA2" w:rsidRPr="00B50018" w14:paraId="5156F089" w14:textId="77777777" w:rsidTr="00767FA2">
        <w:tc>
          <w:tcPr>
            <w:tcW w:w="1968" w:type="dxa"/>
            <w:tcBorders>
              <w:top w:val="single" w:sz="4" w:space="0" w:color="000000"/>
              <w:left w:val="single" w:sz="4" w:space="0" w:color="000000"/>
              <w:bottom w:val="single" w:sz="4" w:space="0" w:color="000000"/>
              <w:right w:val="single" w:sz="4" w:space="0" w:color="000000"/>
            </w:tcBorders>
            <w:hideMark/>
          </w:tcPr>
          <w:p w14:paraId="5A2CAF17" w14:textId="77777777" w:rsidR="00767FA2" w:rsidRPr="00B50018" w:rsidRDefault="00767FA2" w:rsidP="008D41A0">
            <w:pPr>
              <w:rPr>
                <w:b/>
                <w:i/>
                <w:sz w:val="22"/>
                <w:szCs w:val="22"/>
              </w:rPr>
            </w:pPr>
            <w:r w:rsidRPr="00B50018">
              <w:rPr>
                <w:b/>
                <w:i/>
                <w:sz w:val="22"/>
              </w:rPr>
              <w:t>Struttura del suolo</w:t>
            </w:r>
          </w:p>
        </w:tc>
        <w:tc>
          <w:tcPr>
            <w:tcW w:w="2622" w:type="dxa"/>
            <w:tcBorders>
              <w:top w:val="single" w:sz="4" w:space="0" w:color="000000"/>
              <w:left w:val="single" w:sz="4" w:space="0" w:color="000000"/>
              <w:bottom w:val="single" w:sz="4" w:space="0" w:color="000000"/>
              <w:right w:val="single" w:sz="4" w:space="0" w:color="000000"/>
            </w:tcBorders>
            <w:hideMark/>
          </w:tcPr>
          <w:p w14:paraId="7F45EE54" w14:textId="77777777" w:rsidR="00767FA2" w:rsidRPr="00B50018" w:rsidRDefault="00767FA2" w:rsidP="008D41A0">
            <w:pPr>
              <w:rPr>
                <w:b/>
                <w:i/>
                <w:sz w:val="22"/>
                <w:szCs w:val="22"/>
              </w:rPr>
            </w:pPr>
            <w:r w:rsidRPr="00B50018">
              <w:rPr>
                <w:b/>
                <w:i/>
                <w:sz w:val="22"/>
              </w:rPr>
              <w:t xml:space="preserve">L'analisi granulometrica è eseguita su suolo setacciato (Ø &lt; 2 mm), dopo la distruzione della materia organica con H2O2. La dispersione è eseguita con una soluzione di </w:t>
            </w:r>
            <w:proofErr w:type="spellStart"/>
            <w:r w:rsidRPr="00B50018">
              <w:rPr>
                <w:b/>
                <w:i/>
                <w:sz w:val="22"/>
              </w:rPr>
              <w:t>esametafosfato</w:t>
            </w:r>
            <w:proofErr w:type="spellEnd"/>
            <w:r w:rsidRPr="00B50018">
              <w:rPr>
                <w:b/>
                <w:i/>
                <w:sz w:val="22"/>
              </w:rPr>
              <w:t xml:space="preserve">/carbonato di sodio e agitata per 16 ore. Le frazioni granulometriche considerate sono quelle raccomandate dall'Unione internazionale di scienza del suolo (scala </w:t>
            </w:r>
            <w:proofErr w:type="spellStart"/>
            <w:r w:rsidRPr="00B50018">
              <w:rPr>
                <w:b/>
                <w:i/>
                <w:sz w:val="22"/>
              </w:rPr>
              <w:t>Atterberg</w:t>
            </w:r>
            <w:proofErr w:type="spellEnd"/>
            <w:r w:rsidRPr="00B50018">
              <w:rPr>
                <w:b/>
                <w:i/>
                <w:sz w:val="22"/>
              </w:rPr>
              <w:t xml:space="preserve">), ovvero sabbia grossolana (2 &gt; Ø &gt; 0,2 mm), sabbia fine (0,2 &gt; Ø &gt; 0,02 mm), limo (0,02 &gt; Ø &gt; 0,002 mm) e argilla (Ø &lt; 0,002 mm). La frazione di sabbia grossolana è determinata mediante screening, le frazioni di limo e argilla sono determinate mediante precipitazione e </w:t>
            </w:r>
            <w:proofErr w:type="spellStart"/>
            <w:r w:rsidRPr="00B50018">
              <w:rPr>
                <w:b/>
                <w:i/>
                <w:sz w:val="22"/>
              </w:rPr>
              <w:t>pipettaggio</w:t>
            </w:r>
            <w:proofErr w:type="spellEnd"/>
            <w:r w:rsidRPr="00B50018">
              <w:rPr>
                <w:b/>
                <w:i/>
                <w:sz w:val="22"/>
              </w:rPr>
              <w:t xml:space="preserve"> con una pipetta Robinson e la sabbia fine mediante precipitazione e decantazione. I tempi di precipitazione sono calcolati con la legge di </w:t>
            </w:r>
            <w:proofErr w:type="spellStart"/>
            <w:r w:rsidRPr="00B50018">
              <w:rPr>
                <w:b/>
                <w:i/>
                <w:sz w:val="22"/>
              </w:rPr>
              <w:t>Stokes</w:t>
            </w:r>
            <w:proofErr w:type="spellEnd"/>
            <w:r w:rsidRPr="00B50018">
              <w:rPr>
                <w:b/>
                <w:i/>
                <w:sz w:val="22"/>
              </w:rPr>
              <w:t>.</w:t>
            </w:r>
          </w:p>
        </w:tc>
        <w:tc>
          <w:tcPr>
            <w:tcW w:w="3150" w:type="dxa"/>
            <w:tcBorders>
              <w:top w:val="single" w:sz="4" w:space="0" w:color="000000"/>
              <w:left w:val="single" w:sz="4" w:space="0" w:color="000000"/>
              <w:bottom w:val="single" w:sz="4" w:space="0" w:color="000000"/>
              <w:right w:val="single" w:sz="4" w:space="0" w:color="000000"/>
            </w:tcBorders>
          </w:tcPr>
          <w:p w14:paraId="38D4F8B6" w14:textId="77777777" w:rsidR="00767FA2" w:rsidRPr="00B50018" w:rsidRDefault="00767FA2" w:rsidP="008D41A0">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D56430B" w14:textId="77777777" w:rsidR="00767FA2" w:rsidRPr="00B50018" w:rsidRDefault="00767FA2" w:rsidP="008D41A0">
            <w:pPr>
              <w:rPr>
                <w:b/>
                <w:i/>
                <w:sz w:val="22"/>
                <w:szCs w:val="22"/>
              </w:rPr>
            </w:pPr>
            <w:r w:rsidRPr="00B50018">
              <w:rPr>
                <w:b/>
                <w:i/>
                <w:sz w:val="22"/>
              </w:rPr>
              <w:t>SÌ</w:t>
            </w:r>
          </w:p>
        </w:tc>
      </w:tr>
      <w:tr w:rsidR="00767FA2" w:rsidRPr="00B50018" w14:paraId="07A11966" w14:textId="77777777" w:rsidTr="00767FA2">
        <w:tc>
          <w:tcPr>
            <w:tcW w:w="9360" w:type="dxa"/>
            <w:gridSpan w:val="4"/>
            <w:tcBorders>
              <w:top w:val="single" w:sz="4" w:space="0" w:color="000000"/>
              <w:left w:val="single" w:sz="4" w:space="0" w:color="000000"/>
              <w:bottom w:val="single" w:sz="4" w:space="0" w:color="000000"/>
              <w:right w:val="single" w:sz="4" w:space="0" w:color="000000"/>
            </w:tcBorders>
            <w:hideMark/>
          </w:tcPr>
          <w:p w14:paraId="0F56950F" w14:textId="77777777" w:rsidR="00767FA2" w:rsidRPr="00B50018" w:rsidRDefault="00767FA2" w:rsidP="008D41A0">
            <w:pPr>
              <w:rPr>
                <w:b/>
                <w:i/>
                <w:sz w:val="22"/>
                <w:szCs w:val="22"/>
              </w:rPr>
            </w:pPr>
            <w:r w:rsidRPr="00B50018">
              <w:rPr>
                <w:b/>
                <w:i/>
                <w:sz w:val="22"/>
              </w:rPr>
              <w:t>_____________________</w:t>
            </w:r>
          </w:p>
        </w:tc>
      </w:tr>
      <w:tr w:rsidR="00767FA2" w:rsidRPr="00B50018" w14:paraId="2FEA5CFA" w14:textId="77777777" w:rsidTr="00767FA2">
        <w:tc>
          <w:tcPr>
            <w:tcW w:w="9360" w:type="dxa"/>
            <w:gridSpan w:val="4"/>
            <w:tcBorders>
              <w:top w:val="single" w:sz="4" w:space="0" w:color="000000"/>
              <w:left w:val="single" w:sz="4" w:space="0" w:color="000000"/>
              <w:bottom w:val="single" w:sz="4" w:space="0" w:color="000000"/>
              <w:right w:val="single" w:sz="4" w:space="0" w:color="000000"/>
            </w:tcBorders>
            <w:hideMark/>
          </w:tcPr>
          <w:p w14:paraId="4A581354" w14:textId="77777777" w:rsidR="00767FA2" w:rsidRPr="00B50018" w:rsidRDefault="00767FA2" w:rsidP="008D41A0">
            <w:pPr>
              <w:rPr>
                <w:b/>
                <w:i/>
                <w:sz w:val="22"/>
                <w:szCs w:val="22"/>
              </w:rPr>
            </w:pPr>
            <w:r w:rsidRPr="00B50018">
              <w:rPr>
                <w:vertAlign w:val="superscript"/>
              </w:rPr>
              <w:t>6</w:t>
            </w:r>
            <w:hyperlink r:id="rId14" w:history="1">
              <w:r w:rsidRPr="00B50018">
                <w:rPr>
                  <w:rStyle w:val="Hyperlink"/>
                  <w:b/>
                  <w:i/>
                  <w:color w:val="auto"/>
                </w:rPr>
                <w:t xml:space="preserve"> https://www.fao.org/3/cb3355en/cb3355en.pdf</w:t>
              </w:r>
            </w:hyperlink>
          </w:p>
        </w:tc>
      </w:tr>
      <w:tr w:rsidR="00767FA2" w:rsidRPr="00B50018" w14:paraId="39D75820" w14:textId="77777777" w:rsidTr="00767FA2">
        <w:tc>
          <w:tcPr>
            <w:tcW w:w="9360" w:type="dxa"/>
            <w:gridSpan w:val="4"/>
            <w:tcBorders>
              <w:top w:val="single" w:sz="4" w:space="0" w:color="000000"/>
              <w:left w:val="single" w:sz="4" w:space="0" w:color="000000"/>
              <w:bottom w:val="single" w:sz="4" w:space="0" w:color="000000"/>
              <w:right w:val="single" w:sz="4" w:space="0" w:color="000000"/>
            </w:tcBorders>
            <w:hideMark/>
          </w:tcPr>
          <w:p w14:paraId="4CFDA608" w14:textId="77777777" w:rsidR="00767FA2" w:rsidRPr="00B50018" w:rsidRDefault="00767FA2" w:rsidP="008D41A0">
            <w:pPr>
              <w:rPr>
                <w:b/>
                <w:i/>
                <w:sz w:val="22"/>
                <w:szCs w:val="22"/>
                <w:vertAlign w:val="superscript"/>
              </w:rPr>
            </w:pPr>
            <w:r w:rsidRPr="00B50018">
              <w:rPr>
                <w:b/>
                <w:i/>
                <w:vertAlign w:val="superscript"/>
              </w:rPr>
              <w:t>7</w:t>
            </w:r>
            <w:r w:rsidRPr="00B50018">
              <w:rPr>
                <w:b/>
                <w:i/>
              </w:rPr>
              <w:t xml:space="preserve"> </w:t>
            </w:r>
            <w:r w:rsidRPr="00B50018">
              <w:rPr>
                <w:rStyle w:val="Hyperlink"/>
                <w:b/>
                <w:i/>
                <w:color w:val="auto"/>
              </w:rPr>
              <w:t xml:space="preserve">Equivalente secondo la relazione dell'AEA: </w:t>
            </w:r>
            <w:hyperlink r:id="rId15" w:history="1">
              <w:proofErr w:type="spellStart"/>
              <w:r w:rsidRPr="00B50018">
                <w:rPr>
                  <w:rStyle w:val="Hyperlink"/>
                  <w:b/>
                  <w:i/>
                  <w:color w:val="auto"/>
                </w:rPr>
                <w:t>Soil</w:t>
              </w:r>
              <w:proofErr w:type="spellEnd"/>
              <w:r w:rsidRPr="00B50018">
                <w:rPr>
                  <w:rStyle w:val="Hyperlink"/>
                  <w:b/>
                  <w:i/>
                  <w:color w:val="auto"/>
                </w:rPr>
                <w:t xml:space="preserve"> </w:t>
              </w:r>
              <w:proofErr w:type="spellStart"/>
              <w:r w:rsidRPr="00B50018">
                <w:rPr>
                  <w:rStyle w:val="Hyperlink"/>
                  <w:b/>
                  <w:i/>
                  <w:color w:val="auto"/>
                </w:rPr>
                <w:t>monitoring</w:t>
              </w:r>
              <w:proofErr w:type="spellEnd"/>
              <w:r w:rsidRPr="00B50018">
                <w:rPr>
                  <w:rStyle w:val="Hyperlink"/>
                  <w:b/>
                  <w:i/>
                  <w:color w:val="auto"/>
                </w:rPr>
                <w:t xml:space="preserve"> in Europe – </w:t>
              </w:r>
              <w:proofErr w:type="spellStart"/>
              <w:r w:rsidRPr="00B50018">
                <w:rPr>
                  <w:rStyle w:val="Hyperlink"/>
                  <w:b/>
                  <w:i/>
                  <w:color w:val="auto"/>
                </w:rPr>
                <w:t>Indicators</w:t>
              </w:r>
              <w:proofErr w:type="spellEnd"/>
              <w:r w:rsidRPr="00B50018">
                <w:rPr>
                  <w:rStyle w:val="Hyperlink"/>
                  <w:b/>
                  <w:i/>
                  <w:color w:val="auto"/>
                </w:rPr>
                <w:t xml:space="preserve"> and </w:t>
              </w:r>
              <w:proofErr w:type="spellStart"/>
              <w:r w:rsidRPr="00B50018">
                <w:rPr>
                  <w:rStyle w:val="Hyperlink"/>
                  <w:b/>
                  <w:i/>
                  <w:color w:val="auto"/>
                </w:rPr>
                <w:lastRenderedPageBreak/>
                <w:t>thresholds</w:t>
              </w:r>
              <w:proofErr w:type="spellEnd"/>
              <w:r w:rsidRPr="00B50018">
                <w:rPr>
                  <w:rStyle w:val="Hyperlink"/>
                  <w:b/>
                  <w:i/>
                  <w:color w:val="auto"/>
                </w:rPr>
                <w:t xml:space="preserve"> for </w:t>
              </w:r>
              <w:proofErr w:type="spellStart"/>
              <w:r w:rsidRPr="00B50018">
                <w:rPr>
                  <w:rStyle w:val="Hyperlink"/>
                  <w:b/>
                  <w:i/>
                  <w:color w:val="auto"/>
                </w:rPr>
                <w:t>soil</w:t>
              </w:r>
              <w:proofErr w:type="spellEnd"/>
              <w:r w:rsidRPr="00B50018">
                <w:rPr>
                  <w:rStyle w:val="Hyperlink"/>
                  <w:b/>
                  <w:i/>
                  <w:color w:val="auto"/>
                </w:rPr>
                <w:t xml:space="preserve"> </w:t>
              </w:r>
              <w:proofErr w:type="spellStart"/>
              <w:r w:rsidRPr="00B50018">
                <w:rPr>
                  <w:rStyle w:val="Hyperlink"/>
                  <w:b/>
                  <w:i/>
                  <w:color w:val="auto"/>
                </w:rPr>
                <w:t>health</w:t>
              </w:r>
              <w:proofErr w:type="spellEnd"/>
              <w:r w:rsidRPr="00B50018">
                <w:rPr>
                  <w:rStyle w:val="Hyperlink"/>
                  <w:b/>
                  <w:i/>
                  <w:color w:val="auto"/>
                </w:rPr>
                <w:t xml:space="preserve"> </w:t>
              </w:r>
              <w:proofErr w:type="spellStart"/>
              <w:r w:rsidRPr="00B50018">
                <w:rPr>
                  <w:rStyle w:val="Hyperlink"/>
                  <w:b/>
                  <w:i/>
                  <w:color w:val="auto"/>
                </w:rPr>
                <w:t>assessments</w:t>
              </w:r>
              <w:proofErr w:type="spellEnd"/>
              <w:r w:rsidRPr="00B50018">
                <w:rPr>
                  <w:rStyle w:val="Hyperlink"/>
                  <w:b/>
                  <w:i/>
                  <w:color w:val="auto"/>
                </w:rPr>
                <w:t xml:space="preserve"> — European Environment Agency (europa.eu)</w:t>
              </w:r>
            </w:hyperlink>
          </w:p>
        </w:tc>
      </w:tr>
      <w:tr w:rsidR="00767FA2" w:rsidRPr="00B50018" w14:paraId="19CA55AB" w14:textId="77777777" w:rsidTr="00767FA2">
        <w:tc>
          <w:tcPr>
            <w:tcW w:w="9360" w:type="dxa"/>
            <w:gridSpan w:val="4"/>
            <w:tcBorders>
              <w:top w:val="single" w:sz="4" w:space="0" w:color="000000"/>
              <w:left w:val="single" w:sz="4" w:space="0" w:color="000000"/>
              <w:bottom w:val="single" w:sz="4" w:space="0" w:color="000000"/>
              <w:right w:val="single" w:sz="4" w:space="0" w:color="000000"/>
            </w:tcBorders>
            <w:hideMark/>
          </w:tcPr>
          <w:p w14:paraId="155C8797" w14:textId="77777777" w:rsidR="00767FA2" w:rsidRPr="00B50018" w:rsidRDefault="00767FA2" w:rsidP="008D41A0">
            <w:pPr>
              <w:rPr>
                <w:b/>
                <w:i/>
                <w:sz w:val="22"/>
                <w:szCs w:val="22"/>
                <w:vertAlign w:val="superscript"/>
              </w:rPr>
            </w:pPr>
            <w:r w:rsidRPr="00B50018">
              <w:rPr>
                <w:b/>
                <w:i/>
                <w:sz w:val="22"/>
                <w:vertAlign w:val="superscript"/>
              </w:rPr>
              <w:lastRenderedPageBreak/>
              <w:t xml:space="preserve">8 </w:t>
            </w:r>
            <w:hyperlink r:id="rId16" w:history="1">
              <w:r w:rsidRPr="00B50018">
                <w:rPr>
                  <w:rStyle w:val="Hyperlink"/>
                  <w:b/>
                  <w:i/>
                  <w:color w:val="auto"/>
                </w:rPr>
                <w:t>https://www.sciencedirect.com/science/article/abs/pii/S0038071797001259</w:t>
              </w:r>
            </w:hyperlink>
            <w:r w:rsidRPr="00B50018">
              <w:rPr>
                <w:rStyle w:val="Hyperlink"/>
                <w:b/>
                <w:i/>
                <w:color w:val="auto"/>
              </w:rPr>
              <w:t xml:space="preserve"> </w:t>
            </w:r>
          </w:p>
        </w:tc>
      </w:tr>
    </w:tbl>
    <w:p w14:paraId="360ACBB8" w14:textId="44696410" w:rsidR="00767FA2" w:rsidRPr="00FC50DD" w:rsidRDefault="00767FA2" w:rsidP="00767FA2">
      <w:pPr>
        <w:widowControl/>
        <w:spacing w:before="120" w:after="120"/>
        <w:jc w:val="right"/>
        <w:rPr>
          <w:rFonts w:eastAsia="Calibri"/>
          <w:b/>
          <w:noProof/>
          <w:szCs w:val="22"/>
          <w:lang w:eastAsia="en-US"/>
        </w:rPr>
      </w:pPr>
      <w:r>
        <w:rPr>
          <w:rFonts w:eastAsia="Calibri"/>
          <w:b/>
          <w:noProof/>
          <w:szCs w:val="22"/>
          <w:lang w:eastAsia="en-US"/>
        </w:rPr>
        <w:t>[Em. 202]</w:t>
      </w:r>
    </w:p>
    <w:p w14:paraId="48796CAE" w14:textId="77777777" w:rsidR="008D196E" w:rsidRPr="008D196E" w:rsidRDefault="008D196E" w:rsidP="008D196E">
      <w:pPr>
        <w:widowControl/>
        <w:spacing w:before="120" w:after="120"/>
        <w:jc w:val="both"/>
        <w:rPr>
          <w:rFonts w:eastAsia="Calibri"/>
          <w:noProof/>
          <w:szCs w:val="22"/>
          <w:lang w:eastAsia="en-US"/>
        </w:rPr>
      </w:pPr>
    </w:p>
    <w:p w14:paraId="754B3676" w14:textId="77777777" w:rsidR="008D196E" w:rsidRPr="008D196E" w:rsidRDefault="008D196E" w:rsidP="008D196E">
      <w:pPr>
        <w:widowControl/>
        <w:spacing w:before="120" w:after="120"/>
        <w:jc w:val="both"/>
        <w:rPr>
          <w:rFonts w:eastAsia="Calibri"/>
          <w:b/>
          <w:noProof/>
          <w:szCs w:val="22"/>
          <w:lang w:eastAsia="en-US"/>
        </w:rPr>
      </w:pPr>
      <w:r w:rsidRPr="008D196E">
        <w:rPr>
          <w:rFonts w:eastAsia="Calibri"/>
          <w:b/>
          <w:noProof/>
          <w:szCs w:val="22"/>
          <w:lang w:eastAsia="en-US"/>
        </w:rPr>
        <w:t>Parte C: criteri metodologici minimi per determinare i valori degli indicatori del consumo di suolo e dell'impermeabilizzazione del suolo</w:t>
      </w:r>
    </w:p>
    <w:p w14:paraId="6175323E" w14:textId="77777777" w:rsidR="008D196E" w:rsidRPr="008D196E" w:rsidRDefault="008D196E" w:rsidP="008D196E">
      <w:pPr>
        <w:widowControl/>
        <w:spacing w:before="120" w:after="120"/>
        <w:jc w:val="both"/>
        <w:rPr>
          <w:rFonts w:eastAsia="Calibri"/>
          <w:noProof/>
          <w:szCs w:val="22"/>
          <w:lang w:eastAsia="en-US"/>
        </w:rPr>
      </w:pPr>
      <w:r w:rsidRPr="008D196E">
        <w:rPr>
          <w:rFonts w:eastAsia="Calibri"/>
          <w:noProof/>
          <w:szCs w:val="22"/>
          <w:lang w:eastAsia="en-US"/>
        </w:rPr>
        <w:t>- Per il consumo, il consumo inverso e il consumo netto di suolo, le metodologie dovrebbero essere conformi alle definizioni di cui all'articolo 3 e all'allegato I.</w:t>
      </w:r>
    </w:p>
    <w:p w14:paraId="68156B95" w14:textId="77777777" w:rsidR="008D196E" w:rsidRPr="008D196E" w:rsidRDefault="008D196E" w:rsidP="008D196E">
      <w:pPr>
        <w:widowControl/>
        <w:spacing w:before="120" w:after="120"/>
        <w:jc w:val="both"/>
        <w:rPr>
          <w:rFonts w:eastAsia="Calibri"/>
          <w:noProof/>
          <w:szCs w:val="22"/>
          <w:lang w:eastAsia="en-US"/>
        </w:rPr>
      </w:pPr>
      <w:r w:rsidRPr="008D196E">
        <w:rPr>
          <w:rFonts w:eastAsia="Calibri"/>
          <w:noProof/>
          <w:szCs w:val="22"/>
          <w:lang w:eastAsia="en-US"/>
        </w:rPr>
        <w:t>- L'impermeabilizzazione del suolo è espressa in percentuale della superficie impermeabilizzata sulla superficie totale.</w:t>
      </w:r>
    </w:p>
    <w:p w14:paraId="45E2BAEA" w14:textId="18CD2506" w:rsidR="008D196E" w:rsidRDefault="008D196E" w:rsidP="008D196E">
      <w:pPr>
        <w:spacing w:before="120" w:after="120" w:line="360" w:lineRule="auto"/>
        <w:rPr>
          <w:szCs w:val="24"/>
          <w:lang w:eastAsia="en-US"/>
        </w:rPr>
        <w:sectPr w:rsidR="008D196E">
          <w:footnotePr>
            <w:numRestart w:val="eachSect"/>
          </w:footnotePr>
          <w:pgSz w:w="11909" w:h="16834"/>
          <w:pgMar w:top="1134" w:right="1417" w:bottom="1417" w:left="1417" w:header="1134" w:footer="567" w:gutter="0"/>
          <w:cols w:space="720"/>
        </w:sectPr>
      </w:pPr>
      <w:r w:rsidRPr="008D196E">
        <w:rPr>
          <w:rFonts w:eastAsia="Calibri"/>
          <w:noProof/>
          <w:szCs w:val="22"/>
          <w:lang w:eastAsia="en-US"/>
        </w:rPr>
        <w:t>- Le metodologie scelte devono essere disponibili pubblicamente o nella letteratura scientifica.</w:t>
      </w:r>
    </w:p>
    <w:p w14:paraId="6F315446" w14:textId="77777777" w:rsidR="00FF3D47" w:rsidRPr="00FF3D47" w:rsidRDefault="00FF3D47" w:rsidP="00FF3D47">
      <w:pPr>
        <w:spacing w:before="120" w:after="120" w:line="360" w:lineRule="auto"/>
        <w:jc w:val="center"/>
        <w:rPr>
          <w:lang w:eastAsia="en-US"/>
        </w:rPr>
      </w:pPr>
      <w:r w:rsidRPr="00FF3D47">
        <w:rPr>
          <w:strike/>
          <w:lang w:eastAsia="en-US"/>
        </w:rPr>
        <w:lastRenderedPageBreak/>
        <w:t>ALLEGATO III</w:t>
      </w:r>
      <w:r w:rsidRPr="00FF3D47">
        <w:rPr>
          <w:lang w:eastAsia="en-US"/>
        </w:rPr>
        <w:br/>
      </w:r>
    </w:p>
    <w:p w14:paraId="527AF438" w14:textId="77777777" w:rsidR="00FF3D47" w:rsidRPr="00FF3D47" w:rsidRDefault="00FF3D47" w:rsidP="00FF3D47">
      <w:pPr>
        <w:spacing w:before="120" w:after="120" w:line="360" w:lineRule="auto"/>
        <w:rPr>
          <w:szCs w:val="24"/>
          <w:lang w:eastAsia="en-US"/>
        </w:rPr>
      </w:pPr>
      <w:r w:rsidRPr="00FF3D47">
        <w:rPr>
          <w:strike/>
          <w:szCs w:val="24"/>
          <w:lang w:eastAsia="en-US"/>
        </w:rPr>
        <w:t xml:space="preserve">PRINCIPI DI GESTIONE SOSTENIBILE DEL SUOLO </w:t>
      </w:r>
    </w:p>
    <w:p w14:paraId="51F7ECAC" w14:textId="77777777" w:rsidR="00FF3D47" w:rsidRPr="00FF3D47" w:rsidRDefault="00FF3D47" w:rsidP="00FF3D47">
      <w:pPr>
        <w:spacing w:before="120" w:after="120" w:line="360" w:lineRule="auto"/>
        <w:rPr>
          <w:szCs w:val="24"/>
          <w:lang w:eastAsia="en-US"/>
        </w:rPr>
      </w:pPr>
      <w:r w:rsidRPr="00FF3D47">
        <w:rPr>
          <w:strike/>
          <w:szCs w:val="24"/>
          <w:lang w:eastAsia="en-US"/>
        </w:rPr>
        <w:t>Si applicano i principi seguenti:</w:t>
      </w:r>
    </w:p>
    <w:p w14:paraId="2F3F64A4"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(a)</w:t>
      </w:r>
      <w:r w:rsidRPr="00FF3D47">
        <w:rPr>
          <w:szCs w:val="24"/>
          <w:lang w:eastAsia="en-US"/>
        </w:rPr>
        <w:tab/>
      </w:r>
      <w:r w:rsidRPr="00FF3D47">
        <w:rPr>
          <w:strike/>
          <w:szCs w:val="24"/>
          <w:lang w:eastAsia="en-US"/>
        </w:rPr>
        <w:t>evitare di lasciare nudo il suolo creando e mantenendo un manto vegetale, in particolare nei periodi sensibili sotto il profilo ambientale;</w:t>
      </w:r>
    </w:p>
    <w:p w14:paraId="2E04BF78"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(b)</w:t>
      </w:r>
      <w:r w:rsidRPr="00FF3D47">
        <w:rPr>
          <w:szCs w:val="24"/>
          <w:lang w:eastAsia="en-US"/>
        </w:rPr>
        <w:tab/>
      </w:r>
      <w:r w:rsidRPr="00FF3D47">
        <w:rPr>
          <w:strike/>
          <w:szCs w:val="24"/>
          <w:lang w:eastAsia="en-US"/>
        </w:rPr>
        <w:t>ridurre al minimo le perturbazioni fisiche del suolo;</w:t>
      </w:r>
    </w:p>
    <w:p w14:paraId="07323AE9"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(c)</w:t>
      </w:r>
      <w:r w:rsidRPr="00FF3D47">
        <w:rPr>
          <w:szCs w:val="24"/>
          <w:lang w:eastAsia="en-US"/>
        </w:rPr>
        <w:tab/>
      </w:r>
      <w:r w:rsidRPr="00FF3D47">
        <w:rPr>
          <w:strike/>
          <w:szCs w:val="24"/>
          <w:lang w:eastAsia="en-US"/>
        </w:rPr>
        <w:t>evitare di immettere o rilasciare nel suolo sostanze che possono danneggiare la salute umana o l'ambiente o degradare la salute del suolo;</w:t>
      </w:r>
    </w:p>
    <w:p w14:paraId="2D0AA7BB"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(d)</w:t>
      </w:r>
      <w:r w:rsidRPr="00FF3D47">
        <w:rPr>
          <w:szCs w:val="24"/>
          <w:lang w:eastAsia="en-US"/>
        </w:rPr>
        <w:tab/>
      </w:r>
      <w:r w:rsidRPr="00FF3D47">
        <w:rPr>
          <w:strike/>
          <w:szCs w:val="24"/>
          <w:lang w:eastAsia="en-US"/>
        </w:rPr>
        <w:t>assicurare che l'uso dei macchinari sia adatto alla resistenza del suolo e che la quantità e la frequenza delle operazioni siano limitate in modo da non compromettere la salute del suolo;</w:t>
      </w:r>
    </w:p>
    <w:p w14:paraId="0CD1756C"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(e)</w:t>
      </w:r>
      <w:r w:rsidRPr="00FF3D47">
        <w:rPr>
          <w:szCs w:val="24"/>
          <w:lang w:eastAsia="en-US"/>
        </w:rPr>
        <w:tab/>
      </w:r>
      <w:r w:rsidRPr="00FF3D47">
        <w:rPr>
          <w:strike/>
          <w:szCs w:val="24"/>
          <w:lang w:eastAsia="en-US"/>
        </w:rPr>
        <w:t>quando si applica la concimazione, assicurare che sia adatta al fabbisogno delle piante e degli alberi in funzione del luogo e del periodo, così come allo stato del suolo, privilegiando soluzioni circolari che arricchiscono la sostanza organica;</w:t>
      </w:r>
    </w:p>
    <w:p w14:paraId="5A926475"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(f)</w:t>
      </w:r>
      <w:r w:rsidRPr="00FF3D47">
        <w:rPr>
          <w:szCs w:val="24"/>
          <w:lang w:eastAsia="en-US"/>
        </w:rPr>
        <w:tab/>
      </w:r>
      <w:r w:rsidRPr="00FF3D47">
        <w:rPr>
          <w:strike/>
          <w:szCs w:val="24"/>
          <w:lang w:eastAsia="en-US"/>
        </w:rPr>
        <w:t>in caso di irrigazione trarre la massima efficienza dai sistemi e dalla gestione dell'irrigazione e garantire che, se si usano acque reflue riciclate, la qualità soddisfi le prescrizioni di cui all'allegato I del regolamento (UE) 2020/741 del Parlamento europeo e del Consiglio</w:t>
      </w:r>
      <w:r w:rsidRPr="00FF3D47">
        <w:rPr>
          <w:szCs w:val="24"/>
          <w:vertAlign w:val="superscript"/>
          <w:lang w:eastAsia="en-US"/>
        </w:rPr>
        <w:footnoteReference w:customMarkFollows="1" w:id="72"/>
        <w:t>1</w:t>
      </w:r>
      <w:r w:rsidRPr="00FF3D47">
        <w:rPr>
          <w:strike/>
          <w:szCs w:val="24"/>
          <w:lang w:eastAsia="en-US"/>
        </w:rPr>
        <w:t xml:space="preserve"> e che se si usa acqua di altra provenienza non degradi la salute del suolo;</w:t>
      </w:r>
    </w:p>
    <w:p w14:paraId="3D24CD7F"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(g)</w:t>
      </w:r>
      <w:r w:rsidRPr="00FF3D47">
        <w:rPr>
          <w:szCs w:val="24"/>
          <w:lang w:eastAsia="en-US"/>
        </w:rPr>
        <w:tab/>
      </w:r>
      <w:r w:rsidRPr="00FF3D47">
        <w:rPr>
          <w:strike/>
          <w:szCs w:val="24"/>
          <w:lang w:eastAsia="en-US"/>
        </w:rPr>
        <w:t>assicurare la protezione del suolo creando e mantenendo, a livello del paesaggio, elementi paesaggistici caratteristici adeguati</w:t>
      </w:r>
      <w:r w:rsidRPr="00FF3D47">
        <w:rPr>
          <w:szCs w:val="24"/>
          <w:vertAlign w:val="superscript"/>
          <w:lang w:eastAsia="en-US"/>
        </w:rPr>
        <w:footnoteReference w:customMarkFollows="1" w:id="73"/>
        <w:t>2</w:t>
      </w:r>
      <w:r w:rsidRPr="00FF3D47">
        <w:rPr>
          <w:strike/>
          <w:szCs w:val="24"/>
          <w:lang w:eastAsia="en-US"/>
        </w:rPr>
        <w:t>;</w:t>
      </w:r>
    </w:p>
    <w:p w14:paraId="47EC57AE"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(h)</w:t>
      </w:r>
      <w:r w:rsidRPr="00FF3D47">
        <w:rPr>
          <w:szCs w:val="24"/>
          <w:lang w:eastAsia="en-US"/>
        </w:rPr>
        <w:tab/>
      </w:r>
      <w:r w:rsidRPr="00FF3D47">
        <w:rPr>
          <w:strike/>
          <w:szCs w:val="24"/>
          <w:lang w:eastAsia="en-US"/>
        </w:rPr>
        <w:t>nella coltivazione di colture, piante o alberi usare specie adatte al sito se si può in tal modo evitare il degrado del suolo o contribuire a migliorarne la salute, anche in considerazione dell'adattamento ai cambiamenti climatici;</w:t>
      </w:r>
    </w:p>
    <w:p w14:paraId="50EC802F"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(i)</w:t>
      </w:r>
      <w:r w:rsidRPr="00FF3D47">
        <w:rPr>
          <w:szCs w:val="24"/>
          <w:lang w:eastAsia="en-US"/>
        </w:rPr>
        <w:tab/>
      </w:r>
      <w:r w:rsidRPr="00FF3D47">
        <w:rPr>
          <w:strike/>
          <w:szCs w:val="24"/>
          <w:lang w:eastAsia="en-US"/>
        </w:rPr>
        <w:t>mantenere nei suoli organici un livello idrico ottimale, che sia tale da non influire negativamente sulla loro struttura e composizione</w:t>
      </w:r>
      <w:r w:rsidRPr="00FF3D47">
        <w:rPr>
          <w:szCs w:val="24"/>
          <w:vertAlign w:val="superscript"/>
          <w:lang w:eastAsia="en-US"/>
        </w:rPr>
        <w:footnoteReference w:customMarkFollows="1" w:id="74"/>
        <w:t>3</w:t>
      </w:r>
      <w:r w:rsidRPr="00FF3D47">
        <w:rPr>
          <w:strike/>
          <w:szCs w:val="24"/>
          <w:lang w:eastAsia="en-US"/>
        </w:rPr>
        <w:t>;</w:t>
      </w:r>
    </w:p>
    <w:p w14:paraId="1BFE59FA"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lastRenderedPageBreak/>
        <w:t>(j)</w:t>
      </w:r>
      <w:r w:rsidRPr="00FF3D47">
        <w:rPr>
          <w:szCs w:val="24"/>
          <w:lang w:eastAsia="en-US"/>
        </w:rPr>
        <w:tab/>
      </w:r>
      <w:r w:rsidRPr="00FF3D47">
        <w:rPr>
          <w:strike/>
          <w:szCs w:val="24"/>
          <w:lang w:eastAsia="en-US"/>
        </w:rPr>
        <w:t>nel caso delle colture, applicare l'avvicendamento e la diversificazione tenendo conto delle diverse famiglie di colture, dei sistemi radicali, del fabbisogno di acqua e nutrienti e della difesa integrata;</w:t>
      </w:r>
    </w:p>
    <w:p w14:paraId="07CE8991"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(k)</w:t>
      </w:r>
      <w:r w:rsidRPr="00FF3D47">
        <w:rPr>
          <w:szCs w:val="24"/>
          <w:lang w:eastAsia="en-US"/>
        </w:rPr>
        <w:tab/>
      </w:r>
      <w:r w:rsidRPr="00FF3D47">
        <w:rPr>
          <w:strike/>
          <w:szCs w:val="24"/>
          <w:lang w:eastAsia="en-US"/>
        </w:rPr>
        <w:t>adattare gli spostamenti del bestiame e il tempo di pascolamento, tenendo conto del tipo di animale e della densità di allevamento, così da non compromettere la salute del suolo e non ridurne la capacità di fornire foraggio;</w:t>
      </w:r>
    </w:p>
    <w:p w14:paraId="19802691" w14:textId="77777777" w:rsidR="00FF3D47" w:rsidRPr="00FF3D47" w:rsidRDefault="00FF3D47" w:rsidP="00FF3D47">
      <w:pPr>
        <w:spacing w:before="120" w:after="120" w:line="360" w:lineRule="auto"/>
        <w:ind w:left="850" w:hanging="850"/>
        <w:rPr>
          <w:szCs w:val="24"/>
          <w:lang w:eastAsia="en-US"/>
        </w:rPr>
      </w:pPr>
      <w:r w:rsidRPr="00FF3D47">
        <w:rPr>
          <w:strike/>
          <w:szCs w:val="24"/>
          <w:lang w:eastAsia="en-US"/>
        </w:rPr>
        <w:t>(l)</w:t>
      </w:r>
      <w:r w:rsidRPr="00FF3D47">
        <w:rPr>
          <w:szCs w:val="24"/>
          <w:lang w:eastAsia="en-US"/>
        </w:rPr>
        <w:tab/>
      </w:r>
      <w:r w:rsidRPr="00FF3D47">
        <w:rPr>
          <w:strike/>
          <w:szCs w:val="24"/>
          <w:lang w:eastAsia="en-US"/>
        </w:rPr>
        <w:t xml:space="preserve">in caso di perdita sproporzionata nota di una o più funzioni che riducono sostanzialmente la capacità del suolo di fornire servizi </w:t>
      </w:r>
      <w:proofErr w:type="spellStart"/>
      <w:r w:rsidRPr="00FF3D47">
        <w:rPr>
          <w:strike/>
          <w:szCs w:val="24"/>
          <w:lang w:eastAsia="en-US"/>
        </w:rPr>
        <w:t>ecosistemici</w:t>
      </w:r>
      <w:proofErr w:type="spellEnd"/>
      <w:r w:rsidRPr="00FF3D47">
        <w:rPr>
          <w:strike/>
          <w:szCs w:val="24"/>
          <w:lang w:eastAsia="en-US"/>
        </w:rPr>
        <w:t>, applicare misure mirate per rigenerarle.</w:t>
      </w:r>
    </w:p>
    <w:p w14:paraId="64544691" w14:textId="77777777" w:rsidR="00FF3D47" w:rsidRPr="00FF3D47" w:rsidRDefault="00FF3D47" w:rsidP="00FF3D47">
      <w:pPr>
        <w:spacing w:before="120" w:after="120" w:line="360" w:lineRule="auto"/>
        <w:rPr>
          <w:szCs w:val="24"/>
          <w:lang w:eastAsia="en-US"/>
        </w:rPr>
        <w:sectPr w:rsidR="00FF3D47" w:rsidRPr="00FF3D47">
          <w:footnotePr>
            <w:numRestart w:val="eachSect"/>
          </w:footnotePr>
          <w:pgSz w:w="11909" w:h="16834"/>
          <w:pgMar w:top="1134" w:right="1417" w:bottom="1417" w:left="1417" w:header="1134" w:footer="567" w:gutter="0"/>
          <w:cols w:space="720"/>
        </w:sectPr>
      </w:pPr>
    </w:p>
    <w:p w14:paraId="102403DE" w14:textId="77777777" w:rsidR="00FF3D47" w:rsidRPr="00FF3D47" w:rsidRDefault="00FF3D47" w:rsidP="00FF3D47">
      <w:pPr>
        <w:spacing w:before="120" w:after="120" w:line="360" w:lineRule="auto"/>
        <w:rPr>
          <w:szCs w:val="24"/>
          <w:lang w:eastAsia="en-US"/>
        </w:rPr>
      </w:pPr>
    </w:p>
    <w:p w14:paraId="50B5114C" w14:textId="77777777" w:rsidR="00FF3D47" w:rsidRPr="00FF3D47" w:rsidRDefault="00FF3D47" w:rsidP="00FF3D47">
      <w:pPr>
        <w:spacing w:before="120" w:after="120" w:line="360" w:lineRule="auto"/>
        <w:jc w:val="center"/>
        <w:rPr>
          <w:lang w:eastAsia="en-US"/>
        </w:rPr>
      </w:pPr>
      <w:r w:rsidRPr="00FF3D47">
        <w:rPr>
          <w:lang w:eastAsia="en-US"/>
        </w:rPr>
        <w:t>ALLEGATO IV</w:t>
      </w:r>
    </w:p>
    <w:p w14:paraId="4D656C8C" w14:textId="77777777" w:rsidR="00FF3D47" w:rsidRPr="00FF3D47" w:rsidRDefault="00FF3D47" w:rsidP="00FF3D47">
      <w:pPr>
        <w:spacing w:before="120" w:after="120" w:line="360" w:lineRule="auto"/>
        <w:jc w:val="center"/>
        <w:rPr>
          <w:szCs w:val="24"/>
          <w:lang w:eastAsia="en-US"/>
        </w:rPr>
      </w:pPr>
      <w:r w:rsidRPr="00FF3D47">
        <w:rPr>
          <w:szCs w:val="24"/>
          <w:lang w:eastAsia="en-US"/>
        </w:rPr>
        <w:t> </w:t>
      </w:r>
      <w:r w:rsidRPr="00FF3D47">
        <w:rPr>
          <w:szCs w:val="24"/>
          <w:lang w:eastAsia="en-US"/>
        </w:rPr>
        <w:br/>
        <w:t xml:space="preserve">PROGRAMMI, PIANI, OBIETTIVI E MISURE DI CUI ALL'ARTICOLO 10 </w:t>
      </w:r>
    </w:p>
    <w:p w14:paraId="47020BD4" w14:textId="4D9D648D" w:rsidR="00FF3D47" w:rsidRPr="00FF3D47" w:rsidRDefault="00FF3D47" w:rsidP="00FF3D47">
      <w:pPr>
        <w:spacing w:before="120" w:after="120" w:line="360" w:lineRule="auto"/>
        <w:rPr>
          <w:szCs w:val="24"/>
          <w:lang w:eastAsia="en-US"/>
        </w:rPr>
      </w:pPr>
      <w:r w:rsidRPr="00FF3D47">
        <w:rPr>
          <w:b/>
          <w:i/>
          <w:szCs w:val="24"/>
          <w:lang w:eastAsia="en-US"/>
        </w:rPr>
        <w:t>Si tiene conto del seguente elenco indicativo di programmi, piani, obiettivi e misure: [</w:t>
      </w:r>
      <w:proofErr w:type="spellStart"/>
      <w:r w:rsidRPr="00FF3D47">
        <w:rPr>
          <w:b/>
          <w:i/>
          <w:szCs w:val="24"/>
          <w:lang w:eastAsia="en-US"/>
        </w:rPr>
        <w:t>Em</w:t>
      </w:r>
      <w:proofErr w:type="spellEnd"/>
      <w:r w:rsidR="00767FA2">
        <w:rPr>
          <w:b/>
          <w:szCs w:val="24"/>
          <w:lang w:eastAsia="en-US"/>
        </w:rPr>
        <w:t>. 214</w:t>
      </w:r>
      <w:r w:rsidRPr="00FF3D47">
        <w:rPr>
          <w:b/>
          <w:i/>
          <w:szCs w:val="24"/>
          <w:lang w:eastAsia="en-US"/>
        </w:rPr>
        <w:t>]</w:t>
      </w:r>
    </w:p>
    <w:p w14:paraId="348C9D1B"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I piani nazionali di ripristino redatti in conformità del regolamento.../...</w:t>
      </w:r>
      <w:r w:rsidRPr="00FF3D47">
        <w:rPr>
          <w:szCs w:val="24"/>
          <w:vertAlign w:val="superscript"/>
          <w:lang w:eastAsia="en-US"/>
        </w:rPr>
        <w:footnoteReference w:customMarkFollows="1" w:id="75"/>
        <w:t>1</w:t>
      </w:r>
      <w:r w:rsidRPr="00FF3D47">
        <w:rPr>
          <w:szCs w:val="24"/>
          <w:lang w:eastAsia="en-US"/>
        </w:rPr>
        <w:t xml:space="preserve"> +.</w:t>
      </w:r>
    </w:p>
    <w:p w14:paraId="1173ED87"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I piani strategici che gli Stati membri devono redigere nell'ambito della politica agricola comune in conformità del regolamento (UE) 2021/2115.</w:t>
      </w:r>
    </w:p>
    <w:p w14:paraId="276C09EB"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(3)</w:t>
      </w:r>
      <w:r w:rsidRPr="00FF3D47">
        <w:rPr>
          <w:szCs w:val="24"/>
          <w:lang w:eastAsia="en-US"/>
        </w:rPr>
        <w:tab/>
        <w:t>Il codice di buona pratica agricola e i programmi d'azione per le zone vulnerabili designate adottati in conformità della direttiva 91/676/CEE.</w:t>
      </w:r>
    </w:p>
    <w:p w14:paraId="76C546D9"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(4)</w:t>
      </w:r>
      <w:r w:rsidRPr="00FF3D47">
        <w:rPr>
          <w:szCs w:val="24"/>
          <w:lang w:eastAsia="en-US"/>
        </w:rPr>
        <w:tab/>
        <w:t>Le misure di conservazione e il quadro di azioni elencate per priorità stabiliti per i siti Natura 2000 in conformità della direttiva 92/43/CEE.</w:t>
      </w:r>
    </w:p>
    <w:p w14:paraId="093BE1CE"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(5)</w:t>
      </w:r>
      <w:r w:rsidRPr="00FF3D47">
        <w:rPr>
          <w:szCs w:val="24"/>
          <w:lang w:eastAsia="en-US"/>
        </w:rPr>
        <w:tab/>
        <w:t>Le misure volte a conseguire un buono stato ecologico e chimico dei corpi idrici superficiali e un buono stato chimico e quantitativo dei corpi idrici sotterranei che figurano nei piani di gestione dei bacini idrografici redatti in conformità della direttiva 2000/60/CE.</w:t>
      </w:r>
    </w:p>
    <w:p w14:paraId="59524FC3"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(6)</w:t>
      </w:r>
      <w:r w:rsidRPr="00FF3D47">
        <w:rPr>
          <w:szCs w:val="24"/>
          <w:lang w:eastAsia="en-US"/>
        </w:rPr>
        <w:tab/>
        <w:t>Le misure di gestione del rischio di alluvioni che figurano nei piani di gestione del rischio di alluvioni redatti in conformità della direttiva 2007/60/CE;</w:t>
      </w:r>
    </w:p>
    <w:p w14:paraId="45CAC0F5"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(7)</w:t>
      </w:r>
      <w:r w:rsidRPr="00FF3D47">
        <w:rPr>
          <w:szCs w:val="24"/>
          <w:lang w:eastAsia="en-US"/>
        </w:rPr>
        <w:tab/>
        <w:t>I piani di gestione della siccità menzionati nella strategia dell'UE di adattamento ai cambiamenti climatici.</w:t>
      </w:r>
    </w:p>
    <w:p w14:paraId="0E595E09"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(8)</w:t>
      </w:r>
      <w:r w:rsidRPr="00FF3D47">
        <w:rPr>
          <w:szCs w:val="24"/>
          <w:lang w:eastAsia="en-US"/>
        </w:rPr>
        <w:tab/>
        <w:t>I programmi nazionali di azione istituiti in conformità della convenzione delle Nazioni Unite sulla lotta contro la desertificazione.</w:t>
      </w:r>
    </w:p>
    <w:p w14:paraId="15792962" w14:textId="3750096A" w:rsidR="00FF3D47" w:rsidRPr="00FF3D47" w:rsidRDefault="00242A00" w:rsidP="00242A00">
      <w:pPr>
        <w:spacing w:before="120" w:after="120" w:line="360" w:lineRule="auto"/>
        <w:ind w:left="850" w:hanging="850"/>
        <w:rPr>
          <w:szCs w:val="24"/>
          <w:lang w:eastAsia="en-US"/>
        </w:rPr>
      </w:pPr>
      <w:r>
        <w:rPr>
          <w:b/>
          <w:i/>
          <w:szCs w:val="24"/>
          <w:lang w:eastAsia="en-US"/>
        </w:rPr>
        <w:t>(8a)</w:t>
      </w:r>
      <w:r>
        <w:rPr>
          <w:b/>
          <w:i/>
          <w:szCs w:val="24"/>
          <w:lang w:eastAsia="en-US"/>
        </w:rPr>
        <w:tab/>
      </w:r>
      <w:bookmarkStart w:id="19" w:name="_GoBack"/>
      <w:bookmarkEnd w:id="19"/>
      <w:r w:rsidR="00FF3D47" w:rsidRPr="00FF3D47">
        <w:rPr>
          <w:b/>
          <w:i/>
          <w:szCs w:val="24"/>
          <w:lang w:eastAsia="en-US"/>
        </w:rPr>
        <w:t>Le strategie e i piani d'azione nazionali in materia di biodiversità elaborati conformemente all'articolo 6 della convenzione delle Nazioni Unite sulla diversità biologica. [</w:t>
      </w:r>
      <w:proofErr w:type="spellStart"/>
      <w:r w:rsidR="00FF3D47" w:rsidRPr="00FF3D47">
        <w:rPr>
          <w:b/>
          <w:i/>
          <w:szCs w:val="24"/>
          <w:lang w:eastAsia="en-US"/>
        </w:rPr>
        <w:t>Em</w:t>
      </w:r>
      <w:proofErr w:type="spellEnd"/>
      <w:r w:rsidR="00FF3D47" w:rsidRPr="00FF3D47">
        <w:rPr>
          <w:b/>
          <w:i/>
          <w:szCs w:val="24"/>
          <w:lang w:eastAsia="en-US"/>
        </w:rPr>
        <w:t>. 215]</w:t>
      </w:r>
    </w:p>
    <w:p w14:paraId="64354B39"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(9)</w:t>
      </w:r>
      <w:r w:rsidRPr="00FF3D47">
        <w:rPr>
          <w:szCs w:val="24"/>
          <w:lang w:eastAsia="en-US"/>
        </w:rPr>
        <w:tab/>
        <w:t>Gli obiettivi stabiliti a norma del regolamento (UE) 2018/841.</w:t>
      </w:r>
    </w:p>
    <w:p w14:paraId="6B93B381"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(10)</w:t>
      </w:r>
      <w:r w:rsidRPr="00FF3D47">
        <w:rPr>
          <w:szCs w:val="24"/>
          <w:lang w:eastAsia="en-US"/>
        </w:rPr>
        <w:tab/>
        <w:t>Gli obiettivi stabiliti a norma del regolamento (UE) 2018/842.</w:t>
      </w:r>
    </w:p>
    <w:p w14:paraId="1C5A47FD"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lastRenderedPageBreak/>
        <w:t>(11)</w:t>
      </w:r>
      <w:r w:rsidRPr="00FF3D47">
        <w:rPr>
          <w:szCs w:val="24"/>
          <w:lang w:eastAsia="en-US"/>
        </w:rPr>
        <w:tab/>
        <w:t>I programmi nazionali di controllo dell'inquinamento atmosferico redatti a norma della direttiva (UE) 2016/2284 e i dati di monitoraggio degli impatti dell'inquinamento atmosferico sugli ecosistemi comunicati a norma della stessa direttiva.</w:t>
      </w:r>
    </w:p>
    <w:p w14:paraId="4E886C95"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(12)</w:t>
      </w:r>
      <w:r w:rsidRPr="00FF3D47">
        <w:rPr>
          <w:szCs w:val="24"/>
          <w:lang w:eastAsia="en-US"/>
        </w:rPr>
        <w:tab/>
        <w:t>Il piano nazionale integrato per l'energia e il clima istituito in conformità del regolamento (UE) 2018/1999.</w:t>
      </w:r>
    </w:p>
    <w:p w14:paraId="62BA6865"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(13)</w:t>
      </w:r>
      <w:r w:rsidRPr="00FF3D47">
        <w:rPr>
          <w:szCs w:val="24"/>
          <w:lang w:eastAsia="en-US"/>
        </w:rPr>
        <w:tab/>
        <w:t>Le valutazioni del rischio e la pianificazione della gestione del rischio di catastrofi in conformità della decisione n. 1313/2013/UE.</w:t>
      </w:r>
    </w:p>
    <w:p w14:paraId="2443C37C" w14:textId="2A9411D9" w:rsidR="00FF3D47" w:rsidRPr="00FF3D47" w:rsidRDefault="00FF3D47" w:rsidP="00FF3D47">
      <w:pPr>
        <w:spacing w:before="120" w:after="120" w:line="360" w:lineRule="auto"/>
        <w:ind w:left="850" w:hanging="850"/>
        <w:rPr>
          <w:szCs w:val="24"/>
          <w:lang w:eastAsia="en-US"/>
        </w:rPr>
      </w:pPr>
      <w:r w:rsidRPr="00FF3D47">
        <w:rPr>
          <w:szCs w:val="24"/>
          <w:lang w:eastAsia="en-US"/>
        </w:rPr>
        <w:t>(14)</w:t>
      </w:r>
      <w:r w:rsidRPr="00FF3D47">
        <w:rPr>
          <w:szCs w:val="24"/>
          <w:lang w:eastAsia="en-US"/>
        </w:rPr>
        <w:tab/>
        <w:t xml:space="preserve">I piani nazionali di azione adottati in conformità dell'articolo </w:t>
      </w:r>
      <w:r w:rsidRPr="00FF3D47">
        <w:rPr>
          <w:strike/>
          <w:szCs w:val="24"/>
          <w:lang w:eastAsia="en-US"/>
        </w:rPr>
        <w:t>8 del regolamento …/…</w:t>
      </w:r>
      <w:r w:rsidRPr="00FF3D47">
        <w:rPr>
          <w:szCs w:val="24"/>
          <w:vertAlign w:val="superscript"/>
          <w:lang w:eastAsia="en-US"/>
        </w:rPr>
        <w:footnoteReference w:customMarkFollows="1" w:id="76"/>
        <w:t>2</w:t>
      </w:r>
      <w:r w:rsidRPr="00FF3D47">
        <w:rPr>
          <w:strike/>
          <w:szCs w:val="24"/>
          <w:lang w:eastAsia="en-US"/>
        </w:rPr>
        <w:t>+</w:t>
      </w:r>
      <w:r w:rsidRPr="00FF3D47">
        <w:rPr>
          <w:b/>
          <w:i/>
          <w:szCs w:val="24"/>
          <w:lang w:eastAsia="en-US"/>
        </w:rPr>
        <w:t>4 della direttiva 2009/128/CE</w:t>
      </w:r>
      <w:r w:rsidRPr="00FF3D47">
        <w:rPr>
          <w:szCs w:val="24"/>
          <w:lang w:eastAsia="en-US"/>
        </w:rPr>
        <w:t>.</w:t>
      </w:r>
      <w:r w:rsidR="00E7440A">
        <w:rPr>
          <w:szCs w:val="24"/>
          <w:lang w:eastAsia="en-US"/>
        </w:rPr>
        <w:t xml:space="preserve"> </w:t>
      </w:r>
      <w:r w:rsidR="00E7440A" w:rsidRPr="00E7440A">
        <w:rPr>
          <w:b/>
          <w:szCs w:val="24"/>
          <w:lang w:eastAsia="en-US"/>
        </w:rPr>
        <w:t>[</w:t>
      </w:r>
      <w:proofErr w:type="spellStart"/>
      <w:r w:rsidR="00E7440A" w:rsidRPr="00E7440A">
        <w:rPr>
          <w:b/>
          <w:szCs w:val="24"/>
          <w:lang w:eastAsia="en-US"/>
        </w:rPr>
        <w:t>Em</w:t>
      </w:r>
      <w:proofErr w:type="spellEnd"/>
      <w:r w:rsidR="00E7440A" w:rsidRPr="00E7440A">
        <w:rPr>
          <w:b/>
          <w:szCs w:val="24"/>
          <w:lang w:eastAsia="en-US"/>
        </w:rPr>
        <w:t>.</w:t>
      </w:r>
      <w:r w:rsidR="00E7440A">
        <w:rPr>
          <w:b/>
          <w:szCs w:val="24"/>
          <w:lang w:eastAsia="en-US"/>
        </w:rPr>
        <w:t> 216]</w:t>
      </w:r>
    </w:p>
    <w:p w14:paraId="56AF28E3" w14:textId="77777777" w:rsidR="00FF3D47" w:rsidRPr="00FF3D47" w:rsidRDefault="00FF3D47" w:rsidP="00FF3D47">
      <w:pPr>
        <w:spacing w:before="120" w:after="120" w:line="360" w:lineRule="auto"/>
        <w:rPr>
          <w:szCs w:val="24"/>
          <w:lang w:eastAsia="en-US"/>
        </w:rPr>
        <w:sectPr w:rsidR="00FF3D47" w:rsidRPr="00FF3D47">
          <w:footnotePr>
            <w:numRestart w:val="eachSect"/>
          </w:footnotePr>
          <w:pgSz w:w="11909" w:h="16834"/>
          <w:pgMar w:top="1134" w:right="1417" w:bottom="1417" w:left="1417" w:header="1134" w:footer="567" w:gutter="0"/>
          <w:cols w:space="720"/>
        </w:sectPr>
      </w:pPr>
    </w:p>
    <w:p w14:paraId="18C07930" w14:textId="77777777" w:rsidR="00FF3D47" w:rsidRPr="00FF3D47" w:rsidRDefault="00FF3D47" w:rsidP="00FF3D47">
      <w:pPr>
        <w:spacing w:before="120" w:after="120" w:line="360" w:lineRule="auto"/>
        <w:rPr>
          <w:szCs w:val="24"/>
          <w:lang w:eastAsia="en-US"/>
        </w:rPr>
      </w:pPr>
    </w:p>
    <w:p w14:paraId="2AF5EF6B" w14:textId="77777777" w:rsidR="00FF3D47" w:rsidRPr="00FF3D47" w:rsidRDefault="00FF3D47" w:rsidP="00FF3D47">
      <w:pPr>
        <w:spacing w:before="120" w:after="120" w:line="360" w:lineRule="auto"/>
        <w:jc w:val="center"/>
        <w:rPr>
          <w:lang w:eastAsia="en-US"/>
        </w:rPr>
      </w:pPr>
      <w:r w:rsidRPr="00FF3D47">
        <w:rPr>
          <w:lang w:eastAsia="en-US"/>
        </w:rPr>
        <w:t>ALLEGATO V</w:t>
      </w:r>
    </w:p>
    <w:p w14:paraId="37EEB290" w14:textId="760B6435" w:rsidR="00FF3D47" w:rsidRPr="00FF3D47" w:rsidRDefault="00FF3D47" w:rsidP="00FF3D47">
      <w:pPr>
        <w:spacing w:before="120" w:after="120" w:line="360" w:lineRule="auto"/>
        <w:jc w:val="center"/>
        <w:rPr>
          <w:szCs w:val="24"/>
          <w:lang w:eastAsia="en-US"/>
        </w:rPr>
      </w:pPr>
      <w:r w:rsidRPr="00FF3D47">
        <w:rPr>
          <w:szCs w:val="24"/>
          <w:lang w:eastAsia="en-US"/>
        </w:rPr>
        <w:t>ELENCO INDICATIVO DELLE MISURE DI RIDUZIONE DEL RISCHIO</w:t>
      </w:r>
    </w:p>
    <w:p w14:paraId="5B451E38" w14:textId="1FDF8980"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Tecniche di bonifica in situ o ex situ:</w:t>
      </w:r>
    </w:p>
    <w:p w14:paraId="05A5375E" w14:textId="338716CD"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tecniche di bonifica fisiche:</w:t>
      </w:r>
    </w:p>
    <w:p w14:paraId="2E49CFA4" w14:textId="60827290" w:rsidR="00FF3D47" w:rsidRPr="00E7440A" w:rsidRDefault="00FF3D47" w:rsidP="00FF3D47">
      <w:pPr>
        <w:spacing w:before="120" w:after="120" w:line="360" w:lineRule="auto"/>
        <w:ind w:left="1982" w:hanging="566"/>
        <w:rPr>
          <w:szCs w:val="24"/>
          <w:lang w:eastAsia="en-US"/>
        </w:rPr>
      </w:pPr>
      <w:r w:rsidRPr="00E7440A">
        <w:rPr>
          <w:szCs w:val="24"/>
          <w:lang w:eastAsia="en-US"/>
        </w:rPr>
        <w:t>a)</w:t>
      </w:r>
      <w:r w:rsidRPr="00E7440A">
        <w:rPr>
          <w:szCs w:val="24"/>
          <w:lang w:eastAsia="en-US"/>
        </w:rPr>
        <w:tab/>
        <w:t xml:space="preserve">estrazione di vapori, iniezione d'aria in falda (air </w:t>
      </w:r>
      <w:proofErr w:type="spellStart"/>
      <w:r w:rsidRPr="00E7440A">
        <w:rPr>
          <w:szCs w:val="24"/>
          <w:lang w:eastAsia="en-US"/>
        </w:rPr>
        <w:t>sparging</w:t>
      </w:r>
      <w:proofErr w:type="spellEnd"/>
      <w:r w:rsidRPr="00E7440A">
        <w:rPr>
          <w:szCs w:val="24"/>
          <w:lang w:eastAsia="en-US"/>
        </w:rPr>
        <w:t>);</w:t>
      </w:r>
    </w:p>
    <w:p w14:paraId="60AF8CC9" w14:textId="0771F215" w:rsidR="00FF3D47" w:rsidRPr="00E7440A" w:rsidRDefault="00FF3D47" w:rsidP="00FF3D47">
      <w:pPr>
        <w:spacing w:before="120" w:after="120" w:line="360" w:lineRule="auto"/>
        <w:ind w:left="1982" w:hanging="566"/>
        <w:rPr>
          <w:szCs w:val="24"/>
          <w:lang w:eastAsia="en-US"/>
        </w:rPr>
      </w:pPr>
      <w:r w:rsidRPr="00E7440A">
        <w:rPr>
          <w:szCs w:val="24"/>
          <w:lang w:eastAsia="en-US"/>
        </w:rPr>
        <w:t>b)</w:t>
      </w:r>
      <w:r w:rsidRPr="00E7440A">
        <w:rPr>
          <w:szCs w:val="24"/>
          <w:lang w:eastAsia="en-US"/>
        </w:rPr>
        <w:tab/>
        <w:t>trattamento termico, iniezione di vapore, desorbimento termico, vetrificazione;</w:t>
      </w:r>
    </w:p>
    <w:p w14:paraId="49B8DC6D" w14:textId="3960B518" w:rsidR="00FF3D47" w:rsidRPr="00E7440A" w:rsidRDefault="00FF3D47" w:rsidP="00FF3D47">
      <w:pPr>
        <w:spacing w:before="120" w:after="120" w:line="360" w:lineRule="auto"/>
        <w:ind w:left="1982" w:hanging="566"/>
        <w:rPr>
          <w:szCs w:val="24"/>
          <w:lang w:eastAsia="en-US"/>
        </w:rPr>
      </w:pPr>
      <w:r w:rsidRPr="00E7440A">
        <w:rPr>
          <w:szCs w:val="24"/>
          <w:lang w:eastAsia="en-US"/>
        </w:rPr>
        <w:t>c)</w:t>
      </w:r>
      <w:r w:rsidRPr="00E7440A">
        <w:rPr>
          <w:szCs w:val="24"/>
          <w:lang w:eastAsia="en-US"/>
        </w:rPr>
        <w:tab/>
        <w:t>lavaggio del suolo in situ (</w:t>
      </w:r>
      <w:proofErr w:type="spellStart"/>
      <w:r w:rsidRPr="00E7440A">
        <w:rPr>
          <w:szCs w:val="24"/>
          <w:lang w:eastAsia="en-US"/>
        </w:rPr>
        <w:t>soil</w:t>
      </w:r>
      <w:proofErr w:type="spellEnd"/>
      <w:r w:rsidRPr="00E7440A">
        <w:rPr>
          <w:szCs w:val="24"/>
          <w:lang w:eastAsia="en-US"/>
        </w:rPr>
        <w:t xml:space="preserve"> </w:t>
      </w:r>
      <w:proofErr w:type="spellStart"/>
      <w:r w:rsidRPr="00E7440A">
        <w:rPr>
          <w:szCs w:val="24"/>
          <w:lang w:eastAsia="en-US"/>
        </w:rPr>
        <w:t>flushing</w:t>
      </w:r>
      <w:proofErr w:type="spellEnd"/>
      <w:r w:rsidRPr="00E7440A">
        <w:rPr>
          <w:szCs w:val="24"/>
          <w:lang w:eastAsia="en-US"/>
        </w:rPr>
        <w:t>) ed ex situ (</w:t>
      </w:r>
      <w:proofErr w:type="spellStart"/>
      <w:r w:rsidRPr="00E7440A">
        <w:rPr>
          <w:szCs w:val="24"/>
          <w:lang w:eastAsia="en-US"/>
        </w:rPr>
        <w:t>soil</w:t>
      </w:r>
      <w:proofErr w:type="spellEnd"/>
      <w:r w:rsidRPr="00E7440A">
        <w:rPr>
          <w:szCs w:val="24"/>
          <w:lang w:eastAsia="en-US"/>
        </w:rPr>
        <w:t xml:space="preserve"> </w:t>
      </w:r>
      <w:proofErr w:type="spellStart"/>
      <w:r w:rsidRPr="00E7440A">
        <w:rPr>
          <w:szCs w:val="24"/>
          <w:lang w:eastAsia="en-US"/>
        </w:rPr>
        <w:t>washing</w:t>
      </w:r>
      <w:proofErr w:type="spellEnd"/>
      <w:r w:rsidRPr="00E7440A">
        <w:rPr>
          <w:szCs w:val="24"/>
          <w:lang w:eastAsia="en-US"/>
        </w:rPr>
        <w:t>);</w:t>
      </w:r>
    </w:p>
    <w:p w14:paraId="53ED2088" w14:textId="4E102CAA" w:rsidR="00FF3D47" w:rsidRPr="00E7440A" w:rsidRDefault="00FF3D47" w:rsidP="00FF3D47">
      <w:pPr>
        <w:spacing w:before="120" w:after="120" w:line="360" w:lineRule="auto"/>
        <w:ind w:left="1982" w:hanging="566"/>
        <w:rPr>
          <w:szCs w:val="24"/>
          <w:lang w:eastAsia="en-US"/>
        </w:rPr>
      </w:pPr>
      <w:r w:rsidRPr="00E7440A">
        <w:rPr>
          <w:szCs w:val="24"/>
          <w:lang w:eastAsia="en-US"/>
        </w:rPr>
        <w:t>d)</w:t>
      </w:r>
      <w:r w:rsidRPr="00E7440A">
        <w:rPr>
          <w:szCs w:val="24"/>
          <w:lang w:eastAsia="en-US"/>
        </w:rPr>
        <w:tab/>
        <w:t>estrazione elettrocinetica;</w:t>
      </w:r>
    </w:p>
    <w:p w14:paraId="4B05E091" w14:textId="5D8E5284" w:rsidR="00FF3D47" w:rsidRPr="00E7440A" w:rsidRDefault="00FF3D47" w:rsidP="00FF3D47">
      <w:pPr>
        <w:spacing w:before="120" w:after="120" w:line="360" w:lineRule="auto"/>
        <w:ind w:left="1982" w:hanging="566"/>
        <w:rPr>
          <w:szCs w:val="24"/>
          <w:lang w:eastAsia="en-US"/>
        </w:rPr>
      </w:pPr>
      <w:r w:rsidRPr="00E7440A">
        <w:rPr>
          <w:szCs w:val="24"/>
          <w:lang w:eastAsia="en-US"/>
        </w:rPr>
        <w:t>e)</w:t>
      </w:r>
      <w:r w:rsidRPr="00E7440A">
        <w:rPr>
          <w:szCs w:val="24"/>
          <w:lang w:eastAsia="en-US"/>
        </w:rPr>
        <w:tab/>
        <w:t>rimozione dello strato liquido;</w:t>
      </w:r>
    </w:p>
    <w:p w14:paraId="3B84E861" w14:textId="38008D36" w:rsidR="00FF3D47" w:rsidRPr="00E7440A" w:rsidRDefault="00FF3D47" w:rsidP="00FF3D47">
      <w:pPr>
        <w:spacing w:before="120" w:after="120" w:line="360" w:lineRule="auto"/>
        <w:ind w:left="1982" w:hanging="566"/>
        <w:rPr>
          <w:szCs w:val="24"/>
          <w:lang w:eastAsia="en-US"/>
        </w:rPr>
      </w:pPr>
      <w:r w:rsidRPr="00E7440A">
        <w:rPr>
          <w:szCs w:val="24"/>
          <w:lang w:eastAsia="en-US"/>
        </w:rPr>
        <w:t>f)</w:t>
      </w:r>
      <w:r w:rsidRPr="00E7440A">
        <w:rPr>
          <w:szCs w:val="24"/>
          <w:lang w:eastAsia="en-US"/>
        </w:rPr>
        <w:tab/>
        <w:t>scavo e smaltimento;</w:t>
      </w:r>
    </w:p>
    <w:p w14:paraId="74D39293" w14:textId="083622BE" w:rsidR="00FF3D47" w:rsidRPr="00E7440A" w:rsidRDefault="00FF3D47" w:rsidP="00FF3D47">
      <w:pPr>
        <w:spacing w:before="120" w:after="120" w:line="360" w:lineRule="auto"/>
        <w:ind w:left="1416" w:hanging="566"/>
        <w:rPr>
          <w:szCs w:val="24"/>
          <w:lang w:eastAsia="en-US"/>
        </w:rPr>
      </w:pPr>
      <w:r w:rsidRPr="00E7440A">
        <w:rPr>
          <w:szCs w:val="24"/>
          <w:lang w:eastAsia="en-US"/>
        </w:rPr>
        <w:t>b)</w:t>
      </w:r>
      <w:r w:rsidRPr="00E7440A">
        <w:rPr>
          <w:szCs w:val="24"/>
          <w:lang w:eastAsia="en-US"/>
        </w:rPr>
        <w:tab/>
        <w:t>tecniche di bonifica biologiche:</w:t>
      </w:r>
    </w:p>
    <w:p w14:paraId="73AAFA39" w14:textId="3AA3A894" w:rsidR="00FF3D47" w:rsidRPr="00E7440A" w:rsidRDefault="00FF3D47" w:rsidP="00FF3D47">
      <w:pPr>
        <w:spacing w:before="120" w:after="120" w:line="360" w:lineRule="auto"/>
        <w:ind w:left="1982" w:hanging="566"/>
        <w:rPr>
          <w:szCs w:val="24"/>
          <w:lang w:eastAsia="en-US"/>
        </w:rPr>
      </w:pPr>
      <w:r w:rsidRPr="00E7440A">
        <w:rPr>
          <w:szCs w:val="24"/>
          <w:lang w:eastAsia="en-US"/>
        </w:rPr>
        <w:t>a)</w:t>
      </w:r>
      <w:r w:rsidRPr="00E7440A">
        <w:rPr>
          <w:szCs w:val="24"/>
          <w:lang w:eastAsia="en-US"/>
        </w:rPr>
        <w:tab/>
        <w:t xml:space="preserve">stimolazione della degradazione aerobica o anaerobica: </w:t>
      </w:r>
      <w:proofErr w:type="spellStart"/>
      <w:r w:rsidRPr="00E7440A">
        <w:rPr>
          <w:szCs w:val="24"/>
          <w:lang w:eastAsia="en-US"/>
        </w:rPr>
        <w:t>biorisanamento</w:t>
      </w:r>
      <w:proofErr w:type="spellEnd"/>
      <w:r w:rsidRPr="00E7440A">
        <w:rPr>
          <w:szCs w:val="24"/>
          <w:lang w:eastAsia="en-US"/>
        </w:rPr>
        <w:t xml:space="preserve">, </w:t>
      </w:r>
      <w:proofErr w:type="spellStart"/>
      <w:r w:rsidRPr="00E7440A">
        <w:rPr>
          <w:szCs w:val="24"/>
          <w:lang w:eastAsia="en-US"/>
        </w:rPr>
        <w:t>biostimolazione</w:t>
      </w:r>
      <w:proofErr w:type="spellEnd"/>
      <w:r w:rsidRPr="00E7440A">
        <w:rPr>
          <w:szCs w:val="24"/>
          <w:lang w:eastAsia="en-US"/>
        </w:rPr>
        <w:t xml:space="preserve">, </w:t>
      </w:r>
      <w:proofErr w:type="spellStart"/>
      <w:r w:rsidRPr="00E7440A">
        <w:rPr>
          <w:szCs w:val="24"/>
          <w:lang w:eastAsia="en-US"/>
        </w:rPr>
        <w:t>bioincremento</w:t>
      </w:r>
      <w:proofErr w:type="spellEnd"/>
      <w:r w:rsidRPr="00E7440A">
        <w:rPr>
          <w:szCs w:val="24"/>
          <w:lang w:eastAsia="en-US"/>
        </w:rPr>
        <w:t xml:space="preserve">, </w:t>
      </w:r>
      <w:proofErr w:type="spellStart"/>
      <w:r w:rsidRPr="00E7440A">
        <w:rPr>
          <w:szCs w:val="24"/>
          <w:lang w:eastAsia="en-US"/>
        </w:rPr>
        <w:t>bioventilazione</w:t>
      </w:r>
      <w:proofErr w:type="spellEnd"/>
      <w:r w:rsidRPr="00E7440A">
        <w:rPr>
          <w:szCs w:val="24"/>
          <w:lang w:eastAsia="en-US"/>
        </w:rPr>
        <w:t xml:space="preserve">, </w:t>
      </w:r>
      <w:proofErr w:type="spellStart"/>
      <w:r w:rsidRPr="00E7440A">
        <w:rPr>
          <w:szCs w:val="24"/>
          <w:lang w:eastAsia="en-US"/>
        </w:rPr>
        <w:t>bioinsufflazione</w:t>
      </w:r>
      <w:proofErr w:type="spellEnd"/>
      <w:r w:rsidRPr="00E7440A">
        <w:rPr>
          <w:szCs w:val="24"/>
          <w:lang w:eastAsia="en-US"/>
        </w:rPr>
        <w:t>;</w:t>
      </w:r>
    </w:p>
    <w:p w14:paraId="014E6169" w14:textId="6C560250" w:rsidR="00FF3D47" w:rsidRPr="00E7440A" w:rsidRDefault="00FF3D47" w:rsidP="00FF3D47">
      <w:pPr>
        <w:spacing w:before="120" w:after="120" w:line="360" w:lineRule="auto"/>
        <w:ind w:left="1982" w:hanging="566"/>
        <w:rPr>
          <w:szCs w:val="24"/>
          <w:lang w:eastAsia="en-US"/>
        </w:rPr>
      </w:pPr>
      <w:r w:rsidRPr="00E7440A">
        <w:rPr>
          <w:szCs w:val="24"/>
          <w:lang w:eastAsia="en-US"/>
        </w:rPr>
        <w:t>b)</w:t>
      </w:r>
      <w:r w:rsidRPr="00E7440A">
        <w:rPr>
          <w:szCs w:val="24"/>
          <w:lang w:eastAsia="en-US"/>
        </w:rPr>
        <w:tab/>
      </w:r>
      <w:proofErr w:type="spellStart"/>
      <w:r w:rsidRPr="00E7440A">
        <w:rPr>
          <w:szCs w:val="24"/>
          <w:lang w:eastAsia="en-US"/>
        </w:rPr>
        <w:t>fitoestrazione</w:t>
      </w:r>
      <w:proofErr w:type="spellEnd"/>
      <w:r w:rsidRPr="00E7440A">
        <w:rPr>
          <w:szCs w:val="24"/>
          <w:lang w:eastAsia="en-US"/>
        </w:rPr>
        <w:t xml:space="preserve">, </w:t>
      </w:r>
      <w:proofErr w:type="spellStart"/>
      <w:r w:rsidRPr="00E7440A">
        <w:rPr>
          <w:szCs w:val="24"/>
          <w:lang w:eastAsia="en-US"/>
        </w:rPr>
        <w:t>fitovolatilizzazione</w:t>
      </w:r>
      <w:proofErr w:type="spellEnd"/>
      <w:r w:rsidRPr="00E7440A">
        <w:rPr>
          <w:szCs w:val="24"/>
          <w:lang w:eastAsia="en-US"/>
        </w:rPr>
        <w:t xml:space="preserve">, </w:t>
      </w:r>
      <w:proofErr w:type="spellStart"/>
      <w:r w:rsidRPr="00E7440A">
        <w:rPr>
          <w:szCs w:val="24"/>
          <w:lang w:eastAsia="en-US"/>
        </w:rPr>
        <w:t>fitodegradazione</w:t>
      </w:r>
      <w:proofErr w:type="spellEnd"/>
      <w:r w:rsidRPr="00E7440A">
        <w:rPr>
          <w:szCs w:val="24"/>
          <w:lang w:eastAsia="en-US"/>
        </w:rPr>
        <w:t>;</w:t>
      </w:r>
    </w:p>
    <w:p w14:paraId="36FBA0A2" w14:textId="7DC43C9B" w:rsidR="00FF3D47" w:rsidRPr="00E7440A" w:rsidRDefault="00FF3D47" w:rsidP="00FF3D47">
      <w:pPr>
        <w:spacing w:before="120" w:after="120" w:line="360" w:lineRule="auto"/>
        <w:ind w:left="1982" w:hanging="566"/>
        <w:rPr>
          <w:szCs w:val="24"/>
          <w:lang w:eastAsia="en-US"/>
        </w:rPr>
      </w:pPr>
      <w:r w:rsidRPr="00E7440A">
        <w:rPr>
          <w:szCs w:val="24"/>
          <w:lang w:eastAsia="en-US"/>
        </w:rPr>
        <w:t>c)</w:t>
      </w:r>
      <w:r w:rsidRPr="00E7440A">
        <w:rPr>
          <w:szCs w:val="24"/>
          <w:lang w:eastAsia="en-US"/>
        </w:rPr>
        <w:tab/>
        <w:t xml:space="preserve">compostaggio, ammendanti, </w:t>
      </w:r>
      <w:proofErr w:type="spellStart"/>
      <w:r w:rsidRPr="00E7440A">
        <w:rPr>
          <w:szCs w:val="24"/>
          <w:lang w:eastAsia="en-US"/>
        </w:rPr>
        <w:t>landfarming</w:t>
      </w:r>
      <w:proofErr w:type="spellEnd"/>
      <w:r w:rsidRPr="00E7440A">
        <w:rPr>
          <w:szCs w:val="24"/>
          <w:lang w:eastAsia="en-US"/>
        </w:rPr>
        <w:t>, sistemi con bioreattori;</w:t>
      </w:r>
    </w:p>
    <w:p w14:paraId="6E4E3620" w14:textId="79459724" w:rsidR="00FF3D47" w:rsidRPr="00E7440A" w:rsidRDefault="00FF3D47" w:rsidP="00FF3D47">
      <w:pPr>
        <w:spacing w:before="120" w:after="120" w:line="360" w:lineRule="auto"/>
        <w:ind w:left="1982" w:hanging="566"/>
        <w:rPr>
          <w:szCs w:val="24"/>
          <w:lang w:eastAsia="en-US"/>
        </w:rPr>
      </w:pPr>
      <w:r w:rsidRPr="00E7440A">
        <w:rPr>
          <w:szCs w:val="24"/>
          <w:lang w:eastAsia="en-US"/>
        </w:rPr>
        <w:t>d)</w:t>
      </w:r>
      <w:r w:rsidRPr="00E7440A">
        <w:rPr>
          <w:szCs w:val="24"/>
          <w:lang w:eastAsia="en-US"/>
        </w:rPr>
        <w:tab/>
        <w:t xml:space="preserve">biofiltrazione, zone umide di </w:t>
      </w:r>
      <w:proofErr w:type="spellStart"/>
      <w:r w:rsidRPr="00E7440A">
        <w:rPr>
          <w:szCs w:val="24"/>
          <w:lang w:eastAsia="en-US"/>
        </w:rPr>
        <w:t>biotrattamento</w:t>
      </w:r>
      <w:proofErr w:type="spellEnd"/>
      <w:r w:rsidRPr="00E7440A">
        <w:rPr>
          <w:szCs w:val="24"/>
          <w:lang w:eastAsia="en-US"/>
        </w:rPr>
        <w:t>, letti biologici;</w:t>
      </w:r>
    </w:p>
    <w:p w14:paraId="497F55AC" w14:textId="3D200992" w:rsidR="00FF3D47" w:rsidRPr="00E7440A" w:rsidRDefault="00FF3D47" w:rsidP="00FF3D47">
      <w:pPr>
        <w:spacing w:before="120" w:after="120" w:line="360" w:lineRule="auto"/>
        <w:ind w:left="1982" w:hanging="566"/>
        <w:rPr>
          <w:szCs w:val="24"/>
          <w:lang w:eastAsia="en-US"/>
        </w:rPr>
      </w:pPr>
      <w:r w:rsidRPr="00E7440A">
        <w:rPr>
          <w:szCs w:val="24"/>
          <w:lang w:eastAsia="en-US"/>
        </w:rPr>
        <w:t>e)</w:t>
      </w:r>
      <w:r w:rsidRPr="00E7440A">
        <w:rPr>
          <w:szCs w:val="24"/>
          <w:lang w:eastAsia="en-US"/>
        </w:rPr>
        <w:tab/>
        <w:t>attenuazione naturale;</w:t>
      </w:r>
    </w:p>
    <w:p w14:paraId="35067EA1" w14:textId="111BF9AA" w:rsidR="00FF3D47" w:rsidRPr="00E7440A" w:rsidRDefault="00FF3D47" w:rsidP="00FF3D47">
      <w:pPr>
        <w:spacing w:before="120" w:after="120" w:line="360" w:lineRule="auto"/>
        <w:ind w:left="1416" w:hanging="566"/>
        <w:rPr>
          <w:szCs w:val="24"/>
          <w:lang w:eastAsia="en-US"/>
        </w:rPr>
      </w:pPr>
      <w:r w:rsidRPr="00E7440A">
        <w:rPr>
          <w:szCs w:val="24"/>
          <w:lang w:eastAsia="en-US"/>
        </w:rPr>
        <w:t>c)</w:t>
      </w:r>
      <w:r w:rsidR="00E7440A">
        <w:rPr>
          <w:szCs w:val="24"/>
          <w:lang w:eastAsia="en-US"/>
        </w:rPr>
        <w:tab/>
      </w:r>
      <w:r w:rsidRPr="00E7440A">
        <w:rPr>
          <w:szCs w:val="24"/>
          <w:lang w:eastAsia="en-US"/>
        </w:rPr>
        <w:t>tecniche di bonifica chimiche:</w:t>
      </w:r>
    </w:p>
    <w:p w14:paraId="5534A37B" w14:textId="532E953C" w:rsidR="00FF3D47" w:rsidRPr="00E7440A" w:rsidRDefault="00FF3D47" w:rsidP="00FF3D47">
      <w:pPr>
        <w:spacing w:before="120" w:after="120" w:line="360" w:lineRule="auto"/>
        <w:ind w:left="1982" w:hanging="566"/>
        <w:rPr>
          <w:szCs w:val="24"/>
          <w:lang w:eastAsia="en-US"/>
        </w:rPr>
      </w:pPr>
      <w:r w:rsidRPr="00E7440A">
        <w:rPr>
          <w:szCs w:val="24"/>
          <w:lang w:eastAsia="en-US"/>
        </w:rPr>
        <w:t>a)</w:t>
      </w:r>
      <w:r w:rsidRPr="00E7440A">
        <w:rPr>
          <w:szCs w:val="24"/>
          <w:lang w:eastAsia="en-US"/>
        </w:rPr>
        <w:tab/>
        <w:t>ossidazione chimica;</w:t>
      </w:r>
    </w:p>
    <w:p w14:paraId="5F7079FA" w14:textId="4DB5D163" w:rsidR="00FF3D47" w:rsidRPr="00E7440A" w:rsidRDefault="00FF3D47" w:rsidP="00FF3D47">
      <w:pPr>
        <w:spacing w:before="120" w:after="120" w:line="360" w:lineRule="auto"/>
        <w:ind w:left="1982" w:hanging="566"/>
        <w:rPr>
          <w:szCs w:val="24"/>
          <w:lang w:eastAsia="en-US"/>
        </w:rPr>
      </w:pPr>
      <w:r w:rsidRPr="00E7440A">
        <w:rPr>
          <w:szCs w:val="24"/>
          <w:lang w:eastAsia="en-US"/>
        </w:rPr>
        <w:t>b)</w:t>
      </w:r>
      <w:r w:rsidRPr="00E7440A">
        <w:rPr>
          <w:szCs w:val="24"/>
          <w:lang w:eastAsia="en-US"/>
        </w:rPr>
        <w:tab/>
        <w:t>reazioni chimiche di riduzione e ossidoriduzione (redox);</w:t>
      </w:r>
    </w:p>
    <w:p w14:paraId="790452EB" w14:textId="68C44C73" w:rsidR="00FF3D47" w:rsidRPr="00E7440A" w:rsidRDefault="00FF3D47" w:rsidP="00FF3D47">
      <w:pPr>
        <w:spacing w:before="120" w:after="120" w:line="360" w:lineRule="auto"/>
        <w:ind w:left="1982" w:hanging="566"/>
        <w:rPr>
          <w:szCs w:val="24"/>
          <w:lang w:eastAsia="en-US"/>
        </w:rPr>
      </w:pPr>
      <w:r w:rsidRPr="00E7440A">
        <w:rPr>
          <w:szCs w:val="24"/>
          <w:lang w:eastAsia="en-US"/>
        </w:rPr>
        <w:t>c)</w:t>
      </w:r>
      <w:r w:rsidRPr="00E7440A">
        <w:rPr>
          <w:szCs w:val="24"/>
          <w:lang w:eastAsia="en-US"/>
        </w:rPr>
        <w:tab/>
        <w:t>pompaggio e trattamento delle acque sotterranee;</w:t>
      </w:r>
    </w:p>
    <w:p w14:paraId="35EDFF2D" w14:textId="7D9C1AFD" w:rsidR="00FF3D47" w:rsidRPr="00E7440A" w:rsidRDefault="00FF3D47" w:rsidP="00FF3D47">
      <w:pPr>
        <w:spacing w:before="120" w:after="120" w:line="360" w:lineRule="auto"/>
        <w:ind w:left="1416" w:hanging="566"/>
        <w:rPr>
          <w:szCs w:val="24"/>
          <w:lang w:eastAsia="en-US"/>
        </w:rPr>
      </w:pPr>
      <w:r w:rsidRPr="00E7440A">
        <w:rPr>
          <w:szCs w:val="24"/>
          <w:lang w:eastAsia="en-US"/>
        </w:rPr>
        <w:t>d)</w:t>
      </w:r>
      <w:r w:rsidRPr="00E7440A">
        <w:rPr>
          <w:szCs w:val="24"/>
          <w:lang w:eastAsia="en-US"/>
        </w:rPr>
        <w:tab/>
        <w:t>tecniche di bonifica per isolamento, contenimento e monitoraggio:</w:t>
      </w:r>
    </w:p>
    <w:p w14:paraId="06633A4B" w14:textId="6061FD3D" w:rsidR="00FF3D47" w:rsidRPr="00E7440A" w:rsidRDefault="00FF3D47" w:rsidP="00FF3D47">
      <w:pPr>
        <w:spacing w:before="120" w:after="120" w:line="360" w:lineRule="auto"/>
        <w:ind w:left="1982" w:hanging="566"/>
        <w:rPr>
          <w:szCs w:val="24"/>
          <w:lang w:eastAsia="en-US"/>
        </w:rPr>
      </w:pPr>
      <w:r w:rsidRPr="00E7440A">
        <w:rPr>
          <w:szCs w:val="24"/>
          <w:lang w:eastAsia="en-US"/>
        </w:rPr>
        <w:t>a)</w:t>
      </w:r>
      <w:r w:rsidRPr="00E7440A">
        <w:rPr>
          <w:szCs w:val="24"/>
          <w:lang w:eastAsia="en-US"/>
        </w:rPr>
        <w:tab/>
        <w:t>copertura superficiale (</w:t>
      </w:r>
      <w:proofErr w:type="spellStart"/>
      <w:r w:rsidRPr="00E7440A">
        <w:rPr>
          <w:szCs w:val="24"/>
          <w:lang w:eastAsia="en-US"/>
        </w:rPr>
        <w:t>surface</w:t>
      </w:r>
      <w:proofErr w:type="spellEnd"/>
      <w:r w:rsidRPr="00E7440A">
        <w:rPr>
          <w:szCs w:val="24"/>
          <w:lang w:eastAsia="en-US"/>
        </w:rPr>
        <w:t xml:space="preserve"> </w:t>
      </w:r>
      <w:proofErr w:type="spellStart"/>
      <w:r w:rsidRPr="00E7440A">
        <w:rPr>
          <w:szCs w:val="24"/>
          <w:lang w:eastAsia="en-US"/>
        </w:rPr>
        <w:t>capping</w:t>
      </w:r>
      <w:proofErr w:type="spellEnd"/>
      <w:r w:rsidRPr="00E7440A">
        <w:rPr>
          <w:szCs w:val="24"/>
          <w:lang w:eastAsia="en-US"/>
        </w:rPr>
        <w:t>), barriere reattive,</w:t>
      </w:r>
      <w:r w:rsidRPr="00E7440A">
        <w:rPr>
          <w:szCs w:val="24"/>
          <w:lang w:eastAsia="en-US"/>
        </w:rPr>
        <w:tab/>
        <w:t xml:space="preserve"> incapsulamento;</w:t>
      </w:r>
    </w:p>
    <w:p w14:paraId="27BFF3AA" w14:textId="4AACC081" w:rsidR="00FF3D47" w:rsidRPr="00E7440A" w:rsidRDefault="00FF3D47" w:rsidP="00FF3D47">
      <w:pPr>
        <w:spacing w:before="120" w:after="120" w:line="360" w:lineRule="auto"/>
        <w:ind w:left="1982" w:hanging="566"/>
        <w:rPr>
          <w:szCs w:val="24"/>
          <w:lang w:eastAsia="en-US"/>
        </w:rPr>
      </w:pPr>
      <w:r w:rsidRPr="00E7440A">
        <w:rPr>
          <w:szCs w:val="24"/>
          <w:lang w:eastAsia="en-US"/>
        </w:rPr>
        <w:t>b)</w:t>
      </w:r>
      <w:r w:rsidRPr="00E7440A">
        <w:rPr>
          <w:szCs w:val="24"/>
          <w:lang w:eastAsia="en-US"/>
        </w:rPr>
        <w:tab/>
        <w:t>stabilizzazione, solidificazione e immobilizzazione chimiche;</w:t>
      </w:r>
    </w:p>
    <w:p w14:paraId="09F37EE1" w14:textId="1636AD8D" w:rsidR="00FF3D47" w:rsidRPr="00E7440A" w:rsidRDefault="00FF3D47" w:rsidP="00FF3D47">
      <w:pPr>
        <w:spacing w:before="120" w:after="120" w:line="360" w:lineRule="auto"/>
        <w:ind w:left="1982" w:hanging="566"/>
        <w:rPr>
          <w:szCs w:val="24"/>
          <w:lang w:eastAsia="en-US"/>
        </w:rPr>
      </w:pPr>
      <w:r w:rsidRPr="00E7440A">
        <w:rPr>
          <w:szCs w:val="24"/>
          <w:lang w:eastAsia="en-US"/>
        </w:rPr>
        <w:lastRenderedPageBreak/>
        <w:t>c)</w:t>
      </w:r>
      <w:r w:rsidRPr="00E7440A">
        <w:rPr>
          <w:szCs w:val="24"/>
          <w:lang w:eastAsia="en-US"/>
        </w:rPr>
        <w:tab/>
        <w:t>isolamento e contenimento idrogeologici;</w:t>
      </w:r>
    </w:p>
    <w:p w14:paraId="5D57211A" w14:textId="107B71E6" w:rsidR="00FF3D47" w:rsidRPr="00E7440A" w:rsidRDefault="00242A00" w:rsidP="00242A00">
      <w:pPr>
        <w:spacing w:before="120" w:after="120" w:line="360" w:lineRule="auto"/>
        <w:ind w:left="1982" w:hanging="566"/>
        <w:rPr>
          <w:szCs w:val="24"/>
          <w:lang w:eastAsia="en-US"/>
        </w:rPr>
      </w:pPr>
      <w:r>
        <w:rPr>
          <w:szCs w:val="24"/>
          <w:lang w:eastAsia="en-US"/>
        </w:rPr>
        <w:t>d)</w:t>
      </w:r>
      <w:r>
        <w:rPr>
          <w:szCs w:val="24"/>
          <w:lang w:eastAsia="en-US"/>
        </w:rPr>
        <w:tab/>
      </w:r>
      <w:proofErr w:type="spellStart"/>
      <w:r w:rsidR="00FF3D47" w:rsidRPr="00E7440A">
        <w:rPr>
          <w:szCs w:val="24"/>
          <w:lang w:eastAsia="en-US"/>
        </w:rPr>
        <w:t>fitostabilizzazione</w:t>
      </w:r>
      <w:proofErr w:type="spellEnd"/>
      <w:r w:rsidR="00FF3D47" w:rsidRPr="00E7440A">
        <w:rPr>
          <w:szCs w:val="24"/>
          <w:lang w:eastAsia="en-US"/>
        </w:rPr>
        <w:t>;</w:t>
      </w:r>
    </w:p>
    <w:p w14:paraId="729DD874" w14:textId="74B069E0" w:rsidR="00FF3D47" w:rsidRPr="00FF3D47" w:rsidRDefault="00FF3D47" w:rsidP="00FF3D47">
      <w:pPr>
        <w:spacing w:before="120" w:after="120" w:line="360" w:lineRule="auto"/>
        <w:ind w:left="1982" w:hanging="566"/>
        <w:rPr>
          <w:szCs w:val="24"/>
          <w:lang w:eastAsia="en-US"/>
        </w:rPr>
      </w:pPr>
      <w:r w:rsidRPr="00E7440A">
        <w:rPr>
          <w:szCs w:val="24"/>
          <w:lang w:eastAsia="en-US"/>
        </w:rPr>
        <w:t>e)</w:t>
      </w:r>
      <w:r w:rsidRPr="00FF3D47">
        <w:rPr>
          <w:szCs w:val="24"/>
          <w:lang w:eastAsia="en-US"/>
        </w:rPr>
        <w:tab/>
        <w:t>controllo e gestione a lungo termine attraverso pozzi di monitoraggio.</w:t>
      </w:r>
    </w:p>
    <w:p w14:paraId="2C85DD91" w14:textId="7DE27BB2"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Misure di riduzione del rischio diverse dalla bonifica:</w:t>
      </w:r>
    </w:p>
    <w:p w14:paraId="2691CE3B" w14:textId="222D61B0" w:rsidR="00FF3D47" w:rsidRPr="00FF3D47" w:rsidRDefault="00FF3D47" w:rsidP="00FF3D47">
      <w:pPr>
        <w:spacing w:before="120" w:after="120" w:line="360" w:lineRule="auto"/>
        <w:ind w:left="1416" w:hanging="566"/>
        <w:rPr>
          <w:szCs w:val="24"/>
          <w:lang w:eastAsia="en-US"/>
        </w:rPr>
      </w:pPr>
      <w:r w:rsidRPr="00FF3D47">
        <w:rPr>
          <w:szCs w:val="24"/>
          <w:lang w:eastAsia="en-US"/>
        </w:rPr>
        <w:t>a)</w:t>
      </w:r>
      <w:r w:rsidRPr="00FF3D47">
        <w:rPr>
          <w:szCs w:val="24"/>
          <w:lang w:eastAsia="en-US"/>
        </w:rPr>
        <w:tab/>
        <w:t>restrizioni alla coltivazione e al consumo di colture e ortaggi;</w:t>
      </w:r>
    </w:p>
    <w:p w14:paraId="42A17D02" w14:textId="4B62A3A9" w:rsidR="00FF3D47" w:rsidRPr="00FF3D47" w:rsidRDefault="00FF3D47" w:rsidP="00FF3D47">
      <w:pPr>
        <w:spacing w:before="120" w:after="120" w:line="360" w:lineRule="auto"/>
        <w:ind w:left="1416" w:hanging="566"/>
        <w:rPr>
          <w:szCs w:val="24"/>
          <w:lang w:eastAsia="en-US"/>
        </w:rPr>
      </w:pPr>
      <w:r w:rsidRPr="00FF3D47">
        <w:rPr>
          <w:szCs w:val="24"/>
          <w:lang w:eastAsia="en-US"/>
        </w:rPr>
        <w:t>b)</w:t>
      </w:r>
      <w:r w:rsidRPr="00FF3D47">
        <w:rPr>
          <w:szCs w:val="24"/>
          <w:lang w:eastAsia="en-US"/>
        </w:rPr>
        <w:tab/>
        <w:t>restrizioni al consumo di uova;</w:t>
      </w:r>
    </w:p>
    <w:p w14:paraId="48458BD2" w14:textId="7306150E" w:rsidR="00FF3D47" w:rsidRPr="00FF3D47" w:rsidRDefault="00FF3D47" w:rsidP="00FF3D47">
      <w:pPr>
        <w:spacing w:before="120" w:after="120" w:line="360" w:lineRule="auto"/>
        <w:ind w:left="1416" w:hanging="566"/>
        <w:rPr>
          <w:szCs w:val="24"/>
          <w:lang w:eastAsia="en-US"/>
        </w:rPr>
      </w:pPr>
      <w:r w:rsidRPr="00FF3D47">
        <w:rPr>
          <w:szCs w:val="24"/>
          <w:lang w:eastAsia="en-US"/>
        </w:rPr>
        <w:t>c)</w:t>
      </w:r>
      <w:r w:rsidRPr="00FF3D47">
        <w:rPr>
          <w:szCs w:val="24"/>
          <w:lang w:eastAsia="en-US"/>
        </w:rPr>
        <w:tab/>
        <w:t>restrizioni all'accesso degli animali da compagnia o da allevamento;</w:t>
      </w:r>
    </w:p>
    <w:p w14:paraId="2F11C5D1" w14:textId="5424F013" w:rsidR="00FF3D47" w:rsidRPr="00FF3D47" w:rsidRDefault="00FF3D47" w:rsidP="00FF3D47">
      <w:pPr>
        <w:spacing w:before="120" w:after="120" w:line="360" w:lineRule="auto"/>
        <w:ind w:left="1416" w:hanging="566"/>
        <w:rPr>
          <w:szCs w:val="24"/>
          <w:lang w:eastAsia="en-US"/>
        </w:rPr>
      </w:pPr>
      <w:r w:rsidRPr="00FF3D47">
        <w:rPr>
          <w:szCs w:val="24"/>
          <w:lang w:eastAsia="en-US"/>
        </w:rPr>
        <w:t>d)</w:t>
      </w:r>
      <w:r w:rsidRPr="00FF3D47">
        <w:rPr>
          <w:szCs w:val="24"/>
          <w:lang w:eastAsia="en-US"/>
        </w:rPr>
        <w:tab/>
        <w:t>restrizioni all'estrazione o all'uso delle acque sotterranee come acqua potabile o a fini di igiene personale o industriali;</w:t>
      </w:r>
    </w:p>
    <w:p w14:paraId="57DEA430" w14:textId="3B15F356" w:rsidR="00FF3D47" w:rsidRPr="00FF3D47" w:rsidRDefault="00FF3D47" w:rsidP="00FF3D47">
      <w:pPr>
        <w:spacing w:before="120" w:after="120" w:line="360" w:lineRule="auto"/>
        <w:ind w:left="1416" w:hanging="566"/>
        <w:rPr>
          <w:szCs w:val="24"/>
          <w:lang w:eastAsia="en-US"/>
        </w:rPr>
      </w:pPr>
      <w:r w:rsidRPr="00FF3D47">
        <w:rPr>
          <w:szCs w:val="24"/>
          <w:lang w:eastAsia="en-US"/>
        </w:rPr>
        <w:t>e)</w:t>
      </w:r>
      <w:r w:rsidRPr="00FF3D47">
        <w:rPr>
          <w:szCs w:val="24"/>
          <w:lang w:eastAsia="en-US"/>
        </w:rPr>
        <w:tab/>
        <w:t xml:space="preserve">restrizioni alla demolizione, alla </w:t>
      </w:r>
      <w:proofErr w:type="spellStart"/>
      <w:r w:rsidRPr="00FF3D47">
        <w:rPr>
          <w:szCs w:val="24"/>
          <w:lang w:eastAsia="en-US"/>
        </w:rPr>
        <w:t>deimpermeabilizzazione</w:t>
      </w:r>
      <w:proofErr w:type="spellEnd"/>
      <w:r w:rsidRPr="00FF3D47">
        <w:rPr>
          <w:szCs w:val="24"/>
          <w:lang w:eastAsia="en-US"/>
        </w:rPr>
        <w:t xml:space="preserve"> o alla costruzione sul sito;</w:t>
      </w:r>
    </w:p>
    <w:p w14:paraId="134DA74C" w14:textId="6574560C" w:rsidR="00FF3D47" w:rsidRPr="00FF3D47" w:rsidRDefault="00FF3D47" w:rsidP="00FF3D47">
      <w:pPr>
        <w:spacing w:before="120" w:after="120" w:line="360" w:lineRule="auto"/>
        <w:ind w:left="1416" w:hanging="566"/>
        <w:rPr>
          <w:szCs w:val="24"/>
          <w:lang w:eastAsia="en-US"/>
        </w:rPr>
      </w:pPr>
      <w:r w:rsidRPr="00FF3D47">
        <w:rPr>
          <w:szCs w:val="24"/>
          <w:lang w:eastAsia="en-US"/>
        </w:rPr>
        <w:t>f)</w:t>
      </w:r>
      <w:r w:rsidRPr="00FF3D47">
        <w:rPr>
          <w:szCs w:val="24"/>
          <w:lang w:eastAsia="en-US"/>
        </w:rPr>
        <w:tab/>
        <w:t>restrizioni all'accesso al sito o alla zona circostante (ad esempio mediante recinzioni);</w:t>
      </w:r>
    </w:p>
    <w:p w14:paraId="2517CAA1" w14:textId="1CCC520C" w:rsidR="00FF3D47" w:rsidRPr="00FF3D47" w:rsidRDefault="00FF3D47" w:rsidP="00FF3D47">
      <w:pPr>
        <w:spacing w:before="120" w:after="120" w:line="360" w:lineRule="auto"/>
        <w:ind w:left="1416" w:hanging="566"/>
        <w:rPr>
          <w:szCs w:val="24"/>
          <w:lang w:eastAsia="en-US"/>
        </w:rPr>
      </w:pPr>
      <w:r w:rsidRPr="00FF3D47">
        <w:rPr>
          <w:szCs w:val="24"/>
          <w:lang w:eastAsia="en-US"/>
        </w:rPr>
        <w:t>g)</w:t>
      </w:r>
      <w:r w:rsidRPr="00FF3D47">
        <w:rPr>
          <w:szCs w:val="24"/>
          <w:lang w:eastAsia="en-US"/>
        </w:rPr>
        <w:tab/>
        <w:t>restrizioni all'uso del suolo o ai cambiamenti di uso del suolo;</w:t>
      </w:r>
    </w:p>
    <w:p w14:paraId="1CC548EC" w14:textId="5546EBAE" w:rsidR="00FF3D47" w:rsidRPr="00FF3D47" w:rsidRDefault="00FF3D47" w:rsidP="00FF3D47">
      <w:pPr>
        <w:spacing w:before="120" w:after="120" w:line="360" w:lineRule="auto"/>
        <w:ind w:left="1416" w:hanging="566"/>
        <w:rPr>
          <w:szCs w:val="24"/>
          <w:lang w:eastAsia="en-US"/>
        </w:rPr>
      </w:pPr>
      <w:r w:rsidRPr="00FF3D47">
        <w:rPr>
          <w:szCs w:val="24"/>
          <w:lang w:eastAsia="en-US"/>
        </w:rPr>
        <w:t>h)</w:t>
      </w:r>
      <w:r w:rsidRPr="00FF3D47">
        <w:rPr>
          <w:szCs w:val="24"/>
          <w:lang w:eastAsia="en-US"/>
        </w:rPr>
        <w:tab/>
        <w:t>restrizioni allo scavo, alla perforazione o all'estrazione;</w:t>
      </w:r>
    </w:p>
    <w:p w14:paraId="578B55AF" w14:textId="33E78E32" w:rsidR="00FF3D47" w:rsidRPr="00FF3D47" w:rsidRDefault="00FF3D47" w:rsidP="00FF3D47">
      <w:pPr>
        <w:spacing w:before="120" w:after="120" w:line="360" w:lineRule="auto"/>
        <w:ind w:left="1416" w:hanging="566"/>
        <w:rPr>
          <w:szCs w:val="24"/>
          <w:lang w:eastAsia="en-US"/>
        </w:rPr>
      </w:pPr>
      <w:r w:rsidRPr="00FF3D47">
        <w:rPr>
          <w:szCs w:val="24"/>
          <w:lang w:eastAsia="en-US"/>
        </w:rPr>
        <w:t>i)</w:t>
      </w:r>
      <w:r w:rsidRPr="00FF3D47">
        <w:rPr>
          <w:szCs w:val="24"/>
          <w:lang w:eastAsia="en-US"/>
        </w:rPr>
        <w:tab/>
        <w:t>restrizioni per evitare il contatto con il suolo, le polveri o l'aria negli ambienti chiusi, e precauzioni per proteggere la salute umana (ad esempio facciali filtranti, guanti, pulizia a umido ecc.).</w:t>
      </w:r>
    </w:p>
    <w:p w14:paraId="1762ED26" w14:textId="52C392E7" w:rsidR="00FF3D47" w:rsidRPr="00FF3D47" w:rsidRDefault="00FF3D47" w:rsidP="00FF3D47">
      <w:pPr>
        <w:spacing w:before="120" w:after="120" w:line="360" w:lineRule="auto"/>
        <w:ind w:left="850" w:hanging="850"/>
        <w:rPr>
          <w:szCs w:val="24"/>
          <w:lang w:eastAsia="en-US"/>
        </w:rPr>
      </w:pPr>
      <w:r w:rsidRPr="00FF3D47">
        <w:rPr>
          <w:szCs w:val="24"/>
          <w:lang w:eastAsia="en-US"/>
        </w:rPr>
        <w:t>3)</w:t>
      </w:r>
      <w:r w:rsidRPr="00FF3D47">
        <w:rPr>
          <w:szCs w:val="24"/>
          <w:lang w:eastAsia="en-US"/>
        </w:rPr>
        <w:tab/>
        <w:t>Migliori tecniche disponibili di cui alla direttiva 2010/75/UE.</w:t>
      </w:r>
    </w:p>
    <w:p w14:paraId="493084B9" w14:textId="2CBFBD07" w:rsidR="00FF3D47" w:rsidRPr="00FF3D47" w:rsidRDefault="00FF3D47" w:rsidP="00FF3D47">
      <w:pPr>
        <w:spacing w:before="120" w:after="120" w:line="360" w:lineRule="auto"/>
        <w:ind w:left="850" w:hanging="850"/>
        <w:rPr>
          <w:szCs w:val="24"/>
          <w:lang w:eastAsia="en-US"/>
        </w:rPr>
      </w:pPr>
      <w:r w:rsidRPr="00FF3D47">
        <w:rPr>
          <w:szCs w:val="24"/>
          <w:lang w:eastAsia="en-US"/>
        </w:rPr>
        <w:t>4)</w:t>
      </w:r>
      <w:r w:rsidRPr="00FF3D47">
        <w:rPr>
          <w:szCs w:val="24"/>
          <w:lang w:eastAsia="en-US"/>
        </w:rPr>
        <w:tab/>
        <w:t>Misure adottate dalle autorità competenti e dagli operatori industriali a seguito di un incidente grave, conformemente alla direttiva 2012/18/UE.</w:t>
      </w:r>
    </w:p>
    <w:p w14:paraId="656096B4" w14:textId="77777777" w:rsidR="00FF3D47" w:rsidRPr="00FF3D47" w:rsidRDefault="00FF3D47" w:rsidP="00FF3D47">
      <w:pPr>
        <w:spacing w:before="120" w:after="120" w:line="360" w:lineRule="auto"/>
        <w:rPr>
          <w:szCs w:val="24"/>
          <w:lang w:eastAsia="en-US"/>
        </w:rPr>
        <w:sectPr w:rsidR="00FF3D47" w:rsidRPr="00FF3D47">
          <w:pgSz w:w="11909" w:h="16834"/>
          <w:pgMar w:top="1134" w:right="1417" w:bottom="1417" w:left="1417" w:header="1134" w:footer="567" w:gutter="0"/>
          <w:cols w:space="720"/>
        </w:sectPr>
      </w:pPr>
    </w:p>
    <w:p w14:paraId="45826E01" w14:textId="77777777" w:rsidR="00FF3D47" w:rsidRPr="00FF3D47" w:rsidRDefault="00FF3D47" w:rsidP="00FF3D47">
      <w:pPr>
        <w:spacing w:before="120" w:after="120" w:line="360" w:lineRule="auto"/>
        <w:rPr>
          <w:szCs w:val="24"/>
          <w:lang w:eastAsia="en-US"/>
        </w:rPr>
      </w:pPr>
    </w:p>
    <w:p w14:paraId="37C2E472" w14:textId="77777777" w:rsidR="00FF3D47" w:rsidRPr="00FF3D47" w:rsidRDefault="00FF3D47" w:rsidP="00FF3D47">
      <w:pPr>
        <w:spacing w:before="120" w:after="120" w:line="360" w:lineRule="auto"/>
        <w:jc w:val="center"/>
        <w:rPr>
          <w:lang w:eastAsia="en-US"/>
        </w:rPr>
      </w:pPr>
      <w:r w:rsidRPr="00FF3D47">
        <w:rPr>
          <w:lang w:eastAsia="en-US"/>
        </w:rPr>
        <w:t>ALLEGATO VI</w:t>
      </w:r>
    </w:p>
    <w:p w14:paraId="4AC2B936" w14:textId="77777777" w:rsidR="00FF3D47" w:rsidRPr="00FF3D47" w:rsidRDefault="00FF3D47" w:rsidP="00FF3D47">
      <w:pPr>
        <w:spacing w:before="120" w:after="120" w:line="360" w:lineRule="auto"/>
        <w:rPr>
          <w:szCs w:val="24"/>
          <w:lang w:eastAsia="en-US"/>
        </w:rPr>
      </w:pPr>
      <w:r w:rsidRPr="00FF3D47">
        <w:rPr>
          <w:szCs w:val="24"/>
          <w:lang w:eastAsia="en-US"/>
        </w:rPr>
        <w:t>FASI E OBBLIGHI PER LA VALUTAZIONE DEL RISCHIO IN FUNZIONE DEL SITO</w:t>
      </w:r>
    </w:p>
    <w:p w14:paraId="2B48379E"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1.</w:t>
      </w:r>
      <w:r w:rsidRPr="00FF3D47">
        <w:rPr>
          <w:szCs w:val="24"/>
          <w:lang w:eastAsia="en-US"/>
        </w:rPr>
        <w:tab/>
        <w:t>Per caratterizzare la contaminazione è necessario identificare i contaminanti presenti sul sito e determinarne la fonte, la concentrazione, la forma chimica e la distribuzione nel suolo e nelle acque sotterranee. La presenza e la concentrazione dei contaminanti sono determinate campionando e analizzando il suolo.</w:t>
      </w:r>
    </w:p>
    <w:p w14:paraId="0C8A6A90"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2.</w:t>
      </w:r>
      <w:r w:rsidRPr="00FF3D47">
        <w:rPr>
          <w:szCs w:val="24"/>
          <w:lang w:eastAsia="en-US"/>
        </w:rPr>
        <w:tab/>
        <w:t>La valutazione dell'esposizione individua la via attraverso cui i contaminanti del suolo possono raggiungere i recettori: l'esposizione può aver luogo per inalazione, ingestione, contatto cutaneo, assorbimento vegetale, migrazione nelle acque sotterranee o per altre vie. L'assorbimento di contaminanti si stima combinando queste informazioni con la frequenza e la durata dell'esposizione e con le caratteristiche del recettore, come età, genere e stato di salute. I legami tra la fonte, la via di esposizione e il recettore sono sintetizzati in una rappresentazione grafica, schematica e semplificata, vale a dire il modello concettuale del sito.</w:t>
      </w:r>
    </w:p>
    <w:p w14:paraId="3526D8B3"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3.</w:t>
      </w:r>
      <w:r w:rsidRPr="00FF3D47">
        <w:rPr>
          <w:szCs w:val="24"/>
          <w:lang w:eastAsia="en-US"/>
        </w:rPr>
        <w:tab/>
        <w:t>La valutazione della tossicità o del pericolo consiste nel valutare gli effetti che i contaminanti potrebbero avere sulla salute e sull'ambiente, in base alla dose e alla durata dell'esposizione e tenuto conto della tossicità intrinseca dei contaminanti e della sensibilità delle diverse popolazioni (animali, microorganismi, piante, bambini, donne in gravidanza, anziani ecc.). Le informazioni tossicologiche sono usate per stimare le dosi o le concentrazioni di riferimento che, a loro volta, servono a caratterizzare il rischio.</w:t>
      </w:r>
    </w:p>
    <w:p w14:paraId="2E542252" w14:textId="77777777" w:rsidR="00FF3D47" w:rsidRPr="00FF3D47" w:rsidRDefault="00FF3D47" w:rsidP="00FF3D47">
      <w:pPr>
        <w:spacing w:before="120" w:after="120" w:line="360" w:lineRule="auto"/>
        <w:ind w:left="850" w:hanging="850"/>
        <w:rPr>
          <w:szCs w:val="24"/>
          <w:lang w:eastAsia="en-US"/>
        </w:rPr>
      </w:pPr>
      <w:r w:rsidRPr="00FF3D47">
        <w:rPr>
          <w:szCs w:val="24"/>
          <w:lang w:eastAsia="en-US"/>
        </w:rPr>
        <w:t>4.</w:t>
      </w:r>
      <w:r w:rsidRPr="00FF3D47">
        <w:rPr>
          <w:szCs w:val="24"/>
          <w:lang w:eastAsia="en-US"/>
        </w:rPr>
        <w:tab/>
        <w:t>Per caratterizzare il rischio è necessario integrare le informazioni ricavate nelle fasi precedenti e stimare l'entità e la probabilità degli effetti negativi che il sito contaminato produce sulla salute umana e sull'ambiente, tenuto conto anche della migrazione della contaminazione verso altri comparti ambientali. La caratterizzazione serve a stabilire l'ordine di priorità delle misure necessarie per ridurre il rischio e per bonificare il sito. Può anche servire a definire gli obiettivi di bonifica o di gestione del sito, ad esempio il raggiungimento dei limiti massimi accettabili o dei valori di screening del sito in base al rischio.</w:t>
      </w:r>
    </w:p>
    <w:p w14:paraId="6CB56EB7" w14:textId="77777777" w:rsidR="00FF3D47" w:rsidRPr="00FF3D47" w:rsidRDefault="00FF3D47" w:rsidP="00FF3D47">
      <w:pPr>
        <w:spacing w:before="120" w:after="120" w:line="360" w:lineRule="auto"/>
        <w:rPr>
          <w:szCs w:val="24"/>
          <w:lang w:eastAsia="en-US"/>
        </w:rPr>
        <w:sectPr w:rsidR="00FF3D47" w:rsidRPr="00FF3D47">
          <w:pgSz w:w="11909" w:h="16834"/>
          <w:pgMar w:top="1134" w:right="1417" w:bottom="1417" w:left="1417" w:header="1134" w:footer="567" w:gutter="0"/>
          <w:cols w:space="720"/>
        </w:sectPr>
      </w:pPr>
    </w:p>
    <w:p w14:paraId="076554E6" w14:textId="77777777" w:rsidR="00FF3D47" w:rsidRPr="00FF3D47" w:rsidRDefault="00FF3D47" w:rsidP="00FF3D47">
      <w:pPr>
        <w:spacing w:before="120" w:after="120" w:line="360" w:lineRule="auto"/>
        <w:rPr>
          <w:szCs w:val="24"/>
          <w:lang w:eastAsia="en-US"/>
        </w:rPr>
      </w:pPr>
    </w:p>
    <w:p w14:paraId="5576BD1E" w14:textId="77777777" w:rsidR="00FF3D47" w:rsidRPr="00FF3D47" w:rsidRDefault="00FF3D47" w:rsidP="00FF3D47">
      <w:pPr>
        <w:spacing w:before="120" w:after="120" w:line="360" w:lineRule="auto"/>
        <w:jc w:val="center"/>
        <w:rPr>
          <w:lang w:eastAsia="en-US"/>
        </w:rPr>
      </w:pPr>
      <w:r w:rsidRPr="00FF3D47">
        <w:rPr>
          <w:lang w:eastAsia="en-US"/>
        </w:rPr>
        <w:t>ALLEGATO VII</w:t>
      </w:r>
    </w:p>
    <w:p w14:paraId="4741FF44" w14:textId="77777777" w:rsidR="00FF3D47" w:rsidRPr="00FF3D47" w:rsidRDefault="00FF3D47" w:rsidP="00FF3D47">
      <w:pPr>
        <w:spacing w:before="120" w:after="120" w:line="360" w:lineRule="auto"/>
        <w:rPr>
          <w:szCs w:val="24"/>
          <w:lang w:eastAsia="en-US"/>
        </w:rPr>
      </w:pPr>
      <w:r w:rsidRPr="00FF3D47">
        <w:rPr>
          <w:szCs w:val="24"/>
          <w:lang w:eastAsia="en-US"/>
        </w:rPr>
        <w:t xml:space="preserve">CONTENUTO DEL REGISTRO DEI SITI POTENZIALMENTE CONTAMINATI E DEI SITI CONTAMINATI </w:t>
      </w:r>
    </w:p>
    <w:p w14:paraId="49EAA599" w14:textId="77777777" w:rsidR="00FF3D47" w:rsidRPr="00FF3D47" w:rsidRDefault="00FF3D47" w:rsidP="00FF3D47">
      <w:pPr>
        <w:spacing w:before="120" w:after="120" w:line="360" w:lineRule="auto"/>
        <w:rPr>
          <w:szCs w:val="24"/>
          <w:lang w:eastAsia="en-US"/>
        </w:rPr>
      </w:pPr>
      <w:r w:rsidRPr="00FF3D47">
        <w:rPr>
          <w:szCs w:val="24"/>
          <w:lang w:eastAsia="en-US"/>
        </w:rPr>
        <w:t>Il design e la presentazione dei dati nel registro devono consentire al pubblico di seguire i progressi compiuti nella gestione dei siti potenzialmente contaminati e di quelli contaminati. Per i siti noti potenzialmente contaminati, i siti contaminati, i siti contaminati che richiedono ulteriori interventi e i siti contaminati in cui sono stati effettuati o sono in corso interventi, il registro contiene e presenta le informazioni seguenti a livello di sito:</w:t>
      </w:r>
    </w:p>
    <w:p w14:paraId="49DFCCE0" w14:textId="7FA1654D" w:rsidR="00FF3D47" w:rsidRPr="00FF3D47" w:rsidRDefault="00FF3D47" w:rsidP="00FF3D47">
      <w:pPr>
        <w:spacing w:before="120" w:after="120" w:line="360" w:lineRule="auto"/>
        <w:ind w:left="850" w:hanging="850"/>
        <w:rPr>
          <w:szCs w:val="24"/>
          <w:lang w:eastAsia="en-US"/>
        </w:rPr>
      </w:pPr>
      <w:r w:rsidRPr="00FF3D47">
        <w:rPr>
          <w:szCs w:val="24"/>
          <w:lang w:eastAsia="en-US"/>
        </w:rPr>
        <w:t>a)</w:t>
      </w:r>
      <w:r w:rsidRPr="00FF3D47">
        <w:rPr>
          <w:szCs w:val="24"/>
          <w:lang w:eastAsia="en-US"/>
        </w:rPr>
        <w:tab/>
        <w:t>coordinate, indirizzo o particella/e catastale/i del sito conformemente alle direttive (UE) 2019/1024 e 2007/2/CE;</w:t>
      </w:r>
    </w:p>
    <w:p w14:paraId="29C3959A" w14:textId="6DB83F12" w:rsidR="00FF3D47" w:rsidRPr="00FF3D47" w:rsidRDefault="00FF3D47" w:rsidP="00FF3D47">
      <w:pPr>
        <w:spacing w:before="120" w:after="120" w:line="360" w:lineRule="auto"/>
        <w:ind w:left="850" w:hanging="850"/>
        <w:rPr>
          <w:szCs w:val="24"/>
          <w:lang w:eastAsia="en-US"/>
        </w:rPr>
      </w:pPr>
      <w:r w:rsidRPr="00FF3D47">
        <w:rPr>
          <w:szCs w:val="24"/>
          <w:lang w:eastAsia="en-US"/>
        </w:rPr>
        <w:t>b)</w:t>
      </w:r>
      <w:r w:rsidRPr="00FF3D47">
        <w:rPr>
          <w:szCs w:val="24"/>
          <w:lang w:eastAsia="en-US"/>
        </w:rPr>
        <w:tab/>
        <w:t>anno di iscrizione nel registro;</w:t>
      </w:r>
    </w:p>
    <w:p w14:paraId="4F4F01D2" w14:textId="5058785E" w:rsidR="00FF3D47" w:rsidRPr="00FF3D47" w:rsidRDefault="00FF3D47" w:rsidP="00FF3D47">
      <w:pPr>
        <w:spacing w:before="120" w:after="120" w:line="360" w:lineRule="auto"/>
        <w:ind w:left="850" w:hanging="850"/>
        <w:rPr>
          <w:szCs w:val="24"/>
          <w:lang w:eastAsia="en-US"/>
        </w:rPr>
      </w:pPr>
      <w:r w:rsidRPr="00FF3D47">
        <w:rPr>
          <w:szCs w:val="24"/>
          <w:lang w:eastAsia="en-US"/>
        </w:rPr>
        <w:t>c)</w:t>
      </w:r>
      <w:r w:rsidRPr="00FF3D47">
        <w:rPr>
          <w:szCs w:val="24"/>
          <w:lang w:eastAsia="en-US"/>
        </w:rPr>
        <w:tab/>
        <w:t>attività contaminanti o che rischiano di essere potenzialmente contaminanti svolte sul sito o tuttora in atto.</w:t>
      </w:r>
    </w:p>
    <w:p w14:paraId="2505BD11" w14:textId="6D0E9E77" w:rsidR="00FF3D47" w:rsidRPr="00FF3D47" w:rsidRDefault="00FF3D47" w:rsidP="00FF3D47">
      <w:pPr>
        <w:spacing w:before="120" w:after="120" w:line="360" w:lineRule="auto"/>
        <w:ind w:left="850" w:hanging="850"/>
        <w:rPr>
          <w:szCs w:val="24"/>
          <w:lang w:eastAsia="en-US"/>
        </w:rPr>
      </w:pPr>
      <w:r w:rsidRPr="00FF3D47">
        <w:rPr>
          <w:szCs w:val="24"/>
          <w:lang w:eastAsia="en-US"/>
        </w:rPr>
        <w:t>d)</w:t>
      </w:r>
      <w:r w:rsidRPr="00FF3D47">
        <w:rPr>
          <w:szCs w:val="24"/>
          <w:lang w:eastAsia="en-US"/>
        </w:rPr>
        <w:tab/>
        <w:t>stato di gestione del sito;</w:t>
      </w:r>
    </w:p>
    <w:p w14:paraId="6832FE9A" w14:textId="64E21FC8" w:rsidR="00FF3D47" w:rsidRPr="00FF3D47" w:rsidRDefault="00FF3D47" w:rsidP="00FF3D47">
      <w:pPr>
        <w:spacing w:before="120" w:after="120" w:line="360" w:lineRule="auto"/>
        <w:ind w:left="850" w:hanging="850"/>
        <w:rPr>
          <w:szCs w:val="24"/>
          <w:lang w:eastAsia="en-US"/>
        </w:rPr>
      </w:pPr>
      <w:r w:rsidRPr="00FF3D47">
        <w:rPr>
          <w:szCs w:val="24"/>
          <w:lang w:eastAsia="en-US"/>
        </w:rPr>
        <w:t>e)</w:t>
      </w:r>
      <w:r w:rsidRPr="00FF3D47">
        <w:rPr>
          <w:szCs w:val="24"/>
          <w:lang w:eastAsia="en-US"/>
        </w:rPr>
        <w:tab/>
        <w:t>se su questi elementi sono già disponibili informazioni ottenute dalle analisi del suolo e dalla valutazione del rischio di cui agli articoli 14 e 15, conclusioni su: presenza o assenza, concentrazione, tipo e rischio di contaminazione (o di contaminazione residua dopo la bonifica);</w:t>
      </w:r>
    </w:p>
    <w:p w14:paraId="075E5A73" w14:textId="51EA32DE" w:rsidR="00FF3D47" w:rsidRPr="00FF3D47" w:rsidRDefault="00FF3D47" w:rsidP="00FF3D47">
      <w:pPr>
        <w:spacing w:before="120" w:after="120" w:line="360" w:lineRule="auto"/>
        <w:ind w:left="850" w:hanging="850"/>
        <w:rPr>
          <w:szCs w:val="24"/>
          <w:lang w:eastAsia="en-US"/>
        </w:rPr>
      </w:pPr>
      <w:r w:rsidRPr="00FF3D47">
        <w:rPr>
          <w:szCs w:val="24"/>
          <w:lang w:eastAsia="en-US"/>
        </w:rPr>
        <w:t>f)</w:t>
      </w:r>
      <w:r w:rsidRPr="00FF3D47">
        <w:rPr>
          <w:szCs w:val="24"/>
          <w:lang w:eastAsia="en-US"/>
        </w:rPr>
        <w:tab/>
        <w:t>prossimi interventi e fasi di gestione necessari di cui agli articoli 14 e 15, con tempistica.</w:t>
      </w:r>
    </w:p>
    <w:p w14:paraId="49C0B4F5" w14:textId="77777777" w:rsidR="00FF3D47" w:rsidRPr="00FF3D47" w:rsidRDefault="00FF3D47" w:rsidP="00FF3D47">
      <w:pPr>
        <w:spacing w:before="120" w:after="120" w:line="360" w:lineRule="auto"/>
        <w:rPr>
          <w:szCs w:val="24"/>
          <w:lang w:eastAsia="en-US"/>
        </w:rPr>
      </w:pPr>
      <w:r w:rsidRPr="00FF3D47">
        <w:rPr>
          <w:szCs w:val="24"/>
          <w:lang w:eastAsia="en-US"/>
        </w:rPr>
        <w:t>Per i siti noti potenzialmente contaminati, i siti contaminati, i siti contaminati che richiedono ulteriori interventi e i siti contaminati in cui sono stati effettuati o sono in corso interventi, il registro può contenere, se disponibili, anche le informazioni seguenti a livello di sito:</w:t>
      </w:r>
    </w:p>
    <w:p w14:paraId="00EB0A47" w14:textId="20AE481D" w:rsidR="00FF3D47" w:rsidRPr="00FF3D47" w:rsidRDefault="00FF3D47" w:rsidP="00FF3D47">
      <w:pPr>
        <w:spacing w:before="120" w:after="120" w:line="360" w:lineRule="auto"/>
        <w:ind w:left="850" w:hanging="850"/>
        <w:rPr>
          <w:szCs w:val="24"/>
          <w:lang w:eastAsia="en-US"/>
        </w:rPr>
      </w:pPr>
      <w:r w:rsidRPr="00FF3D47">
        <w:rPr>
          <w:szCs w:val="24"/>
          <w:lang w:eastAsia="en-US"/>
        </w:rPr>
        <w:t>a)</w:t>
      </w:r>
      <w:r w:rsidRPr="00FF3D47">
        <w:rPr>
          <w:szCs w:val="24"/>
          <w:lang w:eastAsia="en-US"/>
        </w:rPr>
        <w:tab/>
        <w:t>informazioni sulle autorizzazioni ambientali rilasciate per il sito, con l'anno di inizio e di fine dell'attività;</w:t>
      </w:r>
    </w:p>
    <w:p w14:paraId="53F5EF27" w14:textId="591155BA" w:rsidR="00FF3D47" w:rsidRPr="00FF3D47" w:rsidRDefault="00FF3D47" w:rsidP="00FF3D47">
      <w:pPr>
        <w:spacing w:before="120" w:after="120" w:line="360" w:lineRule="auto"/>
        <w:ind w:left="850" w:hanging="850"/>
        <w:rPr>
          <w:szCs w:val="24"/>
          <w:lang w:eastAsia="en-US"/>
        </w:rPr>
      </w:pPr>
      <w:r w:rsidRPr="00FF3D47">
        <w:rPr>
          <w:szCs w:val="24"/>
          <w:lang w:eastAsia="en-US"/>
        </w:rPr>
        <w:t>b)</w:t>
      </w:r>
      <w:r w:rsidRPr="00FF3D47">
        <w:rPr>
          <w:szCs w:val="24"/>
          <w:lang w:eastAsia="en-US"/>
        </w:rPr>
        <w:tab/>
        <w:t>uso del suolo attuale e pianificato;</w:t>
      </w:r>
    </w:p>
    <w:p w14:paraId="01191C8B" w14:textId="0912AE92" w:rsidR="00E365E1" w:rsidRPr="00E7440A" w:rsidRDefault="00FF3D47" w:rsidP="00E7440A">
      <w:pPr>
        <w:spacing w:before="120" w:after="120" w:line="360" w:lineRule="auto"/>
        <w:ind w:left="850" w:hanging="850"/>
        <w:rPr>
          <w:szCs w:val="24"/>
          <w:lang w:eastAsia="en-US"/>
        </w:rPr>
      </w:pPr>
      <w:r w:rsidRPr="00FF3D47">
        <w:rPr>
          <w:szCs w:val="24"/>
          <w:lang w:eastAsia="en-US"/>
        </w:rPr>
        <w:t>c)</w:t>
      </w:r>
      <w:r w:rsidRPr="00FF3D47">
        <w:rPr>
          <w:szCs w:val="24"/>
          <w:lang w:eastAsia="en-US"/>
        </w:rPr>
        <w:tab/>
        <w:t>risultati delle relazioni di analisi e bonifica del suolo, quali concentrazioni e perimetro della contaminazione, modello concettuale del sito, metodologia di valutazione del rischio, tecniche utilizzate o pianificate, efficacia e stime dei costi delle misure di riduzione del rischio.</w:t>
      </w:r>
    </w:p>
    <w:sectPr w:rsidR="00E365E1" w:rsidRPr="00E7440A">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AE2B6" w14:textId="77777777" w:rsidR="008D196E" w:rsidRPr="00467ED2" w:rsidRDefault="008D196E">
      <w:r w:rsidRPr="00467ED2">
        <w:separator/>
      </w:r>
    </w:p>
  </w:endnote>
  <w:endnote w:type="continuationSeparator" w:id="0">
    <w:p w14:paraId="6898EFDA" w14:textId="77777777" w:rsidR="008D196E" w:rsidRPr="00467ED2" w:rsidRDefault="008D196E">
      <w:r w:rsidRPr="00467E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B4D14" w14:textId="77777777" w:rsidR="008D196E" w:rsidRDefault="008D196E">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B10B8" w14:textId="7C3EFBFA" w:rsidR="008D196E" w:rsidRPr="00FF3D47" w:rsidRDefault="008D196E" w:rsidP="00FF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691D1" w14:textId="77777777" w:rsidR="008D196E" w:rsidRDefault="008D196E">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0480F" w14:textId="58B0F471" w:rsidR="008D196E" w:rsidRPr="00E8077D" w:rsidRDefault="008D196E" w:rsidP="00E807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38CBE" w14:textId="77777777" w:rsidR="008D196E" w:rsidRPr="00F12764" w:rsidRDefault="008D196E" w:rsidP="008D1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34E61A" w14:textId="77777777" w:rsidR="008D196E" w:rsidRPr="00467ED2" w:rsidRDefault="008D196E">
      <w:r w:rsidRPr="00467ED2">
        <w:separator/>
      </w:r>
    </w:p>
  </w:footnote>
  <w:footnote w:type="continuationSeparator" w:id="0">
    <w:p w14:paraId="4258FE9C" w14:textId="77777777" w:rsidR="008D196E" w:rsidRPr="00467ED2" w:rsidRDefault="008D196E">
      <w:r w:rsidRPr="00467ED2">
        <w:continuationSeparator/>
      </w:r>
    </w:p>
  </w:footnote>
  <w:footnote w:id="1">
    <w:p w14:paraId="1DF04A41" w14:textId="3E6A5303" w:rsidR="008D196E" w:rsidRPr="00B50018" w:rsidRDefault="008D196E" w:rsidP="00467ED2">
      <w:pPr>
        <w:pStyle w:val="FootnoteText"/>
        <w:ind w:left="567" w:hanging="567"/>
        <w:rPr>
          <w:sz w:val="24"/>
          <w:szCs w:val="24"/>
          <w:lang w:val="fi-FI"/>
        </w:rPr>
      </w:pPr>
      <w:r w:rsidRPr="00467ED2">
        <w:rPr>
          <w:rStyle w:val="FootnoteReference"/>
          <w:sz w:val="24"/>
          <w:szCs w:val="24"/>
          <w:lang w:val="it-IT"/>
        </w:rPr>
        <w:footnoteRef/>
      </w:r>
      <w:r w:rsidRPr="00B50018">
        <w:rPr>
          <w:sz w:val="24"/>
          <w:lang w:val="fi-FI"/>
        </w:rPr>
        <w:t xml:space="preserve"> </w:t>
      </w:r>
      <w:r w:rsidRPr="00B50018">
        <w:rPr>
          <w:sz w:val="24"/>
          <w:lang w:val="fi-FI"/>
        </w:rPr>
        <w:tab/>
        <w:t xml:space="preserve">GU C, C/2024/887, 6.2.2024, ELI: </w:t>
      </w:r>
      <w:hyperlink r:id="rId1" w:history="1">
        <w:r w:rsidRPr="00B50018">
          <w:rPr>
            <w:rStyle w:val="Hyperlink"/>
            <w:sz w:val="24"/>
            <w:lang w:val="fi-FI"/>
          </w:rPr>
          <w:t>http://data.europa.eu/eli/C/2024/887/oj</w:t>
        </w:r>
      </w:hyperlink>
      <w:r w:rsidRPr="00B50018">
        <w:rPr>
          <w:sz w:val="24"/>
          <w:lang w:val="fi-FI"/>
        </w:rPr>
        <w:t>.</w:t>
      </w:r>
    </w:p>
  </w:footnote>
  <w:footnote w:id="2">
    <w:p w14:paraId="07566947"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GU C </w:t>
      </w:r>
      <w:proofErr w:type="gramStart"/>
      <w:r w:rsidRPr="00FF3D47">
        <w:rPr>
          <w:lang w:val="it-IT"/>
        </w:rPr>
        <w:t>del ,</w:t>
      </w:r>
      <w:proofErr w:type="gramEnd"/>
      <w:r w:rsidRPr="00FF3D47">
        <w:rPr>
          <w:lang w:val="it-IT"/>
        </w:rPr>
        <w:t xml:space="preserve"> pag. .</w:t>
      </w:r>
    </w:p>
  </w:footnote>
  <w:footnote w:id="3">
    <w:p w14:paraId="191182CA"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GU C </w:t>
      </w:r>
      <w:proofErr w:type="gramStart"/>
      <w:r w:rsidRPr="00FF3D47">
        <w:rPr>
          <w:lang w:val="it-IT"/>
        </w:rPr>
        <w:t>del ,</w:t>
      </w:r>
      <w:proofErr w:type="gramEnd"/>
      <w:r w:rsidRPr="00FF3D47">
        <w:rPr>
          <w:lang w:val="it-IT"/>
        </w:rPr>
        <w:t xml:space="preserve"> pag. .</w:t>
      </w:r>
    </w:p>
  </w:footnote>
  <w:footnote w:id="4">
    <w:p w14:paraId="4FD3497C"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Comunicazione della Commissione al Parlamento europeo, al Consiglio europeo, al Consiglio, al Comitato economico e sociale europeo e al Comitato delle regioni, "Il Green Deal europeo" </w:t>
      </w:r>
      <w:proofErr w:type="gramStart"/>
      <w:r w:rsidRPr="00FF3D47">
        <w:rPr>
          <w:lang w:val="it-IT"/>
        </w:rPr>
        <w:t>COM(</w:t>
      </w:r>
      <w:proofErr w:type="gramEnd"/>
      <w:r w:rsidRPr="00FF3D47">
        <w:rPr>
          <w:lang w:val="it-IT"/>
        </w:rPr>
        <w:t xml:space="preserve">2019) 640 </w:t>
      </w:r>
      <w:proofErr w:type="spellStart"/>
      <w:r w:rsidRPr="00FF3D47">
        <w:rPr>
          <w:lang w:val="it-IT"/>
        </w:rPr>
        <w:t>final</w:t>
      </w:r>
      <w:proofErr w:type="spellEnd"/>
      <w:r w:rsidRPr="00FF3D47">
        <w:rPr>
          <w:lang w:val="it-IT"/>
        </w:rPr>
        <w:t>.</w:t>
      </w:r>
    </w:p>
  </w:footnote>
  <w:footnote w:id="5">
    <w:p w14:paraId="77B70C89"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Comunicazione della Commissione al Parlamento europeo, al Consiglio, al Comitato economico e sociale europeo e al Comitato delle regioni, "Strategia dell'UE sulla biodiversità per il 2030 - Riportare la natura nella nostra vita" </w:t>
      </w:r>
      <w:proofErr w:type="gramStart"/>
      <w:r w:rsidRPr="00FF3D47">
        <w:rPr>
          <w:lang w:val="it-IT"/>
        </w:rPr>
        <w:t>COM(</w:t>
      </w:r>
      <w:proofErr w:type="gramEnd"/>
      <w:r w:rsidRPr="00FF3D47">
        <w:rPr>
          <w:lang w:val="it-IT"/>
        </w:rPr>
        <w:t xml:space="preserve">2020) 380 </w:t>
      </w:r>
      <w:proofErr w:type="spellStart"/>
      <w:r w:rsidRPr="00FF3D47">
        <w:rPr>
          <w:lang w:val="it-IT"/>
        </w:rPr>
        <w:t>final</w:t>
      </w:r>
      <w:proofErr w:type="spellEnd"/>
      <w:r w:rsidRPr="00FF3D47">
        <w:rPr>
          <w:lang w:val="it-IT"/>
        </w:rPr>
        <w:t>.</w:t>
      </w:r>
    </w:p>
  </w:footnote>
  <w:footnote w:id="6">
    <w:p w14:paraId="4468D297"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Comunicazione della Commissione al Parlamento europeo, al Consiglio, al Comitato economico e sociale europeo e al Comitato delle regioni, "Una strategia "Dal produttore al consumatore" per un sistema alimentare equo, sano e rispettoso dell'ambiente" </w:t>
      </w:r>
      <w:proofErr w:type="gramStart"/>
      <w:r w:rsidRPr="00FF3D47">
        <w:rPr>
          <w:lang w:val="it-IT"/>
        </w:rPr>
        <w:t>COM(</w:t>
      </w:r>
      <w:proofErr w:type="gramEnd"/>
      <w:r w:rsidRPr="00FF3D47">
        <w:rPr>
          <w:lang w:val="it-IT"/>
        </w:rPr>
        <w:t xml:space="preserve">2020) 381 </w:t>
      </w:r>
      <w:proofErr w:type="spellStart"/>
      <w:r w:rsidRPr="00FF3D47">
        <w:rPr>
          <w:lang w:val="it-IT"/>
        </w:rPr>
        <w:t>final</w:t>
      </w:r>
      <w:proofErr w:type="spellEnd"/>
      <w:r w:rsidRPr="00FF3D47">
        <w:rPr>
          <w:lang w:val="it-IT"/>
        </w:rPr>
        <w:t>.</w:t>
      </w:r>
    </w:p>
  </w:footnote>
  <w:footnote w:id="7">
    <w:p w14:paraId="0463B736"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Comunicazione della Commissione al Parlamento europeo, al Consiglio, al Comitato economico e sociale europeo e al Comitato delle regioni, "Un percorso verso un pianeta più sano per tutti – Piano d'azione dell'UE: "Verso l'inquinamento zero per l'aria, l'acqua e il suolo", </w:t>
      </w:r>
      <w:proofErr w:type="gramStart"/>
      <w:r w:rsidRPr="00FF3D47">
        <w:rPr>
          <w:lang w:val="it-IT"/>
        </w:rPr>
        <w:t>COM(</w:t>
      </w:r>
      <w:proofErr w:type="gramEnd"/>
      <w:r w:rsidRPr="00FF3D47">
        <w:rPr>
          <w:lang w:val="it-IT"/>
        </w:rPr>
        <w:t xml:space="preserve">2021) 400 </w:t>
      </w:r>
      <w:proofErr w:type="spellStart"/>
      <w:r w:rsidRPr="00FF3D47">
        <w:rPr>
          <w:lang w:val="it-IT"/>
        </w:rPr>
        <w:t>final</w:t>
      </w:r>
      <w:proofErr w:type="spellEnd"/>
      <w:r w:rsidRPr="00FF3D47">
        <w:rPr>
          <w:lang w:val="it-IT"/>
        </w:rPr>
        <w:t>.</w:t>
      </w:r>
    </w:p>
  </w:footnote>
  <w:footnote w:id="8">
    <w:p w14:paraId="0078499E"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Comunicazione della Commissione al Parlamento europeo, al Consiglio, al Comitato economico e sociale europeo e al Comitato delle regioni, "Plasmare un'Europa resiliente ai cambiamenti climatici – La nuova strategia dell'UE di adattamento ai cambiamenti climatici", </w:t>
      </w:r>
      <w:proofErr w:type="gramStart"/>
      <w:r w:rsidRPr="00FF3D47">
        <w:rPr>
          <w:lang w:val="it-IT"/>
        </w:rPr>
        <w:t>COM(</w:t>
      </w:r>
      <w:proofErr w:type="gramEnd"/>
      <w:r w:rsidRPr="00FF3D47">
        <w:rPr>
          <w:lang w:val="it-IT"/>
        </w:rPr>
        <w:t xml:space="preserve">2021) 82 </w:t>
      </w:r>
      <w:proofErr w:type="spellStart"/>
      <w:r w:rsidRPr="00FF3D47">
        <w:rPr>
          <w:lang w:val="it-IT"/>
        </w:rPr>
        <w:t>final</w:t>
      </w:r>
      <w:proofErr w:type="spellEnd"/>
      <w:r w:rsidRPr="00FF3D47">
        <w:rPr>
          <w:lang w:val="it-IT"/>
        </w:rPr>
        <w:t>.</w:t>
      </w:r>
    </w:p>
  </w:footnote>
  <w:footnote w:id="9">
    <w:p w14:paraId="21ACF250"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Comunicazione della Commissione al Parlamento europeo, al Consiglio, al Comitato economico e sociale europeo e al Comitato delle regioni, "Strategia dell'UE per il suolo per il 2030 - Suoli sani a vantaggio delle persone, degli alimenti, della natura e del clima", COM (2021) 699 </w:t>
      </w:r>
      <w:proofErr w:type="spellStart"/>
      <w:r w:rsidRPr="00FF3D47">
        <w:rPr>
          <w:lang w:val="it-IT"/>
        </w:rPr>
        <w:t>final</w:t>
      </w:r>
      <w:proofErr w:type="spellEnd"/>
      <w:r w:rsidRPr="00FF3D47">
        <w:rPr>
          <w:lang w:val="it-IT"/>
        </w:rPr>
        <w:t>.</w:t>
      </w:r>
    </w:p>
  </w:footnote>
  <w:footnote w:id="10">
    <w:p w14:paraId="02D8BE95" w14:textId="77777777" w:rsidR="008D196E" w:rsidRPr="00FF3D47" w:rsidRDefault="008D196E" w:rsidP="00FF3D47">
      <w:pPr>
        <w:pStyle w:val="FootnoteTextForceStyle"/>
        <w:rPr>
          <w:lang w:val="it-IT"/>
        </w:rPr>
      </w:pPr>
      <w:r>
        <w:rPr>
          <w:vertAlign w:val="superscript"/>
        </w:rPr>
        <w:footnoteRef/>
      </w:r>
      <w:r w:rsidRPr="00FF3D47">
        <w:rPr>
          <w:lang w:val="it-IT"/>
        </w:rPr>
        <w:tab/>
        <w:t>https://sdgs.un.org/goals</w:t>
      </w:r>
    </w:p>
  </w:footnote>
  <w:footnote w:id="11">
    <w:p w14:paraId="50141F1A" w14:textId="77777777" w:rsidR="008D196E" w:rsidRPr="00FF3D47" w:rsidRDefault="008D196E" w:rsidP="00FF3D47">
      <w:pPr>
        <w:pStyle w:val="FootnoteTextForceStyle"/>
        <w:rPr>
          <w:lang w:val="it-IT"/>
        </w:rPr>
      </w:pPr>
      <w:r>
        <w:rPr>
          <w:vertAlign w:val="superscript"/>
        </w:rPr>
        <w:footnoteRef/>
      </w:r>
      <w:r w:rsidRPr="00FF3D47">
        <w:rPr>
          <w:lang w:val="it-IT"/>
        </w:rPr>
        <w:tab/>
        <w:t>Decisione 93/626/CEE del Consiglio, del 25 ottobre 1993, relativa alla conclusione della convenzione sulla diversità biologica (GU L 309 del 13.12.1993, pag. 1).</w:t>
      </w:r>
    </w:p>
  </w:footnote>
  <w:footnote w:id="12">
    <w:p w14:paraId="2EF9F6C9" w14:textId="77777777" w:rsidR="008D196E" w:rsidRPr="00FF3D47" w:rsidRDefault="008D196E" w:rsidP="00FF3D47">
      <w:pPr>
        <w:pStyle w:val="FootnoteTextForceStyle"/>
        <w:rPr>
          <w:lang w:val="it-IT"/>
        </w:rPr>
      </w:pPr>
      <w:r>
        <w:rPr>
          <w:vertAlign w:val="superscript"/>
        </w:rPr>
        <w:footnoteRef/>
      </w:r>
      <w:r w:rsidRPr="00FF3D47">
        <w:rPr>
          <w:lang w:val="it-IT"/>
        </w:rPr>
        <w:tab/>
        <w:t>Decisione adottata dalla conferenza delle parti della convenzione sulla diversità biologica il 19 dicembre 2022, 15/4. Quadro globale per la biodiversità di Kunming-Montreal.</w:t>
      </w:r>
    </w:p>
  </w:footnote>
  <w:footnote w:id="13">
    <w:p w14:paraId="467D5702" w14:textId="77777777" w:rsidR="008D196E" w:rsidRPr="00FF3D47" w:rsidRDefault="008D196E" w:rsidP="00FF3D47">
      <w:pPr>
        <w:pStyle w:val="FootnoteTextForceStyle"/>
        <w:rPr>
          <w:lang w:val="it-IT"/>
        </w:rPr>
      </w:pPr>
      <w:r>
        <w:rPr>
          <w:vertAlign w:val="superscript"/>
        </w:rPr>
        <w:footnoteRef/>
      </w:r>
      <w:r w:rsidRPr="00FF3D47">
        <w:rPr>
          <w:lang w:val="it-IT"/>
        </w:rPr>
        <w:tab/>
        <w:t>Decisione 98/216/CE del Consiglio, del 9 marzo 1998, relativa alla conclusione, in nome della Comunità europea, della convenzione delle Nazioni Unite sulla lotta contro la desertificazione nei paesi gravemente colpiti dalla siccità e/o dalla desertificazione, in particolare in Africa (GU L 83 del 19.3.1998, pag. 1).</w:t>
      </w:r>
    </w:p>
  </w:footnote>
  <w:footnote w:id="14">
    <w:p w14:paraId="517FC756" w14:textId="77777777" w:rsidR="008D196E" w:rsidRPr="00FF3D47" w:rsidRDefault="008D196E" w:rsidP="00FF3D47">
      <w:pPr>
        <w:pStyle w:val="FootnoteTextForceStyle"/>
        <w:rPr>
          <w:lang w:val="it-IT"/>
        </w:rPr>
      </w:pPr>
      <w:r>
        <w:rPr>
          <w:vertAlign w:val="superscript"/>
        </w:rPr>
        <w:footnoteRef/>
      </w:r>
      <w:r w:rsidRPr="00FF3D47">
        <w:rPr>
          <w:lang w:val="it-IT"/>
        </w:rPr>
        <w:tab/>
        <w:t>Bulgaria, Cipro, Croazia, Grecia, Italia, Lettonia, Malta, Portogallo, Romania, Slovacchia, Slovenia, Spagna e Ungheria.</w:t>
      </w:r>
    </w:p>
  </w:footnote>
  <w:footnote w:id="15">
    <w:p w14:paraId="2E0EFF64" w14:textId="77777777" w:rsidR="008D196E" w:rsidRPr="00FF3D47" w:rsidRDefault="008D196E" w:rsidP="00FF3D47">
      <w:pPr>
        <w:pStyle w:val="FootnoteTextForceStyle"/>
        <w:rPr>
          <w:lang w:val="it-IT"/>
        </w:rPr>
      </w:pPr>
      <w:r>
        <w:rPr>
          <w:vertAlign w:val="superscript"/>
        </w:rPr>
        <w:footnoteRef/>
      </w:r>
      <w:r w:rsidRPr="00FF3D47">
        <w:rPr>
          <w:lang w:val="it-IT"/>
        </w:rPr>
        <w:tab/>
        <w:t>Risoluzione del Parlamento europeo del 28 aprile 2021 sulla protezione del suolo (2021/2548(RSP)).</w:t>
      </w:r>
    </w:p>
  </w:footnote>
  <w:footnote w:id="16">
    <w:p w14:paraId="10686E4E" w14:textId="77777777" w:rsidR="008D196E" w:rsidRPr="00FF3D47" w:rsidRDefault="008D196E" w:rsidP="00FF3D47">
      <w:pPr>
        <w:pStyle w:val="FootnoteTextForceStyle"/>
        <w:rPr>
          <w:lang w:val="it-IT"/>
        </w:rPr>
      </w:pPr>
      <w:r>
        <w:rPr>
          <w:vertAlign w:val="superscript"/>
        </w:rPr>
        <w:footnoteRef/>
      </w:r>
      <w:r w:rsidRPr="00FF3D47">
        <w:rPr>
          <w:lang w:val="it-IT"/>
        </w:rPr>
        <w:tab/>
        <w:t>Conclusioni del Consiglio: Biodiversità - Perché non possiamo più indugiare, 12210/20.</w:t>
      </w:r>
    </w:p>
  </w:footnote>
  <w:footnote w:id="17">
    <w:p w14:paraId="115C6B0C" w14:textId="77777777" w:rsidR="008D196E" w:rsidRPr="00FF3D47" w:rsidRDefault="008D196E" w:rsidP="00FF3D47">
      <w:pPr>
        <w:pStyle w:val="FootnoteTextForceStyle"/>
        <w:rPr>
          <w:lang w:val="it-IT"/>
        </w:rPr>
      </w:pPr>
      <w:r>
        <w:rPr>
          <w:vertAlign w:val="superscript"/>
        </w:rPr>
        <w:footnoteRef/>
      </w:r>
      <w:r w:rsidRPr="00FF3D47">
        <w:rPr>
          <w:lang w:val="it-IT"/>
        </w:rPr>
        <w:tab/>
        <w:t>Regolamento (UE) 2021/1119 del Parlamento europeo e del Consiglio, del 30 giugno 2021, che istituisce il quadro per il conseguimento della neutralità climatica e che modifica il regolamento (CE) n. 401/2009 e il regolamento (UE) 2018/1999 ("Normativa europea sul clima") (GU L 243 del 9.7.2021, pag. 1).</w:t>
      </w:r>
    </w:p>
  </w:footnote>
  <w:footnote w:id="18">
    <w:p w14:paraId="2183747E"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Comunicazione della Commissione al Parlamento europeo e al Consiglio, "Cicli del carbonio sostenibili", </w:t>
      </w:r>
      <w:proofErr w:type="gramStart"/>
      <w:r w:rsidRPr="00FF3D47">
        <w:rPr>
          <w:lang w:val="it-IT"/>
        </w:rPr>
        <w:t>COM(</w:t>
      </w:r>
      <w:proofErr w:type="gramEnd"/>
      <w:r w:rsidRPr="00FF3D47">
        <w:rPr>
          <w:lang w:val="it-IT"/>
        </w:rPr>
        <w:t xml:space="preserve">2021) 800 </w:t>
      </w:r>
      <w:proofErr w:type="spellStart"/>
      <w:r w:rsidRPr="00FF3D47">
        <w:rPr>
          <w:lang w:val="it-IT"/>
        </w:rPr>
        <w:t>final</w:t>
      </w:r>
      <w:proofErr w:type="spellEnd"/>
      <w:r w:rsidRPr="00FF3D47">
        <w:rPr>
          <w:lang w:val="it-IT"/>
        </w:rPr>
        <w:t>.</w:t>
      </w:r>
    </w:p>
  </w:footnote>
  <w:footnote w:id="19">
    <w:p w14:paraId="4B18C40A"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Comunicazione della Commissione al Parlamento europeo, al Consiglio, al Comitato economico e sociale europeo e al Comitato delle regioni, "Plasmare un'Europa resiliente ai cambiamenti climatici – La nuova strategia dell'UE di adattamento ai cambiamenti climatici", </w:t>
      </w:r>
      <w:proofErr w:type="gramStart"/>
      <w:r w:rsidRPr="00FF3D47">
        <w:rPr>
          <w:lang w:val="it-IT"/>
        </w:rPr>
        <w:t>COM(</w:t>
      </w:r>
      <w:proofErr w:type="gramEnd"/>
      <w:r w:rsidRPr="00FF3D47">
        <w:rPr>
          <w:lang w:val="it-IT"/>
        </w:rPr>
        <w:t xml:space="preserve">2021) 82 </w:t>
      </w:r>
      <w:proofErr w:type="spellStart"/>
      <w:r w:rsidRPr="00FF3D47">
        <w:rPr>
          <w:lang w:val="it-IT"/>
        </w:rPr>
        <w:t>final</w:t>
      </w:r>
      <w:proofErr w:type="spellEnd"/>
      <w:r w:rsidRPr="00FF3D47">
        <w:rPr>
          <w:lang w:val="it-IT"/>
        </w:rPr>
        <w:t>.</w:t>
      </w:r>
    </w:p>
  </w:footnote>
  <w:footnote w:id="20">
    <w:p w14:paraId="10258B4D"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Comunicazione della Commissione al Parlamento europeo, al Consiglio europeo, al Consiglio, al Comitato economico e sociale europeo e al Comitato delle regioni - Proteggere la sicurezza alimentare e rafforzare la resilienza dei sistemi alimentari, </w:t>
      </w:r>
      <w:proofErr w:type="gramStart"/>
      <w:r w:rsidRPr="00FF3D47">
        <w:rPr>
          <w:lang w:val="it-IT"/>
        </w:rPr>
        <w:t>COM(</w:t>
      </w:r>
      <w:proofErr w:type="gramEnd"/>
      <w:r w:rsidRPr="00FF3D47">
        <w:rPr>
          <w:lang w:val="it-IT"/>
        </w:rPr>
        <w:t xml:space="preserve">2022) 133 </w:t>
      </w:r>
      <w:proofErr w:type="spellStart"/>
      <w:r w:rsidRPr="00FF3D47">
        <w:rPr>
          <w:lang w:val="it-IT"/>
        </w:rPr>
        <w:t>final</w:t>
      </w:r>
      <w:proofErr w:type="spellEnd"/>
      <w:r w:rsidRPr="00FF3D47">
        <w:rPr>
          <w:lang w:val="it-IT"/>
        </w:rPr>
        <w:t>.</w:t>
      </w:r>
    </w:p>
  </w:footnote>
  <w:footnote w:id="21">
    <w:p w14:paraId="0B5DD062" w14:textId="77777777" w:rsidR="008D196E" w:rsidRPr="00FF3D47" w:rsidRDefault="008D196E" w:rsidP="00FF3D47">
      <w:pPr>
        <w:pStyle w:val="FootnoteTextForceStyle"/>
        <w:rPr>
          <w:lang w:val="it-IT"/>
        </w:rPr>
      </w:pPr>
      <w:r>
        <w:rPr>
          <w:vertAlign w:val="superscript"/>
        </w:rPr>
        <w:footnoteRef/>
      </w:r>
      <w:r w:rsidRPr="00FF3D47">
        <w:rPr>
          <w:lang w:val="it-IT"/>
        </w:rPr>
        <w:tab/>
      </w:r>
      <w:r w:rsidRPr="00FF3D47">
        <w:rPr>
          <w:strike/>
          <w:lang w:val="it-IT"/>
        </w:rPr>
        <w:t xml:space="preserve">+OP: inserire nel testo il numero del regolamento relativo alla certificazione per gli assorbimenti di carbonio di cui al documento </w:t>
      </w:r>
      <w:proofErr w:type="gramStart"/>
      <w:r w:rsidRPr="00FF3D47">
        <w:rPr>
          <w:strike/>
          <w:lang w:val="it-IT"/>
        </w:rPr>
        <w:t>COM(</w:t>
      </w:r>
      <w:proofErr w:type="gramEnd"/>
      <w:r w:rsidRPr="00FF3D47">
        <w:rPr>
          <w:strike/>
          <w:lang w:val="it-IT"/>
        </w:rPr>
        <w:t xml:space="preserve">2022) 672 </w:t>
      </w:r>
      <w:proofErr w:type="spellStart"/>
      <w:r w:rsidRPr="00FF3D47">
        <w:rPr>
          <w:strike/>
          <w:lang w:val="it-IT"/>
        </w:rPr>
        <w:t>final</w:t>
      </w:r>
      <w:proofErr w:type="spellEnd"/>
      <w:r w:rsidRPr="00FF3D47">
        <w:rPr>
          <w:strike/>
          <w:lang w:val="it-IT"/>
        </w:rPr>
        <w:t xml:space="preserve"> e mettere in nota numero, data, titolo e riferimento GU.</w:t>
      </w:r>
    </w:p>
  </w:footnote>
  <w:footnote w:id="22">
    <w:p w14:paraId="290FF70D" w14:textId="77777777" w:rsidR="008D196E" w:rsidRPr="00FF3D47" w:rsidRDefault="008D196E" w:rsidP="00FF3D47">
      <w:pPr>
        <w:pStyle w:val="FootnoteTextForceStyle"/>
        <w:rPr>
          <w:lang w:val="it-IT"/>
        </w:rPr>
      </w:pPr>
      <w:r>
        <w:rPr>
          <w:vertAlign w:val="superscript"/>
        </w:rPr>
        <w:footnoteRef/>
      </w:r>
      <w:r w:rsidRPr="00FF3D47">
        <w:rPr>
          <w:lang w:val="it-IT"/>
        </w:rPr>
        <w:tab/>
        <w:t>Regolamento (CE) n. 1059/2003 del Parlamento europeo e del Consiglio, del 26 maggio 2003, relativo all'istituzione di una classificazione comune delle unità territoriali per la statistica (NUTS) (GU L 154 del 21.6.2003, pag. 1).</w:t>
      </w:r>
    </w:p>
  </w:footnote>
  <w:footnote w:id="23">
    <w:p w14:paraId="64857115" w14:textId="77777777" w:rsidR="008D196E" w:rsidRPr="00FF3D47" w:rsidRDefault="008D196E" w:rsidP="00FF3D47">
      <w:pPr>
        <w:pStyle w:val="FootnoteTextForceStyle"/>
        <w:rPr>
          <w:lang w:val="it-IT"/>
        </w:rPr>
      </w:pPr>
      <w:r w:rsidRPr="00295DAB">
        <w:rPr>
          <w:strike/>
          <w:vertAlign w:val="superscript"/>
        </w:rPr>
        <w:footnoteRef/>
      </w:r>
      <w:r w:rsidRPr="00FF3D47">
        <w:rPr>
          <w:lang w:val="it-IT"/>
        </w:rPr>
        <w:tab/>
      </w:r>
      <w:r w:rsidRPr="00FF3D47">
        <w:rPr>
          <w:strike/>
          <w:lang w:val="it-IT"/>
        </w:rPr>
        <w:t>Direttiva (UE) 2018/2001 del Parlamento europeo e del Consiglio, dell'11 dicembre 2018, sulla promozione dell'uso dell'energia da fonti rinnovabili (rifusione) (GU L 328 del 21.12.2018, pag. 82).</w:t>
      </w:r>
    </w:p>
  </w:footnote>
  <w:footnote w:id="24">
    <w:p w14:paraId="6E5017C8"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Comunicazione della Commissione al Parlamento europeo, al Consiglio, al Comitato economico e sociale europeo e al Comitato delle regioni, "Una strategia europea per i dati", </w:t>
      </w:r>
      <w:proofErr w:type="gramStart"/>
      <w:r w:rsidRPr="00FF3D47">
        <w:rPr>
          <w:lang w:val="it-IT"/>
        </w:rPr>
        <w:t>COM(</w:t>
      </w:r>
      <w:proofErr w:type="gramEnd"/>
      <w:r w:rsidRPr="00FF3D47">
        <w:rPr>
          <w:lang w:val="it-IT"/>
        </w:rPr>
        <w:t xml:space="preserve">2020) 66 </w:t>
      </w:r>
      <w:proofErr w:type="spellStart"/>
      <w:r w:rsidRPr="00FF3D47">
        <w:rPr>
          <w:lang w:val="it-IT"/>
        </w:rPr>
        <w:t>final</w:t>
      </w:r>
      <w:proofErr w:type="spellEnd"/>
      <w:r w:rsidRPr="00FF3D47">
        <w:rPr>
          <w:lang w:val="it-IT"/>
        </w:rPr>
        <w:t>.</w:t>
      </w:r>
    </w:p>
  </w:footnote>
  <w:footnote w:id="25">
    <w:p w14:paraId="11AD35BE" w14:textId="77777777" w:rsidR="008D196E" w:rsidRPr="00FF3D47" w:rsidRDefault="008D196E" w:rsidP="00FF3D47">
      <w:pPr>
        <w:pStyle w:val="FootnoteTextForceStyle"/>
        <w:rPr>
          <w:lang w:val="it-IT"/>
        </w:rPr>
      </w:pPr>
      <w:r>
        <w:rPr>
          <w:vertAlign w:val="superscript"/>
        </w:rPr>
        <w:footnoteRef/>
      </w:r>
      <w:r w:rsidRPr="00FF3D47">
        <w:rPr>
          <w:lang w:val="it-IT"/>
        </w:rPr>
        <w:tab/>
        <w:t>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 (GU L 435 del 6.12.2021, pag. 1).</w:t>
      </w:r>
    </w:p>
  </w:footnote>
  <w:footnote w:id="26">
    <w:p w14:paraId="3CF364A8"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OP: inserire nel testo il numero del regolamento sul ripristino della natura di cui al documento </w:t>
      </w:r>
      <w:proofErr w:type="gramStart"/>
      <w:r w:rsidRPr="00FF3D47">
        <w:rPr>
          <w:lang w:val="it-IT"/>
        </w:rPr>
        <w:t>COM(</w:t>
      </w:r>
      <w:proofErr w:type="gramEnd"/>
      <w:r w:rsidRPr="00FF3D47">
        <w:rPr>
          <w:lang w:val="it-IT"/>
        </w:rPr>
        <w:t>2022) 304 e mettere in nota numero, data, titolo e riferimento GU.</w:t>
      </w:r>
    </w:p>
  </w:footnote>
  <w:footnote w:id="27">
    <w:p w14:paraId="6069686E" w14:textId="77777777" w:rsidR="008D196E" w:rsidRPr="00FF3D47" w:rsidRDefault="008D196E" w:rsidP="00FF3D47">
      <w:pPr>
        <w:pStyle w:val="FootnoteTextForceStyle"/>
        <w:rPr>
          <w:lang w:val="it-IT"/>
        </w:rPr>
      </w:pPr>
      <w:r>
        <w:rPr>
          <w:vertAlign w:val="superscript"/>
        </w:rPr>
        <w:footnoteRef/>
      </w:r>
      <w:r w:rsidRPr="00FF3D47">
        <w:rPr>
          <w:lang w:val="it-IT"/>
        </w:rPr>
        <w:tab/>
        <w:t>Direttiva 91/676/CEE del Consiglio, del 12 dicembre 1991, relativa alla protezione delle acque dall'inquinamento provocato dai nitrati provenienti da fonti agricole (GU L 375 del 31.12.1991, pag. 1).</w:t>
      </w:r>
    </w:p>
  </w:footnote>
  <w:footnote w:id="28">
    <w:p w14:paraId="46D83747"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Direttiva 92/43/CEE del Consiglio, del 21 maggio 1992, relativa alla conservazione degli habitat naturali e </w:t>
      </w:r>
      <w:proofErr w:type="spellStart"/>
      <w:r w:rsidRPr="00FF3D47">
        <w:rPr>
          <w:lang w:val="it-IT"/>
        </w:rPr>
        <w:t>seminaturali</w:t>
      </w:r>
      <w:proofErr w:type="spellEnd"/>
      <w:r w:rsidRPr="00FF3D47">
        <w:rPr>
          <w:lang w:val="it-IT"/>
        </w:rPr>
        <w:t xml:space="preserve"> e della flora e della fauna selvatiche (GU L 206 del 22.7.1992, pag. 7).</w:t>
      </w:r>
    </w:p>
  </w:footnote>
  <w:footnote w:id="29">
    <w:p w14:paraId="6FCD672C" w14:textId="77777777" w:rsidR="008D196E" w:rsidRPr="00FF3D47" w:rsidRDefault="008D196E" w:rsidP="00FF3D47">
      <w:pPr>
        <w:pStyle w:val="FootnoteTextForceStyle"/>
        <w:rPr>
          <w:lang w:val="it-IT"/>
        </w:rPr>
      </w:pPr>
      <w:r>
        <w:rPr>
          <w:vertAlign w:val="superscript"/>
        </w:rPr>
        <w:footnoteRef/>
      </w:r>
      <w:r w:rsidRPr="00FF3D47">
        <w:rPr>
          <w:lang w:val="it-IT"/>
        </w:rPr>
        <w:tab/>
        <w:t>Direttiva 2000/60/CE del Parlamento europeo e del Consiglio, del 23 ottobre 2000, che istituisce un quadro per l'azione comunitaria in materia di acque (GU L 327 del 22.12.2000, pag. 1).</w:t>
      </w:r>
    </w:p>
  </w:footnote>
  <w:footnote w:id="30">
    <w:p w14:paraId="35FBEEA8" w14:textId="77777777" w:rsidR="008D196E" w:rsidRPr="00FF3D47" w:rsidRDefault="008D196E" w:rsidP="00FF3D47">
      <w:pPr>
        <w:pStyle w:val="FootnoteTextForceStyle"/>
        <w:rPr>
          <w:lang w:val="it-IT"/>
        </w:rPr>
      </w:pPr>
      <w:r>
        <w:rPr>
          <w:vertAlign w:val="superscript"/>
        </w:rPr>
        <w:footnoteRef/>
      </w:r>
      <w:r w:rsidRPr="00FF3D47">
        <w:rPr>
          <w:lang w:val="it-IT"/>
        </w:rPr>
        <w:tab/>
        <w:t>Direttiva 2007/60/CE del Parlamento europeo e del Consiglio, del 23 ottobre 2007, relativa alla valutazione e alla gestione dei rischi di alluvioni (GU L 288 del 6.11.2007, pag. 27);</w:t>
      </w:r>
    </w:p>
  </w:footnote>
  <w:footnote w:id="31">
    <w:p w14:paraId="1CFF7D9F"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Comunicazione della Commissione al Parlamento europeo, al Consiglio, al Comitato economico e sociale europeo e al Comitato delle regioni, "Plasmare un'Europa resiliente ai cambiamenti climatici – La nuova strategia dell'UE di adattamento ai cambiamenti climatici", </w:t>
      </w:r>
      <w:proofErr w:type="gramStart"/>
      <w:r w:rsidRPr="00FF3D47">
        <w:rPr>
          <w:lang w:val="it-IT"/>
        </w:rPr>
        <w:t>COM(</w:t>
      </w:r>
      <w:proofErr w:type="gramEnd"/>
      <w:r w:rsidRPr="00FF3D47">
        <w:rPr>
          <w:lang w:val="it-IT"/>
        </w:rPr>
        <w:t xml:space="preserve">2021) 82 </w:t>
      </w:r>
      <w:proofErr w:type="spellStart"/>
      <w:r w:rsidRPr="00FF3D47">
        <w:rPr>
          <w:lang w:val="it-IT"/>
        </w:rPr>
        <w:t>final</w:t>
      </w:r>
      <w:proofErr w:type="spellEnd"/>
      <w:r w:rsidRPr="00FF3D47">
        <w:rPr>
          <w:lang w:val="it-IT"/>
        </w:rPr>
        <w:t>.</w:t>
      </w:r>
    </w:p>
  </w:footnote>
  <w:footnote w:id="32">
    <w:p w14:paraId="10830765" w14:textId="77777777" w:rsidR="008D196E" w:rsidRPr="00FF3D47" w:rsidRDefault="008D196E" w:rsidP="00FF3D47">
      <w:pPr>
        <w:pStyle w:val="FootnoteTextForceStyle"/>
        <w:rPr>
          <w:lang w:val="it-IT"/>
        </w:rPr>
      </w:pPr>
      <w:r>
        <w:rPr>
          <w:vertAlign w:val="superscript"/>
        </w:rPr>
        <w:footnoteRef/>
      </w:r>
      <w:r w:rsidRPr="00FF3D47">
        <w:rPr>
          <w:lang w:val="it-IT"/>
        </w:rPr>
        <w:tab/>
        <w:t>Regolamento (UE) 2018/841 del Parlamento europeo e del Consiglio, del 30 maggio 2018, relativo all'inclusione delle emissioni e degli assorbimenti di gas a effetto serra risultanti dall'uso del suolo, dal cambiamento di uso del suolo e dalla silvicoltura nel quadro 2030 per il clima e l'energia e recante modifica del regolamento (UE) n. 525/2013 e della decisione n. 529/2013/UE (GU L 156 del 19.6.2018, pag. 1).</w:t>
      </w:r>
    </w:p>
  </w:footnote>
  <w:footnote w:id="33">
    <w:p w14:paraId="0DBF5DE0" w14:textId="77777777" w:rsidR="008D196E" w:rsidRPr="00FF3D47" w:rsidRDefault="008D196E" w:rsidP="00FF3D47">
      <w:pPr>
        <w:pStyle w:val="FootnoteTextForceStyle"/>
        <w:rPr>
          <w:lang w:val="it-IT"/>
        </w:rPr>
      </w:pPr>
      <w:r>
        <w:rPr>
          <w:vertAlign w:val="superscript"/>
        </w:rPr>
        <w:footnoteRef/>
      </w:r>
      <w:r w:rsidRPr="00FF3D47">
        <w:rPr>
          <w:lang w:val="it-IT"/>
        </w:rPr>
        <w:tab/>
        <w:t>Regolamento (UE) 2018/842 del Parlamento europeo e del Consiglio, del 30 maggio 2018, relativo alle riduzioni annuali vincolanti delle emissioni di gas a effetto serra a carico degli Stati membri nel periodo 2021-2030 come contributo all'azione per il clima per onorare gli impegni assunti a norma dell'accordo di Parigi e recante modifica del regolamento (UE) n. 525/2013 (GU L 156 del 19.6.2018, pag. 26).</w:t>
      </w:r>
    </w:p>
  </w:footnote>
  <w:footnote w:id="34">
    <w:p w14:paraId="018105FD"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Regolamento (UE) 2018/1999 del Parlamento europeo e del Consiglio, dell'11 dicembre 2018, sulla </w:t>
      </w:r>
      <w:proofErr w:type="spellStart"/>
      <w:r w:rsidRPr="00FF3D47">
        <w:rPr>
          <w:lang w:val="it-IT"/>
        </w:rPr>
        <w:t>governance</w:t>
      </w:r>
      <w:proofErr w:type="spellEnd"/>
      <w:r w:rsidRPr="00FF3D47">
        <w:rPr>
          <w:lang w:val="it-IT"/>
        </w:rPr>
        <w:t xml:space="preserve"> dell'Unione dell'energia e dell'azione per il clima che modifica i regolamenti (CE) n. 663/2009 e (CE) n. 715/2009 del Parlamento europeo e del Consiglio, le direttive 94/22/CE, 98/70/CE, 2009/31/CE, 2009/73/CE, 2010/31/UE, 2012/27/UE e 2013/30/UE del Parlamento europeo e del Consiglio, le direttive del Consiglio 2009/119/CE e (UE) 2015/652 e che abroga il regolamento (UE) n. 525/2013 del Parlamento europeo e del Consiglio (GU L 328 del 21.12.2018, pag. 1).</w:t>
      </w:r>
    </w:p>
  </w:footnote>
  <w:footnote w:id="35">
    <w:p w14:paraId="4DCF6372" w14:textId="77777777" w:rsidR="008D196E" w:rsidRPr="00FF3D47" w:rsidRDefault="008D196E" w:rsidP="00FF3D47">
      <w:pPr>
        <w:pStyle w:val="FootnoteTextForceStyle"/>
        <w:rPr>
          <w:lang w:val="it-IT"/>
        </w:rPr>
      </w:pPr>
      <w:r>
        <w:rPr>
          <w:vertAlign w:val="superscript"/>
        </w:rPr>
        <w:footnoteRef/>
      </w:r>
      <w:r w:rsidRPr="00FF3D47">
        <w:rPr>
          <w:lang w:val="it-IT"/>
        </w:rPr>
        <w:tab/>
        <w:t>Direttiva (UE) 2016/2284 del Parlamento europeo e del Consiglio, del 14 dicembre 2016, concernente la riduzione delle emissioni nazionali di determinati inquinanti atmosferici, che modifica la direttiva 2003/35/CE e abroga la direttiva 2001/81/CE (GU L 344 del 17.12.2016, pag. 1).</w:t>
      </w:r>
    </w:p>
  </w:footnote>
  <w:footnote w:id="36">
    <w:p w14:paraId="2826F085"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Decisione n. 1313/2013/UE del Parlamento europeo e del Consiglio, del 17 dicembre 2013, su un meccanismo </w:t>
      </w:r>
      <w:proofErr w:type="spellStart"/>
      <w:r w:rsidRPr="00FF3D47">
        <w:rPr>
          <w:lang w:val="it-IT"/>
        </w:rPr>
        <w:t>unionale</w:t>
      </w:r>
      <w:proofErr w:type="spellEnd"/>
      <w:r w:rsidRPr="00FF3D47">
        <w:rPr>
          <w:lang w:val="it-IT"/>
        </w:rPr>
        <w:t xml:space="preserve"> di protezione civile (GU L 347 del 20.12.2013, pag. 924).</w:t>
      </w:r>
    </w:p>
  </w:footnote>
  <w:footnote w:id="37">
    <w:p w14:paraId="78E5F707" w14:textId="77777777" w:rsidR="008D196E" w:rsidRPr="00FF3D47" w:rsidRDefault="008D196E" w:rsidP="00FF3D47">
      <w:pPr>
        <w:pStyle w:val="FootnoteTextForceStyle"/>
        <w:rPr>
          <w:lang w:val="it-IT"/>
        </w:rPr>
      </w:pPr>
      <w:r w:rsidRPr="000C1731">
        <w:rPr>
          <w:strike/>
          <w:vertAlign w:val="superscript"/>
        </w:rPr>
        <w:footnoteRef/>
      </w:r>
      <w:r w:rsidRPr="00FF3D47">
        <w:rPr>
          <w:lang w:val="it-IT"/>
        </w:rPr>
        <w:tab/>
      </w:r>
      <w:r w:rsidRPr="00FF3D47">
        <w:rPr>
          <w:strike/>
          <w:lang w:val="it-IT"/>
        </w:rPr>
        <w:t xml:space="preserve">+ OP: inserire nel testo il numero del regolamento sull'uso sostenibile dei prodotti fitosanitari e recante modifica del regolamento (UE) 2021/2115 di cui al documento </w:t>
      </w:r>
      <w:proofErr w:type="gramStart"/>
      <w:r w:rsidRPr="00FF3D47">
        <w:rPr>
          <w:strike/>
          <w:lang w:val="it-IT"/>
        </w:rPr>
        <w:t>COM(</w:t>
      </w:r>
      <w:proofErr w:type="gramEnd"/>
      <w:r w:rsidRPr="00FF3D47">
        <w:rPr>
          <w:strike/>
          <w:lang w:val="it-IT"/>
        </w:rPr>
        <w:t>2022) 305 e mettere in nota numero, data, titolo e riferimento GU.</w:t>
      </w:r>
    </w:p>
  </w:footnote>
  <w:footnote w:id="38">
    <w:p w14:paraId="2942CA25" w14:textId="77777777" w:rsidR="008D196E" w:rsidRPr="00FF3D47" w:rsidRDefault="008D196E" w:rsidP="00FF3D47">
      <w:pPr>
        <w:pStyle w:val="FootnoteTextForceStyle"/>
        <w:rPr>
          <w:lang w:val="it-IT"/>
        </w:rPr>
      </w:pPr>
      <w:r>
        <w:rPr>
          <w:vertAlign w:val="superscript"/>
        </w:rPr>
        <w:footnoteRef/>
      </w:r>
      <w:r w:rsidRPr="00FF3D47">
        <w:rPr>
          <w:lang w:val="it-IT"/>
        </w:rPr>
        <w:tab/>
        <w:t>Regolamento (UE) 2022/2379 relativo alle statistiche sugli input e sugli output agricoli.</w:t>
      </w:r>
    </w:p>
  </w:footnote>
  <w:footnote w:id="39">
    <w:p w14:paraId="0251B800" w14:textId="77777777" w:rsidR="008D196E" w:rsidRPr="00FF3D47" w:rsidRDefault="008D196E" w:rsidP="00FF3D47">
      <w:pPr>
        <w:pStyle w:val="FootnoteTextForceStyle"/>
        <w:rPr>
          <w:lang w:val="it-IT"/>
        </w:rPr>
      </w:pPr>
      <w:r>
        <w:rPr>
          <w:vertAlign w:val="superscript"/>
        </w:rPr>
        <w:footnoteRef/>
      </w:r>
      <w:r w:rsidRPr="00FF3D47">
        <w:rPr>
          <w:lang w:val="it-IT"/>
        </w:rPr>
        <w:tab/>
        <w:t>Direttiva 2010/75/UE del Parlamento europeo e del Consiglio, del 24 novembre 2010, relativa alle emissioni industriali (GU L 334 del 17.12.2010, pag. 17).</w:t>
      </w:r>
    </w:p>
  </w:footnote>
  <w:footnote w:id="40">
    <w:p w14:paraId="140C8137"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 OP: inserire nel testo il numero del regolamento che istituisce un quadro atto a garantire un approvvigionamento sicuro e sostenibile di materie prime critiche e che modifica i regolamenti (UE) n. 168/2013, (UE) 2018/858, (UE) 2018/1724 e (UE) 2019/1020 di cui al documento </w:t>
      </w:r>
      <w:proofErr w:type="gramStart"/>
      <w:r w:rsidRPr="00FF3D47">
        <w:rPr>
          <w:lang w:val="it-IT"/>
        </w:rPr>
        <w:t>COM(</w:t>
      </w:r>
      <w:proofErr w:type="gramEnd"/>
      <w:r w:rsidRPr="00FF3D47">
        <w:rPr>
          <w:lang w:val="it-IT"/>
        </w:rPr>
        <w:t>2023) 160 e mettere in nota numero, data, titolo e riferimento GU.</w:t>
      </w:r>
    </w:p>
  </w:footnote>
  <w:footnote w:id="41">
    <w:p w14:paraId="3EC5CAB6" w14:textId="77777777" w:rsidR="008D196E" w:rsidRPr="00FF3D47" w:rsidRDefault="008D196E" w:rsidP="00FF3D47">
      <w:pPr>
        <w:pStyle w:val="FootnoteTextForceStyle"/>
        <w:rPr>
          <w:lang w:val="it-IT"/>
        </w:rPr>
      </w:pPr>
      <w:r>
        <w:rPr>
          <w:vertAlign w:val="superscript"/>
        </w:rPr>
        <w:footnoteRef/>
      </w:r>
      <w:r w:rsidRPr="00FF3D47">
        <w:rPr>
          <w:lang w:val="it-IT"/>
        </w:rPr>
        <w:tab/>
        <w:t>Convenzione sull'accesso alle informazioni, la partecipazione del pubblico ai processi decisionali e l'accesso alla giustizia in materia ambientale (GU L 124 del 17.5.2005, pag. 4).</w:t>
      </w:r>
    </w:p>
  </w:footnote>
  <w:footnote w:id="42">
    <w:p w14:paraId="44FE8DA5" w14:textId="77777777" w:rsidR="008D196E" w:rsidRPr="00FF3D47" w:rsidRDefault="008D196E" w:rsidP="00FF3D47">
      <w:pPr>
        <w:pStyle w:val="FootnoteTextForceStyle"/>
        <w:rPr>
          <w:lang w:val="it-IT"/>
        </w:rPr>
      </w:pPr>
      <w:r>
        <w:rPr>
          <w:vertAlign w:val="superscript"/>
        </w:rPr>
        <w:footnoteRef/>
      </w:r>
      <w:r w:rsidRPr="00FF3D47">
        <w:rPr>
          <w:lang w:val="it-IT"/>
        </w:rPr>
        <w:tab/>
        <w:t>Direttiva (UE) 2019/1024 del Parlamento europeo e del Consiglio, del 20 giugno 2019, relativa all'apertura dei dati e al riutilizzo dell'informazione del settore pubblico (GU L 172 del 26.6.2019, pag. 56).</w:t>
      </w:r>
    </w:p>
  </w:footnote>
  <w:footnote w:id="43">
    <w:p w14:paraId="748CD17F" w14:textId="77777777" w:rsidR="008D196E" w:rsidRPr="00FF3D47" w:rsidRDefault="008D196E" w:rsidP="00FF3D47">
      <w:pPr>
        <w:pStyle w:val="FootnoteTextForceStyle"/>
        <w:rPr>
          <w:lang w:val="it-IT"/>
        </w:rPr>
      </w:pPr>
      <w:r>
        <w:rPr>
          <w:vertAlign w:val="superscript"/>
        </w:rPr>
        <w:footnoteRef/>
      </w:r>
      <w:r w:rsidRPr="00FF3D47">
        <w:rPr>
          <w:lang w:val="it-IT"/>
        </w:rPr>
        <w:tab/>
        <w:t>Direttiva 2003/4/CE del Parlamento europeo e del Consiglio, del 28 gennaio 2003, sull'accesso del pubblico all'informazione ambientale e che abroga la direttiva 90/313/CEE del Consiglio (GU L 41 del 14.2.2003, pag. 26).</w:t>
      </w:r>
    </w:p>
  </w:footnote>
  <w:footnote w:id="44">
    <w:p w14:paraId="594DFE2E" w14:textId="77777777" w:rsidR="008D196E" w:rsidRPr="00FF3D47" w:rsidRDefault="008D196E" w:rsidP="00FF3D47">
      <w:pPr>
        <w:pStyle w:val="FootnoteTextForceStyle"/>
        <w:rPr>
          <w:lang w:val="it-IT"/>
        </w:rPr>
      </w:pPr>
      <w:r>
        <w:rPr>
          <w:vertAlign w:val="superscript"/>
        </w:rPr>
        <w:footnoteRef/>
      </w:r>
      <w:r w:rsidRPr="00FF3D47">
        <w:rPr>
          <w:lang w:val="it-IT"/>
        </w:rPr>
        <w:tab/>
        <w:t>Direttiva 2007/2/CE del Parlamento europeo e del Consiglio, del 14 marzo 2007, che istituisce un'Infrastruttura per l'informazione territoriale nella Comunità europea (</w:t>
      </w:r>
      <w:proofErr w:type="spellStart"/>
      <w:r w:rsidRPr="00FF3D47">
        <w:rPr>
          <w:lang w:val="it-IT"/>
        </w:rPr>
        <w:t>Inspire</w:t>
      </w:r>
      <w:proofErr w:type="spellEnd"/>
      <w:r w:rsidRPr="00FF3D47">
        <w:rPr>
          <w:lang w:val="it-IT"/>
        </w:rPr>
        <w:t>) (GU L 108 del 25.4.2007, pag. 1).</w:t>
      </w:r>
    </w:p>
  </w:footnote>
  <w:footnote w:id="45">
    <w:p w14:paraId="201D0D18"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Accordo </w:t>
      </w:r>
      <w:proofErr w:type="spellStart"/>
      <w:r w:rsidRPr="00FF3D47">
        <w:rPr>
          <w:lang w:val="it-IT"/>
        </w:rPr>
        <w:t>interistituzionale</w:t>
      </w:r>
      <w:proofErr w:type="spellEnd"/>
      <w:r w:rsidRPr="00FF3D47">
        <w:rPr>
          <w:lang w:val="it-IT"/>
        </w:rPr>
        <w:t xml:space="preserve"> "Legiferare meglio" tra il Parlamento europeo, il Consiglio dell'Unione europea e la Commissione europea, del 13 aprile 2016 (GU L 123 del 12.5.2016, pag. 1).</w:t>
      </w:r>
    </w:p>
  </w:footnote>
  <w:footnote w:id="46">
    <w:p w14:paraId="158C1827" w14:textId="77777777" w:rsidR="008D196E" w:rsidRPr="00FF3D47" w:rsidRDefault="008D196E" w:rsidP="00FF3D47">
      <w:pPr>
        <w:pStyle w:val="FootnoteTextForceStyle"/>
        <w:rPr>
          <w:lang w:val="it-IT"/>
        </w:rPr>
      </w:pPr>
      <w:r>
        <w:rPr>
          <w:vertAlign w:val="superscript"/>
        </w:rPr>
        <w:footnoteRef/>
      </w:r>
      <w:r w:rsidRPr="00FF3D47">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47">
    <w:p w14:paraId="3A87601E" w14:textId="77777777" w:rsidR="008D196E" w:rsidRPr="00FF3D47" w:rsidRDefault="008D196E" w:rsidP="00FF3D47">
      <w:pPr>
        <w:pStyle w:val="FootnoteTextForceStyle"/>
        <w:rPr>
          <w:lang w:val="it-IT"/>
        </w:rPr>
      </w:pPr>
      <w:r>
        <w:rPr>
          <w:vertAlign w:val="superscript"/>
        </w:rPr>
        <w:footnoteRef/>
      </w:r>
      <w:r w:rsidRPr="00FF3D47">
        <w:rPr>
          <w:lang w:val="it-IT"/>
        </w:rPr>
        <w:tab/>
        <w:t>GU C 369 del 17.12.2011, pag. 14.</w:t>
      </w:r>
    </w:p>
  </w:footnote>
  <w:footnote w:id="48">
    <w:p w14:paraId="767F3177" w14:textId="77777777" w:rsidR="008D196E" w:rsidRPr="00FF3D47" w:rsidRDefault="008D196E" w:rsidP="00FF3D47">
      <w:pPr>
        <w:pStyle w:val="FootnoteTextForceStyle"/>
        <w:rPr>
          <w:lang w:val="it-IT"/>
        </w:rPr>
      </w:pPr>
      <w:r>
        <w:rPr>
          <w:vertAlign w:val="superscript"/>
        </w:rPr>
        <w:footnoteRef/>
      </w:r>
      <w:r w:rsidRPr="00FF3D47">
        <w:rPr>
          <w:lang w:val="it-IT"/>
        </w:rPr>
        <w:tab/>
        <w:t>https://www.fao.org/soils-portal/data-hub/soil-classification/world-reference-base/en/</w:t>
      </w:r>
    </w:p>
  </w:footnote>
  <w:footnote w:id="49">
    <w:p w14:paraId="0899A8E1"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M.J. </w:t>
      </w:r>
      <w:proofErr w:type="spellStart"/>
      <w:r w:rsidRPr="00FF3D47">
        <w:rPr>
          <w:lang w:val="it-IT"/>
        </w:rPr>
        <w:t>Metzger</w:t>
      </w:r>
      <w:proofErr w:type="spellEnd"/>
      <w:r w:rsidRPr="00FF3D47">
        <w:rPr>
          <w:lang w:val="it-IT"/>
        </w:rPr>
        <w:t xml:space="preserve">, A.D. </w:t>
      </w:r>
      <w:proofErr w:type="spellStart"/>
      <w:r w:rsidRPr="00FF3D47">
        <w:rPr>
          <w:lang w:val="it-IT"/>
        </w:rPr>
        <w:t>Shkaruba</w:t>
      </w:r>
      <w:proofErr w:type="spellEnd"/>
      <w:r w:rsidRPr="00FF3D47">
        <w:rPr>
          <w:lang w:val="it-IT"/>
        </w:rPr>
        <w:t xml:space="preserve">, R.H.G. </w:t>
      </w:r>
      <w:proofErr w:type="spellStart"/>
      <w:r w:rsidRPr="00FF3D47">
        <w:rPr>
          <w:lang w:val="it-IT"/>
        </w:rPr>
        <w:t>Jongman</w:t>
      </w:r>
      <w:proofErr w:type="spellEnd"/>
      <w:r w:rsidRPr="00FF3D47">
        <w:rPr>
          <w:lang w:val="it-IT"/>
        </w:rPr>
        <w:t xml:space="preserve"> e R.G.H. </w:t>
      </w:r>
      <w:proofErr w:type="spellStart"/>
      <w:r w:rsidRPr="00FF3D47">
        <w:rPr>
          <w:lang w:val="it-IT"/>
        </w:rPr>
        <w:t>Bunce</w:t>
      </w:r>
      <w:proofErr w:type="spellEnd"/>
      <w:r w:rsidRPr="00FF3D47">
        <w:rPr>
          <w:lang w:val="it-IT"/>
        </w:rPr>
        <w:t>, "</w:t>
      </w:r>
      <w:proofErr w:type="spellStart"/>
      <w:r w:rsidRPr="00FF3D47">
        <w:rPr>
          <w:lang w:val="it-IT"/>
        </w:rPr>
        <w:t>Descriptions</w:t>
      </w:r>
      <w:proofErr w:type="spellEnd"/>
      <w:r w:rsidRPr="00FF3D47">
        <w:rPr>
          <w:lang w:val="it-IT"/>
        </w:rPr>
        <w:t xml:space="preserve"> of the </w:t>
      </w:r>
      <w:proofErr w:type="spellStart"/>
      <w:r w:rsidRPr="00FF3D47">
        <w:rPr>
          <w:lang w:val="it-IT"/>
        </w:rPr>
        <w:t>European</w:t>
      </w:r>
      <w:proofErr w:type="spellEnd"/>
      <w:r w:rsidRPr="00FF3D47">
        <w:rPr>
          <w:lang w:val="it-IT"/>
        </w:rPr>
        <w:t xml:space="preserve"> </w:t>
      </w:r>
      <w:proofErr w:type="spellStart"/>
      <w:r w:rsidRPr="00FF3D47">
        <w:rPr>
          <w:lang w:val="it-IT"/>
        </w:rPr>
        <w:t>Environmental</w:t>
      </w:r>
      <w:proofErr w:type="spellEnd"/>
      <w:r w:rsidRPr="00FF3D47">
        <w:rPr>
          <w:lang w:val="it-IT"/>
        </w:rPr>
        <w:t xml:space="preserve"> </w:t>
      </w:r>
      <w:proofErr w:type="spellStart"/>
      <w:r w:rsidRPr="00FF3D47">
        <w:rPr>
          <w:lang w:val="it-IT"/>
        </w:rPr>
        <w:t>Zones</w:t>
      </w:r>
      <w:proofErr w:type="spellEnd"/>
      <w:r w:rsidRPr="00FF3D47">
        <w:rPr>
          <w:lang w:val="it-IT"/>
        </w:rPr>
        <w:t xml:space="preserve"> and Strata", </w:t>
      </w:r>
      <w:proofErr w:type="spellStart"/>
      <w:r w:rsidRPr="00FF3D47">
        <w:rPr>
          <w:lang w:val="it-IT"/>
        </w:rPr>
        <w:t>Alterra</w:t>
      </w:r>
      <w:proofErr w:type="spellEnd"/>
      <w:r w:rsidRPr="00FF3D47">
        <w:rPr>
          <w:lang w:val="it-IT"/>
        </w:rPr>
        <w:t xml:space="preserve"> Report 2281, ISSN 1566-7197.</w:t>
      </w:r>
    </w:p>
  </w:footnote>
  <w:footnote w:id="50">
    <w:p w14:paraId="09F082F4" w14:textId="77777777" w:rsidR="008D196E" w:rsidRPr="00FF3D47" w:rsidRDefault="008D196E" w:rsidP="00FF3D47">
      <w:pPr>
        <w:pStyle w:val="FootnoteTextForceStyle"/>
        <w:rPr>
          <w:lang w:val="it-IT"/>
        </w:rPr>
      </w:pPr>
      <w:r>
        <w:rPr>
          <w:vertAlign w:val="superscript"/>
        </w:rPr>
        <w:footnoteRef/>
      </w:r>
      <w:r w:rsidRPr="00FF3D47">
        <w:rPr>
          <w:lang w:val="it-IT"/>
        </w:rPr>
        <w:tab/>
      </w:r>
      <w:r w:rsidRPr="00FF3D47">
        <w:rPr>
          <w:b/>
          <w:i/>
          <w:lang w:val="it-IT"/>
        </w:rPr>
        <w:t xml:space="preserve">Regolamento (CE) n. 223/2009 del Parlamento europeo e del Consiglio, dell'11 marzo 2009, relativo alle statistiche europee e che abroga il regolamento (CE, </w:t>
      </w:r>
      <w:proofErr w:type="spellStart"/>
      <w:r w:rsidRPr="00FF3D47">
        <w:rPr>
          <w:b/>
          <w:i/>
          <w:lang w:val="it-IT"/>
        </w:rPr>
        <w:t>Euratom</w:t>
      </w:r>
      <w:proofErr w:type="spellEnd"/>
      <w:r w:rsidRPr="00FF3D47">
        <w:rPr>
          <w:b/>
          <w:i/>
          <w:lang w:val="it-IT"/>
        </w:rPr>
        <w:t xml:space="preserve">) n. 1101/2008 del Parlamento europeo e del Consiglio, relativo alla trasmissione all'Istituto statistico delle Comunità europee di dati statistici protetti dal segreto, il regolamento (CE) n. 322/97 del Consiglio, relativo alle statistiche comunitarie, e la decisione 89/382/CEE, </w:t>
      </w:r>
      <w:proofErr w:type="spellStart"/>
      <w:r w:rsidRPr="00FF3D47">
        <w:rPr>
          <w:b/>
          <w:i/>
          <w:lang w:val="it-IT"/>
        </w:rPr>
        <w:t>Euratom</w:t>
      </w:r>
      <w:proofErr w:type="spellEnd"/>
      <w:r w:rsidRPr="00FF3D47">
        <w:rPr>
          <w:b/>
          <w:i/>
          <w:lang w:val="it-IT"/>
        </w:rPr>
        <w:t xml:space="preserve"> del Consiglio, che istituisce un comitato del programma statistico delle Comunità europee (GU L 087 del 31.3.2009, pag. 164).</w:t>
      </w:r>
    </w:p>
  </w:footnote>
  <w:footnote w:id="51">
    <w:p w14:paraId="6ADC7B7E" w14:textId="77777777" w:rsidR="008D196E" w:rsidRPr="00FF3D47" w:rsidRDefault="008D196E" w:rsidP="00FF3D47">
      <w:pPr>
        <w:pStyle w:val="FootnoteTextForceStyle"/>
        <w:rPr>
          <w:lang w:val="it-IT"/>
        </w:rPr>
      </w:pPr>
      <w:r>
        <w:rPr>
          <w:vertAlign w:val="superscript"/>
        </w:rPr>
        <w:footnoteRef/>
      </w:r>
      <w:r w:rsidRPr="00FF3D47">
        <w:rPr>
          <w:lang w:val="it-IT"/>
        </w:rPr>
        <w:tab/>
        <w:t>Direttiva 2012/18/UE del Parlamento europeo e del Consiglio, del 4 luglio 2012, sul controllo del pericolo di incidenti rilevanti connessi con sostanze pericolose, recante modifica e successiva abrogazione della direttiva 96/82/CE del Consiglio (GU L 197 del 24.7.2012, pag. 1).</w:t>
      </w:r>
    </w:p>
  </w:footnote>
  <w:footnote w:id="52">
    <w:p w14:paraId="277A7B19" w14:textId="77777777" w:rsidR="008D196E" w:rsidRPr="00FF3D47" w:rsidRDefault="008D196E" w:rsidP="00FF3D47">
      <w:pPr>
        <w:pStyle w:val="FootnoteTextForceStyle"/>
        <w:rPr>
          <w:lang w:val="it-IT"/>
        </w:rPr>
      </w:pPr>
      <w:r w:rsidRPr="000A2560">
        <w:rPr>
          <w:strike/>
          <w:vertAlign w:val="superscript"/>
        </w:rPr>
        <w:footnoteRef/>
      </w:r>
      <w:r w:rsidRPr="000A2560">
        <w:rPr>
          <w:strike/>
          <w:lang w:val="it-IT"/>
        </w:rPr>
        <w:tab/>
        <w:t xml:space="preserve">Direttiva 2004/35/CE del Parlamento europeo e del Consiglio, del 21 aprile 2004, </w:t>
      </w:r>
      <w:r w:rsidRPr="00FF3D47">
        <w:rPr>
          <w:strike/>
          <w:lang w:val="it-IT"/>
        </w:rPr>
        <w:t>sulla responsabilità ambientale in materia di prevenzione e riparazione del danno ambientale (GU L 143 del 30.4.2004, pag. 56).</w:t>
      </w:r>
    </w:p>
  </w:footnote>
  <w:footnote w:id="53">
    <w:p w14:paraId="20D13E55" w14:textId="77777777" w:rsidR="008D196E" w:rsidRPr="00FF3D47" w:rsidRDefault="008D196E" w:rsidP="00FF3D47">
      <w:pPr>
        <w:pStyle w:val="FootnoteTextForceStyle"/>
        <w:rPr>
          <w:lang w:val="it-IT"/>
        </w:rPr>
      </w:pPr>
      <w:r>
        <w:rPr>
          <w:vertAlign w:val="superscript"/>
        </w:rPr>
        <w:footnoteRef/>
      </w:r>
      <w:r w:rsidRPr="00FF3D47">
        <w:rPr>
          <w:lang w:val="it-IT"/>
        </w:rPr>
        <w:tab/>
        <w:t>Direttiva 2003/4/CE del Parlamento europeo e del Consiglio, del 28 gennaio 2003, sull'accesso del pubblico all'informazione ambientale e che abroga la direttiva 90/313/CEE del Consiglio (GU L 41 del 14.2.2003, pag. 26).</w:t>
      </w:r>
    </w:p>
  </w:footnote>
  <w:footnote w:id="54">
    <w:p w14:paraId="16510AF6" w14:textId="77777777" w:rsidR="008D196E" w:rsidRPr="00FF3D47" w:rsidRDefault="008D196E" w:rsidP="00FF3D47">
      <w:pPr>
        <w:pStyle w:val="FootnoteTextForceStyle"/>
        <w:rPr>
          <w:lang w:val="it-IT"/>
        </w:rPr>
      </w:pPr>
      <w:r>
        <w:rPr>
          <w:vertAlign w:val="superscript"/>
        </w:rPr>
        <w:footnoteRef/>
      </w:r>
      <w:r w:rsidRPr="00FF3D47">
        <w:rPr>
          <w:lang w:val="it-IT"/>
        </w:rPr>
        <w:tab/>
        <w:t>Direttiva 2007/2/CE del Parlamento europeo e del Consiglio, del 14 marzo 2007, che istituisce un'Infrastruttura per l'informazione territoriale nella Comunità europea (</w:t>
      </w:r>
      <w:proofErr w:type="spellStart"/>
      <w:r w:rsidRPr="00FF3D47">
        <w:rPr>
          <w:lang w:val="it-IT"/>
        </w:rPr>
        <w:t>Inspire</w:t>
      </w:r>
      <w:proofErr w:type="spellEnd"/>
      <w:r w:rsidRPr="00FF3D47">
        <w:rPr>
          <w:lang w:val="it-IT"/>
        </w:rPr>
        <w:t>) (GU L 108 del 25.4.2007, pag. 1).</w:t>
      </w:r>
    </w:p>
  </w:footnote>
  <w:footnote w:id="55">
    <w:p w14:paraId="3E1E4F2B" w14:textId="77777777" w:rsidR="008D196E" w:rsidRPr="00FF3D47" w:rsidRDefault="008D196E" w:rsidP="00FF3D47">
      <w:pPr>
        <w:pStyle w:val="FootnoteTextForceStyle"/>
        <w:rPr>
          <w:lang w:val="it-IT"/>
        </w:rPr>
      </w:pPr>
      <w:r>
        <w:rPr>
          <w:vertAlign w:val="superscript"/>
        </w:rPr>
        <w:footnoteRef/>
      </w:r>
      <w:r w:rsidRPr="00FF3D47">
        <w:rPr>
          <w:lang w:val="it-IT"/>
        </w:rPr>
        <w:tab/>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footnote>
  <w:footnote w:id="56">
    <w:p w14:paraId="2BCFE942" w14:textId="77777777" w:rsidR="008D196E" w:rsidRPr="00FF3D47" w:rsidRDefault="008D196E" w:rsidP="00FF3D47">
      <w:pPr>
        <w:pStyle w:val="FootnoteTextForceStyle"/>
        <w:rPr>
          <w:lang w:val="it-IT"/>
        </w:rPr>
      </w:pPr>
      <w:r>
        <w:rPr>
          <w:vertAlign w:val="superscript"/>
        </w:rPr>
        <w:footnoteRef/>
      </w:r>
      <w:r w:rsidRPr="00FF3D47">
        <w:rPr>
          <w:lang w:val="it-IT"/>
        </w:rPr>
        <w:tab/>
        <w:t xml:space="preserve">Regolamento (CE) n. 1367/2006 del Parlamento europeo e del Consiglio, del 6 settembre 2006, sull'applicazione alle istituzioni e agli organi dell'Unione delle disposizioni della convenzione di </w:t>
      </w:r>
      <w:proofErr w:type="spellStart"/>
      <w:r w:rsidRPr="00FF3D47">
        <w:rPr>
          <w:lang w:val="it-IT"/>
        </w:rPr>
        <w:t>Aarhus</w:t>
      </w:r>
      <w:proofErr w:type="spellEnd"/>
      <w:r w:rsidRPr="00FF3D47">
        <w:rPr>
          <w:lang w:val="it-IT"/>
        </w:rPr>
        <w:t xml:space="preserve"> sull'accesso alle informazioni, la partecipazione del pubblico ai processi decisionali e l'accesso alla giustizia in materia ambientale (GU L 264 del 25.9.2006, pag. 13).</w:t>
      </w:r>
    </w:p>
  </w:footnote>
  <w:footnote w:id="57">
    <w:p w14:paraId="62344B23" w14:textId="77777777" w:rsidR="008D196E" w:rsidRPr="00FF3D47" w:rsidRDefault="008D196E" w:rsidP="00FF3D47">
      <w:pPr>
        <w:pStyle w:val="FootnoteTextForceStyle"/>
        <w:rPr>
          <w:lang w:val="it-IT"/>
        </w:rPr>
      </w:pPr>
      <w:r>
        <w:rPr>
          <w:vertAlign w:val="superscript"/>
        </w:rPr>
        <w:footnoteRef/>
      </w:r>
      <w:r w:rsidRPr="00FF3D47">
        <w:rPr>
          <w:lang w:val="it-IT"/>
        </w:rPr>
        <w:tab/>
        <w:t>Direttiva (UE) 2019/1024 del Parlamento europeo e del Consiglio, del 20 giugno 2019, relativa all'apertura dei dati e al riutilizzo dell'informazione del settore pubblico (GU L 172 del 26.6.2019, pag. 56).</w:t>
      </w:r>
    </w:p>
  </w:footnote>
  <w:footnote w:id="58">
    <w:p w14:paraId="11120E41" w14:textId="77777777" w:rsidR="008D196E" w:rsidRPr="00E8077D" w:rsidRDefault="008D196E" w:rsidP="008D196E">
      <w:pPr>
        <w:pStyle w:val="FootnoteText"/>
        <w:rPr>
          <w:strike/>
          <w:lang w:val="it-IT"/>
        </w:rPr>
      </w:pPr>
      <w:r w:rsidRPr="00E8077D">
        <w:rPr>
          <w:rStyle w:val="FootnoteReference"/>
          <w:strike/>
          <w:lang w:val="it-IT"/>
        </w:rPr>
        <w:t>+</w:t>
      </w:r>
      <w:r w:rsidRPr="00E8077D">
        <w:rPr>
          <w:strike/>
          <w:lang w:val="it-IT"/>
        </w:rPr>
        <w:tab/>
        <w:t xml:space="preserve">OP: inserire nel testo il numero del regolamento sul ripristino della natura di cui al documento </w:t>
      </w:r>
      <w:proofErr w:type="gramStart"/>
      <w:r w:rsidRPr="00E8077D">
        <w:rPr>
          <w:strike/>
          <w:lang w:val="it-IT"/>
        </w:rPr>
        <w:t>COM(</w:t>
      </w:r>
      <w:proofErr w:type="gramEnd"/>
      <w:r w:rsidRPr="00E8077D">
        <w:rPr>
          <w:strike/>
          <w:lang w:val="it-IT"/>
        </w:rPr>
        <w:t xml:space="preserve">2022) 304. </w:t>
      </w:r>
    </w:p>
  </w:footnote>
  <w:footnote w:id="59">
    <w:p w14:paraId="7CB99A7E" w14:textId="77777777" w:rsidR="008D196E" w:rsidRPr="00E8077D" w:rsidRDefault="008D196E" w:rsidP="008D196E">
      <w:pPr>
        <w:pStyle w:val="FootnoteText"/>
        <w:rPr>
          <w:strike/>
          <w:lang w:val="en-IE"/>
        </w:rPr>
      </w:pPr>
      <w:r w:rsidRPr="00E8077D">
        <w:rPr>
          <w:rStyle w:val="FootnoteReference"/>
          <w:strike/>
        </w:rPr>
        <w:footnoteRef/>
      </w:r>
      <w:r w:rsidRPr="00E8077D">
        <w:rPr>
          <w:strike/>
          <w:lang w:val="en-IE"/>
        </w:rPr>
        <w:tab/>
      </w:r>
      <w:proofErr w:type="spellStart"/>
      <w:r w:rsidRPr="00E8077D">
        <w:rPr>
          <w:strike/>
          <w:lang w:val="en-IE"/>
        </w:rPr>
        <w:t>Definito</w:t>
      </w:r>
      <w:proofErr w:type="spellEnd"/>
      <w:r w:rsidRPr="00E8077D">
        <w:rPr>
          <w:strike/>
          <w:lang w:val="en-IE"/>
        </w:rPr>
        <w:t xml:space="preserve"> in FAO </w:t>
      </w:r>
      <w:r w:rsidRPr="00E8077D">
        <w:rPr>
          <w:i/>
          <w:iCs/>
          <w:strike/>
          <w:lang w:val="en-IE"/>
        </w:rPr>
        <w:t>Guidelines for Soil Description</w:t>
      </w:r>
      <w:r w:rsidRPr="00E8077D">
        <w:rPr>
          <w:strike/>
          <w:lang w:val="en-IE"/>
        </w:rPr>
        <w:t xml:space="preserve">, </w:t>
      </w:r>
      <w:proofErr w:type="spellStart"/>
      <w:r w:rsidRPr="00E8077D">
        <w:rPr>
          <w:strike/>
          <w:lang w:val="en-IE"/>
        </w:rPr>
        <w:t>capitolo</w:t>
      </w:r>
      <w:proofErr w:type="spellEnd"/>
      <w:r w:rsidRPr="00E8077D">
        <w:rPr>
          <w:strike/>
          <w:lang w:val="en-IE"/>
        </w:rPr>
        <w:t xml:space="preserve"> 5</w:t>
      </w:r>
      <w:r w:rsidRPr="00E8077D">
        <w:rPr>
          <w:strike/>
          <w:lang w:val="en-IE"/>
        </w:rPr>
        <w:tab/>
        <w:t xml:space="preserve"> (</w:t>
      </w:r>
      <w:hyperlink r:id="rId2" w:history="1">
        <w:r w:rsidRPr="00E8077D">
          <w:rPr>
            <w:rStyle w:val="Hyperlink"/>
            <w:strike/>
            <w:lang w:val="en-IE"/>
          </w:rPr>
          <w:t>https://www.fao.org/3/a0541e/a0541e.pdf</w:t>
        </w:r>
      </w:hyperlink>
      <w:r w:rsidRPr="00E8077D">
        <w:rPr>
          <w:strike/>
          <w:lang w:val="en-IE"/>
        </w:rPr>
        <w:t>).</w:t>
      </w:r>
    </w:p>
  </w:footnote>
  <w:footnote w:id="60">
    <w:p w14:paraId="7768CD87" w14:textId="77777777" w:rsidR="008D196E" w:rsidRPr="008D196E" w:rsidRDefault="008D196E" w:rsidP="008D196E">
      <w:pPr>
        <w:pStyle w:val="FootnoteText"/>
        <w:rPr>
          <w:lang w:val="it-IT"/>
        </w:rPr>
      </w:pPr>
      <w:r w:rsidRPr="00E8077D">
        <w:rPr>
          <w:rStyle w:val="FootnoteReference"/>
          <w:strike/>
        </w:rPr>
        <w:footnoteRef/>
      </w:r>
      <w:r w:rsidRPr="00E8077D">
        <w:rPr>
          <w:strike/>
          <w:lang w:val="en-IE"/>
        </w:rPr>
        <w:tab/>
      </w:r>
      <w:proofErr w:type="spellStart"/>
      <w:r w:rsidRPr="00E8077D">
        <w:rPr>
          <w:strike/>
          <w:lang w:val="en-IE"/>
        </w:rPr>
        <w:t>Definito</w:t>
      </w:r>
      <w:proofErr w:type="spellEnd"/>
      <w:r w:rsidRPr="00E8077D">
        <w:rPr>
          <w:strike/>
          <w:lang w:val="en-IE"/>
        </w:rPr>
        <w:t xml:space="preserve"> in Arshad, M.A., B. </w:t>
      </w:r>
      <w:proofErr w:type="spellStart"/>
      <w:r w:rsidRPr="00E8077D">
        <w:rPr>
          <w:strike/>
          <w:lang w:val="en-IE"/>
        </w:rPr>
        <w:t>Lowery</w:t>
      </w:r>
      <w:proofErr w:type="spellEnd"/>
      <w:r w:rsidRPr="00E8077D">
        <w:rPr>
          <w:strike/>
          <w:lang w:val="en-IE"/>
        </w:rPr>
        <w:t xml:space="preserve"> e B. Grossman. 1996. </w:t>
      </w:r>
      <w:r w:rsidRPr="00E8077D">
        <w:rPr>
          <w:i/>
          <w:iCs/>
          <w:strike/>
          <w:lang w:val="en-IE"/>
        </w:rPr>
        <w:t>Physical tests for monitoring soil quality</w:t>
      </w:r>
      <w:r w:rsidRPr="00E8077D">
        <w:rPr>
          <w:strike/>
          <w:lang w:val="en-IE"/>
        </w:rPr>
        <w:t xml:space="preserve">. </w:t>
      </w:r>
      <w:proofErr w:type="gramStart"/>
      <w:r w:rsidRPr="00E8077D">
        <w:rPr>
          <w:strike/>
          <w:lang w:val="en-IE"/>
        </w:rPr>
        <w:t>pp.123-</w:t>
      </w:r>
      <w:proofErr w:type="gramEnd"/>
      <w:r w:rsidRPr="00E8077D">
        <w:rPr>
          <w:strike/>
          <w:lang w:val="en-IE"/>
        </w:rPr>
        <w:t xml:space="preserve"> 142. In: J.W. Doran and A.J. Jones (eds.) </w:t>
      </w:r>
      <w:r w:rsidRPr="00E8077D">
        <w:rPr>
          <w:i/>
          <w:iCs/>
          <w:strike/>
          <w:lang w:val="en-IE"/>
        </w:rPr>
        <w:t>Methods for assessing soil quality</w:t>
      </w:r>
      <w:r w:rsidRPr="00E8077D">
        <w:rPr>
          <w:strike/>
          <w:lang w:val="en-IE"/>
        </w:rPr>
        <w:t xml:space="preserve">. </w:t>
      </w:r>
      <w:proofErr w:type="spellStart"/>
      <w:r w:rsidRPr="00E8077D">
        <w:rPr>
          <w:strike/>
          <w:lang w:val="it-IT"/>
        </w:rPr>
        <w:t>Soil</w:t>
      </w:r>
      <w:proofErr w:type="spellEnd"/>
      <w:r w:rsidRPr="00E8077D">
        <w:rPr>
          <w:strike/>
          <w:lang w:val="it-IT"/>
        </w:rPr>
        <w:t xml:space="preserve"> Sci. </w:t>
      </w:r>
      <w:proofErr w:type="spellStart"/>
      <w:r w:rsidRPr="00E8077D">
        <w:rPr>
          <w:strike/>
          <w:lang w:val="it-IT"/>
        </w:rPr>
        <w:t>Soc</w:t>
      </w:r>
      <w:proofErr w:type="spellEnd"/>
      <w:r w:rsidRPr="00E8077D">
        <w:rPr>
          <w:strike/>
          <w:lang w:val="it-IT"/>
        </w:rPr>
        <w:t xml:space="preserve">. </w:t>
      </w:r>
      <w:proofErr w:type="spellStart"/>
      <w:r w:rsidRPr="00E8077D">
        <w:rPr>
          <w:strike/>
          <w:lang w:val="it-IT"/>
        </w:rPr>
        <w:t>Am</w:t>
      </w:r>
      <w:proofErr w:type="spellEnd"/>
      <w:r w:rsidRPr="00E8077D">
        <w:rPr>
          <w:strike/>
          <w:lang w:val="it-IT"/>
        </w:rPr>
        <w:t xml:space="preserve">. Spec. </w:t>
      </w:r>
      <w:proofErr w:type="spellStart"/>
      <w:r w:rsidRPr="00E8077D">
        <w:rPr>
          <w:strike/>
          <w:lang w:val="it-IT"/>
        </w:rPr>
        <w:t>Publ</w:t>
      </w:r>
      <w:proofErr w:type="spellEnd"/>
      <w:r w:rsidRPr="00E8077D">
        <w:rPr>
          <w:strike/>
          <w:lang w:val="it-IT"/>
        </w:rPr>
        <w:t>. 49. SSSA, Madison, WI.</w:t>
      </w:r>
    </w:p>
  </w:footnote>
  <w:footnote w:id="61">
    <w:p w14:paraId="0AA1BAB1" w14:textId="77777777" w:rsidR="008D196E" w:rsidRPr="008D196E" w:rsidRDefault="008D196E" w:rsidP="008D196E">
      <w:pPr>
        <w:pStyle w:val="FootnoteText"/>
        <w:rPr>
          <w:lang w:val="it-IT"/>
        </w:rPr>
      </w:pPr>
      <w:r>
        <w:rPr>
          <w:rStyle w:val="FootnoteReference"/>
        </w:rPr>
        <w:footnoteRef/>
      </w:r>
      <w:r w:rsidRPr="008D196E">
        <w:rPr>
          <w:lang w:val="it-IT"/>
        </w:rPr>
        <w:tab/>
        <w:t xml:space="preserve">Direttiva 92/43/CEE del Consiglio, del 21 maggio 1992, relativa alla conservazione degli habitat naturali e </w:t>
      </w:r>
      <w:proofErr w:type="spellStart"/>
      <w:r w:rsidRPr="008D196E">
        <w:rPr>
          <w:lang w:val="it-IT"/>
        </w:rPr>
        <w:t>seminaturali</w:t>
      </w:r>
      <w:proofErr w:type="spellEnd"/>
      <w:r w:rsidRPr="008D196E">
        <w:rPr>
          <w:lang w:val="it-IT"/>
        </w:rPr>
        <w:t xml:space="preserve"> e della flora e della fauna selvatiche (GU L 206 del 22.7.1992, pag. 7).</w:t>
      </w:r>
    </w:p>
  </w:footnote>
  <w:footnote w:id="62">
    <w:p w14:paraId="7983DB82" w14:textId="77777777" w:rsidR="008D196E" w:rsidRPr="00E8077D" w:rsidRDefault="008D196E" w:rsidP="008D196E">
      <w:pPr>
        <w:pStyle w:val="FootnoteText"/>
        <w:rPr>
          <w:strike/>
          <w:lang w:val="it-IT"/>
        </w:rPr>
      </w:pPr>
      <w:r w:rsidRPr="00E8077D">
        <w:rPr>
          <w:rStyle w:val="FootnoteReference"/>
          <w:strike/>
        </w:rPr>
        <w:footnoteRef/>
      </w:r>
      <w:r w:rsidRPr="00E8077D">
        <w:rPr>
          <w:strike/>
          <w:lang w:val="it-IT"/>
        </w:rPr>
        <w:tab/>
        <w:t xml:space="preserve">Definito in FAO </w:t>
      </w:r>
      <w:proofErr w:type="spellStart"/>
      <w:r w:rsidRPr="00E8077D">
        <w:rPr>
          <w:i/>
          <w:iCs/>
          <w:strike/>
          <w:lang w:val="it-IT"/>
        </w:rPr>
        <w:t>Guidelines</w:t>
      </w:r>
      <w:proofErr w:type="spellEnd"/>
      <w:r w:rsidRPr="00E8077D">
        <w:rPr>
          <w:i/>
          <w:iCs/>
          <w:strike/>
          <w:lang w:val="it-IT"/>
        </w:rPr>
        <w:t xml:space="preserve"> for </w:t>
      </w:r>
      <w:proofErr w:type="spellStart"/>
      <w:r w:rsidRPr="00E8077D">
        <w:rPr>
          <w:i/>
          <w:iCs/>
          <w:strike/>
          <w:lang w:val="it-IT"/>
        </w:rPr>
        <w:t>Soil</w:t>
      </w:r>
      <w:proofErr w:type="spellEnd"/>
      <w:r w:rsidRPr="00E8077D">
        <w:rPr>
          <w:i/>
          <w:iCs/>
          <w:strike/>
          <w:lang w:val="it-IT"/>
        </w:rPr>
        <w:t xml:space="preserve"> </w:t>
      </w:r>
      <w:proofErr w:type="spellStart"/>
      <w:r w:rsidRPr="00E8077D">
        <w:rPr>
          <w:i/>
          <w:iCs/>
          <w:strike/>
          <w:lang w:val="it-IT"/>
        </w:rPr>
        <w:t>Description</w:t>
      </w:r>
      <w:proofErr w:type="spellEnd"/>
      <w:r w:rsidRPr="00E8077D">
        <w:rPr>
          <w:strike/>
          <w:lang w:val="it-IT"/>
        </w:rPr>
        <w:t>, capitolo 5</w:t>
      </w:r>
      <w:r w:rsidRPr="00E8077D">
        <w:rPr>
          <w:strike/>
          <w:lang w:val="it-IT"/>
        </w:rPr>
        <w:tab/>
        <w:t xml:space="preserve"> (</w:t>
      </w:r>
      <w:hyperlink r:id="rId3" w:history="1">
        <w:r w:rsidRPr="00E8077D">
          <w:rPr>
            <w:rStyle w:val="Hyperlink"/>
            <w:strike/>
            <w:lang w:val="it-IT"/>
          </w:rPr>
          <w:t>https://www.fao.org/3/a0541e/a0541e.pdf</w:t>
        </w:r>
      </w:hyperlink>
      <w:r w:rsidRPr="00E8077D">
        <w:rPr>
          <w:strike/>
          <w:lang w:val="it-IT"/>
        </w:rPr>
        <w:t>).</w:t>
      </w:r>
    </w:p>
  </w:footnote>
  <w:footnote w:id="63">
    <w:p w14:paraId="528907CE" w14:textId="77777777" w:rsidR="008D196E" w:rsidRPr="00EA72A8" w:rsidRDefault="008D196E" w:rsidP="008D196E">
      <w:pPr>
        <w:pStyle w:val="FootnoteText"/>
        <w:rPr>
          <w:rFonts w:ascii="Calibri" w:hAnsi="Calibri" w:cs="Arial"/>
          <w:strike/>
          <w:lang w:val="it-IT"/>
        </w:rPr>
      </w:pPr>
      <w:r w:rsidRPr="00EA72A8">
        <w:rPr>
          <w:rStyle w:val="FootnoteReference"/>
          <w:strike/>
        </w:rPr>
        <w:footnoteRef/>
      </w:r>
      <w:r w:rsidRPr="00EA72A8">
        <w:rPr>
          <w:strike/>
          <w:lang w:val="it-IT"/>
        </w:rPr>
        <w:tab/>
        <w:t>Bethel, J. 1989. "</w:t>
      </w:r>
      <w:r w:rsidRPr="00EA72A8">
        <w:rPr>
          <w:i/>
          <w:iCs/>
          <w:strike/>
          <w:lang w:val="it-IT"/>
        </w:rPr>
        <w:t xml:space="preserve">Sample </w:t>
      </w:r>
      <w:proofErr w:type="spellStart"/>
      <w:r w:rsidRPr="00EA72A8">
        <w:rPr>
          <w:i/>
          <w:iCs/>
          <w:strike/>
          <w:lang w:val="it-IT"/>
        </w:rPr>
        <w:t>Allocation</w:t>
      </w:r>
      <w:proofErr w:type="spellEnd"/>
      <w:r w:rsidRPr="00EA72A8">
        <w:rPr>
          <w:i/>
          <w:iCs/>
          <w:strike/>
          <w:lang w:val="it-IT"/>
        </w:rPr>
        <w:t xml:space="preserve"> in Multivariate </w:t>
      </w:r>
      <w:proofErr w:type="spellStart"/>
      <w:r w:rsidRPr="00EA72A8">
        <w:rPr>
          <w:i/>
          <w:iCs/>
          <w:strike/>
          <w:lang w:val="it-IT"/>
        </w:rPr>
        <w:t>Surveys</w:t>
      </w:r>
      <w:proofErr w:type="spellEnd"/>
      <w:r w:rsidRPr="00EA72A8">
        <w:rPr>
          <w:strike/>
          <w:lang w:val="it-IT"/>
        </w:rPr>
        <w:t xml:space="preserve">." </w:t>
      </w:r>
      <w:proofErr w:type="spellStart"/>
      <w:r w:rsidRPr="00EA72A8">
        <w:rPr>
          <w:strike/>
          <w:lang w:val="it-IT"/>
        </w:rPr>
        <w:t>Survey</w:t>
      </w:r>
      <w:proofErr w:type="spellEnd"/>
      <w:r w:rsidRPr="00EA72A8">
        <w:rPr>
          <w:strike/>
          <w:lang w:val="it-IT"/>
        </w:rPr>
        <w:t xml:space="preserve"> </w:t>
      </w:r>
      <w:proofErr w:type="spellStart"/>
      <w:r w:rsidRPr="00EA72A8">
        <w:rPr>
          <w:strike/>
          <w:lang w:val="it-IT"/>
        </w:rPr>
        <w:t>Methodology</w:t>
      </w:r>
      <w:proofErr w:type="spellEnd"/>
      <w:r w:rsidRPr="00EA72A8">
        <w:rPr>
          <w:strike/>
          <w:lang w:val="it-IT"/>
        </w:rPr>
        <w:t xml:space="preserve"> 15: 47–57.</w:t>
      </w:r>
    </w:p>
  </w:footnote>
  <w:footnote w:id="64">
    <w:p w14:paraId="6DFD5428" w14:textId="77777777" w:rsidR="008D196E" w:rsidRPr="00EA72A8" w:rsidRDefault="008D196E" w:rsidP="008D196E">
      <w:pPr>
        <w:pStyle w:val="FootnoteText"/>
        <w:rPr>
          <w:strike/>
          <w:lang w:val="it-IT"/>
        </w:rPr>
      </w:pPr>
      <w:r w:rsidRPr="00EA72A8">
        <w:rPr>
          <w:rStyle w:val="FootnoteReference"/>
          <w:strike/>
        </w:rPr>
        <w:footnoteRef/>
      </w:r>
      <w:r w:rsidRPr="00EA72A8">
        <w:rPr>
          <w:strike/>
          <w:lang w:val="it-IT"/>
        </w:rPr>
        <w:tab/>
        <w:t>Le metodologie diverse da quella di riferimento devono essere disponibili pubblicamente o nella letteratura scientifica.</w:t>
      </w:r>
    </w:p>
  </w:footnote>
  <w:footnote w:id="65">
    <w:p w14:paraId="2A927912" w14:textId="77777777" w:rsidR="008D196E" w:rsidRPr="008D196E" w:rsidRDefault="008D196E" w:rsidP="008D196E">
      <w:pPr>
        <w:pStyle w:val="FootnoteText"/>
        <w:rPr>
          <w:lang w:val="it-IT"/>
        </w:rPr>
      </w:pPr>
      <w:r w:rsidRPr="00EA72A8">
        <w:rPr>
          <w:rStyle w:val="FootnoteReference"/>
          <w:strike/>
        </w:rPr>
        <w:footnoteRef/>
      </w:r>
      <w:r w:rsidRPr="00EA72A8">
        <w:rPr>
          <w:strike/>
          <w:lang w:val="it-IT"/>
        </w:rPr>
        <w:tab/>
      </w:r>
      <w:hyperlink r:id="rId4" w:history="1">
        <w:r w:rsidRPr="00EA72A8">
          <w:rPr>
            <w:rStyle w:val="Hyperlink"/>
            <w:strike/>
            <w:lang w:val="it-IT"/>
          </w:rPr>
          <w:t>https://www.fao.org/3/cb3355en/cb3355en.pdf</w:t>
        </w:r>
      </w:hyperlink>
      <w:r w:rsidRPr="008D196E">
        <w:rPr>
          <w:lang w:val="it-IT"/>
        </w:rPr>
        <w:t xml:space="preserve"> </w:t>
      </w:r>
    </w:p>
  </w:footnote>
  <w:footnote w:id="66">
    <w:p w14:paraId="503B68CD" w14:textId="77777777" w:rsidR="008D196E" w:rsidRPr="00EA72A8" w:rsidRDefault="008D196E" w:rsidP="008D196E">
      <w:pPr>
        <w:pStyle w:val="FootnoteText"/>
        <w:rPr>
          <w:rFonts w:ascii="Calibri" w:hAnsi="Calibri" w:cs="Arial"/>
          <w:strike/>
          <w:lang w:val="it-IT"/>
        </w:rPr>
      </w:pPr>
      <w:r w:rsidRPr="00EA72A8">
        <w:rPr>
          <w:rStyle w:val="FootnoteReference"/>
          <w:strike/>
        </w:rPr>
        <w:footnoteRef/>
      </w:r>
      <w:r w:rsidRPr="00EA72A8">
        <w:rPr>
          <w:strike/>
          <w:lang w:val="it-IT"/>
        </w:rPr>
        <w:tab/>
        <w:t xml:space="preserve">Definito in FAO </w:t>
      </w:r>
      <w:proofErr w:type="spellStart"/>
      <w:r w:rsidRPr="00EA72A8">
        <w:rPr>
          <w:i/>
          <w:iCs/>
          <w:strike/>
          <w:lang w:val="it-IT"/>
        </w:rPr>
        <w:t>Guidelines</w:t>
      </w:r>
      <w:proofErr w:type="spellEnd"/>
      <w:r w:rsidRPr="00EA72A8">
        <w:rPr>
          <w:i/>
          <w:iCs/>
          <w:strike/>
          <w:lang w:val="it-IT"/>
        </w:rPr>
        <w:t xml:space="preserve"> for </w:t>
      </w:r>
      <w:proofErr w:type="spellStart"/>
      <w:r w:rsidRPr="00EA72A8">
        <w:rPr>
          <w:i/>
          <w:iCs/>
          <w:strike/>
          <w:lang w:val="it-IT"/>
        </w:rPr>
        <w:t>Soil</w:t>
      </w:r>
      <w:proofErr w:type="spellEnd"/>
      <w:r w:rsidRPr="00EA72A8">
        <w:rPr>
          <w:i/>
          <w:iCs/>
          <w:strike/>
          <w:lang w:val="it-IT"/>
        </w:rPr>
        <w:t xml:space="preserve"> </w:t>
      </w:r>
      <w:proofErr w:type="spellStart"/>
      <w:r w:rsidRPr="00EA72A8">
        <w:rPr>
          <w:i/>
          <w:iCs/>
          <w:strike/>
          <w:lang w:val="it-IT"/>
        </w:rPr>
        <w:t>Description</w:t>
      </w:r>
      <w:proofErr w:type="spellEnd"/>
      <w:r w:rsidRPr="00EA72A8">
        <w:rPr>
          <w:strike/>
          <w:lang w:val="it-IT"/>
        </w:rPr>
        <w:t>, capitolo 5</w:t>
      </w:r>
      <w:r w:rsidRPr="00EA72A8">
        <w:rPr>
          <w:strike/>
          <w:lang w:val="it-IT"/>
        </w:rPr>
        <w:tab/>
        <w:t xml:space="preserve"> (</w:t>
      </w:r>
      <w:hyperlink r:id="rId5" w:history="1">
        <w:r w:rsidRPr="00EA72A8">
          <w:rPr>
            <w:rStyle w:val="Hyperlink"/>
            <w:strike/>
            <w:lang w:val="it-IT"/>
          </w:rPr>
          <w:t>https://www.fao.org/3/a0541e/a0541e.pdf</w:t>
        </w:r>
      </w:hyperlink>
      <w:r w:rsidRPr="00EA72A8">
        <w:rPr>
          <w:strike/>
          <w:lang w:val="it-IT"/>
        </w:rPr>
        <w:t xml:space="preserve">). </w:t>
      </w:r>
    </w:p>
  </w:footnote>
  <w:footnote w:id="67">
    <w:p w14:paraId="12306255" w14:textId="77777777" w:rsidR="008D196E" w:rsidRPr="008D196E" w:rsidRDefault="008D196E" w:rsidP="008D196E">
      <w:pPr>
        <w:pStyle w:val="FootnoteText"/>
        <w:rPr>
          <w:lang w:val="it-IT"/>
        </w:rPr>
      </w:pPr>
      <w:r w:rsidRPr="00EA72A8">
        <w:rPr>
          <w:rStyle w:val="FootnoteReference"/>
          <w:strike/>
        </w:rPr>
        <w:footnoteRef/>
      </w:r>
      <w:r w:rsidRPr="00EA72A8">
        <w:rPr>
          <w:strike/>
          <w:lang w:val="it-IT"/>
        </w:rPr>
        <w:tab/>
        <w:t xml:space="preserve">Equivalente secondo la relazione dell'AEA: </w:t>
      </w:r>
      <w:hyperlink r:id="rId6" w:history="1">
        <w:proofErr w:type="spellStart"/>
        <w:r w:rsidRPr="00EA72A8">
          <w:rPr>
            <w:rStyle w:val="Hyperlink"/>
            <w:iCs/>
            <w:strike/>
            <w:lang w:val="it-IT"/>
          </w:rPr>
          <w:t>Soil</w:t>
        </w:r>
        <w:proofErr w:type="spellEnd"/>
        <w:r w:rsidRPr="00EA72A8">
          <w:rPr>
            <w:rStyle w:val="Hyperlink"/>
            <w:iCs/>
            <w:strike/>
            <w:lang w:val="it-IT"/>
          </w:rPr>
          <w:t xml:space="preserve"> </w:t>
        </w:r>
        <w:proofErr w:type="spellStart"/>
        <w:r w:rsidRPr="00EA72A8">
          <w:rPr>
            <w:rStyle w:val="Hyperlink"/>
            <w:iCs/>
            <w:strike/>
            <w:lang w:val="it-IT"/>
          </w:rPr>
          <w:t>monitoring</w:t>
        </w:r>
        <w:proofErr w:type="spellEnd"/>
        <w:r w:rsidRPr="00EA72A8">
          <w:rPr>
            <w:rStyle w:val="Hyperlink"/>
            <w:iCs/>
            <w:strike/>
            <w:lang w:val="it-IT"/>
          </w:rPr>
          <w:t xml:space="preserve"> in Europe – </w:t>
        </w:r>
        <w:proofErr w:type="spellStart"/>
        <w:r w:rsidRPr="00EA72A8">
          <w:rPr>
            <w:rStyle w:val="Hyperlink"/>
            <w:iCs/>
            <w:strike/>
            <w:lang w:val="it-IT"/>
          </w:rPr>
          <w:t>Indicators</w:t>
        </w:r>
        <w:proofErr w:type="spellEnd"/>
        <w:r w:rsidRPr="00EA72A8">
          <w:rPr>
            <w:rStyle w:val="Hyperlink"/>
            <w:iCs/>
            <w:strike/>
            <w:lang w:val="it-IT"/>
          </w:rPr>
          <w:t xml:space="preserve"> and </w:t>
        </w:r>
        <w:proofErr w:type="spellStart"/>
        <w:r w:rsidRPr="00EA72A8">
          <w:rPr>
            <w:rStyle w:val="Hyperlink"/>
            <w:iCs/>
            <w:strike/>
            <w:lang w:val="it-IT"/>
          </w:rPr>
          <w:t>thresholds</w:t>
        </w:r>
        <w:proofErr w:type="spellEnd"/>
        <w:r w:rsidRPr="00EA72A8">
          <w:rPr>
            <w:rStyle w:val="Hyperlink"/>
            <w:iCs/>
            <w:strike/>
            <w:lang w:val="it-IT"/>
          </w:rPr>
          <w:t xml:space="preserve"> for </w:t>
        </w:r>
        <w:proofErr w:type="spellStart"/>
        <w:r w:rsidRPr="00EA72A8">
          <w:rPr>
            <w:rStyle w:val="Hyperlink"/>
            <w:iCs/>
            <w:strike/>
            <w:lang w:val="it-IT"/>
          </w:rPr>
          <w:t>soil</w:t>
        </w:r>
        <w:proofErr w:type="spellEnd"/>
        <w:r w:rsidRPr="00EA72A8">
          <w:rPr>
            <w:rStyle w:val="Hyperlink"/>
            <w:iCs/>
            <w:strike/>
            <w:lang w:val="it-IT"/>
          </w:rPr>
          <w:t xml:space="preserve"> </w:t>
        </w:r>
        <w:proofErr w:type="spellStart"/>
        <w:r w:rsidRPr="00EA72A8">
          <w:rPr>
            <w:rStyle w:val="Hyperlink"/>
            <w:iCs/>
            <w:strike/>
            <w:lang w:val="it-IT"/>
          </w:rPr>
          <w:t>health</w:t>
        </w:r>
        <w:proofErr w:type="spellEnd"/>
        <w:r w:rsidRPr="00EA72A8">
          <w:rPr>
            <w:rStyle w:val="Hyperlink"/>
            <w:iCs/>
            <w:strike/>
            <w:lang w:val="it-IT"/>
          </w:rPr>
          <w:t xml:space="preserve"> </w:t>
        </w:r>
        <w:proofErr w:type="spellStart"/>
        <w:r w:rsidRPr="00EA72A8">
          <w:rPr>
            <w:rStyle w:val="Hyperlink"/>
            <w:iCs/>
            <w:strike/>
            <w:lang w:val="it-IT"/>
          </w:rPr>
          <w:t>assessments</w:t>
        </w:r>
        <w:proofErr w:type="spellEnd"/>
        <w:r w:rsidRPr="00EA72A8">
          <w:rPr>
            <w:rStyle w:val="Hyperlink"/>
            <w:iCs/>
            <w:strike/>
            <w:lang w:val="it-IT"/>
          </w:rPr>
          <w:t xml:space="preserve"> — </w:t>
        </w:r>
        <w:proofErr w:type="spellStart"/>
        <w:r w:rsidRPr="00EA72A8">
          <w:rPr>
            <w:rStyle w:val="Hyperlink"/>
            <w:iCs/>
            <w:strike/>
            <w:lang w:val="it-IT"/>
          </w:rPr>
          <w:t>European</w:t>
        </w:r>
        <w:proofErr w:type="spellEnd"/>
        <w:r w:rsidRPr="00EA72A8">
          <w:rPr>
            <w:rStyle w:val="Hyperlink"/>
            <w:iCs/>
            <w:strike/>
            <w:lang w:val="it-IT"/>
          </w:rPr>
          <w:t xml:space="preserve"> Environment Agency</w:t>
        </w:r>
        <w:r w:rsidRPr="00EA72A8">
          <w:rPr>
            <w:rStyle w:val="Hyperlink"/>
            <w:strike/>
            <w:lang w:val="it-IT"/>
          </w:rPr>
          <w:t xml:space="preserve"> (europa.eu)</w:t>
        </w:r>
      </w:hyperlink>
    </w:p>
  </w:footnote>
  <w:footnote w:id="68">
    <w:p w14:paraId="653912E5" w14:textId="77777777" w:rsidR="008D196E" w:rsidRDefault="008D196E" w:rsidP="008D196E">
      <w:pPr>
        <w:pStyle w:val="FootnoteText"/>
      </w:pPr>
      <w:r>
        <w:rPr>
          <w:rStyle w:val="FootnoteReference"/>
        </w:rPr>
        <w:footnoteRef/>
      </w:r>
      <w:r>
        <w:tab/>
      </w:r>
    </w:p>
  </w:footnote>
  <w:footnote w:id="69">
    <w:p w14:paraId="5996C7FC" w14:textId="77777777" w:rsidR="008D196E" w:rsidRPr="008D196E" w:rsidRDefault="008D196E" w:rsidP="008D196E">
      <w:pPr>
        <w:pStyle w:val="FootnoteText"/>
        <w:rPr>
          <w:lang w:val="it-IT"/>
        </w:rPr>
      </w:pPr>
      <w:r>
        <w:rPr>
          <w:rStyle w:val="FootnoteReference"/>
        </w:rPr>
        <w:footnoteRef/>
      </w:r>
      <w:r w:rsidRPr="008D196E">
        <w:rPr>
          <w:lang w:val="it-IT"/>
        </w:rPr>
        <w:tab/>
        <w:t xml:space="preserve">Definito in FAO </w:t>
      </w:r>
      <w:proofErr w:type="spellStart"/>
      <w:r w:rsidRPr="008D196E">
        <w:rPr>
          <w:i/>
          <w:iCs/>
          <w:lang w:val="it-IT"/>
        </w:rPr>
        <w:t>Guidelines</w:t>
      </w:r>
      <w:proofErr w:type="spellEnd"/>
      <w:r w:rsidRPr="008D196E">
        <w:rPr>
          <w:i/>
          <w:iCs/>
          <w:lang w:val="it-IT"/>
        </w:rPr>
        <w:t xml:space="preserve"> for </w:t>
      </w:r>
      <w:proofErr w:type="spellStart"/>
      <w:r w:rsidRPr="008D196E">
        <w:rPr>
          <w:i/>
          <w:iCs/>
          <w:lang w:val="it-IT"/>
        </w:rPr>
        <w:t>Soil</w:t>
      </w:r>
      <w:proofErr w:type="spellEnd"/>
      <w:r w:rsidRPr="008D196E">
        <w:rPr>
          <w:i/>
          <w:iCs/>
          <w:lang w:val="it-IT"/>
        </w:rPr>
        <w:t xml:space="preserve"> </w:t>
      </w:r>
      <w:proofErr w:type="spellStart"/>
      <w:r w:rsidRPr="008D196E">
        <w:rPr>
          <w:i/>
          <w:iCs/>
          <w:lang w:val="it-IT"/>
        </w:rPr>
        <w:t>Description</w:t>
      </w:r>
      <w:proofErr w:type="spellEnd"/>
      <w:r w:rsidRPr="008D196E">
        <w:rPr>
          <w:lang w:val="it-IT"/>
        </w:rPr>
        <w:t>, capitolo 5 (</w:t>
      </w:r>
      <w:hyperlink r:id="rId7" w:history="1">
        <w:r w:rsidRPr="008D196E">
          <w:rPr>
            <w:rStyle w:val="Hyperlink"/>
            <w:lang w:val="it-IT"/>
          </w:rPr>
          <w:t>https://www.fao.org/3/a0541e/a0541e.pdf</w:t>
        </w:r>
      </w:hyperlink>
      <w:r w:rsidRPr="008D196E">
        <w:rPr>
          <w:lang w:val="it-IT"/>
        </w:rPr>
        <w:t xml:space="preserve">). </w:t>
      </w:r>
    </w:p>
  </w:footnote>
  <w:footnote w:id="70">
    <w:p w14:paraId="088304DD" w14:textId="77777777" w:rsidR="008D196E" w:rsidRPr="008D196E" w:rsidRDefault="008D196E" w:rsidP="008D196E">
      <w:pPr>
        <w:pStyle w:val="FootnoteText"/>
        <w:rPr>
          <w:lang w:val="it-IT"/>
        </w:rPr>
      </w:pPr>
      <w:r>
        <w:rPr>
          <w:rStyle w:val="FootnoteReference"/>
        </w:rPr>
        <w:footnoteRef/>
      </w:r>
      <w:r w:rsidRPr="008D196E">
        <w:rPr>
          <w:lang w:val="it-IT"/>
        </w:rPr>
        <w:tab/>
        <w:t xml:space="preserve">Sequenza di codici a barre del DNA per misurare la diversità tassonomica e funzionale di archei, batteri, funghi e altri eucarioti, come è stato fatto in ambito LUCAS per la biodiversità del suolo in base a </w:t>
      </w:r>
      <w:hyperlink r:id="rId8" w:history="1">
        <w:r w:rsidRPr="008D196E">
          <w:rPr>
            <w:rStyle w:val="Hyperlink"/>
            <w:lang w:val="it-IT"/>
          </w:rPr>
          <w:t>https://doi.org/10.1111/ejss.13299</w:t>
        </w:r>
      </w:hyperlink>
      <w:r w:rsidRPr="008D196E">
        <w:rPr>
          <w:lang w:val="it-IT"/>
        </w:rPr>
        <w:t xml:space="preserve"> </w:t>
      </w:r>
    </w:p>
  </w:footnote>
  <w:footnote w:id="71">
    <w:p w14:paraId="255E3E7F" w14:textId="77777777" w:rsidR="008D196E" w:rsidRPr="008D196E" w:rsidRDefault="008D196E" w:rsidP="008D196E">
      <w:pPr>
        <w:pStyle w:val="FootnoteText"/>
        <w:rPr>
          <w:lang w:val="it-IT"/>
        </w:rPr>
      </w:pPr>
      <w:r>
        <w:rPr>
          <w:rStyle w:val="FootnoteReference"/>
        </w:rPr>
        <w:footnoteRef/>
      </w:r>
      <w:r w:rsidRPr="008D196E">
        <w:rPr>
          <w:lang w:val="it-IT"/>
        </w:rPr>
        <w:tab/>
      </w:r>
      <w:hyperlink r:id="rId9" w:history="1">
        <w:r w:rsidRPr="008D196E">
          <w:rPr>
            <w:rStyle w:val="Hyperlink"/>
            <w:lang w:val="it-IT"/>
          </w:rPr>
          <w:t>https://www.sciencedirect.com/science/article/abs/pii/S0038071797001259</w:t>
        </w:r>
      </w:hyperlink>
      <w:r w:rsidRPr="008D196E">
        <w:rPr>
          <w:color w:val="000000"/>
          <w:sz w:val="16"/>
          <w:lang w:val="it-IT"/>
        </w:rPr>
        <w:t xml:space="preserve"> </w:t>
      </w:r>
    </w:p>
  </w:footnote>
  <w:footnote w:id="72">
    <w:p w14:paraId="2D9CAE2D" w14:textId="77777777" w:rsidR="008D196E" w:rsidRPr="00FF3D47" w:rsidRDefault="008D196E" w:rsidP="00FF3D47">
      <w:pPr>
        <w:pStyle w:val="FootnoteTextForceStyle"/>
        <w:rPr>
          <w:lang w:val="it-IT"/>
        </w:rPr>
      </w:pPr>
      <w:r w:rsidRPr="00FF3D47">
        <w:rPr>
          <w:vertAlign w:val="superscript"/>
          <w:lang w:val="it-IT"/>
        </w:rPr>
        <w:t>1</w:t>
      </w:r>
      <w:r w:rsidRPr="00FF3D47">
        <w:rPr>
          <w:lang w:val="it-IT"/>
        </w:rPr>
        <w:tab/>
      </w:r>
      <w:r w:rsidRPr="00FF3D47">
        <w:rPr>
          <w:strike/>
          <w:lang w:val="it-IT"/>
        </w:rPr>
        <w:t>Regolamento (UE) 2020/741 del Parlamento europeo e del Consiglio, del 25 maggio 2020, recante prescrizioni minime per il riutilizzo dell'acqua (GU L 177 del 5.6.2020, pag. 32).</w:t>
      </w:r>
    </w:p>
  </w:footnote>
  <w:footnote w:id="73">
    <w:p w14:paraId="6ED2C5B8" w14:textId="77777777" w:rsidR="008D196E" w:rsidRPr="00FF3D47" w:rsidRDefault="008D196E" w:rsidP="00FF3D47">
      <w:pPr>
        <w:pStyle w:val="FootnoteTextForceStyle"/>
        <w:rPr>
          <w:lang w:val="it-IT"/>
        </w:rPr>
      </w:pPr>
      <w:r w:rsidRPr="00FF3D47">
        <w:rPr>
          <w:vertAlign w:val="superscript"/>
          <w:lang w:val="it-IT"/>
        </w:rPr>
        <w:t>2</w:t>
      </w:r>
      <w:r w:rsidRPr="00FF3D47">
        <w:rPr>
          <w:lang w:val="it-IT"/>
        </w:rPr>
        <w:tab/>
      </w:r>
      <w:r w:rsidRPr="00FF3D47">
        <w:rPr>
          <w:strike/>
          <w:lang w:val="it-IT"/>
        </w:rPr>
        <w:t>Questo principio non si applica ai suoli forestali.</w:t>
      </w:r>
    </w:p>
  </w:footnote>
  <w:footnote w:id="74">
    <w:p w14:paraId="26F807BA" w14:textId="77777777" w:rsidR="008D196E" w:rsidRPr="00FF3D47" w:rsidRDefault="008D196E" w:rsidP="00FF3D47">
      <w:pPr>
        <w:pStyle w:val="FootnoteTextForceStyle"/>
        <w:rPr>
          <w:lang w:val="it-IT"/>
        </w:rPr>
      </w:pPr>
      <w:r w:rsidRPr="00FF3D47">
        <w:rPr>
          <w:vertAlign w:val="superscript"/>
          <w:lang w:val="it-IT"/>
        </w:rPr>
        <w:t>3</w:t>
      </w:r>
      <w:r w:rsidRPr="00FF3D47">
        <w:rPr>
          <w:lang w:val="it-IT"/>
        </w:rPr>
        <w:tab/>
      </w:r>
      <w:r w:rsidRPr="00FF3D47">
        <w:rPr>
          <w:strike/>
          <w:lang w:val="it-IT"/>
        </w:rPr>
        <w:t>Questo principio non si applica ai suoli urbani.</w:t>
      </w:r>
    </w:p>
  </w:footnote>
  <w:footnote w:id="75">
    <w:p w14:paraId="144D22FF" w14:textId="77777777" w:rsidR="008D196E" w:rsidRPr="00FF3D47" w:rsidRDefault="008D196E" w:rsidP="00FF3D47">
      <w:pPr>
        <w:pStyle w:val="FootnoteTextForceStyle"/>
        <w:rPr>
          <w:lang w:val="it-IT"/>
        </w:rPr>
      </w:pPr>
      <w:r w:rsidRPr="00FF3D47">
        <w:rPr>
          <w:vertAlign w:val="superscript"/>
          <w:lang w:val="it-IT"/>
        </w:rPr>
        <w:t>1</w:t>
      </w:r>
      <w:r w:rsidRPr="00FF3D47">
        <w:rPr>
          <w:lang w:val="it-IT"/>
        </w:rPr>
        <w:tab/>
        <w:t xml:space="preserve">+ OP: inserire nel testo il numero del regolamento sul ripristino della natura di cui al documento </w:t>
      </w:r>
      <w:proofErr w:type="gramStart"/>
      <w:r w:rsidRPr="00FF3D47">
        <w:rPr>
          <w:lang w:val="it-IT"/>
        </w:rPr>
        <w:t>COM(</w:t>
      </w:r>
      <w:proofErr w:type="gramEnd"/>
      <w:r w:rsidRPr="00FF3D47">
        <w:rPr>
          <w:lang w:val="it-IT"/>
        </w:rPr>
        <w:t>2022) 304.</w:t>
      </w:r>
    </w:p>
  </w:footnote>
  <w:footnote w:id="76">
    <w:p w14:paraId="6E443B7E" w14:textId="77777777" w:rsidR="008D196E" w:rsidRPr="00FF3D47" w:rsidRDefault="008D196E" w:rsidP="00FF3D47">
      <w:pPr>
        <w:pStyle w:val="FootnoteTextForceStyle"/>
        <w:rPr>
          <w:lang w:val="it-IT"/>
        </w:rPr>
      </w:pPr>
      <w:r w:rsidRPr="00FF3D47">
        <w:rPr>
          <w:vertAlign w:val="superscript"/>
          <w:lang w:val="it-IT"/>
        </w:rPr>
        <w:t>2</w:t>
      </w:r>
      <w:r w:rsidRPr="00FF3D47">
        <w:rPr>
          <w:lang w:val="it-IT"/>
        </w:rPr>
        <w:tab/>
      </w:r>
      <w:r w:rsidRPr="00FF3D47">
        <w:rPr>
          <w:strike/>
          <w:lang w:val="it-IT"/>
        </w:rPr>
        <w:t xml:space="preserve">+ OP: inserire nel testo il numero del regolamento del Parlamento europeo e del Consiglio relativo all'uso sostenibile dei prodotti fitosanitari e recante modifica del regolamento (UE) 2021/2115 di cui al documento </w:t>
      </w:r>
      <w:proofErr w:type="gramStart"/>
      <w:r w:rsidRPr="00FF3D47">
        <w:rPr>
          <w:strike/>
          <w:lang w:val="it-IT"/>
        </w:rPr>
        <w:t>COM(</w:t>
      </w:r>
      <w:proofErr w:type="gramEnd"/>
      <w:r w:rsidRPr="00FF3D47">
        <w:rPr>
          <w:strike/>
          <w:lang w:val="it-IT"/>
        </w:rPr>
        <w:t>2022) 305.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IT"/>
    <w:docVar w:name="dvnumam" w:val="350"/>
    <w:docVar w:name="dvpe" w:val="754.698"/>
    <w:docVar w:name="dvrapporteur" w:val="Relatore: "/>
    <w:docVar w:name="dvstar" w:val="***I"/>
    <w:docVar w:name="dvtitre" w:val="Risoluzione legislativa del Parlamento europeo del 10 aprile 2024 sulla proposta di direttiva del Parlamento europeo e del Consiglio sul monitoraggio e la resilienza del suolo (Normativa sul monitoraggio del suolo)(COM(2023)0416 – C9-0234/2023 – 2023/0232(COD))"/>
  </w:docVars>
  <w:rsids>
    <w:rsidRoot w:val="00D002F4"/>
    <w:rsid w:val="00002272"/>
    <w:rsid w:val="00050E51"/>
    <w:rsid w:val="00064002"/>
    <w:rsid w:val="0006503D"/>
    <w:rsid w:val="000677B9"/>
    <w:rsid w:val="000831BA"/>
    <w:rsid w:val="000A2560"/>
    <w:rsid w:val="000A42CC"/>
    <w:rsid w:val="000B0A8C"/>
    <w:rsid w:val="000C1147"/>
    <w:rsid w:val="000C1731"/>
    <w:rsid w:val="000E7DD9"/>
    <w:rsid w:val="0010095E"/>
    <w:rsid w:val="00125B37"/>
    <w:rsid w:val="0017737D"/>
    <w:rsid w:val="00187494"/>
    <w:rsid w:val="00194D64"/>
    <w:rsid w:val="001F32AE"/>
    <w:rsid w:val="00242A00"/>
    <w:rsid w:val="00264701"/>
    <w:rsid w:val="002767FF"/>
    <w:rsid w:val="00295DAB"/>
    <w:rsid w:val="002A1344"/>
    <w:rsid w:val="002B18FE"/>
    <w:rsid w:val="002B5493"/>
    <w:rsid w:val="00343214"/>
    <w:rsid w:val="00361C00"/>
    <w:rsid w:val="00395FA1"/>
    <w:rsid w:val="003E15D4"/>
    <w:rsid w:val="00411CCE"/>
    <w:rsid w:val="0041666E"/>
    <w:rsid w:val="00421060"/>
    <w:rsid w:val="00467ED2"/>
    <w:rsid w:val="00471C19"/>
    <w:rsid w:val="004867E3"/>
    <w:rsid w:val="00494A28"/>
    <w:rsid w:val="004C0004"/>
    <w:rsid w:val="004C5D52"/>
    <w:rsid w:val="004E5FB6"/>
    <w:rsid w:val="0050121F"/>
    <w:rsid w:val="0050519A"/>
    <w:rsid w:val="005072A1"/>
    <w:rsid w:val="00514517"/>
    <w:rsid w:val="0053622B"/>
    <w:rsid w:val="00545827"/>
    <w:rsid w:val="00560270"/>
    <w:rsid w:val="005C2568"/>
    <w:rsid w:val="006037C0"/>
    <w:rsid w:val="006631B6"/>
    <w:rsid w:val="00674FD0"/>
    <w:rsid w:val="00680577"/>
    <w:rsid w:val="006F74FA"/>
    <w:rsid w:val="00731ADD"/>
    <w:rsid w:val="00734777"/>
    <w:rsid w:val="00747932"/>
    <w:rsid w:val="00751A4A"/>
    <w:rsid w:val="00756632"/>
    <w:rsid w:val="00762C74"/>
    <w:rsid w:val="00767FA2"/>
    <w:rsid w:val="00786EC0"/>
    <w:rsid w:val="00791542"/>
    <w:rsid w:val="007D1690"/>
    <w:rsid w:val="007E22AD"/>
    <w:rsid w:val="00817416"/>
    <w:rsid w:val="00842779"/>
    <w:rsid w:val="00865F67"/>
    <w:rsid w:val="00873A76"/>
    <w:rsid w:val="00881A7B"/>
    <w:rsid w:val="008840E5"/>
    <w:rsid w:val="00887B3E"/>
    <w:rsid w:val="008C2AC6"/>
    <w:rsid w:val="008D196E"/>
    <w:rsid w:val="00914E93"/>
    <w:rsid w:val="0092764F"/>
    <w:rsid w:val="00930C23"/>
    <w:rsid w:val="0093193B"/>
    <w:rsid w:val="009509D8"/>
    <w:rsid w:val="00950B64"/>
    <w:rsid w:val="00981893"/>
    <w:rsid w:val="009A0142"/>
    <w:rsid w:val="00A1687D"/>
    <w:rsid w:val="00A43E52"/>
    <w:rsid w:val="00A4678D"/>
    <w:rsid w:val="00A778C7"/>
    <w:rsid w:val="00A81817"/>
    <w:rsid w:val="00AB441E"/>
    <w:rsid w:val="00AB6293"/>
    <w:rsid w:val="00AE0928"/>
    <w:rsid w:val="00AF1F08"/>
    <w:rsid w:val="00AF3B82"/>
    <w:rsid w:val="00AF3C85"/>
    <w:rsid w:val="00B07C08"/>
    <w:rsid w:val="00B12E95"/>
    <w:rsid w:val="00B22876"/>
    <w:rsid w:val="00B44EDA"/>
    <w:rsid w:val="00B50018"/>
    <w:rsid w:val="00B558F0"/>
    <w:rsid w:val="00BD48B6"/>
    <w:rsid w:val="00BD48FE"/>
    <w:rsid w:val="00BD7BD8"/>
    <w:rsid w:val="00BE6ADC"/>
    <w:rsid w:val="00C05BFE"/>
    <w:rsid w:val="00C23CD4"/>
    <w:rsid w:val="00C61C0C"/>
    <w:rsid w:val="00C941CB"/>
    <w:rsid w:val="00CB24C7"/>
    <w:rsid w:val="00CC2357"/>
    <w:rsid w:val="00CF071A"/>
    <w:rsid w:val="00D002F4"/>
    <w:rsid w:val="00D058B8"/>
    <w:rsid w:val="00D56C11"/>
    <w:rsid w:val="00D834A0"/>
    <w:rsid w:val="00D872DF"/>
    <w:rsid w:val="00D91E21"/>
    <w:rsid w:val="00DA7FCD"/>
    <w:rsid w:val="00E07CE2"/>
    <w:rsid w:val="00E365E1"/>
    <w:rsid w:val="00E7440A"/>
    <w:rsid w:val="00E8077D"/>
    <w:rsid w:val="00E820A4"/>
    <w:rsid w:val="00EA72A8"/>
    <w:rsid w:val="00EB006A"/>
    <w:rsid w:val="00EB4772"/>
    <w:rsid w:val="00ED169E"/>
    <w:rsid w:val="00ED4235"/>
    <w:rsid w:val="00F0143E"/>
    <w:rsid w:val="00F04346"/>
    <w:rsid w:val="00F075DC"/>
    <w:rsid w:val="00F149E9"/>
    <w:rsid w:val="00F5134D"/>
    <w:rsid w:val="00F74202"/>
    <w:rsid w:val="00F87713"/>
    <w:rsid w:val="00FB4360"/>
    <w:rsid w:val="00FC3418"/>
    <w:rsid w:val="00FD0C70"/>
    <w:rsid w:val="00FF3D4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AFC56A"/>
  <w15:chartTrackingRefBased/>
  <w15:docId w15:val="{034AAD74-0D7A-4B76-8D10-8394CA066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0E51"/>
    <w:rPr>
      <w:b/>
      <w:kern w:val="28"/>
      <w:sz w:val="28"/>
      <w:lang w:val="fr-FR" w:eastAsia="fr-FR"/>
    </w:rPr>
  </w:style>
  <w:style w:type="character" w:customStyle="1" w:styleId="Heading2Char">
    <w:name w:val="Heading 2 Char"/>
    <w:basedOn w:val="DefaultParagraphFont"/>
    <w:link w:val="Heading2"/>
    <w:rsid w:val="00050E51"/>
    <w:rPr>
      <w:sz w:val="24"/>
      <w:lang w:val="fr-FR" w:eastAsia="fr-FR"/>
    </w:rPr>
  </w:style>
  <w:style w:type="character" w:customStyle="1" w:styleId="Heading3Char">
    <w:name w:val="Heading 3 Char"/>
    <w:basedOn w:val="DefaultParagraphFont"/>
    <w:link w:val="Heading3"/>
    <w:rsid w:val="00050E51"/>
    <w:rPr>
      <w:rFonts w:ascii="Arial" w:hAnsi="Arial"/>
      <w:sz w:val="24"/>
      <w:lang w:val="fr-FR" w:eastAsia="fr-FR"/>
    </w:rPr>
  </w:style>
  <w:style w:type="character" w:customStyle="1" w:styleId="Heading4Char">
    <w:name w:val="Heading 4 Char"/>
    <w:basedOn w:val="DefaultParagraphFont"/>
    <w:link w:val="Heading4"/>
    <w:rsid w:val="00050E51"/>
    <w:rPr>
      <w:sz w:val="24"/>
      <w:lang w:val="en-US" w:eastAsia="fr-FR"/>
    </w:rPr>
  </w:style>
  <w:style w:type="character" w:customStyle="1" w:styleId="Heading5Char">
    <w:name w:val="Heading 5 Char"/>
    <w:basedOn w:val="DefaultParagraphFont"/>
    <w:link w:val="Heading5"/>
    <w:semiHidden/>
    <w:rsid w:val="00050E51"/>
    <w:rPr>
      <w:sz w:val="24"/>
      <w:lang w:val="en-US" w:eastAsia="fr-FR"/>
    </w:rPr>
  </w:style>
  <w:style w:type="character" w:customStyle="1" w:styleId="Heading6Char">
    <w:name w:val="Heading 6 Char"/>
    <w:basedOn w:val="DefaultParagraphFont"/>
    <w:link w:val="Heading6"/>
    <w:semiHidden/>
    <w:rsid w:val="00050E51"/>
    <w:rPr>
      <w:i/>
      <w:sz w:val="22"/>
      <w:lang w:val="it-IT"/>
    </w:rPr>
  </w:style>
  <w:style w:type="character" w:customStyle="1" w:styleId="Heading7Char">
    <w:name w:val="Heading 7 Char"/>
    <w:basedOn w:val="DefaultParagraphFont"/>
    <w:link w:val="Heading7"/>
    <w:semiHidden/>
    <w:rsid w:val="00050E51"/>
    <w:rPr>
      <w:rFonts w:ascii="Arial" w:hAnsi="Arial"/>
      <w:sz w:val="24"/>
      <w:lang w:val="it-IT"/>
    </w:rPr>
  </w:style>
  <w:style w:type="character" w:customStyle="1" w:styleId="Heading8Char">
    <w:name w:val="Heading 8 Char"/>
    <w:basedOn w:val="DefaultParagraphFont"/>
    <w:link w:val="Heading8"/>
    <w:semiHidden/>
    <w:rsid w:val="00050E51"/>
    <w:rPr>
      <w:rFonts w:ascii="Arial" w:hAnsi="Arial"/>
      <w:i/>
      <w:sz w:val="24"/>
      <w:lang w:val="it-IT"/>
    </w:rPr>
  </w:style>
  <w:style w:type="character" w:customStyle="1" w:styleId="Heading9Char">
    <w:name w:val="Heading 9 Char"/>
    <w:basedOn w:val="DefaultParagraphFont"/>
    <w:link w:val="Heading9"/>
    <w:semiHidden/>
    <w:rsid w:val="00050E51"/>
    <w:rPr>
      <w:rFonts w:ascii="Arial" w:hAnsi="Arial"/>
      <w:b/>
      <w:i/>
      <w:sz w:val="18"/>
      <w:lang w:val="it-IT"/>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050E51"/>
    <w:pPr>
      <w:widowControl/>
      <w:spacing w:after="240"/>
    </w:pPr>
    <w:rPr>
      <w:lang w:val="en-GB"/>
    </w:rPr>
  </w:style>
  <w:style w:type="paragraph" w:customStyle="1" w:styleId="EPFooter2">
    <w:name w:val="EPFooter2"/>
    <w:basedOn w:val="Normal"/>
    <w:next w:val="Normal"/>
    <w:rsid w:val="00050E5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50E51"/>
    <w:pPr>
      <w:keepNext/>
      <w:spacing w:after="240"/>
      <w:jc w:val="right"/>
    </w:pPr>
    <w:rPr>
      <w:rFonts w:ascii="Arial" w:hAnsi="Arial"/>
      <w:b/>
    </w:rPr>
  </w:style>
  <w:style w:type="paragraph" w:customStyle="1" w:styleId="Normal6a">
    <w:name w:val="Normal6a"/>
    <w:basedOn w:val="Normal"/>
    <w:rsid w:val="00050E51"/>
    <w:pPr>
      <w:spacing w:after="120"/>
    </w:pPr>
  </w:style>
  <w:style w:type="paragraph" w:customStyle="1" w:styleId="PageHeading">
    <w:name w:val="PageHeading"/>
    <w:basedOn w:val="Normal"/>
    <w:rsid w:val="00050E51"/>
    <w:pPr>
      <w:keepNext/>
      <w:spacing w:after="480"/>
      <w:jc w:val="center"/>
    </w:pPr>
    <w:rPr>
      <w:rFonts w:ascii="Arial" w:hAnsi="Arial" w:cs="Arial"/>
      <w:b/>
    </w:rPr>
  </w:style>
  <w:style w:type="paragraph" w:customStyle="1" w:styleId="NormalBold">
    <w:name w:val="NormalBold"/>
    <w:basedOn w:val="Normal"/>
    <w:link w:val="NormalBoldChar"/>
    <w:rsid w:val="00050E51"/>
    <w:rPr>
      <w:b/>
    </w:rPr>
  </w:style>
  <w:style w:type="character" w:customStyle="1" w:styleId="NormalBoldChar">
    <w:name w:val="NormalBold Char"/>
    <w:basedOn w:val="DefaultParagraphFont"/>
    <w:link w:val="NormalBold"/>
    <w:locked/>
    <w:rsid w:val="00050E51"/>
    <w:rPr>
      <w:b/>
      <w:sz w:val="24"/>
      <w:lang w:val="it-IT"/>
    </w:rPr>
  </w:style>
  <w:style w:type="paragraph" w:customStyle="1" w:styleId="NormalBold12a">
    <w:name w:val="NormalBold12a"/>
    <w:basedOn w:val="Normal"/>
    <w:rsid w:val="00050E51"/>
    <w:pPr>
      <w:spacing w:after="240"/>
    </w:pPr>
    <w:rPr>
      <w:b/>
    </w:rPr>
  </w:style>
  <w:style w:type="paragraph" w:customStyle="1" w:styleId="AmJustText">
    <w:name w:val="AmJustText"/>
    <w:basedOn w:val="Normal"/>
    <w:rsid w:val="00050E51"/>
    <w:pPr>
      <w:spacing w:after="240"/>
    </w:pPr>
    <w:rPr>
      <w:i/>
    </w:rPr>
  </w:style>
  <w:style w:type="paragraph" w:customStyle="1" w:styleId="NormalHanging12a">
    <w:name w:val="NormalHanging12a"/>
    <w:basedOn w:val="Normal"/>
    <w:rsid w:val="00050E51"/>
    <w:pPr>
      <w:spacing w:after="240"/>
      <w:ind w:left="567" w:hanging="567"/>
    </w:pPr>
  </w:style>
  <w:style w:type="paragraph" w:customStyle="1" w:styleId="CoverNormal24a">
    <w:name w:val="CoverNormal24a"/>
    <w:basedOn w:val="Normal"/>
    <w:rsid w:val="00050E51"/>
    <w:pPr>
      <w:spacing w:after="480"/>
      <w:ind w:left="1417"/>
    </w:pPr>
  </w:style>
  <w:style w:type="paragraph" w:customStyle="1" w:styleId="CoverNormal">
    <w:name w:val="CoverNormal"/>
    <w:basedOn w:val="Normal"/>
    <w:rsid w:val="00050E51"/>
    <w:pPr>
      <w:ind w:left="1418"/>
    </w:pPr>
  </w:style>
  <w:style w:type="paragraph" w:customStyle="1" w:styleId="AmCrossRef">
    <w:name w:val="AmCrossRef"/>
    <w:basedOn w:val="Normal"/>
    <w:rsid w:val="00050E51"/>
    <w:pPr>
      <w:spacing w:before="240" w:after="240"/>
      <w:jc w:val="center"/>
    </w:pPr>
    <w:rPr>
      <w:i/>
    </w:rPr>
  </w:style>
  <w:style w:type="paragraph" w:customStyle="1" w:styleId="AmJustTitle">
    <w:name w:val="AmJustTitle"/>
    <w:basedOn w:val="Normal"/>
    <w:next w:val="AmJustText"/>
    <w:rsid w:val="00050E51"/>
    <w:pPr>
      <w:keepNext/>
      <w:spacing w:before="240" w:after="240"/>
      <w:jc w:val="center"/>
    </w:pPr>
    <w:rPr>
      <w:i/>
    </w:rPr>
  </w:style>
  <w:style w:type="paragraph" w:customStyle="1" w:styleId="CoverReference">
    <w:name w:val="CoverReference"/>
    <w:basedOn w:val="Normal"/>
    <w:rsid w:val="00050E51"/>
    <w:pPr>
      <w:spacing w:before="1080"/>
      <w:jc w:val="right"/>
    </w:pPr>
    <w:rPr>
      <w:rFonts w:ascii="Arial" w:hAnsi="Arial" w:cs="Arial"/>
      <w:b/>
    </w:rPr>
  </w:style>
  <w:style w:type="paragraph" w:customStyle="1" w:styleId="CoverDocType">
    <w:name w:val="CoverDocType"/>
    <w:basedOn w:val="Normal"/>
    <w:rsid w:val="00050E51"/>
    <w:pPr>
      <w:ind w:left="1418"/>
    </w:pPr>
    <w:rPr>
      <w:rFonts w:ascii="Arial" w:hAnsi="Arial"/>
      <w:b/>
      <w:sz w:val="48"/>
    </w:rPr>
  </w:style>
  <w:style w:type="paragraph" w:customStyle="1" w:styleId="CoverDocType24a">
    <w:name w:val="CoverDocType24a"/>
    <w:basedOn w:val="Normal"/>
    <w:rsid w:val="00050E51"/>
    <w:pPr>
      <w:spacing w:after="480"/>
      <w:ind w:left="1418"/>
    </w:pPr>
    <w:rPr>
      <w:rFonts w:ascii="Arial" w:hAnsi="Arial"/>
      <w:b/>
      <w:sz w:val="48"/>
    </w:rPr>
  </w:style>
  <w:style w:type="paragraph" w:customStyle="1" w:styleId="CoverDate">
    <w:name w:val="CoverDate"/>
    <w:basedOn w:val="Normal"/>
    <w:rsid w:val="00050E51"/>
    <w:pPr>
      <w:spacing w:before="240" w:after="1200"/>
    </w:pPr>
  </w:style>
  <w:style w:type="paragraph" w:styleId="Header">
    <w:name w:val="header"/>
    <w:basedOn w:val="Normal"/>
    <w:link w:val="HeaderChar"/>
    <w:rsid w:val="00050E51"/>
    <w:pPr>
      <w:tabs>
        <w:tab w:val="center" w:pos="4513"/>
        <w:tab w:val="right" w:pos="9026"/>
      </w:tabs>
    </w:pPr>
  </w:style>
  <w:style w:type="character" w:customStyle="1" w:styleId="HeaderChar">
    <w:name w:val="Header Char"/>
    <w:basedOn w:val="DefaultParagraphFont"/>
    <w:link w:val="Header"/>
    <w:rsid w:val="00050E51"/>
    <w:rPr>
      <w:sz w:val="24"/>
      <w:lang w:val="it-IT"/>
    </w:rPr>
  </w:style>
  <w:style w:type="paragraph" w:customStyle="1" w:styleId="AmOrLang">
    <w:name w:val="AmOrLang"/>
    <w:basedOn w:val="Normal"/>
    <w:rsid w:val="00050E51"/>
    <w:pPr>
      <w:spacing w:before="240" w:after="240"/>
      <w:jc w:val="right"/>
    </w:pPr>
  </w:style>
  <w:style w:type="paragraph" w:customStyle="1" w:styleId="AmColumnHeading">
    <w:name w:val="AmColumnHeading"/>
    <w:basedOn w:val="Normal"/>
    <w:rsid w:val="00050E51"/>
    <w:pPr>
      <w:spacing w:after="240"/>
      <w:jc w:val="center"/>
    </w:pPr>
    <w:rPr>
      <w:i/>
    </w:rPr>
  </w:style>
  <w:style w:type="paragraph" w:customStyle="1" w:styleId="AmNumberTabs">
    <w:name w:val="AmNumberTabs"/>
    <w:basedOn w:val="Normal"/>
    <w:link w:val="AmNumberTabsChar"/>
    <w:rsid w:val="00050E5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050E51"/>
    <w:rPr>
      <w:b/>
      <w:sz w:val="24"/>
      <w:lang w:val="it-IT"/>
    </w:rPr>
  </w:style>
  <w:style w:type="paragraph" w:customStyle="1" w:styleId="NormalBold12b">
    <w:name w:val="NormalBold12b"/>
    <w:basedOn w:val="Normal"/>
    <w:link w:val="NormalBold12bChar"/>
    <w:rsid w:val="00050E51"/>
    <w:pPr>
      <w:spacing w:before="240"/>
    </w:pPr>
    <w:rPr>
      <w:b/>
    </w:rPr>
  </w:style>
  <w:style w:type="paragraph" w:customStyle="1" w:styleId="EPBody">
    <w:name w:val="EPBody"/>
    <w:basedOn w:val="Normal"/>
    <w:rsid w:val="00050E51"/>
    <w:pPr>
      <w:jc w:val="center"/>
    </w:pPr>
    <w:rPr>
      <w:rFonts w:ascii="Arial" w:hAnsi="Arial" w:cs="Arial"/>
      <w:i/>
      <w:sz w:val="22"/>
      <w:szCs w:val="22"/>
    </w:rPr>
  </w:style>
  <w:style w:type="paragraph" w:customStyle="1" w:styleId="EPFooter">
    <w:name w:val="EPFooter"/>
    <w:basedOn w:val="Normal"/>
    <w:rsid w:val="00050E51"/>
    <w:pPr>
      <w:tabs>
        <w:tab w:val="center" w:pos="4535"/>
        <w:tab w:val="right" w:pos="9071"/>
      </w:tabs>
      <w:spacing w:before="240" w:after="240"/>
    </w:pPr>
    <w:rPr>
      <w:color w:val="010000"/>
      <w:sz w:val="22"/>
    </w:rPr>
  </w:style>
  <w:style w:type="paragraph" w:customStyle="1" w:styleId="EPComma">
    <w:name w:val="EPComma"/>
    <w:basedOn w:val="Normal"/>
    <w:rsid w:val="00050E51"/>
    <w:pPr>
      <w:spacing w:before="480" w:after="240"/>
    </w:pPr>
  </w:style>
  <w:style w:type="paragraph" w:customStyle="1" w:styleId="Lgendesigne">
    <w:name w:val="Légende signe"/>
    <w:basedOn w:val="Normal"/>
    <w:rsid w:val="00050E51"/>
    <w:pPr>
      <w:tabs>
        <w:tab w:val="right" w:pos="454"/>
        <w:tab w:val="left" w:pos="737"/>
      </w:tabs>
      <w:ind w:left="737" w:hanging="737"/>
    </w:pPr>
    <w:rPr>
      <w:snapToGrid w:val="0"/>
      <w:sz w:val="18"/>
      <w:lang w:eastAsia="en-US"/>
    </w:rPr>
  </w:style>
  <w:style w:type="paragraph" w:customStyle="1" w:styleId="Lgendetitre">
    <w:name w:val="Légende titre"/>
    <w:basedOn w:val="Normal"/>
    <w:rsid w:val="00050E51"/>
    <w:pPr>
      <w:spacing w:before="240" w:after="240"/>
    </w:pPr>
    <w:rPr>
      <w:b/>
      <w:i/>
      <w:snapToGrid w:val="0"/>
      <w:lang w:eastAsia="en-US"/>
    </w:rPr>
  </w:style>
  <w:style w:type="paragraph" w:customStyle="1" w:styleId="Lgendestandard">
    <w:name w:val="Légende standard"/>
    <w:basedOn w:val="Normal"/>
    <w:rsid w:val="00050E51"/>
    <w:rPr>
      <w:sz w:val="18"/>
    </w:rPr>
  </w:style>
  <w:style w:type="paragraph" w:styleId="Footer">
    <w:name w:val="footer"/>
    <w:basedOn w:val="Normal"/>
    <w:link w:val="FooterChar"/>
    <w:rsid w:val="00050E51"/>
    <w:pPr>
      <w:tabs>
        <w:tab w:val="center" w:pos="4513"/>
        <w:tab w:val="right" w:pos="9026"/>
      </w:tabs>
    </w:pPr>
  </w:style>
  <w:style w:type="character" w:customStyle="1" w:styleId="FooterChar">
    <w:name w:val="Footer Char"/>
    <w:basedOn w:val="DefaultParagraphFont"/>
    <w:link w:val="Footer"/>
    <w:rsid w:val="00050E51"/>
    <w:rPr>
      <w:sz w:val="24"/>
      <w:lang w:val="it-IT"/>
    </w:rPr>
  </w:style>
  <w:style w:type="character" w:customStyle="1" w:styleId="Normal12Char">
    <w:name w:val="Normal12 Char"/>
    <w:basedOn w:val="DefaultParagraphFont"/>
    <w:link w:val="Normal12"/>
    <w:locked/>
    <w:rsid w:val="00050E51"/>
    <w:rPr>
      <w:noProof/>
      <w:sz w:val="24"/>
    </w:rPr>
  </w:style>
  <w:style w:type="paragraph" w:customStyle="1" w:styleId="Normal12">
    <w:name w:val="Normal12"/>
    <w:basedOn w:val="Normal"/>
    <w:link w:val="Normal12Char"/>
    <w:rsid w:val="00050E51"/>
    <w:pPr>
      <w:spacing w:after="240"/>
    </w:pPr>
    <w:rPr>
      <w:noProof/>
      <w:lang w:val="en-GB"/>
    </w:rPr>
  </w:style>
  <w:style w:type="character" w:customStyle="1" w:styleId="Normal6Char">
    <w:name w:val="Normal6 Char"/>
    <w:basedOn w:val="DefaultParagraphFont"/>
    <w:link w:val="Normal6"/>
    <w:locked/>
    <w:rsid w:val="00050E51"/>
    <w:rPr>
      <w:sz w:val="24"/>
      <w:lang w:val="it-IT"/>
    </w:rPr>
  </w:style>
  <w:style w:type="paragraph" w:customStyle="1" w:styleId="Normal6">
    <w:name w:val="Normal6"/>
    <w:basedOn w:val="Normal"/>
    <w:link w:val="Normal6Char"/>
    <w:rsid w:val="00050E51"/>
    <w:pPr>
      <w:spacing w:after="120"/>
    </w:pPr>
  </w:style>
  <w:style w:type="paragraph" w:customStyle="1" w:styleId="Normal12Italic">
    <w:name w:val="Normal12Italic"/>
    <w:basedOn w:val="Normal12"/>
    <w:rsid w:val="00050E51"/>
    <w:rPr>
      <w:i/>
    </w:rPr>
  </w:style>
  <w:style w:type="paragraph" w:customStyle="1" w:styleId="EntPE">
    <w:name w:val="EntPE"/>
    <w:basedOn w:val="Normal12"/>
    <w:rsid w:val="00050E51"/>
    <w:pPr>
      <w:jc w:val="center"/>
    </w:pPr>
    <w:rPr>
      <w:noProof w:val="0"/>
      <w:sz w:val="56"/>
    </w:rPr>
  </w:style>
  <w:style w:type="paragraph" w:customStyle="1" w:styleId="AMNumberTabs0">
    <w:name w:val="AMNumberTabs"/>
    <w:basedOn w:val="Normal"/>
    <w:rsid w:val="00050E5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50E51"/>
    <w:pPr>
      <w:spacing w:after="240"/>
      <w:jc w:val="center"/>
    </w:pPr>
    <w:rPr>
      <w:i/>
    </w:rPr>
  </w:style>
  <w:style w:type="paragraph" w:customStyle="1" w:styleId="Olang">
    <w:name w:val="Olang"/>
    <w:basedOn w:val="Normal"/>
    <w:rsid w:val="00050E51"/>
    <w:pPr>
      <w:spacing w:before="240" w:after="240"/>
      <w:jc w:val="right"/>
    </w:pPr>
    <w:rPr>
      <w:noProof/>
      <w:szCs w:val="24"/>
    </w:rPr>
  </w:style>
  <w:style w:type="paragraph" w:customStyle="1" w:styleId="JustificationTitle">
    <w:name w:val="JustificationTitle"/>
    <w:basedOn w:val="Normal"/>
    <w:next w:val="Normal12"/>
    <w:rsid w:val="00050E51"/>
    <w:pPr>
      <w:keepNext/>
      <w:spacing w:before="240" w:after="240"/>
      <w:jc w:val="center"/>
    </w:pPr>
    <w:rPr>
      <w:i/>
      <w:noProof/>
    </w:rPr>
  </w:style>
  <w:style w:type="paragraph" w:styleId="CommentText">
    <w:name w:val="annotation text"/>
    <w:basedOn w:val="Normal"/>
    <w:link w:val="CommentTextChar"/>
    <w:uiPriority w:val="99"/>
    <w:unhideWhenUsed/>
    <w:rsid w:val="00050E51"/>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sid w:val="00050E51"/>
    <w:rPr>
      <w:lang w:val="it-IT" w:eastAsia="en-US"/>
    </w:rPr>
  </w:style>
  <w:style w:type="paragraph" w:styleId="CommentSubject">
    <w:name w:val="annotation subject"/>
    <w:basedOn w:val="CommentText"/>
    <w:next w:val="CommentText"/>
    <w:link w:val="CommentSubjectChar"/>
    <w:unhideWhenUsed/>
    <w:rsid w:val="00050E51"/>
    <w:pPr>
      <w:widowControl w:val="0"/>
      <w:spacing w:before="0" w:after="0"/>
      <w:jc w:val="left"/>
    </w:pPr>
    <w:rPr>
      <w:b/>
      <w:bCs/>
      <w:lang w:eastAsia="en-GB"/>
    </w:rPr>
  </w:style>
  <w:style w:type="character" w:customStyle="1" w:styleId="CommentSubjectChar">
    <w:name w:val="Comment Subject Char"/>
    <w:basedOn w:val="CommentTextChar"/>
    <w:link w:val="CommentSubject"/>
    <w:rsid w:val="00050E51"/>
    <w:rPr>
      <w:b/>
      <w:bCs/>
      <w:lang w:val="it-IT" w:eastAsia="en-US"/>
    </w:rPr>
  </w:style>
  <w:style w:type="paragraph" w:styleId="BalloonText">
    <w:name w:val="Balloon Text"/>
    <w:basedOn w:val="Normal"/>
    <w:link w:val="BalloonTextChar"/>
    <w:unhideWhenUsed/>
    <w:rsid w:val="00050E51"/>
    <w:rPr>
      <w:rFonts w:ascii="Segoe UI" w:hAnsi="Segoe UI" w:cs="Segoe UI"/>
      <w:sz w:val="18"/>
      <w:szCs w:val="18"/>
    </w:rPr>
  </w:style>
  <w:style w:type="character" w:customStyle="1" w:styleId="BalloonTextChar">
    <w:name w:val="Balloon Text Char"/>
    <w:basedOn w:val="DefaultParagraphFont"/>
    <w:link w:val="BalloonText"/>
    <w:rsid w:val="00050E51"/>
    <w:rPr>
      <w:rFonts w:ascii="Segoe UI" w:hAnsi="Segoe UI" w:cs="Segoe UI"/>
      <w:sz w:val="18"/>
      <w:szCs w:val="18"/>
      <w:lang w:val="it-IT"/>
    </w:rPr>
  </w:style>
  <w:style w:type="paragraph" w:styleId="ListParagraph">
    <w:name w:val="List Paragraph"/>
    <w:basedOn w:val="Normal"/>
    <w:uiPriority w:val="34"/>
    <w:qFormat/>
    <w:rsid w:val="00050E51"/>
    <w:pPr>
      <w:ind w:left="720"/>
      <w:contextualSpacing/>
    </w:pPr>
  </w:style>
  <w:style w:type="paragraph" w:customStyle="1" w:styleId="Normal12a">
    <w:name w:val="Normal12a"/>
    <w:basedOn w:val="Normal"/>
    <w:rsid w:val="00050E51"/>
    <w:pPr>
      <w:spacing w:after="240"/>
    </w:pPr>
  </w:style>
  <w:style w:type="paragraph" w:customStyle="1" w:styleId="RollCallVotes">
    <w:name w:val="RollCallVotes"/>
    <w:basedOn w:val="Normal"/>
    <w:rsid w:val="00050E51"/>
    <w:pPr>
      <w:spacing w:before="120" w:after="120"/>
      <w:jc w:val="center"/>
    </w:pPr>
    <w:rPr>
      <w:b/>
      <w:bCs/>
      <w:snapToGrid w:val="0"/>
      <w:sz w:val="16"/>
      <w:lang w:eastAsia="en-US"/>
    </w:rPr>
  </w:style>
  <w:style w:type="paragraph" w:customStyle="1" w:styleId="RollCallTabs">
    <w:name w:val="RollCallTabs"/>
    <w:basedOn w:val="Normal"/>
    <w:qFormat/>
    <w:rsid w:val="00050E51"/>
    <w:pPr>
      <w:tabs>
        <w:tab w:val="center" w:pos="284"/>
        <w:tab w:val="left" w:pos="426"/>
      </w:tabs>
    </w:pPr>
    <w:rPr>
      <w:snapToGrid w:val="0"/>
      <w:lang w:eastAsia="en-US"/>
    </w:rPr>
  </w:style>
  <w:style w:type="paragraph" w:customStyle="1" w:styleId="RollCallSymbols14pt">
    <w:name w:val="RollCallSymbols14pt"/>
    <w:basedOn w:val="Normal"/>
    <w:rsid w:val="00050E51"/>
    <w:pPr>
      <w:spacing w:before="120" w:after="120"/>
      <w:jc w:val="center"/>
    </w:pPr>
    <w:rPr>
      <w:rFonts w:ascii="Arial" w:hAnsi="Arial"/>
      <w:b/>
      <w:bCs/>
      <w:snapToGrid w:val="0"/>
      <w:sz w:val="28"/>
      <w:lang w:eastAsia="en-US"/>
    </w:rPr>
  </w:style>
  <w:style w:type="paragraph" w:customStyle="1" w:styleId="RollCallTable">
    <w:name w:val="RollCallTable"/>
    <w:basedOn w:val="Normal"/>
    <w:rsid w:val="00050E51"/>
    <w:pPr>
      <w:spacing w:before="120" w:after="120"/>
    </w:pPr>
    <w:rPr>
      <w:snapToGrid w:val="0"/>
      <w:sz w:val="16"/>
      <w:lang w:eastAsia="en-US"/>
    </w:rPr>
  </w:style>
  <w:style w:type="paragraph" w:customStyle="1" w:styleId="PageHeadingNotTOC">
    <w:name w:val="PageHeadingNotTOC"/>
    <w:basedOn w:val="Normal"/>
    <w:rsid w:val="00050E51"/>
    <w:pPr>
      <w:keepNext/>
      <w:spacing w:after="480"/>
      <w:jc w:val="center"/>
    </w:pPr>
    <w:rPr>
      <w:rFonts w:ascii="Arial" w:hAnsi="Arial" w:cs="Arial"/>
      <w:b/>
    </w:rPr>
  </w:style>
  <w:style w:type="paragraph" w:customStyle="1" w:styleId="AmHeadingPA">
    <w:name w:val="AmHeadingPA"/>
    <w:basedOn w:val="Normal"/>
    <w:next w:val="Normal"/>
    <w:rsid w:val="00050E51"/>
    <w:pPr>
      <w:spacing w:before="480" w:after="240"/>
      <w:jc w:val="center"/>
    </w:pPr>
    <w:rPr>
      <w:rFonts w:ascii="Arial" w:hAnsi="Arial"/>
      <w:b/>
      <w:caps/>
      <w:snapToGrid w:val="0"/>
      <w:szCs w:val="24"/>
      <w:lang w:eastAsia="en-US"/>
    </w:rPr>
  </w:style>
  <w:style w:type="paragraph" w:customStyle="1" w:styleId="CommitteeAM">
    <w:name w:val="CommitteeAM"/>
    <w:basedOn w:val="Normal"/>
    <w:rsid w:val="00050E51"/>
    <w:pPr>
      <w:spacing w:before="240" w:after="600"/>
      <w:jc w:val="center"/>
    </w:pPr>
    <w:rPr>
      <w:i/>
    </w:rPr>
  </w:style>
  <w:style w:type="paragraph" w:customStyle="1" w:styleId="ZDateAM">
    <w:name w:val="ZDateAM"/>
    <w:basedOn w:val="Normal"/>
    <w:rsid w:val="00050E51"/>
    <w:pPr>
      <w:tabs>
        <w:tab w:val="right" w:pos="9356"/>
      </w:tabs>
      <w:spacing w:after="480"/>
    </w:pPr>
    <w:rPr>
      <w:noProof/>
    </w:rPr>
  </w:style>
  <w:style w:type="paragraph" w:customStyle="1" w:styleId="ProjRap">
    <w:name w:val="ProjRap"/>
    <w:basedOn w:val="Normal"/>
    <w:rsid w:val="00050E51"/>
    <w:pPr>
      <w:tabs>
        <w:tab w:val="right" w:pos="9356"/>
      </w:tabs>
    </w:pPr>
    <w:rPr>
      <w:b/>
      <w:noProof/>
    </w:rPr>
  </w:style>
  <w:style w:type="paragraph" w:customStyle="1" w:styleId="PELeft">
    <w:name w:val="PELeft"/>
    <w:basedOn w:val="Normal"/>
    <w:rsid w:val="00050E51"/>
    <w:pPr>
      <w:spacing w:before="40" w:after="40"/>
    </w:pPr>
    <w:rPr>
      <w:rFonts w:ascii="Arial" w:hAnsi="Arial" w:cs="Arial"/>
      <w:sz w:val="22"/>
      <w:szCs w:val="22"/>
    </w:rPr>
  </w:style>
  <w:style w:type="paragraph" w:customStyle="1" w:styleId="PERight">
    <w:name w:val="PERight"/>
    <w:basedOn w:val="Normal"/>
    <w:next w:val="Normal"/>
    <w:rsid w:val="00050E51"/>
    <w:pPr>
      <w:jc w:val="right"/>
    </w:pPr>
    <w:rPr>
      <w:rFonts w:ascii="Arial" w:hAnsi="Arial" w:cs="Arial"/>
      <w:sz w:val="22"/>
      <w:szCs w:val="22"/>
    </w:rPr>
  </w:style>
  <w:style w:type="paragraph" w:customStyle="1" w:styleId="CrossRef">
    <w:name w:val="CrossRef"/>
    <w:basedOn w:val="Normal"/>
    <w:rsid w:val="00050E51"/>
    <w:pPr>
      <w:spacing w:before="240"/>
      <w:jc w:val="center"/>
    </w:pPr>
    <w:rPr>
      <w:i/>
    </w:rPr>
  </w:style>
  <w:style w:type="paragraph" w:customStyle="1" w:styleId="Text1">
    <w:name w:val="Text 1"/>
    <w:basedOn w:val="Normal"/>
    <w:rsid w:val="00050E51"/>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050E51"/>
    <w:pPr>
      <w:spacing w:after="480"/>
    </w:pPr>
  </w:style>
  <w:style w:type="character" w:customStyle="1" w:styleId="Normal24aChar">
    <w:name w:val="Normal24a Char"/>
    <w:basedOn w:val="DefaultParagraphFont"/>
    <w:link w:val="Normal24a"/>
    <w:rsid w:val="00050E51"/>
    <w:rPr>
      <w:sz w:val="24"/>
      <w:lang w:val="it-IT"/>
    </w:rPr>
  </w:style>
  <w:style w:type="paragraph" w:styleId="EndnoteText">
    <w:name w:val="endnote text"/>
    <w:basedOn w:val="Normal"/>
    <w:link w:val="EndnoteTextChar"/>
    <w:rsid w:val="00050E51"/>
    <w:rPr>
      <w:sz w:val="20"/>
    </w:rPr>
  </w:style>
  <w:style w:type="character" w:customStyle="1" w:styleId="EndnoteTextChar">
    <w:name w:val="Endnote Text Char"/>
    <w:basedOn w:val="DefaultParagraphFont"/>
    <w:link w:val="EndnoteText"/>
    <w:rsid w:val="00050E51"/>
    <w:rPr>
      <w:lang w:val="it-IT"/>
    </w:rPr>
  </w:style>
  <w:style w:type="paragraph" w:customStyle="1" w:styleId="HideTWBExtn">
    <w:name w:val="HideTWBExtn"/>
    <w:basedOn w:val="NormalBold"/>
    <w:rsid w:val="00050E51"/>
  </w:style>
  <w:style w:type="paragraph" w:customStyle="1" w:styleId="msonormal0">
    <w:name w:val="msonormal"/>
    <w:basedOn w:val="Normal"/>
    <w:rsid w:val="00050E51"/>
    <w:pPr>
      <w:widowControl/>
      <w:spacing w:before="100" w:beforeAutospacing="1" w:after="100" w:afterAutospacing="1"/>
    </w:pPr>
    <w:rPr>
      <w:szCs w:val="24"/>
    </w:rPr>
  </w:style>
  <w:style w:type="character" w:styleId="Hyperlink">
    <w:name w:val="Hyperlink"/>
    <w:basedOn w:val="DefaultParagraphFont"/>
    <w:uiPriority w:val="99"/>
    <w:unhideWhenUsed/>
    <w:rsid w:val="00050E51"/>
    <w:rPr>
      <w:color w:val="0000FF"/>
      <w:u w:val="single"/>
    </w:rPr>
  </w:style>
  <w:style w:type="character" w:customStyle="1" w:styleId="ui-provider">
    <w:name w:val="ui-provider"/>
    <w:basedOn w:val="DefaultParagraphFont"/>
    <w:rsid w:val="00050E51"/>
  </w:style>
  <w:style w:type="character" w:styleId="FollowedHyperlink">
    <w:name w:val="FollowedHyperlink"/>
    <w:basedOn w:val="DefaultParagraphFont"/>
    <w:rsid w:val="00914E93"/>
    <w:rPr>
      <w:color w:val="954F72" w:themeColor="followedHyperlink"/>
      <w:u w:val="single"/>
    </w:rPr>
  </w:style>
  <w:style w:type="character" w:customStyle="1" w:styleId="NormalBold12bChar">
    <w:name w:val="NormalBold12b Char"/>
    <w:basedOn w:val="DefaultParagraphFont"/>
    <w:link w:val="NormalBold12b"/>
    <w:rsid w:val="00AF3C85"/>
    <w:rPr>
      <w:b/>
      <w:sz w:val="24"/>
      <w:lang w:val="it-IT"/>
    </w:rPr>
  </w:style>
  <w:style w:type="character" w:styleId="CommentReference">
    <w:name w:val="annotation reference"/>
    <w:basedOn w:val="DefaultParagraphFont"/>
    <w:rsid w:val="002A1344"/>
    <w:rPr>
      <w:sz w:val="16"/>
      <w:szCs w:val="16"/>
    </w:rPr>
  </w:style>
  <w:style w:type="numbering" w:customStyle="1" w:styleId="NoList1">
    <w:name w:val="No List1"/>
    <w:next w:val="NoList"/>
    <w:uiPriority w:val="99"/>
    <w:semiHidden/>
    <w:unhideWhenUsed/>
    <w:rsid w:val="00FF3D47"/>
  </w:style>
  <w:style w:type="paragraph" w:customStyle="1" w:styleId="SignatureInstitution">
    <w:name w:val="Signature Institution"/>
    <w:basedOn w:val="Normal"/>
    <w:rsid w:val="00FF3D47"/>
    <w:pPr>
      <w:keepNext/>
      <w:widowControl/>
      <w:tabs>
        <w:tab w:val="left" w:pos="4252"/>
      </w:tabs>
      <w:spacing w:before="720" w:after="100" w:line="360" w:lineRule="auto"/>
      <w:jc w:val="both"/>
    </w:pPr>
    <w:rPr>
      <w:i/>
      <w:szCs w:val="24"/>
      <w:lang w:val="en-GB" w:eastAsia="en-US"/>
    </w:rPr>
  </w:style>
  <w:style w:type="paragraph" w:customStyle="1" w:styleId="SignaturePersonne">
    <w:name w:val="Signature Personne"/>
    <w:basedOn w:val="Normal"/>
    <w:rsid w:val="00FF3D47"/>
    <w:pPr>
      <w:widowControl/>
      <w:tabs>
        <w:tab w:val="left" w:pos="4252"/>
      </w:tabs>
      <w:spacing w:line="360" w:lineRule="auto"/>
    </w:pPr>
    <w:rPr>
      <w:i/>
      <w:szCs w:val="24"/>
      <w:lang w:val="en-GB" w:eastAsia="en-US"/>
    </w:rPr>
  </w:style>
  <w:style w:type="paragraph" w:customStyle="1" w:styleId="Fait">
    <w:name w:val="Fait à"/>
    <w:basedOn w:val="Normal"/>
    <w:rsid w:val="00FF3D47"/>
    <w:pPr>
      <w:keepNext/>
      <w:widowControl/>
      <w:spacing w:before="120" w:line="360" w:lineRule="auto"/>
    </w:pPr>
    <w:rPr>
      <w:szCs w:val="24"/>
      <w:lang w:val="en-GB" w:eastAsia="en-US"/>
    </w:rPr>
  </w:style>
  <w:style w:type="paragraph" w:customStyle="1" w:styleId="FootnoteTextForceStyle">
    <w:name w:val="Footnote Text ForceStyle"/>
    <w:rsid w:val="00FF3D47"/>
    <w:pPr>
      <w:keepLines/>
      <w:widowControl w:val="0"/>
      <w:ind w:left="850" w:hanging="850"/>
    </w:pPr>
    <w:rPr>
      <w:sz w:val="24"/>
      <w:lang w:eastAsia="en-US"/>
    </w:rPr>
  </w:style>
  <w:style w:type="paragraph" w:customStyle="1" w:styleId="Applicationdirecte">
    <w:name w:val="Application directe"/>
    <w:basedOn w:val="Normal"/>
    <w:next w:val="Normal"/>
    <w:rsid w:val="00FF3D47"/>
    <w:pPr>
      <w:spacing w:before="120" w:after="120" w:line="360" w:lineRule="auto"/>
    </w:pPr>
    <w:rPr>
      <w:szCs w:val="24"/>
      <w:lang w:val="en-GB" w:eastAsia="en-US"/>
    </w:rPr>
  </w:style>
  <w:style w:type="paragraph" w:customStyle="1" w:styleId="Considrant">
    <w:name w:val="Considérant"/>
    <w:basedOn w:val="Normal"/>
    <w:rsid w:val="00FF3D4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FF3D47"/>
    <w:pPr>
      <w:keepNext/>
      <w:spacing w:before="600" w:after="120" w:line="360" w:lineRule="auto"/>
    </w:pPr>
    <w:rPr>
      <w:szCs w:val="24"/>
      <w:lang w:val="en-GB" w:eastAsia="en-US"/>
    </w:rPr>
  </w:style>
  <w:style w:type="paragraph" w:customStyle="1" w:styleId="Institutionquisigne">
    <w:name w:val="Institution qui signe"/>
    <w:basedOn w:val="Normal"/>
    <w:next w:val="Normal"/>
    <w:rsid w:val="00FF3D47"/>
    <w:pPr>
      <w:keepNext/>
      <w:tabs>
        <w:tab w:val="left" w:pos="4252"/>
      </w:tabs>
      <w:spacing w:before="720" w:line="360" w:lineRule="auto"/>
    </w:pPr>
    <w:rPr>
      <w:i/>
      <w:szCs w:val="24"/>
      <w:lang w:val="en-GB" w:eastAsia="en-US"/>
    </w:rPr>
  </w:style>
  <w:style w:type="paragraph" w:customStyle="1" w:styleId="Normale">
    <w:name w:val="Normale"/>
    <w:rsid w:val="00FF3D47"/>
    <w:pPr>
      <w:widowControl w:val="0"/>
      <w:spacing w:before="120" w:after="120" w:line="360" w:lineRule="auto"/>
    </w:pPr>
    <w:rPr>
      <w:sz w:val="24"/>
      <w:lang w:eastAsia="en-US"/>
    </w:rPr>
  </w:style>
  <w:style w:type="character" w:customStyle="1" w:styleId="Footer2">
    <w:name w:val="Footer2"/>
    <w:rsid w:val="00FF3D47"/>
    <w:rPr>
      <w:rFonts w:ascii="Arial" w:hAnsi="Arial"/>
      <w:b/>
      <w:sz w:val="48"/>
    </w:rPr>
  </w:style>
  <w:style w:type="paragraph" w:customStyle="1" w:styleId="Rfrenceinstitutionnelle">
    <w:name w:val="Référence institutionnelle"/>
    <w:basedOn w:val="Normal"/>
    <w:next w:val="Normal"/>
    <w:rsid w:val="00FF3D47"/>
    <w:pPr>
      <w:widowControl/>
      <w:spacing w:after="240" w:line="360" w:lineRule="auto"/>
      <w:ind w:left="5102"/>
    </w:pPr>
    <w:rPr>
      <w:szCs w:val="24"/>
      <w:lang w:val="en-GB" w:eastAsia="en-US"/>
    </w:rPr>
  </w:style>
  <w:style w:type="paragraph" w:customStyle="1" w:styleId="Statut">
    <w:name w:val="Statut"/>
    <w:basedOn w:val="Normal"/>
    <w:next w:val="Normal"/>
    <w:rsid w:val="00FF3D47"/>
    <w:pPr>
      <w:widowControl/>
      <w:spacing w:before="840" w:line="360" w:lineRule="auto"/>
      <w:jc w:val="center"/>
    </w:pPr>
    <w:rPr>
      <w:szCs w:val="24"/>
      <w:lang w:val="en-GB" w:eastAsia="en-US"/>
    </w:rPr>
  </w:style>
  <w:style w:type="paragraph" w:customStyle="1" w:styleId="Typedudocument">
    <w:name w:val="Type du document"/>
    <w:basedOn w:val="Normal"/>
    <w:next w:val="Normal"/>
    <w:rsid w:val="00FF3D47"/>
    <w:pPr>
      <w:widowControl/>
      <w:spacing w:before="360" w:line="360" w:lineRule="auto"/>
      <w:jc w:val="center"/>
    </w:pPr>
    <w:rPr>
      <w:b/>
      <w:szCs w:val="24"/>
      <w:lang w:val="en-GB" w:eastAsia="en-US"/>
    </w:rPr>
  </w:style>
  <w:style w:type="paragraph" w:customStyle="1" w:styleId="Titreobjet">
    <w:name w:val="Titre objet"/>
    <w:basedOn w:val="Normal"/>
    <w:next w:val="Normal"/>
    <w:rsid w:val="00FF3D4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FF3D47"/>
    <w:pPr>
      <w:widowControl/>
      <w:spacing w:before="360" w:after="240" w:line="360" w:lineRule="auto"/>
      <w:jc w:val="center"/>
    </w:pPr>
    <w:rPr>
      <w:szCs w:val="24"/>
      <w:lang w:val="en-GB" w:eastAsia="en-US"/>
    </w:rPr>
  </w:style>
  <w:style w:type="paragraph" w:customStyle="1" w:styleId="Footer1">
    <w:name w:val="Footer1"/>
    <w:basedOn w:val="Normal"/>
    <w:rsid w:val="00FF3D47"/>
    <w:pPr>
      <w:widowControl/>
      <w:tabs>
        <w:tab w:val="center" w:pos="4150"/>
        <w:tab w:val="right" w:pos="8306"/>
        <w:tab w:val="right" w:pos="9638"/>
      </w:tabs>
      <w:spacing w:line="360" w:lineRule="auto"/>
    </w:pPr>
    <w:rPr>
      <w:szCs w:val="24"/>
      <w:lang w:val="en-GB" w:eastAsia="en-US"/>
    </w:rPr>
  </w:style>
  <w:style w:type="paragraph" w:customStyle="1" w:styleId="Formuledadoption">
    <w:name w:val="Formule d'adoption"/>
    <w:basedOn w:val="Normal"/>
    <w:next w:val="Normal"/>
    <w:rsid w:val="00FF3D47"/>
    <w:pPr>
      <w:keepNext/>
      <w:widowControl/>
      <w:spacing w:before="120" w:after="120" w:line="360" w:lineRule="auto"/>
    </w:pPr>
    <w:rPr>
      <w:szCs w:val="24"/>
      <w:lang w:val="en-GB" w:eastAsia="en-US"/>
    </w:rPr>
  </w:style>
  <w:style w:type="character" w:customStyle="1" w:styleId="CMissingStyle">
    <w:name w:val="C_MissingStyle"/>
    <w:rsid w:val="00FF3D47"/>
    <w:rPr>
      <w:color w:val="FFFFFF"/>
      <w:sz w:val="22"/>
      <w:shd w:val="clear" w:color="000000" w:fill="000000"/>
    </w:rPr>
  </w:style>
  <w:style w:type="paragraph" w:customStyle="1" w:styleId="PMissingStyle">
    <w:name w:val="P_MissingStyle"/>
    <w:basedOn w:val="Normal"/>
    <w:rsid w:val="00FF3D47"/>
    <w:pPr>
      <w:spacing w:before="120" w:after="120" w:line="360" w:lineRule="auto"/>
    </w:pPr>
    <w:rPr>
      <w:color w:val="FFFFFF"/>
      <w:szCs w:val="24"/>
      <w:shd w:val="clear" w:color="000000" w:fill="000000"/>
      <w:lang w:val="en-GB" w:eastAsia="en-US"/>
    </w:rPr>
  </w:style>
  <w:style w:type="table" w:customStyle="1" w:styleId="TableGrid1">
    <w:name w:val="Table Grid1"/>
    <w:basedOn w:val="TableNormal"/>
    <w:next w:val="TableGrid"/>
    <w:uiPriority w:val="39"/>
    <w:rsid w:val="008D196E"/>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0number">
    <w:name w:val="Point 0 (number)"/>
    <w:basedOn w:val="Normal"/>
    <w:rsid w:val="008D196E"/>
    <w:pPr>
      <w:widowControl/>
      <w:numPr>
        <w:numId w:val="46"/>
      </w:numPr>
      <w:tabs>
        <w:tab w:val="clear" w:pos="850"/>
        <w:tab w:val="num" w:pos="360"/>
      </w:tabs>
      <w:spacing w:before="120" w:after="120"/>
      <w:ind w:left="360" w:hanging="360"/>
      <w:jc w:val="both"/>
    </w:pPr>
    <w:rPr>
      <w:rFonts w:eastAsia="Calibri"/>
      <w:szCs w:val="22"/>
      <w:lang w:eastAsia="en-US"/>
    </w:rPr>
  </w:style>
  <w:style w:type="paragraph" w:customStyle="1" w:styleId="Point1number">
    <w:name w:val="Point 1 (number)"/>
    <w:basedOn w:val="Normal"/>
    <w:rsid w:val="008D196E"/>
    <w:pPr>
      <w:widowControl/>
      <w:numPr>
        <w:ilvl w:val="2"/>
        <w:numId w:val="46"/>
      </w:numPr>
      <w:tabs>
        <w:tab w:val="clear" w:pos="1417"/>
        <w:tab w:val="num" w:pos="360"/>
      </w:tabs>
      <w:spacing w:before="120" w:after="120"/>
      <w:ind w:left="360" w:hanging="360"/>
      <w:jc w:val="both"/>
    </w:pPr>
    <w:rPr>
      <w:rFonts w:eastAsia="Calibri"/>
      <w:szCs w:val="22"/>
      <w:lang w:eastAsia="en-US"/>
    </w:rPr>
  </w:style>
  <w:style w:type="paragraph" w:customStyle="1" w:styleId="Point2number">
    <w:name w:val="Point 2 (number)"/>
    <w:basedOn w:val="Normal"/>
    <w:rsid w:val="008D196E"/>
    <w:pPr>
      <w:widowControl/>
      <w:numPr>
        <w:ilvl w:val="4"/>
        <w:numId w:val="46"/>
      </w:numPr>
      <w:tabs>
        <w:tab w:val="clear" w:pos="1984"/>
        <w:tab w:val="num" w:pos="360"/>
      </w:tabs>
      <w:spacing w:before="120" w:after="120"/>
      <w:ind w:left="360" w:hanging="360"/>
      <w:jc w:val="both"/>
    </w:pPr>
    <w:rPr>
      <w:rFonts w:eastAsia="Calibri"/>
      <w:szCs w:val="22"/>
      <w:lang w:eastAsia="en-US"/>
    </w:rPr>
  </w:style>
  <w:style w:type="paragraph" w:customStyle="1" w:styleId="Point3number">
    <w:name w:val="Point 3 (number)"/>
    <w:basedOn w:val="Normal"/>
    <w:rsid w:val="008D196E"/>
    <w:pPr>
      <w:widowControl/>
      <w:numPr>
        <w:ilvl w:val="6"/>
        <w:numId w:val="46"/>
      </w:numPr>
      <w:tabs>
        <w:tab w:val="clear" w:pos="2551"/>
        <w:tab w:val="num" w:pos="360"/>
      </w:tabs>
      <w:spacing w:before="120" w:after="120"/>
      <w:ind w:left="360" w:hanging="360"/>
      <w:jc w:val="both"/>
    </w:pPr>
    <w:rPr>
      <w:rFonts w:eastAsia="Calibri"/>
      <w:szCs w:val="22"/>
      <w:lang w:eastAsia="en-US"/>
    </w:rPr>
  </w:style>
  <w:style w:type="paragraph" w:customStyle="1" w:styleId="Point0letter">
    <w:name w:val="Point 0 (letter)"/>
    <w:basedOn w:val="Normal"/>
    <w:rsid w:val="008D196E"/>
    <w:pPr>
      <w:widowControl/>
      <w:numPr>
        <w:ilvl w:val="1"/>
        <w:numId w:val="46"/>
      </w:numPr>
      <w:tabs>
        <w:tab w:val="clear" w:pos="850"/>
        <w:tab w:val="num" w:pos="360"/>
      </w:tabs>
      <w:spacing w:before="120" w:after="120"/>
      <w:ind w:left="360" w:hanging="360"/>
      <w:jc w:val="both"/>
    </w:pPr>
    <w:rPr>
      <w:rFonts w:eastAsia="Calibri"/>
      <w:szCs w:val="22"/>
      <w:lang w:eastAsia="en-US"/>
    </w:rPr>
  </w:style>
  <w:style w:type="paragraph" w:customStyle="1" w:styleId="Point1letter">
    <w:name w:val="Point 1 (letter)"/>
    <w:basedOn w:val="Normal"/>
    <w:rsid w:val="008D196E"/>
    <w:pPr>
      <w:widowControl/>
      <w:numPr>
        <w:ilvl w:val="3"/>
        <w:numId w:val="46"/>
      </w:numPr>
      <w:tabs>
        <w:tab w:val="clear" w:pos="1417"/>
        <w:tab w:val="num" w:pos="360"/>
      </w:tabs>
      <w:spacing w:before="120" w:after="120"/>
      <w:ind w:left="360" w:hanging="360"/>
      <w:jc w:val="both"/>
    </w:pPr>
    <w:rPr>
      <w:rFonts w:eastAsia="Calibri"/>
      <w:szCs w:val="22"/>
      <w:lang w:eastAsia="en-US"/>
    </w:rPr>
  </w:style>
  <w:style w:type="paragraph" w:customStyle="1" w:styleId="Point2letter">
    <w:name w:val="Point 2 (letter)"/>
    <w:basedOn w:val="Normal"/>
    <w:rsid w:val="008D196E"/>
    <w:pPr>
      <w:widowControl/>
      <w:numPr>
        <w:ilvl w:val="5"/>
        <w:numId w:val="46"/>
      </w:numPr>
      <w:tabs>
        <w:tab w:val="clear" w:pos="1984"/>
        <w:tab w:val="num" w:pos="360"/>
      </w:tabs>
      <w:spacing w:before="120" w:after="120"/>
      <w:ind w:left="360" w:hanging="360"/>
      <w:jc w:val="both"/>
    </w:pPr>
    <w:rPr>
      <w:rFonts w:eastAsia="Calibri"/>
      <w:szCs w:val="22"/>
      <w:lang w:eastAsia="en-US"/>
    </w:rPr>
  </w:style>
  <w:style w:type="paragraph" w:customStyle="1" w:styleId="Point3letter">
    <w:name w:val="Point 3 (letter)"/>
    <w:basedOn w:val="Normal"/>
    <w:rsid w:val="008D196E"/>
    <w:pPr>
      <w:widowControl/>
      <w:numPr>
        <w:ilvl w:val="7"/>
        <w:numId w:val="46"/>
      </w:numPr>
      <w:tabs>
        <w:tab w:val="clear" w:pos="2551"/>
        <w:tab w:val="num" w:pos="360"/>
      </w:tabs>
      <w:spacing w:before="120" w:after="120"/>
      <w:ind w:left="360" w:hanging="360"/>
      <w:jc w:val="both"/>
    </w:pPr>
    <w:rPr>
      <w:rFonts w:eastAsia="Calibri"/>
      <w:szCs w:val="22"/>
      <w:lang w:eastAsia="en-US"/>
    </w:rPr>
  </w:style>
  <w:style w:type="paragraph" w:customStyle="1" w:styleId="Point4letter">
    <w:name w:val="Point 4 (letter)"/>
    <w:basedOn w:val="Normal"/>
    <w:rsid w:val="008D196E"/>
    <w:pPr>
      <w:widowControl/>
      <w:numPr>
        <w:ilvl w:val="8"/>
        <w:numId w:val="46"/>
      </w:numPr>
      <w:tabs>
        <w:tab w:val="clear" w:pos="3118"/>
        <w:tab w:val="num" w:pos="360"/>
      </w:tabs>
      <w:spacing w:before="120" w:after="120"/>
      <w:ind w:left="360" w:hanging="360"/>
      <w:jc w:val="both"/>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ciencedirect.com/science/article/abs/pii/S003807179700125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eea.europa.eu/publications/soil-monitoring-in-europe"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ao.org/3/cb3355en/cb3355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oi.org/10.1111/ejss.13299" TargetMode="External"/><Relationship Id="rId3" Type="http://schemas.openxmlformats.org/officeDocument/2006/relationships/hyperlink" Target="https://www.fao.org/3/a0541e/a0541e.pdf" TargetMode="External"/><Relationship Id="rId7" Type="http://schemas.openxmlformats.org/officeDocument/2006/relationships/hyperlink" Target="https://www.fao.org/3/a0541e/a0541e.pdf" TargetMode="External"/><Relationship Id="rId2" Type="http://schemas.openxmlformats.org/officeDocument/2006/relationships/hyperlink" Target="https://www.fao.org/3/a0541e/a0541e.pdf" TargetMode="External"/><Relationship Id="rId1" Type="http://schemas.openxmlformats.org/officeDocument/2006/relationships/hyperlink" Target="http://data.europa.eu/eli/C/2024/887/oj" TargetMode="External"/><Relationship Id="rId6" Type="http://schemas.openxmlformats.org/officeDocument/2006/relationships/hyperlink" Target="https://www.eea.europa.eu/publications/soil-monitoring-in-europe" TargetMode="External"/><Relationship Id="rId5" Type="http://schemas.openxmlformats.org/officeDocument/2006/relationships/hyperlink" Target="https://www.fao.org/3/a0541e/a0541e.pdf" TargetMode="External"/><Relationship Id="rId4" Type="http://schemas.openxmlformats.org/officeDocument/2006/relationships/hyperlink" Target="https://www.fao.org/3/cb3355en/cb3355en.pdf" TargetMode="External"/><Relationship Id="rId9" Type="http://schemas.openxmlformats.org/officeDocument/2006/relationships/hyperlink" Target="https://www.sciencedirect.com/science/article/abs/pii/S00380717970012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E3E36-D7AF-437E-92FF-9DCD8A7F7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144</Pages>
  <Words>25630</Words>
  <Characters>149028</Characters>
  <Application>Microsoft Office Word</Application>
  <DocSecurity>0</DocSecurity>
  <Lines>1241</Lines>
  <Paragraphs>348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Karina Pesa</cp:lastModifiedBy>
  <cp:revision>3</cp:revision>
  <cp:lastPrinted>2004-11-19T15:42:00Z</cp:lastPrinted>
  <dcterms:created xsi:type="dcterms:W3CDTF">2024-10-08T14:18:00Z</dcterms:created>
  <dcterms:modified xsi:type="dcterms:W3CDTF">2024-11-20T11:13:00Z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A9-0138/2024</vt:lpwstr>
  </property>
  <property fmtid="{D5CDD505-2E9C-101B-9397-08002B2CF9AE}" pid="4" name="&lt;Type&gt;">
    <vt:lpwstr>RR</vt:lpwstr>
  </property>
  <property fmtid="{D5CDD505-2E9C-101B-9397-08002B2CF9AE}" pid="5" name="&lt;Model&gt;">
    <vt:lpwstr/>
  </property>
</Properties>
</file>