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4F1" w14:paraId="7556607F" w14:textId="77777777" w:rsidTr="0010095E">
        <w:trPr>
          <w:trHeight w:hRule="exact" w:val="1418"/>
        </w:trPr>
        <w:tc>
          <w:tcPr>
            <w:tcW w:w="6804" w:type="dxa"/>
            <w:shd w:val="clear" w:color="auto" w:fill="auto"/>
            <w:vAlign w:val="center"/>
          </w:tcPr>
          <w:p w14:paraId="55FF066F" w14:textId="77777777" w:rsidR="00751A4A" w:rsidRPr="00EB04F1" w:rsidRDefault="008562D6" w:rsidP="0010095E">
            <w:pPr>
              <w:pStyle w:val="EPName"/>
            </w:pPr>
            <w:r w:rsidRPr="00EB04F1">
              <w:t>Eiropas Parlaments</w:t>
            </w:r>
          </w:p>
          <w:p w14:paraId="33A6B76D" w14:textId="77777777" w:rsidR="00751A4A" w:rsidRPr="00EB04F1" w:rsidRDefault="00817416" w:rsidP="00756632">
            <w:pPr>
              <w:pStyle w:val="EPTerm"/>
              <w:rPr>
                <w:rStyle w:val="HideTWBExt"/>
                <w:noProof w:val="0"/>
                <w:vanish w:val="0"/>
                <w:color w:val="auto"/>
              </w:rPr>
            </w:pPr>
            <w:r w:rsidRPr="00EB04F1">
              <w:t>2019-2024</w:t>
            </w:r>
          </w:p>
        </w:tc>
        <w:tc>
          <w:tcPr>
            <w:tcW w:w="2268" w:type="dxa"/>
            <w:shd w:val="clear" w:color="auto" w:fill="auto"/>
          </w:tcPr>
          <w:p w14:paraId="1DD7A80B" w14:textId="77777777" w:rsidR="00751A4A" w:rsidRPr="00EB04F1" w:rsidRDefault="00187494" w:rsidP="0010095E">
            <w:pPr>
              <w:pStyle w:val="EPLogo"/>
            </w:pPr>
            <w:r w:rsidRPr="00EB04F1">
              <w:rPr>
                <w:noProof/>
                <w:lang w:val="en-GB"/>
              </w:rPr>
              <w:drawing>
                <wp:inline distT="0" distB="0" distL="0" distR="0" wp14:anchorId="17D76670" wp14:editId="3D819D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C0D250" w14:textId="77777777" w:rsidR="00D058B8" w:rsidRPr="00EB04F1" w:rsidRDefault="00D058B8" w:rsidP="004C5D52">
      <w:pPr>
        <w:pStyle w:val="LineTop"/>
      </w:pPr>
    </w:p>
    <w:p w14:paraId="39510960" w14:textId="77777777" w:rsidR="00680577" w:rsidRPr="00EB04F1" w:rsidRDefault="008562D6" w:rsidP="00680577">
      <w:pPr>
        <w:pStyle w:val="EPBodyTA1"/>
      </w:pPr>
      <w:r w:rsidRPr="00EB04F1">
        <w:t>PIEŅEMTIE TEKSTI</w:t>
      </w:r>
    </w:p>
    <w:p w14:paraId="74E17832" w14:textId="77777777" w:rsidR="00D058B8" w:rsidRPr="00EB04F1" w:rsidRDefault="00D058B8" w:rsidP="00D058B8">
      <w:pPr>
        <w:pStyle w:val="LineBottom"/>
      </w:pPr>
    </w:p>
    <w:p w14:paraId="08CD0B95" w14:textId="0BC9049C" w:rsidR="008562D6" w:rsidRPr="00EB04F1" w:rsidRDefault="008562D6" w:rsidP="008562D6">
      <w:pPr>
        <w:pStyle w:val="ATHeading1"/>
      </w:pPr>
      <w:bookmarkStart w:id="0" w:name="TANumber"/>
      <w:r w:rsidRPr="00EB04F1">
        <w:t>P9_TA(2024)0</w:t>
      </w:r>
      <w:r w:rsidR="00410E01" w:rsidRPr="00EB04F1">
        <w:t>204</w:t>
      </w:r>
      <w:bookmarkEnd w:id="0"/>
    </w:p>
    <w:p w14:paraId="3D41F885" w14:textId="77777777" w:rsidR="008562D6" w:rsidRPr="00EB04F1" w:rsidRDefault="00DF66DF" w:rsidP="008562D6">
      <w:pPr>
        <w:pStyle w:val="ATHeading2"/>
      </w:pPr>
      <w:bookmarkStart w:id="1" w:name="title"/>
      <w:r w:rsidRPr="00EB04F1">
        <w:t>Augsnes monitorings un noturība (Augsnes monitoringa akts)</w:t>
      </w:r>
      <w:bookmarkEnd w:id="1"/>
    </w:p>
    <w:p w14:paraId="26E7D24C" w14:textId="77777777" w:rsidR="008562D6" w:rsidRPr="00EB04F1" w:rsidRDefault="008562D6" w:rsidP="008562D6">
      <w:pPr>
        <w:rPr>
          <w:i/>
          <w:vanish/>
        </w:rPr>
      </w:pPr>
      <w:r w:rsidRPr="00EB04F1">
        <w:rPr>
          <w:i/>
        </w:rPr>
        <w:fldChar w:fldCharType="begin"/>
      </w:r>
      <w:r w:rsidRPr="00EB04F1">
        <w:rPr>
          <w:i/>
        </w:rPr>
        <w:instrText xml:space="preserve"> TC"(</w:instrText>
      </w:r>
      <w:bookmarkStart w:id="2" w:name="DocNumber"/>
      <w:r w:rsidRPr="00EB04F1">
        <w:rPr>
          <w:i/>
        </w:rPr>
        <w:instrText>A9-0138/2024</w:instrText>
      </w:r>
      <w:bookmarkEnd w:id="2"/>
      <w:r w:rsidRPr="00EB04F1">
        <w:rPr>
          <w:i/>
        </w:rPr>
        <w:instrText xml:space="preserve"> - Referents: Martin Hojsík)"\l3 \n&gt; \* MERGEFORMAT </w:instrText>
      </w:r>
      <w:r w:rsidRPr="00EB04F1">
        <w:rPr>
          <w:i/>
        </w:rPr>
        <w:fldChar w:fldCharType="end"/>
      </w:r>
    </w:p>
    <w:p w14:paraId="267B6821" w14:textId="77777777" w:rsidR="008562D6" w:rsidRPr="00EB04F1" w:rsidRDefault="008562D6" w:rsidP="008562D6">
      <w:pPr>
        <w:rPr>
          <w:vanish/>
        </w:rPr>
      </w:pPr>
      <w:bookmarkStart w:id="3" w:name="Commission"/>
      <w:r w:rsidRPr="00EB04F1">
        <w:rPr>
          <w:vanish/>
        </w:rPr>
        <w:t>Vides, sabiedrības veselības un pārtikas nekaitīguma komiteja</w:t>
      </w:r>
      <w:bookmarkEnd w:id="3"/>
    </w:p>
    <w:p w14:paraId="67568E81" w14:textId="77777777" w:rsidR="008562D6" w:rsidRPr="00EB04F1" w:rsidRDefault="008562D6" w:rsidP="008562D6">
      <w:pPr>
        <w:rPr>
          <w:vanish/>
        </w:rPr>
      </w:pPr>
      <w:bookmarkStart w:id="4" w:name="PE"/>
      <w:r w:rsidRPr="00EB04F1">
        <w:rPr>
          <w:vanish/>
        </w:rPr>
        <w:t>PE754.698</w:t>
      </w:r>
      <w:bookmarkEnd w:id="4"/>
    </w:p>
    <w:p w14:paraId="7EA5E6DE" w14:textId="252BE207" w:rsidR="008562D6" w:rsidRPr="00EB04F1" w:rsidRDefault="008562D6" w:rsidP="008562D6">
      <w:pPr>
        <w:pStyle w:val="ATHeading3"/>
      </w:pPr>
      <w:bookmarkStart w:id="5" w:name="Sujet"/>
      <w:r w:rsidRPr="00EB04F1">
        <w:t xml:space="preserve">Eiropas Parlamenta 2024. gada </w:t>
      </w:r>
      <w:r w:rsidR="00DF66DF" w:rsidRPr="00EB04F1">
        <w:t>10. aprīļa</w:t>
      </w:r>
      <w:r w:rsidRPr="00EB04F1">
        <w:t xml:space="preserve"> normatīvā rezolūcija par priekšlikumu Eiropas Parlamenta un Padomes direktīvai par augsnes monitoringu un noturību (Augsnes monitoringa akts)</w:t>
      </w:r>
      <w:bookmarkEnd w:id="5"/>
      <w:r w:rsidRPr="00EB04F1">
        <w:t xml:space="preserve"> </w:t>
      </w:r>
      <w:bookmarkStart w:id="6" w:name="References"/>
      <w:r w:rsidRPr="00EB04F1">
        <w:t>(COM(2023)0416 – C9-0234/2023 – 2023/0232(COD))</w:t>
      </w:r>
      <w:bookmarkEnd w:id="6"/>
    </w:p>
    <w:p w14:paraId="41674F52" w14:textId="77777777" w:rsidR="007073DA" w:rsidRPr="00EB04F1" w:rsidRDefault="007073DA" w:rsidP="007073DA">
      <w:pPr>
        <w:pStyle w:val="NormalBold"/>
      </w:pPr>
      <w:bookmarkStart w:id="7" w:name="TextBodyBegin"/>
      <w:bookmarkEnd w:id="7"/>
      <w:r w:rsidRPr="00EB04F1">
        <w:t>(Parastā likumdošanas procedūra: pirmais lasījums)</w:t>
      </w:r>
    </w:p>
    <w:p w14:paraId="335AC5B2" w14:textId="77777777" w:rsidR="007073DA" w:rsidRPr="00EB04F1" w:rsidRDefault="007073DA" w:rsidP="007073DA">
      <w:pPr>
        <w:pStyle w:val="EPComma"/>
      </w:pPr>
      <w:r w:rsidRPr="00EB04F1">
        <w:rPr>
          <w:i/>
          <w:iCs/>
        </w:rPr>
        <w:t>Eiropas Parlaments</w:t>
      </w:r>
      <w:r w:rsidRPr="00EB04F1">
        <w:t>,</w:t>
      </w:r>
    </w:p>
    <w:p w14:paraId="3C5F0D63" w14:textId="77777777" w:rsidR="007073DA" w:rsidRPr="00EB04F1" w:rsidRDefault="007073DA" w:rsidP="007073DA">
      <w:pPr>
        <w:pStyle w:val="NormalHanging12a"/>
      </w:pPr>
      <w:r w:rsidRPr="00EB04F1">
        <w:t>–</w:t>
      </w:r>
      <w:r w:rsidRPr="00EB04F1">
        <w:tab/>
        <w:t>ņemot vērā Komisijas priekšlikumu Eiropas Parlamentam un Padomei (COM(2023)0416),</w:t>
      </w:r>
    </w:p>
    <w:p w14:paraId="259172FF" w14:textId="77777777" w:rsidR="007073DA" w:rsidRPr="00EB04F1" w:rsidRDefault="007073DA" w:rsidP="007073DA">
      <w:pPr>
        <w:pStyle w:val="NormalHanging12a"/>
      </w:pPr>
      <w:r w:rsidRPr="00EB04F1">
        <w:t>–</w:t>
      </w:r>
      <w:r w:rsidRPr="00EB04F1">
        <w:tab/>
        <w:t>ņemot vērā Līguma par Eiropas Savienības darbību 294. panta 2. punktu un 192. panta 1. punktu, saskaņā ar kuriem Komisija tam ir iesniegusi priekšlikumu (C9</w:t>
      </w:r>
      <w:r w:rsidRPr="00EB04F1">
        <w:noBreakHyphen/>
        <w:t>0234/2023),</w:t>
      </w:r>
    </w:p>
    <w:p w14:paraId="57F566EB" w14:textId="77777777" w:rsidR="007073DA" w:rsidRPr="00EB04F1" w:rsidRDefault="007073DA" w:rsidP="007073DA">
      <w:pPr>
        <w:pStyle w:val="NormalHanging12a"/>
      </w:pPr>
      <w:r w:rsidRPr="00EB04F1">
        <w:t>–</w:t>
      </w:r>
      <w:r w:rsidRPr="00EB04F1">
        <w:tab/>
        <w:t>ņemot vērā Līguma par Eiropas Savienības darbību 294. panta 3. punktu,</w:t>
      </w:r>
    </w:p>
    <w:p w14:paraId="7C7A2DBE" w14:textId="77777777" w:rsidR="007073DA" w:rsidRPr="00EB04F1" w:rsidRDefault="007073DA" w:rsidP="007073DA">
      <w:pPr>
        <w:pStyle w:val="NormalHanging12a"/>
      </w:pPr>
      <w:r w:rsidRPr="00EB04F1">
        <w:t>–</w:t>
      </w:r>
      <w:r w:rsidRPr="00EB04F1">
        <w:tab/>
        <w:t>ņemot vērā pamatoto atzinumu, kuru saskaņā ar Protokolu Nr. 2 par subsidiaritātes principa un proporcionalitātes principa piemērošanu iesniegusi Nīderlandes parlamenta Pirmā palāta un Nīderlandes parlamenta Otrā palāta un kurā norādīts, ka tiesību akta projekts neatbilst subsidiaritātes principam,</w:t>
      </w:r>
    </w:p>
    <w:p w14:paraId="7639D332" w14:textId="77777777" w:rsidR="007073DA" w:rsidRPr="00EB04F1" w:rsidRDefault="007073DA" w:rsidP="007073DA">
      <w:pPr>
        <w:pStyle w:val="NormalHanging12a"/>
      </w:pPr>
      <w:r w:rsidRPr="00EB04F1">
        <w:t>–</w:t>
      </w:r>
      <w:r w:rsidRPr="00EB04F1">
        <w:tab/>
        <w:t xml:space="preserve">ņemot vērā Eiropas Ekonomikas un sociālo lietu komitejas </w:t>
      </w:r>
      <w:r w:rsidR="00DF66DF" w:rsidRPr="00EB04F1">
        <w:t xml:space="preserve">2023. gada 25. oktobra </w:t>
      </w:r>
      <w:r w:rsidRPr="00EB04F1">
        <w:t>atzinumu</w:t>
      </w:r>
      <w:r w:rsidRPr="00EB04F1">
        <w:rPr>
          <w:rStyle w:val="FootnoteReference"/>
        </w:rPr>
        <w:footnoteReference w:id="1"/>
      </w:r>
      <w:r w:rsidRPr="00EB04F1">
        <w:t>,</w:t>
      </w:r>
    </w:p>
    <w:p w14:paraId="23682B10" w14:textId="77777777" w:rsidR="007073DA" w:rsidRPr="00EB04F1" w:rsidRDefault="007073DA" w:rsidP="007073DA">
      <w:pPr>
        <w:pStyle w:val="NormalHanging12a"/>
      </w:pPr>
      <w:r w:rsidRPr="00EB04F1">
        <w:t>–</w:t>
      </w:r>
      <w:r w:rsidRPr="00EB04F1">
        <w:tab/>
        <w:t>pēc apspriešanās ar Reģionu komiteju,</w:t>
      </w:r>
    </w:p>
    <w:p w14:paraId="6E48CF10" w14:textId="77777777" w:rsidR="007073DA" w:rsidRPr="00EB04F1" w:rsidRDefault="007073DA" w:rsidP="007073DA">
      <w:pPr>
        <w:pStyle w:val="NormalHanging12a"/>
      </w:pPr>
      <w:r w:rsidRPr="00EB04F1">
        <w:t>–</w:t>
      </w:r>
      <w:r w:rsidRPr="00EB04F1">
        <w:tab/>
        <w:t>ņemot vērā Reglamenta 59. pantu,</w:t>
      </w:r>
    </w:p>
    <w:p w14:paraId="7A3C993D" w14:textId="77777777" w:rsidR="007073DA" w:rsidRPr="00EB04F1" w:rsidRDefault="007073DA" w:rsidP="007073DA">
      <w:pPr>
        <w:pStyle w:val="NormalHanging12a"/>
      </w:pPr>
      <w:r w:rsidRPr="00EB04F1">
        <w:t>–</w:t>
      </w:r>
      <w:r w:rsidRPr="00EB04F1">
        <w:tab/>
        <w:t>ņemot vērā Lauksaimniecības un lauku attīstības komitejas atzinumu,</w:t>
      </w:r>
    </w:p>
    <w:p w14:paraId="01CF9FE4" w14:textId="77777777" w:rsidR="007073DA" w:rsidRPr="00EB04F1" w:rsidRDefault="007073DA" w:rsidP="007073DA">
      <w:pPr>
        <w:pStyle w:val="NormalHanging12a"/>
      </w:pPr>
      <w:r w:rsidRPr="00EB04F1">
        <w:t>–</w:t>
      </w:r>
      <w:r w:rsidRPr="00EB04F1">
        <w:tab/>
        <w:t>ņemot vērā Vides, sabiedrības veselības un pārtikas nekaitīguma komitejas ziņojumu (A9-0138/2024),</w:t>
      </w:r>
    </w:p>
    <w:p w14:paraId="1535A281" w14:textId="77777777" w:rsidR="007073DA" w:rsidRPr="00EB04F1" w:rsidRDefault="007073DA" w:rsidP="007073DA">
      <w:pPr>
        <w:pStyle w:val="NormalHanging12a"/>
      </w:pPr>
      <w:r w:rsidRPr="00EB04F1">
        <w:t>1.</w:t>
      </w:r>
      <w:r w:rsidRPr="00EB04F1">
        <w:tab/>
        <w:t>pieņem pirmajā lasījumā turpmāk izklāstīto nostāju;</w:t>
      </w:r>
    </w:p>
    <w:p w14:paraId="45A7FCF1" w14:textId="77777777" w:rsidR="007073DA" w:rsidRPr="00EB04F1" w:rsidRDefault="007073DA" w:rsidP="007073DA">
      <w:pPr>
        <w:pStyle w:val="NormalHanging12a"/>
      </w:pPr>
      <w:r w:rsidRPr="00EB04F1">
        <w:lastRenderedPageBreak/>
        <w:t>2.</w:t>
      </w:r>
      <w:r w:rsidRPr="00EB04F1">
        <w:tab/>
        <w:t>prasa Komisijai priekšlikumu Parlamentam iesniegt vēlreiz, ja tā savu priekšlikumu aizstāj, būtiski groza vai ir paredzējusi to būtiski grozīt;</w:t>
      </w:r>
    </w:p>
    <w:p w14:paraId="1912D7F0" w14:textId="77777777" w:rsidR="00DA4F3E" w:rsidRPr="00EB04F1" w:rsidRDefault="007073DA" w:rsidP="007073DA">
      <w:pPr>
        <w:pStyle w:val="NormalHanging12a"/>
        <w:sectPr w:rsidR="00DA4F3E" w:rsidRPr="00EB04F1" w:rsidSect="006C0D30">
          <w:footnotePr>
            <w:numRestart w:val="eachPage"/>
          </w:footnotePr>
          <w:endnotePr>
            <w:numFmt w:val="decimal"/>
          </w:endnotePr>
          <w:pgSz w:w="11906" w:h="16838" w:code="9"/>
          <w:pgMar w:top="1134" w:right="1418" w:bottom="1418" w:left="1418" w:header="1134" w:footer="567" w:gutter="0"/>
          <w:cols w:space="720"/>
          <w:noEndnote/>
          <w:docGrid w:linePitch="326"/>
        </w:sectPr>
      </w:pPr>
      <w:r w:rsidRPr="00EB04F1">
        <w:t>3.</w:t>
      </w:r>
      <w:r w:rsidRPr="00EB04F1">
        <w:tab/>
        <w:t>uzdod priekšsēdētājam Parlamenta nostāju nosūtīt Padomei un Komisijai, kā arī dalībvalstu parlamentiem.</w:t>
      </w:r>
    </w:p>
    <w:p w14:paraId="2C9EA555" w14:textId="0F69BFD2" w:rsidR="00DA4F3E" w:rsidRPr="00EB04F1" w:rsidRDefault="00DA4F3E" w:rsidP="00DA4F3E">
      <w:pPr>
        <w:pStyle w:val="Normal12Hanging"/>
        <w:tabs>
          <w:tab w:val="left" w:pos="357"/>
        </w:tabs>
        <w:rPr>
          <w:b/>
          <w:noProof/>
        </w:rPr>
      </w:pPr>
      <w:r w:rsidRPr="00EB04F1">
        <w:rPr>
          <w:b/>
          <w:noProof/>
        </w:rPr>
        <w:lastRenderedPageBreak/>
        <w:t>P9_TC1-COD(2023)0232</w:t>
      </w:r>
    </w:p>
    <w:p w14:paraId="7AAD0D23" w14:textId="34087E8E" w:rsidR="00DA4F3E" w:rsidRPr="00EB04F1" w:rsidRDefault="00DA4F3E" w:rsidP="00DA4F3E">
      <w:pPr>
        <w:pStyle w:val="Normal12Hanging"/>
        <w:ind w:left="0" w:firstLine="0"/>
        <w:rPr>
          <w:b/>
          <w:noProof/>
        </w:rPr>
      </w:pPr>
      <w:r w:rsidRPr="00EB04F1">
        <w:rPr>
          <w:b/>
          <w:noProof/>
        </w:rPr>
        <w:t xml:space="preserve">Eiropas Parlamenta nostāja, pieņemta pirmajā lasījumā </w:t>
      </w:r>
      <w:r w:rsidRPr="00EB04F1">
        <w:rPr>
          <w:b/>
        </w:rPr>
        <w:t>2024. gada 10. aprīlī</w:t>
      </w:r>
      <w:r w:rsidRPr="00EB04F1">
        <w:rPr>
          <w:b/>
          <w:noProof/>
        </w:rPr>
        <w:t xml:space="preserve">, lai pieņemtu Eiropas Parlamenta un Padomes Direktīvu (ES) 2024/... </w:t>
      </w:r>
      <w:r w:rsidRPr="00EB04F1">
        <w:rPr>
          <w:b/>
          <w:szCs w:val="24"/>
          <w:lang w:eastAsia="en-US"/>
        </w:rPr>
        <w:t>par augsnes monitoringu un noturību (Augsnes monitoringa akts)</w:t>
      </w:r>
    </w:p>
    <w:p w14:paraId="5BDDDEBD" w14:textId="77777777" w:rsidR="00DA4F3E" w:rsidRPr="00EB04F1" w:rsidRDefault="00DA4F3E" w:rsidP="00DA4F3E">
      <w:pPr>
        <w:keepNext/>
        <w:spacing w:before="600" w:after="120" w:line="360" w:lineRule="auto"/>
        <w:rPr>
          <w:szCs w:val="24"/>
          <w:lang w:eastAsia="en-US"/>
        </w:rPr>
      </w:pPr>
      <w:r w:rsidRPr="00EB04F1">
        <w:rPr>
          <w:szCs w:val="24"/>
          <w:lang w:eastAsia="en-US"/>
        </w:rPr>
        <w:t>EIROPAS PARLAMENTS UN EIROPAS SAVIENĪBAS PADOME,</w:t>
      </w:r>
    </w:p>
    <w:p w14:paraId="69B6EF92" w14:textId="77777777" w:rsidR="00DA4F3E" w:rsidRPr="00EB04F1" w:rsidRDefault="00DA4F3E" w:rsidP="00DA4F3E">
      <w:pPr>
        <w:spacing w:before="120" w:after="120" w:line="360" w:lineRule="auto"/>
        <w:rPr>
          <w:lang w:eastAsia="en-US"/>
        </w:rPr>
      </w:pPr>
      <w:r w:rsidRPr="00EB04F1">
        <w:rPr>
          <w:lang w:eastAsia="en-US"/>
        </w:rPr>
        <w:t>ņemot vērā Līgumu par Eiropas Savienības darbību un jo īpaši tā 192. panta 1. punktu,</w:t>
      </w:r>
    </w:p>
    <w:p w14:paraId="2A1197FF" w14:textId="77777777" w:rsidR="00DA4F3E" w:rsidRPr="00EB04F1" w:rsidRDefault="00DA4F3E" w:rsidP="00DA4F3E">
      <w:pPr>
        <w:spacing w:before="120" w:after="120" w:line="360" w:lineRule="auto"/>
        <w:rPr>
          <w:lang w:eastAsia="en-US"/>
        </w:rPr>
      </w:pPr>
      <w:r w:rsidRPr="00EB04F1">
        <w:rPr>
          <w:lang w:eastAsia="en-US"/>
        </w:rPr>
        <w:t>ņemot vērā Eiropas Komisijas priekšlikumu,</w:t>
      </w:r>
    </w:p>
    <w:p w14:paraId="0000D0F5" w14:textId="77777777" w:rsidR="00DA4F3E" w:rsidRPr="00EB04F1" w:rsidRDefault="00DA4F3E" w:rsidP="00DA4F3E">
      <w:pPr>
        <w:spacing w:before="120" w:after="120" w:line="360" w:lineRule="auto"/>
        <w:rPr>
          <w:lang w:eastAsia="en-US"/>
        </w:rPr>
      </w:pPr>
      <w:r w:rsidRPr="00EB04F1">
        <w:rPr>
          <w:lang w:eastAsia="en-US"/>
        </w:rPr>
        <w:t>pēc leģislatīvā akta projekta nosūtīšanas valstu parlamentiem,</w:t>
      </w:r>
    </w:p>
    <w:p w14:paraId="3A5CE6C6" w14:textId="77777777" w:rsidR="00DA4F3E" w:rsidRPr="00EB04F1" w:rsidRDefault="00DA4F3E" w:rsidP="00DA4F3E">
      <w:pPr>
        <w:spacing w:before="120" w:after="120" w:line="360" w:lineRule="auto"/>
        <w:rPr>
          <w:lang w:eastAsia="en-US"/>
        </w:rPr>
      </w:pPr>
      <w:r w:rsidRPr="00EB04F1">
        <w:rPr>
          <w:lang w:eastAsia="en-US"/>
        </w:rPr>
        <w:t>ņemot vērā Eiropas Ekonomikas un sociālo lietu komitejas atzinumu</w:t>
      </w:r>
      <w:r w:rsidRPr="00EB04F1">
        <w:rPr>
          <w:vertAlign w:val="superscript"/>
          <w:lang w:val="en-GB" w:eastAsia="en-US"/>
        </w:rPr>
        <w:footnoteReference w:id="2"/>
      </w:r>
      <w:r w:rsidRPr="00EB04F1">
        <w:rPr>
          <w:lang w:eastAsia="en-US"/>
        </w:rPr>
        <w:t>,</w:t>
      </w:r>
    </w:p>
    <w:p w14:paraId="190E145F" w14:textId="77777777" w:rsidR="00DA4F3E" w:rsidRPr="00EB04F1" w:rsidRDefault="00DA4F3E" w:rsidP="00DA4F3E">
      <w:pPr>
        <w:spacing w:before="120" w:after="120" w:line="360" w:lineRule="auto"/>
        <w:rPr>
          <w:lang w:eastAsia="en-US"/>
        </w:rPr>
      </w:pPr>
      <w:r w:rsidRPr="00EB04F1">
        <w:rPr>
          <w:lang w:eastAsia="en-US"/>
        </w:rPr>
        <w:t>ņemot vērā Reģionu komitejas atzinumu</w:t>
      </w:r>
      <w:r w:rsidRPr="00EB04F1">
        <w:rPr>
          <w:vertAlign w:val="superscript"/>
          <w:lang w:val="en-GB" w:eastAsia="en-US"/>
        </w:rPr>
        <w:footnoteReference w:id="3"/>
      </w:r>
      <w:r w:rsidRPr="00EB04F1">
        <w:rPr>
          <w:lang w:eastAsia="en-US"/>
        </w:rPr>
        <w:t>,</w:t>
      </w:r>
    </w:p>
    <w:p w14:paraId="4C304AFD" w14:textId="77777777" w:rsidR="00DA4F3E" w:rsidRPr="00EB04F1" w:rsidRDefault="00DA4F3E" w:rsidP="00DA4F3E">
      <w:pPr>
        <w:spacing w:before="120" w:after="120" w:line="360" w:lineRule="auto"/>
        <w:rPr>
          <w:lang w:val="pt-PT" w:eastAsia="en-US"/>
        </w:rPr>
      </w:pPr>
      <w:r w:rsidRPr="00EB04F1">
        <w:rPr>
          <w:lang w:val="pt-PT" w:eastAsia="en-US"/>
        </w:rPr>
        <w:t>saskaņā ar parasto likumdošanas procedūru,</w:t>
      </w:r>
    </w:p>
    <w:p w14:paraId="419C9C1F" w14:textId="77777777" w:rsidR="009E6FB9" w:rsidRPr="00EB04F1" w:rsidRDefault="009E6FB9">
      <w:pPr>
        <w:widowControl/>
        <w:rPr>
          <w:lang w:val="pt-PT" w:eastAsia="en-US"/>
        </w:rPr>
      </w:pPr>
      <w:r w:rsidRPr="00EB04F1">
        <w:rPr>
          <w:lang w:val="pt-PT" w:eastAsia="en-US"/>
        </w:rPr>
        <w:br w:type="page"/>
      </w:r>
    </w:p>
    <w:p w14:paraId="73B9BAE0" w14:textId="18B06197" w:rsidR="00DA4F3E" w:rsidRPr="00EB04F1" w:rsidRDefault="00DA4F3E" w:rsidP="00DA4F3E">
      <w:pPr>
        <w:spacing w:before="120" w:after="120" w:line="360" w:lineRule="auto"/>
        <w:rPr>
          <w:lang w:val="pt-PT" w:eastAsia="en-US"/>
        </w:rPr>
      </w:pPr>
      <w:r w:rsidRPr="00EB04F1">
        <w:rPr>
          <w:lang w:val="pt-PT" w:eastAsia="en-US"/>
        </w:rPr>
        <w:lastRenderedPageBreak/>
        <w:t>tā kā:</w:t>
      </w:r>
    </w:p>
    <w:p w14:paraId="374323F4"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w:t>
      </w:r>
      <w:r w:rsidRPr="00EB04F1">
        <w:rPr>
          <w:szCs w:val="24"/>
          <w:lang w:val="pt-PT" w:eastAsia="en-US"/>
        </w:rPr>
        <w:tab/>
        <w:t>Augsne ir vitāls, ierobežots, neatjaunīgs un neaizstājams resurss, kas ir izšķirīgi svarīgs ekonomikai, videi un sabiedrībai.</w:t>
      </w:r>
    </w:p>
    <w:p w14:paraId="25C715CB" w14:textId="0FC29776"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(2)</w:t>
      </w:r>
      <w:r w:rsidRPr="00EB04F1">
        <w:rPr>
          <w:szCs w:val="24"/>
          <w:lang w:val="pt-PT" w:eastAsia="en-US"/>
        </w:rPr>
        <w:tab/>
        <w:t xml:space="preserve">Veselīgai augsnei ir labs ķīmiskais, bioloģiskais un fizikālais stāvoklis, lai tā varētu nodrošināt ekosistēmu pakalpojumus, kas cilvēkiem un videi ir vitāli svarīgi, piemēram, nekaitīgu, uzturvielām bagātu un pietiekamu pārtiku, biomasu, tīru ūdeni, barības vielu apriti, oglekļa uzglabāšanu un biodaudzveidībai svarīgu dzīvotni. </w:t>
      </w:r>
      <w:r w:rsidRPr="00EB04F1">
        <w:rPr>
          <w:b/>
          <w:i/>
          <w:szCs w:val="24"/>
          <w:lang w:val="pt-PT" w:eastAsia="en-US"/>
        </w:rPr>
        <w:t xml:space="preserve">Augsne ir būtiska, lai garantētu nodrošinātību ar pārtiku. </w:t>
      </w:r>
      <w:r w:rsidRPr="00EB04F1">
        <w:rPr>
          <w:szCs w:val="24"/>
          <w:lang w:val="pt-PT" w:eastAsia="en-US"/>
        </w:rPr>
        <w:t>Tomēr</w:t>
      </w:r>
      <w:r w:rsidRPr="00EB04F1">
        <w:rPr>
          <w:b/>
          <w:i/>
          <w:szCs w:val="24"/>
          <w:lang w:val="pt-PT" w:eastAsia="en-US"/>
        </w:rPr>
        <w:t xml:space="preserve"> tiek lēsts, ka</w:t>
      </w:r>
      <w:r w:rsidRPr="00EB04F1">
        <w:rPr>
          <w:szCs w:val="24"/>
          <w:lang w:val="pt-PT" w:eastAsia="en-US"/>
        </w:rPr>
        <w:t xml:space="preserve"> 60–70 % Savienības augšņu stāvoklis ir pasliktinājies un pasliktinās joprojām.</w:t>
      </w:r>
      <w:r w:rsidR="009E6FB9" w:rsidRPr="00EB04F1">
        <w:rPr>
          <w:b/>
          <w:szCs w:val="24"/>
          <w:lang w:val="pt-PT" w:eastAsia="en-US"/>
        </w:rPr>
        <w:t xml:space="preserve"> [Gr. 1]</w:t>
      </w:r>
    </w:p>
    <w:p w14:paraId="619BD187" w14:textId="43075FCA"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(3)</w:t>
      </w:r>
      <w:r w:rsidRPr="00EB04F1">
        <w:rPr>
          <w:szCs w:val="24"/>
          <w:lang w:val="pt-PT" w:eastAsia="en-US"/>
        </w:rPr>
        <w:tab/>
        <w:t xml:space="preserve">Augsnes degradācija Savienībai ik gadu izmaksā vairākus desmitus miljardu euro. Augsnes veselība ietekmē tādu ekosistēmu pakalpojumu sniegšanu, kuriem ir būtiska ekonomiskā atdeve. </w:t>
      </w:r>
      <w:r w:rsidRPr="00EB04F1">
        <w:rPr>
          <w:strike/>
          <w:szCs w:val="24"/>
          <w:lang w:val="pt-PT" w:eastAsia="en-US"/>
        </w:rPr>
        <w:t>Tāpēc ilgtspējīga augsnes apsaimniekošana un atveseļošana</w:t>
      </w:r>
      <w:r w:rsidRPr="00EB04F1">
        <w:rPr>
          <w:b/>
          <w:i/>
          <w:szCs w:val="24"/>
          <w:lang w:val="pt-PT" w:eastAsia="en-US"/>
        </w:rPr>
        <w:t>Tās uzlabošana</w:t>
      </w:r>
      <w:r w:rsidRPr="00EB04F1">
        <w:rPr>
          <w:szCs w:val="24"/>
          <w:lang w:val="pt-PT" w:eastAsia="en-US"/>
        </w:rPr>
        <w:t xml:space="preserve"> ir ekonomiski pamatota un var ievērojami palielināt zemes cenu un vērtību Savienībā.</w:t>
      </w:r>
      <w:r w:rsidRPr="00EB04F1">
        <w:rPr>
          <w:b/>
          <w:i/>
          <w:szCs w:val="24"/>
          <w:lang w:val="pt-PT" w:eastAsia="en-US"/>
        </w:rPr>
        <w:t xml:space="preserve"> Turklāt, lai izveidotos tikai viens centimetrs augsnes virskārtas, var paiet līdz pat 1000 gadu, savukārt degradācijas process un pilnīgs augsnes zudums var notikt strauji.</w:t>
      </w:r>
      <w:r w:rsidR="009E6FB9" w:rsidRPr="00EB04F1">
        <w:rPr>
          <w:b/>
          <w:szCs w:val="24"/>
          <w:lang w:val="pt-PT" w:eastAsia="en-US"/>
        </w:rPr>
        <w:t xml:space="preserve"> [Gr. 2]</w:t>
      </w:r>
    </w:p>
    <w:p w14:paraId="51F025C5" w14:textId="77777777" w:rsidR="009E6FB9" w:rsidRPr="00EB04F1" w:rsidRDefault="009E6FB9">
      <w:pPr>
        <w:widowControl/>
        <w:rPr>
          <w:szCs w:val="24"/>
          <w:lang w:val="pt-PT" w:eastAsia="en-US"/>
        </w:rPr>
      </w:pPr>
      <w:r w:rsidRPr="00EB04F1">
        <w:rPr>
          <w:szCs w:val="24"/>
          <w:lang w:val="pt-PT" w:eastAsia="en-US"/>
        </w:rPr>
        <w:br w:type="page"/>
      </w:r>
    </w:p>
    <w:p w14:paraId="31C21E81" w14:textId="0CF2994F"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(4)</w:t>
      </w:r>
      <w:r w:rsidRPr="00EB04F1">
        <w:rPr>
          <w:szCs w:val="24"/>
          <w:lang w:val="pt-PT" w:eastAsia="en-US"/>
        </w:rPr>
        <w:tab/>
        <w:t>Paziņojumā par Eiropas zaļo kursu</w:t>
      </w:r>
      <w:r w:rsidRPr="00EB04F1">
        <w:rPr>
          <w:szCs w:val="24"/>
          <w:vertAlign w:val="superscript"/>
          <w:lang w:val="en-GB" w:eastAsia="en-US"/>
        </w:rPr>
        <w:footnoteReference w:id="4"/>
      </w:r>
      <w:r w:rsidRPr="00EB04F1">
        <w:rPr>
          <w:szCs w:val="24"/>
          <w:lang w:val="pt-PT" w:eastAsia="en-US"/>
        </w:rPr>
        <w:t xml:space="preserve"> ir izklāstīts vērienīgs ceļvedis, kā Savienību pārveidot par taisnīgu un pārticīgu sabiedrību ar mūsdienīgu, resursefektīvu un konkurētspējīgu ekonomiku, kuras mērķis ir aizsargāt, saglabāt un stiprināt Savienības dabas kapitālu un aizsargāt iedzīvotāju veselību un labbūtību. Eiropas zaļā kursa ietvaros Komisija ir pieņēmusi ES Biodaudzveidības stratēģiju 2030. gadam</w:t>
      </w:r>
      <w:r w:rsidRPr="00EB04F1">
        <w:rPr>
          <w:szCs w:val="24"/>
          <w:vertAlign w:val="superscript"/>
          <w:lang w:val="en-GB" w:eastAsia="en-US"/>
        </w:rPr>
        <w:footnoteReference w:id="5"/>
      </w:r>
      <w:r w:rsidRPr="00EB04F1">
        <w:rPr>
          <w:szCs w:val="24"/>
          <w:lang w:val="pt-PT" w:eastAsia="en-US"/>
        </w:rPr>
        <w:t>, stratēģiju “No lauka līdz galdam”</w:t>
      </w:r>
      <w:r w:rsidRPr="00EB04F1">
        <w:rPr>
          <w:szCs w:val="24"/>
          <w:vertAlign w:val="superscript"/>
          <w:lang w:val="en-GB" w:eastAsia="en-US"/>
        </w:rPr>
        <w:footnoteReference w:id="6"/>
      </w:r>
      <w:r w:rsidRPr="00EB04F1">
        <w:rPr>
          <w:szCs w:val="24"/>
          <w:lang w:val="pt-PT" w:eastAsia="en-US"/>
        </w:rPr>
        <w:t>, Nulles piesārņojuma rīcības plānu</w:t>
      </w:r>
      <w:r w:rsidRPr="00EB04F1">
        <w:rPr>
          <w:szCs w:val="24"/>
          <w:vertAlign w:val="superscript"/>
          <w:lang w:val="en-GB" w:eastAsia="en-US"/>
        </w:rPr>
        <w:footnoteReference w:id="7"/>
      </w:r>
      <w:r w:rsidRPr="00EB04F1">
        <w:rPr>
          <w:szCs w:val="24"/>
          <w:lang w:val="pt-PT" w:eastAsia="en-US"/>
        </w:rPr>
        <w:t>, ES Klimatadaptācijas stratēģiju</w:t>
      </w:r>
      <w:r w:rsidRPr="00EB04F1">
        <w:rPr>
          <w:szCs w:val="24"/>
          <w:vertAlign w:val="superscript"/>
          <w:lang w:val="en-GB" w:eastAsia="en-US"/>
        </w:rPr>
        <w:footnoteReference w:id="8"/>
      </w:r>
      <w:r w:rsidRPr="00EB04F1">
        <w:rPr>
          <w:szCs w:val="24"/>
          <w:lang w:val="pt-PT" w:eastAsia="en-US"/>
        </w:rPr>
        <w:t xml:space="preserve"> un ES Augsnes stratēģiju 2030. gadam</w:t>
      </w:r>
      <w:r w:rsidRPr="00EB04F1">
        <w:rPr>
          <w:szCs w:val="24"/>
          <w:vertAlign w:val="superscript"/>
          <w:lang w:val="en-GB" w:eastAsia="en-US"/>
        </w:rPr>
        <w:footnoteReference w:id="9"/>
      </w:r>
      <w:r w:rsidRPr="00EB04F1">
        <w:rPr>
          <w:szCs w:val="24"/>
          <w:lang w:val="pt-PT" w:eastAsia="en-US"/>
        </w:rPr>
        <w:t>.</w:t>
      </w:r>
    </w:p>
    <w:p w14:paraId="7F191B5E"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(5)</w:t>
      </w:r>
      <w:r w:rsidRPr="00EB04F1">
        <w:rPr>
          <w:szCs w:val="24"/>
          <w:lang w:val="pt-PT" w:eastAsia="en-US"/>
        </w:rPr>
        <w:tab/>
        <w:t>Savienība ir apņēmusies īstenot Ilgtspējīgas attīstības programmu 2030. gadam un sasniegt tās ilgtspējīgas attīstības mērķus (IAM)</w:t>
      </w:r>
      <w:r w:rsidRPr="00EB04F1">
        <w:rPr>
          <w:szCs w:val="24"/>
          <w:vertAlign w:val="superscript"/>
          <w:lang w:val="en-GB" w:eastAsia="en-US"/>
        </w:rPr>
        <w:footnoteReference w:id="10"/>
      </w:r>
      <w:r w:rsidRPr="00EB04F1">
        <w:rPr>
          <w:szCs w:val="24"/>
          <w:lang w:val="pt-PT" w:eastAsia="en-US"/>
        </w:rPr>
        <w:t>. Veselīga augsne tieši palīdz sasniegt vairākus IAM, it sevišķi 2. IAM (bada izskaušana), 3. IAM (laba veselība un labbūtība), 6. IAM (tīrs ūdens un sanitārija), 11. IAM (ilgtspējīgas pilsētas un kopienas), 12. IAM (atbildīgs patēriņš un ražošana), 13. IAM (klimatrīcība) un 15. IAM (dzīvība uz zemes). 15. IAM 3. apakšmērķis paredz apkarot pārtuksnešošanos, atjaunot degradētu zemi un augsni, arī zemi, ko ietekmējusi pārtuksnešošanās, sausums un plūdi, un līdz 2030. gadam censties panākt, ka zemes degradācija pasaulē vairs nenotiek.</w:t>
      </w:r>
    </w:p>
    <w:p w14:paraId="2320911B" w14:textId="77777777" w:rsidR="008A1D52" w:rsidRPr="00EB04F1" w:rsidRDefault="008A1D52">
      <w:pPr>
        <w:widowControl/>
        <w:rPr>
          <w:szCs w:val="24"/>
          <w:lang w:val="pt-PT" w:eastAsia="en-US"/>
        </w:rPr>
      </w:pPr>
      <w:r w:rsidRPr="00EB04F1">
        <w:rPr>
          <w:szCs w:val="24"/>
          <w:lang w:val="pt-PT" w:eastAsia="en-US"/>
        </w:rPr>
        <w:br w:type="page"/>
      </w:r>
    </w:p>
    <w:p w14:paraId="013BE38E" w14:textId="104ADD82"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(6)</w:t>
      </w:r>
      <w:r w:rsidRPr="00EB04F1">
        <w:rPr>
          <w:szCs w:val="24"/>
          <w:lang w:val="pt-PT" w:eastAsia="en-US"/>
        </w:rPr>
        <w:tab/>
        <w:t>Savienība un tās dalībvalstis, būdamas ar Padomes Lēmumu 93/626/EEK</w:t>
      </w:r>
      <w:r w:rsidRPr="00EB04F1">
        <w:rPr>
          <w:szCs w:val="24"/>
          <w:vertAlign w:val="superscript"/>
          <w:lang w:val="en-GB" w:eastAsia="en-US"/>
        </w:rPr>
        <w:footnoteReference w:id="11"/>
      </w:r>
      <w:r w:rsidRPr="00EB04F1">
        <w:rPr>
          <w:szCs w:val="24"/>
          <w:lang w:val="pt-PT" w:eastAsia="en-US"/>
        </w:rPr>
        <w:t xml:space="preserve"> apstiprinātās Biodaudzveidības konvencijas puses, 15. Pušu konferences sanāksmē vienojās par Kuņminas–Monreālas globālo biodaudzveidības satvaru (GBS)</w:t>
      </w:r>
      <w:r w:rsidRPr="00EB04F1">
        <w:rPr>
          <w:szCs w:val="24"/>
          <w:vertAlign w:val="superscript"/>
          <w:lang w:val="en-GB" w:eastAsia="en-US"/>
        </w:rPr>
        <w:footnoteReference w:id="12"/>
      </w:r>
      <w:r w:rsidRPr="00EB04F1">
        <w:rPr>
          <w:szCs w:val="24"/>
          <w:lang w:val="pt-PT" w:eastAsia="en-US"/>
        </w:rPr>
        <w:t>, kas ietver vairākus uz rīcību orientētus globālus mērķrādītājus 2030. gadam, kuri attiecas uz augsnes veselību. Dabas devums cilvēku labā, arī augsnes veselība, būtu jāatjauno, jāsaglabā un jāstiprina.</w:t>
      </w:r>
    </w:p>
    <w:p w14:paraId="7195828B"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(7)</w:t>
      </w:r>
      <w:r w:rsidRPr="00EB04F1">
        <w:rPr>
          <w:szCs w:val="24"/>
          <w:lang w:val="pt-PT" w:eastAsia="en-US"/>
        </w:rPr>
        <w:tab/>
        <w:t>Savienība un tās dalībvalstis, būdamas ar Padomes Lēmumu 98/216/EK</w:t>
      </w:r>
      <w:r w:rsidRPr="00EB04F1">
        <w:rPr>
          <w:szCs w:val="24"/>
          <w:vertAlign w:val="superscript"/>
          <w:lang w:val="en-GB" w:eastAsia="en-US"/>
        </w:rPr>
        <w:footnoteReference w:id="13"/>
      </w:r>
      <w:r w:rsidRPr="00EB04F1">
        <w:rPr>
          <w:szCs w:val="24"/>
          <w:lang w:val="pt-PT" w:eastAsia="en-US"/>
        </w:rPr>
        <w:t xml:space="preserve"> apstiprinātās ANO Konvencijas par cīņu pret pārtuksnešošanos (UNCDD) puses, ir apņēmušās apkarot pārtuksnešošanos un mazināt sausuma sekas skartajās valstīs. Saskaņā ar UNCDD trīspadsmit dalībvalstis</w:t>
      </w:r>
      <w:r w:rsidRPr="00EB04F1">
        <w:rPr>
          <w:szCs w:val="24"/>
          <w:vertAlign w:val="superscript"/>
          <w:lang w:val="en-GB" w:eastAsia="en-US"/>
        </w:rPr>
        <w:footnoteReference w:id="14"/>
      </w:r>
      <w:r w:rsidRPr="00EB04F1">
        <w:rPr>
          <w:szCs w:val="24"/>
          <w:lang w:val="pt-PT" w:eastAsia="en-US"/>
        </w:rPr>
        <w:t xml:space="preserve"> ir paziņojušas, ka tās ir pārtuksnešošanās skartas puses.</w:t>
      </w:r>
    </w:p>
    <w:p w14:paraId="0FBE0509"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(8)</w:t>
      </w:r>
      <w:r w:rsidRPr="00EB04F1">
        <w:rPr>
          <w:szCs w:val="24"/>
          <w:lang w:val="pt-PT" w:eastAsia="en-US"/>
        </w:rPr>
        <w:tab/>
        <w:t>Apvienoto Nāciju Organizācijas Vispārējās konvencijas par klimata pārmaiņām (UNFCCC) kontekstā zemi un augsni vienlaikus uzskata par oglekļa avotu un piesaistītāju. Savienība un dalībvalstis kā puses ir apņēmušās veicināt oglekļa piesaistītāju un krātuvju ilgtspējīgu pārvaldību, saglabāšanu un nostiprināšanu.</w:t>
      </w:r>
    </w:p>
    <w:p w14:paraId="3D3CA623" w14:textId="77777777" w:rsidR="008A1D52" w:rsidRPr="00EB04F1" w:rsidRDefault="008A1D52">
      <w:pPr>
        <w:widowControl/>
        <w:rPr>
          <w:szCs w:val="24"/>
          <w:lang w:val="pt-PT" w:eastAsia="en-US"/>
        </w:rPr>
      </w:pPr>
      <w:r w:rsidRPr="00EB04F1">
        <w:rPr>
          <w:szCs w:val="24"/>
          <w:lang w:val="pt-PT" w:eastAsia="en-US"/>
        </w:rPr>
        <w:br w:type="page"/>
      </w:r>
    </w:p>
    <w:p w14:paraId="07D3F6ED" w14:textId="336B7A39"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(9)</w:t>
      </w:r>
      <w:r w:rsidRPr="00EB04F1">
        <w:rPr>
          <w:szCs w:val="24"/>
          <w:lang w:val="pt-PT" w:eastAsia="en-US"/>
        </w:rPr>
        <w:tab/>
        <w:t>ES Biodaudzveidības stratēģijā 2030. gadam ir noteikts, ka ir svarīgi vairāk piepūlēties, lai aizsargātu augsnes auglību, samazinātu augsnes eroziju un palielinātu augsnes organiskās vielas daudzumu, ieviešot ilgtspējīgas augsnes apsaimniekošanas prakses. Tajā arī norādīts, ka ir daudz rezultatīvāk jāstrādā pie kontaminētas augsnes teritoriju apzināšanas, degradētu augšņu atjaunošanas, laba augsnes ekoloģiskā stāvokļa nosacījumu formulēšanas, atjaunošanas mērķu noteikšanas un augsnes kvalitātes monitoringa uzlabošanas.</w:t>
      </w:r>
    </w:p>
    <w:p w14:paraId="69B48E9A"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(10)</w:t>
      </w:r>
      <w:r w:rsidRPr="00EB04F1">
        <w:rPr>
          <w:szCs w:val="24"/>
          <w:lang w:val="pt-PT" w:eastAsia="en-US"/>
        </w:rPr>
        <w:tab/>
        <w:t>ES Augsnes stratēģijā 2030. gadam ir izklāstīts ilgtermiņa redzējums, ka līdz 2050. gadam visas ES augsnes ekosistēmas būtu veselīgā stāvoklī un tādējādi būtu noturīgākas. Veselīgas augsnes ir atslēga, kas pavērs ceļu uz tādiem svarīgiem ES mērķiem kā klimatneitralitātes panākšana un klimatnoturība, tīras un apritīgas (bio-)ekonomikas izveide, biodaudzveidības izzušanas tendences apvēršana, cilvēka veselības aizsardzība, pārtuksnešošanās apturēšana un zemes degradācijas tendences apvēršana.</w:t>
      </w:r>
    </w:p>
    <w:p w14:paraId="557CA6BD" w14:textId="77777777" w:rsidR="008A1D52" w:rsidRPr="00EB04F1" w:rsidRDefault="008A1D52">
      <w:pPr>
        <w:widowControl/>
        <w:rPr>
          <w:szCs w:val="24"/>
          <w:lang w:val="pt-PT" w:eastAsia="en-US"/>
        </w:rPr>
      </w:pPr>
      <w:r w:rsidRPr="00EB04F1">
        <w:rPr>
          <w:szCs w:val="24"/>
          <w:lang w:val="pt-PT" w:eastAsia="en-US"/>
        </w:rPr>
        <w:br w:type="page"/>
      </w:r>
    </w:p>
    <w:p w14:paraId="4ECFA61A" w14:textId="544C881A"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(11)</w:t>
      </w:r>
      <w:r w:rsidRPr="00EB04F1">
        <w:rPr>
          <w:szCs w:val="24"/>
          <w:lang w:val="pt-PT" w:eastAsia="en-US"/>
        </w:rPr>
        <w:tab/>
        <w:t>Lai pāreja uz veselīgām augsnēm būtu iespējama, ir katrā ziņā vajadzīgs finansējums. Daudzgadu finanšu shēma piedāvā vairākas finansējuma iespējas augsnes aizsardzības, ilgtspējīgas apsaimniekošanas un augsnes atveseļošanas vajadzībām. “Augsnes kurss Eiropai” ir viena no piecām programmas “Apvārsnis Eiropa” ES misijām, un tā ir īpaši veltīta augsnes veselības veicināšanai. Augsnes misija ir svarīgs šīs direktīvas īstenošanas instruments. Tās mērķis ir virzīt pāreju uz veselīgu augsni, finansējot vērienīgu pētniecības un inovācijas programmu, izveidojot 100 “dzīvo laboratoriju” un “bāku” tīklu lauku un pilsētu teritorijās, veicinot saskaņota augsnes monitoringa satvara izstrādi un vairojot izpratni par augsnes lielo nozīmi. Citas Savienības programmas, kuru mērķi ietver augsnes veselības nostiprināšanu, ir kopējā lauksaimniecības politika, kohēzijas politikas fondi, vides un klimata pasākumu programma, pamatprogrammas “Apvārsnis Eiropa” darba programma, tehniskā atbalsta instruments, Atveseļošanas un noturības mehānisms un InvestEU.</w:t>
      </w:r>
      <w:r w:rsidRPr="00EB04F1">
        <w:rPr>
          <w:b/>
          <w:i/>
          <w:szCs w:val="24"/>
          <w:lang w:val="pt-PT" w:eastAsia="en-US"/>
        </w:rPr>
        <w:t xml:space="preserve"> Tā kā mērķis panākt, ka visas augsnes Savienībā ir veselas, ir kopējās interesēs, ir jāpiešķir vairāk līdzekļu, lai atbalstītu augsnes ilgtspējīgas apsaimniekošanas un atjaunošanas paņēmienu ieviešanu, cita starpā ar Eiropas Investīciju bankas atbalstu, izmantojot riska mazināšanas mehānismus. Komisijai būtu jānovērtē kopējās finansiālās vajadzības un nepieciešamības gadījumā periodam pēc 2027. gada jāparedz papildu finanšu resursi daudzgadu finanšu shēmā, kā arī jāpieņem pasākumi, lai nodrošinātu politikas saskaņotību attiecībā pret šīs direktīvas mērķiem.</w:t>
      </w:r>
      <w:r w:rsidR="008A1D52" w:rsidRPr="00EB04F1">
        <w:rPr>
          <w:b/>
          <w:szCs w:val="24"/>
          <w:lang w:val="pt-PT" w:eastAsia="en-US"/>
        </w:rPr>
        <w:t xml:space="preserve"> [Gr. 3]</w:t>
      </w:r>
    </w:p>
    <w:p w14:paraId="17D76CBC" w14:textId="77777777" w:rsidR="008A1D52" w:rsidRPr="00EB04F1" w:rsidRDefault="008A1D52">
      <w:pPr>
        <w:widowControl/>
        <w:rPr>
          <w:szCs w:val="24"/>
          <w:lang w:val="pt-PT" w:eastAsia="en-US"/>
        </w:rPr>
      </w:pPr>
      <w:r w:rsidRPr="00EB04F1">
        <w:rPr>
          <w:szCs w:val="24"/>
          <w:lang w:val="pt-PT" w:eastAsia="en-US"/>
        </w:rPr>
        <w:br w:type="page"/>
      </w:r>
    </w:p>
    <w:p w14:paraId="0F240C77" w14:textId="0A03E9EB"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(12)</w:t>
      </w:r>
      <w:r w:rsidRPr="00EB04F1">
        <w:rPr>
          <w:szCs w:val="24"/>
          <w:lang w:val="pt-PT" w:eastAsia="en-US"/>
        </w:rPr>
        <w:tab/>
        <w:t>Augsnes stratēģijā 2030. gadam teikts, ka Komisija nāks klajā ar augsnes veselībai veltīta tiesību akta priekšlikumu, lai būtu iespējams sasniegt Augsnes stratēģijas mērķus un līdz 2050. gadam visā ES panākt labu augsnes veselību. Eiropas Parlaments 2021. gada 28. aprīļa rezolūcijā par augsnes aizsardzību</w:t>
      </w:r>
      <w:r w:rsidRPr="00EB04F1">
        <w:rPr>
          <w:szCs w:val="24"/>
          <w:vertAlign w:val="superscript"/>
          <w:lang w:val="en-GB" w:eastAsia="en-US"/>
        </w:rPr>
        <w:footnoteReference w:id="15"/>
      </w:r>
      <w:r w:rsidRPr="00EB04F1">
        <w:rPr>
          <w:szCs w:val="24"/>
          <w:lang w:val="pt-PT" w:eastAsia="en-US"/>
        </w:rPr>
        <w:t xml:space="preserve"> uzsvēra, cik svarīgi ir aizsargāt augsni un Savienībā veicināt veselīgas augsnes, ņemot vērā, ka degradācija turpinās, lai gan dažās dalībvalstīs tiek īstenoti atsevišķi un nevienmērīgi pasākumi. Eiropas Parlaments Komisiju aicināja, pilnībā ievērojot subsidiaritātes principu, izstrādāt augsnes aizsardzībai un ilgtspējīgai izmantošanai domātu kopīgu Savienības mēroga tiesisko regulējumu, kurā uzmanība pievērsta visiem lielākajiem augsnes apdraudējumiem.</w:t>
      </w:r>
      <w:r w:rsidRPr="00EB04F1">
        <w:rPr>
          <w:b/>
          <w:i/>
          <w:szCs w:val="24"/>
          <w:lang w:val="pt-PT" w:eastAsia="en-US"/>
        </w:rPr>
        <w:t xml:space="preserve"> Jo īpaši Parlaments uzsvēra riskus, kas izriet no vienlīdzīgu konkurences apstākļu neesības starp dalībvalstīm un to atšķirīgajiem augsnes aizsardzības režīmiem un kas apdraud iekšējā tirgus darbību, kā arī to, ka noteikti būtu iespējams sekmēt godīgu konkurenci privātajā sektorā, attīstīt inovatīvus risinājumus un zināšanas un stiprināt tehnoloģiju eksportu uz valstīm ārpus ES.</w:t>
      </w:r>
      <w:r w:rsidR="008A1D52" w:rsidRPr="00EB04F1">
        <w:rPr>
          <w:b/>
          <w:szCs w:val="24"/>
          <w:lang w:val="pt-PT" w:eastAsia="en-US"/>
        </w:rPr>
        <w:t xml:space="preserve"> [Gr. 4]</w:t>
      </w:r>
    </w:p>
    <w:p w14:paraId="74FEDC9C"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(13)</w:t>
      </w:r>
      <w:r w:rsidRPr="00EB04F1">
        <w:rPr>
          <w:szCs w:val="24"/>
          <w:lang w:val="pt-PT" w:eastAsia="en-US"/>
        </w:rPr>
        <w:tab/>
        <w:t>Padome 2020. gada 23. oktobra secinājumos</w:t>
      </w:r>
      <w:r w:rsidRPr="00EB04F1">
        <w:rPr>
          <w:szCs w:val="24"/>
          <w:vertAlign w:val="superscript"/>
          <w:lang w:val="en-GB" w:eastAsia="en-US"/>
        </w:rPr>
        <w:footnoteReference w:id="16"/>
      </w:r>
      <w:r w:rsidRPr="00EB04F1">
        <w:rPr>
          <w:szCs w:val="24"/>
          <w:lang w:val="pt-PT" w:eastAsia="en-US"/>
        </w:rPr>
        <w:t xml:space="preserve"> atbalstīja Komisiju tajā, ka tā pastiprina centienus, kuru mērķis ir sekmīgāk aizsargāt augsni un augsnes biodaudzveidību, kas ir vitāli svarīgs neatjaunīgs resurss.</w:t>
      </w:r>
    </w:p>
    <w:p w14:paraId="2E659525" w14:textId="77777777" w:rsidR="008A1D52" w:rsidRPr="00EB04F1" w:rsidRDefault="008A1D52">
      <w:pPr>
        <w:widowControl/>
        <w:rPr>
          <w:szCs w:val="24"/>
          <w:lang w:val="pt-PT" w:eastAsia="en-US"/>
        </w:rPr>
      </w:pPr>
      <w:r w:rsidRPr="00EB04F1">
        <w:rPr>
          <w:szCs w:val="24"/>
          <w:lang w:val="pt-PT" w:eastAsia="en-US"/>
        </w:rPr>
        <w:br w:type="page"/>
      </w:r>
    </w:p>
    <w:p w14:paraId="70625364" w14:textId="5331891A"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(14)</w:t>
      </w:r>
      <w:r w:rsidRPr="00EB04F1">
        <w:rPr>
          <w:szCs w:val="24"/>
          <w:lang w:val="pt-PT" w:eastAsia="en-US"/>
        </w:rPr>
        <w:tab/>
        <w:t>Eiropas Parlamenta un Padomes Regula (ES) 2021/1119</w:t>
      </w:r>
      <w:r w:rsidRPr="00EB04F1">
        <w:rPr>
          <w:szCs w:val="24"/>
          <w:vertAlign w:val="superscript"/>
          <w:lang w:val="en-GB" w:eastAsia="en-US"/>
        </w:rPr>
        <w:footnoteReference w:id="17"/>
      </w:r>
      <w:r w:rsidRPr="00EB04F1">
        <w:rPr>
          <w:szCs w:val="24"/>
          <w:lang w:val="pt-PT" w:eastAsia="en-US"/>
        </w:rPr>
        <w:t xml:space="preserve"> nosaka saistošu mērķi Savienībā līdz 2050. gadam panākt klimatneitralitāti un pēc tam negatīvu emisiju bilanci un prioritizēt ātrus un paredzamus emisiju samazinājumus, vienlaikus palielinot piesaistījumus dabiskos piesaistītājos. Ilgtspējīga augsnes apsaimniekošana palielina oglekļa sekvestrēšanu, vairumā gadījumu sagādājot līdzieguvumus ekosistēmām un biodaudzveidībai. Komisijas paziņojumā par ilgtspējīgiem oglekļa aprites cikliem</w:t>
      </w:r>
      <w:r w:rsidRPr="00EB04F1">
        <w:rPr>
          <w:szCs w:val="24"/>
          <w:vertAlign w:val="superscript"/>
          <w:lang w:val="en-GB" w:eastAsia="en-US"/>
        </w:rPr>
        <w:footnoteReference w:id="18"/>
      </w:r>
      <w:r w:rsidRPr="00EB04F1">
        <w:rPr>
          <w:szCs w:val="24"/>
          <w:lang w:val="pt-PT" w:eastAsia="en-US"/>
        </w:rPr>
        <w:t xml:space="preserve"> ir uzsvērta nepieciešamība skaidri un caurredzami apzināt darbības, kas neapšaubāmi no atmosfēras piesaista oglekli, un izstrādāt ES oglekļa piesaistījumu sertifikācijas satvaru, kurā sertificētu oglekļa piesaistījumus dabiskās ekosistēmās, arī augsnēs. Turklāt pārskatītajā Zemes izmantošanas, zemes izmantošanas maiņas un mežsaimniecības regulā augsnes ogleklim ir ne vien ierādīta svarīga vieta mērķrādītāju sasniegšanā ceļā uz klimatneitrālu Eiropu, bet arī pausts aicinājums dalībvalstīm sagatavot augsnes oglekļa uzkrājumu monitoringa sistēmu, cita starpā izmantojot Zemes izmantošanas un zemes pārklājuma statistiskā apsekojuma (LUCAS) datu kopu.</w:t>
      </w:r>
    </w:p>
    <w:p w14:paraId="7577FBD7" w14:textId="77777777" w:rsidR="008A1D52" w:rsidRPr="00EB04F1" w:rsidRDefault="008A1D52">
      <w:pPr>
        <w:widowControl/>
        <w:rPr>
          <w:szCs w:val="24"/>
          <w:lang w:val="pt-PT" w:eastAsia="en-US"/>
        </w:rPr>
      </w:pPr>
      <w:r w:rsidRPr="00EB04F1">
        <w:rPr>
          <w:szCs w:val="24"/>
          <w:lang w:val="pt-PT" w:eastAsia="en-US"/>
        </w:rPr>
        <w:br w:type="page"/>
      </w:r>
    </w:p>
    <w:p w14:paraId="072613F3" w14:textId="03B5EDFF"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(15)</w:t>
      </w:r>
      <w:r w:rsidRPr="00EB04F1">
        <w:rPr>
          <w:szCs w:val="24"/>
          <w:lang w:val="pt-PT" w:eastAsia="en-US"/>
        </w:rPr>
        <w:tab/>
        <w:t>Komisijas Klimatadaptācijas stratēģijā</w:t>
      </w:r>
      <w:r w:rsidRPr="00EB04F1">
        <w:rPr>
          <w:szCs w:val="24"/>
          <w:vertAlign w:val="superscript"/>
          <w:lang w:val="en-GB" w:eastAsia="en-US"/>
        </w:rPr>
        <w:footnoteReference w:id="19"/>
      </w:r>
      <w:r w:rsidRPr="00EB04F1">
        <w:rPr>
          <w:szCs w:val="24"/>
          <w:lang w:val="pt-PT" w:eastAsia="en-US"/>
        </w:rPr>
        <w:t xml:space="preserve"> uzsvērts, ka dabā balstītu risinājumu izmantošana iekšzemē, arī augšņu uzsūkšanas funkcijas atjaunošana, veicinās tīra, svaiga ūdens piegādi, mazinās plūdu risku un mīkstinās sausuma periodu ietekmi. Ir svarīgi maksimalizēt augšņu spēju aizturēt un attīrīt ūdeni un mazināt piesārņojumu.</w:t>
      </w:r>
    </w:p>
    <w:p w14:paraId="5AD8050D"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(16)</w:t>
      </w:r>
      <w:r w:rsidRPr="00EB04F1">
        <w:rPr>
          <w:szCs w:val="24"/>
          <w:lang w:val="pt-PT" w:eastAsia="en-US"/>
        </w:rPr>
        <w:tab/>
        <w:t>Komisijas pieņemtajā Nulles piesārņojuma rīcības plānā aprakstīts šāds redzējums 2050. gadam: gaisa, ūdens un augsnes piesārņojums ir samazināts līdz līmenim, ko vairs neuzskata par kaitīgu ne veselībai, ne dabiskajām ekosistēmām un kas nepārkāpj mūsu planētas iespēju robežas, tādējādi panākot no toksikantiem brīvu vidi.</w:t>
      </w:r>
    </w:p>
    <w:p w14:paraId="2C46B145"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(17)</w:t>
      </w:r>
      <w:r w:rsidRPr="00EB04F1">
        <w:rPr>
          <w:szCs w:val="24"/>
          <w:lang w:val="pt-PT" w:eastAsia="en-US"/>
        </w:rPr>
        <w:tab/>
        <w:t>Komisijas paziņojumā par pārtikas nodrošinājuma garantēšanu un pārtikas sistēmu noturības stiprināšanu</w:t>
      </w:r>
      <w:r w:rsidRPr="00EB04F1">
        <w:rPr>
          <w:szCs w:val="24"/>
          <w:vertAlign w:val="superscript"/>
          <w:lang w:val="en-GB" w:eastAsia="en-US"/>
        </w:rPr>
        <w:footnoteReference w:id="20"/>
      </w:r>
      <w:r w:rsidRPr="00EB04F1">
        <w:rPr>
          <w:szCs w:val="24"/>
          <w:lang w:val="pt-PT" w:eastAsia="en-US"/>
        </w:rPr>
        <w:t xml:space="preserve"> uzsvērts, ka pārtikas sistēmu ilgtspējai ir būtiska nozīme nodrošinātībā ar pārtiku. Veselīga augsne Savienības pārtikas sistēmu padara noturīgāku, liekot pamatus uzturvielām bagātai un pietiekamai pārtikai.</w:t>
      </w:r>
    </w:p>
    <w:p w14:paraId="46504853" w14:textId="77777777" w:rsidR="008A1D52" w:rsidRPr="00EB04F1" w:rsidRDefault="008A1D52">
      <w:pPr>
        <w:widowControl/>
        <w:rPr>
          <w:szCs w:val="24"/>
          <w:lang w:val="pt-PT" w:eastAsia="en-US"/>
        </w:rPr>
      </w:pPr>
      <w:r w:rsidRPr="00EB04F1">
        <w:rPr>
          <w:szCs w:val="24"/>
          <w:lang w:val="pt-PT" w:eastAsia="en-US"/>
        </w:rPr>
        <w:br w:type="page"/>
      </w:r>
    </w:p>
    <w:p w14:paraId="2F0B6CF9" w14:textId="4F031921"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(18)</w:t>
      </w:r>
      <w:r w:rsidRPr="00EB04F1">
        <w:rPr>
          <w:szCs w:val="24"/>
          <w:lang w:val="pt-PT" w:eastAsia="en-US"/>
        </w:rPr>
        <w:tab/>
        <w:t xml:space="preserve">Lai līdz 2050. gadam panāktu veselīgas augsnes, saglabātu to veselību un sasniegtu Savienības klimata un biodaudzveidības mērķus, novērstu sausumu un dabas katastrofas un reaģētu uz tiem, aizsargātu cilvēka veselību un rūpētos par nodrošinātību ar pārtiku un tās nekaitīgumu, ir </w:t>
      </w:r>
      <w:r w:rsidRPr="00EB04F1">
        <w:rPr>
          <w:strike/>
          <w:szCs w:val="24"/>
          <w:lang w:val="pt-PT" w:eastAsia="en-US"/>
        </w:rPr>
        <w:t>jānosaka</w:t>
      </w:r>
      <w:r w:rsidRPr="00EB04F1">
        <w:rPr>
          <w:b/>
          <w:i/>
          <w:szCs w:val="24"/>
          <w:lang w:val="pt-PT" w:eastAsia="en-US"/>
        </w:rPr>
        <w:t>ārkārtīgi svarīgi noteikt atbilstīgus Savienības mērogā saskaņotus</w:t>
      </w:r>
      <w:r w:rsidRPr="00EB04F1">
        <w:rPr>
          <w:szCs w:val="24"/>
          <w:lang w:val="pt-PT" w:eastAsia="en-US"/>
        </w:rPr>
        <w:t xml:space="preserve"> augsnes veselības monitoringa un novērtēšanas, ilgtspējīgas augšņu apsaimniekošanas un kontaminētu objektu attīrīšanas </w:t>
      </w:r>
      <w:r w:rsidRPr="00EB04F1">
        <w:rPr>
          <w:strike/>
          <w:szCs w:val="24"/>
          <w:lang w:val="pt-PT" w:eastAsia="en-US"/>
        </w:rPr>
        <w:t>pasākumi</w:t>
      </w:r>
      <w:r w:rsidRPr="00EB04F1">
        <w:rPr>
          <w:b/>
          <w:i/>
          <w:szCs w:val="24"/>
          <w:lang w:val="pt-PT" w:eastAsia="en-US"/>
        </w:rPr>
        <w:t>pasākumus</w:t>
      </w:r>
      <w:r w:rsidRPr="00EB04F1">
        <w:rPr>
          <w:szCs w:val="24"/>
          <w:lang w:val="pt-PT" w:eastAsia="en-US"/>
        </w:rPr>
        <w:t>.</w:t>
      </w:r>
      <w:r w:rsidR="008A1D52" w:rsidRPr="00EB04F1">
        <w:rPr>
          <w:b/>
          <w:szCs w:val="24"/>
          <w:lang w:val="pt-PT" w:eastAsia="en-US"/>
        </w:rPr>
        <w:t xml:space="preserve"> [Gr. 5]</w:t>
      </w:r>
    </w:p>
    <w:p w14:paraId="64605C2E" w14:textId="691BDF6D"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(19)</w:t>
      </w:r>
      <w:r w:rsidRPr="00EB04F1">
        <w:rPr>
          <w:szCs w:val="24"/>
          <w:lang w:val="pt-PT" w:eastAsia="en-US"/>
        </w:rPr>
        <w:tab/>
        <w:t xml:space="preserve">Augsnēs rodami vairāk nekā 25 % </w:t>
      </w:r>
      <w:proofErr w:type="gramStart"/>
      <w:r w:rsidRPr="00EB04F1">
        <w:rPr>
          <w:szCs w:val="24"/>
          <w:lang w:val="pt-PT" w:eastAsia="en-US"/>
        </w:rPr>
        <w:t>no visas</w:t>
      </w:r>
      <w:proofErr w:type="gramEnd"/>
      <w:r w:rsidRPr="00EB04F1">
        <w:rPr>
          <w:szCs w:val="24"/>
          <w:lang w:val="pt-PT" w:eastAsia="en-US"/>
        </w:rPr>
        <w:t xml:space="preserve"> biodaudzveidības, un tās ir otrā lielākā planētas oglekļa krātuve. Tā kā veselīgas augsnes spēj uztvert un uzglabāt oglekli, tās palīdz sasniegt Savienības mērķus klimata pārmaiņu jomā</w:t>
      </w:r>
      <w:r w:rsidRPr="00EB04F1">
        <w:rPr>
          <w:b/>
          <w:i/>
          <w:szCs w:val="24"/>
          <w:lang w:val="pt-PT" w:eastAsia="en-US"/>
        </w:rPr>
        <w:t>. Augsnes biodaudzveidība ietver mikroorganismus, tostarp baktērijas, sēnes, vienšūņus un nematodes, kā arī lielākus organismus, piemēram, sliekas, kukaiņus un augu saknes, kas kopā veicina augsnes ekosistēmas ekoloģisko un funkcionālo daudzveidību</w:t>
      </w:r>
      <w:r w:rsidRPr="00EB04F1">
        <w:rPr>
          <w:szCs w:val="24"/>
          <w:lang w:val="pt-PT" w:eastAsia="en-US"/>
        </w:rPr>
        <w:t>. Veselīgas augsnes turklāt nodrošina labvēlīgu dzīvotni organismiem, un tām ir izšķirīga nozīme biodaudzveidības un ekosistēmu stabilitātes vairošanā. Biodaudzveidība pazemē un virs zemes ir cieši saistīta un mijiedarbojas savstarpējās attiecībās (piemēram, mikorizālas sēnes savieno augu saknes).</w:t>
      </w:r>
      <w:r w:rsidR="008A1D52" w:rsidRPr="00EB04F1">
        <w:rPr>
          <w:b/>
          <w:szCs w:val="24"/>
          <w:lang w:val="pt-PT" w:eastAsia="en-US"/>
        </w:rPr>
        <w:t xml:space="preserve"> [Gr. 6]</w:t>
      </w:r>
    </w:p>
    <w:p w14:paraId="47F144EF" w14:textId="77777777" w:rsidR="008A1D52" w:rsidRPr="00EB04F1" w:rsidRDefault="008A1D52">
      <w:pPr>
        <w:widowControl/>
        <w:rPr>
          <w:b/>
          <w:i/>
          <w:szCs w:val="24"/>
          <w:lang w:val="pt-PT" w:eastAsia="en-US"/>
        </w:rPr>
      </w:pPr>
      <w:r w:rsidRPr="00EB04F1">
        <w:rPr>
          <w:b/>
          <w:i/>
          <w:szCs w:val="24"/>
          <w:lang w:val="pt-PT" w:eastAsia="en-US"/>
        </w:rPr>
        <w:br w:type="page"/>
      </w:r>
    </w:p>
    <w:p w14:paraId="5FBD34BD" w14:textId="6AEF47D0" w:rsidR="00DA4F3E" w:rsidRPr="00EB04F1" w:rsidRDefault="008A1D52" w:rsidP="00DA4F3E">
      <w:pPr>
        <w:spacing w:before="120" w:after="120" w:line="360" w:lineRule="auto"/>
        <w:ind w:left="850" w:hanging="850"/>
        <w:rPr>
          <w:b/>
          <w:szCs w:val="24"/>
          <w:lang w:val="pt-PT" w:eastAsia="en-US"/>
        </w:rPr>
      </w:pPr>
      <w:r w:rsidRPr="00EB04F1">
        <w:rPr>
          <w:b/>
          <w:i/>
          <w:szCs w:val="24"/>
          <w:lang w:eastAsia="en-US"/>
        </w:rPr>
        <w:lastRenderedPageBreak/>
        <w:t>(19a)</w:t>
      </w:r>
      <w:r w:rsidR="00DA4F3E" w:rsidRPr="00EB04F1">
        <w:rPr>
          <w:szCs w:val="24"/>
          <w:lang w:val="pt-PT" w:eastAsia="en-US"/>
        </w:rPr>
        <w:tab/>
      </w:r>
      <w:r w:rsidR="00DA4F3E" w:rsidRPr="00EB04F1">
        <w:rPr>
          <w:b/>
          <w:i/>
          <w:szCs w:val="24"/>
          <w:lang w:val="pt-PT" w:eastAsia="en-US"/>
        </w:rPr>
        <w:t>Augsnes organiskajām vielām ir izšķiroša nozīme augsnes ekosistēmu pakalpojumu un funkciju nodrošināšanā, samazinot augsnes degradāciju, eroziju un sablīvēšanos, vienlaikus palielinot augsnes buferzonas efektu, ūdensietilpību un katjonu apmaiņas spēju, kā arī augsnes organiskā oglekļa līmeni, kas var palielināt kultūraugu ražu. Turklāt augsnes organiskās vielas pozitīvi ietekmē augsnes biodaudzveidību un var palielināt oglekļa sekvestrēšanu augsnēs, tādējādi veicinot klimata pārmaiņu mazināšanu.</w:t>
      </w:r>
      <w:r w:rsidRPr="00EB04F1">
        <w:rPr>
          <w:b/>
          <w:szCs w:val="24"/>
          <w:lang w:val="pt-PT" w:eastAsia="en-US"/>
        </w:rPr>
        <w:t xml:space="preserve"> [Gr. 7]</w:t>
      </w:r>
    </w:p>
    <w:p w14:paraId="1B2750D1" w14:textId="77777777" w:rsidR="008A1D52" w:rsidRPr="00EB04F1" w:rsidRDefault="008A1D52">
      <w:pPr>
        <w:widowControl/>
        <w:rPr>
          <w:szCs w:val="24"/>
          <w:lang w:val="pt-PT" w:eastAsia="en-US"/>
        </w:rPr>
      </w:pPr>
      <w:r w:rsidRPr="00EB04F1">
        <w:rPr>
          <w:szCs w:val="24"/>
          <w:lang w:val="pt-PT" w:eastAsia="en-US"/>
        </w:rPr>
        <w:br w:type="page"/>
      </w:r>
    </w:p>
    <w:p w14:paraId="789D234E" w14:textId="78A2DDE3"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(20)</w:t>
      </w:r>
      <w:r w:rsidRPr="00EB04F1">
        <w:rPr>
          <w:szCs w:val="24"/>
          <w:lang w:val="pt-PT" w:eastAsia="en-US"/>
        </w:rPr>
        <w:tab/>
        <w:t>Plūdi, dabas ugunsgrēki un ekstrēmi laikapstākļi ir dabas katastrofas, kuru risks visā Eiropā raisa milzīgas bažas. Visā Savienībā strauji milst bažas par sausumu un ūdens trūkumu. 2020. gadā 24 dalībvalstis pauda viedokli, ka sausums un ūdens trūkums ir svarīgi jauni vai ar klimatu saistīti katastrofu riski; 2015. gadā tādās domās bija tikai 11 dalībvalstis. Veselīgai augsnei ir būtiska loma noturībā pret sausumu un dabas katastrofām. Prakses, kas uzlabo ūdens aizturi un barības vielu pieejamību augsnē, augsnes struktūru, augsnes biodaudzveidību un oglekļa sekvestrēšanas spēju, palielina ekosistēmu, augu un kultūraugu noturību pret sausumu, dabas katastrofām, karstuma viļņiem un ekstrēmiem laikapstākļu notikumiem, kas klimata pārmaiņu dēļ nākotnē kļūs biežāki, un tiem palīdz no šiem notikumiem atkopties. Savukārt bez pienācīgas augsnes apsaimniekošanas sausums un dabas katastrofas izraisa augsnes degradāciju un padara augsnes neveselīgas. Augsnes veselības uzlabošana palīdz ierobežot ekonomiskos zaudējumus un nāves gadījumus, kas saistīti ar ekstrēmiem klimatiskajiem apstākļiem, kuri laikā no 1980. līdz 2021. gadam Savienībai izmaksāja aptuveni 560 miljardus EUR un prasīja vairāk nekā 182 000 upuru.</w:t>
      </w:r>
    </w:p>
    <w:p w14:paraId="0D2D066B" w14:textId="77777777" w:rsidR="008A1D52" w:rsidRPr="00EB04F1" w:rsidRDefault="008A1D52">
      <w:pPr>
        <w:widowControl/>
        <w:rPr>
          <w:szCs w:val="24"/>
          <w:lang w:val="pt-PT" w:eastAsia="en-US"/>
        </w:rPr>
      </w:pPr>
      <w:r w:rsidRPr="00EB04F1">
        <w:rPr>
          <w:szCs w:val="24"/>
          <w:lang w:val="pt-PT" w:eastAsia="en-US"/>
        </w:rPr>
        <w:br w:type="page"/>
      </w:r>
    </w:p>
    <w:p w14:paraId="3F604FB6" w14:textId="4E542570"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(21)</w:t>
      </w:r>
      <w:r w:rsidRPr="00EB04F1">
        <w:rPr>
          <w:szCs w:val="24"/>
          <w:lang w:val="pt-PT" w:eastAsia="en-US"/>
        </w:rPr>
        <w:tab/>
        <w:t>Augsnes veselība dod tiešu ieguldījumu cilvēka veselībā un labbūtībā. Veselīgas augsnes nodrošina nekaitīgu un uzturvielām bagātu pārtiku un spēj izfiltrēt kontaminantus, tādējādi saglabājot dzeramā ūdens kvalitāti. Augsnes kontaminācija var kaitēt cilvēka veselībai, ja kontaminanti tiek norīti, ieelpoti vai nonāk saskarē ar ādu. Cilvēka eksponētība veselīgai augsnes mikrobu sabiedrībai palīdz attīstīt imūnsistēmu un noturību pret noteiktām slimībām un alerģijām. Veselīga augsne veicina koku, puķu un zālaugu augšanu un rada zaļo infrastruktūru, kas nodrošina estētisku vērtību, labbūtību un dzīves kvalitāti.</w:t>
      </w:r>
    </w:p>
    <w:p w14:paraId="6CDED401" w14:textId="6A723AEF" w:rsidR="00DA4F3E" w:rsidRPr="00EB04F1" w:rsidRDefault="008A1D52" w:rsidP="00DA4F3E">
      <w:pPr>
        <w:spacing w:before="120" w:after="120" w:line="360" w:lineRule="auto"/>
        <w:ind w:left="850" w:hanging="850"/>
        <w:rPr>
          <w:b/>
          <w:szCs w:val="24"/>
          <w:lang w:val="pt-PT" w:eastAsia="en-US"/>
        </w:rPr>
      </w:pPr>
      <w:r w:rsidRPr="00EB04F1">
        <w:rPr>
          <w:b/>
          <w:i/>
          <w:szCs w:val="24"/>
          <w:lang w:eastAsia="en-US"/>
        </w:rPr>
        <w:t>(21a)</w:t>
      </w:r>
      <w:r w:rsidR="00DA4F3E" w:rsidRPr="00EB04F1">
        <w:rPr>
          <w:szCs w:val="24"/>
          <w:lang w:val="pt-PT" w:eastAsia="en-US"/>
        </w:rPr>
        <w:tab/>
      </w:r>
      <w:r w:rsidR="00DA4F3E" w:rsidRPr="00EB04F1">
        <w:rPr>
          <w:b/>
          <w:i/>
          <w:szCs w:val="24"/>
          <w:lang w:val="pt-PT" w:eastAsia="en-US"/>
        </w:rPr>
        <w:t>Perfluoralkilvielas un polifluoralkilvielas (PFAS) bieži ir novērotas kontaminētos pazemes ūdeņos, virszemes ūdeņos un augsnē. Tās var pārveidot augsnes īpašības un struktūru, radot tādu iedarbību kā, piemēram, augsnes elpošanas spēju un ūdenī noturīgu agregātu samazināšanos, augsnes pH vērtības palielināšanos.</w:t>
      </w:r>
      <w:r w:rsidRPr="00EB04F1">
        <w:rPr>
          <w:b/>
          <w:szCs w:val="24"/>
          <w:lang w:val="pt-PT" w:eastAsia="en-US"/>
        </w:rPr>
        <w:t xml:space="preserve"> [Gr. 8]</w:t>
      </w:r>
    </w:p>
    <w:p w14:paraId="68853E65" w14:textId="77777777" w:rsidR="008A1D52" w:rsidRPr="00EB04F1" w:rsidRDefault="008A1D52">
      <w:pPr>
        <w:widowControl/>
        <w:rPr>
          <w:szCs w:val="24"/>
          <w:lang w:val="pt-PT" w:eastAsia="en-US"/>
        </w:rPr>
      </w:pPr>
      <w:r w:rsidRPr="00EB04F1">
        <w:rPr>
          <w:szCs w:val="24"/>
          <w:lang w:val="pt-PT" w:eastAsia="en-US"/>
        </w:rPr>
        <w:br w:type="page"/>
      </w:r>
    </w:p>
    <w:p w14:paraId="3B7810DE" w14:textId="4764BD37"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(22)</w:t>
      </w:r>
      <w:r w:rsidRPr="00EB04F1">
        <w:rPr>
          <w:szCs w:val="24"/>
          <w:lang w:val="pt-PT" w:eastAsia="en-US"/>
        </w:rPr>
        <w:tab/>
        <w:t>Augsnes degradācija ietekmē auglību, ražību, rezistenci pret kaitēkļiem un pārtikas uzturvērtību. Tā kā 95 % no mūsu pārtikas tiek iegūta, tieši vai netieši izmantojot augsni, un pasaules iedzīvotāju skaits turpina pieaugt, ir svarīgi, lai šis ierobežotais dabas resurss arī turpmāk būtu veselīgs, tādējādi gādājot par ilgtermiņa nodrošinātību ar pārtiku un nodrošinot Savienības lauksaimniecības ražīgumu un rentabilitāti. Ilgtspējīgas augsnes apsaimniekošanas prakses</w:t>
      </w:r>
      <w:r w:rsidRPr="00EB04F1">
        <w:rPr>
          <w:b/>
          <w:i/>
          <w:szCs w:val="24"/>
          <w:lang w:val="pt-PT" w:eastAsia="en-US"/>
        </w:rPr>
        <w:t>, arī kopējā lauksaimniecības politikā noteiktās prakses,</w:t>
      </w:r>
      <w:r w:rsidRPr="00EB04F1">
        <w:rPr>
          <w:szCs w:val="24"/>
          <w:lang w:val="pt-PT" w:eastAsia="en-US"/>
        </w:rPr>
        <w:t xml:space="preserve"> uztur vai uzlabo augsnes veselību un veicina pārtikas sistēmas ilgtspēju un noturību.</w:t>
      </w:r>
      <w:r w:rsidRPr="00EB04F1">
        <w:rPr>
          <w:b/>
          <w:i/>
          <w:szCs w:val="24"/>
          <w:lang w:val="pt-PT" w:eastAsia="en-US"/>
        </w:rPr>
        <w:t xml:space="preserve"> Šajā ziņā ir ārkārtīgi svarīgi samazināt barības vielu zudumu un pesticīdu atlieku daudzumu.</w:t>
      </w:r>
      <w:r w:rsidR="008A1D52" w:rsidRPr="00EB04F1">
        <w:rPr>
          <w:b/>
          <w:szCs w:val="24"/>
          <w:lang w:val="pt-PT" w:eastAsia="en-US"/>
        </w:rPr>
        <w:t xml:space="preserve"> [Gr. 9]</w:t>
      </w:r>
    </w:p>
    <w:p w14:paraId="029398F7" w14:textId="77777777" w:rsidR="008A1D52" w:rsidRPr="00EB04F1" w:rsidRDefault="008A1D52">
      <w:pPr>
        <w:widowControl/>
        <w:rPr>
          <w:szCs w:val="24"/>
          <w:lang w:val="pt-PT" w:eastAsia="en-US"/>
        </w:rPr>
      </w:pPr>
      <w:r w:rsidRPr="00EB04F1">
        <w:rPr>
          <w:szCs w:val="24"/>
          <w:lang w:val="pt-PT" w:eastAsia="en-US"/>
        </w:rPr>
        <w:br w:type="page"/>
      </w:r>
    </w:p>
    <w:p w14:paraId="082BDAB6" w14:textId="2F3B56D9"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(23)</w:t>
      </w:r>
      <w:r w:rsidRPr="00EB04F1">
        <w:rPr>
          <w:szCs w:val="24"/>
          <w:lang w:val="pt-PT" w:eastAsia="en-US"/>
        </w:rPr>
        <w:tab/>
        <w:t>Direktīvas ilgtermiņa mērķis ir līdz 2050. gadam</w:t>
      </w:r>
      <w:r w:rsidRPr="00EB04F1">
        <w:rPr>
          <w:b/>
          <w:i/>
          <w:szCs w:val="24"/>
          <w:lang w:val="pt-PT" w:eastAsia="en-US"/>
        </w:rPr>
        <w:t xml:space="preserve"> visā Savienībā</w:t>
      </w:r>
      <w:r w:rsidRPr="00EB04F1">
        <w:rPr>
          <w:szCs w:val="24"/>
          <w:lang w:val="pt-PT" w:eastAsia="en-US"/>
        </w:rPr>
        <w:t xml:space="preserve"> panākt veselīgas augsnes. Starplaikā, ņemot vērā ierobežotās zināšanas par augšņu stāvokli un to atveseļošanas pasākumu iedarbīgumu un izmaksām, direktīvā ir izmantota pakāpeniska pieeja. Pirmajā posmā galvenā uzmanība tiks pievērsta augsnes monitoringa satvara izveidei un augsnes stāvokļa novērtēšanai visā ES. </w:t>
      </w:r>
      <w:proofErr w:type="gramStart"/>
      <w:r w:rsidRPr="00EB04F1">
        <w:rPr>
          <w:strike/>
          <w:szCs w:val="24"/>
          <w:lang w:val="pt-PT" w:eastAsia="en-US"/>
        </w:rPr>
        <w:t>Tas</w:t>
      </w:r>
      <w:proofErr w:type="gramEnd"/>
      <w:r w:rsidRPr="00EB04F1">
        <w:rPr>
          <w:strike/>
          <w:szCs w:val="24"/>
          <w:lang w:val="pt-PT" w:eastAsia="en-US"/>
        </w:rPr>
        <w:t xml:space="preserve"> ietver arī prasības noteikt pasākumus augšņu ilgtspējīgai apsaimniekošanai un neveselīgu augšņu atveseļošanai, kad noskaidrots to stāvoklis, tomēr neuzliekot ne pienākumu</w:t>
      </w:r>
      <w:r w:rsidRPr="00EB04F1">
        <w:rPr>
          <w:b/>
          <w:i/>
          <w:szCs w:val="24"/>
          <w:lang w:val="pt-PT" w:eastAsia="en-US"/>
        </w:rPr>
        <w:t>Dalībvalstīm būtu jānosaka ilgtspējīgas augsnes apsaimniekošanas prakses, ņemot vērā šīs direktīvas III pielikumā noteiktos nesaistošos principus. Dalībvalstīm tiek sniegta rīcības brīvība, lai lemtu par konkrētu īstenojamo praksi attiecīgā gadījumā, atspoguļojot vietējos apstākļus un prakses iespējamību nolūkā sekmēt mērķi</w:t>
      </w:r>
      <w:r w:rsidRPr="00EB04F1">
        <w:rPr>
          <w:szCs w:val="24"/>
          <w:lang w:val="pt-PT" w:eastAsia="en-US"/>
        </w:rPr>
        <w:t xml:space="preserve"> līdz 2050. gadam panākt veselīgu augsni</w:t>
      </w:r>
      <w:r w:rsidRPr="00EB04F1">
        <w:rPr>
          <w:strike/>
          <w:szCs w:val="24"/>
          <w:lang w:val="pt-PT" w:eastAsia="en-US"/>
        </w:rPr>
        <w:t>, ne starpposma mērķrādītājus</w:t>
      </w:r>
      <w:r w:rsidRPr="00EB04F1">
        <w:rPr>
          <w:szCs w:val="24"/>
          <w:lang w:val="pt-PT" w:eastAsia="en-US"/>
        </w:rPr>
        <w:t xml:space="preserve">. Šī samērīgā pieeja dos iespēju labi sagatavot, stimulēt un iekustināt ilgtspējīgu augsnes apsaimniekošanu un </w:t>
      </w:r>
      <w:r w:rsidRPr="00EB04F1">
        <w:rPr>
          <w:strike/>
          <w:szCs w:val="24"/>
          <w:lang w:val="pt-PT" w:eastAsia="en-US"/>
        </w:rPr>
        <w:t>neveselīgu</w:t>
      </w:r>
      <w:r w:rsidRPr="00EB04F1">
        <w:rPr>
          <w:b/>
          <w:i/>
          <w:szCs w:val="24"/>
          <w:lang w:val="pt-PT" w:eastAsia="en-US"/>
        </w:rPr>
        <w:t>neveselo</w:t>
      </w:r>
      <w:r w:rsidRPr="00EB04F1">
        <w:rPr>
          <w:szCs w:val="24"/>
          <w:lang w:val="pt-PT" w:eastAsia="en-US"/>
        </w:rPr>
        <w:t xml:space="preserve"> augšņu atveseļošanu. Otrajā posmā, tiklīdz būs pieejami pirmā augšņu novērtējuma un tendenču analīzes rezultāti, Komisija izvērtēs virzību uz 2050. gada mērķi un gūto pieredzi un vajadzības gadījumā ierosinās direktīvu izskatīt, lai </w:t>
      </w:r>
      <w:r w:rsidRPr="00EB04F1">
        <w:rPr>
          <w:strike/>
          <w:szCs w:val="24"/>
          <w:lang w:val="pt-PT" w:eastAsia="en-US"/>
        </w:rPr>
        <w:t>virzību uz</w:t>
      </w:r>
      <w:r w:rsidRPr="00EB04F1">
        <w:rPr>
          <w:b/>
          <w:i/>
          <w:szCs w:val="24"/>
          <w:lang w:val="pt-PT" w:eastAsia="en-US"/>
        </w:rPr>
        <w:t>sasniegtu</w:t>
      </w:r>
      <w:r w:rsidRPr="00EB04F1">
        <w:rPr>
          <w:szCs w:val="24"/>
          <w:lang w:val="pt-PT" w:eastAsia="en-US"/>
        </w:rPr>
        <w:t xml:space="preserve"> 2050. gada mērķi</w:t>
      </w:r>
      <w:r w:rsidRPr="00EB04F1">
        <w:rPr>
          <w:strike/>
          <w:szCs w:val="24"/>
          <w:lang w:val="pt-PT" w:eastAsia="en-US"/>
        </w:rPr>
        <w:t xml:space="preserve"> paātrinātu</w:t>
      </w:r>
      <w:r w:rsidRPr="00EB04F1">
        <w:rPr>
          <w:szCs w:val="24"/>
          <w:lang w:val="pt-PT" w:eastAsia="en-US"/>
        </w:rPr>
        <w:t>.</w:t>
      </w:r>
      <w:r w:rsidR="008A1D52" w:rsidRPr="00EB04F1">
        <w:rPr>
          <w:b/>
          <w:szCs w:val="24"/>
          <w:lang w:val="pt-PT" w:eastAsia="en-US"/>
        </w:rPr>
        <w:t xml:space="preserve"> [Gr. 10]</w:t>
      </w:r>
    </w:p>
    <w:p w14:paraId="405A75D1" w14:textId="77777777" w:rsidR="008A1D52" w:rsidRPr="00EB04F1" w:rsidRDefault="008A1D52">
      <w:pPr>
        <w:widowControl/>
        <w:rPr>
          <w:szCs w:val="24"/>
          <w:lang w:val="pt-PT" w:eastAsia="en-US"/>
        </w:rPr>
      </w:pPr>
      <w:r w:rsidRPr="00EB04F1">
        <w:rPr>
          <w:szCs w:val="24"/>
          <w:lang w:val="pt-PT" w:eastAsia="en-US"/>
        </w:rPr>
        <w:br w:type="page"/>
      </w:r>
    </w:p>
    <w:p w14:paraId="1572253A" w14:textId="59BF2DB1" w:rsidR="00DA4F3E" w:rsidRPr="00EB04F1" w:rsidRDefault="00DA4F3E" w:rsidP="00DA4F3E">
      <w:pPr>
        <w:spacing w:before="120" w:after="120" w:line="360" w:lineRule="auto"/>
        <w:ind w:left="850" w:hanging="850"/>
        <w:rPr>
          <w:b/>
          <w:szCs w:val="24"/>
          <w:lang w:eastAsia="en-US"/>
        </w:rPr>
      </w:pPr>
      <w:r w:rsidRPr="00EB04F1">
        <w:rPr>
          <w:szCs w:val="24"/>
          <w:lang w:val="pt-PT" w:eastAsia="en-US"/>
        </w:rPr>
        <w:lastRenderedPageBreak/>
        <w:t>(24)</w:t>
      </w:r>
      <w:r w:rsidRPr="00EB04F1">
        <w:rPr>
          <w:szCs w:val="24"/>
          <w:lang w:val="pt-PT" w:eastAsia="en-US"/>
        </w:rPr>
        <w:tab/>
        <w:t>Lai novērstu augsnes noslogojumu un apzinātu piemērotus augsnes veselības saglabāšanas vai atveseļošanas pasākumus, ir jāņem vērā augšņu daudzveidība, vietējo un klimatisko apstākļu īpatnības un zemes izmantojums vai zemes segums. Tāpēc ir lietderīgi, ka dalībvalstis izveido augsnes rajonus</w:t>
      </w:r>
      <w:r w:rsidRPr="00EB04F1">
        <w:rPr>
          <w:b/>
          <w:i/>
          <w:szCs w:val="24"/>
          <w:lang w:val="pt-PT" w:eastAsia="en-US"/>
        </w:rPr>
        <w:t>, kas spēj pienācīgi atspoguļot pedoklimatiskos apstākļus un augsnes daudzveidību visā to teritorijā</w:t>
      </w:r>
      <w:r w:rsidRPr="00EB04F1">
        <w:rPr>
          <w:szCs w:val="24"/>
          <w:lang w:val="pt-PT" w:eastAsia="en-US"/>
        </w:rPr>
        <w:t>. Augsnes rajoniem vajadzētu būt pārvaldības pamatvienībām, kurās apsaimnieko augsni un veic pasākumus, lai izpildītu šajā direktīvā noteiktās prasības, it sevišķi attiecībā uz augsnes veselības monitoringu un novērtēšanu</w:t>
      </w:r>
      <w:r w:rsidRPr="00EB04F1">
        <w:rPr>
          <w:strike/>
          <w:szCs w:val="24"/>
          <w:lang w:val="pt-PT" w:eastAsia="en-US"/>
        </w:rPr>
        <w:t>. Lai atvieglotu Eiropas Parlamenta un Padomes Regulas (ES) …/…</w:t>
      </w:r>
      <w:r w:rsidR="008A1D52" w:rsidRPr="00EB04F1">
        <w:rPr>
          <w:strike/>
          <w:szCs w:val="24"/>
          <w:vertAlign w:val="superscript"/>
          <w:lang w:eastAsia="en-US"/>
        </w:rPr>
        <w:footnoteReference w:customMarkFollows="1" w:id="21"/>
        <w:t>+</w:t>
      </w:r>
      <w:r w:rsidR="008A1D52" w:rsidRPr="00EB04F1">
        <w:rPr>
          <w:szCs w:val="24"/>
          <w:lang w:eastAsia="en-US"/>
        </w:rPr>
        <w:t>.</w:t>
      </w:r>
      <w:r w:rsidR="008A1D52" w:rsidRPr="00EB04F1">
        <w:rPr>
          <w:szCs w:val="24"/>
          <w:vertAlign w:val="superscript"/>
          <w:lang w:val="pt-PT" w:eastAsia="en-US"/>
        </w:rPr>
        <w:t xml:space="preserve"> </w:t>
      </w:r>
      <w:r w:rsidRPr="00EB04F1">
        <w:rPr>
          <w:strike/>
          <w:szCs w:val="24"/>
          <w:lang w:eastAsia="en-US"/>
        </w:rPr>
        <w:t>īstenošanu, būtu jānosaka katras dalībvalsts augsnes rajonu skaits, ģeogrāfiskā platība un robežas</w:t>
      </w:r>
      <w:r w:rsidRPr="00EB04F1">
        <w:rPr>
          <w:szCs w:val="24"/>
          <w:lang w:eastAsia="en-US"/>
        </w:rPr>
        <w:t>. Katrā dalībvalstī vajadzētu būt noteiktam augsnes rajonu minimumam, ņemot vērā dalībvalsts lielumu. Augsnes rajonu minimums katrā dalībvalstī atbilst to NUTS 1 teritoriālo vienību skaitam, kas noteiktas ar Eiropas Parlamenta un Padomes Regulu (EK) Nr. 1059/2003</w:t>
      </w:r>
      <w:r w:rsidRPr="00EB04F1">
        <w:rPr>
          <w:szCs w:val="24"/>
          <w:vertAlign w:val="superscript"/>
          <w:lang w:val="en-GB" w:eastAsia="en-US"/>
        </w:rPr>
        <w:footnoteReference w:id="22"/>
      </w:r>
      <w:r w:rsidR="008A1D52" w:rsidRPr="00EB04F1">
        <w:rPr>
          <w:szCs w:val="24"/>
          <w:vertAlign w:val="superscript"/>
          <w:lang w:eastAsia="en-US"/>
        </w:rPr>
        <w:t>.</w:t>
      </w:r>
      <w:r w:rsidR="008A1D52" w:rsidRPr="00EB04F1">
        <w:rPr>
          <w:szCs w:val="24"/>
          <w:lang w:eastAsia="en-US"/>
        </w:rPr>
        <w:t xml:space="preserve">. </w:t>
      </w:r>
      <w:r w:rsidRPr="00EB04F1">
        <w:rPr>
          <w:b/>
          <w:i/>
          <w:szCs w:val="24"/>
          <w:lang w:eastAsia="en-US"/>
        </w:rPr>
        <w:t>Dalībvalstis var izlemt savus augsnes rajonus izveidot atbilstīgi to NUTS 2 teritoriālo vienību skaitam, lai labāk atspoguļotu savus vietējos apstākļus un savu valsts iestāžu kompetences jomas.</w:t>
      </w:r>
      <w:r w:rsidR="008A1D52" w:rsidRPr="00EB04F1">
        <w:rPr>
          <w:b/>
          <w:szCs w:val="24"/>
          <w:lang w:eastAsia="en-US"/>
        </w:rPr>
        <w:t xml:space="preserve"> [Gr. 11]</w:t>
      </w:r>
    </w:p>
    <w:p w14:paraId="0A3DB90C" w14:textId="77777777" w:rsidR="008A1D52" w:rsidRPr="00EB04F1" w:rsidRDefault="008A1D52">
      <w:pPr>
        <w:widowControl/>
        <w:rPr>
          <w:b/>
          <w:i/>
          <w:szCs w:val="24"/>
          <w:lang w:eastAsia="en-US"/>
        </w:rPr>
      </w:pPr>
      <w:r w:rsidRPr="00EB04F1">
        <w:rPr>
          <w:b/>
          <w:i/>
          <w:szCs w:val="24"/>
          <w:lang w:eastAsia="en-US"/>
        </w:rPr>
        <w:br w:type="page"/>
      </w:r>
    </w:p>
    <w:p w14:paraId="570AE2E2" w14:textId="762B177A" w:rsidR="00DA4F3E" w:rsidRPr="00EB04F1" w:rsidRDefault="004954EA" w:rsidP="00DA4F3E">
      <w:pPr>
        <w:spacing w:before="120" w:after="120" w:line="360" w:lineRule="auto"/>
        <w:ind w:left="850" w:hanging="850"/>
        <w:rPr>
          <w:b/>
          <w:szCs w:val="24"/>
          <w:lang w:val="pt-PT" w:eastAsia="en-US"/>
        </w:rPr>
      </w:pPr>
      <w:r w:rsidRPr="00EB04F1">
        <w:rPr>
          <w:b/>
          <w:i/>
          <w:szCs w:val="24"/>
          <w:lang w:eastAsia="en-US"/>
        </w:rPr>
        <w:lastRenderedPageBreak/>
        <w:t>(24a)</w:t>
      </w:r>
      <w:r w:rsidR="00DA4F3E" w:rsidRPr="00EB04F1">
        <w:rPr>
          <w:szCs w:val="24"/>
          <w:lang w:eastAsia="en-US"/>
        </w:rPr>
        <w:tab/>
      </w:r>
      <w:r w:rsidR="00DA4F3E" w:rsidRPr="00EB04F1">
        <w:rPr>
          <w:b/>
          <w:i/>
          <w:szCs w:val="24"/>
          <w:lang w:eastAsia="en-US"/>
        </w:rPr>
        <w:t>Augsnes rajoni ir vispiemērotākais līmenis pasākumu programmu un — vajadzības gadījumā — starpposma mērķrādītāju pieņemšanai, cita starpā ar vietējiem augsnes rajonu plāniem, ņemot vērā vietējos apstākļus un vietējo ieinteresēto personu viedokļus, lai nodrošinātu, ka attiecīgo augšņu klasifikācija uzlabojas. Tā kā kritiski degradētu augšņu atveseļošanai vajadzīgs ilgāks laiks, lai nodrošinātu, ka to ekoloģiskā klasifikācija uzlabojas, būtu jānosaka pietiekams termiņš līdz 10 gadiem. Augsnēm, kas reģistrētas kā kontaminētas un iekļautas konkrētos apsaimniekošanas un mazināšanas plānos, varētu piemērot citu termiņu.</w:t>
      </w:r>
      <w:r w:rsidRPr="00EB04F1">
        <w:rPr>
          <w:b/>
          <w:szCs w:val="24"/>
          <w:lang w:eastAsia="en-US"/>
        </w:rPr>
        <w:t xml:space="preserve"> </w:t>
      </w:r>
      <w:r w:rsidRPr="00EB04F1">
        <w:rPr>
          <w:b/>
          <w:szCs w:val="24"/>
          <w:lang w:val="pt-PT" w:eastAsia="en-US"/>
        </w:rPr>
        <w:t>[Gr. 12]</w:t>
      </w:r>
    </w:p>
    <w:p w14:paraId="57AED683" w14:textId="41EADBA0"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(25)</w:t>
      </w:r>
      <w:r w:rsidRPr="00EB04F1">
        <w:rPr>
          <w:szCs w:val="24"/>
          <w:lang w:val="pt-PT" w:eastAsia="en-US"/>
        </w:rPr>
        <w:tab/>
        <w:t>Lai nodrošinātu pienācīgu augšņu pārvaldību, dalībvalstīm būtu jāieceļ par katru augsnes rajonu atbildīgā kompetentā iestāde. Būtu dalībvalstīm jāļauj piemērotā līmenī, arī nacionālā vai reģionālā līmenī, iecelt papildu kompetentās iestādes</w:t>
      </w:r>
      <w:r w:rsidRPr="00EB04F1">
        <w:rPr>
          <w:b/>
          <w:i/>
          <w:szCs w:val="24"/>
          <w:lang w:val="pt-PT" w:eastAsia="en-US"/>
        </w:rPr>
        <w:t>, arī visās dalībvalstu teritorijās</w:t>
      </w:r>
      <w:r w:rsidRPr="00EB04F1">
        <w:rPr>
          <w:szCs w:val="24"/>
          <w:lang w:val="pt-PT" w:eastAsia="en-US"/>
        </w:rPr>
        <w:t>.</w:t>
      </w:r>
      <w:r w:rsidRPr="00EB04F1">
        <w:rPr>
          <w:b/>
          <w:i/>
          <w:szCs w:val="24"/>
          <w:lang w:val="pt-PT" w:eastAsia="en-US"/>
        </w:rPr>
        <w:t xml:space="preserve"> Lai samazinātu izmaksas, dalībvalstīm būtu galvenokārt jāieceļ jau izveidotas iestādes. Viena iestāde varētu atbildēt par vairākām jomām, jo </w:t>
      </w:r>
      <w:proofErr w:type="gramStart"/>
      <w:r w:rsidRPr="00EB04F1">
        <w:rPr>
          <w:b/>
          <w:i/>
          <w:szCs w:val="24"/>
          <w:lang w:val="pt-PT" w:eastAsia="en-US"/>
        </w:rPr>
        <w:t>tas</w:t>
      </w:r>
      <w:proofErr w:type="gramEnd"/>
      <w:r w:rsidRPr="00EB04F1">
        <w:rPr>
          <w:b/>
          <w:i/>
          <w:szCs w:val="24"/>
          <w:lang w:val="pt-PT" w:eastAsia="en-US"/>
        </w:rPr>
        <w:t xml:space="preserve"> varētu uzlabot konsekvenci šīs direktīvas īstenošanā. Lai vienmēr būtu pieejama atjaunināta informācija, gadījumos, kad dalībvalstis maina pilnvaru sadalījumu starp kompetentajām iestādēm, tām šīs izmaiņas būtu jāpaziņo Komisijai.</w:t>
      </w:r>
      <w:r w:rsidR="004954EA" w:rsidRPr="00EB04F1">
        <w:rPr>
          <w:b/>
          <w:szCs w:val="24"/>
          <w:lang w:val="pt-PT" w:eastAsia="en-US"/>
        </w:rPr>
        <w:t xml:space="preserve"> [Gr. 13]</w:t>
      </w:r>
    </w:p>
    <w:p w14:paraId="771C44DE" w14:textId="77777777" w:rsidR="004954EA" w:rsidRPr="00EB04F1" w:rsidRDefault="004954EA">
      <w:pPr>
        <w:widowControl/>
        <w:rPr>
          <w:szCs w:val="24"/>
          <w:lang w:val="pt-PT" w:eastAsia="en-US"/>
        </w:rPr>
      </w:pPr>
      <w:r w:rsidRPr="00EB04F1">
        <w:rPr>
          <w:szCs w:val="24"/>
          <w:lang w:val="pt-PT" w:eastAsia="en-US"/>
        </w:rPr>
        <w:br w:type="page"/>
      </w:r>
    </w:p>
    <w:p w14:paraId="69683455" w14:textId="69F85686"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(26)</w:t>
      </w:r>
      <w:r w:rsidRPr="00EB04F1">
        <w:rPr>
          <w:szCs w:val="24"/>
          <w:lang w:val="pt-PT" w:eastAsia="en-US"/>
        </w:rPr>
        <w:tab/>
        <w:t>Lai izstrādātu kopīgu veselīgas augsnes definīciju, ir jānosaka kopīgs izmērāmu kritēriju minimums, kas, ja to neievēro, būtiski samazina augsnes spēju darboties kā vitālai dzīvai sistēmai un sniegt ekosistēmu pakalpojumus. Šādiem kritērijiem būtu jāatspoguļo pašreizējais augsnes zinātnes līmenis un uz to jābalstās.</w:t>
      </w:r>
    </w:p>
    <w:p w14:paraId="777120D6" w14:textId="77777777" w:rsidR="004954EA" w:rsidRPr="00EB04F1" w:rsidRDefault="004954EA">
      <w:pPr>
        <w:widowControl/>
        <w:rPr>
          <w:szCs w:val="24"/>
          <w:lang w:val="pt-PT" w:eastAsia="en-US"/>
        </w:rPr>
      </w:pPr>
      <w:r w:rsidRPr="00EB04F1">
        <w:rPr>
          <w:szCs w:val="24"/>
          <w:lang w:val="pt-PT" w:eastAsia="en-US"/>
        </w:rPr>
        <w:br w:type="page"/>
      </w:r>
    </w:p>
    <w:p w14:paraId="5DAC8B6D" w14:textId="735E0E94"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(27)</w:t>
      </w:r>
      <w:r w:rsidRPr="00EB04F1">
        <w:rPr>
          <w:szCs w:val="24"/>
          <w:lang w:val="pt-PT" w:eastAsia="en-US"/>
        </w:rPr>
        <w:tab/>
        <w:t xml:space="preserve">Lai </w:t>
      </w:r>
      <w:r w:rsidRPr="00EB04F1">
        <w:rPr>
          <w:strike/>
          <w:szCs w:val="24"/>
          <w:lang w:val="pt-PT" w:eastAsia="en-US"/>
        </w:rPr>
        <w:t>raksturotu augsnes degradāciju, ir jānosaka augsnes deskriptori, ko var izmērīt vai aplēst. Pat ja</w:t>
      </w:r>
      <w:r w:rsidRPr="00EB04F1">
        <w:rPr>
          <w:b/>
          <w:i/>
          <w:szCs w:val="24"/>
          <w:lang w:val="pt-PT" w:eastAsia="en-US"/>
        </w:rPr>
        <w:t>paredzētu kopīgu regulējumu un būtu iespējama datu salīdzināmība, Komisijai būtu ar deleģētajiem aktiem jāpieņem metodika</w:t>
      </w:r>
      <w:r w:rsidRPr="00EB04F1">
        <w:rPr>
          <w:szCs w:val="24"/>
          <w:lang w:val="pt-PT" w:eastAsia="en-US"/>
        </w:rPr>
        <w:t xml:space="preserve"> augsnes </w:t>
      </w:r>
      <w:r w:rsidRPr="00EB04F1">
        <w:rPr>
          <w:strike/>
          <w:szCs w:val="24"/>
          <w:lang w:val="pt-PT" w:eastAsia="en-US"/>
        </w:rPr>
        <w:t>tipi, klimatiskie apstākļi un zemes izmantojums ievērojami atšķiras, pašreizējās zinātnes atziņas dod iespēju dažiem no šiem</w:t>
      </w:r>
      <w:r w:rsidRPr="00EB04F1">
        <w:rPr>
          <w:b/>
          <w:i/>
          <w:szCs w:val="24"/>
          <w:lang w:val="pt-PT" w:eastAsia="en-US"/>
        </w:rPr>
        <w:t>deskriptoru robežvērtību noteikšanai katram augsnes ekoloģiskajam stāvoklim. Ir svarīgi, lai šajā metodikā būtu ņemti vērā jaunākie zinātniskie pierādījumi un noteikti veidi, kā ņemt vērā dažādus klimatiskos apstākļus un</w:t>
      </w:r>
      <w:r w:rsidRPr="00EB04F1">
        <w:rPr>
          <w:szCs w:val="24"/>
          <w:lang w:val="pt-PT" w:eastAsia="en-US"/>
        </w:rPr>
        <w:t xml:space="preserve"> augsnes </w:t>
      </w:r>
      <w:r w:rsidRPr="00EB04F1">
        <w:rPr>
          <w:strike/>
          <w:szCs w:val="24"/>
          <w:lang w:val="pt-PT" w:eastAsia="en-US"/>
        </w:rPr>
        <w:t>deskriptoriem noteikt Savienības līmeņa kritērijus. Tomēr</w:t>
      </w:r>
      <w:r w:rsidRPr="00EB04F1">
        <w:rPr>
          <w:b/>
          <w:i/>
          <w:szCs w:val="24"/>
          <w:lang w:val="pt-PT" w:eastAsia="en-US"/>
        </w:rPr>
        <w:t>tipus. Izmantojot šo metodiku,</w:t>
      </w:r>
      <w:r w:rsidRPr="00EB04F1">
        <w:rPr>
          <w:szCs w:val="24"/>
          <w:lang w:val="pt-PT" w:eastAsia="en-US"/>
        </w:rPr>
        <w:t xml:space="preserve"> dalībvalstīm vajadzētu </w:t>
      </w:r>
      <w:r w:rsidRPr="00EB04F1">
        <w:rPr>
          <w:strike/>
          <w:szCs w:val="24"/>
          <w:lang w:val="pt-PT" w:eastAsia="en-US"/>
        </w:rPr>
        <w:t>būt iespējai dažu</w:t>
      </w:r>
      <w:r w:rsidRPr="00EB04F1">
        <w:rPr>
          <w:b/>
          <w:i/>
          <w:szCs w:val="24"/>
          <w:lang w:val="pt-PT" w:eastAsia="en-US"/>
        </w:rPr>
        <w:t>noteikt provizoriskas</w:t>
      </w:r>
      <w:r w:rsidRPr="00EB04F1">
        <w:rPr>
          <w:szCs w:val="24"/>
          <w:lang w:val="pt-PT" w:eastAsia="en-US"/>
        </w:rPr>
        <w:t xml:space="preserve"> augsnes deskriptoru </w:t>
      </w:r>
      <w:r w:rsidRPr="00EB04F1">
        <w:rPr>
          <w:strike/>
          <w:szCs w:val="24"/>
          <w:lang w:val="pt-PT" w:eastAsia="en-US"/>
        </w:rPr>
        <w:t>kritērijus pielāgot valsts vai vietējo</w:t>
      </w:r>
      <w:r w:rsidRPr="00EB04F1">
        <w:rPr>
          <w:b/>
          <w:i/>
          <w:szCs w:val="24"/>
          <w:lang w:val="pt-PT" w:eastAsia="en-US"/>
        </w:rPr>
        <w:t>robežvērtības katram augsnes ekoloģiskajam stāvoklim, ņemot vērā klimatiskos apstākļus, augsnes tipu, zemes platības tipu un zinātniskos pierādījumus, un iesniegt tās Komisijai. Lai nodrošinātu konkurences</w:t>
      </w:r>
      <w:r w:rsidRPr="00EB04F1">
        <w:rPr>
          <w:szCs w:val="24"/>
          <w:lang w:val="pt-PT" w:eastAsia="en-US"/>
        </w:rPr>
        <w:t xml:space="preserve"> apstākļu </w:t>
      </w:r>
      <w:r w:rsidRPr="00EB04F1">
        <w:rPr>
          <w:strike/>
          <w:szCs w:val="24"/>
          <w:lang w:val="pt-PT" w:eastAsia="en-US"/>
        </w:rPr>
        <w:t>specifikai un noteikt kritērijus citiem</w:t>
      </w:r>
      <w:r w:rsidRPr="00EB04F1">
        <w:rPr>
          <w:b/>
          <w:i/>
          <w:szCs w:val="24"/>
          <w:lang w:val="pt-PT" w:eastAsia="en-US"/>
        </w:rPr>
        <w:t>vienlīdzību dalībvalstu starpā un izvairītos no tā, ka dalībvalstis pieņem robežvērtības, kas ļauj līdzīgas</w:t>
      </w:r>
      <w:r w:rsidRPr="00EB04F1">
        <w:rPr>
          <w:szCs w:val="24"/>
          <w:lang w:val="pt-PT" w:eastAsia="en-US"/>
        </w:rPr>
        <w:t xml:space="preserve"> augsnes </w:t>
      </w:r>
      <w:r w:rsidRPr="00EB04F1">
        <w:rPr>
          <w:strike/>
          <w:szCs w:val="24"/>
          <w:lang w:val="pt-PT" w:eastAsia="en-US"/>
        </w:rPr>
        <w:t xml:space="preserve">deskriptoriem, kuru gadījumā kopīgus ES līmeņa kritērijus noteikt pašlaik nav iespējams. Tos deskriptorus, kuru gadījumā noteikt skaidrus kritērijus, kas veselīgu stāvokli nošķirtu no neveselīga, pašlaik nav iespējams, ir prasīts tikai monitorēt un novērtēt. </w:t>
      </w:r>
      <w:proofErr w:type="gramStart"/>
      <w:r w:rsidRPr="00EB04F1">
        <w:rPr>
          <w:strike/>
          <w:szCs w:val="24"/>
          <w:lang w:val="pt-PT" w:eastAsia="en-US"/>
        </w:rPr>
        <w:t>Tas</w:t>
      </w:r>
      <w:proofErr w:type="gramEnd"/>
      <w:r w:rsidRPr="00EB04F1">
        <w:rPr>
          <w:strike/>
          <w:szCs w:val="24"/>
          <w:lang w:val="pt-PT" w:eastAsia="en-US"/>
        </w:rPr>
        <w:t xml:space="preserve"> atvieglos šādu kritēriju izstrādi nākotnē</w:t>
      </w:r>
      <w:r w:rsidRPr="00EB04F1">
        <w:rPr>
          <w:b/>
          <w:i/>
          <w:szCs w:val="24"/>
          <w:lang w:val="pt-PT" w:eastAsia="en-US"/>
        </w:rPr>
        <w:t>klasificēt ļoti atšķirīgos veidos, tādējādi ietekmējot centienus, kuri vajadzīgi nolūkā uzlabot tās augsnes ekoloģisko statusu, Komisijai būtu jānovērtē provizoriskās robežvērtības un to zinātniskais pamatojums. Komisijai vajadzētu būt iespējai prasīt dalībvalstīm papildu informāciju vai provizorisko robežvērtību pārskatīšanu</w:t>
      </w:r>
      <w:r w:rsidRPr="00EB04F1">
        <w:rPr>
          <w:szCs w:val="24"/>
          <w:lang w:val="pt-PT" w:eastAsia="en-US"/>
        </w:rPr>
        <w:t>.</w:t>
      </w:r>
      <w:r w:rsidRPr="00EB04F1">
        <w:rPr>
          <w:b/>
          <w:i/>
          <w:szCs w:val="24"/>
          <w:lang w:val="pt-PT" w:eastAsia="en-US"/>
        </w:rPr>
        <w:t xml:space="preserve"> Komisijai būtu robežvērtības jāapstiprina, ja ir pienācīgi ņemti vērā tās apsvērumi.</w:t>
      </w:r>
      <w:r w:rsidR="004954EA" w:rsidRPr="00EB04F1">
        <w:rPr>
          <w:b/>
          <w:szCs w:val="24"/>
          <w:lang w:val="pt-PT" w:eastAsia="en-US"/>
        </w:rPr>
        <w:t xml:space="preserve"> [Gr. 14]</w:t>
      </w:r>
    </w:p>
    <w:p w14:paraId="27D62742" w14:textId="77777777" w:rsidR="004954EA" w:rsidRPr="00EB04F1" w:rsidRDefault="004954EA">
      <w:pPr>
        <w:widowControl/>
        <w:rPr>
          <w:b/>
          <w:i/>
          <w:szCs w:val="24"/>
          <w:lang w:val="pt-PT" w:eastAsia="en-US"/>
        </w:rPr>
      </w:pPr>
      <w:r w:rsidRPr="00EB04F1">
        <w:rPr>
          <w:b/>
          <w:i/>
          <w:szCs w:val="24"/>
          <w:lang w:val="pt-PT" w:eastAsia="en-US"/>
        </w:rPr>
        <w:br w:type="page"/>
      </w:r>
    </w:p>
    <w:p w14:paraId="3F6DB9AD" w14:textId="4ACB2BEA" w:rsidR="00DA4F3E" w:rsidRPr="00EB04F1" w:rsidRDefault="004954EA" w:rsidP="00DA4F3E">
      <w:pPr>
        <w:spacing w:before="120" w:after="120" w:line="360" w:lineRule="auto"/>
        <w:ind w:left="850" w:hanging="850"/>
        <w:rPr>
          <w:b/>
          <w:szCs w:val="24"/>
          <w:lang w:val="pt-PT" w:eastAsia="en-US"/>
        </w:rPr>
      </w:pPr>
      <w:r w:rsidRPr="00EB04F1">
        <w:rPr>
          <w:b/>
          <w:i/>
          <w:szCs w:val="24"/>
          <w:lang w:eastAsia="en-US"/>
        </w:rPr>
        <w:lastRenderedPageBreak/>
        <w:t>(27a)</w:t>
      </w:r>
      <w:r w:rsidR="00DA4F3E" w:rsidRPr="00EB04F1">
        <w:rPr>
          <w:szCs w:val="24"/>
          <w:lang w:val="pt-PT" w:eastAsia="en-US"/>
        </w:rPr>
        <w:tab/>
      </w:r>
      <w:r w:rsidR="00DA4F3E" w:rsidRPr="00EB04F1">
        <w:rPr>
          <w:b/>
          <w:i/>
          <w:szCs w:val="24"/>
          <w:lang w:val="pt-PT" w:eastAsia="en-US"/>
        </w:rPr>
        <w:t>Ir vajadzīgs integrēts skatījums attiecībā uz augsnes veselības novērtējumu, lūkojoties plašāk, nevis tikai uz degradācijas faktoriem, un paredzot skaidru virzību uz uzlabojumiem. Tādēļ augsnes ekoloģiskā stāvokļa vispārējais novērtējums būtu jāklasificē piecās kategorijās no "ļoti labs augsnes ekoloģiskais stāvoklis", "labs ekoloģiskais stāvoklis", "vidējs", "degradēta augsne" līdz "kritiski degradēta augsne", cita starpā ņemot vērā degradācijas faktoru klātbūtni un augsnes funkcijas.</w:t>
      </w:r>
      <w:r w:rsidRPr="00EB04F1">
        <w:rPr>
          <w:b/>
          <w:szCs w:val="24"/>
          <w:lang w:val="pt-PT" w:eastAsia="en-US"/>
        </w:rPr>
        <w:t xml:space="preserve"> [Gr. 15]</w:t>
      </w:r>
    </w:p>
    <w:p w14:paraId="677805C6" w14:textId="77777777" w:rsidR="004954EA" w:rsidRPr="00EB04F1" w:rsidRDefault="004954EA">
      <w:pPr>
        <w:widowControl/>
        <w:rPr>
          <w:b/>
          <w:i/>
          <w:szCs w:val="24"/>
          <w:lang w:eastAsia="en-US"/>
        </w:rPr>
      </w:pPr>
      <w:r w:rsidRPr="00EB04F1">
        <w:rPr>
          <w:b/>
          <w:i/>
          <w:szCs w:val="24"/>
          <w:lang w:eastAsia="en-US"/>
        </w:rPr>
        <w:br w:type="page"/>
      </w:r>
    </w:p>
    <w:p w14:paraId="6F78FCF5" w14:textId="33298E97" w:rsidR="00DA4F3E" w:rsidRPr="00EB04F1" w:rsidRDefault="004954EA" w:rsidP="00DA4F3E">
      <w:pPr>
        <w:spacing w:before="120" w:after="120" w:line="360" w:lineRule="auto"/>
        <w:ind w:left="850" w:hanging="850"/>
        <w:rPr>
          <w:b/>
          <w:szCs w:val="24"/>
          <w:lang w:eastAsia="en-US"/>
        </w:rPr>
      </w:pPr>
      <w:r w:rsidRPr="00EB04F1">
        <w:rPr>
          <w:b/>
          <w:i/>
          <w:szCs w:val="24"/>
          <w:lang w:eastAsia="en-US"/>
        </w:rPr>
        <w:lastRenderedPageBreak/>
        <w:t>(27b)</w:t>
      </w:r>
      <w:r w:rsidR="00DA4F3E" w:rsidRPr="00EB04F1">
        <w:rPr>
          <w:szCs w:val="24"/>
          <w:lang w:eastAsia="en-US"/>
        </w:rPr>
        <w:tab/>
      </w:r>
      <w:r w:rsidR="00DA4F3E" w:rsidRPr="00EB04F1">
        <w:rPr>
          <w:b/>
          <w:i/>
          <w:szCs w:val="24"/>
          <w:lang w:eastAsia="en-US"/>
        </w:rPr>
        <w:t>Lai ņemtu vērā to dalībvalstu autonomiju, kuras ir gatavas ieviest vispusīgākas monitoringa sistēmas, dalībvalstīm vajadzētu būt iespējai izvēlēties no trim monitoringa līmeņiem. 1. līmenis paredz augsnes deskriptoru minimumu. 2. līmenī 20 % paraugošanas punktu nosaka saskaņā ar LUCAS programmu, un tie tiek paraugoti dubultā, lai veiktu nepārtrauktu monitoringu un noteiktu pārneses funkcijas, savukārt pārējos 80 % paraugošanas punktu nosaka dalībvalsts, arī nolūkā veikt nepārtrauktu monitoringu, ievērojot šīs direktīvas pielikumos noteiktos kritērijus. 1. un 2. līmenī 20 % paraugošanas punktu ir veltīti mērķorientētam monitoringam, kas ļauj dalībvalstīm paplašināt uz risku balstītus novērtējumus, veikt izmeklēšanas vai pievērsties sevišķi interesantām platībām. Līmeņu pieejas noteikšana palielina vērtēto augsnes deskriptoru skaitu, kā arī dalībvalstu autonomijas līmeni, nosakot ar augšņu ekoloģisko stāvokli saistītās robežvērtības. Šādas līmeņu pieejas galvenais mērķis ir ļaut visām dalībvalstīm ieviest savas monitoringa sistēmas un izmantot jebkādu esošu valsts sistēmu, kas jau veic augšņu monitoringu. 2. līmenis ļauj novērst nepilnības vērtēto augsnes deskriptoru tvērumā un apmērā. 3. līmenī augsnes deskriptoru skaits tiek paplašināts vēl vairāk, lai precizētu augsnes monitoringa sistēmu konkrētus aspektus.</w:t>
      </w:r>
      <w:r w:rsidRPr="00EB04F1">
        <w:rPr>
          <w:b/>
          <w:szCs w:val="24"/>
          <w:lang w:eastAsia="en-US"/>
        </w:rPr>
        <w:t xml:space="preserve"> [Gr. 16]</w:t>
      </w:r>
    </w:p>
    <w:p w14:paraId="066C708A" w14:textId="77777777" w:rsidR="004954EA" w:rsidRPr="00EB04F1" w:rsidRDefault="004954EA">
      <w:pPr>
        <w:widowControl/>
        <w:rPr>
          <w:strike/>
          <w:szCs w:val="24"/>
          <w:lang w:eastAsia="en-US"/>
        </w:rPr>
      </w:pPr>
      <w:r w:rsidRPr="00EB04F1">
        <w:rPr>
          <w:strike/>
          <w:szCs w:val="24"/>
          <w:lang w:eastAsia="en-US"/>
        </w:rPr>
        <w:br w:type="page"/>
      </w:r>
    </w:p>
    <w:p w14:paraId="0F8D3E6A" w14:textId="5BEFB062" w:rsidR="00DA4F3E" w:rsidRPr="00EB04F1" w:rsidRDefault="00DA4F3E" w:rsidP="00DA4F3E">
      <w:pPr>
        <w:spacing w:before="120" w:after="120" w:line="360" w:lineRule="auto"/>
        <w:ind w:left="850" w:hanging="850"/>
        <w:rPr>
          <w:b/>
          <w:szCs w:val="24"/>
          <w:lang w:eastAsia="en-US"/>
        </w:rPr>
      </w:pPr>
      <w:r w:rsidRPr="00EB04F1">
        <w:rPr>
          <w:strike/>
          <w:szCs w:val="24"/>
          <w:lang w:eastAsia="en-US"/>
        </w:rPr>
        <w:lastRenderedPageBreak/>
        <w:t>(28)</w:t>
      </w:r>
      <w:r w:rsidRPr="00EB04F1">
        <w:rPr>
          <w:szCs w:val="24"/>
          <w:lang w:eastAsia="en-US"/>
        </w:rPr>
        <w:tab/>
      </w:r>
      <w:r w:rsidRPr="00EB04F1">
        <w:rPr>
          <w:strike/>
          <w:szCs w:val="24"/>
          <w:lang w:eastAsia="en-US"/>
        </w:rPr>
        <w:t>Lai radītu stimulus, dalībvalstīm būtu jāizveido mehānismi, ar kuriem atzīt zemes īpašnieku un zemes apsaimniekotāju centienus uzturēt augsni veselīgu, cita starpā ieviešot augsnes veselības sertifikāciju, kas papildinātu Savienības oglekļa piesaistījumu tiesisko satvaru, un palīdzētu piemērot Eiropas Parlamenta un Padomes Direktīvas (ES) 2018/2001</w:t>
      </w:r>
      <w:r w:rsidRPr="00EB04F1">
        <w:rPr>
          <w:strike/>
          <w:szCs w:val="24"/>
          <w:vertAlign w:val="superscript"/>
          <w:lang w:val="en-GB" w:eastAsia="en-US"/>
        </w:rPr>
        <w:footnoteReference w:id="23"/>
      </w:r>
      <w:r w:rsidRPr="00EB04F1">
        <w:rPr>
          <w:strike/>
          <w:szCs w:val="24"/>
          <w:lang w:eastAsia="en-US"/>
        </w:rPr>
        <w:t xml:space="preserve"> 29. pantā noteiktos atjaunīgās enerģijas ilgtspējas kritērijus. Komisijai būtu jāatvieglo augsnes veselības sertifikācija, cita starpā apmainoties ar informāciju un popularizējot paraugprakses, vairojot informētību un novērtējot, vai būtu iespējams izveidot sertifikācijas shēmu atzīšanas mehānismu Savienības līmenī. Lai samazinātu administratīvo slogu tiem, kas piesakās uz attiecīgu sertifikāciju, iespējami pilnīgi būtu jāizmanto sinerģijas starp dažādām sertifikācijas shēmām.</w:t>
      </w:r>
      <w:r w:rsidR="004954EA" w:rsidRPr="00EB04F1">
        <w:rPr>
          <w:b/>
          <w:szCs w:val="24"/>
          <w:lang w:eastAsia="en-US"/>
        </w:rPr>
        <w:t xml:space="preserve"> [Gr. 17]</w:t>
      </w:r>
    </w:p>
    <w:p w14:paraId="38A02247" w14:textId="77777777" w:rsidR="00DA4F3E" w:rsidRPr="00EB04F1" w:rsidRDefault="00DA4F3E" w:rsidP="00DA4F3E">
      <w:pPr>
        <w:spacing w:before="120" w:after="120" w:line="360" w:lineRule="auto"/>
        <w:ind w:left="850" w:hanging="850"/>
        <w:rPr>
          <w:szCs w:val="24"/>
          <w:lang w:eastAsia="en-US"/>
        </w:rPr>
      </w:pPr>
      <w:r w:rsidRPr="00EB04F1">
        <w:rPr>
          <w:szCs w:val="24"/>
          <w:lang w:eastAsia="en-US"/>
        </w:rPr>
        <w:t>(29)</w:t>
      </w:r>
      <w:r w:rsidRPr="00EB04F1">
        <w:rPr>
          <w:szCs w:val="24"/>
          <w:lang w:eastAsia="en-US"/>
        </w:rPr>
        <w:tab/>
        <w:t>Dažām augsnēm ir sevišķas īpašības vai nu tāpēc, ka tās pašas par sevi ir netipiskas un ir retas biodaudzveidībai svarīgas dzīvotnes vai veido unikālas ainavas, vai arī tāpēc, ka cilvēki tās ir būtiski pārveidojuši. Definējot veselīgas augsnes un veselīgu augšņu panākšanas prasības, šīs īpatnības būtu jāņem vērā.</w:t>
      </w:r>
    </w:p>
    <w:p w14:paraId="009DFE52" w14:textId="77777777" w:rsidR="004954EA" w:rsidRPr="00EB04F1" w:rsidRDefault="004954EA">
      <w:pPr>
        <w:widowControl/>
        <w:rPr>
          <w:szCs w:val="24"/>
          <w:lang w:eastAsia="en-US"/>
        </w:rPr>
      </w:pPr>
      <w:r w:rsidRPr="00EB04F1">
        <w:rPr>
          <w:szCs w:val="24"/>
          <w:lang w:eastAsia="en-US"/>
        </w:rPr>
        <w:br w:type="page"/>
      </w:r>
    </w:p>
    <w:p w14:paraId="724FD95A" w14:textId="260478E6" w:rsidR="00DA4F3E" w:rsidRPr="00EB04F1" w:rsidRDefault="00DA4F3E" w:rsidP="00DA4F3E">
      <w:pPr>
        <w:spacing w:before="120" w:after="120" w:line="360" w:lineRule="auto"/>
        <w:ind w:left="850" w:hanging="850"/>
        <w:rPr>
          <w:b/>
          <w:szCs w:val="24"/>
          <w:lang w:eastAsia="en-US"/>
        </w:rPr>
      </w:pPr>
      <w:r w:rsidRPr="00EB04F1">
        <w:rPr>
          <w:szCs w:val="24"/>
          <w:lang w:eastAsia="en-US"/>
        </w:rPr>
        <w:lastRenderedPageBreak/>
        <w:t>(30)</w:t>
      </w:r>
      <w:r w:rsidRPr="00EB04F1">
        <w:rPr>
          <w:szCs w:val="24"/>
          <w:lang w:eastAsia="en-US"/>
        </w:rPr>
        <w:tab/>
        <w:t>Augsne ir ierobežots resurss, kas pakļauts arvien augošai konkurencei par dažādiem izmantojumiem. Zemes aizņemšana ir process, ko bieži vien virza ekonomiskās attīstības vajadzības un kas dabiskas un daļēji dabiskas teritorijas (arī lauksaimniecības un mežsaimniecības zemi, dārzus un parkus) pārveido mākslīgā zemē, kurā augsni izmanto par būvniecības un infrastruktūras pamatu, par tiešu izejvielu avotu vai par vēstures mantojuma glabātavu. Šāda pārveide var — nereti neatgriezeniski — sagraut augsnes spēju nodrošināt citus ekosistēmu pakalpojumus (pārtikas un biomasas nodrošināšana, ūdens un barības vielu aprite, biodaudzveidības un oglekļa uzglabāšanas pamats). Turklāt zemes aizņemšana bieži vien skar auglīgākās lauksaimniecības augsnes, tā apdraudot nodrošinātību ar pārtiku. Noslēgta augsne turklāt pakļauj cilvēku apdzīvotas vietas lielākiem plūdu maksimumiem un intensīvākam siltumsalas efektam. Tāpēc zemes aizņemšana un augsnes noslēgšana, kā arī to ietekme uz augsnes spēju sniegt ekosistēmu pakalpojumus ir jāmonitorē. Ir lietderīgi arī noteikt konkrētus principus, kā mīkstināt zemes aizņemšanas ietekmi</w:t>
      </w:r>
      <w:r w:rsidRPr="00EB04F1">
        <w:rPr>
          <w:b/>
          <w:i/>
          <w:szCs w:val="24"/>
          <w:lang w:eastAsia="en-US"/>
        </w:rPr>
        <w:t>, papildinot ilgtspējīgu</w:t>
      </w:r>
      <w:r w:rsidRPr="00EB04F1">
        <w:rPr>
          <w:strike/>
          <w:szCs w:val="24"/>
          <w:lang w:eastAsia="en-US"/>
        </w:rPr>
        <w:t xml:space="preserve"> ilgtspējīgas</w:t>
      </w:r>
      <w:r w:rsidRPr="00EB04F1">
        <w:rPr>
          <w:szCs w:val="24"/>
          <w:lang w:eastAsia="en-US"/>
        </w:rPr>
        <w:t xml:space="preserve"> augsnes </w:t>
      </w:r>
      <w:r w:rsidRPr="00EB04F1">
        <w:rPr>
          <w:strike/>
          <w:szCs w:val="24"/>
          <w:lang w:eastAsia="en-US"/>
        </w:rPr>
        <w:t>apsaimniekošanas ietvaros</w:t>
      </w:r>
      <w:r w:rsidRPr="00EB04F1">
        <w:rPr>
          <w:b/>
          <w:i/>
          <w:szCs w:val="24"/>
          <w:lang w:eastAsia="en-US"/>
        </w:rPr>
        <w:t>apsaimniekošanu</w:t>
      </w:r>
      <w:r w:rsidRPr="00EB04F1">
        <w:rPr>
          <w:szCs w:val="24"/>
          <w:lang w:eastAsia="en-US"/>
        </w:rPr>
        <w:t>.</w:t>
      </w:r>
      <w:r w:rsidR="004954EA" w:rsidRPr="00EB04F1">
        <w:rPr>
          <w:b/>
          <w:szCs w:val="24"/>
          <w:lang w:eastAsia="en-US"/>
        </w:rPr>
        <w:t xml:space="preserve"> [Gr. 18]</w:t>
      </w:r>
    </w:p>
    <w:p w14:paraId="2D0B34C8" w14:textId="77777777" w:rsidR="004954EA" w:rsidRPr="00EB04F1" w:rsidRDefault="004954EA">
      <w:pPr>
        <w:widowControl/>
        <w:rPr>
          <w:szCs w:val="24"/>
          <w:lang w:eastAsia="en-US"/>
        </w:rPr>
      </w:pPr>
      <w:r w:rsidRPr="00EB04F1">
        <w:rPr>
          <w:szCs w:val="24"/>
          <w:lang w:eastAsia="en-US"/>
        </w:rPr>
        <w:br w:type="page"/>
      </w:r>
    </w:p>
    <w:p w14:paraId="7C52508C" w14:textId="7AD6CB57" w:rsidR="00DA4F3E" w:rsidRPr="00EB04F1" w:rsidRDefault="00DA4F3E" w:rsidP="00DA4F3E">
      <w:pPr>
        <w:spacing w:before="120" w:after="120" w:line="360" w:lineRule="auto"/>
        <w:ind w:left="850" w:hanging="850"/>
        <w:rPr>
          <w:b/>
          <w:szCs w:val="24"/>
          <w:lang w:eastAsia="en-US"/>
        </w:rPr>
      </w:pPr>
      <w:r w:rsidRPr="00EB04F1">
        <w:rPr>
          <w:szCs w:val="24"/>
          <w:lang w:eastAsia="en-US"/>
        </w:rPr>
        <w:lastRenderedPageBreak/>
        <w:t>(31)</w:t>
      </w:r>
      <w:r w:rsidRPr="00EB04F1">
        <w:rPr>
          <w:szCs w:val="24"/>
          <w:lang w:eastAsia="en-US"/>
        </w:rPr>
        <w:tab/>
        <w:t>Augsnes veselības novērtējumam, kura pamatā ir monitoringa tīkls, vajadzētu būt precīzam, vienlaikus noturot saprātīgā līmenī šāda monitoringa izmaksas. Tāpēc ir lietderīgi noteikt kritērijus tādiem paraugošanas punktiem, kas būtu reprezentatīvi augsnes stāvoklim neatkarīgi no augsnes tipa, klimatiskajiem apstākļiem un zemes izmantojuma. Paraugošanas punktu tīkls būtu jānosaka, izmantojot ģeostatistiskas metodes, un tam vajadzētu būt pietiekami blīvam, lai veselīgu augšņu platību valsts līmenī varētu aplēst ar nenoteiktību, kas nepārsniedz 5 %. Parasti uzskata, ka šāda nenoteiktības vērtība nodrošina statistiski pamatotu aplēsi un pietiekamu pārliecību, ka mērķis ir sasniegts.</w:t>
      </w:r>
      <w:r w:rsidRPr="00EB04F1">
        <w:rPr>
          <w:b/>
          <w:i/>
          <w:szCs w:val="24"/>
          <w:lang w:eastAsia="en-US"/>
        </w:rPr>
        <w:t xml:space="preserve"> Svarīgi, lai augsnes monitoringa metodika un satvars ietvertu saskaņotus paraugošanas kritērijus, tostarp paraugošanas dziļumu.</w:t>
      </w:r>
      <w:r w:rsidR="004954EA" w:rsidRPr="00EB04F1">
        <w:rPr>
          <w:b/>
          <w:szCs w:val="24"/>
          <w:lang w:eastAsia="en-US"/>
        </w:rPr>
        <w:t xml:space="preserve"> [Gr. 19]</w:t>
      </w:r>
    </w:p>
    <w:p w14:paraId="4B844A11" w14:textId="77777777" w:rsidR="004954EA" w:rsidRPr="00EB04F1" w:rsidRDefault="004954EA">
      <w:pPr>
        <w:widowControl/>
        <w:rPr>
          <w:b/>
          <w:i/>
          <w:szCs w:val="24"/>
          <w:lang w:eastAsia="en-US"/>
        </w:rPr>
      </w:pPr>
      <w:r w:rsidRPr="00EB04F1">
        <w:rPr>
          <w:b/>
          <w:i/>
          <w:szCs w:val="24"/>
          <w:lang w:eastAsia="en-US"/>
        </w:rPr>
        <w:br w:type="page"/>
      </w:r>
    </w:p>
    <w:p w14:paraId="7CE8F8A0" w14:textId="08B038C2" w:rsidR="00DA4F3E" w:rsidRPr="00EB04F1" w:rsidRDefault="004954EA" w:rsidP="00DA4F3E">
      <w:pPr>
        <w:spacing w:before="120" w:after="120" w:line="360" w:lineRule="auto"/>
        <w:ind w:left="850" w:hanging="850"/>
        <w:rPr>
          <w:b/>
          <w:szCs w:val="24"/>
          <w:lang w:val="pt-PT" w:eastAsia="en-US"/>
        </w:rPr>
      </w:pPr>
      <w:r w:rsidRPr="00EB04F1">
        <w:rPr>
          <w:b/>
          <w:i/>
          <w:szCs w:val="24"/>
          <w:lang w:eastAsia="en-US"/>
        </w:rPr>
        <w:lastRenderedPageBreak/>
        <w:t>(31a)</w:t>
      </w:r>
      <w:r w:rsidR="00DA4F3E" w:rsidRPr="00EB04F1">
        <w:rPr>
          <w:szCs w:val="24"/>
          <w:lang w:eastAsia="en-US"/>
        </w:rPr>
        <w:tab/>
      </w:r>
      <w:r w:rsidR="00DA4F3E" w:rsidRPr="00EB04F1">
        <w:rPr>
          <w:b/>
          <w:i/>
          <w:szCs w:val="24"/>
          <w:lang w:eastAsia="en-US"/>
        </w:rPr>
        <w:t>Augsnes arhīvi saglabā augsnes momentuzņēmumu konkrētā brīdī un vietā, tāpēc dalībvalstis vienu paraugu var izmantot dažādiem mērķiem un racionalizēt paraugu ņemšanu uz lauka, tādējādi ilgtermiņā samazinot in situ monitoringa izmaksas. Turklāt augsnes arhīvi ļauj pētniekiem atkārtoti novērtēt augsnes iepriekšējo stāvokli tagadnes kontekstā, lai uzlabotu izpratni par augsnes izmaiņām ilgtermiņā vai izmantotu to citai pētniecībai, tostarp medicīniskiem pētījumiem. Tādēļ ir svarīgi, lai Komisija, kā arī tās dienesti, piemēram, Kopīgais pētniecības centrs (JRC), kopā ar dalībvalstīm un Eiropas Augsnes observatoriju nodrošinātu, ka paraugi, DNS izvilkumi un jēldati, kas iegūti, lai panāktu atbilstību Savienības un valstu vides tiesību aktiem, tiek saglabāti fiziskos arhīvos un ka to paraugi un šo arhīvu jēldati vienmēr ir pieejami turpmākiem pētījumiem un inovācijai.</w:t>
      </w:r>
      <w:r w:rsidRPr="00EB04F1">
        <w:rPr>
          <w:b/>
          <w:szCs w:val="24"/>
          <w:lang w:eastAsia="en-US"/>
        </w:rPr>
        <w:t xml:space="preserve"> </w:t>
      </w:r>
      <w:r w:rsidRPr="00EB04F1">
        <w:rPr>
          <w:b/>
          <w:szCs w:val="24"/>
          <w:lang w:val="pt-PT" w:eastAsia="en-US"/>
        </w:rPr>
        <w:t>[Gr. 20]</w:t>
      </w:r>
    </w:p>
    <w:p w14:paraId="635DC822" w14:textId="77777777" w:rsidR="004954EA" w:rsidRPr="00EB04F1" w:rsidRDefault="004954EA">
      <w:pPr>
        <w:widowControl/>
        <w:rPr>
          <w:szCs w:val="24"/>
          <w:lang w:val="pt-PT" w:eastAsia="en-US"/>
        </w:rPr>
      </w:pPr>
      <w:r w:rsidRPr="00EB04F1">
        <w:rPr>
          <w:szCs w:val="24"/>
          <w:lang w:val="pt-PT" w:eastAsia="en-US"/>
        </w:rPr>
        <w:br w:type="page"/>
      </w:r>
    </w:p>
    <w:p w14:paraId="10971660" w14:textId="423496DA"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(32)</w:t>
      </w:r>
      <w:r w:rsidRPr="00EB04F1">
        <w:rPr>
          <w:szCs w:val="24"/>
          <w:lang w:val="pt-PT" w:eastAsia="en-US"/>
        </w:rPr>
        <w:tab/>
      </w:r>
      <w:r w:rsidRPr="00EB04F1">
        <w:rPr>
          <w:b/>
          <w:i/>
          <w:szCs w:val="24"/>
          <w:lang w:val="pt-PT" w:eastAsia="en-US"/>
        </w:rPr>
        <w:t xml:space="preserve">Lai papildinātu esošos valstu sarakstus, </w:t>
      </w:r>
      <w:r w:rsidRPr="00EB04F1">
        <w:rPr>
          <w:szCs w:val="24"/>
          <w:lang w:val="pt-PT" w:eastAsia="en-US"/>
        </w:rPr>
        <w:t xml:space="preserve">Komisijai būtu dalībvalstīm jāpalīdz monitorēt augsnes veselību un šis monitorings jāatbalsta, arī turpmāk veicot un vēl uzlabojot regulāru in situ augsnes paraugošanu un saistītos augsnes mērījumus (LUCAS augsnes apsekojums) Zemes izmantošanas un zemes pārklājuma statistiskā apsekojuma (LUCAS) programmas ietvaros. Šajā nolūkā LUCAS </w:t>
      </w:r>
      <w:r w:rsidRPr="00EB04F1">
        <w:rPr>
          <w:strike/>
          <w:szCs w:val="24"/>
          <w:lang w:val="pt-PT" w:eastAsia="en-US"/>
        </w:rPr>
        <w:t>programmu pilnveido un atjaunina</w:t>
      </w:r>
      <w:r w:rsidRPr="00EB04F1">
        <w:rPr>
          <w:b/>
          <w:i/>
          <w:szCs w:val="24"/>
          <w:lang w:val="pt-PT" w:eastAsia="en-US"/>
        </w:rPr>
        <w:t>programma būtu jāpilnveido un jāatjaunina</w:t>
      </w:r>
      <w:r w:rsidRPr="00EB04F1">
        <w:rPr>
          <w:szCs w:val="24"/>
          <w:lang w:val="pt-PT" w:eastAsia="en-US"/>
        </w:rPr>
        <w:t>, lai to pilnībā pieskaņotu konkrētajām kvalitātes prasībām</w:t>
      </w:r>
      <w:r w:rsidRPr="00EB04F1">
        <w:rPr>
          <w:b/>
          <w:i/>
          <w:szCs w:val="24"/>
          <w:lang w:val="pt-PT" w:eastAsia="en-US"/>
        </w:rPr>
        <w:t xml:space="preserve"> un visiem deskriptoriem</w:t>
      </w:r>
      <w:r w:rsidRPr="00EB04F1">
        <w:rPr>
          <w:szCs w:val="24"/>
          <w:lang w:val="pt-PT" w:eastAsia="en-US"/>
        </w:rPr>
        <w:t>, kas jāievēro šīs direktīvas vajadzībām. Lai mazinātu slogu, būtu dalībvalstīm jāļauj ņemt vērā augsnes veselības datus, kas apsekoti uzlabotajā LUCAS augsnes apsekojumā</w:t>
      </w:r>
      <w:r w:rsidRPr="00EB04F1">
        <w:rPr>
          <w:b/>
          <w:i/>
          <w:szCs w:val="24"/>
          <w:lang w:val="pt-PT" w:eastAsia="en-US"/>
        </w:rPr>
        <w:t xml:space="preserve">. LUCAS augsnes apsekojumā tiks ņemti un analizēti vismaz 20 % valsts paraugu apjoma, tādējādi palīdzot dalībvalstīm veikt monitoringu. LUCAS analīze ir būtiska, lai ļautu dalībvalstīm aprēķināt un kalibrēt validētas pārneses funkcijas, jo </w:t>
      </w:r>
      <w:proofErr w:type="gramStart"/>
      <w:r w:rsidRPr="00EB04F1">
        <w:rPr>
          <w:b/>
          <w:i/>
          <w:szCs w:val="24"/>
          <w:lang w:val="pt-PT" w:eastAsia="en-US"/>
        </w:rPr>
        <w:t>tas</w:t>
      </w:r>
      <w:proofErr w:type="gramEnd"/>
      <w:r w:rsidRPr="00EB04F1">
        <w:rPr>
          <w:b/>
          <w:i/>
          <w:szCs w:val="24"/>
          <w:lang w:val="pt-PT" w:eastAsia="en-US"/>
        </w:rPr>
        <w:t xml:space="preserve"> ļauj tām turpināt izmantot alternatīvu monitoringa veidu saskaņā ar 2. līmeni. Komisijai būtu pēc dalībvalsts pieprasījuma pirmajā valsts monitoringa kārtā jāsniedz papildu palīdzība saistībā ar līdz 50 % paraugošanas</w:t>
      </w:r>
      <w:r w:rsidRPr="00EB04F1">
        <w:rPr>
          <w:szCs w:val="24"/>
          <w:lang w:val="pt-PT" w:eastAsia="en-US"/>
        </w:rPr>
        <w:t>. Tā atbalstītajām dalībvalstīm būtu jāveic juridiskie pasākumi, kas vajadzīgi, lai nodrošinātu, ka Komisija šādu in situ augsnes paraugošanu var veikt, arī privātīpašumā esošos laukos</w:t>
      </w:r>
      <w:r w:rsidRPr="00EB04F1">
        <w:rPr>
          <w:b/>
          <w:i/>
          <w:szCs w:val="24"/>
          <w:lang w:val="pt-PT" w:eastAsia="en-US"/>
        </w:rPr>
        <w:t xml:space="preserve"> ar īpašnieku piekrišanu</w:t>
      </w:r>
      <w:r w:rsidRPr="00EB04F1">
        <w:rPr>
          <w:szCs w:val="24"/>
          <w:lang w:val="pt-PT" w:eastAsia="en-US"/>
        </w:rPr>
        <w:t>, ievērojot piemērojamos valsts vai Savienības tiesību aktus.</w:t>
      </w:r>
      <w:r w:rsidR="004954EA" w:rsidRPr="00EB04F1">
        <w:rPr>
          <w:b/>
          <w:szCs w:val="24"/>
          <w:lang w:val="pt-PT" w:eastAsia="en-US"/>
        </w:rPr>
        <w:t xml:space="preserve"> [Gr. 21]</w:t>
      </w:r>
    </w:p>
    <w:p w14:paraId="75FB2F51" w14:textId="77777777" w:rsidR="004954EA" w:rsidRPr="00EB04F1" w:rsidRDefault="004954EA">
      <w:pPr>
        <w:widowControl/>
        <w:rPr>
          <w:szCs w:val="24"/>
          <w:lang w:val="pt-PT" w:eastAsia="en-US"/>
        </w:rPr>
      </w:pPr>
      <w:r w:rsidRPr="00EB04F1">
        <w:rPr>
          <w:szCs w:val="24"/>
          <w:lang w:val="pt-PT" w:eastAsia="en-US"/>
        </w:rPr>
        <w:br w:type="page"/>
      </w:r>
    </w:p>
    <w:p w14:paraId="0F422B48" w14:textId="76B80D28"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(33)</w:t>
      </w:r>
      <w:r w:rsidRPr="00EB04F1">
        <w:rPr>
          <w:szCs w:val="24"/>
          <w:lang w:val="pt-PT" w:eastAsia="en-US"/>
        </w:rPr>
        <w:tab/>
        <w:t>Komisija Copernicus kā lietotājorientētas programmas kontekstā izstrādā tālizpētes pakalpojumus, tādējādi arī atbalstot dalībvalstis. Lai palielinātu augsnes veselības monitoringa laicīgumu un rezultativitāti un attiecīgā gadījumā dalībvalstīm attiecīgo augsnes deskriptoru monitoringam un augsnes veselības novērtēšanai būtu jāizmanto tālizpētes dati, arī Copernicus pakalpojumu izvaddati. Komisijai un Eiropas Vides aģentūrai būtu jāatbalsta augsnes tālizpētes produktu izpēte un izstrāde, lai dalībvalstīm palīdzētu monitorēt attiecīgos augsnes deskriptorus.</w:t>
      </w:r>
      <w:r w:rsidRPr="00EB04F1">
        <w:rPr>
          <w:b/>
          <w:i/>
          <w:szCs w:val="24"/>
          <w:lang w:val="pt-PT" w:eastAsia="en-US"/>
        </w:rPr>
        <w:t xml:space="preserve"> Komisijai un dalībvalstīm būtu arī jāatbalsta tādu drošu un pieejamu digitālo tehnoloģiju izmantošana kā elektroniskās datubāzes, ģeogrāfiskās informācijas sistēmas, automatizēta attēlu identifikācija vai eDNA, lai uzlabotu zināšanu kopīgošanu un pārredzamību attiecībā uz augsnes veselību un samazinātu augsnes mērījumu un monitoringa izmaksas.</w:t>
      </w:r>
      <w:r w:rsidR="004954EA" w:rsidRPr="00EB04F1">
        <w:rPr>
          <w:b/>
          <w:szCs w:val="24"/>
          <w:lang w:val="pt-PT" w:eastAsia="en-US"/>
        </w:rPr>
        <w:t xml:space="preserve"> [Gr. 22]</w:t>
      </w:r>
    </w:p>
    <w:p w14:paraId="0E1AD642" w14:textId="77777777" w:rsidR="004954EA" w:rsidRPr="00EB04F1" w:rsidRDefault="004954EA">
      <w:pPr>
        <w:widowControl/>
        <w:rPr>
          <w:szCs w:val="24"/>
          <w:lang w:val="pt-PT" w:eastAsia="en-US"/>
        </w:rPr>
      </w:pPr>
      <w:r w:rsidRPr="00EB04F1">
        <w:rPr>
          <w:szCs w:val="24"/>
          <w:lang w:val="pt-PT" w:eastAsia="en-US"/>
        </w:rPr>
        <w:br w:type="page"/>
      </w:r>
    </w:p>
    <w:p w14:paraId="78832ACA" w14:textId="14B89B17"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(34)</w:t>
      </w:r>
      <w:r w:rsidRPr="00EB04F1">
        <w:rPr>
          <w:szCs w:val="24"/>
          <w:lang w:val="pt-PT" w:eastAsia="en-US"/>
        </w:rPr>
        <w:tab/>
        <w:t>Par pamatu ņemot pastāvošo ES Augsnes observatoriju un to uzlabojot, Komisijai būtu jāizveido digitāls augsnes veselības datu portāls, kam vajadzētu būt saderīgam ar ES Datu stratēģiju</w:t>
      </w:r>
      <w:r w:rsidRPr="00EB04F1">
        <w:rPr>
          <w:szCs w:val="24"/>
          <w:vertAlign w:val="superscript"/>
          <w:lang w:val="en-GB" w:eastAsia="en-US"/>
        </w:rPr>
        <w:footnoteReference w:id="24"/>
      </w:r>
      <w:r w:rsidRPr="00EB04F1">
        <w:rPr>
          <w:szCs w:val="24"/>
          <w:lang w:val="pt-PT" w:eastAsia="en-US"/>
        </w:rPr>
        <w:t xml:space="preserve"> un ES datu telpām un kam vajadzētu būt mezglam, kurš nodrošina piekļuvi dažādu avotu datiem par augsni. </w:t>
      </w:r>
      <w:r w:rsidRPr="00EB04F1">
        <w:rPr>
          <w:b/>
          <w:i/>
          <w:szCs w:val="24"/>
          <w:lang w:val="pt-PT" w:eastAsia="en-US"/>
        </w:rPr>
        <w:t xml:space="preserve">Augsnes veselības dati būtu jādara publiski pieejami formātā, ko var izmantot pētnieku kopiena, zemes īpašnieki un apsaimniekotāji, konsultanti, kas strādā lauksaimniekiem paredzēto konsultāciju sistēmā, un sabiedrība, nodrošinot atbilstību Savienības tiesību aktiem par personas datu aizsardzību. </w:t>
      </w:r>
      <w:r w:rsidRPr="00EB04F1">
        <w:rPr>
          <w:szCs w:val="24"/>
          <w:lang w:val="pt-PT" w:eastAsia="en-US"/>
        </w:rPr>
        <w:t xml:space="preserve">Minētajā portālā pirmām kārtām būtu jāiekļauj </w:t>
      </w:r>
      <w:r w:rsidRPr="00EB04F1">
        <w:rPr>
          <w:strike/>
          <w:szCs w:val="24"/>
          <w:lang w:val="pt-PT" w:eastAsia="en-US"/>
        </w:rPr>
        <w:t>visi</w:t>
      </w:r>
      <w:r w:rsidRPr="00EB04F1">
        <w:rPr>
          <w:b/>
          <w:i/>
          <w:szCs w:val="24"/>
          <w:lang w:val="pt-PT" w:eastAsia="en-US"/>
        </w:rPr>
        <w:t>attiecīgie</w:t>
      </w:r>
      <w:r w:rsidRPr="00EB04F1">
        <w:rPr>
          <w:szCs w:val="24"/>
          <w:lang w:val="pt-PT" w:eastAsia="en-US"/>
        </w:rPr>
        <w:t xml:space="preserve"> dati, kas dalībvalstīm un Komisijai jāsavāc saskaņā ar šo direktīvu</w:t>
      </w:r>
      <w:r w:rsidRPr="00EB04F1">
        <w:rPr>
          <w:b/>
          <w:i/>
          <w:szCs w:val="24"/>
          <w:lang w:val="pt-PT" w:eastAsia="en-US"/>
        </w:rPr>
        <w:t>, un tam jākļūst par platformu, kurā izveidots ilgtspējīgas augsnes apsaimniekošanas rīku kopums, kas sniegs attiecīgajam kontekstam atbilstīgu atjauninātu informāciju par ilgtspējīgas augsnes apsaimniekošanas paņēmieniem, ņemot vērā dažādus augsnes veidus, zemes izmantojumu un klimatiskos apstākļus</w:t>
      </w:r>
      <w:r w:rsidRPr="00EB04F1">
        <w:rPr>
          <w:szCs w:val="24"/>
          <w:lang w:val="pt-PT" w:eastAsia="en-US"/>
        </w:rPr>
        <w:t>. Vajadzētu būt arī iespējai portālā fakultatīvi integrēt citus relevantus augsnes datus, ko savākušas dalībvalstis vai jebkura cita puse (it sevišķi datus no pamatprogrammas “Apvārsnis Eiropa” projektiem un misijas “Augsnes kurss Eiropai”), ar noteikumu, ka minētie dati atbilst noteiktām prasībām attiecībā uz formātu un specifikācijām. Šīs prasības Komisijai būtu jāprecizē ar īstenošanas aktiem.</w:t>
      </w:r>
      <w:r w:rsidRPr="00EB04F1">
        <w:rPr>
          <w:b/>
          <w:i/>
          <w:szCs w:val="24"/>
          <w:lang w:val="pt-PT" w:eastAsia="en-US"/>
        </w:rPr>
        <w:t xml:space="preserve"> Dalībvalstīm un Komisijai būtu jānodrošina, ka pētniecības iestādes var viegli un bez maksas pēc pieprasījuma piekļūt visiem datiem.</w:t>
      </w:r>
      <w:r w:rsidR="004954EA" w:rsidRPr="00EB04F1">
        <w:rPr>
          <w:b/>
          <w:szCs w:val="24"/>
          <w:lang w:val="pt-PT" w:eastAsia="en-US"/>
        </w:rPr>
        <w:t xml:space="preserve"> [Gr. 23]</w:t>
      </w:r>
    </w:p>
    <w:p w14:paraId="0B1C7337" w14:textId="77777777" w:rsidR="004954EA" w:rsidRPr="00EB04F1" w:rsidRDefault="004954EA">
      <w:pPr>
        <w:widowControl/>
        <w:rPr>
          <w:szCs w:val="24"/>
          <w:lang w:val="pt-PT" w:eastAsia="en-US"/>
        </w:rPr>
      </w:pPr>
      <w:r w:rsidRPr="00EB04F1">
        <w:rPr>
          <w:szCs w:val="24"/>
          <w:lang w:val="pt-PT" w:eastAsia="en-US"/>
        </w:rPr>
        <w:br w:type="page"/>
      </w:r>
    </w:p>
    <w:p w14:paraId="5B0D8C14" w14:textId="6092812F" w:rsidR="00DA4F3E" w:rsidRPr="00EB04F1" w:rsidRDefault="00DA4F3E" w:rsidP="00DA4F3E">
      <w:pPr>
        <w:spacing w:before="120" w:after="120" w:line="360" w:lineRule="auto"/>
        <w:ind w:left="850" w:hanging="850"/>
        <w:rPr>
          <w:b/>
          <w:szCs w:val="24"/>
          <w:lang w:val="pt-PT" w:eastAsia="en-US"/>
        </w:rPr>
      </w:pPr>
      <w:proofErr w:type="gramStart"/>
      <w:r w:rsidRPr="00EB04F1">
        <w:rPr>
          <w:szCs w:val="24"/>
          <w:lang w:val="pt-PT" w:eastAsia="en-US"/>
        </w:rPr>
        <w:lastRenderedPageBreak/>
        <w:t>(35)</w:t>
      </w:r>
      <w:r w:rsidRPr="00EB04F1">
        <w:rPr>
          <w:szCs w:val="24"/>
          <w:lang w:val="pt-PT" w:eastAsia="en-US"/>
        </w:rPr>
        <w:tab/>
        <w:t>Ir</w:t>
      </w:r>
      <w:proofErr w:type="gramEnd"/>
      <w:r w:rsidRPr="00EB04F1">
        <w:rPr>
          <w:szCs w:val="24"/>
          <w:lang w:val="pt-PT" w:eastAsia="en-US"/>
        </w:rPr>
        <w:t xml:space="preserve"> arī jāuzlabo dalībvalstīs izmantoto augsnes monitoringa sistēmu saskaņotība</w:t>
      </w:r>
      <w:r w:rsidRPr="00EB04F1">
        <w:rPr>
          <w:strike/>
          <w:szCs w:val="24"/>
          <w:lang w:val="pt-PT" w:eastAsia="en-US"/>
        </w:rPr>
        <w:t xml:space="preserve"> un</w:t>
      </w:r>
      <w:r w:rsidRPr="00EB04F1">
        <w:rPr>
          <w:b/>
          <w:i/>
          <w:szCs w:val="24"/>
          <w:lang w:val="pt-PT" w:eastAsia="en-US"/>
        </w:rPr>
        <w:t>,</w:t>
      </w:r>
      <w:r w:rsidRPr="00EB04F1">
        <w:rPr>
          <w:szCs w:val="24"/>
          <w:lang w:val="pt-PT" w:eastAsia="en-US"/>
        </w:rPr>
        <w:t xml:space="preserve"> jāliek lietā sinerģijas starp Savienības un nacionālajām monitoringa sistēmām</w:t>
      </w:r>
      <w:r w:rsidRPr="00EB04F1">
        <w:rPr>
          <w:b/>
          <w:i/>
          <w:szCs w:val="24"/>
          <w:lang w:val="pt-PT" w:eastAsia="en-US"/>
        </w:rPr>
        <w:t xml:space="preserve"> un pilnvērtīgi jāizmanto visi jau esošie saskaņotie monitoringa rīki, piemēram, LUCAS</w:t>
      </w:r>
      <w:r w:rsidRPr="00EB04F1">
        <w:rPr>
          <w:szCs w:val="24"/>
          <w:lang w:val="pt-PT" w:eastAsia="en-US"/>
        </w:rPr>
        <w:t>, lai iegūtu salīdzināmākus datus par visu Savienību.</w:t>
      </w:r>
      <w:r w:rsidRPr="00EB04F1">
        <w:rPr>
          <w:b/>
          <w:i/>
          <w:szCs w:val="24"/>
          <w:lang w:val="pt-PT" w:eastAsia="en-US"/>
        </w:rPr>
        <w:t xml:space="preserve"> Turklāt dalībvalstu monitoringa sistēmu saskaņošana palīdzētu palielināt ieguldījumus progresīvos augsnes monitoringa paņēmienos un tehnoloģijās.</w:t>
      </w:r>
      <w:r w:rsidR="004954EA" w:rsidRPr="00EB04F1">
        <w:rPr>
          <w:b/>
          <w:szCs w:val="24"/>
          <w:lang w:val="pt-PT" w:eastAsia="en-US"/>
        </w:rPr>
        <w:t xml:space="preserve"> [Gr. 24]</w:t>
      </w:r>
    </w:p>
    <w:p w14:paraId="31C3CF7B" w14:textId="28182F6C" w:rsidR="00DA4F3E" w:rsidRPr="00EB04F1" w:rsidRDefault="00DA4F3E" w:rsidP="00DA4F3E">
      <w:pPr>
        <w:spacing w:before="120" w:after="120" w:line="360" w:lineRule="auto"/>
        <w:ind w:left="850" w:hanging="850"/>
        <w:rPr>
          <w:b/>
          <w:szCs w:val="24"/>
          <w:lang w:val="pt-PT" w:eastAsia="en-US"/>
        </w:rPr>
      </w:pPr>
      <w:r w:rsidRPr="00EB04F1">
        <w:rPr>
          <w:strike/>
          <w:szCs w:val="24"/>
          <w:lang w:val="pt-PT" w:eastAsia="en-US"/>
        </w:rPr>
        <w:t>(36)</w:t>
      </w:r>
      <w:r w:rsidRPr="00EB04F1">
        <w:rPr>
          <w:szCs w:val="24"/>
          <w:lang w:val="pt-PT" w:eastAsia="en-US"/>
        </w:rPr>
        <w:tab/>
      </w:r>
      <w:r w:rsidRPr="00EB04F1">
        <w:rPr>
          <w:strike/>
          <w:szCs w:val="24"/>
          <w:lang w:val="pt-PT" w:eastAsia="en-US"/>
        </w:rPr>
        <w:t>Lai pēc iespējas plašāk izmantotu augsnes veselības datus, kas iegūti saskaņā ar šo direktīvu veiktajā monitoringā, būtu dalībvalstīm jānosaka pienākums atvieglot piekļuvi šādiem datiem relevantām ieinteresētajām personām, piemēram, lauksaimniekiem, mežsaimniekiem, zemes īpašniekiem un vietējām iestādēm.</w:t>
      </w:r>
      <w:r w:rsidR="004954EA" w:rsidRPr="00EB04F1">
        <w:rPr>
          <w:b/>
          <w:strike/>
          <w:szCs w:val="24"/>
          <w:lang w:val="pt-PT" w:eastAsia="en-US"/>
        </w:rPr>
        <w:t xml:space="preserve"> </w:t>
      </w:r>
      <w:r w:rsidR="004954EA" w:rsidRPr="00EB04F1">
        <w:rPr>
          <w:b/>
          <w:szCs w:val="24"/>
          <w:lang w:val="pt-PT" w:eastAsia="en-US"/>
        </w:rPr>
        <w:t>[Gr. 25]</w:t>
      </w:r>
    </w:p>
    <w:p w14:paraId="3FFB70F5" w14:textId="6763BB6F"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(37)</w:t>
      </w:r>
      <w:r w:rsidRPr="00EB04F1">
        <w:rPr>
          <w:szCs w:val="24"/>
          <w:lang w:val="pt-PT" w:eastAsia="en-US"/>
        </w:rPr>
        <w:tab/>
        <w:t xml:space="preserve">Lai saglabātu vai uzlabotu augsnes veselību, augsnes ir jāapsaimnieko ilgtspējīgi. Ilgtspējīga augsnes apsaimniekošana dos iespēju nodrošināt augsnes pakalpojumus ilgtermiņā, arī uzlabot gaisa un ūdens kvalitāti un nodrošinātību ar pārtiku. Tāpēc ir lietderīgi noteikt </w:t>
      </w:r>
      <w:r w:rsidRPr="00EB04F1">
        <w:rPr>
          <w:b/>
          <w:i/>
          <w:szCs w:val="24"/>
          <w:lang w:val="pt-PT" w:eastAsia="en-US"/>
        </w:rPr>
        <w:t xml:space="preserve">nesaistošus </w:t>
      </w:r>
      <w:r w:rsidRPr="00EB04F1">
        <w:rPr>
          <w:szCs w:val="24"/>
          <w:lang w:val="pt-PT" w:eastAsia="en-US"/>
        </w:rPr>
        <w:t>ilgtspējīgas augsnes apsaimniekošanas principus, kas virzītu augsnes apsaimniekošanas prakses.</w:t>
      </w:r>
      <w:r w:rsidR="004954EA" w:rsidRPr="00EB04F1">
        <w:rPr>
          <w:b/>
          <w:szCs w:val="24"/>
          <w:lang w:val="pt-PT" w:eastAsia="en-US"/>
        </w:rPr>
        <w:t xml:space="preserve"> [Gr. 26]</w:t>
      </w:r>
    </w:p>
    <w:p w14:paraId="2C599038" w14:textId="77777777" w:rsidR="004954EA" w:rsidRPr="00EB04F1" w:rsidRDefault="004954EA">
      <w:pPr>
        <w:widowControl/>
        <w:rPr>
          <w:szCs w:val="24"/>
          <w:lang w:val="pt-PT" w:eastAsia="en-US"/>
        </w:rPr>
      </w:pPr>
      <w:r w:rsidRPr="00EB04F1">
        <w:rPr>
          <w:szCs w:val="24"/>
          <w:lang w:val="pt-PT" w:eastAsia="en-US"/>
        </w:rPr>
        <w:br w:type="page"/>
      </w:r>
    </w:p>
    <w:p w14:paraId="2C294797" w14:textId="0C147045"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(38)</w:t>
      </w:r>
      <w:r w:rsidRPr="00EB04F1">
        <w:rPr>
          <w:szCs w:val="24"/>
          <w:lang w:val="pt-PT" w:eastAsia="en-US"/>
        </w:rPr>
        <w:tab/>
        <w:t xml:space="preserve">Izšķirīga nozīme pārejā uz lauksaimniecības augšņu un — mazākā mērā — meža augšņu ilgtspējīgu apsaimniekošanu ir ekonomiskiem instrumentiem, kas sniedz atbalstu lauksaimniekiem, arī tiem instrumentiem, ko paredz kopējā lauksaimniecības politika (KLP). KLP mērķis ir atbalstīt augsnes veselību, īstenojot nosacījumu sistēmu, ekoshēmas un lauku attīstības pasākumus. Finansiālu atbalstu lauksaimniekiem un mežsaimniekiem, kas piekopj ilgtspējīgas augsnes apsaimniekošanas prakses, var sniegt arī privātais sektors. </w:t>
      </w:r>
      <w:r w:rsidRPr="00EB04F1">
        <w:rPr>
          <w:strike/>
          <w:szCs w:val="24"/>
          <w:lang w:val="pt-PT" w:eastAsia="en-US"/>
        </w:rPr>
        <w:t>Šajā direktīvā izklāstītos ilgtspējīgas</w:t>
      </w:r>
      <w:r w:rsidRPr="00EB04F1">
        <w:rPr>
          <w:b/>
          <w:i/>
          <w:szCs w:val="24"/>
          <w:lang w:val="pt-PT" w:eastAsia="en-US"/>
        </w:rPr>
        <w:t>Saskaņā ar šo direktīvu veiktos ieguldījumus</w:t>
      </w:r>
      <w:r w:rsidRPr="00EB04F1">
        <w:rPr>
          <w:szCs w:val="24"/>
          <w:lang w:val="pt-PT" w:eastAsia="en-US"/>
        </w:rPr>
        <w:t xml:space="preserve"> augsnes </w:t>
      </w:r>
      <w:r w:rsidRPr="00EB04F1">
        <w:rPr>
          <w:strike/>
          <w:szCs w:val="24"/>
          <w:lang w:val="pt-PT" w:eastAsia="en-US"/>
        </w:rPr>
        <w:t>apsaimniekošanas principus</w:t>
      </w:r>
      <w:r w:rsidRPr="00EB04F1">
        <w:rPr>
          <w:b/>
          <w:i/>
          <w:szCs w:val="24"/>
          <w:lang w:val="pt-PT" w:eastAsia="en-US"/>
        </w:rPr>
        <w:t>veselības uzlabošanā</w:t>
      </w:r>
      <w:r w:rsidRPr="00EB04F1">
        <w:rPr>
          <w:szCs w:val="24"/>
          <w:lang w:val="pt-PT" w:eastAsia="en-US"/>
        </w:rPr>
        <w:t xml:space="preserve"> var ņemt vērā privātā sektora ieinteresēto personu izstrādātos fakultatīvos ilgtspējas marķējumos pārtikas, koksnes, biobāzētu produktu un enerģētikas nozarē. </w:t>
      </w:r>
      <w:proofErr w:type="gramStart"/>
      <w:r w:rsidRPr="00EB04F1">
        <w:rPr>
          <w:szCs w:val="24"/>
          <w:lang w:val="pt-PT" w:eastAsia="en-US"/>
        </w:rPr>
        <w:t>Tas</w:t>
      </w:r>
      <w:proofErr w:type="gramEnd"/>
      <w:r w:rsidRPr="00EB04F1">
        <w:rPr>
          <w:szCs w:val="24"/>
          <w:lang w:val="pt-PT" w:eastAsia="en-US"/>
        </w:rPr>
        <w:t xml:space="preserve"> var dot iespēju pārtikas, koksnes un citas biomasas ražotājiem, kas ražošanā šos principus ievēro, to atspoguļot savu produktu vērtībā. Izmantojot Augsnes misijas </w:t>
      </w:r>
      <w:r w:rsidRPr="00EB04F1">
        <w:rPr>
          <w:strike/>
          <w:szCs w:val="24"/>
          <w:lang w:val="pt-PT" w:eastAsia="en-US"/>
        </w:rPr>
        <w:t>“</w:t>
      </w:r>
      <w:r w:rsidRPr="00EB04F1">
        <w:rPr>
          <w:b/>
          <w:i/>
          <w:szCs w:val="24"/>
          <w:lang w:val="pt-PT" w:eastAsia="en-US"/>
        </w:rPr>
        <w:t>"</w:t>
      </w:r>
      <w:r w:rsidRPr="00EB04F1">
        <w:rPr>
          <w:szCs w:val="24"/>
          <w:lang w:val="pt-PT" w:eastAsia="en-US"/>
        </w:rPr>
        <w:t>dzīvās laboratorijas</w:t>
      </w:r>
      <w:r w:rsidRPr="00EB04F1">
        <w:rPr>
          <w:strike/>
          <w:szCs w:val="24"/>
          <w:lang w:val="pt-PT" w:eastAsia="en-US"/>
        </w:rPr>
        <w:t>” un “</w:t>
      </w:r>
      <w:r w:rsidRPr="00EB04F1">
        <w:rPr>
          <w:b/>
          <w:i/>
          <w:szCs w:val="24"/>
          <w:lang w:val="pt-PT" w:eastAsia="en-US"/>
        </w:rPr>
        <w:t>" un "</w:t>
      </w:r>
      <w:r w:rsidRPr="00EB04F1">
        <w:rPr>
          <w:szCs w:val="24"/>
          <w:lang w:val="pt-PT" w:eastAsia="en-US"/>
        </w:rPr>
        <w:t>bākas</w:t>
      </w:r>
      <w:r w:rsidRPr="00EB04F1">
        <w:rPr>
          <w:strike/>
          <w:szCs w:val="24"/>
          <w:lang w:val="pt-PT" w:eastAsia="en-US"/>
        </w:rPr>
        <w:t>”</w:t>
      </w:r>
      <w:r w:rsidRPr="00EB04F1">
        <w:rPr>
          <w:b/>
          <w:i/>
          <w:szCs w:val="24"/>
          <w:lang w:val="pt-PT" w:eastAsia="en-US"/>
        </w:rPr>
        <w:t>"</w:t>
      </w:r>
      <w:r w:rsidRPr="00EB04F1">
        <w:rPr>
          <w:szCs w:val="24"/>
          <w:lang w:val="pt-PT" w:eastAsia="en-US"/>
        </w:rPr>
        <w:t xml:space="preserve">, tiks nodrošināts papildu finansējums tādu fizisku objektu tīklam, kas paredzēts risinājumu testēšanai, demonstrēšanai un izvēršanai lielākā mērogā, arī oglekļsaistīgas lauksaimniecības jomā. Neskarot principu </w:t>
      </w:r>
      <w:r w:rsidRPr="00EB04F1">
        <w:rPr>
          <w:strike/>
          <w:szCs w:val="24"/>
          <w:lang w:val="pt-PT" w:eastAsia="en-US"/>
        </w:rPr>
        <w:t>“</w:t>
      </w:r>
      <w:r w:rsidRPr="00EB04F1">
        <w:rPr>
          <w:b/>
          <w:i/>
          <w:szCs w:val="24"/>
          <w:lang w:val="pt-PT" w:eastAsia="en-US"/>
        </w:rPr>
        <w:t>"</w:t>
      </w:r>
      <w:r w:rsidRPr="00EB04F1">
        <w:rPr>
          <w:szCs w:val="24"/>
          <w:lang w:val="pt-PT" w:eastAsia="en-US"/>
        </w:rPr>
        <w:t>piesārņotājs maksā</w:t>
      </w:r>
      <w:r w:rsidRPr="00EB04F1">
        <w:rPr>
          <w:strike/>
          <w:szCs w:val="24"/>
          <w:lang w:val="pt-PT" w:eastAsia="en-US"/>
        </w:rPr>
        <w:t>”</w:t>
      </w:r>
      <w:r w:rsidRPr="00EB04F1">
        <w:rPr>
          <w:b/>
          <w:i/>
          <w:szCs w:val="24"/>
          <w:lang w:val="pt-PT" w:eastAsia="en-US"/>
        </w:rPr>
        <w:t>"</w:t>
      </w:r>
      <w:r w:rsidRPr="00EB04F1">
        <w:rPr>
          <w:szCs w:val="24"/>
          <w:lang w:val="pt-PT" w:eastAsia="en-US"/>
        </w:rPr>
        <w:t>, dalībvalstīm būtu jānodrošina atbalsts un konsultācijas, lai palīdzētu zemes īpašniekiem un zemes lietotājiem, kurus skar saskaņā ar šo direktīvu īstenota rīcība, it sevišķi ņemot vērā mazo un vidējo uzņēmumu vajadzības un ierobežotās spējas.</w:t>
      </w:r>
      <w:r w:rsidR="004954EA" w:rsidRPr="00EB04F1">
        <w:rPr>
          <w:b/>
          <w:szCs w:val="24"/>
          <w:lang w:val="pt-PT" w:eastAsia="en-US"/>
        </w:rPr>
        <w:t xml:space="preserve"> [Gr. 27]</w:t>
      </w:r>
    </w:p>
    <w:p w14:paraId="03531A2B" w14:textId="77777777" w:rsidR="004954EA" w:rsidRPr="00EB04F1" w:rsidRDefault="004954EA">
      <w:pPr>
        <w:widowControl/>
        <w:rPr>
          <w:szCs w:val="24"/>
          <w:lang w:val="pt-PT" w:eastAsia="en-US"/>
        </w:rPr>
      </w:pPr>
      <w:r w:rsidRPr="00EB04F1">
        <w:rPr>
          <w:szCs w:val="24"/>
          <w:lang w:val="pt-PT" w:eastAsia="en-US"/>
        </w:rPr>
        <w:br w:type="page"/>
      </w:r>
    </w:p>
    <w:p w14:paraId="46AC2480" w14:textId="0723CBEE"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(39)</w:t>
      </w:r>
      <w:r w:rsidRPr="00EB04F1">
        <w:rPr>
          <w:szCs w:val="24"/>
          <w:lang w:val="pt-PT" w:eastAsia="en-US"/>
        </w:rPr>
        <w:tab/>
        <w:t>Saskaņā ar Eiropas Parlamenta un Padomes Regulu (ES) 2021/2115</w:t>
      </w:r>
      <w:r w:rsidRPr="00EB04F1">
        <w:rPr>
          <w:szCs w:val="24"/>
          <w:vertAlign w:val="superscript"/>
          <w:lang w:val="en-GB" w:eastAsia="en-US"/>
        </w:rPr>
        <w:footnoteReference w:id="25"/>
      </w:r>
      <w:r w:rsidRPr="00EB04F1">
        <w:rPr>
          <w:szCs w:val="24"/>
          <w:lang w:val="pt-PT" w:eastAsia="en-US"/>
        </w:rPr>
        <w:t xml:space="preserve"> dalībvalstīm savos KLP stratēģiskajos plānos ir jāapraksta, kā minēto plānu vidiskā un klimatiskā struktūra palīdzēs sasniegt nacionālos ilgtermiņa mērķrādītājus, kas noteikti minētās regulas XIII pielikumā norādītajos tiesību aktos vai no tiem izriet, un ir ar tiem saskanīga.</w:t>
      </w:r>
    </w:p>
    <w:p w14:paraId="550128A0" w14:textId="03F23738" w:rsidR="00DA4F3E" w:rsidRPr="00EB04F1" w:rsidRDefault="004954EA" w:rsidP="00DA4F3E">
      <w:pPr>
        <w:spacing w:before="120" w:after="120" w:line="360" w:lineRule="auto"/>
        <w:ind w:left="850" w:hanging="850"/>
        <w:rPr>
          <w:b/>
          <w:szCs w:val="24"/>
          <w:lang w:val="pt-PT" w:eastAsia="en-US"/>
        </w:rPr>
      </w:pPr>
      <w:r w:rsidRPr="00EB04F1">
        <w:rPr>
          <w:b/>
          <w:i/>
          <w:szCs w:val="24"/>
          <w:lang w:eastAsia="en-US"/>
        </w:rPr>
        <w:t>(39a)</w:t>
      </w:r>
      <w:r w:rsidR="00DA4F3E" w:rsidRPr="00EB04F1">
        <w:rPr>
          <w:szCs w:val="24"/>
          <w:lang w:val="pt-PT" w:eastAsia="en-US"/>
        </w:rPr>
        <w:tab/>
      </w:r>
      <w:r w:rsidR="00DA4F3E" w:rsidRPr="00EB04F1">
        <w:rPr>
          <w:b/>
          <w:i/>
          <w:szCs w:val="24"/>
          <w:lang w:val="pt-PT" w:eastAsia="en-US"/>
        </w:rPr>
        <w:t>5., 6. un 7. labs lauksaimnieciskais un vidiskais stāvoklis (LLVS), kā noteikts Regulā (ES) 2021/2115, ietver standartus, kas prasa uzlabot augsnes apstrādi, lai samazinātu augsnes degradācijas un erozijas risku, tostarp ņemot vērā nogāzes slīpumu, un minimālu zemes apsaimniekošanu, kurā tiek ņemti vērā vietai specifiskie apstākļi, lai ierobežotu eroziju, minimālu augsnes pārklājumu, lai izvairītos no kailas augsnes, augsnes aizsardzību sensitīvākajos periodos, kā arī augseku aramzemē. Turklāt uz augsnes aizsardzību attiecas arī 1. LLVS par ilggadīgo zālāju uzturēšanu un 2. LLVS par mitrāju un kūdrāju, kā arī augšņu ar augstu organiskās vielas sastāvu aizsardzību.</w:t>
      </w:r>
      <w:r w:rsidRPr="00EB04F1">
        <w:rPr>
          <w:b/>
          <w:szCs w:val="24"/>
          <w:lang w:val="pt-PT" w:eastAsia="en-US"/>
        </w:rPr>
        <w:t xml:space="preserve"> [Gr. 28]</w:t>
      </w:r>
    </w:p>
    <w:p w14:paraId="051995B8" w14:textId="77777777" w:rsidR="004954EA" w:rsidRPr="00EB04F1" w:rsidRDefault="004954EA">
      <w:pPr>
        <w:widowControl/>
        <w:rPr>
          <w:szCs w:val="24"/>
          <w:lang w:val="pt-PT" w:eastAsia="en-US"/>
        </w:rPr>
      </w:pPr>
      <w:r w:rsidRPr="00EB04F1">
        <w:rPr>
          <w:szCs w:val="24"/>
          <w:lang w:val="pt-PT" w:eastAsia="en-US"/>
        </w:rPr>
        <w:br w:type="page"/>
      </w:r>
    </w:p>
    <w:p w14:paraId="28807212" w14:textId="741F984D"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(40)</w:t>
      </w:r>
      <w:r w:rsidRPr="00EB04F1">
        <w:rPr>
          <w:szCs w:val="24"/>
          <w:lang w:val="pt-PT" w:eastAsia="en-US"/>
        </w:rPr>
        <w:tab/>
      </w:r>
      <w:r w:rsidRPr="00EB04F1">
        <w:rPr>
          <w:strike/>
          <w:szCs w:val="24"/>
          <w:lang w:val="pt-PT" w:eastAsia="en-US"/>
        </w:rPr>
        <w:t xml:space="preserve">Lai nodrošinātu, ka tiek piekoptas labākās ilgtspējīgas augsnes apsaimniekošanas prakses, </w:t>
      </w:r>
      <w:r w:rsidRPr="00EB04F1">
        <w:rPr>
          <w:szCs w:val="24"/>
          <w:lang w:val="pt-PT" w:eastAsia="en-US"/>
        </w:rPr>
        <w:t xml:space="preserve">Dalībvalstīm būtu cieši jāmonitorē augsnes apsaimniekošanas prakšu ietekme un vajadzības gadījumā prakses un ieteikumi jāpielāgo, ņemot vērā jaunās zināšanas, ko nesusi pētniecība un inovācija. Šajā sakarā tiek gaidīts vērtīgs ieguldījums no pamatprogrammas </w:t>
      </w:r>
      <w:r w:rsidRPr="00EB04F1">
        <w:rPr>
          <w:strike/>
          <w:szCs w:val="24"/>
          <w:lang w:val="pt-PT" w:eastAsia="en-US"/>
        </w:rPr>
        <w:t>“</w:t>
      </w:r>
      <w:r w:rsidRPr="00EB04F1">
        <w:rPr>
          <w:b/>
          <w:i/>
          <w:szCs w:val="24"/>
          <w:lang w:val="pt-PT" w:eastAsia="en-US"/>
        </w:rPr>
        <w:t>"</w:t>
      </w:r>
      <w:r w:rsidRPr="00EB04F1">
        <w:rPr>
          <w:szCs w:val="24"/>
          <w:lang w:val="pt-PT" w:eastAsia="en-US"/>
        </w:rPr>
        <w:t>Apvārsnis Eiropa</w:t>
      </w:r>
      <w:r w:rsidRPr="00EB04F1">
        <w:rPr>
          <w:strike/>
          <w:szCs w:val="24"/>
          <w:lang w:val="pt-PT" w:eastAsia="en-US"/>
        </w:rPr>
        <w:t>”</w:t>
      </w:r>
      <w:r w:rsidRPr="00EB04F1">
        <w:rPr>
          <w:b/>
          <w:i/>
          <w:szCs w:val="24"/>
          <w:lang w:val="pt-PT" w:eastAsia="en-US"/>
        </w:rPr>
        <w:t>"</w:t>
      </w:r>
      <w:r w:rsidRPr="00EB04F1">
        <w:rPr>
          <w:szCs w:val="24"/>
          <w:lang w:val="pt-PT" w:eastAsia="en-US"/>
        </w:rPr>
        <w:t xml:space="preserve"> misijas </w:t>
      </w:r>
      <w:r w:rsidRPr="00EB04F1">
        <w:rPr>
          <w:strike/>
          <w:szCs w:val="24"/>
          <w:lang w:val="pt-PT" w:eastAsia="en-US"/>
        </w:rPr>
        <w:t>“</w:t>
      </w:r>
      <w:r w:rsidRPr="00EB04F1">
        <w:rPr>
          <w:b/>
          <w:i/>
          <w:szCs w:val="24"/>
          <w:lang w:val="pt-PT" w:eastAsia="en-US"/>
        </w:rPr>
        <w:t>"</w:t>
      </w:r>
      <w:r w:rsidRPr="00EB04F1">
        <w:rPr>
          <w:szCs w:val="24"/>
          <w:lang w:val="pt-PT" w:eastAsia="en-US"/>
        </w:rPr>
        <w:t>Augsnes kurss Eiropai</w:t>
      </w:r>
      <w:r w:rsidRPr="00EB04F1">
        <w:rPr>
          <w:strike/>
          <w:szCs w:val="24"/>
          <w:lang w:val="pt-PT" w:eastAsia="en-US"/>
        </w:rPr>
        <w:t>”</w:t>
      </w:r>
      <w:r w:rsidRPr="00EB04F1">
        <w:rPr>
          <w:b/>
          <w:i/>
          <w:szCs w:val="24"/>
          <w:lang w:val="pt-PT" w:eastAsia="en-US"/>
        </w:rPr>
        <w:t>"</w:t>
      </w:r>
      <w:r w:rsidRPr="00EB04F1">
        <w:rPr>
          <w:szCs w:val="24"/>
          <w:lang w:val="pt-PT" w:eastAsia="en-US"/>
        </w:rPr>
        <w:t>, it sevišķi no tās dzīvajām laboratorijām un darbībām, kas atbalstīs augsnes monitoringu, izglītību augsnes jautājumos un pilsonisko līdzdalību.</w:t>
      </w:r>
      <w:r w:rsidR="004D657D" w:rsidRPr="00EB04F1">
        <w:rPr>
          <w:b/>
          <w:szCs w:val="24"/>
          <w:lang w:val="pt-PT" w:eastAsia="en-US"/>
        </w:rPr>
        <w:t xml:space="preserve"> [Gr. 29]</w:t>
      </w:r>
    </w:p>
    <w:p w14:paraId="62A4DE40"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(41)</w:t>
      </w:r>
      <w:r w:rsidRPr="00EB04F1">
        <w:rPr>
          <w:szCs w:val="24"/>
          <w:lang w:val="pt-PT" w:eastAsia="en-US"/>
        </w:rPr>
        <w:tab/>
        <w:t>Atveseļošana degradētas augsnes padara atkal veselas. Nosakot augsnes atveseļošanas pasākumus, dalībvalstīm būtu jāņem vērā augsnes veselības novērtējuma iznākums un šie atveseļošanas pasākumi jāpielāgo situācijas īpatnībām, augsnes tipam, izmantojumam un stāvoklim, kā arī vietējiem, klimatiskajiem un vides apstākļiem.</w:t>
      </w:r>
    </w:p>
    <w:p w14:paraId="0023E2A7" w14:textId="77777777" w:rsidR="004D657D" w:rsidRPr="00EB04F1" w:rsidRDefault="004D657D">
      <w:pPr>
        <w:widowControl/>
        <w:rPr>
          <w:szCs w:val="24"/>
          <w:lang w:val="pt-PT" w:eastAsia="en-US"/>
        </w:rPr>
      </w:pPr>
      <w:r w:rsidRPr="00EB04F1">
        <w:rPr>
          <w:szCs w:val="24"/>
          <w:lang w:val="pt-PT" w:eastAsia="en-US"/>
        </w:rPr>
        <w:br w:type="page"/>
      </w:r>
    </w:p>
    <w:p w14:paraId="69EF228D" w14:textId="64B464AF" w:rsidR="00DA4F3E" w:rsidRPr="00EB04F1" w:rsidRDefault="00DA4F3E" w:rsidP="00DA4F3E">
      <w:pPr>
        <w:spacing w:before="120" w:after="120" w:line="360" w:lineRule="auto"/>
        <w:ind w:left="850" w:hanging="850"/>
        <w:rPr>
          <w:b/>
          <w:szCs w:val="24"/>
          <w:lang w:val="en-GB" w:eastAsia="en-US"/>
        </w:rPr>
      </w:pPr>
      <w:r w:rsidRPr="00EB04F1">
        <w:rPr>
          <w:szCs w:val="24"/>
          <w:lang w:val="pt-PT" w:eastAsia="en-US"/>
        </w:rPr>
        <w:lastRenderedPageBreak/>
        <w:t>(42)</w:t>
      </w:r>
      <w:r w:rsidRPr="00EB04F1">
        <w:rPr>
          <w:szCs w:val="24"/>
          <w:lang w:val="pt-PT" w:eastAsia="en-US"/>
        </w:rPr>
        <w:tab/>
        <w:t>Lai nodrošinātu sinerģijas starp dažādajiem pasākumiem, kas pieņemti saskaņā ar citiem Savienības tiesību aktiem un varētu ietekmēt augsnes veselību, un pasākumiem, kas jāievieš Savienības augšņu ilgtspējīgai apsaimniekošanai un atveseļošanai, dalībvalstīm būtu jānodrošina, ka ilgtspējīgas augsnes apsaimniekošanas un atveseļošanas prakses ir saskanīgas ar nacionālajiem atjaunošanas plāniem, kas pieņemti saskaņā ar Eiropas Parlamenta un Padomes Regulu (ES) …/…</w:t>
      </w:r>
      <w:r w:rsidRPr="00EB04F1">
        <w:rPr>
          <w:szCs w:val="24"/>
          <w:vertAlign w:val="superscript"/>
          <w:lang w:val="en-GB" w:eastAsia="en-US"/>
        </w:rPr>
        <w:footnoteReference w:id="26"/>
      </w:r>
      <w:r w:rsidRPr="00EB04F1">
        <w:rPr>
          <w:szCs w:val="24"/>
          <w:lang w:val="en-GB" w:eastAsia="en-US"/>
        </w:rPr>
        <w:t>+</w:t>
      </w:r>
      <w:r w:rsidRPr="00EB04F1">
        <w:rPr>
          <w:b/>
          <w:i/>
          <w:szCs w:val="24"/>
          <w:lang w:val="en-GB" w:eastAsia="en-US"/>
        </w:rPr>
        <w:t xml:space="preserve">,  nacionālajām biodaudzveidības stratēģijām un rīcības plāniem, kuri sagatavoti saskaņā ar ANO Biodaudzveidības konvencijas 6. </w:t>
      </w:r>
      <w:proofErr w:type="gramStart"/>
      <w:r w:rsidRPr="00EB04F1">
        <w:rPr>
          <w:b/>
          <w:i/>
          <w:szCs w:val="24"/>
          <w:lang w:val="en-GB" w:eastAsia="en-US"/>
        </w:rPr>
        <w:t>pantu</w:t>
      </w:r>
      <w:r w:rsidRPr="00EB04F1">
        <w:rPr>
          <w:szCs w:val="24"/>
          <w:lang w:val="en-GB" w:eastAsia="en-US"/>
        </w:rPr>
        <w:t>, stratēģiskajiem plāniem, kas dalībvalstīm jāizstrādā kopējās lauksaimniecības politikas ietvaros saskaņā ar Regulu (ES) 2021/2115, labas lauksaimniecības prakses kodeksiem un rīcības programmām attiecībā uz noteiktajām īpaši jutīgajām zonām, kas pieņemti saskaņā ar Padomes Direktīvu 91/676/EEK</w:t>
      </w:r>
      <w:r w:rsidRPr="00EB04F1">
        <w:rPr>
          <w:szCs w:val="24"/>
          <w:vertAlign w:val="superscript"/>
          <w:lang w:val="en-GB" w:eastAsia="en-US"/>
        </w:rPr>
        <w:footnoteReference w:id="27"/>
      </w:r>
      <w:r w:rsidRPr="00EB04F1">
        <w:rPr>
          <w:szCs w:val="24"/>
          <w:lang w:val="en-GB" w:eastAsia="en-US"/>
        </w:rPr>
        <w:t>, aizsardzības pasākumiem un prioritārās rīcības plānu, kas Natura 2000 teritorijām noteikti saskaņā ar Padomes Direktīvu 92/43/EEK</w:t>
      </w:r>
      <w:r w:rsidRPr="00EB04F1">
        <w:rPr>
          <w:szCs w:val="24"/>
          <w:vertAlign w:val="superscript"/>
          <w:lang w:val="en-GB" w:eastAsia="en-US"/>
        </w:rPr>
        <w:footnoteReference w:id="28"/>
      </w:r>
      <w:r w:rsidRPr="00EB04F1">
        <w:rPr>
          <w:szCs w:val="24"/>
          <w:lang w:val="en-GB" w:eastAsia="en-US"/>
        </w:rPr>
        <w:t>, pasākumiem laba ekoloģiskā un ķīmiskā stāvokļa sasniegšanai ūdensobjektos, kas iekļauti saskaņā ar Eiropas Parlamenta un Padomes Direktīvu 2000/60/EK</w:t>
      </w:r>
      <w:r w:rsidRPr="00EB04F1">
        <w:rPr>
          <w:szCs w:val="24"/>
          <w:vertAlign w:val="superscript"/>
          <w:lang w:val="en-GB" w:eastAsia="en-US"/>
        </w:rPr>
        <w:footnoteReference w:id="29"/>
      </w:r>
      <w:r w:rsidRPr="00EB04F1">
        <w:rPr>
          <w:szCs w:val="24"/>
          <w:lang w:val="en-GB" w:eastAsia="en-US"/>
        </w:rPr>
        <w:t xml:space="preserve"> sagatavotajos upju baseinu apsaimniekošanas plānos, plūdu riska pārvaldības pasākumiem, kas ieviesti saskaņā ar Eiropas Parlamenta un Padomes Direktīvu 2007/60/EK</w:t>
      </w:r>
      <w:r w:rsidRPr="00EB04F1">
        <w:rPr>
          <w:szCs w:val="24"/>
          <w:vertAlign w:val="superscript"/>
          <w:lang w:val="en-GB" w:eastAsia="en-US"/>
        </w:rPr>
        <w:footnoteReference w:id="30"/>
      </w:r>
      <w:r w:rsidRPr="00EB04F1">
        <w:rPr>
          <w:szCs w:val="24"/>
          <w:lang w:val="en-GB" w:eastAsia="en-US"/>
        </w:rPr>
        <w:t>, sausuma pārvaldības plāniem, kas popularizēti Savienības Klimatadaptācijas stratēģijā</w:t>
      </w:r>
      <w:r w:rsidRPr="00EB04F1">
        <w:rPr>
          <w:szCs w:val="24"/>
          <w:vertAlign w:val="superscript"/>
          <w:lang w:val="en-GB" w:eastAsia="en-US"/>
        </w:rPr>
        <w:footnoteReference w:id="31"/>
      </w:r>
      <w:r w:rsidRPr="00EB04F1">
        <w:rPr>
          <w:szCs w:val="24"/>
          <w:lang w:val="en-GB" w:eastAsia="en-US"/>
        </w:rPr>
        <w:t xml:space="preserve">, nacionālajām rīcības programmas, kas izveidotas saskaņā ar Apvienoto Nāciju Organizācijas Konvencijas par cīņu pret </w:t>
      </w:r>
      <w:r w:rsidRPr="00EB04F1">
        <w:rPr>
          <w:szCs w:val="24"/>
          <w:lang w:val="en-GB" w:eastAsia="en-US"/>
        </w:rPr>
        <w:lastRenderedPageBreak/>
        <w:t>pārtuksnešošanos 10.</w:t>
      </w:r>
      <w:proofErr w:type="gramEnd"/>
      <w:r w:rsidRPr="00EB04F1">
        <w:rPr>
          <w:szCs w:val="24"/>
          <w:lang w:val="en-GB" w:eastAsia="en-US"/>
        </w:rPr>
        <w:t xml:space="preserve"> </w:t>
      </w:r>
      <w:proofErr w:type="gramStart"/>
      <w:r w:rsidRPr="00EB04F1">
        <w:rPr>
          <w:szCs w:val="24"/>
          <w:lang w:val="en-GB" w:eastAsia="en-US"/>
        </w:rPr>
        <w:t>pantu, Eiropas Parlamenta un Padomes Regulā (ES) 2018/841</w:t>
      </w:r>
      <w:r w:rsidRPr="00EB04F1">
        <w:rPr>
          <w:szCs w:val="24"/>
          <w:vertAlign w:val="superscript"/>
          <w:lang w:val="en-GB" w:eastAsia="en-US"/>
        </w:rPr>
        <w:footnoteReference w:id="32"/>
      </w:r>
      <w:r w:rsidRPr="00EB04F1">
        <w:rPr>
          <w:szCs w:val="24"/>
          <w:lang w:val="en-GB" w:eastAsia="en-US"/>
        </w:rPr>
        <w:t xml:space="preserve"> un Eiropas Parlamenta un Padomes Regulā (ES) 2018/842</w:t>
      </w:r>
      <w:r w:rsidRPr="00EB04F1">
        <w:rPr>
          <w:szCs w:val="24"/>
          <w:vertAlign w:val="superscript"/>
          <w:lang w:val="en-GB" w:eastAsia="en-US"/>
        </w:rPr>
        <w:footnoteReference w:id="33"/>
      </w:r>
      <w:r w:rsidRPr="00EB04F1">
        <w:rPr>
          <w:szCs w:val="24"/>
          <w:lang w:val="en-GB" w:eastAsia="en-US"/>
        </w:rPr>
        <w:t xml:space="preserve"> noteiktajiem mērķrādītājiem, integrētajiem nacionālajiem enerģētikas un klimata plāniem, kas izstrādāti saskaņā ar Eiropas Parlamenta un Padomes Regulu (ES) 2018/1999</w:t>
      </w:r>
      <w:r w:rsidRPr="00EB04F1">
        <w:rPr>
          <w:szCs w:val="24"/>
          <w:vertAlign w:val="superscript"/>
          <w:lang w:val="en-GB" w:eastAsia="en-US"/>
        </w:rPr>
        <w:footnoteReference w:id="34"/>
      </w:r>
      <w:r w:rsidRPr="00EB04F1">
        <w:rPr>
          <w:szCs w:val="24"/>
          <w:lang w:val="en-GB" w:eastAsia="en-US"/>
        </w:rPr>
        <w:t>, valsts gaisa piesārņojuma ierobežošanas programmām, kas sagatavotas saskaņā ar Eiropas Parlamenta un Padomes Direktīvu (ES) 2016/2284</w:t>
      </w:r>
      <w:r w:rsidRPr="00EB04F1">
        <w:rPr>
          <w:szCs w:val="24"/>
          <w:vertAlign w:val="superscript"/>
          <w:lang w:val="en-GB" w:eastAsia="en-US"/>
        </w:rPr>
        <w:footnoteReference w:id="35"/>
      </w:r>
      <w:r w:rsidRPr="00EB04F1">
        <w:rPr>
          <w:szCs w:val="24"/>
          <w:lang w:val="en-GB" w:eastAsia="en-US"/>
        </w:rPr>
        <w:t>, riska novērtējumiem un katastrofu riska pārvaldības plānošanu, kas ieviesta saskaņā ar Eiropas Parlamenta un Padomes Lēmumu Nr. 1313/2013/ES</w:t>
      </w:r>
      <w:r w:rsidRPr="00EB04F1">
        <w:rPr>
          <w:szCs w:val="24"/>
          <w:vertAlign w:val="superscript"/>
          <w:lang w:val="en-GB" w:eastAsia="en-US"/>
        </w:rPr>
        <w:footnoteReference w:id="36"/>
      </w:r>
      <w:r w:rsidRPr="00EB04F1">
        <w:rPr>
          <w:szCs w:val="24"/>
          <w:lang w:val="en-GB" w:eastAsia="en-US"/>
        </w:rPr>
        <w:t xml:space="preserve">, un valsts rīcības plāniem, kas izveidoti saskaņā ar </w:t>
      </w:r>
      <w:r w:rsidRPr="00EB04F1">
        <w:rPr>
          <w:strike/>
          <w:szCs w:val="24"/>
          <w:lang w:val="en-GB" w:eastAsia="en-US"/>
        </w:rPr>
        <w:t xml:space="preserve">Eiropas </w:t>
      </w:r>
      <w:r w:rsidRPr="00EB04F1">
        <w:rPr>
          <w:szCs w:val="24"/>
          <w:lang w:val="en-GB" w:eastAsia="en-US"/>
        </w:rPr>
        <w:t xml:space="preserve">Parlamenta un Padomes </w:t>
      </w:r>
      <w:r w:rsidRPr="00EB04F1">
        <w:rPr>
          <w:strike/>
          <w:szCs w:val="24"/>
          <w:lang w:val="en-GB" w:eastAsia="en-US"/>
        </w:rPr>
        <w:t>Regulu (ES) …/…</w:t>
      </w:r>
      <w:r w:rsidRPr="00EB04F1">
        <w:rPr>
          <w:szCs w:val="24"/>
          <w:vertAlign w:val="superscript"/>
          <w:lang w:val="en-GB" w:eastAsia="en-US"/>
        </w:rPr>
        <w:footnoteReference w:id="37"/>
      </w:r>
      <w:r w:rsidR="004D657D" w:rsidRPr="00EB04F1">
        <w:rPr>
          <w:strike/>
          <w:szCs w:val="24"/>
          <w:lang w:eastAsia="en-US"/>
        </w:rPr>
        <w:t>+</w:t>
      </w:r>
      <w:r w:rsidRPr="00EB04F1">
        <w:rPr>
          <w:b/>
          <w:i/>
          <w:szCs w:val="24"/>
          <w:lang w:val="en-GB" w:eastAsia="en-US"/>
        </w:rPr>
        <w:t>Direktīvu 2009/128/EK</w:t>
      </w:r>
      <w:r w:rsidRPr="00EB04F1">
        <w:rPr>
          <w:szCs w:val="24"/>
          <w:lang w:val="en-GB" w:eastAsia="en-US"/>
        </w:rPr>
        <w:t>.</w:t>
      </w:r>
      <w:proofErr w:type="gramEnd"/>
      <w:r w:rsidRPr="00EB04F1">
        <w:rPr>
          <w:szCs w:val="24"/>
          <w:lang w:val="en-GB" w:eastAsia="en-US"/>
        </w:rPr>
        <w:t xml:space="preserve"> Šajās programmās, plānos </w:t>
      </w:r>
      <w:proofErr w:type="gramStart"/>
      <w:r w:rsidRPr="00EB04F1">
        <w:rPr>
          <w:szCs w:val="24"/>
          <w:lang w:val="en-GB" w:eastAsia="en-US"/>
        </w:rPr>
        <w:t>un</w:t>
      </w:r>
      <w:proofErr w:type="gramEnd"/>
      <w:r w:rsidRPr="00EB04F1">
        <w:rPr>
          <w:szCs w:val="24"/>
          <w:lang w:val="en-GB" w:eastAsia="en-US"/>
        </w:rPr>
        <w:t xml:space="preserve"> pasākumos iespējami lielā mērā būtu jāintegrē ilgtspējīgas augsnes apsaimniekošanas un atveseļošanas prakses, ciktāl tās veicina to mērķu sasniegšanu. </w:t>
      </w:r>
      <w:proofErr w:type="gramStart"/>
      <w:r w:rsidRPr="00EB04F1">
        <w:rPr>
          <w:szCs w:val="24"/>
          <w:lang w:val="en-GB" w:eastAsia="en-US"/>
        </w:rPr>
        <w:t xml:space="preserve">Līdz ar to relevantajiem indikatoriem un datiem, piemēram, ar augsni saistītajiem rezultātu rādītājiem, kas noteikti KLP regulā, un statistikas datiem par lauksaimniecības ielaidi un izlaidi, ko ziņo saskaņā ar Eiropas </w:t>
      </w:r>
      <w:r w:rsidRPr="00EB04F1">
        <w:rPr>
          <w:szCs w:val="24"/>
          <w:lang w:val="en-GB" w:eastAsia="en-US"/>
        </w:rPr>
        <w:lastRenderedPageBreak/>
        <w:t>Parlamenta un Padomes Regulu (ES) 2022/2379</w:t>
      </w:r>
      <w:r w:rsidRPr="00EB04F1">
        <w:rPr>
          <w:szCs w:val="24"/>
          <w:vertAlign w:val="superscript"/>
          <w:lang w:val="en-GB" w:eastAsia="en-US"/>
        </w:rPr>
        <w:footnoteReference w:id="38"/>
      </w:r>
      <w:r w:rsidRPr="00EB04F1">
        <w:rPr>
          <w:szCs w:val="24"/>
          <w:lang w:val="en-GB" w:eastAsia="en-US"/>
        </w:rPr>
        <w:t>, vajadzētu būt piekļūstamiem kompetentajām iestādēm, kas atbild par ilgtspējīgas augsnes apsaimniekošanas un atveseļošanas praksēm un augsnes veselības novērtēšanu, lai šie dati un rādītāji būtu savstarpēji sasaistīti un tādējādi dotu iespēju pēc iespējas precīzāk novērtēt izraudzīto pasākumu iedarbīgumu.</w:t>
      </w:r>
      <w:proofErr w:type="gramEnd"/>
      <w:r w:rsidR="0008779A" w:rsidRPr="00EB04F1">
        <w:rPr>
          <w:b/>
          <w:szCs w:val="24"/>
          <w:lang w:val="en-GB" w:eastAsia="en-US"/>
        </w:rPr>
        <w:t xml:space="preserve"> [Gr. 30]</w:t>
      </w:r>
    </w:p>
    <w:p w14:paraId="21325833" w14:textId="77777777" w:rsidR="0008779A" w:rsidRPr="00EB04F1" w:rsidRDefault="0008779A">
      <w:pPr>
        <w:widowControl/>
        <w:rPr>
          <w:szCs w:val="24"/>
          <w:lang w:val="en-GB" w:eastAsia="en-US"/>
        </w:rPr>
      </w:pPr>
      <w:r w:rsidRPr="00EB04F1">
        <w:rPr>
          <w:szCs w:val="24"/>
          <w:lang w:val="en-GB" w:eastAsia="en-US"/>
        </w:rPr>
        <w:br w:type="page"/>
      </w:r>
    </w:p>
    <w:p w14:paraId="160D6B3E" w14:textId="6F46A715"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lastRenderedPageBreak/>
        <w:t>(43)</w:t>
      </w:r>
      <w:r w:rsidRPr="00EB04F1">
        <w:rPr>
          <w:szCs w:val="24"/>
          <w:lang w:val="en-GB" w:eastAsia="en-US"/>
        </w:rPr>
        <w:tab/>
        <w:t xml:space="preserve">Kontaminēti objekti Eiropas Savienībā ir desmitiem gadu ilgas rūpnieciskās darbības mantojums </w:t>
      </w:r>
      <w:proofErr w:type="gramStart"/>
      <w:r w:rsidRPr="00EB04F1">
        <w:rPr>
          <w:szCs w:val="24"/>
          <w:lang w:val="en-GB" w:eastAsia="en-US"/>
        </w:rPr>
        <w:t>un</w:t>
      </w:r>
      <w:proofErr w:type="gramEnd"/>
      <w:r w:rsidRPr="00EB04F1">
        <w:rPr>
          <w:szCs w:val="24"/>
          <w:lang w:val="en-GB" w:eastAsia="en-US"/>
        </w:rPr>
        <w:t xml:space="preserve"> var apdraudēt cilvēka </w:t>
      </w:r>
      <w:r w:rsidRPr="00EB04F1">
        <w:rPr>
          <w:b/>
          <w:i/>
          <w:szCs w:val="24"/>
          <w:lang w:val="en-GB" w:eastAsia="en-US"/>
        </w:rPr>
        <w:t xml:space="preserve">un dzīvnieku </w:t>
      </w:r>
      <w:r w:rsidRPr="00EB04F1">
        <w:rPr>
          <w:szCs w:val="24"/>
          <w:lang w:val="en-GB" w:eastAsia="en-US"/>
        </w:rPr>
        <w:t>veselību un vidi gan tagad, gan nākotnē. Tāpēc</w:t>
      </w:r>
      <w:r w:rsidRPr="00EB04F1">
        <w:rPr>
          <w:b/>
          <w:i/>
          <w:szCs w:val="24"/>
          <w:lang w:val="en-GB" w:eastAsia="en-US"/>
        </w:rPr>
        <w:t>, balstoties uz esošajām zināšanām,</w:t>
      </w:r>
      <w:r w:rsidRPr="00EB04F1">
        <w:rPr>
          <w:strike/>
          <w:szCs w:val="24"/>
          <w:lang w:val="en-GB" w:eastAsia="en-US"/>
        </w:rPr>
        <w:t xml:space="preserve"> vispirms</w:t>
      </w:r>
      <w:r w:rsidRPr="00EB04F1">
        <w:rPr>
          <w:szCs w:val="24"/>
          <w:lang w:val="en-GB" w:eastAsia="en-US"/>
        </w:rPr>
        <w:t xml:space="preserve"> ir jāapzina </w:t>
      </w:r>
      <w:proofErr w:type="gramStart"/>
      <w:r w:rsidRPr="00EB04F1">
        <w:rPr>
          <w:szCs w:val="24"/>
          <w:lang w:val="en-GB" w:eastAsia="en-US"/>
        </w:rPr>
        <w:t>un</w:t>
      </w:r>
      <w:proofErr w:type="gramEnd"/>
      <w:r w:rsidRPr="00EB04F1">
        <w:rPr>
          <w:szCs w:val="24"/>
          <w:lang w:val="en-GB" w:eastAsia="en-US"/>
        </w:rPr>
        <w:t xml:space="preserve"> jāizpēta potenciāli kontaminēti objekti un pēc tam — ja kontaminācija apstiprinās — jānovērtē riski un jāveic </w:t>
      </w:r>
      <w:r w:rsidRPr="00EB04F1">
        <w:rPr>
          <w:strike/>
          <w:szCs w:val="24"/>
          <w:lang w:val="en-GB" w:eastAsia="en-US"/>
        </w:rPr>
        <w:t>nepieņemamu risku</w:t>
      </w:r>
      <w:r w:rsidRPr="00EB04F1">
        <w:rPr>
          <w:b/>
          <w:i/>
          <w:szCs w:val="24"/>
          <w:lang w:val="en-GB" w:eastAsia="en-US"/>
        </w:rPr>
        <w:t>to</w:t>
      </w:r>
      <w:r w:rsidRPr="00EB04F1">
        <w:rPr>
          <w:szCs w:val="24"/>
          <w:lang w:val="en-GB" w:eastAsia="en-US"/>
        </w:rPr>
        <w:t xml:space="preserve"> novēršanas pasākumi. Augsnes izpētē var noskaidroties, ka potenciāli kontaminēts objekts kontaminēts nemaz nav. Tādā gadījumā dalībvalstij šis objekts vairs nebūtu jāatzīmē kā potenciāli kontaminēts, </w:t>
      </w:r>
      <w:proofErr w:type="gramStart"/>
      <w:r w:rsidRPr="00EB04F1">
        <w:rPr>
          <w:szCs w:val="24"/>
          <w:lang w:val="en-GB" w:eastAsia="en-US"/>
        </w:rPr>
        <w:t>ja</w:t>
      </w:r>
      <w:proofErr w:type="gramEnd"/>
      <w:r w:rsidRPr="00EB04F1">
        <w:rPr>
          <w:szCs w:val="24"/>
          <w:lang w:val="en-GB" w:eastAsia="en-US"/>
        </w:rPr>
        <w:t xml:space="preserve"> vien jauni pierādījumi nedod pamatu aizdomām par kontamināciju.</w:t>
      </w:r>
      <w:r w:rsidR="0008779A" w:rsidRPr="00EB04F1">
        <w:rPr>
          <w:b/>
          <w:szCs w:val="24"/>
          <w:lang w:val="en-GB" w:eastAsia="en-US"/>
        </w:rPr>
        <w:t xml:space="preserve"> [Gr. 31]</w:t>
      </w:r>
    </w:p>
    <w:p w14:paraId="1BD7F235" w14:textId="0A544F26"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t>(44)</w:t>
      </w:r>
      <w:r w:rsidRPr="00EB04F1">
        <w:rPr>
          <w:szCs w:val="24"/>
          <w:lang w:val="en-GB" w:eastAsia="en-US"/>
        </w:rPr>
        <w:tab/>
        <w:t xml:space="preserve">Lai apzinātu potenciāli kontaminētus objektus, dalībvalstīm būtu jāvāc pierādījumi, cita starpā izmantojot vēsturisku izpēti, ziņas par kādreiz notikušiem rūpnieciskiem incidentiem </w:t>
      </w:r>
      <w:proofErr w:type="gramStart"/>
      <w:r w:rsidRPr="00EB04F1">
        <w:rPr>
          <w:szCs w:val="24"/>
          <w:lang w:val="en-GB" w:eastAsia="en-US"/>
        </w:rPr>
        <w:t>un</w:t>
      </w:r>
      <w:proofErr w:type="gramEnd"/>
      <w:r w:rsidRPr="00EB04F1">
        <w:rPr>
          <w:szCs w:val="24"/>
          <w:lang w:val="en-GB" w:eastAsia="en-US"/>
        </w:rPr>
        <w:t xml:space="preserve"> avārijām, vidiskās atļaujas</w:t>
      </w:r>
      <w:r w:rsidRPr="00EB04F1">
        <w:rPr>
          <w:b/>
          <w:i/>
          <w:szCs w:val="24"/>
          <w:lang w:val="en-GB" w:eastAsia="en-US"/>
        </w:rPr>
        <w:t>, veselības apsekojumus</w:t>
      </w:r>
      <w:r w:rsidRPr="00EB04F1">
        <w:rPr>
          <w:szCs w:val="24"/>
          <w:lang w:val="en-GB" w:eastAsia="en-US"/>
        </w:rPr>
        <w:t xml:space="preserve"> un sabiedrības vai iestāžu sniegtās ziņas.</w:t>
      </w:r>
      <w:r w:rsidR="0008779A" w:rsidRPr="00EB04F1">
        <w:rPr>
          <w:b/>
          <w:szCs w:val="24"/>
          <w:lang w:val="en-GB" w:eastAsia="en-US"/>
        </w:rPr>
        <w:t xml:space="preserve"> [Gr. 32]</w:t>
      </w:r>
    </w:p>
    <w:p w14:paraId="79E155F3" w14:textId="77777777" w:rsidR="0008779A" w:rsidRPr="00EB04F1" w:rsidRDefault="0008779A">
      <w:pPr>
        <w:widowControl/>
        <w:rPr>
          <w:szCs w:val="24"/>
          <w:lang w:val="en-GB" w:eastAsia="en-US"/>
        </w:rPr>
      </w:pPr>
      <w:r w:rsidRPr="00EB04F1">
        <w:rPr>
          <w:szCs w:val="24"/>
          <w:lang w:val="en-GB" w:eastAsia="en-US"/>
        </w:rPr>
        <w:br w:type="page"/>
      </w:r>
    </w:p>
    <w:p w14:paraId="46739613" w14:textId="7066AF0C"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lastRenderedPageBreak/>
        <w:t>(45)</w:t>
      </w:r>
      <w:r w:rsidRPr="00EB04F1">
        <w:rPr>
          <w:szCs w:val="24"/>
          <w:lang w:val="en-GB" w:eastAsia="en-US"/>
        </w:rPr>
        <w:tab/>
        <w:t xml:space="preserve">Lai nodrošinātu, ka potenciāli kontaminētu objektu augsnes izpēte norit laicīgi </w:t>
      </w:r>
      <w:proofErr w:type="gramStart"/>
      <w:r w:rsidRPr="00EB04F1">
        <w:rPr>
          <w:szCs w:val="24"/>
          <w:lang w:val="en-GB" w:eastAsia="en-US"/>
        </w:rPr>
        <w:t>un</w:t>
      </w:r>
      <w:proofErr w:type="gramEnd"/>
      <w:r w:rsidRPr="00EB04F1">
        <w:rPr>
          <w:szCs w:val="24"/>
          <w:lang w:val="en-GB" w:eastAsia="en-US"/>
        </w:rPr>
        <w:t xml:space="preserve"> rezultatīvi</w:t>
      </w:r>
      <w:r w:rsidRPr="00EB04F1">
        <w:rPr>
          <w:b/>
          <w:i/>
          <w:szCs w:val="24"/>
          <w:lang w:val="en-GB" w:eastAsia="en-US"/>
        </w:rPr>
        <w:t xml:space="preserve">, kā pieprasīts Eiropas Parlamenta 2021. </w:t>
      </w:r>
      <w:proofErr w:type="gramStart"/>
      <w:r w:rsidRPr="00EB04F1">
        <w:rPr>
          <w:b/>
          <w:i/>
          <w:szCs w:val="24"/>
          <w:lang w:val="en-GB" w:eastAsia="en-US"/>
        </w:rPr>
        <w:t>gada</w:t>
      </w:r>
      <w:proofErr w:type="gramEnd"/>
      <w:r w:rsidRPr="00EB04F1">
        <w:rPr>
          <w:b/>
          <w:i/>
          <w:szCs w:val="24"/>
          <w:lang w:val="en-GB" w:eastAsia="en-US"/>
        </w:rPr>
        <w:t xml:space="preserve"> 28. </w:t>
      </w:r>
      <w:proofErr w:type="gramStart"/>
      <w:r w:rsidRPr="00EB04F1">
        <w:rPr>
          <w:b/>
          <w:i/>
          <w:szCs w:val="24"/>
          <w:lang w:val="en-GB" w:eastAsia="en-US"/>
        </w:rPr>
        <w:t>aprīļa</w:t>
      </w:r>
      <w:proofErr w:type="gramEnd"/>
      <w:r w:rsidRPr="00EB04F1">
        <w:rPr>
          <w:b/>
          <w:i/>
          <w:szCs w:val="24"/>
          <w:lang w:val="en-GB" w:eastAsia="en-US"/>
        </w:rPr>
        <w:t xml:space="preserve"> rezolūcijā par augsnes aizsardzību</w:t>
      </w:r>
      <w:r w:rsidRPr="00EB04F1">
        <w:rPr>
          <w:szCs w:val="24"/>
          <w:lang w:val="en-GB" w:eastAsia="en-US"/>
        </w:rPr>
        <w:t xml:space="preserve">, dalībvalstīm līdzās pienākumam noteikt termiņu, kādā minētā izpēte būtu jāveic, būtu jānosaka, kādi konkrēti notikumi dod pamatu šādu izpēti veikt. Notikumi, kas dod šādu pamatu, var būt, piemēram, vidiskās vai būvniecības atļaujas vai saskaņā ar Savienības tiesību aktiem vai valsts tiesību aktiem vajadzīgas atļaujas pieprasījums vai izskatīšana, augsnes ekskavācijas darbības, zemes izmantojuma maiņa vai zemes vai nekustamā īpašuma darījumi. Augsnes izpētei var būt dažādi posmi, piemēram, kamerāls pētījums, klātienes apmeklējums, priekšizpēte vai provizoriska izpēte, izpēte, </w:t>
      </w:r>
      <w:proofErr w:type="gramStart"/>
      <w:r w:rsidRPr="00EB04F1">
        <w:rPr>
          <w:szCs w:val="24"/>
          <w:lang w:val="en-GB" w:eastAsia="en-US"/>
        </w:rPr>
        <w:t>kurā</w:t>
      </w:r>
      <w:proofErr w:type="gramEnd"/>
      <w:r w:rsidRPr="00EB04F1">
        <w:rPr>
          <w:szCs w:val="24"/>
          <w:lang w:val="en-GB" w:eastAsia="en-US"/>
        </w:rPr>
        <w:t xml:space="preserve"> gūst sīkākas ziņas vai situācijas raksturojumu, un testēšana laukā vai laboratorijā. Attiecīgā gadījumā par augsnes izpēti varētu uzskatīt arī pamatziņojumus </w:t>
      </w:r>
      <w:proofErr w:type="gramStart"/>
      <w:r w:rsidRPr="00EB04F1">
        <w:rPr>
          <w:szCs w:val="24"/>
          <w:lang w:val="en-GB" w:eastAsia="en-US"/>
        </w:rPr>
        <w:t>un</w:t>
      </w:r>
      <w:proofErr w:type="gramEnd"/>
      <w:r w:rsidRPr="00EB04F1">
        <w:rPr>
          <w:szCs w:val="24"/>
          <w:lang w:val="en-GB" w:eastAsia="en-US"/>
        </w:rPr>
        <w:t xml:space="preserve"> monitoringa pasākumus, kas īstenoti saskaņā ar Eiropas Parlamenta un Padomes Direktīvu 2010/75/ES</w:t>
      </w:r>
      <w:r w:rsidRPr="00EB04F1">
        <w:rPr>
          <w:szCs w:val="24"/>
          <w:vertAlign w:val="superscript"/>
          <w:lang w:val="en-GB" w:eastAsia="en-US"/>
        </w:rPr>
        <w:footnoteReference w:id="39"/>
      </w:r>
      <w:r w:rsidRPr="00EB04F1">
        <w:rPr>
          <w:szCs w:val="24"/>
          <w:lang w:val="en-GB" w:eastAsia="en-US"/>
        </w:rPr>
        <w:t>.</w:t>
      </w:r>
      <w:r w:rsidR="0008779A" w:rsidRPr="00EB04F1">
        <w:rPr>
          <w:b/>
          <w:szCs w:val="24"/>
          <w:lang w:val="en-GB" w:eastAsia="en-US"/>
        </w:rPr>
        <w:t xml:space="preserve"> [Gr. 33]</w:t>
      </w:r>
    </w:p>
    <w:p w14:paraId="3F866C8D" w14:textId="77777777" w:rsidR="0008779A" w:rsidRPr="00EB04F1" w:rsidRDefault="0008779A">
      <w:pPr>
        <w:widowControl/>
        <w:rPr>
          <w:szCs w:val="24"/>
          <w:lang w:val="en-GB" w:eastAsia="en-US"/>
        </w:rPr>
      </w:pPr>
      <w:r w:rsidRPr="00EB04F1">
        <w:rPr>
          <w:szCs w:val="24"/>
          <w:lang w:val="en-GB" w:eastAsia="en-US"/>
        </w:rPr>
        <w:br w:type="page"/>
      </w:r>
    </w:p>
    <w:p w14:paraId="5B5120EE" w14:textId="6F864E0B"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lastRenderedPageBreak/>
        <w:t>(46)</w:t>
      </w:r>
      <w:r w:rsidRPr="00EB04F1">
        <w:rPr>
          <w:szCs w:val="24"/>
          <w:lang w:val="en-GB" w:eastAsia="en-US"/>
        </w:rPr>
        <w:tab/>
        <w:t xml:space="preserve">Potenciāli kontaminētu objektu </w:t>
      </w:r>
      <w:proofErr w:type="gramStart"/>
      <w:r w:rsidRPr="00EB04F1">
        <w:rPr>
          <w:szCs w:val="24"/>
          <w:lang w:val="en-GB" w:eastAsia="en-US"/>
        </w:rPr>
        <w:t>un</w:t>
      </w:r>
      <w:proofErr w:type="gramEnd"/>
      <w:r w:rsidRPr="00EB04F1">
        <w:rPr>
          <w:szCs w:val="24"/>
          <w:lang w:val="en-GB" w:eastAsia="en-US"/>
        </w:rPr>
        <w:t xml:space="preserve"> kontaminētu objektu pārvaldībā ir vajadzīga elastība, lai ņemtu vērā izmaksas, ieguvumus un vietējās īpatnības. Tāpēc dalībvalstīm</w:t>
      </w:r>
      <w:r w:rsidRPr="00EB04F1">
        <w:rPr>
          <w:strike/>
          <w:szCs w:val="24"/>
          <w:lang w:val="en-GB" w:eastAsia="en-US"/>
        </w:rPr>
        <w:t xml:space="preserve"> kā minimums</w:t>
      </w:r>
      <w:r w:rsidRPr="00EB04F1">
        <w:rPr>
          <w:szCs w:val="24"/>
          <w:lang w:val="en-GB" w:eastAsia="en-US"/>
        </w:rPr>
        <w:t xml:space="preserve"> būtu jāpieņem riska izvērtēšanā balstīta pieeja potenciāli kontaminētu objektu </w:t>
      </w:r>
      <w:proofErr w:type="gramStart"/>
      <w:r w:rsidRPr="00EB04F1">
        <w:rPr>
          <w:szCs w:val="24"/>
          <w:lang w:val="en-GB" w:eastAsia="en-US"/>
        </w:rPr>
        <w:t>un</w:t>
      </w:r>
      <w:proofErr w:type="gramEnd"/>
      <w:r w:rsidRPr="00EB04F1">
        <w:rPr>
          <w:szCs w:val="24"/>
          <w:lang w:val="en-GB" w:eastAsia="en-US"/>
        </w:rPr>
        <w:t xml:space="preserve"> kontaminētu objektu apsaimniekošanā, ņemot vērā atšķirības starp šīm divām kategorijām; šai pieejai būtu arī jāpaver iespēja piešķirt resursus, ņemot vērā konkrēto vidisko, ekonomisko un sociālo kontekstu. </w:t>
      </w:r>
      <w:proofErr w:type="gramStart"/>
      <w:r w:rsidRPr="00EB04F1">
        <w:rPr>
          <w:szCs w:val="24"/>
          <w:lang w:val="en-GB" w:eastAsia="en-US"/>
        </w:rPr>
        <w:t>Lēmumi būtu jāpieņem</w:t>
      </w:r>
      <w:r w:rsidRPr="00EB04F1">
        <w:rPr>
          <w:b/>
          <w:i/>
          <w:szCs w:val="24"/>
          <w:lang w:val="en-GB" w:eastAsia="en-US"/>
        </w:rPr>
        <w:t>, sadarbojoties ar vietējiem veselības aprūpes speciālistiem, veselības iestādēm un zinātnieku kopienu,</w:t>
      </w:r>
      <w:r w:rsidRPr="00EB04F1">
        <w:rPr>
          <w:szCs w:val="24"/>
          <w:lang w:val="en-GB" w:eastAsia="en-US"/>
        </w:rPr>
        <w:t xml:space="preserve"> atkarībā no tā, kāda veida un apmēra iespējamo risku cilvēka veselībai un videi rada saskare ar augsnes kontaminantiem (piemēram, kādā mērā eksponētas ir neaizsargātas iedzīvotāju grupas, piemēram, grūtnieces, personas ar invaliditāti, veci cilvēki un bērni)</w:t>
      </w:r>
      <w:r w:rsidRPr="00EB04F1">
        <w:rPr>
          <w:b/>
          <w:i/>
          <w:szCs w:val="24"/>
          <w:lang w:val="en-GB" w:eastAsia="en-US"/>
        </w:rPr>
        <w:t>, kā arī eksponētība un kumulatīvā ietekme uz cilvēka veselību, augsnes ekosistēmām un saistītajiem ekosistēmas pakalpojumiem</w:t>
      </w:r>
      <w:r w:rsidRPr="00EB04F1">
        <w:rPr>
          <w:szCs w:val="24"/>
          <w:lang w:val="en-GB" w:eastAsia="en-US"/>
        </w:rPr>
        <w:t>.</w:t>
      </w:r>
      <w:proofErr w:type="gramEnd"/>
      <w:r w:rsidRPr="00EB04F1">
        <w:rPr>
          <w:szCs w:val="24"/>
          <w:lang w:val="en-GB" w:eastAsia="en-US"/>
        </w:rPr>
        <w:t xml:space="preserve"> Remediācijas izmaksu </w:t>
      </w:r>
      <w:proofErr w:type="gramStart"/>
      <w:r w:rsidRPr="00EB04F1">
        <w:rPr>
          <w:szCs w:val="24"/>
          <w:lang w:val="en-GB" w:eastAsia="en-US"/>
        </w:rPr>
        <w:t>un</w:t>
      </w:r>
      <w:proofErr w:type="gramEnd"/>
      <w:r w:rsidRPr="00EB04F1">
        <w:rPr>
          <w:szCs w:val="24"/>
          <w:lang w:val="en-GB" w:eastAsia="en-US"/>
        </w:rPr>
        <w:t xml:space="preserve"> ieguvumu analīzei vajadzētu būt </w:t>
      </w:r>
      <w:r w:rsidRPr="00EB04F1">
        <w:rPr>
          <w:strike/>
          <w:szCs w:val="24"/>
          <w:lang w:val="en-GB" w:eastAsia="en-US"/>
        </w:rPr>
        <w:t>pozitīvai</w:t>
      </w:r>
      <w:r w:rsidRPr="00EB04F1">
        <w:rPr>
          <w:b/>
          <w:i/>
          <w:szCs w:val="24"/>
          <w:lang w:val="en-GB" w:eastAsia="en-US"/>
        </w:rPr>
        <w:t>līdzsvarotai, ņemot vērā ieguvumus nākamajām paaudzēm</w:t>
      </w:r>
      <w:r w:rsidRPr="00EB04F1">
        <w:rPr>
          <w:szCs w:val="24"/>
          <w:lang w:val="en-GB" w:eastAsia="en-US"/>
        </w:rPr>
        <w:t xml:space="preserve">. Optimālajam remediācijas risinājumam vajadzētu būt ilgtspējīgam, </w:t>
      </w:r>
      <w:proofErr w:type="gramStart"/>
      <w:r w:rsidRPr="00EB04F1">
        <w:rPr>
          <w:szCs w:val="24"/>
          <w:lang w:val="en-GB" w:eastAsia="en-US"/>
        </w:rPr>
        <w:t>un</w:t>
      </w:r>
      <w:proofErr w:type="gramEnd"/>
      <w:r w:rsidRPr="00EB04F1">
        <w:rPr>
          <w:szCs w:val="24"/>
          <w:lang w:val="en-GB" w:eastAsia="en-US"/>
        </w:rPr>
        <w:t xml:space="preserve"> tas būtu jāizvēlas līdzsvarotā lēmumu pieņemšanas procesā, kurā ņemta vērā vidiskā, ekonomiskā un sociālā ietekme. Potenciāli kontaminētu objektu un kontaminētu objektu apsaimniekošanā būtu jāievēro princips </w:t>
      </w:r>
      <w:r w:rsidRPr="00EB04F1">
        <w:rPr>
          <w:strike/>
          <w:szCs w:val="24"/>
          <w:lang w:val="en-GB" w:eastAsia="en-US"/>
        </w:rPr>
        <w:t>“</w:t>
      </w:r>
      <w:r w:rsidRPr="00EB04F1">
        <w:rPr>
          <w:b/>
          <w:i/>
          <w:szCs w:val="24"/>
          <w:lang w:val="en-GB" w:eastAsia="en-US"/>
        </w:rPr>
        <w:t>"</w:t>
      </w:r>
      <w:r w:rsidRPr="00EB04F1">
        <w:rPr>
          <w:szCs w:val="24"/>
          <w:lang w:val="en-GB" w:eastAsia="en-US"/>
        </w:rPr>
        <w:t>piesārņotājs maksā</w:t>
      </w:r>
      <w:r w:rsidRPr="00EB04F1">
        <w:rPr>
          <w:strike/>
          <w:szCs w:val="24"/>
          <w:lang w:val="en-GB" w:eastAsia="en-US"/>
        </w:rPr>
        <w:t>”</w:t>
      </w:r>
      <w:r w:rsidRPr="00EB04F1">
        <w:rPr>
          <w:b/>
          <w:i/>
          <w:szCs w:val="24"/>
          <w:lang w:val="en-GB" w:eastAsia="en-US"/>
        </w:rPr>
        <w:t>"</w:t>
      </w:r>
      <w:r w:rsidRPr="00EB04F1">
        <w:rPr>
          <w:szCs w:val="24"/>
          <w:lang w:val="en-GB" w:eastAsia="en-US"/>
        </w:rPr>
        <w:t xml:space="preserve">, piesardzības princips </w:t>
      </w:r>
      <w:proofErr w:type="gramStart"/>
      <w:r w:rsidRPr="00EB04F1">
        <w:rPr>
          <w:szCs w:val="24"/>
          <w:lang w:val="en-GB" w:eastAsia="en-US"/>
        </w:rPr>
        <w:t>un</w:t>
      </w:r>
      <w:proofErr w:type="gramEnd"/>
      <w:r w:rsidRPr="00EB04F1">
        <w:rPr>
          <w:szCs w:val="24"/>
          <w:lang w:val="en-GB" w:eastAsia="en-US"/>
        </w:rPr>
        <w:t xml:space="preserve"> proporcionalitātes princips. Dalībvalstīm būtu jānosaka, ar kādu konkrētu metodiku nosakāmi katram kontaminētajam objektam raksturīgie riski. Dalībvalstīm, pamatojoties uz zinātnes atziņām, piesardzības principu, </w:t>
      </w:r>
      <w:r w:rsidRPr="00EB04F1">
        <w:rPr>
          <w:strike/>
          <w:szCs w:val="24"/>
          <w:lang w:val="en-GB" w:eastAsia="en-US"/>
        </w:rPr>
        <w:t>vietējām īpatnībām</w:t>
      </w:r>
      <w:r w:rsidRPr="00EB04F1">
        <w:rPr>
          <w:b/>
          <w:i/>
          <w:szCs w:val="24"/>
          <w:lang w:val="en-GB" w:eastAsia="en-US"/>
        </w:rPr>
        <w:t xml:space="preserve">veselības iestāžu </w:t>
      </w:r>
      <w:proofErr w:type="gramStart"/>
      <w:r w:rsidRPr="00EB04F1">
        <w:rPr>
          <w:b/>
          <w:i/>
          <w:szCs w:val="24"/>
          <w:lang w:val="en-GB" w:eastAsia="en-US"/>
        </w:rPr>
        <w:t>un</w:t>
      </w:r>
      <w:proofErr w:type="gramEnd"/>
      <w:r w:rsidRPr="00EB04F1">
        <w:rPr>
          <w:b/>
          <w:i/>
          <w:szCs w:val="24"/>
          <w:lang w:val="en-GB" w:eastAsia="en-US"/>
        </w:rPr>
        <w:t xml:space="preserve"> veselības aprūpes speciālistu atzinumiem</w:t>
      </w:r>
      <w:r w:rsidRPr="00EB04F1">
        <w:rPr>
          <w:szCs w:val="24"/>
          <w:lang w:val="en-GB" w:eastAsia="en-US"/>
        </w:rPr>
        <w:t xml:space="preserve"> un pašreizējo un nākotnē plānoto zemes izmantojumu, būtu arī jādefinē, kas uzskatāms par nepieņemamu kontaminēta objekta radītu risku. Lai līdz pieņemamam līmenim samazinātu kontaminēto objektu radīto risku cilvēka </w:t>
      </w:r>
      <w:proofErr w:type="gramStart"/>
      <w:r w:rsidRPr="00EB04F1">
        <w:rPr>
          <w:b/>
          <w:i/>
          <w:szCs w:val="24"/>
          <w:lang w:val="en-GB" w:eastAsia="en-US"/>
        </w:rPr>
        <w:t>un</w:t>
      </w:r>
      <w:proofErr w:type="gramEnd"/>
      <w:r w:rsidRPr="00EB04F1">
        <w:rPr>
          <w:b/>
          <w:i/>
          <w:szCs w:val="24"/>
          <w:lang w:val="en-GB" w:eastAsia="en-US"/>
        </w:rPr>
        <w:t xml:space="preserve"> dzīvnieku </w:t>
      </w:r>
      <w:r w:rsidRPr="00EB04F1">
        <w:rPr>
          <w:szCs w:val="24"/>
          <w:lang w:val="en-GB" w:eastAsia="en-US"/>
        </w:rPr>
        <w:t xml:space="preserve">veselībai un videi, dalībvalstīm būtu jāveic pienācīgi riska mazināšanas pasākumi, </w:t>
      </w:r>
      <w:r w:rsidRPr="00EB04F1">
        <w:rPr>
          <w:b/>
          <w:i/>
          <w:szCs w:val="24"/>
          <w:lang w:val="en-GB" w:eastAsia="en-US"/>
        </w:rPr>
        <w:t>vienlaikus par prioritāti nosakot in vai ex situ pasākumus, arī remediāciju</w:t>
      </w:r>
      <w:r w:rsidRPr="00EB04F1">
        <w:rPr>
          <w:strike/>
          <w:szCs w:val="24"/>
          <w:lang w:val="en-GB" w:eastAsia="en-US"/>
        </w:rPr>
        <w:t>arī remediācija</w:t>
      </w:r>
      <w:r w:rsidRPr="00EB04F1">
        <w:rPr>
          <w:szCs w:val="24"/>
          <w:lang w:val="en-GB" w:eastAsia="en-US"/>
        </w:rPr>
        <w:t xml:space="preserve">. Vajadzētu būt iespējai pasākumus, kas veikti saskaņā ar citiem Savienības tiesību aktiem, kvalificēt par riska mazināšanas pasākumiem saskaņā ar šo direktīvu, </w:t>
      </w:r>
      <w:proofErr w:type="gramStart"/>
      <w:r w:rsidRPr="00EB04F1">
        <w:rPr>
          <w:szCs w:val="24"/>
          <w:lang w:val="en-GB" w:eastAsia="en-US"/>
        </w:rPr>
        <w:t>ja</w:t>
      </w:r>
      <w:proofErr w:type="gramEnd"/>
      <w:r w:rsidRPr="00EB04F1">
        <w:rPr>
          <w:szCs w:val="24"/>
          <w:lang w:val="en-GB" w:eastAsia="en-US"/>
        </w:rPr>
        <w:t xml:space="preserve"> šie pasākumi rezultatīvi samazina kontaminētu objektu radītos riskus.</w:t>
      </w:r>
      <w:r w:rsidR="0008779A" w:rsidRPr="00EB04F1">
        <w:rPr>
          <w:b/>
          <w:szCs w:val="24"/>
          <w:lang w:val="en-GB" w:eastAsia="en-US"/>
        </w:rPr>
        <w:t xml:space="preserve"> [Gr. 34]</w:t>
      </w:r>
    </w:p>
    <w:p w14:paraId="04ACB285" w14:textId="77777777" w:rsidR="0008779A" w:rsidRPr="00EB04F1" w:rsidRDefault="0008779A">
      <w:pPr>
        <w:widowControl/>
        <w:rPr>
          <w:b/>
          <w:i/>
          <w:szCs w:val="24"/>
          <w:lang w:val="en-GB" w:eastAsia="en-US"/>
        </w:rPr>
      </w:pPr>
      <w:r w:rsidRPr="00EB04F1">
        <w:rPr>
          <w:b/>
          <w:i/>
          <w:szCs w:val="24"/>
          <w:lang w:val="en-GB" w:eastAsia="en-US"/>
        </w:rPr>
        <w:br w:type="page"/>
      </w:r>
    </w:p>
    <w:p w14:paraId="526935FB" w14:textId="3D51F8A8" w:rsidR="00DA4F3E" w:rsidRPr="00EB04F1" w:rsidRDefault="0008779A" w:rsidP="00DA4F3E">
      <w:pPr>
        <w:spacing w:before="120" w:after="120" w:line="360" w:lineRule="auto"/>
        <w:ind w:left="850" w:hanging="850"/>
        <w:rPr>
          <w:b/>
          <w:szCs w:val="24"/>
          <w:lang w:val="en-GB" w:eastAsia="en-US"/>
        </w:rPr>
      </w:pPr>
      <w:r w:rsidRPr="00EB04F1">
        <w:rPr>
          <w:b/>
          <w:i/>
          <w:szCs w:val="24"/>
          <w:lang w:eastAsia="en-US"/>
        </w:rPr>
        <w:lastRenderedPageBreak/>
        <w:t>(46a)</w:t>
      </w:r>
      <w:r w:rsidR="00DA4F3E" w:rsidRPr="00EB04F1">
        <w:rPr>
          <w:szCs w:val="24"/>
          <w:lang w:val="en-GB" w:eastAsia="en-US"/>
        </w:rPr>
        <w:tab/>
      </w:r>
      <w:r w:rsidR="00DA4F3E" w:rsidRPr="00EB04F1">
        <w:rPr>
          <w:b/>
          <w:i/>
          <w:szCs w:val="24"/>
          <w:lang w:val="en-GB" w:eastAsia="en-US"/>
        </w:rPr>
        <w:t>Zemes aizņemšanas mitigācijas principiem būtu jāsekmē Savienības nodrošinātība ar pārtiku, vienlaikus ņemot vērā ilgtspējīgu mājokļu, būtiskas infrastruktūras un atjaunīgās enerģijas projektus.</w:t>
      </w:r>
      <w:r w:rsidRPr="00EB04F1">
        <w:rPr>
          <w:b/>
          <w:szCs w:val="24"/>
          <w:lang w:val="en-GB" w:eastAsia="en-US"/>
        </w:rPr>
        <w:t xml:space="preserve"> [Gr. 35]</w:t>
      </w:r>
    </w:p>
    <w:p w14:paraId="2948D120"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(47)</w:t>
      </w:r>
      <w:r w:rsidRPr="00EB04F1">
        <w:rPr>
          <w:szCs w:val="24"/>
          <w:lang w:val="en-GB" w:eastAsia="en-US"/>
        </w:rPr>
        <w:tab/>
        <w:t xml:space="preserve">Pasākumos, </w:t>
      </w:r>
      <w:proofErr w:type="gramStart"/>
      <w:r w:rsidRPr="00EB04F1">
        <w:rPr>
          <w:szCs w:val="24"/>
          <w:lang w:val="en-GB" w:eastAsia="en-US"/>
        </w:rPr>
        <w:t>ko</w:t>
      </w:r>
      <w:proofErr w:type="gramEnd"/>
      <w:r w:rsidRPr="00EB04F1">
        <w:rPr>
          <w:szCs w:val="24"/>
          <w:lang w:val="en-GB" w:eastAsia="en-US"/>
        </w:rPr>
        <w:t xml:space="preserve"> veic saskaņā ar šo direktīvu, būtu jāņem vērā arī citi ES rīcībpolitiskie mērķi, piemēram, mērķi, kuri izvirzīti [Regulā (ES) xxxx/xxxx</w:t>
      </w:r>
      <w:r w:rsidRPr="00EB04F1">
        <w:rPr>
          <w:szCs w:val="24"/>
          <w:vertAlign w:val="superscript"/>
          <w:lang w:val="en-GB" w:eastAsia="en-US"/>
        </w:rPr>
        <w:footnoteReference w:id="40"/>
      </w:r>
      <w:r w:rsidRPr="00EB04F1">
        <w:rPr>
          <w:szCs w:val="24"/>
          <w:lang w:val="en-GB" w:eastAsia="en-US"/>
        </w:rPr>
        <w:t>+], kas vērsta uz drošu un ilgtspējīgu Eiropas rūpniecības apgādi ar kritiski svarīgām izejvielām.</w:t>
      </w:r>
    </w:p>
    <w:p w14:paraId="698B8486"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(48)</w:t>
      </w:r>
      <w:r w:rsidRPr="00EB04F1">
        <w:rPr>
          <w:szCs w:val="24"/>
          <w:lang w:val="en-GB" w:eastAsia="en-US"/>
        </w:rPr>
        <w:tab/>
        <w:t xml:space="preserve">Būtiska augsnes rīcībpolitikas sastāvdaļa ir pārredzamība, </w:t>
      </w:r>
      <w:proofErr w:type="gramStart"/>
      <w:r w:rsidRPr="00EB04F1">
        <w:rPr>
          <w:szCs w:val="24"/>
          <w:lang w:val="en-GB" w:eastAsia="en-US"/>
        </w:rPr>
        <w:t>un</w:t>
      </w:r>
      <w:proofErr w:type="gramEnd"/>
      <w:r w:rsidRPr="00EB04F1">
        <w:rPr>
          <w:szCs w:val="24"/>
          <w:lang w:val="en-GB" w:eastAsia="en-US"/>
        </w:rPr>
        <w:t xml:space="preserve"> tā nodrošina publisku pārskatatbildību un informētību, taisnīgus tirgus apstākļus un iespēju sekot līdzi progresam. Tāpēc dalībvalstīm būtu jāizveido </w:t>
      </w:r>
      <w:proofErr w:type="gramStart"/>
      <w:r w:rsidRPr="00EB04F1">
        <w:rPr>
          <w:szCs w:val="24"/>
          <w:lang w:val="en-GB" w:eastAsia="en-US"/>
        </w:rPr>
        <w:t>un</w:t>
      </w:r>
      <w:proofErr w:type="gramEnd"/>
      <w:r w:rsidRPr="00EB04F1">
        <w:rPr>
          <w:szCs w:val="24"/>
          <w:lang w:val="en-GB" w:eastAsia="en-US"/>
        </w:rPr>
        <w:t xml:space="preserve"> jāuztur nacionāls kontaminētu objektu un potenciāli kontaminētu objektu reģistrs, kurā būtu iekļauta informācija par konkrētiem objektiem, kas būtu jādara publiski piekļūstama ģeoreferencētu telpisko datu tiešsaistes datubāzē. Reģistrā būtu jāiekļauj informācija, kas vajadzīga, lai sabiedrību informētu par potenciāli kontaminētu objektu </w:t>
      </w:r>
      <w:proofErr w:type="gramStart"/>
      <w:r w:rsidRPr="00EB04F1">
        <w:rPr>
          <w:szCs w:val="24"/>
          <w:lang w:val="en-GB" w:eastAsia="en-US"/>
        </w:rPr>
        <w:t>un</w:t>
      </w:r>
      <w:proofErr w:type="gramEnd"/>
      <w:r w:rsidRPr="00EB04F1">
        <w:rPr>
          <w:szCs w:val="24"/>
          <w:lang w:val="en-GB" w:eastAsia="en-US"/>
        </w:rPr>
        <w:t xml:space="preserve"> kontaminētu objektu esību un apsaimniekošanu. Tā kā potenciāli kontaminētos objektos augsnes kontaminācija vēl nav apstiprināta, bet par to ir tikai aizdomas, sabiedrība ir jāinformē par starpību starp kontaminētiem un potenciāli kontaminētiem objektiem un šī starpība labi jāizskaidro, lai neradītu nevajadzīgas bažas.</w:t>
      </w:r>
    </w:p>
    <w:p w14:paraId="4AEC4A00" w14:textId="77777777" w:rsidR="0008779A" w:rsidRPr="00EB04F1" w:rsidRDefault="0008779A">
      <w:pPr>
        <w:widowControl/>
        <w:rPr>
          <w:b/>
          <w:i/>
          <w:szCs w:val="24"/>
          <w:lang w:val="en-GB" w:eastAsia="en-US"/>
        </w:rPr>
      </w:pPr>
      <w:r w:rsidRPr="00EB04F1">
        <w:rPr>
          <w:b/>
          <w:i/>
          <w:szCs w:val="24"/>
          <w:lang w:val="en-GB" w:eastAsia="en-US"/>
        </w:rPr>
        <w:br w:type="page"/>
      </w:r>
    </w:p>
    <w:p w14:paraId="286808F5" w14:textId="2E1C8888" w:rsidR="00DA4F3E" w:rsidRPr="00EB04F1" w:rsidRDefault="0008779A" w:rsidP="00DA4F3E">
      <w:pPr>
        <w:spacing w:before="120" w:after="120" w:line="360" w:lineRule="auto"/>
        <w:ind w:left="850" w:hanging="850"/>
        <w:rPr>
          <w:b/>
          <w:szCs w:val="24"/>
          <w:lang w:val="en-GB" w:eastAsia="en-US"/>
        </w:rPr>
      </w:pPr>
      <w:r w:rsidRPr="00EB04F1">
        <w:rPr>
          <w:b/>
          <w:i/>
          <w:szCs w:val="24"/>
          <w:lang w:eastAsia="en-US"/>
        </w:rPr>
        <w:lastRenderedPageBreak/>
        <w:t>(48a)</w:t>
      </w:r>
      <w:r w:rsidR="00DA4F3E" w:rsidRPr="00EB04F1">
        <w:rPr>
          <w:szCs w:val="24"/>
          <w:lang w:val="en-GB" w:eastAsia="en-US"/>
        </w:rPr>
        <w:tab/>
      </w:r>
      <w:r w:rsidR="00DA4F3E" w:rsidRPr="00EB04F1">
        <w:rPr>
          <w:b/>
          <w:i/>
          <w:szCs w:val="24"/>
          <w:lang w:val="en-GB" w:eastAsia="en-US"/>
        </w:rPr>
        <w:t xml:space="preserve">Lai aizsargātu augsnes pret piesārņošanu ar jaunām ķimikālijām, kas varētu ievērojami apdraudēt cilvēka un dzīvnieku veselību un kontaminēt apkārtējo gaisu, virszemes ūdeņus un pazemes ūdeņus, kuri vēlāk piesārņotu okeānus, būtu jāizveido politikas mehānismi, lai atklātu un novērtētu šādas potenciāli problemātiskas vielas. Šajā ziņā attiecībā uz augsnes kontamināciju būtu jāizstrādā pieeja šo vielu vai vielu grupu monitorēšanai </w:t>
      </w:r>
      <w:proofErr w:type="gramStart"/>
      <w:r w:rsidR="00DA4F3E" w:rsidRPr="00EB04F1">
        <w:rPr>
          <w:b/>
          <w:i/>
          <w:szCs w:val="24"/>
          <w:lang w:val="en-GB" w:eastAsia="en-US"/>
        </w:rPr>
        <w:t>un</w:t>
      </w:r>
      <w:proofErr w:type="gramEnd"/>
      <w:r w:rsidR="00DA4F3E" w:rsidRPr="00EB04F1">
        <w:rPr>
          <w:b/>
          <w:i/>
          <w:szCs w:val="24"/>
          <w:lang w:val="en-GB" w:eastAsia="en-US"/>
        </w:rPr>
        <w:t xml:space="preserve"> analīzei, izmantojot novērojamo vielu sarakstus, kā tas šobrīd jau notiek attiecībā uz virszemes ūdeņiem un pazemes ūdeņiem. Novērojamo vielu sarakstā iekļaujamās vielas vai vielu grupas būtu jāizraugās no tām, par kurām pieejamā informācija liecina, ka tās var radīt ievērojamu Savienības mēroga risku ūdens videi vai ievērojamu Savienības mēroga risku, kas rodas ar augsnes vides starpniecību, un par kurām nav pietiekamu monitoringa datu. Šādu novērojamo </w:t>
      </w:r>
      <w:proofErr w:type="gramStart"/>
      <w:r w:rsidR="00DA4F3E" w:rsidRPr="00EB04F1">
        <w:rPr>
          <w:b/>
          <w:i/>
          <w:szCs w:val="24"/>
          <w:lang w:val="en-GB" w:eastAsia="en-US"/>
        </w:rPr>
        <w:t>un</w:t>
      </w:r>
      <w:proofErr w:type="gramEnd"/>
      <w:r w:rsidR="00DA4F3E" w:rsidRPr="00EB04F1">
        <w:rPr>
          <w:b/>
          <w:i/>
          <w:szCs w:val="24"/>
          <w:lang w:val="en-GB" w:eastAsia="en-US"/>
        </w:rPr>
        <w:t xml:space="preserve"> analizējamo vielu vai vielu grupu skaitu novērojamo vielu sarakstā nevajadzētu ierobežot.</w:t>
      </w:r>
      <w:r w:rsidRPr="00EB04F1">
        <w:rPr>
          <w:b/>
          <w:szCs w:val="24"/>
          <w:lang w:val="en-GB" w:eastAsia="en-US"/>
        </w:rPr>
        <w:t xml:space="preserve"> [Gr. 37]</w:t>
      </w:r>
    </w:p>
    <w:p w14:paraId="1D52AC42" w14:textId="77777777" w:rsidR="0008779A" w:rsidRPr="00EB04F1" w:rsidRDefault="0008779A">
      <w:pPr>
        <w:widowControl/>
        <w:rPr>
          <w:b/>
          <w:i/>
          <w:szCs w:val="24"/>
          <w:lang w:eastAsia="en-US"/>
        </w:rPr>
      </w:pPr>
      <w:r w:rsidRPr="00EB04F1">
        <w:rPr>
          <w:b/>
          <w:i/>
          <w:szCs w:val="24"/>
          <w:lang w:eastAsia="en-US"/>
        </w:rPr>
        <w:br w:type="page"/>
      </w:r>
    </w:p>
    <w:p w14:paraId="3A2C77A5" w14:textId="2126E702" w:rsidR="00DA4F3E" w:rsidRPr="00EB04F1" w:rsidRDefault="0008779A" w:rsidP="00DA4F3E">
      <w:pPr>
        <w:spacing w:before="120" w:after="120" w:line="360" w:lineRule="auto"/>
        <w:ind w:left="850" w:hanging="850"/>
        <w:rPr>
          <w:b/>
          <w:szCs w:val="24"/>
          <w:lang w:val="en-GB" w:eastAsia="en-US"/>
        </w:rPr>
      </w:pPr>
      <w:r w:rsidRPr="00EB04F1">
        <w:rPr>
          <w:b/>
          <w:i/>
          <w:szCs w:val="24"/>
          <w:lang w:eastAsia="en-US"/>
        </w:rPr>
        <w:lastRenderedPageBreak/>
        <w:t>(48b)</w:t>
      </w:r>
      <w:r w:rsidR="00DA4F3E" w:rsidRPr="00EB04F1">
        <w:rPr>
          <w:szCs w:val="24"/>
          <w:lang w:eastAsia="en-US"/>
        </w:rPr>
        <w:tab/>
      </w:r>
      <w:r w:rsidR="00DA4F3E" w:rsidRPr="00EB04F1">
        <w:rPr>
          <w:b/>
          <w:i/>
          <w:szCs w:val="24"/>
          <w:lang w:eastAsia="en-US"/>
        </w:rPr>
        <w:t>Tādas vielas kā noturīgi organiskie piesārņotāji, materiāli un daļiņas, tostarp mikroplastmasa un nanoplastmasa, noteikti apdraud ne vien augsnes veselību, bet arī tādas būtiskas darbības kā lauksaimniecības attīstība. To klātbūtne augsnēs var ietekmēt augsnes auglību, tādējādi apdraudot kultūraugu veselību un veselīgu attīstību. Tādēļ ir svarīgi, lai šī direktīva nodrošinātu regulējumu attiecībā uz vielām un materiāliem, kas jāiekļauj augsnes kontaminantu monitoringā, kā arī attiecībā uz vides kvalitātes standartu izveidi un pasākumiem, ar kuriem attiecīgā gadījumā novērst un labot augsnes kontamināciju, ko rada zināmi un potenciāli apdraudējumi.</w:t>
      </w:r>
      <w:r w:rsidRPr="00EB04F1">
        <w:rPr>
          <w:b/>
          <w:szCs w:val="24"/>
          <w:lang w:eastAsia="en-US"/>
        </w:rPr>
        <w:t xml:space="preserve"> </w:t>
      </w:r>
      <w:r w:rsidRPr="00EB04F1">
        <w:rPr>
          <w:b/>
          <w:szCs w:val="24"/>
          <w:lang w:val="en-GB" w:eastAsia="en-US"/>
        </w:rPr>
        <w:t>[Gr. 38]</w:t>
      </w:r>
    </w:p>
    <w:p w14:paraId="56F6CA35"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(49)</w:t>
      </w:r>
      <w:r w:rsidRPr="00EB04F1">
        <w:rPr>
          <w:szCs w:val="24"/>
          <w:lang w:val="en-GB" w:eastAsia="en-US"/>
        </w:rPr>
        <w:tab/>
        <w:t xml:space="preserve">Līguma par Eiropas Savienību (LES) 19. </w:t>
      </w:r>
      <w:proofErr w:type="gramStart"/>
      <w:r w:rsidRPr="00EB04F1">
        <w:rPr>
          <w:szCs w:val="24"/>
          <w:lang w:val="en-GB" w:eastAsia="en-US"/>
        </w:rPr>
        <w:t>panta</w:t>
      </w:r>
      <w:proofErr w:type="gramEnd"/>
      <w:r w:rsidRPr="00EB04F1">
        <w:rPr>
          <w:szCs w:val="24"/>
          <w:lang w:val="en-GB" w:eastAsia="en-US"/>
        </w:rPr>
        <w:t xml:space="preserve"> 1. </w:t>
      </w:r>
      <w:proofErr w:type="gramStart"/>
      <w:r w:rsidRPr="00EB04F1">
        <w:rPr>
          <w:szCs w:val="24"/>
          <w:lang w:val="en-GB" w:eastAsia="en-US"/>
        </w:rPr>
        <w:t>punkts</w:t>
      </w:r>
      <w:proofErr w:type="gramEnd"/>
      <w:r w:rsidRPr="00EB04F1">
        <w:rPr>
          <w:szCs w:val="24"/>
          <w:lang w:val="en-GB" w:eastAsia="en-US"/>
        </w:rPr>
        <w:t xml:space="preserve"> nosaka, ka dalībvalstīm ir jānodrošina tiesību aizsardzības līdzekļi, kas ir pietiekami efektīvi tiesiskās aizsardzības nodrošināšanai jomās, uz kurām attiecas Savienības tiesības. Turklāt saskaņā ar Konvenciju par pieeju informācijai, sabiedrības dalību lēmumu pieņemšanā </w:t>
      </w:r>
      <w:proofErr w:type="gramStart"/>
      <w:r w:rsidRPr="00EB04F1">
        <w:rPr>
          <w:szCs w:val="24"/>
          <w:lang w:val="en-GB" w:eastAsia="en-US"/>
        </w:rPr>
        <w:t>un</w:t>
      </w:r>
      <w:proofErr w:type="gramEnd"/>
      <w:r w:rsidRPr="00EB04F1">
        <w:rPr>
          <w:szCs w:val="24"/>
          <w:lang w:val="en-GB" w:eastAsia="en-US"/>
        </w:rPr>
        <w:t xml:space="preserve"> iespēju griezties tiesu iestādēs saistībā ar vides jautājumiem</w:t>
      </w:r>
      <w:r w:rsidRPr="00EB04F1">
        <w:rPr>
          <w:szCs w:val="24"/>
          <w:vertAlign w:val="superscript"/>
          <w:lang w:val="en-GB" w:eastAsia="en-US"/>
        </w:rPr>
        <w:footnoteReference w:id="41"/>
      </w:r>
      <w:r w:rsidRPr="00EB04F1">
        <w:rPr>
          <w:szCs w:val="24"/>
          <w:lang w:val="en-GB" w:eastAsia="en-US"/>
        </w:rPr>
        <w:t xml:space="preserve"> (Orhūsas konvencija) ieinteresētajiem sabiedrības locekļiem vajadzētu būt iespējai vērsties tiesā, lai tiktu labāk aizsargātas tiesības dzīvot veselībai un labbūtībai piemērotā vidē.</w:t>
      </w:r>
    </w:p>
    <w:p w14:paraId="76234FB8" w14:textId="77777777" w:rsidR="0008779A" w:rsidRPr="00EB04F1" w:rsidRDefault="0008779A">
      <w:pPr>
        <w:widowControl/>
        <w:rPr>
          <w:szCs w:val="24"/>
          <w:lang w:val="en-GB" w:eastAsia="en-US"/>
        </w:rPr>
      </w:pPr>
      <w:r w:rsidRPr="00EB04F1">
        <w:rPr>
          <w:szCs w:val="24"/>
          <w:lang w:val="en-GB" w:eastAsia="en-US"/>
        </w:rPr>
        <w:br w:type="page"/>
      </w:r>
    </w:p>
    <w:p w14:paraId="54B84837" w14:textId="449EA476"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lastRenderedPageBreak/>
        <w:t>(50)</w:t>
      </w:r>
      <w:r w:rsidRPr="00EB04F1">
        <w:rPr>
          <w:szCs w:val="24"/>
          <w:lang w:val="en-GB" w:eastAsia="en-US"/>
        </w:rPr>
        <w:tab/>
        <w:t xml:space="preserve">Eiropas Parlamenta </w:t>
      </w:r>
      <w:proofErr w:type="gramStart"/>
      <w:r w:rsidRPr="00EB04F1">
        <w:rPr>
          <w:szCs w:val="24"/>
          <w:lang w:val="en-GB" w:eastAsia="en-US"/>
        </w:rPr>
        <w:t>un</w:t>
      </w:r>
      <w:proofErr w:type="gramEnd"/>
      <w:r w:rsidRPr="00EB04F1">
        <w:rPr>
          <w:szCs w:val="24"/>
          <w:lang w:val="en-GB" w:eastAsia="en-US"/>
        </w:rPr>
        <w:t xml:space="preserve"> Padomes Direktīva (ES) 2019/1024</w:t>
      </w:r>
      <w:r w:rsidRPr="00EB04F1">
        <w:rPr>
          <w:szCs w:val="24"/>
          <w:vertAlign w:val="superscript"/>
          <w:lang w:val="en-GB" w:eastAsia="en-US"/>
        </w:rPr>
        <w:footnoteReference w:id="42"/>
      </w:r>
      <w:r w:rsidRPr="00EB04F1">
        <w:rPr>
          <w:szCs w:val="24"/>
          <w:lang w:val="en-GB" w:eastAsia="en-US"/>
        </w:rPr>
        <w:t xml:space="preserve"> prasa brīvā un atvērtā formātā publiskot publiskā sektora datus. Tās virsmērķis ir vēl stiprināt ES datu ekonomiku, palielinot atkalizmantošanai pieejamo </w:t>
      </w:r>
      <w:r w:rsidRPr="00EB04F1">
        <w:rPr>
          <w:b/>
          <w:i/>
          <w:szCs w:val="24"/>
          <w:lang w:val="en-GB" w:eastAsia="en-US"/>
        </w:rPr>
        <w:t xml:space="preserve">sadarbspējīgo </w:t>
      </w:r>
      <w:r w:rsidRPr="00EB04F1">
        <w:rPr>
          <w:szCs w:val="24"/>
          <w:lang w:val="en-GB" w:eastAsia="en-US"/>
        </w:rPr>
        <w:t xml:space="preserve">publiskā sektora datu daudzumu, nodrošinot godīgu konkurenci </w:t>
      </w:r>
      <w:proofErr w:type="gramStart"/>
      <w:r w:rsidRPr="00EB04F1">
        <w:rPr>
          <w:szCs w:val="24"/>
          <w:lang w:val="en-GB" w:eastAsia="en-US"/>
        </w:rPr>
        <w:t>un</w:t>
      </w:r>
      <w:proofErr w:type="gramEnd"/>
      <w:r w:rsidRPr="00EB04F1">
        <w:rPr>
          <w:szCs w:val="24"/>
          <w:lang w:val="en-GB" w:eastAsia="en-US"/>
        </w:rPr>
        <w:t xml:space="preserve"> vieglu piekļuvi publiskā sektora informācijai un atbalstot uz datiem balstītu pārrobežu inovāciju</w:t>
      </w:r>
      <w:r w:rsidRPr="00EB04F1">
        <w:rPr>
          <w:strike/>
          <w:szCs w:val="24"/>
          <w:lang w:val="en-GB" w:eastAsia="en-US"/>
        </w:rPr>
        <w:t xml:space="preserve">. Pamatprincips ir tāds, ka publiskā sektora datiem vajadzētu būt pēc noklusējuma </w:t>
      </w:r>
      <w:proofErr w:type="gramStart"/>
      <w:r w:rsidRPr="00EB04F1">
        <w:rPr>
          <w:strike/>
          <w:szCs w:val="24"/>
          <w:lang w:val="en-GB" w:eastAsia="en-US"/>
        </w:rPr>
        <w:t>un</w:t>
      </w:r>
      <w:proofErr w:type="gramEnd"/>
      <w:r w:rsidRPr="00EB04F1">
        <w:rPr>
          <w:strike/>
          <w:szCs w:val="24"/>
          <w:lang w:val="en-GB" w:eastAsia="en-US"/>
        </w:rPr>
        <w:t xml:space="preserve"> integrēti atvērtiem</w:t>
      </w:r>
      <w:r w:rsidRPr="00EB04F1">
        <w:rPr>
          <w:szCs w:val="24"/>
          <w:lang w:val="en-GB" w:eastAsia="en-US"/>
        </w:rPr>
        <w:t xml:space="preserve">. Eiropas Parlamenta </w:t>
      </w:r>
      <w:proofErr w:type="gramStart"/>
      <w:r w:rsidRPr="00EB04F1">
        <w:rPr>
          <w:szCs w:val="24"/>
          <w:lang w:val="en-GB" w:eastAsia="en-US"/>
        </w:rPr>
        <w:t>un</w:t>
      </w:r>
      <w:proofErr w:type="gramEnd"/>
      <w:r w:rsidRPr="00EB04F1">
        <w:rPr>
          <w:szCs w:val="24"/>
          <w:lang w:val="en-GB" w:eastAsia="en-US"/>
        </w:rPr>
        <w:t xml:space="preserve"> Padomes Direktīvas 2003/4/EK</w:t>
      </w:r>
      <w:r w:rsidRPr="00EB04F1">
        <w:rPr>
          <w:szCs w:val="24"/>
          <w:vertAlign w:val="superscript"/>
          <w:lang w:val="en-GB" w:eastAsia="en-US"/>
        </w:rPr>
        <w:footnoteReference w:id="43"/>
      </w:r>
      <w:r w:rsidRPr="00EB04F1">
        <w:rPr>
          <w:szCs w:val="24"/>
          <w:lang w:val="en-GB" w:eastAsia="en-US"/>
        </w:rPr>
        <w:t xml:space="preserve"> mērķis ir dalībvalstīs garantēt tiesības piekļūt vidiskajai informācijai saskaņā ar Orhūsas konvenciju. Orhūsas konvencija </w:t>
      </w:r>
      <w:proofErr w:type="gramStart"/>
      <w:r w:rsidRPr="00EB04F1">
        <w:rPr>
          <w:szCs w:val="24"/>
          <w:lang w:val="en-GB" w:eastAsia="en-US"/>
        </w:rPr>
        <w:t>un</w:t>
      </w:r>
      <w:proofErr w:type="gramEnd"/>
      <w:r w:rsidRPr="00EB04F1">
        <w:rPr>
          <w:szCs w:val="24"/>
          <w:lang w:val="en-GB" w:eastAsia="en-US"/>
        </w:rPr>
        <w:t xml:space="preserve"> Direktīva 2003/4/EK ietver plašus pienākumus, kas saistīti gan ar vidiskās informācijas sniegšanu pēc pieprasījuma, gan tās aktīvu izplatīšanu. Arī Eiropas Parlamenta </w:t>
      </w:r>
      <w:proofErr w:type="gramStart"/>
      <w:r w:rsidRPr="00EB04F1">
        <w:rPr>
          <w:szCs w:val="24"/>
          <w:lang w:val="en-GB" w:eastAsia="en-US"/>
        </w:rPr>
        <w:t>un</w:t>
      </w:r>
      <w:proofErr w:type="gramEnd"/>
      <w:r w:rsidRPr="00EB04F1">
        <w:rPr>
          <w:szCs w:val="24"/>
          <w:lang w:val="en-GB" w:eastAsia="en-US"/>
        </w:rPr>
        <w:t xml:space="preserve"> Padomes Direktīvas 2007/2/EK</w:t>
      </w:r>
      <w:r w:rsidRPr="00EB04F1">
        <w:rPr>
          <w:szCs w:val="24"/>
          <w:vertAlign w:val="superscript"/>
          <w:lang w:val="en-GB" w:eastAsia="en-US"/>
        </w:rPr>
        <w:footnoteReference w:id="44"/>
      </w:r>
      <w:r w:rsidRPr="00EB04F1">
        <w:rPr>
          <w:szCs w:val="24"/>
          <w:lang w:val="en-GB" w:eastAsia="en-US"/>
        </w:rPr>
        <w:t xml:space="preserve"> darbības joma ir plaša: tā aptver telpiskās informācijas, arī dažādiem vides jautājumiem veltītu datu kopu, kopīgošanu. Ir svarīgi, lai šīs direktīvas noteikumi par piekļuvi informācijai </w:t>
      </w:r>
      <w:proofErr w:type="gramStart"/>
      <w:r w:rsidRPr="00EB04F1">
        <w:rPr>
          <w:szCs w:val="24"/>
          <w:lang w:val="en-GB" w:eastAsia="en-US"/>
        </w:rPr>
        <w:t>un</w:t>
      </w:r>
      <w:proofErr w:type="gramEnd"/>
      <w:r w:rsidRPr="00EB04F1">
        <w:rPr>
          <w:szCs w:val="24"/>
          <w:lang w:val="en-GB" w:eastAsia="en-US"/>
        </w:rPr>
        <w:t xml:space="preserve"> datu kopīgošanas kārtību šīs direktīvas papildinātu, nevis veidotu atsevišķu tiesisko regulējumu. Tāpēc šīs direktīvas noteikumiem par sabiedrībai sniedzamo informāciju </w:t>
      </w:r>
      <w:proofErr w:type="gramStart"/>
      <w:r w:rsidRPr="00EB04F1">
        <w:rPr>
          <w:szCs w:val="24"/>
          <w:lang w:val="en-GB" w:eastAsia="en-US"/>
        </w:rPr>
        <w:t>un</w:t>
      </w:r>
      <w:proofErr w:type="gramEnd"/>
      <w:r w:rsidRPr="00EB04F1">
        <w:rPr>
          <w:szCs w:val="24"/>
          <w:lang w:val="en-GB" w:eastAsia="en-US"/>
        </w:rPr>
        <w:t xml:space="preserve"> informāciju par īstenošanas monitoringu nevajadzētu skart Direktīvu (ES) 2019/1024, Direktīvu 2003/4/EK un Direktīvu 2007/2/EK.</w:t>
      </w:r>
      <w:r w:rsidR="0008779A" w:rsidRPr="00EB04F1">
        <w:rPr>
          <w:b/>
          <w:szCs w:val="24"/>
          <w:lang w:val="en-GB" w:eastAsia="en-US"/>
        </w:rPr>
        <w:t xml:space="preserve"> [Gr. 39]</w:t>
      </w:r>
    </w:p>
    <w:p w14:paraId="5AB2EAAC" w14:textId="77777777" w:rsidR="0008779A" w:rsidRPr="00EB04F1" w:rsidRDefault="0008779A">
      <w:pPr>
        <w:widowControl/>
        <w:rPr>
          <w:szCs w:val="24"/>
          <w:lang w:val="en-GB" w:eastAsia="en-US"/>
        </w:rPr>
      </w:pPr>
      <w:r w:rsidRPr="00EB04F1">
        <w:rPr>
          <w:szCs w:val="24"/>
          <w:lang w:val="en-GB" w:eastAsia="en-US"/>
        </w:rPr>
        <w:br w:type="page"/>
      </w:r>
    </w:p>
    <w:p w14:paraId="3CB75493" w14:textId="13B55A02"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lastRenderedPageBreak/>
        <w:t>(51)</w:t>
      </w:r>
      <w:r w:rsidRPr="00EB04F1">
        <w:rPr>
          <w:szCs w:val="24"/>
          <w:lang w:val="en-GB" w:eastAsia="en-US"/>
        </w:rPr>
        <w:tab/>
        <w:t xml:space="preserve">Lai nodrošinātu, ka noteikumi par augsnes veselības monitoringu, </w:t>
      </w:r>
      <w:r w:rsidRPr="00EB04F1">
        <w:rPr>
          <w:strike/>
          <w:szCs w:val="24"/>
          <w:lang w:val="en-GB" w:eastAsia="en-US"/>
        </w:rPr>
        <w:t>ilgtspējīgu augsnes apsaimniekošanu</w:t>
      </w:r>
      <w:r w:rsidRPr="00EB04F1">
        <w:rPr>
          <w:b/>
          <w:i/>
          <w:szCs w:val="24"/>
          <w:lang w:val="en-GB" w:eastAsia="en-US"/>
        </w:rPr>
        <w:t>novērtējumu</w:t>
      </w:r>
      <w:r w:rsidRPr="00EB04F1">
        <w:rPr>
          <w:szCs w:val="24"/>
          <w:lang w:val="en-GB" w:eastAsia="en-US"/>
        </w:rPr>
        <w:t xml:space="preserve"> </w:t>
      </w:r>
      <w:proofErr w:type="gramStart"/>
      <w:r w:rsidRPr="00EB04F1">
        <w:rPr>
          <w:szCs w:val="24"/>
          <w:lang w:val="en-GB" w:eastAsia="en-US"/>
        </w:rPr>
        <w:t>un</w:t>
      </w:r>
      <w:proofErr w:type="gramEnd"/>
      <w:r w:rsidRPr="00EB04F1">
        <w:rPr>
          <w:szCs w:val="24"/>
          <w:lang w:val="en-GB" w:eastAsia="en-US"/>
        </w:rPr>
        <w:t xml:space="preserve"> kontaminētu objektu apsaimniekošanu tiek pienācīgi pielāgoti, saskaņā ar Līguma par Eiropas Savienības darbību 290. </w:t>
      </w:r>
      <w:proofErr w:type="gramStart"/>
      <w:r w:rsidRPr="00EB04F1">
        <w:rPr>
          <w:szCs w:val="24"/>
          <w:lang w:val="en-GB" w:eastAsia="en-US"/>
        </w:rPr>
        <w:t>pantu būtu Komisijai jādeleģē pilnvaras pieņemt aktus, ar ko šī direktīva tiktu grozīta</w:t>
      </w:r>
      <w:r w:rsidRPr="00EB04F1">
        <w:rPr>
          <w:b/>
          <w:i/>
          <w:szCs w:val="24"/>
          <w:lang w:val="en-GB" w:eastAsia="en-US"/>
        </w:rPr>
        <w:t xml:space="preserve"> vai papildināta</w:t>
      </w:r>
      <w:r w:rsidRPr="00EB04F1">
        <w:rPr>
          <w:szCs w:val="24"/>
          <w:lang w:val="en-GB" w:eastAsia="en-US"/>
        </w:rPr>
        <w:t>,</w:t>
      </w:r>
      <w:r w:rsidRPr="00EB04F1">
        <w:rPr>
          <w:b/>
          <w:i/>
          <w:szCs w:val="24"/>
          <w:lang w:val="en-GB" w:eastAsia="en-US"/>
        </w:rPr>
        <w:t xml:space="preserve"> lai pieņemtu metodiku augsnes deskriptoru robežvērtību noteikšanai, kurus paredzēs dalībvalstis, un</w:t>
      </w:r>
      <w:r w:rsidRPr="00EB04F1">
        <w:rPr>
          <w:szCs w:val="24"/>
          <w:lang w:val="en-GB" w:eastAsia="en-US"/>
        </w:rPr>
        <w:t xml:space="preserve"> lai augsnes veselības monitoringa metodikas</w:t>
      </w:r>
      <w:r w:rsidRPr="00EB04F1">
        <w:rPr>
          <w:strike/>
          <w:szCs w:val="24"/>
          <w:lang w:val="en-GB" w:eastAsia="en-US"/>
        </w:rPr>
        <w:t>, ilgtspējīgas augsnes apsaimniekošanas principu sarakstu</w:t>
      </w:r>
      <w:r w:rsidRPr="00EB04F1">
        <w:rPr>
          <w:szCs w:val="24"/>
          <w:lang w:val="en-GB" w:eastAsia="en-US"/>
        </w:rPr>
        <w:t xml:space="preserve">, orientējošo riska mazināšanas pasākumu sarakstu, objektam raksturīgā riska novērtēšanas </w:t>
      </w:r>
      <w:r w:rsidRPr="00EB04F1">
        <w:rPr>
          <w:b/>
          <w:i/>
          <w:szCs w:val="24"/>
          <w:lang w:val="en-GB" w:eastAsia="en-US"/>
        </w:rPr>
        <w:t xml:space="preserve">un minimālo pieļaujamo vērtību noteikšanas </w:t>
      </w:r>
      <w:r w:rsidRPr="00EB04F1">
        <w:rPr>
          <w:szCs w:val="24"/>
          <w:lang w:val="en-GB" w:eastAsia="en-US"/>
        </w:rPr>
        <w:t>posmus un prasības</w:t>
      </w:r>
      <w:r w:rsidRPr="00EB04F1">
        <w:rPr>
          <w:strike/>
          <w:szCs w:val="24"/>
          <w:lang w:val="en-GB" w:eastAsia="en-US"/>
        </w:rPr>
        <w:t>, kā arī kontaminēto un potenciāli kontaminēto objektu reģistra saturu</w:t>
      </w:r>
      <w:r w:rsidRPr="00EB04F1">
        <w:rPr>
          <w:szCs w:val="24"/>
          <w:lang w:val="en-GB" w:eastAsia="en-US"/>
        </w:rPr>
        <w:t xml:space="preserve"> pielāgotu tehnikas un zinātnes attīstībai</w:t>
      </w:r>
      <w:r w:rsidRPr="00EB04F1">
        <w:rPr>
          <w:b/>
          <w:i/>
          <w:szCs w:val="24"/>
          <w:lang w:val="en-GB" w:eastAsia="en-US"/>
        </w:rPr>
        <w:t xml:space="preserve"> saistībā ar kontaminēto objektu radītā nepieņemamā riska veselībai un videi noteikšanu</w:t>
      </w:r>
      <w:r w:rsidRPr="00EB04F1">
        <w:rPr>
          <w:szCs w:val="24"/>
          <w:lang w:val="en-GB" w:eastAsia="en-US"/>
        </w:rPr>
        <w:t>.</w:t>
      </w:r>
      <w:proofErr w:type="gramEnd"/>
      <w:r w:rsidRPr="00EB04F1">
        <w:rPr>
          <w:szCs w:val="24"/>
          <w:lang w:val="en-GB" w:eastAsia="en-US"/>
        </w:rPr>
        <w:t xml:space="preserve"> Ir īpaši būtiski, lai Komisija, veicot sagatavošanas darbus, rīkotu atbilstīgas apspriešanās, tostarp ekspertu līmenī, </w:t>
      </w:r>
      <w:proofErr w:type="gramStart"/>
      <w:r w:rsidRPr="00EB04F1">
        <w:rPr>
          <w:szCs w:val="24"/>
          <w:lang w:val="en-GB" w:eastAsia="en-US"/>
        </w:rPr>
        <w:t>un</w:t>
      </w:r>
      <w:proofErr w:type="gramEnd"/>
      <w:r w:rsidRPr="00EB04F1">
        <w:rPr>
          <w:szCs w:val="24"/>
          <w:lang w:val="en-GB" w:eastAsia="en-US"/>
        </w:rPr>
        <w:t xml:space="preserve"> lai minētās apspriešanās tiktu rīkotas saskaņā ar principiem, kas noteikti 2016. </w:t>
      </w:r>
      <w:proofErr w:type="gramStart"/>
      <w:r w:rsidRPr="00EB04F1">
        <w:rPr>
          <w:szCs w:val="24"/>
          <w:lang w:val="en-GB" w:eastAsia="en-US"/>
        </w:rPr>
        <w:t>gada</w:t>
      </w:r>
      <w:proofErr w:type="gramEnd"/>
      <w:r w:rsidRPr="00EB04F1">
        <w:rPr>
          <w:szCs w:val="24"/>
          <w:lang w:val="en-GB" w:eastAsia="en-US"/>
        </w:rPr>
        <w:t xml:space="preserve"> 13. </w:t>
      </w:r>
      <w:proofErr w:type="gramStart"/>
      <w:r w:rsidRPr="00EB04F1">
        <w:rPr>
          <w:szCs w:val="24"/>
          <w:lang w:val="en-GB" w:eastAsia="en-US"/>
        </w:rPr>
        <w:t>aprīļa</w:t>
      </w:r>
      <w:proofErr w:type="gramEnd"/>
      <w:r w:rsidRPr="00EB04F1">
        <w:rPr>
          <w:szCs w:val="24"/>
          <w:lang w:val="en-GB" w:eastAsia="en-US"/>
        </w:rPr>
        <w:t xml:space="preserve"> Iestāžu nolīgumā par labāku likumdošanas procesu</w:t>
      </w:r>
      <w:r w:rsidRPr="00EB04F1">
        <w:rPr>
          <w:szCs w:val="24"/>
          <w:vertAlign w:val="superscript"/>
          <w:lang w:val="en-GB" w:eastAsia="en-US"/>
        </w:rPr>
        <w:footnoteReference w:id="45"/>
      </w:r>
      <w:r w:rsidRPr="00EB04F1">
        <w:rPr>
          <w:szCs w:val="24"/>
          <w:lang w:val="en-GB" w:eastAsia="en-US"/>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r w:rsidR="0008779A" w:rsidRPr="00EB04F1">
        <w:rPr>
          <w:b/>
          <w:szCs w:val="24"/>
          <w:lang w:val="en-GB" w:eastAsia="en-US"/>
        </w:rPr>
        <w:t xml:space="preserve"> [Gr. 40]</w:t>
      </w:r>
    </w:p>
    <w:p w14:paraId="6127551A" w14:textId="77777777" w:rsidR="0008779A" w:rsidRPr="00EB04F1" w:rsidRDefault="0008779A">
      <w:pPr>
        <w:widowControl/>
        <w:rPr>
          <w:szCs w:val="24"/>
          <w:lang w:val="en-GB" w:eastAsia="en-US"/>
        </w:rPr>
      </w:pPr>
      <w:r w:rsidRPr="00EB04F1">
        <w:rPr>
          <w:szCs w:val="24"/>
          <w:lang w:val="en-GB" w:eastAsia="en-US"/>
        </w:rPr>
        <w:br w:type="page"/>
      </w:r>
    </w:p>
    <w:p w14:paraId="60346923" w14:textId="2F4ABC52"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lastRenderedPageBreak/>
        <w:t>(52)</w:t>
      </w:r>
      <w:r w:rsidRPr="00EB04F1">
        <w:rPr>
          <w:szCs w:val="24"/>
          <w:lang w:val="en-GB" w:eastAsia="en-US"/>
        </w:rPr>
        <w:tab/>
        <w:t xml:space="preserve">Lai nodrošinātu vienādus šīs direktīvas īstenošanas nosacījumus, būtu Komisijai jāpiešķir īstenošanas pilnvaras noteikt Komisijai elektroniski ziņojamo datu </w:t>
      </w:r>
      <w:proofErr w:type="gramStart"/>
      <w:r w:rsidRPr="00EB04F1">
        <w:rPr>
          <w:szCs w:val="24"/>
          <w:lang w:val="en-GB" w:eastAsia="en-US"/>
        </w:rPr>
        <w:t>un</w:t>
      </w:r>
      <w:proofErr w:type="gramEnd"/>
      <w:r w:rsidRPr="00EB04F1">
        <w:rPr>
          <w:szCs w:val="24"/>
          <w:lang w:val="en-GB" w:eastAsia="en-US"/>
        </w:rPr>
        <w:t xml:space="preserve"> informācijas formātu, struktūru un sīki izstrādātu iesniegšanas kārtību. Minētās pilnvaras būtu jāizmanto saskaņā ar Eiropas Parlamenta </w:t>
      </w:r>
      <w:proofErr w:type="gramStart"/>
      <w:r w:rsidRPr="00EB04F1">
        <w:rPr>
          <w:szCs w:val="24"/>
          <w:lang w:val="en-GB" w:eastAsia="en-US"/>
        </w:rPr>
        <w:t>un</w:t>
      </w:r>
      <w:proofErr w:type="gramEnd"/>
      <w:r w:rsidRPr="00EB04F1">
        <w:rPr>
          <w:szCs w:val="24"/>
          <w:lang w:val="en-GB" w:eastAsia="en-US"/>
        </w:rPr>
        <w:t xml:space="preserve"> Padomes Regulu (ES) Nr. 182/2011</w:t>
      </w:r>
      <w:r w:rsidRPr="00EB04F1">
        <w:rPr>
          <w:szCs w:val="24"/>
          <w:vertAlign w:val="superscript"/>
          <w:lang w:val="en-GB" w:eastAsia="en-US"/>
        </w:rPr>
        <w:footnoteReference w:id="46"/>
      </w:r>
      <w:r w:rsidRPr="00EB04F1">
        <w:rPr>
          <w:szCs w:val="24"/>
          <w:lang w:val="en-GB" w:eastAsia="en-US"/>
        </w:rPr>
        <w:t>.</w:t>
      </w:r>
    </w:p>
    <w:p w14:paraId="55B24678" w14:textId="01A66785"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t>(53)</w:t>
      </w:r>
      <w:r w:rsidRPr="00EB04F1">
        <w:rPr>
          <w:szCs w:val="24"/>
          <w:lang w:val="en-GB" w:eastAsia="en-US"/>
        </w:rPr>
        <w:tab/>
        <w:t xml:space="preserve">Komisijai, balstoties uz augsnes veselības novērtējuma rezultātiem, būtu jāveic pierādījumos balstīts izvērtējums </w:t>
      </w:r>
      <w:proofErr w:type="gramStart"/>
      <w:r w:rsidRPr="00EB04F1">
        <w:rPr>
          <w:szCs w:val="24"/>
          <w:lang w:val="en-GB" w:eastAsia="en-US"/>
        </w:rPr>
        <w:t>un</w:t>
      </w:r>
      <w:proofErr w:type="gramEnd"/>
      <w:r w:rsidRPr="00EB04F1">
        <w:rPr>
          <w:szCs w:val="24"/>
          <w:lang w:val="en-GB" w:eastAsia="en-US"/>
        </w:rPr>
        <w:t xml:space="preserve"> attiecīgā gadījumā šī direktīva 6 gadus pēc tās stāšanās spēkā jāpārskata. Izvērtējumā it sevišķi būtu jānovērtē </w:t>
      </w:r>
      <w:r w:rsidRPr="00EB04F1">
        <w:rPr>
          <w:strike/>
          <w:szCs w:val="24"/>
          <w:lang w:val="en-GB" w:eastAsia="en-US"/>
        </w:rPr>
        <w:t xml:space="preserve">nepieciešamība noteikt konkrētākas prasības, lai nodrošinātu, ka neveselīgas augsnes tiek atveseļotas </w:t>
      </w:r>
      <w:proofErr w:type="gramStart"/>
      <w:r w:rsidRPr="00EB04F1">
        <w:rPr>
          <w:strike/>
          <w:szCs w:val="24"/>
          <w:lang w:val="en-GB" w:eastAsia="en-US"/>
        </w:rPr>
        <w:t>un</w:t>
      </w:r>
      <w:proofErr w:type="gramEnd"/>
      <w:r w:rsidRPr="00EB04F1">
        <w:rPr>
          <w:strike/>
          <w:szCs w:val="24"/>
          <w:lang w:val="en-GB" w:eastAsia="en-US"/>
        </w:rPr>
        <w:t xml:space="preserve"> tiek sasniegts mērķis</w:t>
      </w:r>
      <w:r w:rsidRPr="00EB04F1">
        <w:rPr>
          <w:b/>
          <w:i/>
          <w:szCs w:val="24"/>
          <w:lang w:val="en-GB" w:eastAsia="en-US"/>
        </w:rPr>
        <w:t>iztrūkums un pasākumi, kas vajadzīgi, lai</w:t>
      </w:r>
      <w:r w:rsidRPr="00EB04F1">
        <w:rPr>
          <w:szCs w:val="24"/>
          <w:lang w:val="en-GB" w:eastAsia="en-US"/>
        </w:rPr>
        <w:t xml:space="preserve"> līdz 2050. </w:t>
      </w:r>
      <w:proofErr w:type="gramStart"/>
      <w:r w:rsidRPr="00EB04F1">
        <w:rPr>
          <w:szCs w:val="24"/>
          <w:lang w:val="en-GB" w:eastAsia="en-US"/>
        </w:rPr>
        <w:t>gadam</w:t>
      </w:r>
      <w:proofErr w:type="gramEnd"/>
      <w:r w:rsidRPr="00EB04F1">
        <w:rPr>
          <w:szCs w:val="24"/>
          <w:lang w:val="en-GB" w:eastAsia="en-US"/>
        </w:rPr>
        <w:t xml:space="preserve"> </w:t>
      </w:r>
      <w:r w:rsidRPr="00EB04F1">
        <w:rPr>
          <w:strike/>
          <w:szCs w:val="24"/>
          <w:lang w:val="en-GB" w:eastAsia="en-US"/>
        </w:rPr>
        <w:t>panākt</w:t>
      </w:r>
      <w:r w:rsidRPr="00EB04F1">
        <w:rPr>
          <w:b/>
          <w:i/>
          <w:szCs w:val="24"/>
          <w:lang w:val="en-GB" w:eastAsia="en-US"/>
        </w:rPr>
        <w:t>panāktu</w:t>
      </w:r>
      <w:r w:rsidRPr="00EB04F1">
        <w:rPr>
          <w:szCs w:val="24"/>
          <w:lang w:val="en-GB" w:eastAsia="en-US"/>
        </w:rPr>
        <w:t xml:space="preserve">, ka augsnes ir veselīgas. Izvērtējumā būtu arī jānovērtē nepieciešamība veselīgas augsnes definīciju pielāgot zinātnes un tehnikas attīstībai, pievienojot noteikumus par noteiktiem deskriptoriem vai kritērijiem, kuru pamatā būtu jauni zinātniski pierādījumi par augsnes aizsardzību vai dalībvalstij specifiska problēma, kuras cēlonis ir jauni vides vai klimatiskie apstākļi. Ievērojot Iestāžu nolīguma par labāku likumdošanas procesu 22. </w:t>
      </w:r>
      <w:proofErr w:type="gramStart"/>
      <w:r w:rsidRPr="00EB04F1">
        <w:rPr>
          <w:szCs w:val="24"/>
          <w:lang w:val="en-GB" w:eastAsia="en-US"/>
        </w:rPr>
        <w:t>punktu</w:t>
      </w:r>
      <w:proofErr w:type="gramEnd"/>
      <w:r w:rsidRPr="00EB04F1">
        <w:rPr>
          <w:szCs w:val="24"/>
          <w:lang w:val="en-GB" w:eastAsia="en-US"/>
        </w:rPr>
        <w:t>, minētajam izvērtējumam būtu jābalstās uz kritērijiem, proti, efektivitāte, lietderība, būtiskums, saskaņotība un ES pievienotā vērtība, un tam vajadzētu būt iespējamo tālāko pasākumu ietekmes novērtējumu pamatā.</w:t>
      </w:r>
      <w:r w:rsidR="0008779A" w:rsidRPr="00EB04F1">
        <w:rPr>
          <w:b/>
          <w:szCs w:val="24"/>
          <w:lang w:val="en-GB" w:eastAsia="en-US"/>
        </w:rPr>
        <w:t xml:space="preserve"> [Gr. 41]</w:t>
      </w:r>
    </w:p>
    <w:p w14:paraId="4B53084B" w14:textId="77777777" w:rsidR="0008779A" w:rsidRPr="00EB04F1" w:rsidRDefault="0008779A">
      <w:pPr>
        <w:widowControl/>
        <w:rPr>
          <w:szCs w:val="24"/>
          <w:lang w:val="en-GB" w:eastAsia="en-US"/>
        </w:rPr>
      </w:pPr>
      <w:r w:rsidRPr="00EB04F1">
        <w:rPr>
          <w:szCs w:val="24"/>
          <w:lang w:val="en-GB" w:eastAsia="en-US"/>
        </w:rPr>
        <w:br w:type="page"/>
      </w:r>
    </w:p>
    <w:p w14:paraId="334652DE" w14:textId="67DE042C"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lastRenderedPageBreak/>
        <w:t>(54)</w:t>
      </w:r>
      <w:r w:rsidRPr="00EB04F1">
        <w:rPr>
          <w:szCs w:val="24"/>
          <w:lang w:val="en-GB" w:eastAsia="en-US"/>
        </w:rPr>
        <w:tab/>
        <w:t xml:space="preserve">Lai līdz 2050. </w:t>
      </w:r>
      <w:proofErr w:type="gramStart"/>
      <w:r w:rsidRPr="00EB04F1">
        <w:rPr>
          <w:szCs w:val="24"/>
          <w:lang w:val="en-GB" w:eastAsia="en-US"/>
        </w:rPr>
        <w:t>gadam</w:t>
      </w:r>
      <w:proofErr w:type="gramEnd"/>
      <w:r w:rsidRPr="00EB04F1">
        <w:rPr>
          <w:szCs w:val="24"/>
          <w:lang w:val="en-GB" w:eastAsia="en-US"/>
        </w:rPr>
        <w:t xml:space="preserve"> panāktu, ka visas augsnes ir veselīgas, un lai nodrošinātu, ka augsnes visā Savienībā ilgtermiņā sniedz ekosistēmu pakalpojumus, ir vajadzīgi visu dalībvalstu koordinēti pasākumi. Atsevišķa dalībvalstu rīkošanās ir izrādījusies nepietiekama, </w:t>
      </w:r>
      <w:proofErr w:type="gramStart"/>
      <w:r w:rsidRPr="00EB04F1">
        <w:rPr>
          <w:szCs w:val="24"/>
          <w:lang w:val="en-GB" w:eastAsia="en-US"/>
        </w:rPr>
        <w:t>jo</w:t>
      </w:r>
      <w:proofErr w:type="gramEnd"/>
      <w:r w:rsidRPr="00EB04F1">
        <w:rPr>
          <w:szCs w:val="24"/>
          <w:lang w:val="en-GB" w:eastAsia="en-US"/>
        </w:rPr>
        <w:t xml:space="preserve"> augsnes degradācija turpinās un to stāvoklis pat pasliktinās. Ņemot vērā to, ka šīs direktīvas mērķus nevar pietiekami labi sasniegt atsevišķās dalībvalstīs, bet tās mēroga un iedarbības dēļ šos mērķus var labāk sasniegt Savienības līmenī, Savienība var pieņemt pasākumus saskaņā ar Līgumu par Eiropas Savienību 5. </w:t>
      </w:r>
      <w:proofErr w:type="gramStart"/>
      <w:r w:rsidRPr="00EB04F1">
        <w:rPr>
          <w:szCs w:val="24"/>
          <w:lang w:val="en-GB" w:eastAsia="en-US"/>
        </w:rPr>
        <w:t>pantā</w:t>
      </w:r>
      <w:proofErr w:type="gramEnd"/>
      <w:r w:rsidRPr="00EB04F1">
        <w:rPr>
          <w:szCs w:val="24"/>
          <w:lang w:val="en-GB" w:eastAsia="en-US"/>
        </w:rPr>
        <w:t xml:space="preserve"> noteikto subsidiaritātes principu. Saskaņā ar minētajā pantā noteikto proporcionalitātes principu šajā direktīvā paredz vienīgi tos pasākumus, kas ir vajadzīgi minēto mērķu sasniegšanai.</w:t>
      </w:r>
    </w:p>
    <w:p w14:paraId="2BE5F05B"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(55)</w:t>
      </w:r>
      <w:r w:rsidRPr="00EB04F1">
        <w:rPr>
          <w:szCs w:val="24"/>
          <w:lang w:val="en-GB" w:eastAsia="en-US"/>
        </w:rPr>
        <w:tab/>
        <w:t xml:space="preserve">Saskaņā ar Dalībvalstu </w:t>
      </w:r>
      <w:proofErr w:type="gramStart"/>
      <w:r w:rsidRPr="00EB04F1">
        <w:rPr>
          <w:szCs w:val="24"/>
          <w:lang w:val="en-GB" w:eastAsia="en-US"/>
        </w:rPr>
        <w:t>un</w:t>
      </w:r>
      <w:proofErr w:type="gramEnd"/>
      <w:r w:rsidRPr="00EB04F1">
        <w:rPr>
          <w:szCs w:val="24"/>
          <w:lang w:val="en-GB" w:eastAsia="en-US"/>
        </w:rPr>
        <w:t xml:space="preserve"> Komisijas 2011. </w:t>
      </w:r>
      <w:proofErr w:type="gramStart"/>
      <w:r w:rsidRPr="00EB04F1">
        <w:rPr>
          <w:szCs w:val="24"/>
          <w:lang w:val="en-GB" w:eastAsia="en-US"/>
        </w:rPr>
        <w:t>gada</w:t>
      </w:r>
      <w:proofErr w:type="gramEnd"/>
      <w:r w:rsidRPr="00EB04F1">
        <w:rPr>
          <w:szCs w:val="24"/>
          <w:lang w:val="en-GB" w:eastAsia="en-US"/>
        </w:rPr>
        <w:t xml:space="preserve"> 28. </w:t>
      </w:r>
      <w:proofErr w:type="gramStart"/>
      <w:r w:rsidRPr="00EB04F1">
        <w:rPr>
          <w:szCs w:val="24"/>
          <w:lang w:val="en-GB" w:eastAsia="en-US"/>
        </w:rPr>
        <w:t>septembra</w:t>
      </w:r>
      <w:proofErr w:type="gramEnd"/>
      <w:r w:rsidRPr="00EB04F1">
        <w:rPr>
          <w:szCs w:val="24"/>
          <w:lang w:val="en-GB" w:eastAsia="en-US"/>
        </w:rPr>
        <w:t xml:space="preserve"> kopīgo politisko deklarāciju par skaidrojošiem dokumentiem</w:t>
      </w:r>
      <w:r w:rsidRPr="00EB04F1">
        <w:rPr>
          <w:szCs w:val="24"/>
          <w:vertAlign w:val="superscript"/>
          <w:lang w:val="en-GB" w:eastAsia="en-US"/>
        </w:rPr>
        <w:footnoteReference w:id="47"/>
      </w:r>
      <w:r w:rsidRPr="00EB04F1">
        <w:rPr>
          <w:szCs w:val="24"/>
          <w:lang w:val="en-GB" w:eastAsia="en-US"/>
        </w:rPr>
        <w:t xml:space="preserve"> dalībvalstis ir apņēmušās, paziņojot savus transponēšanas pasākumus, pamatotos gadījumos pievienot vienu vai vairākus dokumentus, kuros paskaidrota saikne starp direktīvas sastāvdaļām un atbilstīgajām daļām valsts pieņemtos transponēšanas instrumentos. Attiecībā uz šo direktīvu likumdevējs uzskata, ka šādu dokumentu nosūtīšana ir pamatota,</w:t>
      </w:r>
    </w:p>
    <w:p w14:paraId="6D42D875" w14:textId="77777777" w:rsidR="0008779A" w:rsidRPr="00EB04F1" w:rsidRDefault="0008779A">
      <w:pPr>
        <w:widowControl/>
        <w:rPr>
          <w:b/>
          <w:i/>
          <w:szCs w:val="24"/>
          <w:lang w:val="en-GB" w:eastAsia="en-US"/>
        </w:rPr>
      </w:pPr>
      <w:r w:rsidRPr="00EB04F1">
        <w:rPr>
          <w:b/>
          <w:i/>
          <w:szCs w:val="24"/>
          <w:lang w:val="en-GB" w:eastAsia="en-US"/>
        </w:rPr>
        <w:br w:type="page"/>
      </w:r>
    </w:p>
    <w:p w14:paraId="2F42A781" w14:textId="15C8BB1A" w:rsidR="00DA4F3E" w:rsidRPr="00EB04F1" w:rsidRDefault="0008779A" w:rsidP="00DA4F3E">
      <w:pPr>
        <w:spacing w:before="120" w:after="120" w:line="360" w:lineRule="auto"/>
        <w:ind w:left="850" w:hanging="850"/>
        <w:rPr>
          <w:b/>
          <w:szCs w:val="24"/>
          <w:lang w:val="en-GB" w:eastAsia="en-US"/>
        </w:rPr>
      </w:pPr>
      <w:r w:rsidRPr="00EB04F1">
        <w:rPr>
          <w:b/>
          <w:i/>
          <w:szCs w:val="24"/>
          <w:lang w:eastAsia="en-US"/>
        </w:rPr>
        <w:lastRenderedPageBreak/>
        <w:t>(55a)</w:t>
      </w:r>
      <w:r w:rsidR="00DA4F3E" w:rsidRPr="00EB04F1">
        <w:rPr>
          <w:szCs w:val="24"/>
          <w:lang w:val="en-GB" w:eastAsia="en-US"/>
        </w:rPr>
        <w:tab/>
      </w:r>
      <w:r w:rsidR="00DA4F3E" w:rsidRPr="00EB04F1">
        <w:rPr>
          <w:b/>
          <w:i/>
          <w:szCs w:val="24"/>
          <w:lang w:val="en-GB" w:eastAsia="en-US"/>
        </w:rPr>
        <w:t xml:space="preserve">Šīs direktīvas mērķis ir līdz 2050. </w:t>
      </w:r>
      <w:proofErr w:type="gramStart"/>
      <w:r w:rsidR="00DA4F3E" w:rsidRPr="00EB04F1">
        <w:rPr>
          <w:b/>
          <w:i/>
          <w:szCs w:val="24"/>
          <w:lang w:val="en-GB" w:eastAsia="en-US"/>
        </w:rPr>
        <w:t>gadam</w:t>
      </w:r>
      <w:proofErr w:type="gramEnd"/>
      <w:r w:rsidR="00DA4F3E" w:rsidRPr="00EB04F1">
        <w:rPr>
          <w:b/>
          <w:i/>
          <w:szCs w:val="24"/>
          <w:lang w:val="en-GB" w:eastAsia="en-US"/>
        </w:rPr>
        <w:t xml:space="preserve"> sasniegt ilgtermiņa mērķi par veselīgu augsni Savienībā, pamatojoties uz saskaņotu augsnes monitoringa un tās veselības uzlabošanas satvaru. Ņemot </w:t>
      </w:r>
      <w:proofErr w:type="gramStart"/>
      <w:r w:rsidR="00DA4F3E" w:rsidRPr="00EB04F1">
        <w:rPr>
          <w:b/>
          <w:i/>
          <w:szCs w:val="24"/>
          <w:lang w:val="en-GB" w:eastAsia="en-US"/>
        </w:rPr>
        <w:t>vērā</w:t>
      </w:r>
      <w:proofErr w:type="gramEnd"/>
      <w:r w:rsidR="00DA4F3E" w:rsidRPr="00EB04F1">
        <w:rPr>
          <w:b/>
          <w:i/>
          <w:szCs w:val="24"/>
          <w:lang w:val="en-GB" w:eastAsia="en-US"/>
        </w:rPr>
        <w:t xml:space="preserve"> šā akta kā direktīvas raksturu, saskaņā ar Līguma par Eiropas Savienības darbību 288. </w:t>
      </w:r>
      <w:proofErr w:type="gramStart"/>
      <w:r w:rsidR="00DA4F3E" w:rsidRPr="00EB04F1">
        <w:rPr>
          <w:b/>
          <w:i/>
          <w:szCs w:val="24"/>
          <w:lang w:val="en-GB" w:eastAsia="en-US"/>
        </w:rPr>
        <w:t>pantu</w:t>
      </w:r>
      <w:proofErr w:type="gramEnd"/>
      <w:r w:rsidR="00DA4F3E" w:rsidRPr="00EB04F1">
        <w:rPr>
          <w:b/>
          <w:i/>
          <w:szCs w:val="24"/>
          <w:lang w:val="en-GB" w:eastAsia="en-US"/>
        </w:rPr>
        <w:t xml:space="preserve"> šī direktīva ir saistoša attiecībā uz rezultātu, kas ir jāpanāk dalībvalstīs, kurām tā ir adresēta, vienlaikus valstu iestādēm paturot pilnvaras izvēlēties rezultāta sasniegšanas veidu un metodes. Tādēļ dalībvalstis pašas varēs izstrādāt savus tiesību aktus par to, kā sasniegt šajā direktīvā noteiktos mērķus. Ierosinātais juridiskais instruments ir direktīva, kas dalībvalstīm ļauj pietiekami brīvi izvēlēties piemērotākos pasākumus </w:t>
      </w:r>
      <w:proofErr w:type="gramStart"/>
      <w:r w:rsidR="00DA4F3E" w:rsidRPr="00EB04F1">
        <w:rPr>
          <w:b/>
          <w:i/>
          <w:szCs w:val="24"/>
          <w:lang w:val="en-GB" w:eastAsia="en-US"/>
        </w:rPr>
        <w:t>un</w:t>
      </w:r>
      <w:proofErr w:type="gramEnd"/>
      <w:r w:rsidR="00DA4F3E" w:rsidRPr="00EB04F1">
        <w:rPr>
          <w:b/>
          <w:i/>
          <w:szCs w:val="24"/>
          <w:lang w:val="en-GB" w:eastAsia="en-US"/>
        </w:rPr>
        <w:t xml:space="preserve"> pieņemt vietējiem apstākļiem atbilstīgu pieeju. </w:t>
      </w:r>
      <w:proofErr w:type="gramStart"/>
      <w:r w:rsidR="00DA4F3E" w:rsidRPr="00EB04F1">
        <w:rPr>
          <w:b/>
          <w:i/>
          <w:szCs w:val="24"/>
          <w:lang w:val="en-GB" w:eastAsia="en-US"/>
        </w:rPr>
        <w:t>Tas</w:t>
      </w:r>
      <w:proofErr w:type="gramEnd"/>
      <w:r w:rsidR="00DA4F3E" w:rsidRPr="00EB04F1">
        <w:rPr>
          <w:b/>
          <w:i/>
          <w:szCs w:val="24"/>
          <w:lang w:val="en-GB" w:eastAsia="en-US"/>
        </w:rPr>
        <w:t xml:space="preserve"> ir ļoti svarīgi, lai ņemtu vērā reģionālās un vietējās īpatnības saistībā ar augsnes mainību, zemes izmantojumu, klimatiskajiem apstākļiem un sociālekonomiskos apstākļus. Instrumenta raksturs nozīmē, ka šajā direktīvā noteiktie principi neuzliek tiešus pienākumus indivīdiem.</w:t>
      </w:r>
      <w:r w:rsidRPr="00EB04F1">
        <w:rPr>
          <w:b/>
          <w:szCs w:val="24"/>
          <w:lang w:val="en-GB" w:eastAsia="en-US"/>
        </w:rPr>
        <w:t xml:space="preserve"> [Gr. 42]</w:t>
      </w:r>
    </w:p>
    <w:p w14:paraId="2B20CE8A" w14:textId="77777777" w:rsidR="00DA4F3E" w:rsidRPr="00EB04F1" w:rsidRDefault="00DA4F3E" w:rsidP="00DA4F3E">
      <w:pPr>
        <w:keepNext/>
        <w:widowControl/>
        <w:spacing w:before="120" w:after="120" w:line="360" w:lineRule="auto"/>
        <w:rPr>
          <w:szCs w:val="24"/>
          <w:lang w:val="en-GB" w:eastAsia="en-US"/>
        </w:rPr>
      </w:pPr>
      <w:r w:rsidRPr="00EB04F1">
        <w:rPr>
          <w:szCs w:val="24"/>
          <w:lang w:val="en-GB" w:eastAsia="en-US"/>
        </w:rPr>
        <w:t>IR PIEŅĒMUŠI ŠO DIREKTĪVU.</w:t>
      </w:r>
    </w:p>
    <w:p w14:paraId="375A66F4" w14:textId="77777777" w:rsidR="0008779A" w:rsidRPr="00EB04F1" w:rsidRDefault="0008779A">
      <w:pPr>
        <w:widowControl/>
        <w:rPr>
          <w:szCs w:val="24"/>
          <w:lang w:val="en-GB" w:eastAsia="en-US"/>
        </w:rPr>
      </w:pPr>
      <w:r w:rsidRPr="00EB04F1">
        <w:rPr>
          <w:szCs w:val="24"/>
          <w:lang w:val="en-GB" w:eastAsia="en-US"/>
        </w:rPr>
        <w:br w:type="page"/>
      </w:r>
    </w:p>
    <w:p w14:paraId="24A05356" w14:textId="50BE80A7" w:rsidR="00DA4F3E" w:rsidRPr="00EB04F1" w:rsidRDefault="00DA4F3E" w:rsidP="00DA4F3E">
      <w:pPr>
        <w:spacing w:before="120" w:after="120" w:line="360" w:lineRule="auto"/>
        <w:jc w:val="center"/>
        <w:rPr>
          <w:szCs w:val="24"/>
          <w:lang w:val="en-GB" w:eastAsia="en-US"/>
        </w:rPr>
      </w:pPr>
      <w:r w:rsidRPr="00EB04F1">
        <w:rPr>
          <w:szCs w:val="24"/>
          <w:lang w:val="en-GB" w:eastAsia="en-US"/>
        </w:rPr>
        <w:lastRenderedPageBreak/>
        <w:t>I nodaļa</w:t>
      </w:r>
      <w:r w:rsidRPr="00EB04F1">
        <w:rPr>
          <w:szCs w:val="24"/>
          <w:lang w:val="en-GB" w:eastAsia="en-US"/>
        </w:rPr>
        <w:br/>
        <w:t>Vispārīgi noteikumi</w:t>
      </w:r>
    </w:p>
    <w:p w14:paraId="35A9BD7E" w14:textId="77777777" w:rsidR="00DA4F3E" w:rsidRPr="00EB04F1" w:rsidRDefault="00DA4F3E" w:rsidP="00DA4F3E">
      <w:pPr>
        <w:spacing w:before="120" w:after="120" w:line="360" w:lineRule="auto"/>
        <w:jc w:val="center"/>
        <w:rPr>
          <w:szCs w:val="24"/>
          <w:lang w:val="en-GB" w:eastAsia="en-US"/>
        </w:rPr>
      </w:pPr>
      <w:r w:rsidRPr="00EB04F1">
        <w:rPr>
          <w:szCs w:val="24"/>
          <w:lang w:val="en-GB" w:eastAsia="en-US"/>
        </w:rPr>
        <w:t xml:space="preserve">1. </w:t>
      </w:r>
      <w:proofErr w:type="gramStart"/>
      <w:r w:rsidRPr="00EB04F1">
        <w:rPr>
          <w:szCs w:val="24"/>
          <w:lang w:val="en-GB" w:eastAsia="en-US"/>
        </w:rPr>
        <w:t>pants</w:t>
      </w:r>
      <w:proofErr w:type="gramEnd"/>
      <w:r w:rsidRPr="00EB04F1">
        <w:rPr>
          <w:szCs w:val="24"/>
          <w:lang w:val="en-GB" w:eastAsia="en-US"/>
        </w:rPr>
        <w:br/>
        <w:t>Mērķis un priekšmets</w:t>
      </w:r>
    </w:p>
    <w:p w14:paraId="4BD76DE7"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1.</w:t>
      </w:r>
      <w:r w:rsidRPr="00EB04F1">
        <w:rPr>
          <w:szCs w:val="24"/>
          <w:lang w:val="en-GB" w:eastAsia="en-US"/>
        </w:rPr>
        <w:tab/>
        <w:t xml:space="preserve">Direktīvas mērķis ir izveidot </w:t>
      </w:r>
      <w:r w:rsidRPr="00EB04F1">
        <w:rPr>
          <w:b/>
          <w:i/>
          <w:szCs w:val="24"/>
          <w:lang w:val="en-GB" w:eastAsia="en-US"/>
        </w:rPr>
        <w:t xml:space="preserve">skaidru, </w:t>
      </w:r>
      <w:r w:rsidRPr="00EB04F1">
        <w:rPr>
          <w:szCs w:val="24"/>
          <w:lang w:val="en-GB" w:eastAsia="en-US"/>
        </w:rPr>
        <w:t>stabilu</w:t>
      </w:r>
      <w:r w:rsidRPr="00EB04F1">
        <w:rPr>
          <w:strike/>
          <w:szCs w:val="24"/>
          <w:lang w:val="en-GB" w:eastAsia="en-US"/>
        </w:rPr>
        <w:t xml:space="preserve"> </w:t>
      </w:r>
      <w:proofErr w:type="gramStart"/>
      <w:r w:rsidRPr="00EB04F1">
        <w:rPr>
          <w:strike/>
          <w:szCs w:val="24"/>
          <w:lang w:val="en-GB" w:eastAsia="en-US"/>
        </w:rPr>
        <w:t>un</w:t>
      </w:r>
      <w:proofErr w:type="gramEnd"/>
      <w:r w:rsidRPr="00EB04F1">
        <w:rPr>
          <w:b/>
          <w:i/>
          <w:szCs w:val="24"/>
          <w:lang w:val="en-GB" w:eastAsia="en-US"/>
        </w:rPr>
        <w:t>,</w:t>
      </w:r>
      <w:r w:rsidRPr="00EB04F1">
        <w:rPr>
          <w:szCs w:val="24"/>
          <w:lang w:val="en-GB" w:eastAsia="en-US"/>
        </w:rPr>
        <w:t xml:space="preserve"> saskanīgu</w:t>
      </w:r>
      <w:r w:rsidRPr="00EB04F1">
        <w:rPr>
          <w:b/>
          <w:i/>
          <w:szCs w:val="24"/>
          <w:lang w:val="en-GB" w:eastAsia="en-US"/>
        </w:rPr>
        <w:t xml:space="preserve"> un elastīgu</w:t>
      </w:r>
      <w:r w:rsidRPr="00EB04F1">
        <w:rPr>
          <w:szCs w:val="24"/>
          <w:lang w:val="en-GB" w:eastAsia="en-US"/>
        </w:rPr>
        <w:t xml:space="preserve"> augsnes monitoringa</w:t>
      </w:r>
      <w:r w:rsidRPr="00EB04F1">
        <w:rPr>
          <w:b/>
          <w:i/>
          <w:szCs w:val="24"/>
          <w:lang w:val="en-GB" w:eastAsia="en-US"/>
        </w:rPr>
        <w:t xml:space="preserve"> un novērtēšanas</w:t>
      </w:r>
      <w:r w:rsidRPr="00EB04F1">
        <w:rPr>
          <w:szCs w:val="24"/>
          <w:lang w:val="en-GB" w:eastAsia="en-US"/>
        </w:rPr>
        <w:t xml:space="preserve"> satvaru visas ES augšņu monitoringam</w:t>
      </w:r>
      <w:r w:rsidRPr="00EB04F1">
        <w:rPr>
          <w:b/>
          <w:i/>
          <w:szCs w:val="24"/>
          <w:lang w:val="en-GB" w:eastAsia="en-US"/>
        </w:rPr>
        <w:t>, lai</w:t>
      </w:r>
      <w:r w:rsidRPr="00EB04F1">
        <w:rPr>
          <w:strike/>
          <w:szCs w:val="24"/>
          <w:lang w:val="en-GB" w:eastAsia="en-US"/>
        </w:rPr>
        <w:t xml:space="preserve"> un</w:t>
      </w:r>
      <w:r w:rsidRPr="00EB04F1">
        <w:rPr>
          <w:szCs w:val="24"/>
          <w:lang w:val="en-GB" w:eastAsia="en-US"/>
        </w:rPr>
        <w:t xml:space="preserve"> Savienībā pastāvīgi </w:t>
      </w:r>
      <w:r w:rsidRPr="00EB04F1">
        <w:rPr>
          <w:strike/>
          <w:szCs w:val="24"/>
          <w:lang w:val="en-GB" w:eastAsia="en-US"/>
        </w:rPr>
        <w:t>uzlabot</w:t>
      </w:r>
      <w:r w:rsidRPr="00EB04F1">
        <w:rPr>
          <w:b/>
          <w:i/>
          <w:szCs w:val="24"/>
          <w:lang w:val="en-GB" w:eastAsia="en-US"/>
        </w:rPr>
        <w:t>uzlabotu</w:t>
      </w:r>
      <w:r w:rsidRPr="00EB04F1">
        <w:rPr>
          <w:szCs w:val="24"/>
          <w:lang w:val="en-GB" w:eastAsia="en-US"/>
        </w:rPr>
        <w:t xml:space="preserve"> augsnes veselību</w:t>
      </w:r>
      <w:r w:rsidRPr="00EB04F1">
        <w:rPr>
          <w:strike/>
          <w:szCs w:val="24"/>
          <w:lang w:val="en-GB" w:eastAsia="en-US"/>
        </w:rPr>
        <w:t>, lai</w:t>
      </w:r>
      <w:r w:rsidRPr="00EB04F1">
        <w:rPr>
          <w:b/>
          <w:i/>
          <w:szCs w:val="24"/>
          <w:lang w:val="en-GB" w:eastAsia="en-US"/>
        </w:rPr>
        <w:t xml:space="preserve"> nolūkā</w:t>
      </w:r>
      <w:r w:rsidRPr="00EB04F1">
        <w:rPr>
          <w:szCs w:val="24"/>
          <w:lang w:val="en-GB" w:eastAsia="en-US"/>
        </w:rPr>
        <w:t xml:space="preserve"> 2050. </w:t>
      </w:r>
      <w:proofErr w:type="gramStart"/>
      <w:r w:rsidRPr="00EB04F1">
        <w:rPr>
          <w:szCs w:val="24"/>
          <w:lang w:val="en-GB" w:eastAsia="en-US"/>
        </w:rPr>
        <w:t xml:space="preserve">gada perspektīvā </w:t>
      </w:r>
      <w:r w:rsidRPr="00EB04F1">
        <w:rPr>
          <w:strike/>
          <w:szCs w:val="24"/>
          <w:lang w:val="en-GB" w:eastAsia="en-US"/>
        </w:rPr>
        <w:t>panāktu</w:t>
      </w:r>
      <w:r w:rsidRPr="00EB04F1">
        <w:rPr>
          <w:b/>
          <w:i/>
          <w:szCs w:val="24"/>
          <w:lang w:val="en-GB" w:eastAsia="en-US"/>
        </w:rPr>
        <w:t>panākt</w:t>
      </w:r>
      <w:r w:rsidRPr="00EB04F1">
        <w:rPr>
          <w:szCs w:val="24"/>
          <w:lang w:val="en-GB" w:eastAsia="en-US"/>
        </w:rPr>
        <w:t xml:space="preserve"> veselīgas augsnes un augsnes arī </w:t>
      </w:r>
      <w:r w:rsidRPr="00EB04F1">
        <w:rPr>
          <w:strike/>
          <w:szCs w:val="24"/>
          <w:lang w:val="en-GB" w:eastAsia="en-US"/>
        </w:rPr>
        <w:t>saglabātu</w:t>
      </w:r>
      <w:r w:rsidRPr="00EB04F1">
        <w:rPr>
          <w:b/>
          <w:i/>
          <w:szCs w:val="24"/>
          <w:lang w:val="en-GB" w:eastAsia="en-US"/>
        </w:rPr>
        <w:t>saglabāt</w:t>
      </w:r>
      <w:r w:rsidRPr="00EB04F1">
        <w:rPr>
          <w:szCs w:val="24"/>
          <w:lang w:val="en-GB" w:eastAsia="en-US"/>
        </w:rPr>
        <w:t xml:space="preserve"> veselīgas</w:t>
      </w:r>
      <w:r w:rsidRPr="00EB04F1">
        <w:rPr>
          <w:b/>
          <w:i/>
          <w:szCs w:val="24"/>
          <w:lang w:val="en-GB" w:eastAsia="en-US"/>
        </w:rPr>
        <w:t xml:space="preserve"> un nepieļaut to pasliktināšanos</w:t>
      </w:r>
      <w:r w:rsidRPr="00EB04F1">
        <w:rPr>
          <w:szCs w:val="24"/>
          <w:lang w:val="en-GB" w:eastAsia="en-US"/>
        </w:rPr>
        <w:t>, lai tās spētu sniegt dažādus ekosistēmu pakalpojumus tādā apmērā, kas ir pietiekams vides, sabiedrības un ekonomikas vajadzību apmierināšanai, novērst un mīkstināt klimata pārmaiņu un biodaudzveidības izzušanas ietekmi, palielināt noturību pret dabas katastrofām un noturību, kas vajadzīga nodrošinātībai ar pārtiku, kā arī samazināt augsnes kontamināciju līdz līmenim, kas vairs nebūtu uzskatāms par kaitīgu cilvēka veselībai un videi.</w:t>
      </w:r>
      <w:proofErr w:type="gramEnd"/>
    </w:p>
    <w:p w14:paraId="22A01CAC" w14:textId="6939C090" w:rsidR="00DA4F3E" w:rsidRPr="00EB04F1" w:rsidRDefault="00DA4F3E" w:rsidP="00DA4F3E">
      <w:pPr>
        <w:spacing w:before="120" w:after="120" w:line="360" w:lineRule="auto"/>
        <w:ind w:left="850"/>
        <w:rPr>
          <w:b/>
          <w:szCs w:val="24"/>
          <w:lang w:val="en-GB" w:eastAsia="en-US"/>
        </w:rPr>
      </w:pPr>
      <w:r w:rsidRPr="00EB04F1">
        <w:rPr>
          <w:b/>
          <w:i/>
          <w:szCs w:val="24"/>
          <w:lang w:val="en-GB" w:eastAsia="en-US"/>
        </w:rPr>
        <w:t xml:space="preserve">Tādēļ ar šo direktīvu tiek noteikts satvars, </w:t>
      </w:r>
      <w:proofErr w:type="gramStart"/>
      <w:r w:rsidRPr="00EB04F1">
        <w:rPr>
          <w:b/>
          <w:i/>
          <w:szCs w:val="24"/>
          <w:lang w:val="en-GB" w:eastAsia="en-US"/>
        </w:rPr>
        <w:t>kurā</w:t>
      </w:r>
      <w:proofErr w:type="gramEnd"/>
      <w:r w:rsidRPr="00EB04F1">
        <w:rPr>
          <w:b/>
          <w:i/>
          <w:szCs w:val="24"/>
          <w:lang w:val="en-GB" w:eastAsia="en-US"/>
        </w:rPr>
        <w:t xml:space="preserve"> dalībvalstīm ir jāievieš pasākumi, kas ir tehniski iespējami un balstās uz izmaksu un ieguvumu analīzi, lai līdz 2050. </w:t>
      </w:r>
      <w:proofErr w:type="gramStart"/>
      <w:r w:rsidRPr="00EB04F1">
        <w:rPr>
          <w:b/>
          <w:i/>
          <w:szCs w:val="24"/>
          <w:lang w:val="en-GB" w:eastAsia="en-US"/>
        </w:rPr>
        <w:t>gadam</w:t>
      </w:r>
      <w:proofErr w:type="gramEnd"/>
      <w:r w:rsidRPr="00EB04F1">
        <w:rPr>
          <w:b/>
          <w:i/>
          <w:szCs w:val="24"/>
          <w:lang w:val="en-GB" w:eastAsia="en-US"/>
        </w:rPr>
        <w:t xml:space="preserve"> panāktu, ka augsnes ir veselas.</w:t>
      </w:r>
      <w:r w:rsidR="0008779A" w:rsidRPr="00EB04F1">
        <w:rPr>
          <w:b/>
          <w:szCs w:val="24"/>
          <w:lang w:val="en-GB" w:eastAsia="en-US"/>
        </w:rPr>
        <w:t xml:space="preserve"> [Gr. 43]</w:t>
      </w:r>
    </w:p>
    <w:p w14:paraId="1692A23A" w14:textId="77777777" w:rsidR="0008779A" w:rsidRPr="00EB04F1" w:rsidRDefault="0008779A">
      <w:pPr>
        <w:widowControl/>
        <w:rPr>
          <w:b/>
          <w:i/>
          <w:szCs w:val="24"/>
          <w:lang w:val="en-GB" w:eastAsia="en-US"/>
        </w:rPr>
      </w:pPr>
      <w:r w:rsidRPr="00EB04F1">
        <w:rPr>
          <w:b/>
          <w:i/>
          <w:szCs w:val="24"/>
          <w:lang w:val="en-GB" w:eastAsia="en-US"/>
        </w:rPr>
        <w:br w:type="page"/>
      </w:r>
    </w:p>
    <w:p w14:paraId="7378BF95" w14:textId="12664D76" w:rsidR="00DA4F3E" w:rsidRPr="00EB04F1" w:rsidRDefault="00DA4F3E" w:rsidP="00DA4F3E">
      <w:pPr>
        <w:spacing w:before="120" w:after="120" w:line="360" w:lineRule="auto"/>
        <w:ind w:left="850" w:hanging="850"/>
        <w:rPr>
          <w:szCs w:val="24"/>
          <w:lang w:val="en-GB" w:eastAsia="en-US"/>
        </w:rPr>
      </w:pPr>
      <w:r w:rsidRPr="00EB04F1">
        <w:rPr>
          <w:b/>
          <w:i/>
          <w:szCs w:val="24"/>
          <w:lang w:val="en-GB" w:eastAsia="en-US"/>
        </w:rPr>
        <w:lastRenderedPageBreak/>
        <w:t>1a.</w:t>
      </w:r>
      <w:r w:rsidRPr="00EB04F1">
        <w:rPr>
          <w:szCs w:val="24"/>
          <w:lang w:val="en-GB" w:eastAsia="en-US"/>
        </w:rPr>
        <w:tab/>
      </w:r>
      <w:r w:rsidRPr="00EB04F1">
        <w:rPr>
          <w:b/>
          <w:i/>
          <w:szCs w:val="24"/>
          <w:lang w:val="en-GB" w:eastAsia="en-US"/>
        </w:rPr>
        <w:t xml:space="preserve">Šī direktīva palīdz izpildīt starptautiskās </w:t>
      </w:r>
      <w:proofErr w:type="gramStart"/>
      <w:r w:rsidRPr="00EB04F1">
        <w:rPr>
          <w:b/>
          <w:i/>
          <w:szCs w:val="24"/>
          <w:lang w:val="en-GB" w:eastAsia="en-US"/>
        </w:rPr>
        <w:t>un</w:t>
      </w:r>
      <w:proofErr w:type="gramEnd"/>
      <w:r w:rsidRPr="00EB04F1">
        <w:rPr>
          <w:b/>
          <w:i/>
          <w:szCs w:val="24"/>
          <w:lang w:val="en-GB" w:eastAsia="en-US"/>
        </w:rPr>
        <w:t xml:space="preserve"> Savienības līmeņa saistības, mērķus un centienus, cita starpā kā noteikts:</w:t>
      </w:r>
    </w:p>
    <w:p w14:paraId="7A5AB3CE" w14:textId="77777777" w:rsidR="00DA4F3E" w:rsidRPr="00EB04F1" w:rsidRDefault="00DA4F3E" w:rsidP="00DA4F3E">
      <w:pPr>
        <w:spacing w:before="120" w:after="120" w:line="360" w:lineRule="auto"/>
        <w:ind w:left="1416" w:hanging="566"/>
        <w:rPr>
          <w:szCs w:val="24"/>
          <w:lang w:val="en-GB" w:eastAsia="en-US"/>
        </w:rPr>
      </w:pPr>
      <w:r w:rsidRPr="00EB04F1">
        <w:rPr>
          <w:b/>
          <w:i/>
          <w:szCs w:val="24"/>
          <w:lang w:val="en-GB" w:eastAsia="en-US"/>
        </w:rPr>
        <w:t>a)</w:t>
      </w:r>
      <w:r w:rsidRPr="00EB04F1">
        <w:rPr>
          <w:szCs w:val="24"/>
          <w:lang w:val="en-GB" w:eastAsia="en-US"/>
        </w:rPr>
        <w:tab/>
      </w:r>
      <w:r w:rsidRPr="00EB04F1">
        <w:rPr>
          <w:b/>
          <w:i/>
          <w:szCs w:val="24"/>
          <w:lang w:val="en-GB" w:eastAsia="en-US"/>
        </w:rPr>
        <w:t>Kuņminas–Monreālas globālajā biodaudzveidības satvarā;</w:t>
      </w:r>
    </w:p>
    <w:p w14:paraId="04B0EFA2" w14:textId="77777777" w:rsidR="00DA4F3E" w:rsidRPr="00EB04F1" w:rsidRDefault="00DA4F3E" w:rsidP="00DA4F3E">
      <w:pPr>
        <w:spacing w:before="120" w:after="120" w:line="360" w:lineRule="auto"/>
        <w:ind w:left="1416" w:hanging="566"/>
        <w:rPr>
          <w:szCs w:val="24"/>
          <w:lang w:val="en-GB" w:eastAsia="en-US"/>
        </w:rPr>
      </w:pPr>
      <w:r w:rsidRPr="00EB04F1">
        <w:rPr>
          <w:b/>
          <w:i/>
          <w:szCs w:val="24"/>
          <w:lang w:val="en-GB" w:eastAsia="en-US"/>
        </w:rPr>
        <w:t>b)</w:t>
      </w:r>
      <w:r w:rsidRPr="00EB04F1">
        <w:rPr>
          <w:szCs w:val="24"/>
          <w:lang w:val="en-GB" w:eastAsia="en-US"/>
        </w:rPr>
        <w:tab/>
      </w:r>
      <w:r w:rsidRPr="00EB04F1">
        <w:rPr>
          <w:b/>
          <w:i/>
          <w:szCs w:val="24"/>
          <w:lang w:val="en-GB" w:eastAsia="en-US"/>
        </w:rPr>
        <w:t>Parīzes nolīgumā;</w:t>
      </w:r>
    </w:p>
    <w:p w14:paraId="12E5CED4" w14:textId="77777777" w:rsidR="00DA4F3E" w:rsidRPr="00EB04F1" w:rsidRDefault="00DA4F3E" w:rsidP="00DA4F3E">
      <w:pPr>
        <w:spacing w:before="120" w:after="120" w:line="360" w:lineRule="auto"/>
        <w:ind w:left="1416" w:hanging="566"/>
        <w:rPr>
          <w:szCs w:val="24"/>
          <w:lang w:val="en-GB" w:eastAsia="en-US"/>
        </w:rPr>
      </w:pPr>
      <w:r w:rsidRPr="00EB04F1">
        <w:rPr>
          <w:b/>
          <w:i/>
          <w:szCs w:val="24"/>
          <w:lang w:val="en-GB" w:eastAsia="en-US"/>
        </w:rPr>
        <w:t>c)</w:t>
      </w:r>
      <w:r w:rsidRPr="00EB04F1">
        <w:rPr>
          <w:szCs w:val="24"/>
          <w:lang w:val="en-GB" w:eastAsia="en-US"/>
        </w:rPr>
        <w:tab/>
      </w:r>
      <w:r w:rsidRPr="00EB04F1">
        <w:rPr>
          <w:b/>
          <w:i/>
          <w:szCs w:val="24"/>
          <w:lang w:val="en-GB" w:eastAsia="en-US"/>
        </w:rPr>
        <w:t>ANO Konvencijā par cīņu pret pārtuksnešošanos (UNCCD);</w:t>
      </w:r>
    </w:p>
    <w:p w14:paraId="153C5E9B" w14:textId="77777777" w:rsidR="00DA4F3E" w:rsidRPr="00EB04F1" w:rsidRDefault="00DA4F3E" w:rsidP="00DA4F3E">
      <w:pPr>
        <w:spacing w:before="120" w:after="120" w:line="360" w:lineRule="auto"/>
        <w:ind w:left="1416" w:hanging="566"/>
        <w:rPr>
          <w:szCs w:val="24"/>
          <w:lang w:val="en-GB" w:eastAsia="en-US"/>
        </w:rPr>
      </w:pPr>
      <w:r w:rsidRPr="00EB04F1">
        <w:rPr>
          <w:b/>
          <w:i/>
          <w:szCs w:val="24"/>
          <w:lang w:val="en-GB" w:eastAsia="en-US"/>
        </w:rPr>
        <w:t>d)</w:t>
      </w:r>
      <w:r w:rsidRPr="00EB04F1">
        <w:rPr>
          <w:szCs w:val="24"/>
          <w:lang w:val="en-GB" w:eastAsia="en-US"/>
        </w:rPr>
        <w:tab/>
      </w:r>
      <w:r w:rsidRPr="00EB04F1">
        <w:rPr>
          <w:b/>
          <w:i/>
          <w:szCs w:val="24"/>
          <w:lang w:val="en-GB" w:eastAsia="en-US"/>
        </w:rPr>
        <w:t xml:space="preserve">ES 7. </w:t>
      </w:r>
      <w:proofErr w:type="gramStart"/>
      <w:r w:rsidRPr="00EB04F1">
        <w:rPr>
          <w:b/>
          <w:i/>
          <w:szCs w:val="24"/>
          <w:lang w:val="en-GB" w:eastAsia="en-US"/>
        </w:rPr>
        <w:t>vides</w:t>
      </w:r>
      <w:proofErr w:type="gramEnd"/>
      <w:r w:rsidRPr="00EB04F1">
        <w:rPr>
          <w:b/>
          <w:i/>
          <w:szCs w:val="24"/>
          <w:lang w:val="en-GB" w:eastAsia="en-US"/>
        </w:rPr>
        <w:t xml:space="preserve"> rīcības programmā (Lēmums Nr. 1386/2013/ES);</w:t>
      </w:r>
    </w:p>
    <w:p w14:paraId="48060DA4" w14:textId="77777777" w:rsidR="00DA4F3E" w:rsidRPr="00EB04F1" w:rsidRDefault="00DA4F3E" w:rsidP="00DA4F3E">
      <w:pPr>
        <w:spacing w:before="120" w:after="120" w:line="360" w:lineRule="auto"/>
        <w:ind w:left="1416" w:hanging="566"/>
        <w:rPr>
          <w:szCs w:val="24"/>
          <w:lang w:val="en-GB" w:eastAsia="en-US"/>
        </w:rPr>
      </w:pPr>
      <w:r w:rsidRPr="00EB04F1">
        <w:rPr>
          <w:b/>
          <w:i/>
          <w:szCs w:val="24"/>
          <w:lang w:val="en-GB" w:eastAsia="en-US"/>
        </w:rPr>
        <w:t>e)</w:t>
      </w:r>
      <w:r w:rsidRPr="00EB04F1">
        <w:rPr>
          <w:szCs w:val="24"/>
          <w:lang w:val="en-GB" w:eastAsia="en-US"/>
        </w:rPr>
        <w:tab/>
      </w:r>
      <w:r w:rsidRPr="00EB04F1">
        <w:rPr>
          <w:b/>
          <w:i/>
          <w:szCs w:val="24"/>
          <w:lang w:val="en-GB" w:eastAsia="en-US"/>
        </w:rPr>
        <w:t xml:space="preserve">ES 8. </w:t>
      </w:r>
      <w:proofErr w:type="gramStart"/>
      <w:r w:rsidRPr="00EB04F1">
        <w:rPr>
          <w:b/>
          <w:i/>
          <w:szCs w:val="24"/>
          <w:lang w:val="en-GB" w:eastAsia="en-US"/>
        </w:rPr>
        <w:t>vides</w:t>
      </w:r>
      <w:proofErr w:type="gramEnd"/>
      <w:r w:rsidRPr="00EB04F1">
        <w:rPr>
          <w:b/>
          <w:i/>
          <w:szCs w:val="24"/>
          <w:lang w:val="en-GB" w:eastAsia="en-US"/>
        </w:rPr>
        <w:t xml:space="preserve"> rīcības programmā (Lēmums (ES) 2022/591/ES);</w:t>
      </w:r>
    </w:p>
    <w:p w14:paraId="2B46224C" w14:textId="277F1D6D" w:rsidR="00DA4F3E" w:rsidRPr="00EB04F1" w:rsidRDefault="00DA4F3E" w:rsidP="00DA4F3E">
      <w:pPr>
        <w:spacing w:before="120" w:after="120" w:line="360" w:lineRule="auto"/>
        <w:ind w:left="1416" w:hanging="566"/>
        <w:rPr>
          <w:b/>
          <w:szCs w:val="24"/>
          <w:lang w:val="en-GB" w:eastAsia="en-US"/>
        </w:rPr>
      </w:pPr>
      <w:r w:rsidRPr="00EB04F1">
        <w:rPr>
          <w:b/>
          <w:i/>
          <w:szCs w:val="24"/>
          <w:lang w:val="en-GB" w:eastAsia="en-US"/>
        </w:rPr>
        <w:t>f)</w:t>
      </w:r>
      <w:r w:rsidRPr="00EB04F1">
        <w:rPr>
          <w:szCs w:val="24"/>
          <w:lang w:val="en-GB" w:eastAsia="en-US"/>
        </w:rPr>
        <w:tab/>
      </w:r>
      <w:r w:rsidRPr="00EB04F1">
        <w:rPr>
          <w:b/>
          <w:i/>
          <w:szCs w:val="24"/>
          <w:lang w:val="en-GB" w:eastAsia="en-US"/>
        </w:rPr>
        <w:t>Ceļvedī par resursu efektīvu izmantošanu Eiropā (COM/2011/0571).</w:t>
      </w:r>
      <w:r w:rsidR="0008779A" w:rsidRPr="00EB04F1">
        <w:rPr>
          <w:b/>
          <w:szCs w:val="24"/>
          <w:lang w:val="en-GB" w:eastAsia="en-US"/>
        </w:rPr>
        <w:t xml:space="preserve"> [Gr. 44]</w:t>
      </w:r>
    </w:p>
    <w:p w14:paraId="3C9E8FA8"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2.</w:t>
      </w:r>
      <w:r w:rsidRPr="00EB04F1">
        <w:rPr>
          <w:szCs w:val="24"/>
          <w:lang w:val="en-GB" w:eastAsia="en-US"/>
        </w:rPr>
        <w:tab/>
        <w:t>Šī direktīva paredz pasākumus šādās jomās:</w:t>
      </w:r>
    </w:p>
    <w:p w14:paraId="29F9F5E7" w14:textId="6800DC3D" w:rsidR="00DA4F3E" w:rsidRPr="00EB04F1" w:rsidRDefault="00DA4F3E" w:rsidP="00DA4F3E">
      <w:pPr>
        <w:spacing w:before="120" w:after="120" w:line="360" w:lineRule="auto"/>
        <w:ind w:left="1416" w:hanging="566"/>
        <w:rPr>
          <w:b/>
          <w:szCs w:val="24"/>
          <w:lang w:val="en-GB" w:eastAsia="en-US"/>
        </w:rPr>
      </w:pPr>
      <w:r w:rsidRPr="00EB04F1">
        <w:rPr>
          <w:szCs w:val="24"/>
          <w:lang w:val="en-GB" w:eastAsia="en-US"/>
        </w:rPr>
        <w:t>a)</w:t>
      </w:r>
      <w:r w:rsidRPr="00EB04F1">
        <w:rPr>
          <w:szCs w:val="24"/>
          <w:lang w:val="en-GB" w:eastAsia="en-US"/>
        </w:rPr>
        <w:tab/>
      </w:r>
      <w:proofErr w:type="gramStart"/>
      <w:r w:rsidRPr="00EB04F1">
        <w:rPr>
          <w:szCs w:val="24"/>
          <w:lang w:val="en-GB" w:eastAsia="en-US"/>
        </w:rPr>
        <w:t>augsnes</w:t>
      </w:r>
      <w:proofErr w:type="gramEnd"/>
      <w:r w:rsidRPr="00EB04F1">
        <w:rPr>
          <w:szCs w:val="24"/>
          <w:lang w:val="en-GB" w:eastAsia="en-US"/>
        </w:rPr>
        <w:t xml:space="preserve"> veselības monitorings</w:t>
      </w:r>
      <w:r w:rsidRPr="00EB04F1">
        <w:rPr>
          <w:b/>
          <w:i/>
          <w:szCs w:val="24"/>
          <w:lang w:val="en-GB" w:eastAsia="en-US"/>
        </w:rPr>
        <w:t>, uzturēšana, uzlabošana, rehabilitācija</w:t>
      </w:r>
      <w:r w:rsidRPr="00EB04F1">
        <w:rPr>
          <w:szCs w:val="24"/>
          <w:lang w:val="en-GB" w:eastAsia="en-US"/>
        </w:rPr>
        <w:t xml:space="preserve"> un novērtēšana</w:t>
      </w:r>
      <w:r w:rsidRPr="00EB04F1">
        <w:rPr>
          <w:b/>
          <w:i/>
          <w:szCs w:val="24"/>
          <w:lang w:val="en-GB" w:eastAsia="en-US"/>
        </w:rPr>
        <w:t>, pamatojoties uz augsnes ekoloģisko stāvokli</w:t>
      </w:r>
      <w:r w:rsidRPr="00EB04F1">
        <w:rPr>
          <w:szCs w:val="24"/>
          <w:lang w:val="en-GB" w:eastAsia="en-US"/>
        </w:rPr>
        <w:t>;</w:t>
      </w:r>
      <w:r w:rsidR="0008779A" w:rsidRPr="00EB04F1">
        <w:rPr>
          <w:b/>
          <w:szCs w:val="24"/>
          <w:lang w:val="en-GB" w:eastAsia="en-US"/>
        </w:rPr>
        <w:t xml:space="preserve"> [Gr. 45]</w:t>
      </w:r>
    </w:p>
    <w:p w14:paraId="755B5889" w14:textId="77777777" w:rsidR="00DA4F3E" w:rsidRPr="00EB04F1" w:rsidRDefault="00DA4F3E" w:rsidP="00DA4F3E">
      <w:pPr>
        <w:spacing w:before="120" w:after="120" w:line="360" w:lineRule="auto"/>
        <w:ind w:left="1416" w:hanging="566"/>
        <w:rPr>
          <w:szCs w:val="24"/>
          <w:lang w:val="en-GB" w:eastAsia="en-US"/>
        </w:rPr>
      </w:pPr>
      <w:r w:rsidRPr="00EB04F1">
        <w:rPr>
          <w:szCs w:val="24"/>
          <w:lang w:val="en-GB" w:eastAsia="en-US"/>
        </w:rPr>
        <w:t>b)</w:t>
      </w:r>
      <w:r w:rsidRPr="00EB04F1">
        <w:rPr>
          <w:szCs w:val="24"/>
          <w:lang w:val="en-GB" w:eastAsia="en-US"/>
        </w:rPr>
        <w:tab/>
      </w:r>
      <w:proofErr w:type="gramStart"/>
      <w:r w:rsidRPr="00EB04F1">
        <w:rPr>
          <w:szCs w:val="24"/>
          <w:lang w:val="en-GB" w:eastAsia="en-US"/>
        </w:rPr>
        <w:t>ilgtspējīga</w:t>
      </w:r>
      <w:proofErr w:type="gramEnd"/>
      <w:r w:rsidRPr="00EB04F1">
        <w:rPr>
          <w:szCs w:val="24"/>
          <w:lang w:val="en-GB" w:eastAsia="en-US"/>
        </w:rPr>
        <w:t xml:space="preserve"> augsnes apsaimniekošana;</w:t>
      </w:r>
    </w:p>
    <w:p w14:paraId="4C6073C2" w14:textId="77777777" w:rsidR="00DA4F3E" w:rsidRPr="00EB04F1" w:rsidRDefault="00DA4F3E" w:rsidP="00DA4F3E">
      <w:pPr>
        <w:spacing w:before="120" w:after="120" w:line="360" w:lineRule="auto"/>
        <w:ind w:left="1416" w:hanging="566"/>
        <w:rPr>
          <w:szCs w:val="24"/>
          <w:lang w:val="en-GB" w:eastAsia="en-US"/>
        </w:rPr>
      </w:pPr>
      <w:r w:rsidRPr="00EB04F1">
        <w:rPr>
          <w:szCs w:val="24"/>
          <w:lang w:val="en-GB" w:eastAsia="en-US"/>
        </w:rPr>
        <w:t>c)</w:t>
      </w:r>
      <w:r w:rsidRPr="00EB04F1">
        <w:rPr>
          <w:szCs w:val="24"/>
          <w:lang w:val="en-GB" w:eastAsia="en-US"/>
        </w:rPr>
        <w:tab/>
      </w:r>
      <w:proofErr w:type="gramStart"/>
      <w:r w:rsidRPr="00EB04F1">
        <w:rPr>
          <w:szCs w:val="24"/>
          <w:lang w:val="en-GB" w:eastAsia="en-US"/>
        </w:rPr>
        <w:t>kontaminēti</w:t>
      </w:r>
      <w:proofErr w:type="gramEnd"/>
      <w:r w:rsidRPr="00EB04F1">
        <w:rPr>
          <w:szCs w:val="24"/>
          <w:lang w:val="en-GB" w:eastAsia="en-US"/>
        </w:rPr>
        <w:t xml:space="preserve"> objekti.</w:t>
      </w:r>
    </w:p>
    <w:p w14:paraId="2601C639" w14:textId="77777777" w:rsidR="0008779A" w:rsidRPr="00EB04F1" w:rsidRDefault="0008779A">
      <w:pPr>
        <w:widowControl/>
        <w:rPr>
          <w:szCs w:val="24"/>
          <w:lang w:val="en-GB" w:eastAsia="en-US"/>
        </w:rPr>
      </w:pPr>
      <w:r w:rsidRPr="00EB04F1">
        <w:rPr>
          <w:szCs w:val="24"/>
          <w:lang w:val="en-GB" w:eastAsia="en-US"/>
        </w:rPr>
        <w:br w:type="page"/>
      </w:r>
    </w:p>
    <w:p w14:paraId="2B45BA36" w14:textId="040DF1CC" w:rsidR="00DA4F3E" w:rsidRPr="00EB04F1" w:rsidRDefault="00DA4F3E" w:rsidP="00DA4F3E">
      <w:pPr>
        <w:spacing w:before="120" w:after="120" w:line="360" w:lineRule="auto"/>
        <w:jc w:val="center"/>
        <w:rPr>
          <w:szCs w:val="24"/>
          <w:lang w:val="en-GB" w:eastAsia="en-US"/>
        </w:rPr>
      </w:pPr>
      <w:r w:rsidRPr="00EB04F1">
        <w:rPr>
          <w:szCs w:val="24"/>
          <w:lang w:val="en-GB" w:eastAsia="en-US"/>
        </w:rPr>
        <w:lastRenderedPageBreak/>
        <w:t xml:space="preserve">2. </w:t>
      </w:r>
      <w:proofErr w:type="gramStart"/>
      <w:r w:rsidRPr="00EB04F1">
        <w:rPr>
          <w:szCs w:val="24"/>
          <w:lang w:val="en-GB" w:eastAsia="en-US"/>
        </w:rPr>
        <w:t>pants</w:t>
      </w:r>
      <w:proofErr w:type="gramEnd"/>
      <w:r w:rsidRPr="00EB04F1">
        <w:rPr>
          <w:szCs w:val="24"/>
          <w:lang w:val="en-GB" w:eastAsia="en-US"/>
        </w:rPr>
        <w:br/>
        <w:t>Darbības joma</w:t>
      </w:r>
    </w:p>
    <w:p w14:paraId="2D057033" w14:textId="77777777" w:rsidR="00DA4F3E" w:rsidRPr="00EB04F1" w:rsidRDefault="00DA4F3E" w:rsidP="00DA4F3E">
      <w:pPr>
        <w:spacing w:before="120" w:after="120" w:line="360" w:lineRule="auto"/>
        <w:rPr>
          <w:szCs w:val="24"/>
          <w:lang w:val="en-GB" w:eastAsia="en-US"/>
        </w:rPr>
      </w:pPr>
      <w:r w:rsidRPr="00EB04F1">
        <w:rPr>
          <w:szCs w:val="24"/>
          <w:lang w:val="en-GB" w:eastAsia="en-US"/>
        </w:rPr>
        <w:t>Šī direktīva ir piemērojama visām augsnēm dalībvalstu teritorijā.</w:t>
      </w:r>
    </w:p>
    <w:p w14:paraId="44AE326A" w14:textId="77777777" w:rsidR="00DA4F3E" w:rsidRPr="00EB04F1" w:rsidRDefault="00DA4F3E" w:rsidP="00DA4F3E">
      <w:pPr>
        <w:spacing w:before="120" w:after="120" w:line="360" w:lineRule="auto"/>
        <w:jc w:val="center"/>
        <w:rPr>
          <w:szCs w:val="24"/>
          <w:lang w:val="en-GB" w:eastAsia="en-US"/>
        </w:rPr>
      </w:pPr>
      <w:r w:rsidRPr="00EB04F1">
        <w:rPr>
          <w:szCs w:val="24"/>
          <w:lang w:val="en-GB" w:eastAsia="en-US"/>
        </w:rPr>
        <w:t xml:space="preserve">3. </w:t>
      </w:r>
      <w:proofErr w:type="gramStart"/>
      <w:r w:rsidRPr="00EB04F1">
        <w:rPr>
          <w:szCs w:val="24"/>
          <w:lang w:val="en-GB" w:eastAsia="en-US"/>
        </w:rPr>
        <w:t>pants</w:t>
      </w:r>
      <w:proofErr w:type="gramEnd"/>
      <w:r w:rsidRPr="00EB04F1">
        <w:rPr>
          <w:szCs w:val="24"/>
          <w:lang w:val="en-GB" w:eastAsia="en-US"/>
        </w:rPr>
        <w:br/>
        <w:t>Definīcijas</w:t>
      </w:r>
    </w:p>
    <w:p w14:paraId="69D0D6D6" w14:textId="77777777" w:rsidR="00DA4F3E" w:rsidRPr="00EB04F1" w:rsidRDefault="00DA4F3E" w:rsidP="00DA4F3E">
      <w:pPr>
        <w:spacing w:before="120" w:after="120" w:line="360" w:lineRule="auto"/>
        <w:rPr>
          <w:szCs w:val="24"/>
          <w:lang w:val="en-GB" w:eastAsia="en-US"/>
        </w:rPr>
      </w:pPr>
      <w:r w:rsidRPr="00EB04F1">
        <w:rPr>
          <w:szCs w:val="24"/>
          <w:lang w:val="en-GB" w:eastAsia="en-US"/>
        </w:rPr>
        <w:t>Šajā direktīvā piemēro šādas definīcijas:</w:t>
      </w:r>
    </w:p>
    <w:p w14:paraId="0BCEB0C7" w14:textId="67D56B2E"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t>1)</w:t>
      </w:r>
      <w:r w:rsidRPr="00EB04F1">
        <w:rPr>
          <w:szCs w:val="24"/>
          <w:lang w:val="en-GB" w:eastAsia="en-US"/>
        </w:rPr>
        <w:tab/>
        <w:t>“</w:t>
      </w:r>
      <w:proofErr w:type="gramStart"/>
      <w:r w:rsidRPr="00EB04F1">
        <w:rPr>
          <w:szCs w:val="24"/>
          <w:lang w:val="en-GB" w:eastAsia="en-US"/>
        </w:rPr>
        <w:t>augsne</w:t>
      </w:r>
      <w:proofErr w:type="gramEnd"/>
      <w:r w:rsidRPr="00EB04F1">
        <w:rPr>
          <w:szCs w:val="24"/>
          <w:lang w:val="en-GB" w:eastAsia="en-US"/>
        </w:rPr>
        <w:t>” ir zemes garozas virsējais slānis, kas atrodas starp pamatiezi un zemes virsmu un kas sastāv no minerāldaļiņām, organiskās vielas, ūdens, gaisa un dzīviem organismiem</w:t>
      </w:r>
      <w:r w:rsidRPr="00EB04F1">
        <w:rPr>
          <w:b/>
          <w:i/>
          <w:szCs w:val="24"/>
          <w:lang w:val="en-GB" w:eastAsia="en-US"/>
        </w:rPr>
        <w:t>, izņemot izejvielu atradnes</w:t>
      </w:r>
      <w:r w:rsidRPr="00EB04F1">
        <w:rPr>
          <w:szCs w:val="24"/>
          <w:lang w:val="en-GB" w:eastAsia="en-US"/>
        </w:rPr>
        <w:t>;</w:t>
      </w:r>
      <w:r w:rsidR="0008779A" w:rsidRPr="00EB04F1">
        <w:rPr>
          <w:b/>
          <w:szCs w:val="24"/>
          <w:lang w:val="en-GB" w:eastAsia="en-US"/>
        </w:rPr>
        <w:t xml:space="preserve"> [Gr. 217 un 266]</w:t>
      </w:r>
    </w:p>
    <w:p w14:paraId="4C87AB15" w14:textId="77777777" w:rsidR="0008779A" w:rsidRPr="00EB04F1" w:rsidRDefault="0008779A">
      <w:pPr>
        <w:widowControl/>
        <w:rPr>
          <w:b/>
          <w:i/>
          <w:szCs w:val="24"/>
          <w:lang w:val="en-GB" w:eastAsia="en-US"/>
        </w:rPr>
      </w:pPr>
      <w:r w:rsidRPr="00EB04F1">
        <w:rPr>
          <w:b/>
          <w:i/>
          <w:szCs w:val="24"/>
          <w:lang w:val="en-GB" w:eastAsia="en-US"/>
        </w:rPr>
        <w:br w:type="page"/>
      </w:r>
    </w:p>
    <w:p w14:paraId="13607E63" w14:textId="017DA74B" w:rsidR="00DA4F3E" w:rsidRPr="00EB04F1" w:rsidRDefault="00DA4F3E" w:rsidP="00DA4F3E">
      <w:pPr>
        <w:spacing w:before="120" w:after="120" w:line="360" w:lineRule="auto"/>
        <w:ind w:left="850" w:hanging="850"/>
        <w:rPr>
          <w:szCs w:val="24"/>
          <w:lang w:val="en-GB" w:eastAsia="en-US"/>
        </w:rPr>
      </w:pPr>
      <w:r w:rsidRPr="00EB04F1">
        <w:rPr>
          <w:b/>
          <w:i/>
          <w:szCs w:val="24"/>
          <w:lang w:val="en-GB" w:eastAsia="en-US"/>
        </w:rPr>
        <w:lastRenderedPageBreak/>
        <w:t>1a)</w:t>
      </w:r>
      <w:r w:rsidRPr="00EB04F1">
        <w:rPr>
          <w:szCs w:val="24"/>
          <w:lang w:val="en-GB" w:eastAsia="en-US"/>
        </w:rPr>
        <w:tab/>
      </w:r>
      <w:r w:rsidRPr="00EB04F1">
        <w:rPr>
          <w:b/>
          <w:i/>
          <w:szCs w:val="24"/>
          <w:lang w:val="en-GB" w:eastAsia="en-US"/>
        </w:rPr>
        <w:t xml:space="preserve">"augsnes ekoloģiskais stāvoklis" ir augsnes ekoloģiskā kvalitāte, </w:t>
      </w:r>
      <w:proofErr w:type="gramStart"/>
      <w:r w:rsidRPr="00EB04F1">
        <w:rPr>
          <w:b/>
          <w:i/>
          <w:szCs w:val="24"/>
          <w:lang w:val="en-GB" w:eastAsia="en-US"/>
        </w:rPr>
        <w:t>ko</w:t>
      </w:r>
      <w:proofErr w:type="gramEnd"/>
      <w:r w:rsidRPr="00EB04F1">
        <w:rPr>
          <w:b/>
          <w:i/>
          <w:szCs w:val="24"/>
          <w:lang w:val="en-GB" w:eastAsia="en-US"/>
        </w:rPr>
        <w:t xml:space="preserve"> novērtē, ņemot vērā augsnes daudzveidību, bioloģisko un funkcionālo aktivitāti, dzīvotni un degradācijas faktoru klātbūtni, un klasificē šādās kategorijās:</w:t>
      </w:r>
    </w:p>
    <w:p w14:paraId="77DD695D" w14:textId="77777777" w:rsidR="00DA4F3E" w:rsidRPr="00EB04F1" w:rsidRDefault="00DA4F3E" w:rsidP="00DA4F3E">
      <w:pPr>
        <w:spacing w:before="120" w:after="120" w:line="360" w:lineRule="auto"/>
        <w:ind w:left="1416" w:hanging="566"/>
        <w:rPr>
          <w:szCs w:val="24"/>
          <w:lang w:val="en-GB" w:eastAsia="en-US"/>
        </w:rPr>
      </w:pPr>
      <w:r w:rsidRPr="00EB04F1">
        <w:rPr>
          <w:b/>
          <w:i/>
          <w:szCs w:val="24"/>
          <w:lang w:val="en-GB" w:eastAsia="en-US"/>
        </w:rPr>
        <w:t>a)</w:t>
      </w:r>
      <w:r w:rsidRPr="00EB04F1">
        <w:rPr>
          <w:szCs w:val="24"/>
          <w:lang w:val="en-GB" w:eastAsia="en-US"/>
        </w:rPr>
        <w:tab/>
      </w:r>
      <w:r w:rsidRPr="00EB04F1">
        <w:rPr>
          <w:b/>
          <w:i/>
          <w:szCs w:val="24"/>
          <w:lang w:val="en-GB" w:eastAsia="en-US"/>
        </w:rPr>
        <w:t>"</w:t>
      </w:r>
      <w:proofErr w:type="gramStart"/>
      <w:r w:rsidRPr="00EB04F1">
        <w:rPr>
          <w:b/>
          <w:i/>
          <w:szCs w:val="24"/>
          <w:lang w:val="en-GB" w:eastAsia="en-US"/>
        </w:rPr>
        <w:t>ļoti</w:t>
      </w:r>
      <w:proofErr w:type="gramEnd"/>
      <w:r w:rsidRPr="00EB04F1">
        <w:rPr>
          <w:b/>
          <w:i/>
          <w:szCs w:val="24"/>
          <w:lang w:val="en-GB" w:eastAsia="en-US"/>
        </w:rPr>
        <w:t xml:space="preserve"> labs augsnes ekoloģiskais stāvoklis" attiecas uz augsnēm ar izcilu bioloģisko un funkcionālo aktivitāti;</w:t>
      </w:r>
    </w:p>
    <w:p w14:paraId="042006FB" w14:textId="77777777" w:rsidR="00DA4F3E" w:rsidRPr="00EB04F1" w:rsidRDefault="00DA4F3E" w:rsidP="00DA4F3E">
      <w:pPr>
        <w:spacing w:before="120" w:after="120" w:line="360" w:lineRule="auto"/>
        <w:ind w:left="1416" w:hanging="566"/>
        <w:rPr>
          <w:szCs w:val="24"/>
          <w:lang w:val="en-GB" w:eastAsia="en-US"/>
        </w:rPr>
      </w:pPr>
      <w:r w:rsidRPr="00EB04F1">
        <w:rPr>
          <w:b/>
          <w:i/>
          <w:szCs w:val="24"/>
          <w:lang w:val="en-GB" w:eastAsia="en-US"/>
        </w:rPr>
        <w:t>b)</w:t>
      </w:r>
      <w:r w:rsidRPr="00EB04F1">
        <w:rPr>
          <w:szCs w:val="24"/>
          <w:lang w:val="en-GB" w:eastAsia="en-US"/>
        </w:rPr>
        <w:tab/>
      </w:r>
      <w:r w:rsidRPr="00EB04F1">
        <w:rPr>
          <w:b/>
          <w:i/>
          <w:szCs w:val="24"/>
          <w:lang w:val="en-GB" w:eastAsia="en-US"/>
        </w:rPr>
        <w:t>"</w:t>
      </w:r>
      <w:proofErr w:type="gramStart"/>
      <w:r w:rsidRPr="00EB04F1">
        <w:rPr>
          <w:b/>
          <w:i/>
          <w:szCs w:val="24"/>
          <w:lang w:val="en-GB" w:eastAsia="en-US"/>
        </w:rPr>
        <w:t>labs</w:t>
      </w:r>
      <w:proofErr w:type="gramEnd"/>
      <w:r w:rsidRPr="00EB04F1">
        <w:rPr>
          <w:b/>
          <w:i/>
          <w:szCs w:val="24"/>
          <w:lang w:val="en-GB" w:eastAsia="en-US"/>
        </w:rPr>
        <w:t xml:space="preserve"> ekoloģiskais stāvoklis" attiecas uz augsnēm, kuru stāvoklis kopumā ir labs, bet kurās novēroti pierādījumi par nelielu nelabvēlīgu ietekmi, ko rada viens vai vairāki degradācijas faktori;</w:t>
      </w:r>
    </w:p>
    <w:p w14:paraId="5BB877C4" w14:textId="77777777" w:rsidR="00DA4F3E" w:rsidRPr="00EB04F1" w:rsidRDefault="00DA4F3E" w:rsidP="00DA4F3E">
      <w:pPr>
        <w:spacing w:before="120" w:after="120" w:line="360" w:lineRule="auto"/>
        <w:ind w:left="1416" w:hanging="566"/>
        <w:rPr>
          <w:szCs w:val="24"/>
          <w:lang w:val="en-GB" w:eastAsia="en-US"/>
        </w:rPr>
      </w:pPr>
      <w:r w:rsidRPr="00EB04F1">
        <w:rPr>
          <w:b/>
          <w:i/>
          <w:szCs w:val="24"/>
          <w:lang w:val="en-GB" w:eastAsia="en-US"/>
        </w:rPr>
        <w:t>c)</w:t>
      </w:r>
      <w:r w:rsidRPr="00EB04F1">
        <w:rPr>
          <w:szCs w:val="24"/>
          <w:lang w:val="en-GB" w:eastAsia="en-US"/>
        </w:rPr>
        <w:tab/>
      </w:r>
      <w:r w:rsidRPr="00EB04F1">
        <w:rPr>
          <w:b/>
          <w:i/>
          <w:szCs w:val="24"/>
          <w:lang w:val="en-GB" w:eastAsia="en-US"/>
        </w:rPr>
        <w:t>"</w:t>
      </w:r>
      <w:proofErr w:type="gramStart"/>
      <w:r w:rsidRPr="00EB04F1">
        <w:rPr>
          <w:b/>
          <w:i/>
          <w:szCs w:val="24"/>
          <w:lang w:val="en-GB" w:eastAsia="en-US"/>
        </w:rPr>
        <w:t>vidējs</w:t>
      </w:r>
      <w:proofErr w:type="gramEnd"/>
      <w:r w:rsidRPr="00EB04F1">
        <w:rPr>
          <w:b/>
          <w:i/>
          <w:szCs w:val="24"/>
          <w:lang w:val="en-GB" w:eastAsia="en-US"/>
        </w:rPr>
        <w:t xml:space="preserve"> ekoloģiskais stāvoklis" attiecas uz augsnēm, kurās novēroti pierādījumi par nelielu nelabvēlīgu ietekmi, ko rada degradācijas faktori;</w:t>
      </w:r>
    </w:p>
    <w:p w14:paraId="4ED776F7" w14:textId="77777777" w:rsidR="00DA4F3E" w:rsidRPr="00EB04F1" w:rsidRDefault="00DA4F3E" w:rsidP="00DA4F3E">
      <w:pPr>
        <w:spacing w:before="120" w:after="120" w:line="360" w:lineRule="auto"/>
        <w:ind w:left="1416" w:hanging="566"/>
        <w:rPr>
          <w:szCs w:val="24"/>
          <w:lang w:val="en-GB" w:eastAsia="en-US"/>
        </w:rPr>
      </w:pPr>
      <w:r w:rsidRPr="00EB04F1">
        <w:rPr>
          <w:b/>
          <w:i/>
          <w:szCs w:val="24"/>
          <w:lang w:val="en-GB" w:eastAsia="en-US"/>
        </w:rPr>
        <w:t>d)</w:t>
      </w:r>
      <w:r w:rsidRPr="00EB04F1">
        <w:rPr>
          <w:szCs w:val="24"/>
          <w:lang w:val="en-GB" w:eastAsia="en-US"/>
        </w:rPr>
        <w:tab/>
      </w:r>
      <w:r w:rsidRPr="00EB04F1">
        <w:rPr>
          <w:b/>
          <w:i/>
          <w:szCs w:val="24"/>
          <w:lang w:val="en-GB" w:eastAsia="en-US"/>
        </w:rPr>
        <w:t>"</w:t>
      </w:r>
      <w:proofErr w:type="gramStart"/>
      <w:r w:rsidRPr="00EB04F1">
        <w:rPr>
          <w:b/>
          <w:i/>
          <w:szCs w:val="24"/>
          <w:lang w:val="en-GB" w:eastAsia="en-US"/>
        </w:rPr>
        <w:t>degradētas</w:t>
      </w:r>
      <w:proofErr w:type="gramEnd"/>
      <w:r w:rsidRPr="00EB04F1">
        <w:rPr>
          <w:b/>
          <w:i/>
          <w:szCs w:val="24"/>
          <w:lang w:val="en-GB" w:eastAsia="en-US"/>
        </w:rPr>
        <w:t xml:space="preserve"> augsnes" attiecas uz augsnēm, kurās novēroti nepārprotami pierādījumi par nelabvēlīgu ietekmi, ko rada viens degradācijas faktors, un</w:t>
      </w:r>
    </w:p>
    <w:p w14:paraId="3AFBB6A0" w14:textId="0D339FA7" w:rsidR="00DA4F3E" w:rsidRPr="00EB04F1" w:rsidRDefault="00DA4F3E" w:rsidP="00DA4F3E">
      <w:pPr>
        <w:spacing w:before="120" w:after="120" w:line="360" w:lineRule="auto"/>
        <w:ind w:left="1416" w:hanging="566"/>
        <w:rPr>
          <w:rFonts w:ascii="Symbol" w:hAnsi="Symbol"/>
          <w:b/>
          <w:szCs w:val="24"/>
          <w:lang w:val="en-GB" w:eastAsia="en-US"/>
        </w:rPr>
      </w:pPr>
      <w:r w:rsidRPr="00EB04F1">
        <w:rPr>
          <w:b/>
          <w:i/>
          <w:szCs w:val="24"/>
          <w:lang w:val="en-GB" w:eastAsia="en-US"/>
        </w:rPr>
        <w:t>e)</w:t>
      </w:r>
      <w:r w:rsidRPr="00EB04F1">
        <w:rPr>
          <w:szCs w:val="24"/>
          <w:lang w:val="en-GB" w:eastAsia="en-US"/>
        </w:rPr>
        <w:tab/>
      </w:r>
      <w:r w:rsidRPr="00EB04F1">
        <w:rPr>
          <w:b/>
          <w:i/>
          <w:szCs w:val="24"/>
          <w:lang w:val="en-GB" w:eastAsia="en-US"/>
        </w:rPr>
        <w:t>"</w:t>
      </w:r>
      <w:proofErr w:type="gramStart"/>
      <w:r w:rsidRPr="00EB04F1">
        <w:rPr>
          <w:b/>
          <w:i/>
          <w:szCs w:val="24"/>
          <w:lang w:val="en-GB" w:eastAsia="en-US"/>
        </w:rPr>
        <w:t>kritiski</w:t>
      </w:r>
      <w:proofErr w:type="gramEnd"/>
      <w:r w:rsidRPr="00EB04F1">
        <w:rPr>
          <w:b/>
          <w:i/>
          <w:szCs w:val="24"/>
          <w:lang w:val="en-GB" w:eastAsia="en-US"/>
        </w:rPr>
        <w:t xml:space="preserve"> degradētas augsnes" attiecas uz augsnēm, kurās novēroti nepārprotami pierādījumi par nelabvēlīgu ietekmi, ko rada vairāk nekā viens degradācijas faktors;</w:t>
      </w:r>
      <w:r w:rsidR="0008779A" w:rsidRPr="00EB04F1">
        <w:rPr>
          <w:b/>
          <w:szCs w:val="24"/>
          <w:lang w:val="en-GB" w:eastAsia="en-US"/>
        </w:rPr>
        <w:t xml:space="preserve"> [Gr. 46]</w:t>
      </w:r>
    </w:p>
    <w:p w14:paraId="2C76044E" w14:textId="77777777" w:rsidR="0008779A" w:rsidRPr="00EB04F1" w:rsidRDefault="0008779A">
      <w:pPr>
        <w:widowControl/>
        <w:rPr>
          <w:b/>
          <w:i/>
          <w:szCs w:val="24"/>
          <w:lang w:val="en-GB" w:eastAsia="en-US"/>
        </w:rPr>
      </w:pPr>
      <w:r w:rsidRPr="00EB04F1">
        <w:rPr>
          <w:b/>
          <w:i/>
          <w:szCs w:val="24"/>
          <w:lang w:val="en-GB" w:eastAsia="en-US"/>
        </w:rPr>
        <w:br w:type="page"/>
      </w:r>
    </w:p>
    <w:p w14:paraId="6599EA3F" w14:textId="69F4A4F2" w:rsidR="00DA4F3E" w:rsidRPr="00EB04F1" w:rsidRDefault="00DA4F3E" w:rsidP="00DA4F3E">
      <w:pPr>
        <w:spacing w:before="120" w:after="120" w:line="360" w:lineRule="auto"/>
        <w:ind w:left="850" w:hanging="850"/>
        <w:rPr>
          <w:b/>
          <w:szCs w:val="24"/>
          <w:lang w:val="en-GB" w:eastAsia="en-US"/>
        </w:rPr>
      </w:pPr>
      <w:r w:rsidRPr="00EB04F1">
        <w:rPr>
          <w:b/>
          <w:i/>
          <w:szCs w:val="24"/>
          <w:lang w:val="en-GB" w:eastAsia="en-US"/>
        </w:rPr>
        <w:lastRenderedPageBreak/>
        <w:t>1b)</w:t>
      </w:r>
      <w:r w:rsidRPr="00EB04F1">
        <w:rPr>
          <w:szCs w:val="24"/>
          <w:lang w:val="en-GB" w:eastAsia="en-US"/>
        </w:rPr>
        <w:tab/>
      </w:r>
      <w:r w:rsidRPr="00EB04F1">
        <w:rPr>
          <w:b/>
          <w:i/>
          <w:szCs w:val="24"/>
          <w:lang w:val="en-GB" w:eastAsia="en-US"/>
        </w:rPr>
        <w:t>"augsnes ekoloģiskās funkcijas" ir savstarpēji saistītu procesu un mijiedarbības kopums augsnes ekosistēmā, kas uztur dzīvību, atbalstu un ir augsnes biodaudzveidības rezultāts, kurš uztur vispārējo veselību un ražīgumu tādiem sauszemes vides procesiem kā, piemēram, barības vielu aprite, organiskās matērijas sadalīšanās, augsnes struktūras veidošanās, ūdens filtrācija un attīrīšana, oglekļa sekvestrācija, kā arī dzīvotņu un resursu nodrošināšana dažādiem daudzveidīgiem organismiem;</w:t>
      </w:r>
      <w:r w:rsidR="0008779A" w:rsidRPr="00EB04F1">
        <w:rPr>
          <w:b/>
          <w:szCs w:val="24"/>
          <w:lang w:val="en-GB" w:eastAsia="en-US"/>
        </w:rPr>
        <w:t xml:space="preserve"> [Gr. 47]</w:t>
      </w:r>
    </w:p>
    <w:p w14:paraId="5CBC4FB9"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2)</w:t>
      </w:r>
      <w:r w:rsidRPr="00EB04F1">
        <w:rPr>
          <w:szCs w:val="24"/>
          <w:lang w:val="en-GB" w:eastAsia="en-US"/>
        </w:rPr>
        <w:tab/>
        <w:t>“</w:t>
      </w:r>
      <w:proofErr w:type="gramStart"/>
      <w:r w:rsidRPr="00EB04F1">
        <w:rPr>
          <w:szCs w:val="24"/>
          <w:lang w:val="en-GB" w:eastAsia="en-US"/>
        </w:rPr>
        <w:t>ekosistēma</w:t>
      </w:r>
      <w:proofErr w:type="gramEnd"/>
      <w:r w:rsidRPr="00EB04F1">
        <w:rPr>
          <w:szCs w:val="24"/>
          <w:lang w:val="en-GB" w:eastAsia="en-US"/>
        </w:rPr>
        <w:t>” ir dinamisks augu, dzīvnieku un mikroorganismu sabiedrību un to nedzīvās vides komplekss, kurš mijiedarbojas kā funkcionāla vienība;</w:t>
      </w:r>
    </w:p>
    <w:p w14:paraId="3F4B4812" w14:textId="76859678"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t>3)</w:t>
      </w:r>
      <w:r w:rsidRPr="00EB04F1">
        <w:rPr>
          <w:szCs w:val="24"/>
          <w:lang w:val="en-GB" w:eastAsia="en-US"/>
        </w:rPr>
        <w:tab/>
      </w:r>
      <w:r w:rsidRPr="00EB04F1">
        <w:rPr>
          <w:strike/>
          <w:szCs w:val="24"/>
          <w:lang w:val="en-GB" w:eastAsia="en-US"/>
        </w:rPr>
        <w:t>“</w:t>
      </w:r>
      <w:r w:rsidRPr="00EB04F1">
        <w:rPr>
          <w:b/>
          <w:i/>
          <w:szCs w:val="24"/>
          <w:lang w:val="en-GB" w:eastAsia="en-US"/>
        </w:rPr>
        <w:t>"</w:t>
      </w:r>
      <w:proofErr w:type="gramStart"/>
      <w:r w:rsidRPr="00EB04F1">
        <w:rPr>
          <w:szCs w:val="24"/>
          <w:lang w:val="en-GB" w:eastAsia="en-US"/>
        </w:rPr>
        <w:t>ekosistēmu</w:t>
      </w:r>
      <w:proofErr w:type="gramEnd"/>
      <w:r w:rsidRPr="00EB04F1">
        <w:rPr>
          <w:szCs w:val="24"/>
          <w:lang w:val="en-GB" w:eastAsia="en-US"/>
        </w:rPr>
        <w:t xml:space="preserve"> pakalpojumi</w:t>
      </w:r>
      <w:r w:rsidRPr="00EB04F1">
        <w:rPr>
          <w:strike/>
          <w:szCs w:val="24"/>
          <w:lang w:val="en-GB" w:eastAsia="en-US"/>
        </w:rPr>
        <w:t>” ir</w:t>
      </w:r>
      <w:r w:rsidRPr="00EB04F1">
        <w:rPr>
          <w:b/>
          <w:i/>
          <w:szCs w:val="24"/>
          <w:lang w:val="en-GB" w:eastAsia="en-US"/>
        </w:rPr>
        <w:t>" ir gan tiešs, gan</w:t>
      </w:r>
      <w:r w:rsidRPr="00EB04F1">
        <w:rPr>
          <w:szCs w:val="24"/>
          <w:lang w:val="en-GB" w:eastAsia="en-US"/>
        </w:rPr>
        <w:t xml:space="preserve"> netiešs ekosistēmu devums</w:t>
      </w:r>
      <w:r w:rsidRPr="00EB04F1">
        <w:rPr>
          <w:b/>
          <w:i/>
          <w:szCs w:val="24"/>
          <w:lang w:val="en-GB" w:eastAsia="en-US"/>
        </w:rPr>
        <w:t xml:space="preserve"> visas sabiedrības labjutībai un</w:t>
      </w:r>
      <w:r w:rsidRPr="00EB04F1">
        <w:rPr>
          <w:szCs w:val="24"/>
          <w:lang w:val="en-GB" w:eastAsia="en-US"/>
        </w:rPr>
        <w:t xml:space="preserve"> ekonomiskajos, sociālajos, kultūras</w:t>
      </w:r>
      <w:r w:rsidRPr="00EB04F1">
        <w:rPr>
          <w:b/>
          <w:i/>
          <w:szCs w:val="24"/>
          <w:lang w:val="en-GB" w:eastAsia="en-US"/>
        </w:rPr>
        <w:t>, vides</w:t>
      </w:r>
      <w:r w:rsidRPr="00EB04F1">
        <w:rPr>
          <w:szCs w:val="24"/>
          <w:lang w:val="en-GB" w:eastAsia="en-US"/>
        </w:rPr>
        <w:t xml:space="preserve"> un citos ieguvumos, ko cilvēki gūst no minētajām ekosistēmām;</w:t>
      </w:r>
      <w:r w:rsidR="0008779A" w:rsidRPr="00EB04F1">
        <w:rPr>
          <w:b/>
          <w:szCs w:val="24"/>
          <w:lang w:val="en-GB" w:eastAsia="en-US"/>
        </w:rPr>
        <w:t xml:space="preserve"> [Gr. 48]</w:t>
      </w:r>
    </w:p>
    <w:p w14:paraId="4618A88A" w14:textId="4DB4F256" w:rsidR="00DA4F3E" w:rsidRPr="00EB04F1" w:rsidRDefault="00DA4F3E" w:rsidP="00DA4F3E">
      <w:pPr>
        <w:spacing w:before="120" w:after="120" w:line="360" w:lineRule="auto"/>
        <w:ind w:left="850" w:hanging="850"/>
        <w:rPr>
          <w:b/>
          <w:szCs w:val="24"/>
          <w:lang w:val="en-GB" w:eastAsia="en-US"/>
        </w:rPr>
      </w:pPr>
      <w:r w:rsidRPr="00EB04F1">
        <w:rPr>
          <w:b/>
          <w:i/>
          <w:szCs w:val="24"/>
          <w:lang w:val="en-GB" w:eastAsia="en-US"/>
        </w:rPr>
        <w:t>3a)</w:t>
      </w:r>
      <w:r w:rsidRPr="00EB04F1">
        <w:rPr>
          <w:szCs w:val="24"/>
          <w:lang w:val="en-GB" w:eastAsia="en-US"/>
        </w:rPr>
        <w:tab/>
      </w:r>
      <w:r w:rsidRPr="00EB04F1">
        <w:rPr>
          <w:b/>
          <w:i/>
          <w:szCs w:val="24"/>
          <w:lang w:val="en-GB" w:eastAsia="en-US"/>
        </w:rPr>
        <w:t xml:space="preserve">"augsnes biodaudzveidība" ir augsnes dzīvo organismu dažādība, kas ietver gan gēnus, gan kopas, </w:t>
      </w:r>
      <w:proofErr w:type="gramStart"/>
      <w:r w:rsidRPr="00EB04F1">
        <w:rPr>
          <w:b/>
          <w:i/>
          <w:szCs w:val="24"/>
          <w:lang w:val="en-GB" w:eastAsia="en-US"/>
        </w:rPr>
        <w:t>un</w:t>
      </w:r>
      <w:proofErr w:type="gramEnd"/>
      <w:r w:rsidRPr="00EB04F1">
        <w:rPr>
          <w:b/>
          <w:i/>
          <w:szCs w:val="24"/>
          <w:lang w:val="en-GB" w:eastAsia="en-US"/>
        </w:rPr>
        <w:t xml:space="preserve"> ekoloģiskie kompleksi, kuros tie ietilpst, proti, gan augsnes mikrodzīvotņu kompleksi, gan ainavu kompleksi;</w:t>
      </w:r>
      <w:r w:rsidR="0008779A" w:rsidRPr="00EB04F1">
        <w:rPr>
          <w:b/>
          <w:szCs w:val="24"/>
          <w:lang w:val="en-GB" w:eastAsia="en-US"/>
        </w:rPr>
        <w:t xml:space="preserve"> [Gr. 49]</w:t>
      </w:r>
    </w:p>
    <w:p w14:paraId="6C6A6B5A" w14:textId="77777777" w:rsidR="0008779A" w:rsidRPr="00EB04F1" w:rsidRDefault="0008779A">
      <w:pPr>
        <w:widowControl/>
        <w:rPr>
          <w:szCs w:val="24"/>
          <w:lang w:val="en-GB" w:eastAsia="en-US"/>
        </w:rPr>
      </w:pPr>
      <w:r w:rsidRPr="00EB04F1">
        <w:rPr>
          <w:szCs w:val="24"/>
          <w:lang w:val="en-GB" w:eastAsia="en-US"/>
        </w:rPr>
        <w:br w:type="page"/>
      </w:r>
    </w:p>
    <w:p w14:paraId="3B069358" w14:textId="2BED2DE3"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lastRenderedPageBreak/>
        <w:t>4)</w:t>
      </w:r>
      <w:r w:rsidRPr="00EB04F1">
        <w:rPr>
          <w:szCs w:val="24"/>
          <w:lang w:val="en-GB" w:eastAsia="en-US"/>
        </w:rPr>
        <w:tab/>
      </w:r>
      <w:r w:rsidRPr="00EB04F1">
        <w:rPr>
          <w:strike/>
          <w:szCs w:val="24"/>
          <w:lang w:val="en-GB" w:eastAsia="en-US"/>
        </w:rPr>
        <w:t>“</w:t>
      </w:r>
      <w:r w:rsidRPr="00EB04F1">
        <w:rPr>
          <w:b/>
          <w:i/>
          <w:szCs w:val="24"/>
          <w:lang w:val="en-GB" w:eastAsia="en-US"/>
        </w:rPr>
        <w:t>"</w:t>
      </w:r>
      <w:proofErr w:type="gramStart"/>
      <w:r w:rsidRPr="00EB04F1">
        <w:rPr>
          <w:szCs w:val="24"/>
          <w:lang w:val="en-GB" w:eastAsia="en-US"/>
        </w:rPr>
        <w:t>augsnes</w:t>
      </w:r>
      <w:proofErr w:type="gramEnd"/>
      <w:r w:rsidRPr="00EB04F1">
        <w:rPr>
          <w:szCs w:val="24"/>
          <w:lang w:val="en-GB" w:eastAsia="en-US"/>
        </w:rPr>
        <w:t xml:space="preserve"> veselība</w:t>
      </w:r>
      <w:r w:rsidRPr="00EB04F1">
        <w:rPr>
          <w:strike/>
          <w:szCs w:val="24"/>
          <w:lang w:val="en-GB" w:eastAsia="en-US"/>
        </w:rPr>
        <w:t>”</w:t>
      </w:r>
      <w:r w:rsidRPr="00EB04F1">
        <w:rPr>
          <w:b/>
          <w:i/>
          <w:szCs w:val="24"/>
          <w:lang w:val="en-GB" w:eastAsia="en-US"/>
        </w:rPr>
        <w:t>"</w:t>
      </w:r>
      <w:r w:rsidRPr="00EB04F1">
        <w:rPr>
          <w:szCs w:val="24"/>
          <w:lang w:val="en-GB" w:eastAsia="en-US"/>
        </w:rPr>
        <w:t xml:space="preserve"> ir augsnes fizikālais, ķīmiskais</w:t>
      </w:r>
      <w:r w:rsidRPr="00EB04F1">
        <w:rPr>
          <w:b/>
          <w:i/>
          <w:szCs w:val="24"/>
          <w:lang w:val="en-GB" w:eastAsia="en-US"/>
        </w:rPr>
        <w:t>, funkcionālais</w:t>
      </w:r>
      <w:r w:rsidRPr="00EB04F1">
        <w:rPr>
          <w:szCs w:val="24"/>
          <w:lang w:val="en-GB" w:eastAsia="en-US"/>
        </w:rPr>
        <w:t xml:space="preserve"> un bioloģiskais stāvoklis, kas nosaka tās spēju darboties kā vitālai dzīvai sistēmai un sniegt ekosistēmu pakalpojumus</w:t>
      </w:r>
      <w:r w:rsidRPr="00EB04F1">
        <w:rPr>
          <w:b/>
          <w:i/>
          <w:szCs w:val="24"/>
          <w:lang w:val="en-GB" w:eastAsia="en-US"/>
        </w:rPr>
        <w:t>, ņemot vērā zemes izmantojumu</w:t>
      </w:r>
      <w:r w:rsidRPr="00EB04F1">
        <w:rPr>
          <w:szCs w:val="24"/>
          <w:lang w:val="en-GB" w:eastAsia="en-US"/>
        </w:rPr>
        <w:t>;</w:t>
      </w:r>
      <w:r w:rsidR="0008779A" w:rsidRPr="00EB04F1">
        <w:rPr>
          <w:b/>
          <w:szCs w:val="24"/>
          <w:lang w:val="en-GB" w:eastAsia="en-US"/>
        </w:rPr>
        <w:t xml:space="preserve"> [Gr. 50]</w:t>
      </w:r>
    </w:p>
    <w:p w14:paraId="064F6F50" w14:textId="612717F1"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t>5)</w:t>
      </w:r>
      <w:r w:rsidRPr="00EB04F1">
        <w:rPr>
          <w:szCs w:val="24"/>
          <w:lang w:val="en-GB" w:eastAsia="en-US"/>
        </w:rPr>
        <w:tab/>
        <w:t>“</w:t>
      </w:r>
      <w:proofErr w:type="gramStart"/>
      <w:r w:rsidRPr="00EB04F1">
        <w:rPr>
          <w:szCs w:val="24"/>
          <w:lang w:val="en-GB" w:eastAsia="en-US"/>
        </w:rPr>
        <w:t>ilgtspējīga</w:t>
      </w:r>
      <w:proofErr w:type="gramEnd"/>
      <w:r w:rsidRPr="00EB04F1">
        <w:rPr>
          <w:szCs w:val="24"/>
          <w:lang w:val="en-GB" w:eastAsia="en-US"/>
        </w:rPr>
        <w:t xml:space="preserve"> augsnes apsaimniekošana” ir augsnes apsaimniekošanas prakse, </w:t>
      </w:r>
      <w:r w:rsidRPr="00EB04F1">
        <w:rPr>
          <w:strike/>
          <w:szCs w:val="24"/>
          <w:lang w:val="en-GB" w:eastAsia="en-US"/>
        </w:rPr>
        <w:t>kas uztur vai uzlabo</w:t>
      </w:r>
      <w:r w:rsidRPr="00EB04F1">
        <w:rPr>
          <w:b/>
          <w:i/>
          <w:szCs w:val="24"/>
          <w:lang w:val="en-GB" w:eastAsia="en-US"/>
        </w:rPr>
        <w:t>kuras mērķis ir uzturēt vai uzlabot</w:t>
      </w:r>
      <w:r w:rsidRPr="00EB04F1">
        <w:rPr>
          <w:szCs w:val="24"/>
          <w:lang w:val="en-GB" w:eastAsia="en-US"/>
        </w:rPr>
        <w:t xml:space="preserve"> augsnes nodrošinātos ekosistēmu pakalpojumus, </w:t>
      </w:r>
      <w:r w:rsidRPr="00EB04F1">
        <w:rPr>
          <w:strike/>
          <w:szCs w:val="24"/>
          <w:lang w:val="en-GB" w:eastAsia="en-US"/>
        </w:rPr>
        <w:t>nepasliktinot funkcijas, kas šos pakalpojumus dara iespējamus, un nekaitējot citām vides īpašībām</w:t>
      </w:r>
      <w:r w:rsidRPr="00EB04F1">
        <w:rPr>
          <w:b/>
          <w:i/>
          <w:szCs w:val="24"/>
          <w:lang w:val="en-GB" w:eastAsia="en-US"/>
        </w:rPr>
        <w:t>ņemot vērā sociālekonomisko ietekmi</w:t>
      </w:r>
      <w:r w:rsidRPr="00EB04F1">
        <w:rPr>
          <w:szCs w:val="24"/>
          <w:lang w:val="en-GB" w:eastAsia="en-US"/>
        </w:rPr>
        <w:t>;</w:t>
      </w:r>
      <w:r w:rsidR="0008779A" w:rsidRPr="00EB04F1">
        <w:rPr>
          <w:b/>
          <w:szCs w:val="24"/>
          <w:lang w:val="en-GB" w:eastAsia="en-US"/>
        </w:rPr>
        <w:t xml:space="preserve"> [Gr. 247]</w:t>
      </w:r>
    </w:p>
    <w:p w14:paraId="306E0975"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6)</w:t>
      </w:r>
      <w:r w:rsidRPr="00EB04F1">
        <w:rPr>
          <w:szCs w:val="24"/>
          <w:lang w:val="en-GB" w:eastAsia="en-US"/>
        </w:rPr>
        <w:tab/>
        <w:t>“</w:t>
      </w:r>
      <w:proofErr w:type="gramStart"/>
      <w:r w:rsidRPr="00EB04F1">
        <w:rPr>
          <w:szCs w:val="24"/>
          <w:lang w:val="en-GB" w:eastAsia="en-US"/>
        </w:rPr>
        <w:t>augsnes</w:t>
      </w:r>
      <w:proofErr w:type="gramEnd"/>
      <w:r w:rsidRPr="00EB04F1">
        <w:rPr>
          <w:szCs w:val="24"/>
          <w:lang w:val="en-GB" w:eastAsia="en-US"/>
        </w:rPr>
        <w:t xml:space="preserve"> apsaimniekošanas prakses” ir prakses, kas ietekmē augsnes fizikālās, ķīmiskās vai bioloģiskās īpašības;</w:t>
      </w:r>
    </w:p>
    <w:p w14:paraId="086DAC97"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7)</w:t>
      </w:r>
      <w:r w:rsidRPr="00EB04F1">
        <w:rPr>
          <w:szCs w:val="24"/>
          <w:lang w:val="en-GB" w:eastAsia="en-US"/>
        </w:rPr>
        <w:tab/>
        <w:t>“</w:t>
      </w:r>
      <w:proofErr w:type="gramStart"/>
      <w:r w:rsidRPr="00EB04F1">
        <w:rPr>
          <w:szCs w:val="24"/>
          <w:lang w:val="en-GB" w:eastAsia="en-US"/>
        </w:rPr>
        <w:t>apsaimniekotas</w:t>
      </w:r>
      <w:proofErr w:type="gramEnd"/>
      <w:r w:rsidRPr="00EB04F1">
        <w:rPr>
          <w:szCs w:val="24"/>
          <w:lang w:val="en-GB" w:eastAsia="en-US"/>
        </w:rPr>
        <w:t xml:space="preserve"> augsnes” ir augsnes, kurās tiek piekoptas augsnes apsaimniekošanas prakses;</w:t>
      </w:r>
    </w:p>
    <w:p w14:paraId="7282E396" w14:textId="500021BA"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t>8)</w:t>
      </w:r>
      <w:r w:rsidRPr="00EB04F1">
        <w:rPr>
          <w:szCs w:val="24"/>
          <w:lang w:val="en-GB" w:eastAsia="en-US"/>
        </w:rPr>
        <w:tab/>
      </w:r>
      <w:r w:rsidRPr="00EB04F1">
        <w:rPr>
          <w:strike/>
          <w:szCs w:val="24"/>
          <w:lang w:val="en-GB" w:eastAsia="en-US"/>
        </w:rPr>
        <w:t>“</w:t>
      </w:r>
      <w:r w:rsidRPr="00EB04F1">
        <w:rPr>
          <w:b/>
          <w:i/>
          <w:szCs w:val="24"/>
          <w:lang w:val="en-GB" w:eastAsia="en-US"/>
        </w:rPr>
        <w:t>"</w:t>
      </w:r>
      <w:proofErr w:type="gramStart"/>
      <w:r w:rsidRPr="00EB04F1">
        <w:rPr>
          <w:szCs w:val="24"/>
          <w:lang w:val="en-GB" w:eastAsia="en-US"/>
        </w:rPr>
        <w:t>augsnes</w:t>
      </w:r>
      <w:proofErr w:type="gramEnd"/>
      <w:r w:rsidRPr="00EB04F1">
        <w:rPr>
          <w:szCs w:val="24"/>
          <w:lang w:val="en-GB" w:eastAsia="en-US"/>
        </w:rPr>
        <w:t xml:space="preserve"> rajons</w:t>
      </w:r>
      <w:r w:rsidRPr="00EB04F1">
        <w:rPr>
          <w:strike/>
          <w:szCs w:val="24"/>
          <w:lang w:val="en-GB" w:eastAsia="en-US"/>
        </w:rPr>
        <w:t>”</w:t>
      </w:r>
      <w:r w:rsidRPr="00EB04F1">
        <w:rPr>
          <w:b/>
          <w:i/>
          <w:szCs w:val="24"/>
          <w:lang w:val="en-GB" w:eastAsia="en-US"/>
        </w:rPr>
        <w:t>"</w:t>
      </w:r>
      <w:r w:rsidRPr="00EB04F1">
        <w:rPr>
          <w:szCs w:val="24"/>
          <w:lang w:val="en-GB" w:eastAsia="en-US"/>
        </w:rPr>
        <w:t xml:space="preserve"> ir dalībvalsts</w:t>
      </w:r>
      <w:r w:rsidRPr="00EB04F1">
        <w:rPr>
          <w:b/>
          <w:i/>
          <w:szCs w:val="24"/>
          <w:lang w:val="en-GB" w:eastAsia="en-US"/>
        </w:rPr>
        <w:t xml:space="preserve"> vai vairāku dalībvalstu</w:t>
      </w:r>
      <w:r w:rsidRPr="00EB04F1">
        <w:rPr>
          <w:szCs w:val="24"/>
          <w:lang w:val="en-GB" w:eastAsia="en-US"/>
        </w:rPr>
        <w:t xml:space="preserve"> teritorijas daļa, ko minētā dalībvalsts </w:t>
      </w:r>
      <w:r w:rsidRPr="00EB04F1">
        <w:rPr>
          <w:strike/>
          <w:szCs w:val="24"/>
          <w:lang w:val="en-GB" w:eastAsia="en-US"/>
        </w:rPr>
        <w:t>norobežojusi</w:t>
      </w:r>
      <w:r w:rsidRPr="00EB04F1">
        <w:rPr>
          <w:b/>
          <w:i/>
          <w:szCs w:val="24"/>
          <w:lang w:val="en-GB" w:eastAsia="en-US"/>
        </w:rPr>
        <w:t>vai minētās dalībvalstis norobežojusi/norobežojušas</w:t>
      </w:r>
      <w:r w:rsidRPr="00EB04F1">
        <w:rPr>
          <w:szCs w:val="24"/>
          <w:lang w:val="en-GB" w:eastAsia="en-US"/>
        </w:rPr>
        <w:t xml:space="preserve"> saskaņā ar šo direktīvu;</w:t>
      </w:r>
      <w:r w:rsidR="0008779A" w:rsidRPr="00EB04F1">
        <w:rPr>
          <w:b/>
          <w:szCs w:val="24"/>
          <w:lang w:val="en-GB" w:eastAsia="en-US"/>
        </w:rPr>
        <w:t xml:space="preserve"> [Gr. 52]</w:t>
      </w:r>
    </w:p>
    <w:p w14:paraId="0EEE0820" w14:textId="77777777" w:rsidR="0008779A" w:rsidRPr="00EB04F1" w:rsidRDefault="0008779A">
      <w:pPr>
        <w:widowControl/>
        <w:rPr>
          <w:szCs w:val="24"/>
          <w:lang w:val="en-GB" w:eastAsia="en-US"/>
        </w:rPr>
      </w:pPr>
      <w:r w:rsidRPr="00EB04F1">
        <w:rPr>
          <w:szCs w:val="24"/>
          <w:lang w:val="en-GB" w:eastAsia="en-US"/>
        </w:rPr>
        <w:br w:type="page"/>
      </w:r>
    </w:p>
    <w:p w14:paraId="2261DD51" w14:textId="301ACB1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lastRenderedPageBreak/>
        <w:t>9)</w:t>
      </w:r>
      <w:r w:rsidRPr="00EB04F1">
        <w:rPr>
          <w:szCs w:val="24"/>
          <w:lang w:val="en-GB" w:eastAsia="en-US"/>
        </w:rPr>
        <w:tab/>
        <w:t>“</w:t>
      </w:r>
      <w:proofErr w:type="gramStart"/>
      <w:r w:rsidRPr="00EB04F1">
        <w:rPr>
          <w:szCs w:val="24"/>
          <w:lang w:val="en-GB" w:eastAsia="en-US"/>
        </w:rPr>
        <w:t>augsnes</w:t>
      </w:r>
      <w:proofErr w:type="gramEnd"/>
      <w:r w:rsidRPr="00EB04F1">
        <w:rPr>
          <w:szCs w:val="24"/>
          <w:lang w:val="en-GB" w:eastAsia="en-US"/>
        </w:rPr>
        <w:t xml:space="preserve"> veselības novērtējums” ir augsnes veselības izvērtējums, kura pamatā ir augsnes deskriptoru mērījumi vai aplēses;</w:t>
      </w:r>
    </w:p>
    <w:p w14:paraId="1F742E97" w14:textId="36AA1277"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t>10)</w:t>
      </w:r>
      <w:r w:rsidRPr="00EB04F1">
        <w:rPr>
          <w:szCs w:val="24"/>
          <w:lang w:val="en-GB" w:eastAsia="en-US"/>
        </w:rPr>
        <w:tab/>
      </w:r>
      <w:r w:rsidRPr="00EB04F1">
        <w:rPr>
          <w:strike/>
          <w:szCs w:val="24"/>
          <w:lang w:val="en-GB" w:eastAsia="en-US"/>
        </w:rPr>
        <w:t>“</w:t>
      </w:r>
      <w:r w:rsidRPr="00EB04F1">
        <w:rPr>
          <w:b/>
          <w:i/>
          <w:szCs w:val="24"/>
          <w:lang w:val="en-GB" w:eastAsia="en-US"/>
        </w:rPr>
        <w:t>"</w:t>
      </w:r>
      <w:proofErr w:type="gramStart"/>
      <w:r w:rsidRPr="00EB04F1">
        <w:rPr>
          <w:szCs w:val="24"/>
          <w:lang w:val="en-GB" w:eastAsia="en-US"/>
        </w:rPr>
        <w:t>kontaminēts</w:t>
      </w:r>
      <w:proofErr w:type="gramEnd"/>
      <w:r w:rsidRPr="00EB04F1">
        <w:rPr>
          <w:szCs w:val="24"/>
          <w:lang w:val="en-GB" w:eastAsia="en-US"/>
        </w:rPr>
        <w:t xml:space="preserve"> objekts</w:t>
      </w:r>
      <w:r w:rsidRPr="00EB04F1">
        <w:rPr>
          <w:strike/>
          <w:szCs w:val="24"/>
          <w:lang w:val="en-GB" w:eastAsia="en-US"/>
        </w:rPr>
        <w:t>”</w:t>
      </w:r>
      <w:r w:rsidRPr="00EB04F1">
        <w:rPr>
          <w:b/>
          <w:i/>
          <w:szCs w:val="24"/>
          <w:lang w:val="en-GB" w:eastAsia="en-US"/>
        </w:rPr>
        <w:t>"</w:t>
      </w:r>
      <w:r w:rsidRPr="00EB04F1">
        <w:rPr>
          <w:szCs w:val="24"/>
          <w:lang w:val="en-GB" w:eastAsia="en-US"/>
        </w:rPr>
        <w:t xml:space="preserve"> ir norobežota viena vai vairāku zemesgabalu teritorija, kurā ir apstiprināta augsnes kontaminācija, ko </w:t>
      </w:r>
      <w:r w:rsidRPr="00EB04F1">
        <w:rPr>
          <w:strike/>
          <w:szCs w:val="24"/>
          <w:lang w:val="en-GB" w:eastAsia="en-US"/>
        </w:rPr>
        <w:t>izraisījušas antropogēniskas punktveida darbības</w:t>
      </w:r>
      <w:r w:rsidRPr="00EB04F1">
        <w:rPr>
          <w:b/>
          <w:i/>
          <w:szCs w:val="24"/>
          <w:lang w:val="en-GB" w:eastAsia="en-US"/>
        </w:rPr>
        <w:t>izraisījusi vielas vai materiāla klātbūtne augsnē tādā koncentrācijā, kura var būt kaitīga veselībai vai videi</w:t>
      </w:r>
      <w:r w:rsidRPr="00EB04F1">
        <w:rPr>
          <w:szCs w:val="24"/>
          <w:lang w:val="en-GB" w:eastAsia="en-US"/>
        </w:rPr>
        <w:t>;</w:t>
      </w:r>
      <w:r w:rsidR="0008779A" w:rsidRPr="00EB04F1">
        <w:rPr>
          <w:b/>
          <w:szCs w:val="24"/>
          <w:lang w:val="en-GB" w:eastAsia="en-US"/>
        </w:rPr>
        <w:t xml:space="preserve"> [Gr. 53]</w:t>
      </w:r>
    </w:p>
    <w:p w14:paraId="472C193E"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11)</w:t>
      </w:r>
      <w:r w:rsidRPr="00EB04F1">
        <w:rPr>
          <w:szCs w:val="24"/>
          <w:lang w:val="en-GB" w:eastAsia="en-US"/>
        </w:rPr>
        <w:tab/>
        <w:t>“</w:t>
      </w:r>
      <w:proofErr w:type="gramStart"/>
      <w:r w:rsidRPr="00EB04F1">
        <w:rPr>
          <w:szCs w:val="24"/>
          <w:lang w:val="en-GB" w:eastAsia="en-US"/>
        </w:rPr>
        <w:t>augsnes</w:t>
      </w:r>
      <w:proofErr w:type="gramEnd"/>
      <w:r w:rsidRPr="00EB04F1">
        <w:rPr>
          <w:szCs w:val="24"/>
          <w:lang w:val="en-GB" w:eastAsia="en-US"/>
        </w:rPr>
        <w:t xml:space="preserve"> deskriptors” ir parametrs, kas raksturo augsnes veselības fizikālos, ķīmiskos vai bioloģiskos raksturlielumus;</w:t>
      </w:r>
    </w:p>
    <w:p w14:paraId="01D136D2"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12)</w:t>
      </w:r>
      <w:r w:rsidRPr="00EB04F1">
        <w:rPr>
          <w:szCs w:val="24"/>
          <w:lang w:val="en-GB" w:eastAsia="en-US"/>
        </w:rPr>
        <w:tab/>
        <w:t>“</w:t>
      </w:r>
      <w:proofErr w:type="gramStart"/>
      <w:r w:rsidRPr="00EB04F1">
        <w:rPr>
          <w:szCs w:val="24"/>
          <w:lang w:val="en-GB" w:eastAsia="en-US"/>
        </w:rPr>
        <w:t>zeme</w:t>
      </w:r>
      <w:proofErr w:type="gramEnd"/>
      <w:r w:rsidRPr="00EB04F1">
        <w:rPr>
          <w:szCs w:val="24"/>
          <w:lang w:val="en-GB" w:eastAsia="en-US"/>
        </w:rPr>
        <w:t>” ir Zemes virsma, ko neklāj ūdens;</w:t>
      </w:r>
    </w:p>
    <w:p w14:paraId="5230BADA"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13)</w:t>
      </w:r>
      <w:r w:rsidRPr="00EB04F1">
        <w:rPr>
          <w:szCs w:val="24"/>
          <w:lang w:val="pt-PT" w:eastAsia="en-US"/>
        </w:rPr>
        <w:tab/>
        <w:t>“zemes segums” ir zemes virsmas fizikālais un bioloģiskais segums;</w:t>
      </w:r>
    </w:p>
    <w:p w14:paraId="327D2F9D"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14)</w:t>
      </w:r>
      <w:r w:rsidRPr="00EB04F1">
        <w:rPr>
          <w:szCs w:val="24"/>
          <w:lang w:val="pt-PT" w:eastAsia="en-US"/>
        </w:rPr>
        <w:tab/>
        <w:t>“dabiska zeme” ir teritorija, kurā teritorijas primārās ekoloģiskās funkcijas un sugu sastāvu nav būtiski mainījusi cilvēka darbība;</w:t>
      </w:r>
    </w:p>
    <w:p w14:paraId="07987287"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15)</w:t>
      </w:r>
      <w:r w:rsidRPr="00EB04F1">
        <w:rPr>
          <w:szCs w:val="24"/>
          <w:lang w:val="pt-PT" w:eastAsia="en-US"/>
        </w:rPr>
        <w:tab/>
        <w:t>“daļēji dabiska zeme” ir teritorija, kurā cilvēka darbības rezultātā ir būtiski mainījies ekoloģisko kopumu sastāvs, līdzsvars vai darbība, bet saglabājusies potenciāli augsta vērtība biodaudzveidības un tās sniegto ekosistēmu pakalpojumu ziņā;</w:t>
      </w:r>
    </w:p>
    <w:p w14:paraId="6B1863AF" w14:textId="77777777" w:rsidR="0008779A" w:rsidRPr="00EB04F1" w:rsidRDefault="0008779A">
      <w:pPr>
        <w:widowControl/>
        <w:rPr>
          <w:szCs w:val="24"/>
          <w:lang w:val="pt-PT" w:eastAsia="en-US"/>
        </w:rPr>
      </w:pPr>
      <w:r w:rsidRPr="00EB04F1">
        <w:rPr>
          <w:szCs w:val="24"/>
          <w:lang w:val="pt-PT" w:eastAsia="en-US"/>
        </w:rPr>
        <w:br w:type="page"/>
      </w:r>
    </w:p>
    <w:p w14:paraId="7E6E6C5F" w14:textId="35933300"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16)</w:t>
      </w:r>
      <w:r w:rsidRPr="00EB04F1">
        <w:rPr>
          <w:szCs w:val="24"/>
          <w:lang w:val="pt-PT" w:eastAsia="en-US"/>
        </w:rPr>
        <w:tab/>
        <w:t>“mākslīga zeme” ir zeme, ko izmanto par pamatu būvēm un infrastruktūrai vai par tiešu izejvielu avotu, vai par vēstures mantojuma glabātavu, tāpēc ziedojot augšņu spēju sniegt citus ekosistēmu pakalpojumus;</w:t>
      </w:r>
    </w:p>
    <w:p w14:paraId="6D4075B7"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17)</w:t>
      </w:r>
      <w:r w:rsidRPr="00EB04F1">
        <w:rPr>
          <w:szCs w:val="24"/>
          <w:lang w:val="pt-PT" w:eastAsia="en-US"/>
        </w:rPr>
        <w:tab/>
        <w:t>“zemes aizņemšana” ir dabiskas un daļēji dabiskas zemes pārveidošana par mākslīgu zemi;</w:t>
      </w:r>
    </w:p>
    <w:p w14:paraId="5CF0DB66" w14:textId="0871D740" w:rsidR="00DA4F3E" w:rsidRPr="00EB04F1" w:rsidRDefault="00DA4F3E" w:rsidP="00DA4F3E">
      <w:pPr>
        <w:spacing w:before="120" w:after="120" w:line="360" w:lineRule="auto"/>
        <w:ind w:left="850" w:hanging="850"/>
        <w:rPr>
          <w:b/>
          <w:szCs w:val="24"/>
          <w:lang w:val="pt-PT" w:eastAsia="en-US"/>
        </w:rPr>
      </w:pPr>
      <w:r w:rsidRPr="00EB04F1">
        <w:rPr>
          <w:b/>
          <w:i/>
          <w:szCs w:val="24"/>
          <w:lang w:val="pt-PT" w:eastAsia="en-US"/>
        </w:rPr>
        <w:t>17a)</w:t>
      </w:r>
      <w:r w:rsidRPr="00EB04F1">
        <w:rPr>
          <w:szCs w:val="24"/>
          <w:lang w:val="pt-PT" w:eastAsia="en-US"/>
        </w:rPr>
        <w:tab/>
      </w:r>
      <w:r w:rsidRPr="00EB04F1">
        <w:rPr>
          <w:b/>
          <w:i/>
          <w:szCs w:val="24"/>
          <w:lang w:val="pt-PT" w:eastAsia="en-US"/>
        </w:rPr>
        <w:t>"augsnes noslēgšana " ir augsnes pārklāšana ar necaurlaidīgu materiālu, izmantojot augsni kā būvniecības un infrastruktūras platformu;</w:t>
      </w:r>
      <w:r w:rsidR="0008779A" w:rsidRPr="00EB04F1">
        <w:rPr>
          <w:b/>
          <w:szCs w:val="24"/>
          <w:lang w:val="pt-PT" w:eastAsia="en-US"/>
        </w:rPr>
        <w:t xml:space="preserve"> [Gr. 54]</w:t>
      </w:r>
    </w:p>
    <w:p w14:paraId="1F1DC3E1" w14:textId="2B9E2FF5" w:rsidR="00DA4F3E" w:rsidRPr="00EB04F1" w:rsidRDefault="00DA4F3E" w:rsidP="00DA4F3E">
      <w:pPr>
        <w:spacing w:before="120" w:after="120" w:line="360" w:lineRule="auto"/>
        <w:ind w:left="850" w:hanging="850"/>
        <w:rPr>
          <w:b/>
          <w:szCs w:val="24"/>
          <w:lang w:val="pt-PT" w:eastAsia="en-US"/>
        </w:rPr>
      </w:pPr>
      <w:r w:rsidRPr="00EB04F1">
        <w:rPr>
          <w:b/>
          <w:i/>
          <w:szCs w:val="24"/>
          <w:lang w:val="pt-PT" w:eastAsia="en-US"/>
        </w:rPr>
        <w:t>17b)</w:t>
      </w:r>
      <w:r w:rsidRPr="00EB04F1">
        <w:rPr>
          <w:szCs w:val="24"/>
          <w:lang w:val="pt-PT" w:eastAsia="en-US"/>
        </w:rPr>
        <w:tab/>
      </w:r>
      <w:r w:rsidRPr="00EB04F1">
        <w:rPr>
          <w:b/>
          <w:i/>
          <w:szCs w:val="24"/>
          <w:lang w:val="pt-PT" w:eastAsia="en-US"/>
        </w:rPr>
        <w:t>"augsnes atslēgšana" ir zemes, kas vairs nepilda savas dabiskās augsnes funkcijas, piemēram, infiltrācijas, caursūkšanās un hidroloģiskās funkcijas, pārveidošana par funkcionālu augsni;</w:t>
      </w:r>
      <w:r w:rsidR="0008779A" w:rsidRPr="00EB04F1">
        <w:rPr>
          <w:b/>
          <w:szCs w:val="24"/>
          <w:lang w:val="pt-PT" w:eastAsia="en-US"/>
        </w:rPr>
        <w:t xml:space="preserve"> [Gr. 55]</w:t>
      </w:r>
    </w:p>
    <w:p w14:paraId="53F050D3"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18)</w:t>
      </w:r>
      <w:r w:rsidRPr="00EB04F1">
        <w:rPr>
          <w:szCs w:val="24"/>
          <w:lang w:val="pt-PT" w:eastAsia="en-US"/>
        </w:rPr>
        <w:tab/>
        <w:t>“pārneses funkcija” ir matemātisks noteikums, ar kuru tāda mērījuma vērtību, kas veikts, izmantojot no atsauces metodikas atšķirīgu metodiku, konvertēt vērtībā, ko iegūtu, augsnes mērījumam izmantojot atsauces metodiku;</w:t>
      </w:r>
    </w:p>
    <w:p w14:paraId="6FD64E40" w14:textId="77777777" w:rsidR="0008779A" w:rsidRPr="00EB04F1" w:rsidRDefault="0008779A">
      <w:pPr>
        <w:widowControl/>
        <w:rPr>
          <w:szCs w:val="24"/>
          <w:lang w:val="pt-PT" w:eastAsia="en-US"/>
        </w:rPr>
      </w:pPr>
      <w:r w:rsidRPr="00EB04F1">
        <w:rPr>
          <w:szCs w:val="24"/>
          <w:lang w:val="pt-PT" w:eastAsia="en-US"/>
        </w:rPr>
        <w:br w:type="page"/>
      </w:r>
    </w:p>
    <w:p w14:paraId="4559906F" w14:textId="52AA9E36"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19)</w:t>
      </w:r>
      <w:r w:rsidRPr="00EB04F1">
        <w:rPr>
          <w:szCs w:val="24"/>
          <w:lang w:val="pt-PT" w:eastAsia="en-US"/>
        </w:rPr>
        <w:tab/>
      </w:r>
      <w:r w:rsidRPr="00EB04F1">
        <w:rPr>
          <w:strike/>
          <w:szCs w:val="24"/>
          <w:lang w:val="pt-PT" w:eastAsia="en-US"/>
        </w:rPr>
        <w:t>“</w:t>
      </w:r>
      <w:r w:rsidRPr="00EB04F1">
        <w:rPr>
          <w:b/>
          <w:i/>
          <w:szCs w:val="24"/>
          <w:lang w:val="pt-PT" w:eastAsia="en-US"/>
        </w:rPr>
        <w:t>"</w:t>
      </w:r>
      <w:r w:rsidRPr="00EB04F1">
        <w:rPr>
          <w:szCs w:val="24"/>
          <w:lang w:val="pt-PT" w:eastAsia="en-US"/>
        </w:rPr>
        <w:t>attiecīgā sabiedrības daļa</w:t>
      </w:r>
      <w:r w:rsidRPr="00EB04F1">
        <w:rPr>
          <w:strike/>
          <w:szCs w:val="24"/>
          <w:lang w:val="pt-PT" w:eastAsia="en-US"/>
        </w:rPr>
        <w:t>”</w:t>
      </w:r>
      <w:r w:rsidRPr="00EB04F1">
        <w:rPr>
          <w:b/>
          <w:i/>
          <w:szCs w:val="24"/>
          <w:lang w:val="pt-PT" w:eastAsia="en-US"/>
        </w:rPr>
        <w:t>"</w:t>
      </w:r>
      <w:r w:rsidRPr="00EB04F1">
        <w:rPr>
          <w:szCs w:val="24"/>
          <w:lang w:val="pt-PT" w:eastAsia="en-US"/>
        </w:rPr>
        <w:t xml:space="preserve"> ir sabiedrības daļa, kuru ietekmē vai varētu ietekmēt augsnes degradācija vai kura ir ieinteresēta lēmumu pieņemšanas procedūrās, kas saistītas ar šajā direktīvā noteikto pienākumu īstenošanu, arī </w:t>
      </w:r>
      <w:r w:rsidRPr="00EB04F1">
        <w:rPr>
          <w:b/>
          <w:i/>
          <w:szCs w:val="24"/>
          <w:lang w:val="pt-PT" w:eastAsia="en-US"/>
        </w:rPr>
        <w:t xml:space="preserve">iedzīvotāji, </w:t>
      </w:r>
      <w:r w:rsidRPr="00EB04F1">
        <w:rPr>
          <w:szCs w:val="24"/>
          <w:lang w:val="pt-PT" w:eastAsia="en-US"/>
        </w:rPr>
        <w:t>zemes īpašnieki</w:t>
      </w:r>
      <w:r w:rsidRPr="00EB04F1">
        <w:rPr>
          <w:b/>
          <w:i/>
          <w:szCs w:val="24"/>
          <w:lang w:val="pt-PT" w:eastAsia="en-US"/>
        </w:rPr>
        <w:t>, apsaimniekotāji</w:t>
      </w:r>
      <w:r w:rsidRPr="00EB04F1">
        <w:rPr>
          <w:szCs w:val="24"/>
          <w:lang w:val="pt-PT" w:eastAsia="en-US"/>
        </w:rPr>
        <w:t xml:space="preserve"> un</w:t>
      </w:r>
      <w:r w:rsidRPr="00EB04F1">
        <w:rPr>
          <w:strike/>
          <w:szCs w:val="24"/>
          <w:lang w:val="pt-PT" w:eastAsia="en-US"/>
        </w:rPr>
        <w:t xml:space="preserve"> zemes</w:t>
      </w:r>
      <w:r w:rsidRPr="00EB04F1">
        <w:rPr>
          <w:szCs w:val="24"/>
          <w:lang w:val="pt-PT" w:eastAsia="en-US"/>
        </w:rPr>
        <w:t xml:space="preserve"> lietotāji, kā arī nevalstiskās organizācijas, kas veicina cilvēka</w:t>
      </w:r>
      <w:r w:rsidRPr="00EB04F1">
        <w:rPr>
          <w:b/>
          <w:i/>
          <w:szCs w:val="24"/>
          <w:lang w:val="pt-PT" w:eastAsia="en-US"/>
        </w:rPr>
        <w:t xml:space="preserve"> vai dzīvnieku</w:t>
      </w:r>
      <w:r w:rsidRPr="00EB04F1">
        <w:rPr>
          <w:szCs w:val="24"/>
          <w:lang w:val="pt-PT" w:eastAsia="en-US"/>
        </w:rPr>
        <w:t xml:space="preserve"> veselības vai vides aizsardzību un atbilst visām valsts tiesību aktu prasībām;</w:t>
      </w:r>
      <w:r w:rsidR="0008779A" w:rsidRPr="00EB04F1">
        <w:rPr>
          <w:b/>
          <w:szCs w:val="24"/>
          <w:lang w:val="pt-PT" w:eastAsia="en-US"/>
        </w:rPr>
        <w:t xml:space="preserve"> [Gr. 56]</w:t>
      </w:r>
    </w:p>
    <w:p w14:paraId="1806CDBD" w14:textId="5B06F3F2" w:rsidR="00DA4F3E" w:rsidRPr="00EB04F1" w:rsidRDefault="00DA4F3E" w:rsidP="00DA4F3E">
      <w:pPr>
        <w:spacing w:before="120" w:after="120" w:line="360" w:lineRule="auto"/>
        <w:ind w:left="850" w:hanging="850"/>
        <w:rPr>
          <w:b/>
          <w:szCs w:val="24"/>
          <w:lang w:val="pt-PT" w:eastAsia="en-US"/>
        </w:rPr>
      </w:pPr>
      <w:r w:rsidRPr="00EB04F1">
        <w:rPr>
          <w:b/>
          <w:i/>
          <w:szCs w:val="24"/>
          <w:lang w:val="pt-PT" w:eastAsia="en-US"/>
        </w:rPr>
        <w:t>19a)</w:t>
      </w:r>
      <w:r w:rsidRPr="00EB04F1">
        <w:rPr>
          <w:szCs w:val="24"/>
          <w:lang w:val="pt-PT" w:eastAsia="en-US"/>
        </w:rPr>
        <w:tab/>
      </w:r>
      <w:r w:rsidRPr="00EB04F1">
        <w:rPr>
          <w:b/>
          <w:i/>
          <w:szCs w:val="24"/>
          <w:lang w:val="pt-PT" w:eastAsia="en-US"/>
        </w:rPr>
        <w:t>"sabiedrība" ir viena vai vairākas fiziskas vai juridiskas personas un — saskaņā ar attiecīgās valsts tiesību aktiem vai praksi — apvienības, organizācijas vai grupas, kurās apvienojušās šādas personas;</w:t>
      </w:r>
      <w:r w:rsidR="0008779A" w:rsidRPr="00EB04F1">
        <w:rPr>
          <w:b/>
          <w:szCs w:val="24"/>
          <w:lang w:val="pt-PT" w:eastAsia="en-US"/>
        </w:rPr>
        <w:t xml:space="preserve"> [Gr. 57]</w:t>
      </w:r>
    </w:p>
    <w:p w14:paraId="580F9636" w14:textId="1DB99889"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20)</w:t>
      </w:r>
      <w:r w:rsidRPr="00EB04F1">
        <w:rPr>
          <w:szCs w:val="24"/>
          <w:lang w:val="pt-PT" w:eastAsia="en-US"/>
        </w:rPr>
        <w:tab/>
      </w:r>
      <w:r w:rsidRPr="00EB04F1">
        <w:rPr>
          <w:strike/>
          <w:szCs w:val="24"/>
          <w:lang w:val="pt-PT" w:eastAsia="en-US"/>
        </w:rPr>
        <w:t>“</w:t>
      </w:r>
      <w:r w:rsidRPr="00EB04F1">
        <w:rPr>
          <w:b/>
          <w:i/>
          <w:szCs w:val="24"/>
          <w:lang w:val="pt-PT" w:eastAsia="en-US"/>
        </w:rPr>
        <w:t>"</w:t>
      </w:r>
      <w:r w:rsidRPr="00EB04F1">
        <w:rPr>
          <w:szCs w:val="24"/>
          <w:lang w:val="pt-PT" w:eastAsia="en-US"/>
        </w:rPr>
        <w:t>augsnes kontaminācija</w:t>
      </w:r>
      <w:r w:rsidRPr="00EB04F1">
        <w:rPr>
          <w:strike/>
          <w:szCs w:val="24"/>
          <w:lang w:val="pt-PT" w:eastAsia="en-US"/>
        </w:rPr>
        <w:t>”</w:t>
      </w:r>
      <w:r w:rsidRPr="00EB04F1">
        <w:rPr>
          <w:b/>
          <w:i/>
          <w:szCs w:val="24"/>
          <w:lang w:val="pt-PT" w:eastAsia="en-US"/>
        </w:rPr>
        <w:t>"</w:t>
      </w:r>
      <w:r w:rsidRPr="00EB04F1">
        <w:rPr>
          <w:szCs w:val="24"/>
          <w:lang w:val="pt-PT" w:eastAsia="en-US"/>
        </w:rPr>
        <w:t xml:space="preserve"> ir kādas </w:t>
      </w:r>
      <w:r w:rsidRPr="00EB04F1">
        <w:rPr>
          <w:strike/>
          <w:szCs w:val="24"/>
          <w:lang w:val="pt-PT" w:eastAsia="en-US"/>
        </w:rPr>
        <w:t xml:space="preserve">ķimikālijas vai </w:t>
      </w:r>
      <w:r w:rsidRPr="00EB04F1">
        <w:rPr>
          <w:szCs w:val="24"/>
          <w:lang w:val="pt-PT" w:eastAsia="en-US"/>
        </w:rPr>
        <w:t>vielas</w:t>
      </w:r>
      <w:r w:rsidRPr="00EB04F1">
        <w:rPr>
          <w:b/>
          <w:i/>
          <w:szCs w:val="24"/>
          <w:lang w:val="pt-PT" w:eastAsia="en-US"/>
        </w:rPr>
        <w:t xml:space="preserve"> vai materiāla</w:t>
      </w:r>
      <w:r w:rsidRPr="00EB04F1">
        <w:rPr>
          <w:szCs w:val="24"/>
          <w:lang w:val="pt-PT" w:eastAsia="en-US"/>
        </w:rPr>
        <w:t xml:space="preserve"> klātbūtne augsnē tādā koncentrācijā, kas var </w:t>
      </w:r>
      <w:r w:rsidRPr="00EB04F1">
        <w:rPr>
          <w:strike/>
          <w:szCs w:val="24"/>
          <w:lang w:val="pt-PT" w:eastAsia="en-US"/>
        </w:rPr>
        <w:t>kaitēt</w:t>
      </w:r>
      <w:r w:rsidRPr="00EB04F1">
        <w:rPr>
          <w:b/>
          <w:i/>
          <w:szCs w:val="24"/>
          <w:lang w:val="pt-PT" w:eastAsia="en-US"/>
        </w:rPr>
        <w:t>tieši vai netieši izraisīt kaitīgu ietekmi uz</w:t>
      </w:r>
      <w:r w:rsidRPr="00EB04F1">
        <w:rPr>
          <w:szCs w:val="24"/>
          <w:lang w:val="pt-PT" w:eastAsia="en-US"/>
        </w:rPr>
        <w:t xml:space="preserve"> cilvēka </w:t>
      </w:r>
      <w:r w:rsidRPr="00EB04F1">
        <w:rPr>
          <w:strike/>
          <w:szCs w:val="24"/>
          <w:lang w:val="pt-PT" w:eastAsia="en-US"/>
        </w:rPr>
        <w:t>veselībai vai videi</w:t>
      </w:r>
      <w:r w:rsidRPr="00EB04F1">
        <w:rPr>
          <w:b/>
          <w:i/>
          <w:szCs w:val="24"/>
          <w:lang w:val="pt-PT" w:eastAsia="en-US"/>
        </w:rPr>
        <w:t>vai dzīvnieku veselību vai vidi</w:t>
      </w:r>
      <w:r w:rsidRPr="00EB04F1">
        <w:rPr>
          <w:szCs w:val="24"/>
          <w:lang w:val="pt-PT" w:eastAsia="en-US"/>
        </w:rPr>
        <w:t>;</w:t>
      </w:r>
      <w:r w:rsidR="0008779A" w:rsidRPr="00EB04F1">
        <w:rPr>
          <w:b/>
          <w:szCs w:val="24"/>
          <w:lang w:val="pt-PT" w:eastAsia="en-US"/>
        </w:rPr>
        <w:t xml:space="preserve"> [Gr. 58]</w:t>
      </w:r>
    </w:p>
    <w:p w14:paraId="69028B8D"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21)</w:t>
      </w:r>
      <w:r w:rsidRPr="00EB04F1">
        <w:rPr>
          <w:szCs w:val="24"/>
          <w:lang w:val="pt-PT" w:eastAsia="en-US"/>
        </w:rPr>
        <w:tab/>
        <w:t>“kontaminants” ir viela, kas var izraisīt augsnes kontamināciju;</w:t>
      </w:r>
    </w:p>
    <w:p w14:paraId="21B09CAE"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22)</w:t>
      </w:r>
      <w:r w:rsidRPr="00EB04F1">
        <w:rPr>
          <w:szCs w:val="24"/>
          <w:lang w:val="pt-PT" w:eastAsia="en-US"/>
        </w:rPr>
        <w:tab/>
        <w:t>“atveseļošana” ir ar nodomu veikta darbība, kuras mērķis ir degradētu augsni atkal padarīt veselīgu;</w:t>
      </w:r>
    </w:p>
    <w:p w14:paraId="28624EFE" w14:textId="77777777" w:rsidR="0008779A" w:rsidRPr="00EB04F1" w:rsidRDefault="0008779A">
      <w:pPr>
        <w:widowControl/>
        <w:rPr>
          <w:szCs w:val="24"/>
          <w:lang w:val="pt-PT" w:eastAsia="en-US"/>
        </w:rPr>
      </w:pPr>
      <w:r w:rsidRPr="00EB04F1">
        <w:rPr>
          <w:szCs w:val="24"/>
          <w:lang w:val="pt-PT" w:eastAsia="en-US"/>
        </w:rPr>
        <w:br w:type="page"/>
      </w:r>
    </w:p>
    <w:p w14:paraId="0F778DBD" w14:textId="704CF042"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23)</w:t>
      </w:r>
      <w:r w:rsidRPr="00EB04F1">
        <w:rPr>
          <w:szCs w:val="24"/>
          <w:lang w:val="pt-PT" w:eastAsia="en-US"/>
        </w:rPr>
        <w:tab/>
      </w:r>
      <w:r w:rsidRPr="00EB04F1">
        <w:rPr>
          <w:strike/>
          <w:szCs w:val="24"/>
          <w:lang w:val="pt-PT" w:eastAsia="en-US"/>
        </w:rPr>
        <w:t>“</w:t>
      </w:r>
      <w:r w:rsidRPr="00EB04F1">
        <w:rPr>
          <w:b/>
          <w:i/>
          <w:szCs w:val="24"/>
          <w:lang w:val="pt-PT" w:eastAsia="en-US"/>
        </w:rPr>
        <w:t>"</w:t>
      </w:r>
      <w:r w:rsidRPr="00EB04F1">
        <w:rPr>
          <w:szCs w:val="24"/>
          <w:lang w:val="pt-PT" w:eastAsia="en-US"/>
        </w:rPr>
        <w:t>risks</w:t>
      </w:r>
      <w:r w:rsidRPr="00EB04F1">
        <w:rPr>
          <w:strike/>
          <w:szCs w:val="24"/>
          <w:lang w:val="pt-PT" w:eastAsia="en-US"/>
        </w:rPr>
        <w:t>”</w:t>
      </w:r>
      <w:r w:rsidRPr="00EB04F1">
        <w:rPr>
          <w:b/>
          <w:i/>
          <w:szCs w:val="24"/>
          <w:lang w:val="pt-PT" w:eastAsia="en-US"/>
        </w:rPr>
        <w:t>"</w:t>
      </w:r>
      <w:r w:rsidRPr="00EB04F1">
        <w:rPr>
          <w:szCs w:val="24"/>
          <w:lang w:val="pt-PT" w:eastAsia="en-US"/>
        </w:rPr>
        <w:t xml:space="preserve"> ir iespējamība, ka eksponētība augsnes kontaminācijai varētu kaitīgi ietekmēt cilvēka </w:t>
      </w:r>
      <w:r w:rsidRPr="00EB04F1">
        <w:rPr>
          <w:b/>
          <w:i/>
          <w:szCs w:val="24"/>
          <w:lang w:val="pt-PT" w:eastAsia="en-US"/>
        </w:rPr>
        <w:t xml:space="preserve">vai dzīvnieku </w:t>
      </w:r>
      <w:r w:rsidRPr="00EB04F1">
        <w:rPr>
          <w:szCs w:val="24"/>
          <w:lang w:val="pt-PT" w:eastAsia="en-US"/>
        </w:rPr>
        <w:t>veselību vai vidi;</w:t>
      </w:r>
      <w:r w:rsidR="0008779A" w:rsidRPr="00EB04F1">
        <w:rPr>
          <w:b/>
          <w:szCs w:val="24"/>
          <w:lang w:val="pt-PT" w:eastAsia="en-US"/>
        </w:rPr>
        <w:t xml:space="preserve"> [Gr. 59]</w:t>
      </w:r>
    </w:p>
    <w:p w14:paraId="78854CEB"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24)</w:t>
      </w:r>
      <w:r w:rsidRPr="00EB04F1">
        <w:rPr>
          <w:szCs w:val="24"/>
          <w:lang w:val="pt-PT" w:eastAsia="en-US"/>
        </w:rPr>
        <w:tab/>
        <w:t>“augsnes izpēte” ir process, kurā novērtē kontaminantu klātbūtni un koncentrāciju augsnē un kuru parasti veic vairākos posmos;</w:t>
      </w:r>
    </w:p>
    <w:p w14:paraId="2CE4DB98"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25)</w:t>
      </w:r>
      <w:r w:rsidRPr="00EB04F1">
        <w:rPr>
          <w:szCs w:val="24"/>
          <w:lang w:val="pt-PT" w:eastAsia="en-US"/>
        </w:rPr>
        <w:tab/>
        <w:t>“ģeogrāfiski eksplicīta” ir informācija, uz kuru atsaucas un kuru glabā tā, lai to varētu kartēt un lokalizēt ar noteiktu precīzumspēju un precizitāti;</w:t>
      </w:r>
    </w:p>
    <w:p w14:paraId="62C91262" w14:textId="35E37880"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26)</w:t>
      </w:r>
      <w:r w:rsidRPr="00EB04F1">
        <w:rPr>
          <w:szCs w:val="24"/>
          <w:lang w:val="pt-PT" w:eastAsia="en-US"/>
        </w:rPr>
        <w:tab/>
      </w:r>
      <w:r w:rsidRPr="00EB04F1">
        <w:rPr>
          <w:strike/>
          <w:szCs w:val="24"/>
          <w:lang w:val="pt-PT" w:eastAsia="en-US"/>
        </w:rPr>
        <w:t>“</w:t>
      </w:r>
      <w:r w:rsidRPr="00EB04F1">
        <w:rPr>
          <w:b/>
          <w:i/>
          <w:szCs w:val="24"/>
          <w:lang w:val="pt-PT" w:eastAsia="en-US"/>
        </w:rPr>
        <w:t>"</w:t>
      </w:r>
      <w:r w:rsidRPr="00EB04F1">
        <w:rPr>
          <w:szCs w:val="24"/>
          <w:lang w:val="pt-PT" w:eastAsia="en-US"/>
        </w:rPr>
        <w:t>augsnes remediācija</w:t>
      </w:r>
      <w:r w:rsidRPr="00EB04F1">
        <w:rPr>
          <w:strike/>
          <w:szCs w:val="24"/>
          <w:lang w:val="pt-PT" w:eastAsia="en-US"/>
        </w:rPr>
        <w:t>”</w:t>
      </w:r>
      <w:r w:rsidRPr="00EB04F1">
        <w:rPr>
          <w:b/>
          <w:i/>
          <w:szCs w:val="24"/>
          <w:lang w:val="pt-PT" w:eastAsia="en-US"/>
        </w:rPr>
        <w:t>"</w:t>
      </w:r>
      <w:r w:rsidRPr="00EB04F1">
        <w:rPr>
          <w:szCs w:val="24"/>
          <w:lang w:val="pt-PT" w:eastAsia="en-US"/>
        </w:rPr>
        <w:t xml:space="preserve"> ir atveseļošanas darbība, kas samazina, izolē vai imobilizē kontaminantu koncentrāciju augsnē</w:t>
      </w:r>
      <w:r w:rsidRPr="00EB04F1">
        <w:rPr>
          <w:b/>
          <w:i/>
          <w:szCs w:val="24"/>
          <w:lang w:val="pt-PT" w:eastAsia="en-US"/>
        </w:rPr>
        <w:t>, samazinot to līdz tādai toksicitātes robežvērtībai, kas nodrošina, ka organismi, kuri nonāk kontaktā ar šo augsni, nav pakļauti būtiskam apdraudējumam, ar mērķi uzlabot ekoloģisko stāvokli</w:t>
      </w:r>
      <w:r w:rsidRPr="00EB04F1">
        <w:rPr>
          <w:szCs w:val="24"/>
          <w:lang w:val="pt-PT" w:eastAsia="en-US"/>
        </w:rPr>
        <w:t>.</w:t>
      </w:r>
      <w:r w:rsidR="0008779A" w:rsidRPr="00EB04F1">
        <w:rPr>
          <w:b/>
          <w:szCs w:val="24"/>
          <w:lang w:val="pt-PT" w:eastAsia="en-US"/>
        </w:rPr>
        <w:t xml:space="preserve"> [Gr. 60]</w:t>
      </w:r>
    </w:p>
    <w:p w14:paraId="7F6E4C25" w14:textId="77777777" w:rsidR="0008779A" w:rsidRPr="00EB04F1" w:rsidRDefault="0008779A">
      <w:pPr>
        <w:widowControl/>
        <w:rPr>
          <w:szCs w:val="24"/>
          <w:lang w:val="pt-PT" w:eastAsia="en-US"/>
        </w:rPr>
      </w:pPr>
      <w:r w:rsidRPr="00EB04F1">
        <w:rPr>
          <w:szCs w:val="24"/>
          <w:lang w:val="pt-PT" w:eastAsia="en-US"/>
        </w:rPr>
        <w:br w:type="page"/>
      </w:r>
    </w:p>
    <w:p w14:paraId="56D33455" w14:textId="7292A91A" w:rsidR="00DA4F3E" w:rsidRPr="00EB04F1" w:rsidRDefault="00DA4F3E" w:rsidP="00DA4F3E">
      <w:pPr>
        <w:spacing w:before="120" w:after="120" w:line="360" w:lineRule="auto"/>
        <w:jc w:val="center"/>
        <w:rPr>
          <w:szCs w:val="24"/>
          <w:lang w:val="pt-PT" w:eastAsia="en-US"/>
        </w:rPr>
      </w:pPr>
      <w:r w:rsidRPr="00EB04F1">
        <w:rPr>
          <w:szCs w:val="24"/>
          <w:lang w:val="pt-PT" w:eastAsia="en-US"/>
        </w:rPr>
        <w:lastRenderedPageBreak/>
        <w:t>4. pants</w:t>
      </w:r>
      <w:r w:rsidRPr="00EB04F1">
        <w:rPr>
          <w:szCs w:val="24"/>
          <w:lang w:val="pt-PT" w:eastAsia="en-US"/>
        </w:rPr>
        <w:br/>
        <w:t>Augsnes rajoni</w:t>
      </w:r>
    </w:p>
    <w:p w14:paraId="7F8B8EF2" w14:textId="374B97B2"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1.</w:t>
      </w:r>
      <w:r w:rsidRPr="00EB04F1">
        <w:rPr>
          <w:szCs w:val="24"/>
          <w:lang w:val="pt-PT" w:eastAsia="en-US"/>
        </w:rPr>
        <w:tab/>
        <w:t>Dalībvalstis</w:t>
      </w:r>
      <w:r w:rsidRPr="00EB04F1">
        <w:rPr>
          <w:b/>
          <w:i/>
          <w:szCs w:val="24"/>
          <w:lang w:val="pt-PT" w:eastAsia="en-US"/>
        </w:rPr>
        <w:t>, apspriežoties ar vietējām, reģionālajām un starpreģionālajām iestādēm,</w:t>
      </w:r>
      <w:r w:rsidRPr="00EB04F1">
        <w:rPr>
          <w:szCs w:val="24"/>
          <w:lang w:val="pt-PT" w:eastAsia="en-US"/>
        </w:rPr>
        <w:t xml:space="preserve"> visā savā teritorijā</w:t>
      </w:r>
      <w:r w:rsidRPr="00EB04F1">
        <w:rPr>
          <w:b/>
          <w:i/>
          <w:szCs w:val="24"/>
          <w:lang w:val="pt-PT" w:eastAsia="en-US"/>
        </w:rPr>
        <w:t xml:space="preserve"> un pārrobežu teritorijās kopā ar kaimiņu dalībvalstīm</w:t>
      </w:r>
      <w:r w:rsidRPr="00EB04F1">
        <w:rPr>
          <w:szCs w:val="24"/>
          <w:lang w:val="pt-PT" w:eastAsia="en-US"/>
        </w:rPr>
        <w:t xml:space="preserve"> izveido augsnes rajonus</w:t>
      </w:r>
      <w:r w:rsidRPr="00EB04F1">
        <w:rPr>
          <w:b/>
          <w:i/>
          <w:szCs w:val="24"/>
          <w:lang w:val="pt-PT" w:eastAsia="en-US"/>
        </w:rPr>
        <w:t>, attiecīgā gadījumā balstoties uz administratīvajām vienībām</w:t>
      </w:r>
      <w:r w:rsidRPr="00EB04F1">
        <w:rPr>
          <w:szCs w:val="24"/>
          <w:lang w:val="pt-PT" w:eastAsia="en-US"/>
        </w:rPr>
        <w:t>.</w:t>
      </w:r>
      <w:r w:rsidR="0008779A" w:rsidRPr="00EB04F1">
        <w:rPr>
          <w:b/>
          <w:szCs w:val="24"/>
          <w:lang w:val="pt-PT" w:eastAsia="en-US"/>
        </w:rPr>
        <w:t xml:space="preserve"> [Gr. 61]</w:t>
      </w:r>
    </w:p>
    <w:p w14:paraId="27F7D399" w14:textId="482ACF53" w:rsidR="00DA4F3E" w:rsidRPr="00EB04F1" w:rsidRDefault="00DA4F3E" w:rsidP="00DA4F3E">
      <w:pPr>
        <w:spacing w:before="120" w:after="120" w:line="360" w:lineRule="auto"/>
        <w:ind w:left="850"/>
        <w:rPr>
          <w:szCs w:val="24"/>
          <w:lang w:val="pt-PT" w:eastAsia="en-US"/>
        </w:rPr>
      </w:pPr>
      <w:r w:rsidRPr="00EB04F1">
        <w:rPr>
          <w:strike/>
          <w:szCs w:val="24"/>
          <w:lang w:val="pt-PT" w:eastAsia="en-US"/>
        </w:rPr>
        <w:t>Augsnes rajonu skaits katrā dalībvalstī atbilst vismaz to NUTS 1 teritoriālo vienību skaitam, kas noteiktas ar Regulu (EK) Nr. 1059/2003.</w:t>
      </w:r>
      <w:r w:rsidR="0008779A" w:rsidRPr="00EB04F1">
        <w:rPr>
          <w:strike/>
          <w:szCs w:val="24"/>
          <w:lang w:val="pt-PT" w:eastAsia="en-US"/>
        </w:rPr>
        <w:t xml:space="preserve"> </w:t>
      </w:r>
      <w:r w:rsidR="0008779A" w:rsidRPr="00EB04F1">
        <w:rPr>
          <w:b/>
          <w:szCs w:val="24"/>
          <w:lang w:eastAsia="en-US"/>
        </w:rPr>
        <w:t>[Gr. 221/rev1]</w:t>
      </w:r>
    </w:p>
    <w:p w14:paraId="697D6DD2" w14:textId="56A98047"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2.</w:t>
      </w:r>
      <w:r w:rsidRPr="00EB04F1">
        <w:rPr>
          <w:szCs w:val="24"/>
          <w:lang w:val="pt-PT" w:eastAsia="en-US"/>
        </w:rPr>
        <w:tab/>
        <w:t xml:space="preserve">Nosakot augsnes rajonu ģeogrāfisko platību, dalībvalstis var ņemt vērā </w:t>
      </w:r>
      <w:r w:rsidRPr="00EB04F1">
        <w:rPr>
          <w:b/>
          <w:i/>
          <w:szCs w:val="24"/>
          <w:lang w:val="pt-PT" w:eastAsia="en-US"/>
        </w:rPr>
        <w:t xml:space="preserve">esošo zemes izmantojumu, pārvaldības struktūras un </w:t>
      </w:r>
      <w:r w:rsidRPr="00EB04F1">
        <w:rPr>
          <w:szCs w:val="24"/>
          <w:lang w:val="pt-PT" w:eastAsia="en-US"/>
        </w:rPr>
        <w:t>esošās administratīvās vienības un katrā augsnes rajonā</w:t>
      </w:r>
      <w:r w:rsidRPr="00EB04F1">
        <w:rPr>
          <w:b/>
          <w:i/>
          <w:szCs w:val="24"/>
          <w:lang w:val="pt-PT" w:eastAsia="en-US"/>
        </w:rPr>
        <w:t xml:space="preserve"> prioritāri</w:t>
      </w:r>
      <w:r w:rsidRPr="00EB04F1">
        <w:rPr>
          <w:szCs w:val="24"/>
          <w:lang w:val="pt-PT" w:eastAsia="en-US"/>
        </w:rPr>
        <w:t xml:space="preserve"> cenšas panākt viendabīgumu attiecībā uz šādiem parametriem:</w:t>
      </w:r>
      <w:r w:rsidR="00070750" w:rsidRPr="00EB04F1">
        <w:rPr>
          <w:b/>
          <w:szCs w:val="24"/>
          <w:lang w:val="pt-PT" w:eastAsia="en-US"/>
        </w:rPr>
        <w:t xml:space="preserve"> [Gr. 63]</w:t>
      </w:r>
    </w:p>
    <w:p w14:paraId="0BEAF7F2" w14:textId="2D607D38"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a)</w:t>
      </w:r>
      <w:r w:rsidRPr="00EB04F1">
        <w:rPr>
          <w:szCs w:val="24"/>
          <w:lang w:val="pt-PT" w:eastAsia="en-US"/>
        </w:rPr>
        <w:tab/>
        <w:t>augsnes tips, kas definēts Pasaules Augsnes resursu uzziņas datubāzē</w:t>
      </w:r>
      <w:r w:rsidRPr="00EB04F1">
        <w:rPr>
          <w:szCs w:val="24"/>
          <w:vertAlign w:val="superscript"/>
          <w:lang w:val="en-GB" w:eastAsia="en-US"/>
        </w:rPr>
        <w:footnoteReference w:id="48"/>
      </w:r>
      <w:r w:rsidRPr="00EB04F1">
        <w:rPr>
          <w:szCs w:val="24"/>
          <w:lang w:val="pt-PT" w:eastAsia="en-US"/>
        </w:rPr>
        <w:t>;</w:t>
      </w:r>
    </w:p>
    <w:p w14:paraId="5036AC8B" w14:textId="69B08D8E"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b)</w:t>
      </w:r>
      <w:r w:rsidRPr="00EB04F1">
        <w:rPr>
          <w:szCs w:val="24"/>
          <w:lang w:val="pt-PT" w:eastAsia="en-US"/>
        </w:rPr>
        <w:tab/>
        <w:t>klimatiskie apstākļi;</w:t>
      </w:r>
    </w:p>
    <w:p w14:paraId="5C864216" w14:textId="353373FA"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c)</w:t>
      </w:r>
      <w:r w:rsidRPr="00EB04F1">
        <w:rPr>
          <w:szCs w:val="24"/>
          <w:lang w:val="pt-PT" w:eastAsia="en-US"/>
        </w:rPr>
        <w:tab/>
        <w:t>vides zona, kas aprakstīta Alterra ziņojumā 2281</w:t>
      </w:r>
      <w:r w:rsidRPr="00EB04F1">
        <w:rPr>
          <w:szCs w:val="24"/>
          <w:vertAlign w:val="superscript"/>
          <w:lang w:val="en-GB" w:eastAsia="en-US"/>
        </w:rPr>
        <w:footnoteReference w:id="49"/>
      </w:r>
      <w:r w:rsidRPr="00EB04F1">
        <w:rPr>
          <w:szCs w:val="24"/>
          <w:lang w:val="pt-PT" w:eastAsia="en-US"/>
        </w:rPr>
        <w:t>;</w:t>
      </w:r>
    </w:p>
    <w:p w14:paraId="1E2FDD42" w14:textId="77777777" w:rsidR="00070750" w:rsidRPr="00EB04F1" w:rsidRDefault="00070750">
      <w:pPr>
        <w:widowControl/>
        <w:rPr>
          <w:szCs w:val="24"/>
          <w:lang w:val="pt-PT" w:eastAsia="en-US"/>
        </w:rPr>
      </w:pPr>
      <w:r w:rsidRPr="00EB04F1">
        <w:rPr>
          <w:szCs w:val="24"/>
          <w:lang w:val="pt-PT" w:eastAsia="en-US"/>
        </w:rPr>
        <w:br w:type="page"/>
      </w:r>
    </w:p>
    <w:p w14:paraId="25A22DEB" w14:textId="76F55121"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lastRenderedPageBreak/>
        <w:t>d)</w:t>
      </w:r>
      <w:r w:rsidRPr="00EB04F1">
        <w:rPr>
          <w:szCs w:val="24"/>
          <w:lang w:val="pt-PT" w:eastAsia="en-US"/>
        </w:rPr>
        <w:tab/>
        <w:t>zemes izmantojums vai zemes segums, ko izmanto zemes izmantošanas un zemes pārklājuma statistis</w:t>
      </w:r>
      <w:r w:rsidR="00070750" w:rsidRPr="00EB04F1">
        <w:rPr>
          <w:szCs w:val="24"/>
          <w:lang w:val="pt-PT" w:eastAsia="en-US"/>
        </w:rPr>
        <w:t>kā apsekojuma (LUCAS) programmā;</w:t>
      </w:r>
    </w:p>
    <w:p w14:paraId="59C867BC" w14:textId="1C270087" w:rsidR="00DA4F3E" w:rsidRPr="00EB04F1" w:rsidRDefault="00DA4F3E" w:rsidP="00DA4F3E">
      <w:pPr>
        <w:spacing w:before="120" w:after="120" w:line="360" w:lineRule="auto"/>
        <w:ind w:left="1416" w:hanging="566"/>
        <w:rPr>
          <w:b/>
          <w:szCs w:val="24"/>
          <w:lang w:val="pt-PT" w:eastAsia="en-US"/>
        </w:rPr>
      </w:pPr>
      <w:r w:rsidRPr="00EB04F1">
        <w:rPr>
          <w:b/>
          <w:i/>
          <w:szCs w:val="24"/>
          <w:lang w:val="pt-PT" w:eastAsia="en-US"/>
        </w:rPr>
        <w:t>da)</w:t>
      </w:r>
      <w:r w:rsidRPr="00EB04F1">
        <w:rPr>
          <w:szCs w:val="24"/>
          <w:lang w:val="pt-PT" w:eastAsia="en-US"/>
        </w:rPr>
        <w:tab/>
      </w:r>
      <w:r w:rsidRPr="00EB04F1">
        <w:rPr>
          <w:b/>
          <w:i/>
          <w:szCs w:val="24"/>
          <w:lang w:val="pt-PT" w:eastAsia="en-US"/>
        </w:rPr>
        <w:t>upju baseinu rajoni saskaņā ar Direktīvu 2000/60/EK un ūdensobjekti, ko izmanto dzeramā ūdens ieguvei, kā noteikts Direktīvā (ES) 2020/2184;</w:t>
      </w:r>
      <w:r w:rsidR="00070750" w:rsidRPr="00EB04F1">
        <w:rPr>
          <w:b/>
          <w:szCs w:val="24"/>
          <w:lang w:val="pt-PT" w:eastAsia="en-US"/>
        </w:rPr>
        <w:t xml:space="preserve"> [Gr. 64]</w:t>
      </w:r>
    </w:p>
    <w:p w14:paraId="78408F8E" w14:textId="6BEE4582" w:rsidR="00DA4F3E" w:rsidRPr="00EB04F1" w:rsidRDefault="00DA4F3E" w:rsidP="00DA4F3E">
      <w:pPr>
        <w:spacing w:before="120" w:after="120" w:line="360" w:lineRule="auto"/>
        <w:ind w:left="1416" w:hanging="566"/>
        <w:rPr>
          <w:szCs w:val="24"/>
          <w:lang w:val="pt-PT" w:eastAsia="en-US"/>
        </w:rPr>
      </w:pPr>
      <w:r w:rsidRPr="00EB04F1">
        <w:rPr>
          <w:b/>
          <w:i/>
          <w:szCs w:val="24"/>
          <w:lang w:val="pt-PT" w:eastAsia="en-US"/>
        </w:rPr>
        <w:t>db)</w:t>
      </w:r>
      <w:r w:rsidRPr="00EB04F1">
        <w:rPr>
          <w:szCs w:val="24"/>
          <w:lang w:val="pt-PT" w:eastAsia="en-US"/>
        </w:rPr>
        <w:tab/>
      </w:r>
      <w:r w:rsidRPr="00EB04F1">
        <w:rPr>
          <w:b/>
          <w:i/>
          <w:szCs w:val="24"/>
          <w:lang w:val="pt-PT" w:eastAsia="en-US"/>
        </w:rPr>
        <w:t>attālu arhipelāga apgabalu esamība ar salām ap tiem, katrai salai atbilstot kādam augsnes rajonam;</w:t>
      </w:r>
      <w:r w:rsidR="00070750" w:rsidRPr="00EB04F1">
        <w:rPr>
          <w:b/>
          <w:i/>
          <w:szCs w:val="24"/>
          <w:lang w:val="pt-PT" w:eastAsia="en-US"/>
        </w:rPr>
        <w:t xml:space="preserve"> </w:t>
      </w:r>
      <w:r w:rsidR="00070750" w:rsidRPr="00EB04F1">
        <w:rPr>
          <w:b/>
          <w:szCs w:val="24"/>
          <w:lang w:eastAsia="en-US"/>
        </w:rPr>
        <w:t>[Gr. 224/rev1]</w:t>
      </w:r>
    </w:p>
    <w:p w14:paraId="5FD028E1" w14:textId="3A0320C2" w:rsidR="00DA4F3E" w:rsidRPr="00EB04F1" w:rsidRDefault="00DA4F3E" w:rsidP="00DA4F3E">
      <w:pPr>
        <w:spacing w:before="120" w:after="120" w:line="360" w:lineRule="auto"/>
        <w:ind w:left="1416" w:hanging="566"/>
        <w:rPr>
          <w:szCs w:val="24"/>
          <w:lang w:val="pt-PT" w:eastAsia="en-US"/>
        </w:rPr>
      </w:pPr>
      <w:r w:rsidRPr="00EB04F1">
        <w:rPr>
          <w:b/>
          <w:i/>
          <w:szCs w:val="24"/>
          <w:lang w:val="pt-PT" w:eastAsia="en-US"/>
        </w:rPr>
        <w:t>dc)</w:t>
      </w:r>
      <w:r w:rsidRPr="00EB04F1">
        <w:rPr>
          <w:szCs w:val="24"/>
          <w:lang w:val="pt-PT" w:eastAsia="en-US"/>
        </w:rPr>
        <w:tab/>
      </w:r>
      <w:r w:rsidRPr="00EB04F1">
        <w:rPr>
          <w:b/>
          <w:i/>
          <w:szCs w:val="24"/>
          <w:lang w:val="pt-PT" w:eastAsia="en-US"/>
        </w:rPr>
        <w:t>Copernicus izmantošana attiecībā uz augsnes rajonu norobežošanu;</w:t>
      </w:r>
      <w:r w:rsidR="00070750" w:rsidRPr="00EB04F1">
        <w:rPr>
          <w:b/>
          <w:i/>
          <w:szCs w:val="24"/>
          <w:lang w:val="pt-PT" w:eastAsia="en-US"/>
        </w:rPr>
        <w:t xml:space="preserve"> </w:t>
      </w:r>
      <w:r w:rsidR="00070750" w:rsidRPr="00EB04F1">
        <w:rPr>
          <w:b/>
          <w:szCs w:val="24"/>
          <w:lang w:eastAsia="en-US"/>
        </w:rPr>
        <w:t>[Gr. 226/rev1]</w:t>
      </w:r>
    </w:p>
    <w:p w14:paraId="4FBD27F7" w14:textId="33B2B6E0" w:rsidR="00DA4F3E" w:rsidRPr="00EB04F1" w:rsidRDefault="00DA4F3E" w:rsidP="00DA4F3E">
      <w:pPr>
        <w:spacing w:before="120" w:after="120" w:line="360" w:lineRule="auto"/>
        <w:ind w:left="850" w:hanging="850"/>
        <w:rPr>
          <w:b/>
          <w:szCs w:val="24"/>
          <w:lang w:val="pt-PT" w:eastAsia="en-US"/>
        </w:rPr>
      </w:pPr>
      <w:r w:rsidRPr="00EB04F1">
        <w:rPr>
          <w:b/>
          <w:i/>
          <w:szCs w:val="24"/>
          <w:lang w:val="pt-PT" w:eastAsia="en-US"/>
        </w:rPr>
        <w:t>2</w:t>
      </w:r>
      <w:r w:rsidR="00070750" w:rsidRPr="00EB04F1">
        <w:rPr>
          <w:b/>
          <w:i/>
          <w:szCs w:val="24"/>
          <w:lang w:val="pt-PT" w:eastAsia="en-US"/>
        </w:rPr>
        <w:t>.</w:t>
      </w:r>
      <w:r w:rsidRPr="00EB04F1">
        <w:rPr>
          <w:b/>
          <w:i/>
          <w:szCs w:val="24"/>
          <w:lang w:val="pt-PT" w:eastAsia="en-US"/>
        </w:rPr>
        <w:t>a</w:t>
      </w:r>
      <w:r w:rsidRPr="00EB04F1">
        <w:rPr>
          <w:szCs w:val="24"/>
          <w:lang w:val="pt-PT" w:eastAsia="en-US"/>
        </w:rPr>
        <w:tab/>
      </w:r>
      <w:r w:rsidRPr="00EB04F1">
        <w:rPr>
          <w:b/>
          <w:i/>
          <w:szCs w:val="24"/>
          <w:lang w:val="pt-PT" w:eastAsia="en-US"/>
        </w:rPr>
        <w:t xml:space="preserve">Dalībvalstis attiecīgā gadījumā nodrošina, ka tādu kaimiņos esošu dalībvalstu augsnes rajoni, kur pastāv pārrobežu ietekme uz augsni, salīdzināms zemes izmantojums pāri robežām vai līdzīgas vērtības 2. punkta </w:t>
      </w:r>
      <w:proofErr w:type="gramStart"/>
      <w:r w:rsidRPr="00EB04F1">
        <w:rPr>
          <w:b/>
          <w:i/>
          <w:szCs w:val="24"/>
          <w:lang w:val="pt-PT" w:eastAsia="en-US"/>
        </w:rPr>
        <w:t>a)–</w:t>
      </w:r>
      <w:proofErr w:type="gramEnd"/>
      <w:r w:rsidRPr="00EB04F1">
        <w:rPr>
          <w:b/>
          <w:i/>
          <w:szCs w:val="24"/>
          <w:lang w:val="pt-PT" w:eastAsia="en-US"/>
        </w:rPr>
        <w:t>d) apakšpunktā minētajiem parametriem, savstarpēji sadarbojas, lai apmainītos ar paraugpraksi. Dalībvalstis arī nodrošina, ka augsnes rajoni pārrobežās īsteno saskaņotu pieeju.</w:t>
      </w:r>
      <w:r w:rsidR="00070750" w:rsidRPr="00EB04F1">
        <w:rPr>
          <w:b/>
          <w:szCs w:val="24"/>
          <w:lang w:val="pt-PT" w:eastAsia="en-US"/>
        </w:rPr>
        <w:t xml:space="preserve"> [Gr. 65]</w:t>
      </w:r>
    </w:p>
    <w:p w14:paraId="26B2FB9C" w14:textId="445897E3" w:rsidR="00DA4F3E" w:rsidRPr="00EB04F1" w:rsidRDefault="00DA4F3E" w:rsidP="00DA4F3E">
      <w:pPr>
        <w:spacing w:before="120" w:after="120" w:line="360" w:lineRule="auto"/>
        <w:ind w:left="850" w:hanging="850"/>
        <w:rPr>
          <w:b/>
          <w:szCs w:val="24"/>
          <w:lang w:val="pt-PT" w:eastAsia="en-US"/>
        </w:rPr>
      </w:pPr>
      <w:r w:rsidRPr="00EB04F1">
        <w:rPr>
          <w:b/>
          <w:i/>
          <w:szCs w:val="24"/>
          <w:lang w:val="pt-PT" w:eastAsia="en-US"/>
        </w:rPr>
        <w:t>2</w:t>
      </w:r>
      <w:r w:rsidR="00070750" w:rsidRPr="00EB04F1">
        <w:rPr>
          <w:b/>
          <w:i/>
          <w:szCs w:val="24"/>
          <w:lang w:val="pt-PT" w:eastAsia="en-US"/>
        </w:rPr>
        <w:t>.</w:t>
      </w:r>
      <w:r w:rsidRPr="00EB04F1">
        <w:rPr>
          <w:b/>
          <w:i/>
          <w:szCs w:val="24"/>
          <w:lang w:val="pt-PT" w:eastAsia="en-US"/>
        </w:rPr>
        <w:t>b</w:t>
      </w:r>
      <w:r w:rsidRPr="00EB04F1">
        <w:rPr>
          <w:szCs w:val="24"/>
          <w:lang w:val="pt-PT" w:eastAsia="en-US"/>
        </w:rPr>
        <w:tab/>
      </w:r>
      <w:r w:rsidRPr="00EB04F1">
        <w:rPr>
          <w:b/>
          <w:i/>
          <w:szCs w:val="24"/>
          <w:lang w:val="pt-PT" w:eastAsia="en-US"/>
        </w:rPr>
        <w:t>Komisija palīdz dalībvalstīm nodrošināt, ka to augsnes rajoni sadarbojas pārrobežās, un palīdz saskaņot monitoringa sistēmas, pārneses funkcijas, monitoringa koncepciju un ekoloģiskā stāvokļa klasifikāciju I pielikumā uzskaitīto augsnes deskriptoru līmenī.</w:t>
      </w:r>
      <w:r w:rsidR="00070750" w:rsidRPr="00EB04F1">
        <w:rPr>
          <w:b/>
          <w:szCs w:val="24"/>
          <w:lang w:val="pt-PT" w:eastAsia="en-US"/>
        </w:rPr>
        <w:t xml:space="preserve"> [Gr. 66]</w:t>
      </w:r>
    </w:p>
    <w:p w14:paraId="28EEE497" w14:textId="77777777" w:rsidR="00070750" w:rsidRPr="00EB04F1" w:rsidRDefault="00070750">
      <w:pPr>
        <w:widowControl/>
        <w:rPr>
          <w:szCs w:val="24"/>
          <w:lang w:val="pt-PT" w:eastAsia="en-US"/>
        </w:rPr>
      </w:pPr>
      <w:r w:rsidRPr="00EB04F1">
        <w:rPr>
          <w:szCs w:val="24"/>
          <w:lang w:val="pt-PT" w:eastAsia="en-US"/>
        </w:rPr>
        <w:br w:type="page"/>
      </w:r>
    </w:p>
    <w:p w14:paraId="3B6B5116" w14:textId="15C7B170" w:rsidR="00DA4F3E" w:rsidRPr="00EB04F1" w:rsidRDefault="00DA4F3E" w:rsidP="00DA4F3E">
      <w:pPr>
        <w:spacing w:before="120" w:after="120" w:line="360" w:lineRule="auto"/>
        <w:jc w:val="center"/>
        <w:rPr>
          <w:szCs w:val="24"/>
          <w:lang w:val="pt-PT" w:eastAsia="en-US"/>
        </w:rPr>
      </w:pPr>
      <w:r w:rsidRPr="00EB04F1">
        <w:rPr>
          <w:szCs w:val="24"/>
          <w:lang w:val="pt-PT" w:eastAsia="en-US"/>
        </w:rPr>
        <w:lastRenderedPageBreak/>
        <w:t>5. pants</w:t>
      </w:r>
      <w:r w:rsidRPr="00EB04F1">
        <w:rPr>
          <w:szCs w:val="24"/>
          <w:lang w:val="pt-PT" w:eastAsia="en-US"/>
        </w:rPr>
        <w:br/>
        <w:t>Kompetentās iestādes</w:t>
      </w:r>
    </w:p>
    <w:p w14:paraId="1F12826D" w14:textId="426D38E9" w:rsidR="00DA4F3E" w:rsidRPr="00EB04F1" w:rsidRDefault="00DA4F3E" w:rsidP="00DA4F3E">
      <w:pPr>
        <w:spacing w:before="120" w:after="120" w:line="360" w:lineRule="auto"/>
        <w:rPr>
          <w:b/>
          <w:szCs w:val="24"/>
          <w:lang w:val="pt-PT" w:eastAsia="en-US"/>
        </w:rPr>
      </w:pPr>
      <w:r w:rsidRPr="00EB04F1">
        <w:rPr>
          <w:szCs w:val="24"/>
          <w:lang w:val="pt-PT" w:eastAsia="en-US"/>
        </w:rPr>
        <w:t>Dalībvalstis norīko kompetentās iestādes, kas pienācīgā līmenī ir atbildīgas par šajā direktīvā noteikto pienākumu izpildi</w:t>
      </w:r>
      <w:r w:rsidRPr="00EB04F1">
        <w:rPr>
          <w:b/>
          <w:i/>
          <w:szCs w:val="24"/>
          <w:lang w:val="pt-PT" w:eastAsia="en-US"/>
        </w:rPr>
        <w:t>, ņemot vērā esošo administratīvo iedalījumu un atbildības jomas, arī pārrobežu augsnes rajonu gadījumā</w:t>
      </w:r>
      <w:r w:rsidRPr="00EB04F1">
        <w:rPr>
          <w:szCs w:val="24"/>
          <w:lang w:val="pt-PT" w:eastAsia="en-US"/>
        </w:rPr>
        <w:t>.</w:t>
      </w:r>
      <w:r w:rsidR="00070750" w:rsidRPr="00EB04F1">
        <w:rPr>
          <w:b/>
          <w:szCs w:val="24"/>
          <w:lang w:val="pt-PT" w:eastAsia="en-US"/>
        </w:rPr>
        <w:t xml:space="preserve"> [Gr. 68]</w:t>
      </w:r>
    </w:p>
    <w:p w14:paraId="24224360" w14:textId="48C384C0" w:rsidR="00DA4F3E" w:rsidRPr="00EB04F1" w:rsidRDefault="00DA4F3E" w:rsidP="00DA4F3E">
      <w:pPr>
        <w:spacing w:before="120" w:after="120" w:line="360" w:lineRule="auto"/>
        <w:rPr>
          <w:b/>
          <w:szCs w:val="24"/>
          <w:lang w:val="pt-PT" w:eastAsia="en-US"/>
        </w:rPr>
      </w:pPr>
      <w:r w:rsidRPr="00EB04F1">
        <w:rPr>
          <w:szCs w:val="24"/>
          <w:lang w:val="pt-PT" w:eastAsia="en-US"/>
        </w:rPr>
        <w:t>Dalībvalstis katram augsnes rajonam, kas izveidots saskaņā ar 4. pantu, norīko vienu kompetento iestādi.</w:t>
      </w:r>
      <w:r w:rsidRPr="00EB04F1">
        <w:rPr>
          <w:b/>
          <w:i/>
          <w:szCs w:val="24"/>
          <w:lang w:val="pt-PT" w:eastAsia="en-US"/>
        </w:rPr>
        <w:t xml:space="preserve"> Dalībvalstis var norīkot vienu kompetento iestādi vairākiem augsnes rajoniem.</w:t>
      </w:r>
      <w:r w:rsidR="00070750" w:rsidRPr="00EB04F1">
        <w:rPr>
          <w:b/>
          <w:szCs w:val="24"/>
          <w:lang w:val="pt-PT" w:eastAsia="en-US"/>
        </w:rPr>
        <w:t xml:space="preserve"> [Gr. 69]</w:t>
      </w:r>
    </w:p>
    <w:p w14:paraId="517F810E" w14:textId="32D63794" w:rsidR="00DA4F3E" w:rsidRPr="00EB04F1" w:rsidRDefault="00DA4F3E" w:rsidP="00DA4F3E">
      <w:pPr>
        <w:spacing w:before="120" w:after="120" w:line="360" w:lineRule="auto"/>
        <w:rPr>
          <w:b/>
          <w:szCs w:val="24"/>
          <w:lang w:val="pt-PT" w:eastAsia="en-US"/>
        </w:rPr>
      </w:pPr>
      <w:r w:rsidRPr="00EB04F1">
        <w:rPr>
          <w:b/>
          <w:i/>
          <w:szCs w:val="24"/>
          <w:lang w:val="pt-PT" w:eastAsia="en-US"/>
        </w:rPr>
        <w:t>Dalībvalstis saskaņā ar 18. panta 3. punkta b) apakšpunktu paziņo Komisijai šā panta 1. un 2. daļā minēto kompetento iestāžu sarakstu. Komisija savā tīmekļa vietnē uztur atjauninātu kompetento iestāžu sarakstu.</w:t>
      </w:r>
      <w:r w:rsidR="00070750" w:rsidRPr="00EB04F1">
        <w:rPr>
          <w:b/>
          <w:szCs w:val="24"/>
          <w:lang w:val="pt-PT" w:eastAsia="en-US"/>
        </w:rPr>
        <w:t xml:space="preserve"> [Gr. 70]</w:t>
      </w:r>
    </w:p>
    <w:p w14:paraId="421018DD" w14:textId="77777777" w:rsidR="00070750" w:rsidRPr="00EB04F1" w:rsidRDefault="00070750">
      <w:pPr>
        <w:widowControl/>
        <w:rPr>
          <w:szCs w:val="24"/>
          <w:lang w:val="pt-PT" w:eastAsia="en-US"/>
        </w:rPr>
      </w:pPr>
      <w:r w:rsidRPr="00EB04F1">
        <w:rPr>
          <w:szCs w:val="24"/>
          <w:lang w:val="pt-PT" w:eastAsia="en-US"/>
        </w:rPr>
        <w:br w:type="page"/>
      </w:r>
    </w:p>
    <w:p w14:paraId="2386E55B" w14:textId="5F1EF7AA" w:rsidR="00DA4F3E" w:rsidRPr="00EB04F1" w:rsidRDefault="00DA4F3E" w:rsidP="00DA4F3E">
      <w:pPr>
        <w:spacing w:before="120" w:after="120" w:line="360" w:lineRule="auto"/>
        <w:jc w:val="center"/>
        <w:rPr>
          <w:szCs w:val="24"/>
          <w:lang w:val="pt-PT" w:eastAsia="en-US"/>
        </w:rPr>
      </w:pPr>
      <w:r w:rsidRPr="00EB04F1">
        <w:rPr>
          <w:szCs w:val="24"/>
          <w:lang w:val="pt-PT" w:eastAsia="en-US"/>
        </w:rPr>
        <w:lastRenderedPageBreak/>
        <w:t xml:space="preserve">II nodaļa </w:t>
      </w:r>
      <w:r w:rsidRPr="00EB04F1">
        <w:rPr>
          <w:szCs w:val="24"/>
          <w:lang w:val="pt-PT" w:eastAsia="en-US"/>
        </w:rPr>
        <w:br/>
        <w:t>Augsnes veselības monitorings un novērtēšana</w:t>
      </w:r>
    </w:p>
    <w:p w14:paraId="0919A3C9" w14:textId="77777777" w:rsidR="00DA4F3E" w:rsidRPr="00EB04F1" w:rsidRDefault="00DA4F3E" w:rsidP="00DA4F3E">
      <w:pPr>
        <w:spacing w:before="120" w:after="120" w:line="360" w:lineRule="auto"/>
        <w:jc w:val="center"/>
        <w:rPr>
          <w:szCs w:val="24"/>
          <w:lang w:val="pt-PT" w:eastAsia="en-US"/>
        </w:rPr>
      </w:pPr>
      <w:r w:rsidRPr="00EB04F1">
        <w:rPr>
          <w:szCs w:val="24"/>
          <w:lang w:val="pt-PT" w:eastAsia="en-US"/>
        </w:rPr>
        <w:t xml:space="preserve">6. pants </w:t>
      </w:r>
      <w:r w:rsidRPr="00EB04F1">
        <w:rPr>
          <w:szCs w:val="24"/>
          <w:lang w:val="pt-PT" w:eastAsia="en-US"/>
        </w:rPr>
        <w:br/>
        <w:t>Augsnes veselības un zemes aizņemšanas monitoringa satvars</w:t>
      </w:r>
    </w:p>
    <w:p w14:paraId="37AD13B0" w14:textId="41CA6222"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1.</w:t>
      </w:r>
      <w:r w:rsidRPr="00EB04F1">
        <w:rPr>
          <w:szCs w:val="24"/>
          <w:lang w:val="pt-PT" w:eastAsia="en-US"/>
        </w:rPr>
        <w:tab/>
        <w:t>Lai nodrošinātu regulāru un precīzu augsnes veselības monitoringu saskaņā ar šo pantu un I un II pielikumu, dalībvalstis izveido monitoringa satvaru, kas būtu balstīts uz augsnes rajoniem, kuri izveidoti saskaņā ar 4. panta 1. punktu</w:t>
      </w:r>
      <w:r w:rsidRPr="00EB04F1">
        <w:rPr>
          <w:b/>
          <w:i/>
          <w:szCs w:val="24"/>
          <w:lang w:val="pt-PT" w:eastAsia="en-US"/>
        </w:rPr>
        <w:t>, un kas papildina Direktīvā 2000/60/EK izklāstīto novērtējuma pieeju</w:t>
      </w:r>
      <w:r w:rsidRPr="00EB04F1">
        <w:rPr>
          <w:szCs w:val="24"/>
          <w:lang w:val="pt-PT" w:eastAsia="en-US"/>
        </w:rPr>
        <w:t>.</w:t>
      </w:r>
      <w:r w:rsidR="00D60908" w:rsidRPr="00EB04F1">
        <w:rPr>
          <w:b/>
          <w:szCs w:val="24"/>
          <w:lang w:val="pt-PT" w:eastAsia="en-US"/>
        </w:rPr>
        <w:t xml:space="preserve"> [Gr. 71]</w:t>
      </w:r>
    </w:p>
    <w:p w14:paraId="05D90D39" w14:textId="343FC96D"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2.</w:t>
      </w:r>
      <w:r w:rsidRPr="00EB04F1">
        <w:rPr>
          <w:szCs w:val="24"/>
          <w:lang w:val="pt-PT" w:eastAsia="en-US"/>
        </w:rPr>
        <w:tab/>
        <w:t>Dalībvalstis monitorē augsnes veselību un zemes aizņemšanu katrā augsnes rajonā.</w:t>
      </w:r>
      <w:r w:rsidRPr="00EB04F1">
        <w:rPr>
          <w:b/>
          <w:i/>
          <w:szCs w:val="24"/>
          <w:lang w:val="pt-PT" w:eastAsia="en-US"/>
        </w:rPr>
        <w:t xml:space="preserve"> Dalībvalstis izmanto valsts pētniecības institūtu zināšanas, esošās valsts monitoringa sistēmas un pieejamos datus. Dalībvalstu īstenotās monitoringa darbības nenoved pie finanšu sloga zemes apsaimniekotājiem.</w:t>
      </w:r>
      <w:r w:rsidR="00D60908" w:rsidRPr="00EB04F1">
        <w:rPr>
          <w:b/>
          <w:szCs w:val="24"/>
          <w:lang w:val="pt-PT" w:eastAsia="en-US"/>
        </w:rPr>
        <w:t xml:space="preserve"> [Gr. 72]</w:t>
      </w:r>
    </w:p>
    <w:p w14:paraId="5A6E496C" w14:textId="77777777" w:rsidR="00D60908" w:rsidRPr="00EB04F1" w:rsidRDefault="00D60908">
      <w:pPr>
        <w:widowControl/>
        <w:rPr>
          <w:szCs w:val="24"/>
          <w:lang w:val="pt-PT" w:eastAsia="en-US"/>
        </w:rPr>
      </w:pPr>
      <w:r w:rsidRPr="00EB04F1">
        <w:rPr>
          <w:szCs w:val="24"/>
          <w:lang w:val="pt-PT" w:eastAsia="en-US"/>
        </w:rPr>
        <w:br w:type="page"/>
      </w:r>
    </w:p>
    <w:p w14:paraId="72DD05B7" w14:textId="0E1F1B7D"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3.</w:t>
      </w:r>
      <w:r w:rsidRPr="00EB04F1">
        <w:rPr>
          <w:szCs w:val="24"/>
          <w:lang w:val="pt-PT" w:eastAsia="en-US"/>
        </w:rPr>
        <w:tab/>
        <w:t>Monitoringa satvara pamatā ir šādi elementi:</w:t>
      </w:r>
    </w:p>
    <w:p w14:paraId="24313EA9" w14:textId="4BAC33C0"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a)</w:t>
      </w:r>
      <w:r w:rsidRPr="00EB04F1">
        <w:rPr>
          <w:szCs w:val="24"/>
          <w:lang w:val="pt-PT" w:eastAsia="en-US"/>
        </w:rPr>
        <w:tab/>
        <w:t>augsnes deskriptori un augsnes veselības kritēriji, kas minēti 7. pantā;</w:t>
      </w:r>
    </w:p>
    <w:p w14:paraId="103D9291" w14:textId="7AEB55BA" w:rsidR="00DA4F3E" w:rsidRPr="00EB04F1" w:rsidRDefault="00DA4F3E" w:rsidP="00DA4F3E">
      <w:pPr>
        <w:spacing w:before="120" w:after="120" w:line="360" w:lineRule="auto"/>
        <w:ind w:left="1416" w:hanging="566"/>
        <w:rPr>
          <w:b/>
          <w:szCs w:val="24"/>
          <w:lang w:val="pt-PT" w:eastAsia="en-US"/>
        </w:rPr>
      </w:pPr>
      <w:r w:rsidRPr="00EB04F1">
        <w:rPr>
          <w:szCs w:val="24"/>
          <w:lang w:val="pt-PT" w:eastAsia="en-US"/>
        </w:rPr>
        <w:t>b)</w:t>
      </w:r>
      <w:r w:rsidRPr="00EB04F1">
        <w:rPr>
          <w:szCs w:val="24"/>
          <w:lang w:val="pt-PT" w:eastAsia="en-US"/>
        </w:rPr>
        <w:tab/>
        <w:t>augsnes paraugošanas punkti</w:t>
      </w:r>
      <w:r w:rsidRPr="00EB04F1">
        <w:rPr>
          <w:b/>
          <w:i/>
          <w:szCs w:val="24"/>
          <w:lang w:val="pt-PT" w:eastAsia="en-US"/>
        </w:rPr>
        <w:t xml:space="preserve"> un paraugošanas dziļums</w:t>
      </w:r>
      <w:r w:rsidRPr="00EB04F1">
        <w:rPr>
          <w:szCs w:val="24"/>
          <w:lang w:val="pt-PT" w:eastAsia="en-US"/>
        </w:rPr>
        <w:t>, kas nosakāmi saskaņā ar 8. panta 2. punktu;</w:t>
      </w:r>
      <w:r w:rsidR="00D60908" w:rsidRPr="00EB04F1">
        <w:rPr>
          <w:b/>
          <w:szCs w:val="24"/>
          <w:lang w:val="pt-PT" w:eastAsia="en-US"/>
        </w:rPr>
        <w:t xml:space="preserve"> [Gr. 73]</w:t>
      </w:r>
    </w:p>
    <w:p w14:paraId="252C8EDB" w14:textId="5CAF0842"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c)</w:t>
      </w:r>
      <w:r w:rsidRPr="00EB04F1">
        <w:rPr>
          <w:szCs w:val="24"/>
          <w:lang w:val="pt-PT" w:eastAsia="en-US"/>
        </w:rPr>
        <w:tab/>
        <w:t>augsnes mērījumi, ko saskaņā ar šā panta 4. punktu veikusi Komisija, ja tādi ir;</w:t>
      </w:r>
    </w:p>
    <w:p w14:paraId="39713AA8" w14:textId="6165AE5F" w:rsidR="00DA4F3E" w:rsidRPr="00EB04F1" w:rsidRDefault="00DA4F3E" w:rsidP="00DA4F3E">
      <w:pPr>
        <w:spacing w:before="120" w:after="120" w:line="360" w:lineRule="auto"/>
        <w:ind w:left="1416" w:hanging="566"/>
        <w:rPr>
          <w:b/>
          <w:szCs w:val="24"/>
          <w:lang w:val="pt-PT" w:eastAsia="en-US"/>
        </w:rPr>
      </w:pPr>
      <w:r w:rsidRPr="00EB04F1">
        <w:rPr>
          <w:szCs w:val="24"/>
          <w:lang w:val="pt-PT" w:eastAsia="en-US"/>
        </w:rPr>
        <w:t>d)</w:t>
      </w:r>
      <w:r w:rsidRPr="00EB04F1">
        <w:rPr>
          <w:szCs w:val="24"/>
          <w:lang w:val="pt-PT" w:eastAsia="en-US"/>
        </w:rPr>
        <w:tab/>
      </w:r>
      <w:r w:rsidRPr="00EB04F1">
        <w:rPr>
          <w:b/>
          <w:i/>
          <w:szCs w:val="24"/>
          <w:lang w:val="pt-PT" w:eastAsia="en-US"/>
        </w:rPr>
        <w:t xml:space="preserve">zinātniski pamatoti </w:t>
      </w:r>
      <w:r w:rsidRPr="00EB04F1">
        <w:rPr>
          <w:szCs w:val="24"/>
          <w:lang w:val="pt-PT" w:eastAsia="en-US"/>
        </w:rPr>
        <w:t>tālizpētes dati un produkti, kas minēti šā panta 5. punktā, ja tādi ir;</w:t>
      </w:r>
      <w:r w:rsidR="00D60908" w:rsidRPr="00EB04F1">
        <w:rPr>
          <w:b/>
          <w:szCs w:val="24"/>
          <w:lang w:val="pt-PT" w:eastAsia="en-US"/>
        </w:rPr>
        <w:t xml:space="preserve"> [Gr. 74]</w:t>
      </w:r>
    </w:p>
    <w:p w14:paraId="47E4035E" w14:textId="5403AB38"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e)</w:t>
      </w:r>
      <w:r w:rsidRPr="00EB04F1">
        <w:rPr>
          <w:szCs w:val="24"/>
          <w:lang w:val="pt-PT" w:eastAsia="en-US"/>
        </w:rPr>
        <w:tab/>
        <w:t>zemes aizņemšanas un augsnes noslēgšanas indikatori, kas minēti 7. panta 1. punktā.</w:t>
      </w:r>
    </w:p>
    <w:p w14:paraId="1161F9CE" w14:textId="736B4C4F" w:rsidR="00DA4F3E" w:rsidRPr="00EB04F1" w:rsidRDefault="00DA4F3E" w:rsidP="00DA4F3E">
      <w:pPr>
        <w:spacing w:before="120" w:after="120" w:line="360" w:lineRule="auto"/>
        <w:ind w:left="850" w:hanging="850"/>
        <w:rPr>
          <w:szCs w:val="24"/>
          <w:lang w:val="pt-PT" w:eastAsia="en-US"/>
        </w:rPr>
      </w:pPr>
      <w:r w:rsidRPr="00EB04F1">
        <w:rPr>
          <w:strike/>
          <w:szCs w:val="24"/>
          <w:lang w:val="pt-PT" w:eastAsia="en-US"/>
        </w:rPr>
        <w:t>4.</w:t>
      </w:r>
      <w:r w:rsidRPr="00EB04F1">
        <w:rPr>
          <w:szCs w:val="24"/>
          <w:lang w:val="pt-PT" w:eastAsia="en-US"/>
        </w:rPr>
        <w:tab/>
      </w:r>
      <w:r w:rsidRPr="00EB04F1">
        <w:rPr>
          <w:strike/>
          <w:szCs w:val="24"/>
          <w:lang w:val="pt-PT" w:eastAsia="en-US"/>
        </w:rPr>
        <w:t>Lai dalībvalstīm palīdzētu veikt augsnes veselības monitoringu, Komisija, balstoties uz 7. un 8. pantā minētajiem attiecīgajiem deskriptoriem un metodikām, ar attiecīgo dalībvalstu piekrišanu regulāri veic augsnes mērījumus, izmantojot augsnes paraugus, kas ņemti in situ. Ja dalībvalsts sniedz piekrišanu saskaņā ar šo punktu, tā nodrošina, ka Komisija šādu in situ augsnes paraugošanu var veikt.</w:t>
      </w:r>
      <w:r w:rsidR="00D60908" w:rsidRPr="00EB04F1">
        <w:rPr>
          <w:strike/>
          <w:szCs w:val="24"/>
          <w:lang w:val="pt-PT" w:eastAsia="en-US"/>
        </w:rPr>
        <w:t xml:space="preserve"> </w:t>
      </w:r>
      <w:r w:rsidR="00D60908" w:rsidRPr="00EB04F1">
        <w:rPr>
          <w:b/>
          <w:szCs w:val="24"/>
          <w:lang w:eastAsia="en-US"/>
        </w:rPr>
        <w:t>[Gr. 227/rev1]</w:t>
      </w:r>
    </w:p>
    <w:p w14:paraId="2E36EF86" w14:textId="77777777" w:rsidR="00D60908" w:rsidRPr="00EB04F1" w:rsidRDefault="00D60908">
      <w:pPr>
        <w:widowControl/>
        <w:rPr>
          <w:b/>
          <w:i/>
          <w:szCs w:val="24"/>
          <w:lang w:val="pt-PT" w:eastAsia="en-US"/>
        </w:rPr>
      </w:pPr>
      <w:r w:rsidRPr="00EB04F1">
        <w:rPr>
          <w:b/>
          <w:i/>
          <w:szCs w:val="24"/>
          <w:lang w:val="pt-PT" w:eastAsia="en-US"/>
        </w:rPr>
        <w:br w:type="page"/>
      </w:r>
    </w:p>
    <w:p w14:paraId="76B90057" w14:textId="05198EBD" w:rsidR="00DA4F3E" w:rsidRPr="00EB04F1" w:rsidRDefault="00DA4F3E" w:rsidP="00DA4F3E">
      <w:pPr>
        <w:spacing w:before="120" w:after="120" w:line="360" w:lineRule="auto"/>
        <w:ind w:left="850" w:hanging="850"/>
        <w:rPr>
          <w:szCs w:val="24"/>
          <w:lang w:val="pt-PT" w:eastAsia="en-US"/>
        </w:rPr>
      </w:pPr>
      <w:r w:rsidRPr="00EB04F1">
        <w:rPr>
          <w:b/>
          <w:i/>
          <w:szCs w:val="24"/>
          <w:lang w:val="pt-PT" w:eastAsia="en-US"/>
        </w:rPr>
        <w:lastRenderedPageBreak/>
        <w:t>4</w:t>
      </w:r>
      <w:r w:rsidR="00D60908" w:rsidRPr="00EB04F1">
        <w:rPr>
          <w:b/>
          <w:i/>
          <w:szCs w:val="24"/>
          <w:lang w:val="pt-PT" w:eastAsia="en-US"/>
        </w:rPr>
        <w:t>.</w:t>
      </w:r>
      <w:r w:rsidRPr="00EB04F1">
        <w:rPr>
          <w:b/>
          <w:i/>
          <w:szCs w:val="24"/>
          <w:lang w:val="pt-PT" w:eastAsia="en-US"/>
        </w:rPr>
        <w:t>a</w:t>
      </w:r>
      <w:r w:rsidRPr="00EB04F1">
        <w:rPr>
          <w:szCs w:val="24"/>
          <w:lang w:val="pt-PT" w:eastAsia="en-US"/>
        </w:rPr>
        <w:tab/>
      </w:r>
      <w:r w:rsidRPr="00EB04F1">
        <w:rPr>
          <w:b/>
          <w:i/>
          <w:szCs w:val="24"/>
          <w:lang w:val="pt-PT" w:eastAsia="en-US"/>
        </w:rPr>
        <w:t>Komisija nodrošina, ka pirmie 4. punktā minētie augsnes mērījumi tiek veikti līdz… [PB: ierakstīt datumu, kas ir trīs gadi pēc šīs direktīvas stāšanās spēkā].</w:t>
      </w:r>
    </w:p>
    <w:p w14:paraId="324F05C3" w14:textId="77777777" w:rsidR="00DA4F3E" w:rsidRPr="00EB04F1" w:rsidRDefault="00DA4F3E" w:rsidP="00DA4F3E">
      <w:pPr>
        <w:spacing w:before="120" w:after="120" w:line="360" w:lineRule="auto"/>
        <w:ind w:left="850"/>
        <w:rPr>
          <w:szCs w:val="24"/>
          <w:lang w:val="pt-PT" w:eastAsia="en-US"/>
        </w:rPr>
      </w:pPr>
      <w:r w:rsidRPr="00EB04F1">
        <w:rPr>
          <w:b/>
          <w:i/>
          <w:szCs w:val="24"/>
          <w:lang w:val="pt-PT" w:eastAsia="en-US"/>
        </w:rPr>
        <w:t>Komisija atbalsta dalībvalstu veikto monitoringu, nodrošinot paraugošanu un analīzi vismaz 20 % no valsts paraugu apjoma.</w:t>
      </w:r>
    </w:p>
    <w:p w14:paraId="1C9CE2EF" w14:textId="2003F14B" w:rsidR="00DA4F3E" w:rsidRPr="00EB04F1" w:rsidRDefault="00DA4F3E" w:rsidP="00DA4F3E">
      <w:pPr>
        <w:spacing w:before="120" w:after="120" w:line="360" w:lineRule="auto"/>
        <w:ind w:left="850"/>
        <w:rPr>
          <w:b/>
          <w:szCs w:val="24"/>
          <w:lang w:val="pt-PT" w:eastAsia="en-US"/>
        </w:rPr>
      </w:pPr>
      <w:r w:rsidRPr="00EB04F1">
        <w:rPr>
          <w:b/>
          <w:i/>
          <w:szCs w:val="24"/>
          <w:lang w:val="pt-PT" w:eastAsia="en-US"/>
        </w:rPr>
        <w:t>Komisija pēc dalībvalsts pieprasījuma pirmajā valsts monitoringa kārtā sniedz papildu palīdzību saistībā ar līdz 50 % paraugošanas.</w:t>
      </w:r>
      <w:r w:rsidR="00D60908" w:rsidRPr="00EB04F1">
        <w:rPr>
          <w:b/>
          <w:szCs w:val="24"/>
          <w:lang w:val="pt-PT" w:eastAsia="en-US"/>
        </w:rPr>
        <w:t xml:space="preserve"> [Gr. 76]</w:t>
      </w:r>
    </w:p>
    <w:p w14:paraId="49BA9D2D"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5.</w:t>
      </w:r>
      <w:r w:rsidRPr="00EB04F1">
        <w:rPr>
          <w:szCs w:val="24"/>
          <w:lang w:val="pt-PT" w:eastAsia="en-US"/>
        </w:rPr>
        <w:tab/>
        <w:t>Lai izpētītu un izstrādātu augsnes tālizpētes produktus un dalībvalstis atbalstītu attiecīgo augsnes deskriptoru monitoringā, Komisija un Eiropas Vides aģentūra (EVA) izmanto esošos kosmosa datus un produktus, kas iegūti ar Copernicus komponentu ES kosmosa programmā, kura izveidota ar Regulu (ES) 2021/696.</w:t>
      </w:r>
    </w:p>
    <w:p w14:paraId="5B5A958F" w14:textId="77777777" w:rsidR="00D60908" w:rsidRPr="00EB04F1" w:rsidRDefault="00D60908">
      <w:pPr>
        <w:widowControl/>
        <w:rPr>
          <w:szCs w:val="24"/>
          <w:lang w:val="pt-PT" w:eastAsia="en-US"/>
        </w:rPr>
      </w:pPr>
      <w:r w:rsidRPr="00EB04F1">
        <w:rPr>
          <w:szCs w:val="24"/>
          <w:lang w:val="pt-PT" w:eastAsia="en-US"/>
        </w:rPr>
        <w:br w:type="page"/>
      </w:r>
    </w:p>
    <w:p w14:paraId="172CA396" w14:textId="58A72DD4"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lastRenderedPageBreak/>
        <w:t>6.</w:t>
      </w:r>
      <w:r w:rsidRPr="00EB04F1">
        <w:rPr>
          <w:szCs w:val="24"/>
          <w:lang w:val="pt-PT" w:eastAsia="en-US"/>
        </w:rPr>
        <w:tab/>
        <w:t xml:space="preserve">Komisija un EVA, balstoties uz esošajiem datiem, divu gadu laikā pēc šīs direktīvas stāšanās spēkā izveido digitālu augsnes veselības datu portālu, kas </w:t>
      </w:r>
      <w:r w:rsidRPr="00EB04F1">
        <w:rPr>
          <w:b/>
          <w:i/>
          <w:szCs w:val="24"/>
          <w:lang w:val="pt-PT" w:eastAsia="en-US"/>
        </w:rPr>
        <w:t>saskaņā ar Eiropas Parlamenta un Padomes Regulu (EK) Nr. 223/2009</w:t>
      </w:r>
      <w:r w:rsidRPr="00EB04F1">
        <w:rPr>
          <w:szCs w:val="24"/>
          <w:vertAlign w:val="superscript"/>
          <w:lang w:val="en-GB" w:eastAsia="en-US"/>
        </w:rPr>
        <w:footnoteReference w:id="50"/>
      </w:r>
      <w:r w:rsidR="00D60908" w:rsidRPr="00EB04F1">
        <w:rPr>
          <w:b/>
          <w:i/>
          <w:szCs w:val="24"/>
          <w:lang w:val="pt-PT" w:eastAsia="en-US"/>
        </w:rPr>
        <w:t xml:space="preserve"> </w:t>
      </w:r>
      <w:r w:rsidRPr="00EB04F1">
        <w:rPr>
          <w:szCs w:val="24"/>
          <w:lang w:val="pt-PT" w:eastAsia="en-US"/>
        </w:rPr>
        <w:t>ģeoreferencētā telpiskā formātā nodrošinātu piekļuvi vismaz pieejamajiem augsnes veselības datiem no šādiem avotiem:</w:t>
      </w:r>
      <w:r w:rsidR="00D60908" w:rsidRPr="00EB04F1">
        <w:rPr>
          <w:b/>
          <w:szCs w:val="24"/>
          <w:lang w:val="pt-PT" w:eastAsia="en-US"/>
        </w:rPr>
        <w:t xml:space="preserve"> [Gr. 77]</w:t>
      </w:r>
    </w:p>
    <w:p w14:paraId="268C7BF9" w14:textId="3D28778D"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a)</w:t>
      </w:r>
      <w:r w:rsidRPr="00EB04F1">
        <w:rPr>
          <w:szCs w:val="24"/>
          <w:lang w:val="pt-PT" w:eastAsia="en-US"/>
        </w:rPr>
        <w:tab/>
        <w:t>8. panta 2. punktā minētie augsnes mērījumi;</w:t>
      </w:r>
    </w:p>
    <w:p w14:paraId="767CC80F" w14:textId="547F2594"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b)</w:t>
      </w:r>
      <w:r w:rsidRPr="00EB04F1">
        <w:rPr>
          <w:szCs w:val="24"/>
          <w:lang w:val="pt-PT" w:eastAsia="en-US"/>
        </w:rPr>
        <w:tab/>
        <w:t>šā panta 4. punktā minētie augsnes mērījumi;</w:t>
      </w:r>
    </w:p>
    <w:p w14:paraId="2C13E807" w14:textId="2CD171F0"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c)</w:t>
      </w:r>
      <w:r w:rsidRPr="00EB04F1">
        <w:rPr>
          <w:szCs w:val="24"/>
          <w:lang w:val="pt-PT" w:eastAsia="en-US"/>
        </w:rPr>
        <w:tab/>
        <w:t>relevantie augsnes tālizpētes dati un produkti, kas minēti šā panta 5. punktā.</w:t>
      </w:r>
    </w:p>
    <w:p w14:paraId="12B922B2" w14:textId="14E6DFD1" w:rsidR="00DA4F3E" w:rsidRPr="00EB04F1" w:rsidRDefault="00DA4F3E" w:rsidP="00DA4F3E">
      <w:pPr>
        <w:spacing w:before="120" w:after="120" w:line="360" w:lineRule="auto"/>
        <w:ind w:left="850" w:hanging="850"/>
        <w:rPr>
          <w:b/>
          <w:szCs w:val="24"/>
          <w:lang w:val="pt-PT" w:eastAsia="en-US"/>
        </w:rPr>
      </w:pPr>
      <w:r w:rsidRPr="00EB04F1">
        <w:rPr>
          <w:b/>
          <w:i/>
          <w:szCs w:val="24"/>
          <w:lang w:val="pt-PT" w:eastAsia="en-US"/>
        </w:rPr>
        <w:t>6</w:t>
      </w:r>
      <w:r w:rsidR="00D60908" w:rsidRPr="00EB04F1">
        <w:rPr>
          <w:b/>
          <w:i/>
          <w:szCs w:val="24"/>
          <w:lang w:val="pt-PT" w:eastAsia="en-US"/>
        </w:rPr>
        <w:t>.</w:t>
      </w:r>
      <w:r w:rsidRPr="00EB04F1">
        <w:rPr>
          <w:b/>
          <w:i/>
          <w:szCs w:val="24"/>
          <w:lang w:val="pt-PT" w:eastAsia="en-US"/>
        </w:rPr>
        <w:t>a</w:t>
      </w:r>
      <w:r w:rsidRPr="00EB04F1">
        <w:rPr>
          <w:szCs w:val="24"/>
          <w:lang w:val="pt-PT" w:eastAsia="en-US"/>
        </w:rPr>
        <w:tab/>
      </w:r>
      <w:r w:rsidRPr="00EB04F1">
        <w:rPr>
          <w:b/>
          <w:i/>
          <w:szCs w:val="24"/>
          <w:lang w:val="pt-PT" w:eastAsia="en-US"/>
        </w:rPr>
        <w:t xml:space="preserve">Panta </w:t>
      </w:r>
      <w:proofErr w:type="gramStart"/>
      <w:r w:rsidRPr="00EB04F1">
        <w:rPr>
          <w:b/>
          <w:i/>
          <w:szCs w:val="24"/>
          <w:lang w:val="pt-PT" w:eastAsia="en-US"/>
        </w:rPr>
        <w:t>3.–</w:t>
      </w:r>
      <w:proofErr w:type="gramEnd"/>
      <w:r w:rsidRPr="00EB04F1">
        <w:rPr>
          <w:b/>
          <w:i/>
          <w:szCs w:val="24"/>
          <w:lang w:val="pt-PT" w:eastAsia="en-US"/>
        </w:rPr>
        <w:t>6. punktā minētais augsnes monitoringa satvars balstās uz esošajiem Savienības līmeņa un valsts līmeņa satvariem, tostarp datiem, kas saņemti no LUCAS Augsnes observatorijas.</w:t>
      </w:r>
      <w:r w:rsidR="00D60908" w:rsidRPr="00EB04F1">
        <w:rPr>
          <w:b/>
          <w:szCs w:val="24"/>
          <w:lang w:val="pt-PT" w:eastAsia="en-US"/>
        </w:rPr>
        <w:t xml:space="preserve"> [Gr. 78]</w:t>
      </w:r>
    </w:p>
    <w:p w14:paraId="6374CB72"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7.</w:t>
      </w:r>
      <w:r w:rsidRPr="00EB04F1">
        <w:rPr>
          <w:szCs w:val="24"/>
          <w:lang w:val="pt-PT" w:eastAsia="en-US"/>
        </w:rPr>
        <w:tab/>
        <w:t>Šā panta 6. punktā minētais digitālais augsnes veselības datu portāls var nodrošināt piekļuvi arī citiem ar augsnes veselību saistītiem datiem, kas nav minētajā punktā minētie dati, ja šie dati ir kopīgoti vai ievākti formātā vai ar metodēm, ko Komisija noteikusi saskaņā ar 8. punktu.</w:t>
      </w:r>
    </w:p>
    <w:p w14:paraId="3F80EBEF" w14:textId="77777777" w:rsidR="00D60908" w:rsidRPr="00EB04F1" w:rsidRDefault="00D60908">
      <w:pPr>
        <w:widowControl/>
        <w:rPr>
          <w:b/>
          <w:i/>
          <w:szCs w:val="24"/>
          <w:lang w:val="pt-PT" w:eastAsia="en-US"/>
        </w:rPr>
      </w:pPr>
      <w:r w:rsidRPr="00EB04F1">
        <w:rPr>
          <w:b/>
          <w:i/>
          <w:szCs w:val="24"/>
          <w:lang w:val="pt-PT" w:eastAsia="en-US"/>
        </w:rPr>
        <w:br w:type="page"/>
      </w:r>
    </w:p>
    <w:p w14:paraId="12ADCAE1" w14:textId="392299A1" w:rsidR="00DA4F3E" w:rsidRPr="00EB04F1" w:rsidRDefault="00DA4F3E" w:rsidP="00DA4F3E">
      <w:pPr>
        <w:spacing w:before="120" w:after="120" w:line="360" w:lineRule="auto"/>
        <w:ind w:left="850" w:hanging="850"/>
        <w:rPr>
          <w:b/>
          <w:szCs w:val="24"/>
          <w:lang w:val="pt-PT" w:eastAsia="en-US"/>
        </w:rPr>
      </w:pPr>
      <w:r w:rsidRPr="00EB04F1">
        <w:rPr>
          <w:b/>
          <w:i/>
          <w:szCs w:val="24"/>
          <w:lang w:val="pt-PT" w:eastAsia="en-US"/>
        </w:rPr>
        <w:lastRenderedPageBreak/>
        <w:t>7</w:t>
      </w:r>
      <w:r w:rsidR="00D60908" w:rsidRPr="00EB04F1">
        <w:rPr>
          <w:b/>
          <w:i/>
          <w:szCs w:val="24"/>
          <w:lang w:val="pt-PT" w:eastAsia="en-US"/>
        </w:rPr>
        <w:t>.</w:t>
      </w:r>
      <w:r w:rsidRPr="00EB04F1">
        <w:rPr>
          <w:b/>
          <w:i/>
          <w:szCs w:val="24"/>
          <w:lang w:val="pt-PT" w:eastAsia="en-US"/>
        </w:rPr>
        <w:t>a</w:t>
      </w:r>
      <w:r w:rsidRPr="00EB04F1">
        <w:rPr>
          <w:szCs w:val="24"/>
          <w:lang w:val="pt-PT" w:eastAsia="en-US"/>
        </w:rPr>
        <w:tab/>
      </w:r>
      <w:r w:rsidRPr="00EB04F1">
        <w:rPr>
          <w:b/>
          <w:i/>
          <w:szCs w:val="24"/>
          <w:lang w:val="pt-PT" w:eastAsia="en-US"/>
        </w:rPr>
        <w:t>Digitālajā augsnes veselības datu portālā būs ilgtspējīgas augsnes apsaimniekošanas rīki, kas minēti 10.a pantā.</w:t>
      </w:r>
      <w:r w:rsidR="00D60908" w:rsidRPr="00EB04F1">
        <w:rPr>
          <w:b/>
          <w:szCs w:val="24"/>
          <w:lang w:val="pt-PT" w:eastAsia="en-US"/>
        </w:rPr>
        <w:t xml:space="preserve"> [Gr. 79]</w:t>
      </w:r>
    </w:p>
    <w:p w14:paraId="304CD3E2" w14:textId="200537E9"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8.</w:t>
      </w:r>
      <w:r w:rsidRPr="00EB04F1">
        <w:rPr>
          <w:szCs w:val="24"/>
          <w:lang w:val="pt-PT" w:eastAsia="en-US"/>
        </w:rPr>
        <w:tab/>
        <w:t>Komisija pieņem īstenošanas aktus, lai noteiktu, kādā formātā vai ar kādām metodēm kopīgojami vai ievācami 7. punktā minētie dati vai minētie dati integrējami digitālajā augsnes veselības datu portālā</w:t>
      </w:r>
      <w:r w:rsidRPr="00EB04F1">
        <w:rPr>
          <w:b/>
          <w:i/>
          <w:szCs w:val="24"/>
          <w:lang w:val="pt-PT" w:eastAsia="en-US"/>
        </w:rPr>
        <w:t>, nodrošinot atbilstību Savienības tiesību aktiem par personas datu aizsardzību</w:t>
      </w:r>
      <w:r w:rsidRPr="00EB04F1">
        <w:rPr>
          <w:szCs w:val="24"/>
          <w:lang w:val="pt-PT" w:eastAsia="en-US"/>
        </w:rPr>
        <w:t>. Minētos īstenošanas aktus pieņem saskaņā ar 21. pantā minēto pārbaudes procedūru.</w:t>
      </w:r>
      <w:r w:rsidR="00D60908" w:rsidRPr="00EB04F1">
        <w:rPr>
          <w:b/>
          <w:szCs w:val="24"/>
          <w:lang w:val="pt-PT" w:eastAsia="en-US"/>
        </w:rPr>
        <w:t xml:space="preserve"> [Gr. 80]</w:t>
      </w:r>
    </w:p>
    <w:p w14:paraId="0E695D25" w14:textId="48B0EBF3" w:rsidR="00DA4F3E" w:rsidRPr="00EB04F1" w:rsidRDefault="00DA4F3E" w:rsidP="00DA4F3E">
      <w:pPr>
        <w:spacing w:before="120" w:after="120" w:line="360" w:lineRule="auto"/>
        <w:ind w:left="850" w:hanging="850"/>
        <w:rPr>
          <w:b/>
          <w:szCs w:val="24"/>
          <w:lang w:val="pt-PT" w:eastAsia="en-US"/>
        </w:rPr>
      </w:pPr>
      <w:r w:rsidRPr="00EB04F1">
        <w:rPr>
          <w:b/>
          <w:i/>
          <w:szCs w:val="24"/>
          <w:lang w:val="pt-PT" w:eastAsia="en-US"/>
        </w:rPr>
        <w:t>8</w:t>
      </w:r>
      <w:r w:rsidR="00D60908" w:rsidRPr="00EB04F1">
        <w:rPr>
          <w:b/>
          <w:i/>
          <w:szCs w:val="24"/>
          <w:lang w:val="pt-PT" w:eastAsia="en-US"/>
        </w:rPr>
        <w:t>.</w:t>
      </w:r>
      <w:r w:rsidRPr="00EB04F1">
        <w:rPr>
          <w:b/>
          <w:i/>
          <w:szCs w:val="24"/>
          <w:lang w:val="pt-PT" w:eastAsia="en-US"/>
        </w:rPr>
        <w:t>a</w:t>
      </w:r>
      <w:r w:rsidRPr="00EB04F1">
        <w:rPr>
          <w:szCs w:val="24"/>
          <w:lang w:val="pt-PT" w:eastAsia="en-US"/>
        </w:rPr>
        <w:tab/>
      </w:r>
      <w:r w:rsidRPr="00EB04F1">
        <w:rPr>
          <w:b/>
          <w:i/>
          <w:szCs w:val="24"/>
          <w:lang w:val="pt-PT" w:eastAsia="en-US"/>
        </w:rPr>
        <w:t>Komisija sniedz dalībvalstīm vajadzīgos spēju veidošanas, atbalsta un konsultāciju pakalpojumus, lai atbalstītu to monitoringa iniciatīva, noteikumu metožu un arhīvu daudzpusēju saskaņošanu un, kopīgojot kopīgās zināšanas, likvidētu esošo datu iztrūkumu un darbplūsmas nepilnības. Šajā nolūkā Komisija balstās uz esošiem mehānismiem, tostarp Soil BON iniciatīvu.</w:t>
      </w:r>
      <w:r w:rsidR="00D60908" w:rsidRPr="00EB04F1">
        <w:rPr>
          <w:b/>
          <w:szCs w:val="24"/>
          <w:lang w:val="pt-PT" w:eastAsia="en-US"/>
        </w:rPr>
        <w:t xml:space="preserve"> [Gr. 81]</w:t>
      </w:r>
    </w:p>
    <w:p w14:paraId="543F677F" w14:textId="77777777" w:rsidR="00D60908" w:rsidRPr="00EB04F1" w:rsidRDefault="00D60908">
      <w:pPr>
        <w:widowControl/>
        <w:rPr>
          <w:b/>
          <w:i/>
          <w:szCs w:val="24"/>
          <w:lang w:val="pt-PT" w:eastAsia="en-US"/>
        </w:rPr>
      </w:pPr>
      <w:r w:rsidRPr="00EB04F1">
        <w:rPr>
          <w:b/>
          <w:i/>
          <w:szCs w:val="24"/>
          <w:lang w:val="pt-PT" w:eastAsia="en-US"/>
        </w:rPr>
        <w:br w:type="page"/>
      </w:r>
    </w:p>
    <w:p w14:paraId="7B271853" w14:textId="00FF8D7A" w:rsidR="00DA4F3E" w:rsidRPr="00EB04F1" w:rsidRDefault="00DA4F3E" w:rsidP="00DA4F3E">
      <w:pPr>
        <w:spacing w:before="120" w:after="120" w:line="360" w:lineRule="auto"/>
        <w:jc w:val="center"/>
        <w:rPr>
          <w:szCs w:val="24"/>
          <w:lang w:val="pt-PT" w:eastAsia="en-US"/>
        </w:rPr>
      </w:pPr>
      <w:r w:rsidRPr="00EB04F1">
        <w:rPr>
          <w:b/>
          <w:i/>
          <w:szCs w:val="24"/>
          <w:lang w:val="pt-PT" w:eastAsia="en-US"/>
        </w:rPr>
        <w:lastRenderedPageBreak/>
        <w:t>6</w:t>
      </w:r>
      <w:r w:rsidR="00D60908" w:rsidRPr="00EB04F1">
        <w:rPr>
          <w:b/>
          <w:i/>
          <w:szCs w:val="24"/>
          <w:lang w:val="pt-PT" w:eastAsia="en-US"/>
        </w:rPr>
        <w:t>.</w:t>
      </w:r>
      <w:r w:rsidRPr="00EB04F1">
        <w:rPr>
          <w:b/>
          <w:i/>
          <w:szCs w:val="24"/>
          <w:lang w:val="pt-PT" w:eastAsia="en-US"/>
        </w:rPr>
        <w:t>a pants</w:t>
      </w:r>
      <w:r w:rsidRPr="00EB04F1">
        <w:rPr>
          <w:szCs w:val="24"/>
          <w:lang w:val="pt-PT" w:eastAsia="en-US"/>
        </w:rPr>
        <w:br/>
      </w:r>
      <w:r w:rsidRPr="00EB04F1">
        <w:rPr>
          <w:b/>
          <w:i/>
          <w:szCs w:val="24"/>
          <w:lang w:val="pt-PT" w:eastAsia="en-US"/>
        </w:rPr>
        <w:t>Augsnes paraugu efektīva izmantošana un saglabāšana</w:t>
      </w:r>
    </w:p>
    <w:p w14:paraId="25DD17B9" w14:textId="77777777" w:rsidR="00DA4F3E" w:rsidRPr="00EB04F1" w:rsidRDefault="00DA4F3E" w:rsidP="00DA4F3E">
      <w:pPr>
        <w:spacing w:before="120" w:after="120" w:line="360" w:lineRule="auto"/>
        <w:ind w:left="850" w:hanging="850"/>
        <w:rPr>
          <w:szCs w:val="24"/>
          <w:lang w:val="pt-PT" w:eastAsia="en-US"/>
        </w:rPr>
      </w:pPr>
      <w:r w:rsidRPr="00EB04F1">
        <w:rPr>
          <w:b/>
          <w:i/>
          <w:szCs w:val="24"/>
          <w:lang w:val="pt-PT" w:eastAsia="en-US"/>
        </w:rPr>
        <w:t>1.</w:t>
      </w:r>
      <w:r w:rsidRPr="00EB04F1">
        <w:rPr>
          <w:szCs w:val="24"/>
          <w:lang w:val="pt-PT" w:eastAsia="en-US"/>
        </w:rPr>
        <w:tab/>
      </w:r>
      <w:r w:rsidRPr="00EB04F1">
        <w:rPr>
          <w:b/>
          <w:i/>
          <w:szCs w:val="24"/>
          <w:lang w:val="pt-PT" w:eastAsia="en-US"/>
        </w:rPr>
        <w:t>Komisija kopā ar dalībvalstīm un Eiropas Augsnes observatoriju ievieš pasākumus, lai nodrošinātu, ka augsnes fiziskie arhīvi, DNS izvilkumi un jēldatu digitālais arhīvs Savienības un valstu līmenī vienmēr ir pieejami turpmākiem pētījumiem un inovācijai. Komisija un dalībvalstis nodrošina, ka paraugi tiek uzglabāti tādā veidā, kas nodrošina to izmantošanu ilgtermiņā.</w:t>
      </w:r>
    </w:p>
    <w:p w14:paraId="2DE3D984" w14:textId="0F732203" w:rsidR="00DA4F3E" w:rsidRPr="00EB04F1" w:rsidRDefault="00DA4F3E" w:rsidP="00DA4F3E">
      <w:pPr>
        <w:spacing w:before="120" w:after="120" w:line="360" w:lineRule="auto"/>
        <w:ind w:left="850" w:hanging="850"/>
        <w:rPr>
          <w:b/>
          <w:szCs w:val="24"/>
          <w:lang w:val="pt-PT" w:eastAsia="en-US"/>
        </w:rPr>
      </w:pPr>
      <w:r w:rsidRPr="00EB04F1">
        <w:rPr>
          <w:b/>
          <w:i/>
          <w:szCs w:val="24"/>
          <w:lang w:val="pt-PT" w:eastAsia="en-US"/>
        </w:rPr>
        <w:t>2.</w:t>
      </w:r>
      <w:r w:rsidRPr="00EB04F1">
        <w:rPr>
          <w:szCs w:val="24"/>
          <w:lang w:val="pt-PT" w:eastAsia="en-US"/>
        </w:rPr>
        <w:tab/>
      </w:r>
      <w:r w:rsidRPr="00EB04F1">
        <w:rPr>
          <w:b/>
          <w:i/>
          <w:szCs w:val="24"/>
          <w:lang w:val="pt-PT" w:eastAsia="en-US"/>
        </w:rPr>
        <w:t>Līdz ... [PB: lūgums ievietot datumu = 12 mēneši pēc šīs direktīvas spēkā stāšanās dienas] Komisija sniedz vadlīnijas ar atsauces protokoliem par to, kā visefektīvāk izmantot augsnes paraugus.</w:t>
      </w:r>
      <w:r w:rsidR="00D60908" w:rsidRPr="00EB04F1">
        <w:rPr>
          <w:b/>
          <w:szCs w:val="24"/>
          <w:lang w:val="pt-PT" w:eastAsia="en-US"/>
        </w:rPr>
        <w:t xml:space="preserve"> [Gr. 82]</w:t>
      </w:r>
    </w:p>
    <w:p w14:paraId="6496AF1E" w14:textId="77777777" w:rsidR="00D60908" w:rsidRPr="00EB04F1" w:rsidRDefault="00D60908">
      <w:pPr>
        <w:widowControl/>
        <w:rPr>
          <w:szCs w:val="24"/>
          <w:lang w:val="pt-PT" w:eastAsia="en-US"/>
        </w:rPr>
      </w:pPr>
      <w:r w:rsidRPr="00EB04F1">
        <w:rPr>
          <w:szCs w:val="24"/>
          <w:lang w:val="pt-PT" w:eastAsia="en-US"/>
        </w:rPr>
        <w:br w:type="page"/>
      </w:r>
    </w:p>
    <w:p w14:paraId="191C7778" w14:textId="3A8E8819" w:rsidR="00DA4F3E" w:rsidRPr="00EB04F1" w:rsidRDefault="00DA4F3E" w:rsidP="00DA4F3E">
      <w:pPr>
        <w:spacing w:before="120" w:after="120" w:line="360" w:lineRule="auto"/>
        <w:jc w:val="center"/>
        <w:rPr>
          <w:b/>
          <w:szCs w:val="24"/>
          <w:lang w:val="pt-PT" w:eastAsia="en-US"/>
        </w:rPr>
      </w:pPr>
      <w:r w:rsidRPr="00EB04F1">
        <w:rPr>
          <w:szCs w:val="24"/>
          <w:lang w:val="pt-PT" w:eastAsia="en-US"/>
        </w:rPr>
        <w:lastRenderedPageBreak/>
        <w:t>7. pants</w:t>
      </w:r>
      <w:r w:rsidRPr="00EB04F1">
        <w:rPr>
          <w:szCs w:val="24"/>
          <w:lang w:val="pt-PT" w:eastAsia="en-US"/>
        </w:rPr>
        <w:br/>
        <w:t xml:space="preserve">Augsnes deskriptori, </w:t>
      </w:r>
      <w:r w:rsidRPr="00EB04F1">
        <w:rPr>
          <w:strike/>
          <w:szCs w:val="24"/>
          <w:lang w:val="pt-PT" w:eastAsia="en-US"/>
        </w:rPr>
        <w:t xml:space="preserve">veselīga </w:t>
      </w:r>
      <w:r w:rsidRPr="00EB04F1">
        <w:rPr>
          <w:szCs w:val="24"/>
          <w:lang w:val="pt-PT" w:eastAsia="en-US"/>
        </w:rPr>
        <w:t>augsnes</w:t>
      </w:r>
      <w:r w:rsidRPr="00EB04F1">
        <w:rPr>
          <w:b/>
          <w:i/>
          <w:szCs w:val="24"/>
          <w:lang w:val="pt-PT" w:eastAsia="en-US"/>
        </w:rPr>
        <w:t xml:space="preserve"> ekoloģiskā</w:t>
      </w:r>
      <w:r w:rsidRPr="00EB04F1">
        <w:rPr>
          <w:szCs w:val="24"/>
          <w:lang w:val="pt-PT" w:eastAsia="en-US"/>
        </w:rPr>
        <w:t xml:space="preserve"> stāvokļa kritēriji, zemes aizņemšanas un augsnes noslēgšanas indikatori</w:t>
      </w:r>
      <w:r w:rsidR="00D60908" w:rsidRPr="00EB04F1">
        <w:rPr>
          <w:b/>
          <w:szCs w:val="24"/>
          <w:lang w:val="pt-PT" w:eastAsia="en-US"/>
        </w:rPr>
        <w:t xml:space="preserve"> [Gr. 83]</w:t>
      </w:r>
    </w:p>
    <w:p w14:paraId="741FFA40" w14:textId="521A3CB2"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1.</w:t>
      </w:r>
      <w:r w:rsidRPr="00EB04F1">
        <w:rPr>
          <w:szCs w:val="24"/>
          <w:lang w:val="pt-PT" w:eastAsia="en-US"/>
        </w:rPr>
        <w:tab/>
        <w:t>Veicot augsnes</w:t>
      </w:r>
      <w:r w:rsidRPr="00EB04F1">
        <w:rPr>
          <w:strike/>
          <w:szCs w:val="24"/>
          <w:lang w:val="pt-PT" w:eastAsia="en-US"/>
        </w:rPr>
        <w:t xml:space="preserve"> veselības</w:t>
      </w:r>
      <w:r w:rsidRPr="00EB04F1">
        <w:rPr>
          <w:szCs w:val="24"/>
          <w:lang w:val="pt-PT" w:eastAsia="en-US"/>
        </w:rPr>
        <w:t xml:space="preserve"> monitoringu un novērtēšanu, dalībvalstis </w:t>
      </w:r>
      <w:r w:rsidRPr="00EB04F1">
        <w:rPr>
          <w:strike/>
          <w:szCs w:val="24"/>
          <w:lang w:val="pt-PT" w:eastAsia="en-US"/>
        </w:rPr>
        <w:t>izmanto un piemēro</w:t>
      </w:r>
      <w:r w:rsidRPr="00EB04F1">
        <w:rPr>
          <w:b/>
          <w:i/>
          <w:szCs w:val="24"/>
          <w:lang w:val="pt-PT" w:eastAsia="en-US"/>
        </w:rPr>
        <w:t>var izmantot un piemērot</w:t>
      </w:r>
      <w:r w:rsidRPr="00EB04F1">
        <w:rPr>
          <w:szCs w:val="24"/>
          <w:lang w:val="pt-PT" w:eastAsia="en-US"/>
        </w:rPr>
        <w:t xml:space="preserve"> I pielikumā uzskaitītos augsnes deskriptorus</w:t>
      </w:r>
      <w:r w:rsidRPr="00EB04F1">
        <w:rPr>
          <w:b/>
          <w:i/>
          <w:szCs w:val="24"/>
          <w:lang w:val="pt-PT" w:eastAsia="en-US"/>
        </w:rPr>
        <w:t>, kas vislabāk parāda</w:t>
      </w:r>
      <w:r w:rsidRPr="00EB04F1">
        <w:rPr>
          <w:strike/>
          <w:szCs w:val="24"/>
          <w:lang w:val="pt-PT" w:eastAsia="en-US"/>
        </w:rPr>
        <w:t xml:space="preserve"> un</w:t>
      </w:r>
      <w:r w:rsidRPr="00EB04F1">
        <w:rPr>
          <w:szCs w:val="24"/>
          <w:lang w:val="pt-PT" w:eastAsia="en-US"/>
        </w:rPr>
        <w:t xml:space="preserve"> augsnes </w:t>
      </w:r>
      <w:r w:rsidRPr="00EB04F1">
        <w:rPr>
          <w:strike/>
          <w:szCs w:val="24"/>
          <w:lang w:val="pt-PT" w:eastAsia="en-US"/>
        </w:rPr>
        <w:t>veselības kritērijus</w:t>
      </w:r>
      <w:r w:rsidRPr="00EB04F1">
        <w:rPr>
          <w:b/>
          <w:i/>
          <w:szCs w:val="24"/>
          <w:lang w:val="pt-PT" w:eastAsia="en-US"/>
        </w:rPr>
        <w:t>īpašības katram augsnes veidam valsts līmenī</w:t>
      </w:r>
      <w:r w:rsidRPr="00EB04F1">
        <w:rPr>
          <w:szCs w:val="24"/>
          <w:lang w:val="pt-PT" w:eastAsia="en-US"/>
        </w:rPr>
        <w:t>.</w:t>
      </w:r>
      <w:r w:rsidR="00D60908" w:rsidRPr="00EB04F1">
        <w:rPr>
          <w:b/>
          <w:szCs w:val="24"/>
          <w:lang w:val="pt-PT" w:eastAsia="en-US"/>
        </w:rPr>
        <w:t xml:space="preserve"> [Gr. 228]</w:t>
      </w:r>
    </w:p>
    <w:p w14:paraId="09D06A48" w14:textId="77777777" w:rsidR="00DA4F3E" w:rsidRPr="00EB04F1" w:rsidRDefault="00DA4F3E" w:rsidP="00DA4F3E">
      <w:pPr>
        <w:spacing w:before="120" w:after="120" w:line="360" w:lineRule="auto"/>
        <w:ind w:left="850"/>
        <w:rPr>
          <w:szCs w:val="24"/>
          <w:lang w:val="pt-PT" w:eastAsia="en-US"/>
        </w:rPr>
      </w:pPr>
      <w:r w:rsidRPr="00EB04F1">
        <w:rPr>
          <w:szCs w:val="24"/>
          <w:lang w:val="pt-PT" w:eastAsia="en-US"/>
        </w:rPr>
        <w:t>Veicot zemes aizņemšanas monitoringu, dalībvalstis izmanto I pielikumā minētos zemes aizņemšanas un augsnes noslēgšanas indikatorus.</w:t>
      </w:r>
    </w:p>
    <w:p w14:paraId="1B89F78B" w14:textId="6B8B0233"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2.</w:t>
      </w:r>
      <w:r w:rsidRPr="00EB04F1">
        <w:rPr>
          <w:szCs w:val="24"/>
          <w:lang w:val="pt-PT" w:eastAsia="en-US"/>
        </w:rPr>
        <w:tab/>
        <w:t>Dalībvalstis</w:t>
      </w:r>
      <w:r w:rsidRPr="00EB04F1">
        <w:rPr>
          <w:b/>
          <w:i/>
          <w:szCs w:val="24"/>
          <w:lang w:val="pt-PT" w:eastAsia="en-US"/>
        </w:rPr>
        <w:t xml:space="preserve"> izvēlas atbilstīgu augsnes monitoringa koncepcijas līmeni, kas attiecīgi atbilst I pielikuma nosacījumiem, un nodrošina, ka ir iekļauti vismaz visi augsnes deskriptori, kas minēti</w:t>
      </w:r>
      <w:r w:rsidRPr="00EB04F1">
        <w:rPr>
          <w:szCs w:val="24"/>
          <w:lang w:val="pt-PT" w:eastAsia="en-US"/>
        </w:rPr>
        <w:t xml:space="preserve"> I pielikuma A daļā</w:t>
      </w:r>
      <w:r w:rsidRPr="00EB04F1">
        <w:rPr>
          <w:strike/>
          <w:szCs w:val="24"/>
          <w:lang w:val="pt-PT" w:eastAsia="en-US"/>
        </w:rPr>
        <w:t xml:space="preserve"> minētos augsnes deskriptorus un augsnes veselības kritērijus var pielāgot saskaņā ar specifikācijām, kas minētas I pielikuma A daļas otrajā un trešajā ailē</w:t>
      </w:r>
      <w:r w:rsidRPr="00EB04F1">
        <w:rPr>
          <w:szCs w:val="24"/>
          <w:lang w:val="pt-PT" w:eastAsia="en-US"/>
        </w:rPr>
        <w:t>.</w:t>
      </w:r>
      <w:r w:rsidR="00D60908" w:rsidRPr="00EB04F1">
        <w:rPr>
          <w:b/>
          <w:szCs w:val="24"/>
          <w:lang w:val="pt-PT" w:eastAsia="en-US"/>
        </w:rPr>
        <w:t xml:space="preserve"> [Gr. 85]</w:t>
      </w:r>
    </w:p>
    <w:p w14:paraId="16EA497E" w14:textId="19FC6CC7"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3.</w:t>
      </w:r>
      <w:r w:rsidRPr="00EB04F1">
        <w:rPr>
          <w:szCs w:val="24"/>
          <w:lang w:val="pt-PT" w:eastAsia="en-US"/>
        </w:rPr>
        <w:tab/>
        <w:t xml:space="preserve">Dalībvalstis nosaka, kādi organiskie kontaminanti atbilst ar augsnes kontamināciju saistītajam augsnes deskriptoram, kas minēts I pielikuma </w:t>
      </w:r>
      <w:r w:rsidRPr="00EB04F1">
        <w:rPr>
          <w:strike/>
          <w:szCs w:val="24"/>
          <w:lang w:val="pt-PT" w:eastAsia="en-US"/>
        </w:rPr>
        <w:t>B</w:t>
      </w:r>
      <w:r w:rsidRPr="00EB04F1">
        <w:rPr>
          <w:b/>
          <w:i/>
          <w:szCs w:val="24"/>
          <w:lang w:val="pt-PT" w:eastAsia="en-US"/>
        </w:rPr>
        <w:t>A</w:t>
      </w:r>
      <w:r w:rsidRPr="00EB04F1">
        <w:rPr>
          <w:szCs w:val="24"/>
          <w:lang w:val="pt-PT" w:eastAsia="en-US"/>
        </w:rPr>
        <w:t xml:space="preserve"> daļā.</w:t>
      </w:r>
      <w:r w:rsidR="00D60908" w:rsidRPr="00EB04F1">
        <w:rPr>
          <w:b/>
          <w:szCs w:val="24"/>
          <w:lang w:val="pt-PT" w:eastAsia="en-US"/>
        </w:rPr>
        <w:t xml:space="preserve"> [Gr. 86]</w:t>
      </w:r>
    </w:p>
    <w:p w14:paraId="239D2DD5" w14:textId="77777777" w:rsidR="00D60908" w:rsidRPr="00EB04F1" w:rsidRDefault="00D60908">
      <w:pPr>
        <w:widowControl/>
        <w:rPr>
          <w:strike/>
          <w:szCs w:val="24"/>
          <w:lang w:val="pt-PT" w:eastAsia="en-US"/>
        </w:rPr>
      </w:pPr>
      <w:r w:rsidRPr="00EB04F1">
        <w:rPr>
          <w:strike/>
          <w:szCs w:val="24"/>
          <w:lang w:val="pt-PT" w:eastAsia="en-US"/>
        </w:rPr>
        <w:br w:type="page"/>
      </w:r>
    </w:p>
    <w:p w14:paraId="351230E1" w14:textId="6AE6A398" w:rsidR="00DA4F3E" w:rsidRPr="00EB04F1" w:rsidRDefault="00DA4F3E" w:rsidP="00DA4F3E">
      <w:pPr>
        <w:spacing w:before="120" w:after="120" w:line="360" w:lineRule="auto"/>
        <w:ind w:left="850" w:hanging="850"/>
        <w:rPr>
          <w:b/>
          <w:szCs w:val="24"/>
          <w:lang w:val="pt-PT" w:eastAsia="en-US"/>
        </w:rPr>
      </w:pPr>
      <w:r w:rsidRPr="00EB04F1">
        <w:rPr>
          <w:strike/>
          <w:szCs w:val="24"/>
          <w:lang w:val="pt-PT" w:eastAsia="en-US"/>
        </w:rPr>
        <w:lastRenderedPageBreak/>
        <w:t>4.</w:t>
      </w:r>
      <w:r w:rsidRPr="00EB04F1">
        <w:rPr>
          <w:szCs w:val="24"/>
          <w:lang w:val="pt-PT" w:eastAsia="en-US"/>
        </w:rPr>
        <w:tab/>
      </w:r>
      <w:r w:rsidRPr="00EB04F1">
        <w:rPr>
          <w:strike/>
          <w:szCs w:val="24"/>
          <w:lang w:val="pt-PT" w:eastAsia="en-US"/>
        </w:rPr>
        <w:t>Dalībvalstis nosaka augsnes veselības kritērijus I pielikuma B daļā uzskaitītajiem augsnes deskriptoriem saskaņā ar noteikumiem, kas izklāstīti I pielikuma B daļas trešajā ailē.</w:t>
      </w:r>
      <w:r w:rsidR="00D60908" w:rsidRPr="00EB04F1">
        <w:rPr>
          <w:b/>
          <w:szCs w:val="24"/>
          <w:lang w:val="pt-PT" w:eastAsia="en-US"/>
        </w:rPr>
        <w:t xml:space="preserve"> [Gr. 87]</w:t>
      </w:r>
    </w:p>
    <w:p w14:paraId="15E9F3DE" w14:textId="7B1EF6D8"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5.</w:t>
      </w:r>
      <w:r w:rsidRPr="00EB04F1">
        <w:rPr>
          <w:szCs w:val="24"/>
          <w:lang w:val="pt-PT" w:eastAsia="en-US"/>
        </w:rPr>
        <w:tab/>
        <w:t xml:space="preserve">Monitoringa vajadzībām dalībvalstis var noteikt papildu augsnes deskriptorus un zemes aizņemšanas indikatorus, arī — bet ne tikai — I pielikuma </w:t>
      </w:r>
      <w:r w:rsidRPr="00EB04F1">
        <w:rPr>
          <w:strike/>
          <w:szCs w:val="24"/>
          <w:lang w:val="pt-PT" w:eastAsia="en-US"/>
        </w:rPr>
        <w:t xml:space="preserve">C un </w:t>
      </w:r>
      <w:r w:rsidRPr="00EB04F1">
        <w:rPr>
          <w:szCs w:val="24"/>
          <w:lang w:val="pt-PT" w:eastAsia="en-US"/>
        </w:rPr>
        <w:t>D daļā norādītos</w:t>
      </w:r>
      <w:r w:rsidRPr="00EB04F1">
        <w:rPr>
          <w:strike/>
          <w:szCs w:val="24"/>
          <w:lang w:val="pt-PT" w:eastAsia="en-US"/>
        </w:rPr>
        <w:t xml:space="preserve"> fakultatīvos</w:t>
      </w:r>
      <w:r w:rsidRPr="00EB04F1">
        <w:rPr>
          <w:szCs w:val="24"/>
          <w:lang w:val="pt-PT" w:eastAsia="en-US"/>
        </w:rPr>
        <w:t xml:space="preserve"> deskriptorus un indikatorus</w:t>
      </w:r>
      <w:r w:rsidRPr="00EB04F1">
        <w:rPr>
          <w:strike/>
          <w:szCs w:val="24"/>
          <w:lang w:val="pt-PT" w:eastAsia="en-US"/>
        </w:rPr>
        <w:t xml:space="preserve"> (“papildu augsnes deskriptori” un “papildu zemes aizņemšanas indikatori”)</w:t>
      </w:r>
      <w:r w:rsidRPr="00EB04F1">
        <w:rPr>
          <w:szCs w:val="24"/>
          <w:lang w:val="pt-PT" w:eastAsia="en-US"/>
        </w:rPr>
        <w:t>.</w:t>
      </w:r>
      <w:r w:rsidR="00D60908" w:rsidRPr="00EB04F1">
        <w:rPr>
          <w:b/>
          <w:szCs w:val="24"/>
          <w:lang w:val="pt-PT" w:eastAsia="en-US"/>
        </w:rPr>
        <w:t xml:space="preserve"> [Gr. 88]</w:t>
      </w:r>
    </w:p>
    <w:p w14:paraId="4B3D541B" w14:textId="614EFFD3"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6.</w:t>
      </w:r>
      <w:r w:rsidRPr="00EB04F1">
        <w:rPr>
          <w:szCs w:val="24"/>
          <w:lang w:val="pt-PT" w:eastAsia="en-US"/>
        </w:rPr>
        <w:tab/>
        <w:t>Ja augsnes deskriptori, zemes aizņemšanas indikatori un augsnes veselības kritēriji tiek noteikti vai pielāgoti saskaņā ar šā panta 2. līdz 5. punktu</w:t>
      </w:r>
      <w:r w:rsidRPr="00EB04F1">
        <w:rPr>
          <w:b/>
          <w:i/>
          <w:szCs w:val="24"/>
          <w:lang w:val="pt-PT" w:eastAsia="en-US"/>
        </w:rPr>
        <w:t xml:space="preserve"> un 9. pantu</w:t>
      </w:r>
      <w:r w:rsidRPr="00EB04F1">
        <w:rPr>
          <w:szCs w:val="24"/>
          <w:lang w:val="pt-PT" w:eastAsia="en-US"/>
        </w:rPr>
        <w:t>, dalībvalstis par to informē Komisiju.</w:t>
      </w:r>
      <w:r w:rsidR="00D60908" w:rsidRPr="00EB04F1">
        <w:rPr>
          <w:b/>
          <w:szCs w:val="24"/>
          <w:lang w:val="pt-PT" w:eastAsia="en-US"/>
        </w:rPr>
        <w:t xml:space="preserve"> [Gr. 89]</w:t>
      </w:r>
    </w:p>
    <w:p w14:paraId="0FBF32AC" w14:textId="77777777" w:rsidR="00D60908" w:rsidRPr="00EB04F1" w:rsidRDefault="00D60908">
      <w:pPr>
        <w:widowControl/>
        <w:rPr>
          <w:szCs w:val="24"/>
          <w:lang w:val="pt-PT" w:eastAsia="en-US"/>
        </w:rPr>
      </w:pPr>
      <w:r w:rsidRPr="00EB04F1">
        <w:rPr>
          <w:szCs w:val="24"/>
          <w:lang w:val="pt-PT" w:eastAsia="en-US"/>
        </w:rPr>
        <w:br w:type="page"/>
      </w:r>
    </w:p>
    <w:p w14:paraId="0AD05C17" w14:textId="2EB924A2" w:rsidR="00DA4F3E" w:rsidRPr="00EB04F1" w:rsidRDefault="00DA4F3E" w:rsidP="00DA4F3E">
      <w:pPr>
        <w:spacing w:before="120" w:after="120" w:line="360" w:lineRule="auto"/>
        <w:jc w:val="center"/>
        <w:rPr>
          <w:szCs w:val="24"/>
          <w:lang w:val="pt-PT" w:eastAsia="en-US"/>
        </w:rPr>
      </w:pPr>
      <w:r w:rsidRPr="00EB04F1">
        <w:rPr>
          <w:szCs w:val="24"/>
          <w:lang w:val="pt-PT" w:eastAsia="en-US"/>
        </w:rPr>
        <w:lastRenderedPageBreak/>
        <w:t>8. pants</w:t>
      </w:r>
      <w:r w:rsidRPr="00EB04F1">
        <w:rPr>
          <w:szCs w:val="24"/>
          <w:lang w:val="pt-PT" w:eastAsia="en-US"/>
        </w:rPr>
        <w:br/>
        <w:t>Mērījumi un metodikas</w:t>
      </w:r>
    </w:p>
    <w:p w14:paraId="76698E62" w14:textId="3D4AD33E"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1.</w:t>
      </w:r>
      <w:r w:rsidRPr="00EB04F1">
        <w:rPr>
          <w:szCs w:val="24"/>
          <w:lang w:val="pt-PT" w:eastAsia="en-US"/>
        </w:rPr>
        <w:tab/>
        <w:t xml:space="preserve">Dalībvalstis, izmantojot </w:t>
      </w:r>
      <w:r w:rsidRPr="00EB04F1">
        <w:rPr>
          <w:strike/>
          <w:szCs w:val="24"/>
          <w:lang w:val="pt-PT" w:eastAsia="en-US"/>
        </w:rPr>
        <w:t>II pielikuma A daļā</w:t>
      </w:r>
      <w:r w:rsidRPr="00EB04F1">
        <w:rPr>
          <w:b/>
          <w:i/>
          <w:szCs w:val="24"/>
          <w:lang w:val="pt-PT" w:eastAsia="en-US"/>
        </w:rPr>
        <w:t>I pielikumā</w:t>
      </w:r>
      <w:r w:rsidRPr="00EB04F1">
        <w:rPr>
          <w:szCs w:val="24"/>
          <w:lang w:val="pt-PT" w:eastAsia="en-US"/>
        </w:rPr>
        <w:t xml:space="preserve"> izklāstīto metodiku, nosaka paraugošanas punktus</w:t>
      </w:r>
      <w:r w:rsidRPr="00EB04F1">
        <w:rPr>
          <w:b/>
          <w:i/>
          <w:szCs w:val="24"/>
          <w:lang w:val="pt-PT" w:eastAsia="en-US"/>
        </w:rPr>
        <w:t xml:space="preserve"> atbilstīgi izvēlētajam augsnes monitoringa koncepcijas līmenim, ņemot vērā uz esošo monitoringa sistēmu balstītus riska novērtējumus</w:t>
      </w:r>
      <w:r w:rsidRPr="00EB04F1">
        <w:rPr>
          <w:szCs w:val="24"/>
          <w:lang w:val="pt-PT" w:eastAsia="en-US"/>
        </w:rPr>
        <w:t>.</w:t>
      </w:r>
      <w:r w:rsidR="00D60908" w:rsidRPr="00EB04F1">
        <w:rPr>
          <w:b/>
          <w:szCs w:val="24"/>
          <w:lang w:val="pt-PT" w:eastAsia="en-US"/>
        </w:rPr>
        <w:t xml:space="preserve"> [Gr. 90]</w:t>
      </w:r>
    </w:p>
    <w:p w14:paraId="4A883000"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2.</w:t>
      </w:r>
      <w:r w:rsidRPr="00EB04F1">
        <w:rPr>
          <w:szCs w:val="24"/>
          <w:lang w:val="pt-PT" w:eastAsia="en-US"/>
        </w:rPr>
        <w:tab/>
        <w:t>Dalībvalstis veic augsnes mērījumus, ņemot augsnes paraugus 1. punktā minētajos paraugošanas punktos, un vāc, apstrādā un analizē datus, lai noteiktu šādas vērtības:</w:t>
      </w:r>
    </w:p>
    <w:p w14:paraId="65A64724" w14:textId="35E7DBCD" w:rsidR="00DA4F3E" w:rsidRPr="00EB04F1" w:rsidRDefault="00DA4F3E" w:rsidP="00DA4F3E">
      <w:pPr>
        <w:spacing w:before="120" w:after="120" w:line="360" w:lineRule="auto"/>
        <w:ind w:left="1416" w:hanging="566"/>
        <w:rPr>
          <w:b/>
          <w:szCs w:val="24"/>
          <w:lang w:val="pt-PT" w:eastAsia="en-US"/>
        </w:rPr>
      </w:pPr>
      <w:r w:rsidRPr="00EB04F1">
        <w:rPr>
          <w:szCs w:val="24"/>
          <w:lang w:val="pt-PT" w:eastAsia="en-US"/>
        </w:rPr>
        <w:t>a)</w:t>
      </w:r>
      <w:r w:rsidRPr="00EB04F1">
        <w:rPr>
          <w:szCs w:val="24"/>
          <w:lang w:val="pt-PT" w:eastAsia="en-US"/>
        </w:rPr>
        <w:tab/>
        <w:t>I pielikumā noteikto augsnes deskriptoru vērtības</w:t>
      </w:r>
      <w:r w:rsidRPr="00EB04F1">
        <w:rPr>
          <w:b/>
          <w:i/>
          <w:szCs w:val="24"/>
          <w:lang w:val="pt-PT" w:eastAsia="en-US"/>
        </w:rPr>
        <w:t xml:space="preserve"> atbilstīgi izvēlētajam augsnes monitoringa koncepcijas līmenim</w:t>
      </w:r>
      <w:r w:rsidRPr="00EB04F1">
        <w:rPr>
          <w:szCs w:val="24"/>
          <w:lang w:val="pt-PT" w:eastAsia="en-US"/>
        </w:rPr>
        <w:t>;</w:t>
      </w:r>
      <w:r w:rsidR="00D60908" w:rsidRPr="00EB04F1">
        <w:rPr>
          <w:b/>
          <w:szCs w:val="24"/>
          <w:lang w:val="pt-PT" w:eastAsia="en-US"/>
        </w:rPr>
        <w:t xml:space="preserve"> [Gr. 91]</w:t>
      </w:r>
    </w:p>
    <w:p w14:paraId="3704136F" w14:textId="02CB8594"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b)</w:t>
      </w:r>
      <w:r w:rsidRPr="00EB04F1">
        <w:rPr>
          <w:szCs w:val="24"/>
          <w:lang w:val="pt-PT" w:eastAsia="en-US"/>
        </w:rPr>
        <w:tab/>
        <w:t>attiecīgā gadījumā — papildu augsnes deskriptoru vērtības;</w:t>
      </w:r>
    </w:p>
    <w:p w14:paraId="326A5D9F" w14:textId="54D02B59"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c)</w:t>
      </w:r>
      <w:r w:rsidRPr="00EB04F1">
        <w:rPr>
          <w:szCs w:val="24"/>
          <w:lang w:val="pt-PT" w:eastAsia="en-US"/>
        </w:rPr>
        <w:tab/>
        <w:t>I pielikuma D daļā uzskaitīto zemes aizņemšanas un augsnes noslēgšanas indikatoru vērtības.</w:t>
      </w:r>
    </w:p>
    <w:p w14:paraId="569D885F" w14:textId="77777777" w:rsidR="00D60908" w:rsidRPr="00EB04F1" w:rsidRDefault="00D60908">
      <w:pPr>
        <w:widowControl/>
        <w:rPr>
          <w:szCs w:val="24"/>
          <w:lang w:val="pt-PT" w:eastAsia="en-US"/>
        </w:rPr>
      </w:pPr>
      <w:r w:rsidRPr="00EB04F1">
        <w:rPr>
          <w:szCs w:val="24"/>
          <w:lang w:val="pt-PT" w:eastAsia="en-US"/>
        </w:rPr>
        <w:br w:type="page"/>
      </w:r>
    </w:p>
    <w:p w14:paraId="35965D80" w14:textId="1AE82343"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3.</w:t>
      </w:r>
      <w:r w:rsidRPr="00EB04F1">
        <w:rPr>
          <w:szCs w:val="24"/>
          <w:lang w:val="pt-PT" w:eastAsia="en-US"/>
        </w:rPr>
        <w:tab/>
        <w:t>Dalībvalstis piemēro</w:t>
      </w:r>
    </w:p>
    <w:p w14:paraId="648DCEF0" w14:textId="0D821761" w:rsidR="00DA4F3E" w:rsidRPr="00EB04F1" w:rsidRDefault="00DA4F3E" w:rsidP="00DA4F3E">
      <w:pPr>
        <w:spacing w:before="120" w:after="120" w:line="360" w:lineRule="auto"/>
        <w:ind w:left="1416" w:hanging="566"/>
        <w:rPr>
          <w:b/>
          <w:szCs w:val="24"/>
          <w:lang w:val="pt-PT" w:eastAsia="en-US"/>
        </w:rPr>
      </w:pPr>
      <w:r w:rsidRPr="00EB04F1">
        <w:rPr>
          <w:szCs w:val="24"/>
          <w:lang w:val="pt-PT" w:eastAsia="en-US"/>
        </w:rPr>
        <w:t>a)</w:t>
      </w:r>
      <w:r w:rsidRPr="00EB04F1">
        <w:rPr>
          <w:szCs w:val="24"/>
          <w:lang w:val="pt-PT" w:eastAsia="en-US"/>
        </w:rPr>
        <w:tab/>
        <w:t xml:space="preserve">II </w:t>
      </w:r>
      <w:r w:rsidRPr="00EB04F1">
        <w:rPr>
          <w:strike/>
          <w:szCs w:val="24"/>
          <w:lang w:val="pt-PT" w:eastAsia="en-US"/>
        </w:rPr>
        <w:t>pielikuma B daļā</w:t>
      </w:r>
      <w:r w:rsidRPr="00EB04F1">
        <w:rPr>
          <w:b/>
          <w:i/>
          <w:szCs w:val="24"/>
          <w:lang w:val="pt-PT" w:eastAsia="en-US"/>
        </w:rPr>
        <w:t>pielikumā</w:t>
      </w:r>
      <w:r w:rsidRPr="00EB04F1">
        <w:rPr>
          <w:szCs w:val="24"/>
          <w:lang w:val="pt-PT" w:eastAsia="en-US"/>
        </w:rPr>
        <w:t xml:space="preserve"> noteikto augsnes deskriptoru vērtību noteikšanas vai aplēšanas metodikas;</w:t>
      </w:r>
      <w:r w:rsidR="00D60908" w:rsidRPr="00EB04F1">
        <w:rPr>
          <w:b/>
          <w:szCs w:val="24"/>
          <w:lang w:val="pt-PT" w:eastAsia="en-US"/>
        </w:rPr>
        <w:t xml:space="preserve"> [Gr. 92]</w:t>
      </w:r>
    </w:p>
    <w:p w14:paraId="2F48CC6B" w14:textId="77777777"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b)</w:t>
      </w:r>
      <w:r w:rsidRPr="00EB04F1">
        <w:rPr>
          <w:szCs w:val="24"/>
          <w:lang w:val="pt-PT" w:eastAsia="en-US"/>
        </w:rPr>
        <w:tab/>
        <w:t>II pielikuma C daļā izklāstīto zemes aizņemšanas un augsnes noslēgšanas indikatoru vērtību noteikšanas metodisko kritēriju minimumu;</w:t>
      </w:r>
    </w:p>
    <w:p w14:paraId="16D6E8AF" w14:textId="77777777" w:rsidR="00DA4F3E" w:rsidRPr="00EB04F1" w:rsidRDefault="00DA4F3E" w:rsidP="00DA4F3E">
      <w:pPr>
        <w:spacing w:before="120" w:after="120" w:line="360" w:lineRule="auto"/>
        <w:ind w:left="1416" w:hanging="566"/>
        <w:rPr>
          <w:szCs w:val="24"/>
          <w:lang w:val="pt-PT" w:eastAsia="en-US"/>
        </w:rPr>
      </w:pPr>
      <w:r w:rsidRPr="00EB04F1">
        <w:rPr>
          <w:szCs w:val="24"/>
          <w:lang w:val="pt-PT" w:eastAsia="en-US"/>
        </w:rPr>
        <w:t>c)</w:t>
      </w:r>
      <w:r w:rsidRPr="00EB04F1">
        <w:rPr>
          <w:szCs w:val="24"/>
          <w:lang w:val="pt-PT" w:eastAsia="en-US"/>
        </w:rPr>
        <w:tab/>
        <w:t>visas prasības, ko Komisija noteikusi saskaņā ar 6. punktu.</w:t>
      </w:r>
    </w:p>
    <w:p w14:paraId="4DA943CF" w14:textId="1B660352" w:rsidR="00DA4F3E" w:rsidRPr="00EB04F1" w:rsidRDefault="00DA4F3E" w:rsidP="00DA4F3E">
      <w:pPr>
        <w:spacing w:before="120" w:after="120" w:line="360" w:lineRule="auto"/>
        <w:ind w:left="850"/>
        <w:rPr>
          <w:b/>
          <w:szCs w:val="24"/>
          <w:lang w:val="pt-PT" w:eastAsia="en-US"/>
        </w:rPr>
      </w:pPr>
      <w:r w:rsidRPr="00EB04F1">
        <w:rPr>
          <w:szCs w:val="24"/>
          <w:lang w:val="pt-PT" w:eastAsia="en-US"/>
        </w:rPr>
        <w:t>Ja ir pieejamas validētas pārneses funkcijas</w:t>
      </w:r>
      <w:r w:rsidRPr="00EB04F1">
        <w:rPr>
          <w:b/>
          <w:i/>
          <w:szCs w:val="24"/>
          <w:lang w:val="pt-PT" w:eastAsia="en-US"/>
        </w:rPr>
        <w:t xml:space="preserve"> vai ja tās var aplēst, salīdzinot datus, kas iegūti valsts līmenī, veicot in situ monitoringu, ko koordinē Komisija</w:t>
      </w:r>
      <w:r w:rsidRPr="00EB04F1">
        <w:rPr>
          <w:szCs w:val="24"/>
          <w:lang w:val="pt-PT" w:eastAsia="en-US"/>
        </w:rPr>
        <w:t>, kā prasīts II pielikuma B daļas ceturtajā ailē, dalībvalstis var piemērot citas metodikas, nevis tās, kas uzskaitītas pirmās daļas a) un b) apakšpunktā.</w:t>
      </w:r>
      <w:r w:rsidR="00D60908" w:rsidRPr="00EB04F1">
        <w:rPr>
          <w:b/>
          <w:szCs w:val="24"/>
          <w:lang w:val="pt-PT" w:eastAsia="en-US"/>
        </w:rPr>
        <w:t xml:space="preserve"> [Gr. 93]</w:t>
      </w:r>
    </w:p>
    <w:p w14:paraId="719B4BEA" w14:textId="4238DAE2"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4.</w:t>
      </w:r>
      <w:r w:rsidRPr="00EB04F1">
        <w:rPr>
          <w:szCs w:val="24"/>
          <w:lang w:val="pt-PT" w:eastAsia="en-US"/>
        </w:rPr>
        <w:tab/>
        <w:t xml:space="preserve">Dalībvalstis nodrošina, ka pirmie augsnes mērījumi tiek veikti vēlākais līdz… (PB: ierakstīt datumu, kas ir </w:t>
      </w:r>
      <w:r w:rsidRPr="00EB04F1">
        <w:rPr>
          <w:strike/>
          <w:szCs w:val="24"/>
          <w:lang w:val="pt-PT" w:eastAsia="en-US"/>
        </w:rPr>
        <w:t>4</w:t>
      </w:r>
      <w:r w:rsidRPr="00EB04F1">
        <w:rPr>
          <w:b/>
          <w:i/>
          <w:szCs w:val="24"/>
          <w:lang w:val="pt-PT" w:eastAsia="en-US"/>
        </w:rPr>
        <w:t>3</w:t>
      </w:r>
      <w:r w:rsidRPr="00EB04F1">
        <w:rPr>
          <w:szCs w:val="24"/>
          <w:lang w:val="pt-PT" w:eastAsia="en-US"/>
        </w:rPr>
        <w:t xml:space="preserve"> gadus pēc šīs direktīvas spēkā stāšanās dienas).</w:t>
      </w:r>
      <w:r w:rsidR="00D60908" w:rsidRPr="00EB04F1">
        <w:rPr>
          <w:b/>
          <w:szCs w:val="24"/>
          <w:lang w:val="pt-PT" w:eastAsia="en-US"/>
        </w:rPr>
        <w:t xml:space="preserve"> [Gr. 94]</w:t>
      </w:r>
    </w:p>
    <w:p w14:paraId="073C1BFC" w14:textId="77777777" w:rsidR="00D60908" w:rsidRPr="00EB04F1" w:rsidRDefault="00D60908">
      <w:pPr>
        <w:widowControl/>
        <w:rPr>
          <w:szCs w:val="24"/>
          <w:lang w:val="pt-PT" w:eastAsia="en-US"/>
        </w:rPr>
      </w:pPr>
      <w:r w:rsidRPr="00EB04F1">
        <w:rPr>
          <w:szCs w:val="24"/>
          <w:lang w:val="pt-PT" w:eastAsia="en-US"/>
        </w:rPr>
        <w:br w:type="page"/>
      </w:r>
    </w:p>
    <w:p w14:paraId="6DBC498A" w14:textId="1A31E573"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lastRenderedPageBreak/>
        <w:t>5.</w:t>
      </w:r>
      <w:r w:rsidRPr="00EB04F1">
        <w:rPr>
          <w:szCs w:val="24"/>
          <w:lang w:val="pt-PT" w:eastAsia="en-US"/>
        </w:rPr>
        <w:tab/>
        <w:t xml:space="preserve">Dalībvalstis nodrošina, ka jauni augsnes mērījumi tiek veikti vismaz ik </w:t>
      </w:r>
      <w:r w:rsidRPr="00EB04F1">
        <w:rPr>
          <w:strike/>
          <w:szCs w:val="24"/>
          <w:lang w:val="pt-PT" w:eastAsia="en-US"/>
        </w:rPr>
        <w:t>5</w:t>
      </w:r>
      <w:r w:rsidRPr="00EB04F1">
        <w:rPr>
          <w:b/>
          <w:i/>
          <w:szCs w:val="24"/>
          <w:lang w:val="pt-PT" w:eastAsia="en-US"/>
        </w:rPr>
        <w:t>6</w:t>
      </w:r>
      <w:r w:rsidRPr="00EB04F1">
        <w:rPr>
          <w:szCs w:val="24"/>
          <w:lang w:val="pt-PT" w:eastAsia="en-US"/>
        </w:rPr>
        <w:t xml:space="preserve"> gadus</w:t>
      </w:r>
      <w:r w:rsidRPr="00EB04F1">
        <w:rPr>
          <w:b/>
          <w:i/>
          <w:szCs w:val="24"/>
          <w:lang w:val="pt-PT" w:eastAsia="en-US"/>
        </w:rPr>
        <w:t xml:space="preserve"> vai ātrāk, ja rodas aizdomas par augsnes stāvokļa izmaiņām</w:t>
      </w:r>
      <w:r w:rsidRPr="00EB04F1">
        <w:rPr>
          <w:szCs w:val="24"/>
          <w:lang w:val="pt-PT" w:eastAsia="en-US"/>
        </w:rPr>
        <w:t>.</w:t>
      </w:r>
      <w:r w:rsidRPr="00EB04F1">
        <w:rPr>
          <w:b/>
          <w:i/>
          <w:szCs w:val="24"/>
          <w:lang w:val="pt-PT" w:eastAsia="en-US"/>
        </w:rPr>
        <w:t xml:space="preserve"> Dalībvalstis arī veicina in situ augsnes monitoringu, ko koordinē Komisija.</w:t>
      </w:r>
    </w:p>
    <w:p w14:paraId="6B5E24F2" w14:textId="0034D6BC" w:rsidR="00DA4F3E" w:rsidRPr="00EB04F1" w:rsidRDefault="00DA4F3E" w:rsidP="00DA4F3E">
      <w:pPr>
        <w:spacing w:before="120" w:after="120" w:line="360" w:lineRule="auto"/>
        <w:ind w:left="850"/>
        <w:rPr>
          <w:b/>
          <w:szCs w:val="24"/>
          <w:lang w:val="pt-PT" w:eastAsia="en-US"/>
        </w:rPr>
      </w:pPr>
      <w:r w:rsidRPr="00EB04F1">
        <w:rPr>
          <w:szCs w:val="24"/>
          <w:lang w:val="pt-PT" w:eastAsia="en-US"/>
        </w:rPr>
        <w:t xml:space="preserve">Dalībvalstis nodrošina, ka zemes aizņemšanas un augsnes noslēgšanas indikatoru vērtība tiek atjaunināta vismaz reizi </w:t>
      </w:r>
      <w:r w:rsidRPr="00EB04F1">
        <w:rPr>
          <w:strike/>
          <w:szCs w:val="24"/>
          <w:lang w:val="pt-PT" w:eastAsia="en-US"/>
        </w:rPr>
        <w:t>gadā</w:t>
      </w:r>
      <w:r w:rsidRPr="00EB04F1">
        <w:rPr>
          <w:b/>
          <w:i/>
          <w:szCs w:val="24"/>
          <w:lang w:val="pt-PT" w:eastAsia="en-US"/>
        </w:rPr>
        <w:t>divos gados</w:t>
      </w:r>
      <w:r w:rsidRPr="00EB04F1">
        <w:rPr>
          <w:szCs w:val="24"/>
          <w:lang w:val="pt-PT" w:eastAsia="en-US"/>
        </w:rPr>
        <w:t>.</w:t>
      </w:r>
      <w:r w:rsidR="00D60908" w:rsidRPr="00EB04F1">
        <w:rPr>
          <w:b/>
          <w:szCs w:val="24"/>
          <w:lang w:val="pt-PT" w:eastAsia="en-US"/>
        </w:rPr>
        <w:t xml:space="preserve"> [Gr. 95]</w:t>
      </w:r>
    </w:p>
    <w:p w14:paraId="15BC54D3" w14:textId="6123180D"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6.</w:t>
      </w:r>
      <w:r w:rsidRPr="00EB04F1">
        <w:rPr>
          <w:szCs w:val="24"/>
          <w:lang w:val="pt-PT" w:eastAsia="en-US"/>
        </w:rPr>
        <w:tab/>
        <w:t>Komisija ir pilnvarota saskaņā ar 20. pantu pieņemt deleģētos aktus, ar ko groza II pielikumu, lai tajā minētās atsauces metodikas pielāgotu zinātnes un tehnikas attīstībai</w:t>
      </w:r>
      <w:r w:rsidRPr="00EB04F1">
        <w:rPr>
          <w:strike/>
          <w:szCs w:val="24"/>
          <w:lang w:val="pt-PT" w:eastAsia="en-US"/>
        </w:rPr>
        <w:t>, it sevišķi tad, ja augsnes deskriptoru vērtības var noteikt, izmantojot 6</w:t>
      </w:r>
      <w:r w:rsidRPr="00EB04F1">
        <w:rPr>
          <w:szCs w:val="24"/>
          <w:lang w:val="pt-PT" w:eastAsia="en-US"/>
        </w:rPr>
        <w:t>.</w:t>
      </w:r>
      <w:r w:rsidRPr="00EB04F1">
        <w:rPr>
          <w:strike/>
          <w:szCs w:val="24"/>
          <w:lang w:val="pt-PT" w:eastAsia="en-US"/>
        </w:rPr>
        <w:t xml:space="preserve"> panta 5. punktā minēto tālizpēti.</w:t>
      </w:r>
      <w:r w:rsidR="00D60908" w:rsidRPr="00EB04F1">
        <w:rPr>
          <w:b/>
          <w:strike/>
          <w:szCs w:val="24"/>
          <w:lang w:val="pt-PT" w:eastAsia="en-US"/>
        </w:rPr>
        <w:t xml:space="preserve"> </w:t>
      </w:r>
      <w:r w:rsidR="00D60908" w:rsidRPr="00EB04F1">
        <w:rPr>
          <w:b/>
          <w:szCs w:val="24"/>
          <w:lang w:val="pt-PT" w:eastAsia="en-US"/>
        </w:rPr>
        <w:t>[Gr. 96]</w:t>
      </w:r>
    </w:p>
    <w:p w14:paraId="3AF00D5E" w14:textId="77777777" w:rsidR="00D60908" w:rsidRPr="00EB04F1" w:rsidRDefault="00D60908">
      <w:pPr>
        <w:widowControl/>
        <w:rPr>
          <w:szCs w:val="24"/>
          <w:lang w:val="pt-PT" w:eastAsia="en-US"/>
        </w:rPr>
      </w:pPr>
      <w:r w:rsidRPr="00EB04F1">
        <w:rPr>
          <w:szCs w:val="24"/>
          <w:lang w:val="pt-PT" w:eastAsia="en-US"/>
        </w:rPr>
        <w:br w:type="page"/>
      </w:r>
    </w:p>
    <w:p w14:paraId="750ECE55" w14:textId="1A5E9E6A" w:rsidR="00DA4F3E" w:rsidRPr="00EB04F1" w:rsidRDefault="00DA4F3E" w:rsidP="00DA4F3E">
      <w:pPr>
        <w:spacing w:before="120" w:after="120" w:line="360" w:lineRule="auto"/>
        <w:jc w:val="center"/>
        <w:rPr>
          <w:szCs w:val="24"/>
          <w:lang w:val="pt-PT" w:eastAsia="en-US"/>
        </w:rPr>
      </w:pPr>
      <w:r w:rsidRPr="00EB04F1">
        <w:rPr>
          <w:szCs w:val="24"/>
          <w:lang w:val="pt-PT" w:eastAsia="en-US"/>
        </w:rPr>
        <w:lastRenderedPageBreak/>
        <w:t>9. pants</w:t>
      </w:r>
      <w:r w:rsidRPr="00EB04F1">
        <w:rPr>
          <w:szCs w:val="24"/>
          <w:lang w:val="pt-PT" w:eastAsia="en-US"/>
        </w:rPr>
        <w:br/>
        <w:t>Augsnes veselības novērtēšana</w:t>
      </w:r>
    </w:p>
    <w:p w14:paraId="540E8F1C" w14:textId="6BE69909" w:rsidR="00DA4F3E" w:rsidRPr="00EB04F1" w:rsidRDefault="00DA4F3E" w:rsidP="00DA4F3E">
      <w:pPr>
        <w:spacing w:before="120" w:after="120" w:line="360" w:lineRule="auto"/>
        <w:ind w:left="850" w:hanging="850"/>
        <w:rPr>
          <w:b/>
          <w:szCs w:val="24"/>
          <w:lang w:val="pt-PT" w:eastAsia="en-US"/>
        </w:rPr>
      </w:pPr>
      <w:r w:rsidRPr="00EB04F1">
        <w:rPr>
          <w:szCs w:val="24"/>
          <w:lang w:val="pt-PT" w:eastAsia="en-US"/>
        </w:rPr>
        <w:t>1.</w:t>
      </w:r>
      <w:r w:rsidRPr="00EB04F1">
        <w:rPr>
          <w:szCs w:val="24"/>
          <w:lang w:val="pt-PT" w:eastAsia="en-US"/>
        </w:rPr>
        <w:tab/>
        <w:t xml:space="preserve">Dalībvalstis novērtē augsnes veselību visos augsnes rajonos, balstoties uz datiem, kas par katru I </w:t>
      </w:r>
      <w:r w:rsidRPr="00EB04F1">
        <w:rPr>
          <w:strike/>
          <w:szCs w:val="24"/>
          <w:lang w:val="pt-PT" w:eastAsia="en-US"/>
        </w:rPr>
        <w:t>pielikuma A un B daļā</w:t>
      </w:r>
      <w:r w:rsidRPr="00EB04F1">
        <w:rPr>
          <w:b/>
          <w:i/>
          <w:szCs w:val="24"/>
          <w:lang w:val="pt-PT" w:eastAsia="en-US"/>
        </w:rPr>
        <w:t>pielikumā</w:t>
      </w:r>
      <w:r w:rsidRPr="00EB04F1">
        <w:rPr>
          <w:szCs w:val="24"/>
          <w:lang w:val="pt-PT" w:eastAsia="en-US"/>
        </w:rPr>
        <w:t xml:space="preserve"> minēto augsnes deskriptoru ievākti 6., 7. un 8. pantā minētā monitoringa kontekstā</w:t>
      </w:r>
      <w:r w:rsidRPr="00EB04F1">
        <w:rPr>
          <w:b/>
          <w:i/>
          <w:szCs w:val="24"/>
          <w:lang w:val="pt-PT" w:eastAsia="en-US"/>
        </w:rPr>
        <w:t xml:space="preserve"> saskaņā ar izvēlēto augsnes monitoringa koncepcijas līmeni, vienlaikus ņemot vērā augsnes vēsturiskos un dabas apstākļus</w:t>
      </w:r>
      <w:r w:rsidRPr="00EB04F1">
        <w:rPr>
          <w:szCs w:val="24"/>
          <w:lang w:val="pt-PT" w:eastAsia="en-US"/>
        </w:rPr>
        <w:t>.</w:t>
      </w:r>
      <w:r w:rsidR="00D60908" w:rsidRPr="00EB04F1">
        <w:rPr>
          <w:b/>
          <w:szCs w:val="24"/>
          <w:lang w:val="pt-PT" w:eastAsia="en-US"/>
        </w:rPr>
        <w:t xml:space="preserve"> [Gr. 97]</w:t>
      </w:r>
    </w:p>
    <w:p w14:paraId="4D95054E" w14:textId="1FF3D91A" w:rsidR="00DA4F3E" w:rsidRPr="00EB04F1" w:rsidRDefault="00DA4F3E" w:rsidP="00DA4F3E">
      <w:pPr>
        <w:spacing w:before="120" w:after="120" w:line="360" w:lineRule="auto"/>
        <w:ind w:left="850"/>
        <w:rPr>
          <w:b/>
          <w:szCs w:val="24"/>
          <w:lang w:val="pt-PT" w:eastAsia="en-US"/>
        </w:rPr>
      </w:pPr>
      <w:r w:rsidRPr="00EB04F1">
        <w:rPr>
          <w:b/>
          <w:i/>
          <w:szCs w:val="24"/>
          <w:lang w:val="pt-PT" w:eastAsia="en-US"/>
        </w:rPr>
        <w:t xml:space="preserve">Lai novērtētu augsnes ekoloģisko stāvokli, </w:t>
      </w:r>
      <w:r w:rsidRPr="00EB04F1">
        <w:rPr>
          <w:szCs w:val="24"/>
          <w:lang w:val="pt-PT" w:eastAsia="en-US"/>
        </w:rPr>
        <w:t>dalībvalstis ņem vērā arī datus, kas ievākti 14. pantā minētajā augsnes izpētē.</w:t>
      </w:r>
      <w:r w:rsidR="00D60908" w:rsidRPr="00EB04F1">
        <w:rPr>
          <w:b/>
          <w:szCs w:val="24"/>
          <w:lang w:val="pt-PT" w:eastAsia="en-US"/>
        </w:rPr>
        <w:t xml:space="preserve"> [Gr. 98]</w:t>
      </w:r>
    </w:p>
    <w:p w14:paraId="68F95CE5" w14:textId="6767A367" w:rsidR="00DA4F3E" w:rsidRPr="00EB04F1" w:rsidRDefault="00DA4F3E" w:rsidP="00DA4F3E">
      <w:pPr>
        <w:spacing w:before="120" w:after="120" w:line="360" w:lineRule="auto"/>
        <w:ind w:left="850"/>
        <w:rPr>
          <w:b/>
          <w:szCs w:val="24"/>
          <w:lang w:val="it-IT" w:eastAsia="en-US"/>
        </w:rPr>
      </w:pPr>
      <w:r w:rsidRPr="00EB04F1">
        <w:rPr>
          <w:szCs w:val="24"/>
          <w:lang w:val="pt-PT" w:eastAsia="en-US"/>
        </w:rPr>
        <w:t xml:space="preserve">Dalībvalstis nodrošina, ka augsnes </w:t>
      </w:r>
      <w:r w:rsidRPr="00EB04F1">
        <w:rPr>
          <w:strike/>
          <w:szCs w:val="24"/>
          <w:lang w:val="pt-PT" w:eastAsia="en-US"/>
        </w:rPr>
        <w:t>veselības</w:t>
      </w:r>
      <w:r w:rsidRPr="00EB04F1">
        <w:rPr>
          <w:b/>
          <w:i/>
          <w:szCs w:val="24"/>
          <w:lang w:val="pt-PT" w:eastAsia="en-US"/>
        </w:rPr>
        <w:t>ekoloģiskā stāvokļa</w:t>
      </w:r>
      <w:r w:rsidRPr="00EB04F1">
        <w:rPr>
          <w:szCs w:val="24"/>
          <w:lang w:val="pt-PT" w:eastAsia="en-US"/>
        </w:rPr>
        <w:t xml:space="preserve"> novērtējumi tiek veikti vismaz reizi </w:t>
      </w:r>
      <w:r w:rsidRPr="00EB04F1">
        <w:rPr>
          <w:strike/>
          <w:szCs w:val="24"/>
          <w:lang w:val="pt-PT" w:eastAsia="en-US"/>
        </w:rPr>
        <w:t>5</w:t>
      </w:r>
      <w:r w:rsidRPr="00EB04F1">
        <w:rPr>
          <w:b/>
          <w:i/>
          <w:szCs w:val="24"/>
          <w:lang w:val="pt-PT" w:eastAsia="en-US"/>
        </w:rPr>
        <w:t>6</w:t>
      </w:r>
      <w:r w:rsidRPr="00EB04F1">
        <w:rPr>
          <w:szCs w:val="24"/>
          <w:lang w:val="pt-PT" w:eastAsia="en-US"/>
        </w:rPr>
        <w:t xml:space="preserve"> gados un ka pirmo</w:t>
      </w:r>
      <w:r w:rsidRPr="00EB04F1">
        <w:rPr>
          <w:strike/>
          <w:szCs w:val="24"/>
          <w:lang w:val="pt-PT" w:eastAsia="en-US"/>
        </w:rPr>
        <w:t xml:space="preserve"> augsnes veselības</w:t>
      </w:r>
      <w:r w:rsidRPr="00EB04F1">
        <w:rPr>
          <w:szCs w:val="24"/>
          <w:lang w:val="pt-PT" w:eastAsia="en-US"/>
        </w:rPr>
        <w:t xml:space="preserve"> novērtējumu veic līdz… (PB: ierakstīt datumu, kas ir 5 gadus pēc šīs direktīvas spēkā stāšanās dienas)</w:t>
      </w:r>
      <w:r w:rsidRPr="00EB04F1">
        <w:rPr>
          <w:b/>
          <w:i/>
          <w:szCs w:val="24"/>
          <w:lang w:val="pt-PT" w:eastAsia="en-US"/>
        </w:rPr>
        <w:t>, pievienojot ziņojumus par relatīviem uzlabojumiem, tendencēm, progresu vai regresu</w:t>
      </w:r>
      <w:r w:rsidRPr="00EB04F1">
        <w:rPr>
          <w:szCs w:val="24"/>
          <w:lang w:val="pt-PT" w:eastAsia="en-US"/>
        </w:rPr>
        <w:t>.</w:t>
      </w:r>
      <w:r w:rsidR="00D60908" w:rsidRPr="00EB04F1">
        <w:rPr>
          <w:b/>
          <w:szCs w:val="24"/>
          <w:lang w:val="pt-PT" w:eastAsia="en-US"/>
        </w:rPr>
        <w:t xml:space="preserve"> </w:t>
      </w:r>
      <w:r w:rsidR="00D60908" w:rsidRPr="00EB04F1">
        <w:rPr>
          <w:b/>
          <w:szCs w:val="24"/>
          <w:lang w:val="it-IT" w:eastAsia="en-US"/>
        </w:rPr>
        <w:t>[Gr. 99]</w:t>
      </w:r>
    </w:p>
    <w:p w14:paraId="7CA91EF1" w14:textId="77777777" w:rsidR="00D60908" w:rsidRPr="00EB04F1" w:rsidRDefault="00D60908">
      <w:pPr>
        <w:widowControl/>
        <w:rPr>
          <w:szCs w:val="24"/>
          <w:lang w:val="it-IT" w:eastAsia="en-US"/>
        </w:rPr>
      </w:pPr>
      <w:r w:rsidRPr="00EB04F1">
        <w:rPr>
          <w:szCs w:val="24"/>
          <w:lang w:val="it-IT" w:eastAsia="en-US"/>
        </w:rPr>
        <w:br w:type="page"/>
      </w:r>
    </w:p>
    <w:p w14:paraId="416DBC0C" w14:textId="0DF49FF4"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lastRenderedPageBreak/>
        <w:t>2.</w:t>
      </w:r>
      <w:r w:rsidRPr="00EB04F1">
        <w:rPr>
          <w:szCs w:val="24"/>
          <w:lang w:val="it-IT" w:eastAsia="en-US"/>
        </w:rPr>
        <w:tab/>
        <w:t xml:space="preserve">Augsni uzskata par veselīgu saskaņā ar šo direktīvu, ja ir </w:t>
      </w:r>
      <w:r w:rsidRPr="00EB04F1">
        <w:rPr>
          <w:strike/>
          <w:szCs w:val="24"/>
          <w:lang w:val="it-IT" w:eastAsia="en-US"/>
        </w:rPr>
        <w:t xml:space="preserve">izpildīti šādi kumulatīvi </w:t>
      </w:r>
      <w:proofErr w:type="gramStart"/>
      <w:r w:rsidRPr="00EB04F1">
        <w:rPr>
          <w:strike/>
          <w:szCs w:val="24"/>
          <w:lang w:val="it-IT" w:eastAsia="en-US"/>
        </w:rPr>
        <w:t>nosacījumi:</w:t>
      </w:r>
      <w:r w:rsidRPr="00EB04F1">
        <w:rPr>
          <w:b/>
          <w:i/>
          <w:szCs w:val="24"/>
          <w:lang w:val="it-IT" w:eastAsia="en-US"/>
        </w:rPr>
        <w:t>noteikts</w:t>
      </w:r>
      <w:proofErr w:type="gramEnd"/>
      <w:r w:rsidRPr="00EB04F1">
        <w:rPr>
          <w:b/>
          <w:i/>
          <w:szCs w:val="24"/>
          <w:lang w:val="it-IT" w:eastAsia="en-US"/>
        </w:rPr>
        <w:t>, ka augsne ir labā vai ļoti labā ekoloģiskā stāvoklī.</w:t>
      </w:r>
    </w:p>
    <w:p w14:paraId="29D3DFB1" w14:textId="77777777" w:rsidR="00DA4F3E" w:rsidRPr="00EB04F1" w:rsidRDefault="00DA4F3E" w:rsidP="00DA4F3E">
      <w:pPr>
        <w:spacing w:before="120" w:after="120" w:line="360" w:lineRule="auto"/>
        <w:ind w:left="1416" w:hanging="566"/>
        <w:rPr>
          <w:szCs w:val="24"/>
          <w:lang w:val="it-IT" w:eastAsia="en-US"/>
        </w:rPr>
      </w:pPr>
      <w:r w:rsidRPr="00EB04F1">
        <w:rPr>
          <w:strike/>
          <w:szCs w:val="24"/>
          <w:lang w:val="it-IT" w:eastAsia="en-US"/>
        </w:rPr>
        <w:t>(a)</w:t>
      </w:r>
      <w:r w:rsidRPr="00EB04F1">
        <w:rPr>
          <w:szCs w:val="24"/>
          <w:lang w:val="it-IT" w:eastAsia="en-US"/>
        </w:rPr>
        <w:tab/>
      </w:r>
      <w:r w:rsidRPr="00EB04F1">
        <w:rPr>
          <w:strike/>
          <w:szCs w:val="24"/>
          <w:lang w:val="it-IT" w:eastAsia="en-US"/>
        </w:rPr>
        <w:t>visu I pielikuma A daļā norādīto augsnes deskriptoru vērtības atbilst tajā noteiktajiem kritērijiem, kas attiecīgā gadījumā pielāgoti saskaņā ar 7. pantu;</w:t>
      </w:r>
    </w:p>
    <w:p w14:paraId="40396025" w14:textId="38C319EB" w:rsidR="00DA4F3E" w:rsidRPr="00EB04F1" w:rsidRDefault="00DA4F3E" w:rsidP="00DA4F3E">
      <w:pPr>
        <w:spacing w:before="120" w:after="120" w:line="360" w:lineRule="auto"/>
        <w:ind w:left="1416" w:hanging="566"/>
        <w:rPr>
          <w:b/>
          <w:szCs w:val="24"/>
          <w:lang w:val="it-IT" w:eastAsia="en-US"/>
        </w:rPr>
      </w:pPr>
      <w:r w:rsidRPr="00EB04F1">
        <w:rPr>
          <w:strike/>
          <w:szCs w:val="24"/>
          <w:lang w:val="it-IT" w:eastAsia="en-US"/>
        </w:rPr>
        <w:t>(b)</w:t>
      </w:r>
      <w:r w:rsidRPr="00EB04F1">
        <w:rPr>
          <w:szCs w:val="24"/>
          <w:lang w:val="it-IT" w:eastAsia="en-US"/>
        </w:rPr>
        <w:tab/>
      </w:r>
      <w:r w:rsidRPr="00EB04F1">
        <w:rPr>
          <w:strike/>
          <w:szCs w:val="24"/>
          <w:lang w:val="it-IT" w:eastAsia="en-US"/>
        </w:rPr>
        <w:t>visu I pielikuma B daļā norādīto augsnes deskriptoru vērtības atbilst kritērijiem, kas noteikti saskaņā ar 7. pantu (“veselīga augsne”).</w:t>
      </w:r>
      <w:r w:rsidR="00D60908" w:rsidRPr="00EB04F1">
        <w:rPr>
          <w:b/>
          <w:strike/>
          <w:szCs w:val="24"/>
          <w:lang w:val="it-IT" w:eastAsia="en-US"/>
        </w:rPr>
        <w:t xml:space="preserve"> </w:t>
      </w:r>
      <w:r w:rsidR="00D60908" w:rsidRPr="00EB04F1">
        <w:rPr>
          <w:b/>
          <w:szCs w:val="24"/>
          <w:lang w:val="it-IT" w:eastAsia="en-US"/>
        </w:rPr>
        <w:t>[Gr. 100]</w:t>
      </w:r>
    </w:p>
    <w:p w14:paraId="742A32EC" w14:textId="5DD5EAFF" w:rsidR="00DA4F3E" w:rsidRPr="00EB04F1" w:rsidRDefault="00DA4F3E" w:rsidP="00DA4F3E">
      <w:pPr>
        <w:spacing w:before="120" w:after="120" w:line="360" w:lineRule="auto"/>
        <w:ind w:left="850"/>
        <w:rPr>
          <w:b/>
          <w:szCs w:val="24"/>
          <w:lang w:val="it-IT" w:eastAsia="en-US"/>
        </w:rPr>
      </w:pPr>
      <w:r w:rsidRPr="00EB04F1">
        <w:rPr>
          <w:strike/>
          <w:szCs w:val="24"/>
          <w:lang w:val="it-IT" w:eastAsia="en-US"/>
        </w:rPr>
        <w:t>Ja novērtē augsni I pielikuma ceturtajā ailē norādītā zemes platībā, tad, atkāpjoties no pirmās daļas, neņem vērā vērtības, kas attiecīgajai zemes platībai norādītas trešajā ailē.</w:t>
      </w:r>
      <w:r w:rsidR="009341C6" w:rsidRPr="00EB04F1">
        <w:rPr>
          <w:b/>
          <w:szCs w:val="24"/>
          <w:lang w:val="it-IT" w:eastAsia="en-US"/>
        </w:rPr>
        <w:t xml:space="preserve"> [Gr. 101]</w:t>
      </w:r>
    </w:p>
    <w:p w14:paraId="11F06C84" w14:textId="55E1A412" w:rsidR="00DA4F3E" w:rsidRPr="00EB04F1" w:rsidRDefault="00DA4F3E" w:rsidP="00DA4F3E">
      <w:pPr>
        <w:spacing w:before="120" w:after="120" w:line="360" w:lineRule="auto"/>
        <w:ind w:left="850"/>
        <w:rPr>
          <w:b/>
          <w:szCs w:val="24"/>
          <w:lang w:val="it-IT" w:eastAsia="en-US"/>
        </w:rPr>
      </w:pPr>
      <w:r w:rsidRPr="00EB04F1">
        <w:rPr>
          <w:strike/>
          <w:szCs w:val="24"/>
          <w:lang w:val="it-IT" w:eastAsia="en-US"/>
        </w:rPr>
        <w:t>Augsne ir neveselīga, ja vismaz viens no 1. punktā minētajiem kritērijiem nav izpildīts (“neveselīga augsne”).</w:t>
      </w:r>
      <w:r w:rsidR="009341C6" w:rsidRPr="00EB04F1">
        <w:rPr>
          <w:b/>
          <w:strike/>
          <w:szCs w:val="24"/>
          <w:lang w:val="it-IT" w:eastAsia="en-US"/>
        </w:rPr>
        <w:t xml:space="preserve"> </w:t>
      </w:r>
      <w:r w:rsidR="009341C6" w:rsidRPr="00EB04F1">
        <w:rPr>
          <w:b/>
          <w:szCs w:val="24"/>
          <w:lang w:val="it-IT" w:eastAsia="en-US"/>
        </w:rPr>
        <w:t>[Gr. 102]</w:t>
      </w:r>
    </w:p>
    <w:p w14:paraId="2136BED9" w14:textId="77777777" w:rsidR="009341C6" w:rsidRPr="00EB04F1" w:rsidRDefault="009341C6">
      <w:pPr>
        <w:widowControl/>
        <w:rPr>
          <w:szCs w:val="24"/>
          <w:lang w:val="it-IT" w:eastAsia="en-US"/>
        </w:rPr>
      </w:pPr>
      <w:r w:rsidRPr="00EB04F1">
        <w:rPr>
          <w:szCs w:val="24"/>
          <w:lang w:val="it-IT" w:eastAsia="en-US"/>
        </w:rPr>
        <w:br w:type="page"/>
      </w:r>
    </w:p>
    <w:p w14:paraId="4F7FC344" w14:textId="2E80E33D"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lastRenderedPageBreak/>
        <w:t>3.</w:t>
      </w:r>
      <w:r w:rsidRPr="00EB04F1">
        <w:rPr>
          <w:szCs w:val="24"/>
          <w:lang w:val="it-IT" w:eastAsia="en-US"/>
        </w:rPr>
        <w:tab/>
        <w:t>Dalībvalstis</w:t>
      </w:r>
      <w:r w:rsidRPr="00EB04F1">
        <w:rPr>
          <w:b/>
          <w:i/>
          <w:szCs w:val="24"/>
          <w:lang w:val="it-IT" w:eastAsia="en-US"/>
        </w:rPr>
        <w:t xml:space="preserve"> saskaņā ar izvēlēto augsnes monitoringa koncepcijas līmeni</w:t>
      </w:r>
      <w:r w:rsidRPr="00EB04F1">
        <w:rPr>
          <w:szCs w:val="24"/>
          <w:lang w:val="it-IT" w:eastAsia="en-US"/>
        </w:rPr>
        <w:t xml:space="preserve"> analizē I pielikuma</w:t>
      </w:r>
      <w:r w:rsidRPr="00EB04F1">
        <w:rPr>
          <w:b/>
          <w:i/>
          <w:szCs w:val="24"/>
          <w:lang w:val="it-IT" w:eastAsia="en-US"/>
        </w:rPr>
        <w:t xml:space="preserve"> A, B un</w:t>
      </w:r>
      <w:r w:rsidRPr="00EB04F1">
        <w:rPr>
          <w:szCs w:val="24"/>
          <w:lang w:val="it-IT" w:eastAsia="en-US"/>
        </w:rPr>
        <w:t xml:space="preserve"> C daļā norādīto augsnes deskriptoru vērtības un, ņemot vērā attiecīgos datus un pieejamās zinātnes atziņas, novērtē, vai </w:t>
      </w:r>
      <w:r w:rsidRPr="00EB04F1">
        <w:rPr>
          <w:b/>
          <w:i/>
          <w:szCs w:val="24"/>
          <w:lang w:val="it-IT" w:eastAsia="en-US"/>
        </w:rPr>
        <w:t xml:space="preserve">augsnes biodaudzveidība un </w:t>
      </w:r>
      <w:r w:rsidRPr="00EB04F1">
        <w:rPr>
          <w:szCs w:val="24"/>
          <w:lang w:val="it-IT" w:eastAsia="en-US"/>
        </w:rPr>
        <w:t>ekosistēmu pakalpojumi ir zuduši kritiskā apmērā.</w:t>
      </w:r>
      <w:r w:rsidR="009341C6" w:rsidRPr="00EB04F1">
        <w:rPr>
          <w:b/>
          <w:szCs w:val="24"/>
          <w:lang w:val="it-IT" w:eastAsia="en-US"/>
        </w:rPr>
        <w:t xml:space="preserve"> [Gr. 103]</w:t>
      </w:r>
    </w:p>
    <w:p w14:paraId="7372F432" w14:textId="77777777" w:rsidR="00DA4F3E" w:rsidRPr="00EB04F1" w:rsidRDefault="00DA4F3E" w:rsidP="00DA4F3E">
      <w:pPr>
        <w:spacing w:before="120" w:after="120" w:line="360" w:lineRule="auto"/>
        <w:ind w:left="850"/>
        <w:rPr>
          <w:szCs w:val="24"/>
          <w:lang w:val="it-IT" w:eastAsia="en-US"/>
        </w:rPr>
      </w:pPr>
      <w:r w:rsidRPr="00EB04F1">
        <w:rPr>
          <w:szCs w:val="24"/>
          <w:lang w:val="it-IT" w:eastAsia="en-US"/>
        </w:rPr>
        <w:t>Dalībvalstis analizē I pielikuma D daļā norādīto zemes aizņemšanas un augsnes noslēgšanas indikatoru vērtības un novērtē to ietekmi uz ekosistēmu pakalpojumu zudumu un mērķiem un mērķrādītājiem, kas noteikti ar Regulu (ES) 2018/841.</w:t>
      </w:r>
    </w:p>
    <w:p w14:paraId="1C0F22F8" w14:textId="0B02D239"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4.</w:t>
      </w:r>
      <w:r w:rsidRPr="00EB04F1">
        <w:rPr>
          <w:szCs w:val="24"/>
          <w:lang w:val="it-IT" w:eastAsia="en-US"/>
        </w:rPr>
        <w:tab/>
        <w:t xml:space="preserve">Par pamatu ņemot augsnes veselības novērtējumu, kas veikts saskaņā ar šo pantu, kompetentā iestāde attiecīgā gadījumā sadarbībā ar vietējām, reģionālām un valsts iestādēm katrā augsnes rajonā nosaka, kādās teritorijās ir </w:t>
      </w:r>
      <w:r w:rsidRPr="00EB04F1">
        <w:rPr>
          <w:strike/>
          <w:szCs w:val="24"/>
          <w:lang w:val="it-IT" w:eastAsia="en-US"/>
        </w:rPr>
        <w:t xml:space="preserve">neveselīgas </w:t>
      </w:r>
      <w:r w:rsidRPr="00EB04F1">
        <w:rPr>
          <w:szCs w:val="24"/>
          <w:lang w:val="it-IT" w:eastAsia="en-US"/>
        </w:rPr>
        <w:t>augsnes</w:t>
      </w:r>
      <w:r w:rsidRPr="00EB04F1">
        <w:rPr>
          <w:b/>
          <w:i/>
          <w:szCs w:val="24"/>
          <w:lang w:val="it-IT" w:eastAsia="en-US"/>
        </w:rPr>
        <w:t>, kuru ekoloģiskais stāvoklis nav ļoti labs vai labs</w:t>
      </w:r>
      <w:r w:rsidRPr="00EB04F1">
        <w:rPr>
          <w:szCs w:val="24"/>
          <w:lang w:val="it-IT" w:eastAsia="en-US"/>
        </w:rPr>
        <w:t xml:space="preserve">, </w:t>
      </w:r>
      <w:proofErr w:type="gramStart"/>
      <w:r w:rsidRPr="00EB04F1">
        <w:rPr>
          <w:szCs w:val="24"/>
          <w:lang w:val="it-IT" w:eastAsia="en-US"/>
        </w:rPr>
        <w:t>un par</w:t>
      </w:r>
      <w:proofErr w:type="gramEnd"/>
      <w:r w:rsidRPr="00EB04F1">
        <w:rPr>
          <w:szCs w:val="24"/>
          <w:lang w:val="it-IT" w:eastAsia="en-US"/>
        </w:rPr>
        <w:t xml:space="preserve"> to informē sabiedrību saskaņā ar 19. pantu.</w:t>
      </w:r>
      <w:r w:rsidR="009341C6" w:rsidRPr="00EB04F1">
        <w:rPr>
          <w:b/>
          <w:szCs w:val="24"/>
          <w:lang w:val="it-IT" w:eastAsia="en-US"/>
        </w:rPr>
        <w:t xml:space="preserve"> [Gr. 104]</w:t>
      </w:r>
    </w:p>
    <w:p w14:paraId="0BBD40DD" w14:textId="2D1148F0"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4</w:t>
      </w:r>
      <w:r w:rsidR="009341C6" w:rsidRPr="00EB04F1">
        <w:rPr>
          <w:b/>
          <w:i/>
          <w:szCs w:val="24"/>
          <w:lang w:val="it-IT" w:eastAsia="en-US"/>
        </w:rPr>
        <w:t>.</w:t>
      </w:r>
      <w:r w:rsidRPr="00EB04F1">
        <w:rPr>
          <w:b/>
          <w:i/>
          <w:szCs w:val="24"/>
          <w:lang w:val="it-IT" w:eastAsia="en-US"/>
        </w:rPr>
        <w:t>a</w:t>
      </w:r>
      <w:r w:rsidRPr="00EB04F1">
        <w:rPr>
          <w:szCs w:val="24"/>
          <w:lang w:val="it-IT" w:eastAsia="en-US"/>
        </w:rPr>
        <w:tab/>
      </w:r>
      <w:r w:rsidRPr="00EB04F1">
        <w:rPr>
          <w:b/>
          <w:i/>
          <w:szCs w:val="24"/>
          <w:lang w:val="it-IT" w:eastAsia="en-US"/>
        </w:rPr>
        <w:t>Komisija līdz 2026. gada 31. decembrim pieņem deleģētos aktus saskaņā ar 20. pantu, lai papildinātu šo regulu, paredzot metodiku, lai noteiktu robežvērtības I pielikuma augsnes deskriptoriem katram augsnes ekoloģiskajam stāvoklim. Metodikā ņem vērā jaunākos zinātniskos pierādījumus un dažādus klimatiskos apstākļus un augsnes tipus.</w:t>
      </w:r>
      <w:r w:rsidR="009341C6" w:rsidRPr="00EB04F1">
        <w:rPr>
          <w:b/>
          <w:szCs w:val="24"/>
          <w:lang w:val="it-IT" w:eastAsia="en-US"/>
        </w:rPr>
        <w:t xml:space="preserve"> [Gr. 105]</w:t>
      </w:r>
    </w:p>
    <w:p w14:paraId="1F747D62" w14:textId="77777777" w:rsidR="009341C6" w:rsidRPr="00EB04F1" w:rsidRDefault="009341C6">
      <w:pPr>
        <w:widowControl/>
        <w:rPr>
          <w:b/>
          <w:i/>
          <w:szCs w:val="24"/>
          <w:lang w:val="it-IT" w:eastAsia="en-US"/>
        </w:rPr>
      </w:pPr>
      <w:r w:rsidRPr="00EB04F1">
        <w:rPr>
          <w:b/>
          <w:i/>
          <w:szCs w:val="24"/>
          <w:lang w:val="it-IT" w:eastAsia="en-US"/>
        </w:rPr>
        <w:br w:type="page"/>
      </w:r>
    </w:p>
    <w:p w14:paraId="766E1DAC" w14:textId="726E1928"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lastRenderedPageBreak/>
        <w:t>4</w:t>
      </w:r>
      <w:r w:rsidR="009341C6" w:rsidRPr="00EB04F1">
        <w:rPr>
          <w:b/>
          <w:i/>
          <w:szCs w:val="24"/>
          <w:lang w:val="it-IT" w:eastAsia="en-US"/>
        </w:rPr>
        <w:t>.</w:t>
      </w:r>
      <w:r w:rsidRPr="00EB04F1">
        <w:rPr>
          <w:b/>
          <w:i/>
          <w:szCs w:val="24"/>
          <w:lang w:val="it-IT" w:eastAsia="en-US"/>
        </w:rPr>
        <w:t>b</w:t>
      </w:r>
      <w:r w:rsidRPr="00EB04F1">
        <w:rPr>
          <w:szCs w:val="24"/>
          <w:lang w:val="it-IT" w:eastAsia="en-US"/>
        </w:rPr>
        <w:tab/>
      </w:r>
      <w:r w:rsidRPr="00EB04F1">
        <w:rPr>
          <w:b/>
          <w:i/>
          <w:szCs w:val="24"/>
          <w:lang w:val="it-IT" w:eastAsia="en-US"/>
        </w:rPr>
        <w:t>Dalībvalstis līdz 2028. gada 30. jūnijam iesniedz Komisijai I pielikuma augsnes deskriptoru provizoriskas robežvērtības, ņemot vērā klimatiskos apstākļus, augsnes tipus un zemes platības tipus un pievienojot zinātnisku pamatojumu un pierādījumus, uz kuriem balstās šīs izvēles.</w:t>
      </w:r>
      <w:r w:rsidR="009341C6" w:rsidRPr="00EB04F1">
        <w:rPr>
          <w:b/>
          <w:szCs w:val="24"/>
          <w:lang w:val="it-IT" w:eastAsia="en-US"/>
        </w:rPr>
        <w:t xml:space="preserve"> [Gr. 106]</w:t>
      </w:r>
    </w:p>
    <w:p w14:paraId="797542F2" w14:textId="0838A405"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4</w:t>
      </w:r>
      <w:r w:rsidR="009341C6" w:rsidRPr="00EB04F1">
        <w:rPr>
          <w:b/>
          <w:i/>
          <w:szCs w:val="24"/>
          <w:lang w:val="it-IT" w:eastAsia="en-US"/>
        </w:rPr>
        <w:t>.</w:t>
      </w:r>
      <w:r w:rsidRPr="00EB04F1">
        <w:rPr>
          <w:b/>
          <w:i/>
          <w:szCs w:val="24"/>
          <w:lang w:val="it-IT" w:eastAsia="en-US"/>
        </w:rPr>
        <w:t>c</w:t>
      </w:r>
      <w:r w:rsidRPr="00EB04F1">
        <w:rPr>
          <w:szCs w:val="24"/>
          <w:lang w:val="it-IT" w:eastAsia="en-US"/>
        </w:rPr>
        <w:tab/>
      </w:r>
      <w:r w:rsidRPr="00EB04F1">
        <w:rPr>
          <w:b/>
          <w:i/>
          <w:szCs w:val="24"/>
          <w:lang w:val="it-IT" w:eastAsia="en-US"/>
        </w:rPr>
        <w:t>Sešu mēnešu laikā pēc 4.b punktā minēto provizorisko robežvērtību iesniegšanas dienas Komisija pieņem apsvērumus par provizoriskajām robežvērtībām, novērtējot zinātnisko pamatojumu un nodrošinot konkurences apstākļu vienlīdzību iekšējā tirgū. Pēc Komisijas pieprasījuma dalībvalstis iesniedz Komisijai visu vajadzīgo papildu informāciju un vajadzības gadījumā pārskata ierosinātās provizoriskās robežvērtības.</w:t>
      </w:r>
      <w:r w:rsidR="009341C6" w:rsidRPr="00EB04F1">
        <w:rPr>
          <w:b/>
          <w:szCs w:val="24"/>
          <w:lang w:val="it-IT" w:eastAsia="en-US"/>
        </w:rPr>
        <w:t xml:space="preserve"> [Gr. 107]</w:t>
      </w:r>
    </w:p>
    <w:p w14:paraId="22963AAC" w14:textId="26E710C5"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4</w:t>
      </w:r>
      <w:r w:rsidR="009341C6" w:rsidRPr="00EB04F1">
        <w:rPr>
          <w:b/>
          <w:i/>
          <w:szCs w:val="24"/>
          <w:lang w:val="it-IT" w:eastAsia="en-US"/>
        </w:rPr>
        <w:t>.</w:t>
      </w:r>
      <w:r w:rsidRPr="00EB04F1">
        <w:rPr>
          <w:b/>
          <w:i/>
          <w:szCs w:val="24"/>
          <w:lang w:val="it-IT" w:eastAsia="en-US"/>
        </w:rPr>
        <w:t>d</w:t>
      </w:r>
      <w:r w:rsidRPr="00EB04F1">
        <w:rPr>
          <w:szCs w:val="24"/>
          <w:lang w:val="it-IT" w:eastAsia="en-US"/>
        </w:rPr>
        <w:tab/>
      </w:r>
      <w:r w:rsidRPr="00EB04F1">
        <w:rPr>
          <w:b/>
          <w:i/>
          <w:szCs w:val="24"/>
          <w:lang w:val="it-IT" w:eastAsia="en-US"/>
        </w:rPr>
        <w:t>Ja ir pienācīgi ņemti vērā jebkādi apsvērumi, ko Komisija pieņēmusi saskaņā ar 4.c punktu, Komisija ar īstenošanas aktiem apstiprina robežvērtības ne vēlāk kā līdz 2029. gada 31. decembrim.</w:t>
      </w:r>
      <w:r w:rsidR="009341C6" w:rsidRPr="00EB04F1">
        <w:rPr>
          <w:b/>
          <w:szCs w:val="24"/>
          <w:lang w:val="it-IT" w:eastAsia="en-US"/>
        </w:rPr>
        <w:t xml:space="preserve"> [Gr. 108]</w:t>
      </w:r>
    </w:p>
    <w:p w14:paraId="78559C97" w14:textId="5F78FA84"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4</w:t>
      </w:r>
      <w:r w:rsidR="009341C6" w:rsidRPr="00EB04F1">
        <w:rPr>
          <w:b/>
          <w:i/>
          <w:szCs w:val="24"/>
          <w:lang w:val="it-IT" w:eastAsia="en-US"/>
        </w:rPr>
        <w:t>.</w:t>
      </w:r>
      <w:r w:rsidRPr="00EB04F1">
        <w:rPr>
          <w:b/>
          <w:i/>
          <w:szCs w:val="24"/>
          <w:lang w:val="it-IT" w:eastAsia="en-US"/>
        </w:rPr>
        <w:t>e</w:t>
      </w:r>
      <w:r w:rsidRPr="00EB04F1">
        <w:rPr>
          <w:szCs w:val="24"/>
          <w:lang w:val="it-IT" w:eastAsia="en-US"/>
        </w:rPr>
        <w:tab/>
      </w:r>
      <w:r w:rsidRPr="00EB04F1">
        <w:rPr>
          <w:b/>
          <w:i/>
          <w:szCs w:val="24"/>
          <w:lang w:val="it-IT" w:eastAsia="en-US"/>
        </w:rPr>
        <w:t>Piemērojot 2. līmeņa augsnes monitoringa koncepciju, dalībvalstis var izmantot variāciju līdz 20 % apmērā, salīdzinot ar robežvērtībām, kuras noteiktas saskaņā ar 4.d punktu.</w:t>
      </w:r>
      <w:r w:rsidR="009341C6" w:rsidRPr="00EB04F1">
        <w:rPr>
          <w:b/>
          <w:szCs w:val="24"/>
          <w:lang w:val="it-IT" w:eastAsia="en-US"/>
        </w:rPr>
        <w:t xml:space="preserve"> [Gr. 110]</w:t>
      </w:r>
    </w:p>
    <w:p w14:paraId="1C1511ED" w14:textId="77777777" w:rsidR="009341C6" w:rsidRPr="00EB04F1" w:rsidRDefault="009341C6">
      <w:pPr>
        <w:widowControl/>
        <w:rPr>
          <w:strike/>
          <w:szCs w:val="24"/>
          <w:lang w:val="it-IT" w:eastAsia="en-US"/>
        </w:rPr>
      </w:pPr>
      <w:r w:rsidRPr="00EB04F1">
        <w:rPr>
          <w:strike/>
          <w:szCs w:val="24"/>
          <w:lang w:val="it-IT" w:eastAsia="en-US"/>
        </w:rPr>
        <w:br w:type="page"/>
      </w:r>
    </w:p>
    <w:p w14:paraId="07655155" w14:textId="00E1E6EC" w:rsidR="00DA4F3E" w:rsidRPr="00EB04F1" w:rsidRDefault="00DA4F3E" w:rsidP="00DA4F3E">
      <w:pPr>
        <w:spacing w:before="120" w:after="120" w:line="360" w:lineRule="auto"/>
        <w:ind w:left="850" w:hanging="850"/>
        <w:rPr>
          <w:b/>
          <w:szCs w:val="24"/>
          <w:lang w:val="it-IT" w:eastAsia="en-US"/>
        </w:rPr>
      </w:pPr>
      <w:r w:rsidRPr="00EB04F1">
        <w:rPr>
          <w:strike/>
          <w:szCs w:val="24"/>
          <w:lang w:val="it-IT" w:eastAsia="en-US"/>
        </w:rPr>
        <w:lastRenderedPageBreak/>
        <w:t>5.</w:t>
      </w:r>
      <w:r w:rsidRPr="00EB04F1">
        <w:rPr>
          <w:szCs w:val="24"/>
          <w:lang w:val="it-IT" w:eastAsia="en-US"/>
        </w:rPr>
        <w:tab/>
      </w:r>
      <w:r w:rsidRPr="00EB04F1">
        <w:rPr>
          <w:strike/>
          <w:szCs w:val="24"/>
          <w:lang w:val="it-IT" w:eastAsia="en-US"/>
        </w:rPr>
        <w:t>Dalībvalstis izveido zemes īpašnieku un apsaimniekotāju brīvprātīgas augsnes veselības sertifikācijas mehānismu saskaņā ar šā panta 2. punkta nosacījumiem.</w:t>
      </w:r>
      <w:r w:rsidR="009341C6" w:rsidRPr="00EB04F1">
        <w:rPr>
          <w:b/>
          <w:strike/>
          <w:szCs w:val="24"/>
          <w:lang w:val="it-IT" w:eastAsia="en-US"/>
        </w:rPr>
        <w:t xml:space="preserve"> </w:t>
      </w:r>
      <w:r w:rsidR="009341C6" w:rsidRPr="00EB04F1">
        <w:rPr>
          <w:b/>
          <w:szCs w:val="24"/>
          <w:lang w:val="it-IT" w:eastAsia="en-US"/>
        </w:rPr>
        <w:t>[Gr. 111]</w:t>
      </w:r>
    </w:p>
    <w:p w14:paraId="54EDE2C0" w14:textId="30E1BB5A" w:rsidR="00DA4F3E" w:rsidRPr="00EB04F1" w:rsidRDefault="00DA4F3E" w:rsidP="00DA4F3E">
      <w:pPr>
        <w:spacing w:before="120" w:after="120" w:line="360" w:lineRule="auto"/>
        <w:ind w:left="850"/>
        <w:rPr>
          <w:szCs w:val="24"/>
          <w:lang w:val="it-IT" w:eastAsia="en-US"/>
        </w:rPr>
      </w:pPr>
      <w:r w:rsidRPr="00EB04F1">
        <w:rPr>
          <w:strike/>
          <w:szCs w:val="24"/>
          <w:lang w:val="it-IT" w:eastAsia="en-US"/>
        </w:rPr>
        <w:t>Lai saskaņotu augsnes veselības sertifikācijas formātu, Komisija var pieņemt īstenošanas aktus. Minētos īstenošanas aktus pieņem saskaņā ar 21. pantā minēto pārbaudes procedūru.</w:t>
      </w:r>
      <w:r w:rsidR="009341C6" w:rsidRPr="00EB04F1">
        <w:rPr>
          <w:strike/>
          <w:szCs w:val="24"/>
          <w:lang w:val="it-IT" w:eastAsia="en-US"/>
        </w:rPr>
        <w:t xml:space="preserve"> </w:t>
      </w:r>
      <w:r w:rsidR="009341C6" w:rsidRPr="00EB04F1">
        <w:rPr>
          <w:b/>
          <w:szCs w:val="24"/>
          <w:lang w:val="it-IT" w:eastAsia="en-US"/>
        </w:rPr>
        <w:t>[Gr. 112]</w:t>
      </w:r>
    </w:p>
    <w:p w14:paraId="4520B46B" w14:textId="145ADD8B"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6.</w:t>
      </w:r>
      <w:r w:rsidRPr="00EB04F1">
        <w:rPr>
          <w:szCs w:val="24"/>
          <w:lang w:val="it-IT" w:eastAsia="en-US"/>
        </w:rPr>
        <w:tab/>
        <w:t xml:space="preserve">Dalībvalstis </w:t>
      </w:r>
      <w:r w:rsidRPr="00EB04F1">
        <w:rPr>
          <w:strike/>
          <w:szCs w:val="24"/>
          <w:lang w:val="it-IT" w:eastAsia="en-US"/>
        </w:rPr>
        <w:t>pēc attiecīgo</w:t>
      </w:r>
      <w:r w:rsidRPr="00EB04F1">
        <w:rPr>
          <w:b/>
          <w:i/>
          <w:szCs w:val="24"/>
          <w:lang w:val="it-IT" w:eastAsia="en-US"/>
        </w:rPr>
        <w:t>attiecīgajiem</w:t>
      </w:r>
      <w:r w:rsidRPr="00EB04F1">
        <w:rPr>
          <w:szCs w:val="24"/>
          <w:lang w:val="it-IT" w:eastAsia="en-US"/>
        </w:rPr>
        <w:t xml:space="preserve"> zemes </w:t>
      </w:r>
      <w:r w:rsidRPr="00EB04F1">
        <w:rPr>
          <w:strike/>
          <w:szCs w:val="24"/>
          <w:lang w:val="it-IT" w:eastAsia="en-US"/>
        </w:rPr>
        <w:t>īpašnieku</w:t>
      </w:r>
      <w:r w:rsidRPr="00EB04F1">
        <w:rPr>
          <w:b/>
          <w:i/>
          <w:szCs w:val="24"/>
          <w:lang w:val="it-IT" w:eastAsia="en-US"/>
        </w:rPr>
        <w:t>īpašniekiem</w:t>
      </w:r>
      <w:r w:rsidRPr="00EB04F1">
        <w:rPr>
          <w:szCs w:val="24"/>
          <w:lang w:val="it-IT" w:eastAsia="en-US"/>
        </w:rPr>
        <w:t xml:space="preserve"> un zemes </w:t>
      </w:r>
      <w:r w:rsidRPr="00EB04F1">
        <w:rPr>
          <w:strike/>
          <w:szCs w:val="24"/>
          <w:lang w:val="it-IT" w:eastAsia="en-US"/>
        </w:rPr>
        <w:t>apsaimniekotāju pieprasījuma tiem</w:t>
      </w:r>
      <w:r w:rsidRPr="00EB04F1">
        <w:rPr>
          <w:b/>
          <w:i/>
          <w:szCs w:val="24"/>
          <w:lang w:val="it-IT" w:eastAsia="en-US"/>
        </w:rPr>
        <w:t>apsaimniekotājiem</w:t>
      </w:r>
      <w:r w:rsidRPr="00EB04F1">
        <w:rPr>
          <w:szCs w:val="24"/>
          <w:lang w:val="it-IT" w:eastAsia="en-US"/>
        </w:rPr>
        <w:t xml:space="preserve"> paziņo</w:t>
      </w:r>
      <w:r w:rsidRPr="00EB04F1">
        <w:rPr>
          <w:b/>
          <w:i/>
          <w:szCs w:val="24"/>
          <w:lang w:val="it-IT" w:eastAsia="en-US"/>
        </w:rPr>
        <w:t xml:space="preserve"> un bez maksas dara pieejamus</w:t>
      </w:r>
      <w:r w:rsidRPr="00EB04F1">
        <w:rPr>
          <w:szCs w:val="24"/>
          <w:lang w:val="it-IT" w:eastAsia="en-US"/>
        </w:rPr>
        <w:t xml:space="preserve"> </w:t>
      </w:r>
      <w:proofErr w:type="gramStart"/>
      <w:r w:rsidRPr="00EB04F1">
        <w:rPr>
          <w:szCs w:val="24"/>
          <w:lang w:val="it-IT" w:eastAsia="en-US"/>
        </w:rPr>
        <w:t>6.–</w:t>
      </w:r>
      <w:proofErr w:type="gramEnd"/>
      <w:r w:rsidRPr="00EB04F1">
        <w:rPr>
          <w:szCs w:val="24"/>
          <w:lang w:val="it-IT" w:eastAsia="en-US"/>
        </w:rPr>
        <w:t>9. pantā minētos augsnes veselības datus un novērtējumu, it sevišķi 10. panta 3. punktā minēto konsultāciju sagatavošanas vajadzībām.</w:t>
      </w:r>
      <w:r w:rsidRPr="00EB04F1">
        <w:rPr>
          <w:b/>
          <w:i/>
          <w:szCs w:val="24"/>
          <w:lang w:val="it-IT" w:eastAsia="en-US"/>
        </w:rPr>
        <w:t xml:space="preserve"> Dalībvalstis nodrošina pētniecības iestādēm vienkāršu un pastāvīgu piekļuvi paraugiem, DNS ekstraktiem un neapstrādātiem datiem bez maksas.</w:t>
      </w:r>
      <w:r w:rsidR="009341C6" w:rsidRPr="00EB04F1">
        <w:rPr>
          <w:b/>
          <w:szCs w:val="24"/>
          <w:lang w:val="it-IT" w:eastAsia="en-US"/>
        </w:rPr>
        <w:t xml:space="preserve"> [Gr. 113]</w:t>
      </w:r>
    </w:p>
    <w:p w14:paraId="66EA2F99" w14:textId="77777777" w:rsidR="009341C6" w:rsidRPr="00EB04F1" w:rsidRDefault="009341C6">
      <w:pPr>
        <w:widowControl/>
        <w:rPr>
          <w:szCs w:val="24"/>
          <w:lang w:val="it-IT" w:eastAsia="en-US"/>
        </w:rPr>
      </w:pPr>
      <w:r w:rsidRPr="00EB04F1">
        <w:rPr>
          <w:szCs w:val="24"/>
          <w:lang w:val="it-IT" w:eastAsia="en-US"/>
        </w:rPr>
        <w:br w:type="page"/>
      </w:r>
    </w:p>
    <w:p w14:paraId="12B65074" w14:textId="7CF1E4F9"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 xml:space="preserve">III nodaļa </w:t>
      </w:r>
      <w:r w:rsidRPr="00EB04F1">
        <w:rPr>
          <w:szCs w:val="24"/>
          <w:lang w:val="it-IT" w:eastAsia="en-US"/>
        </w:rPr>
        <w:br/>
        <w:t>Ilgtspējīga augsnes apsaimniekošana</w:t>
      </w:r>
    </w:p>
    <w:p w14:paraId="773934F9" w14:textId="77777777" w:rsidR="00DA4F3E" w:rsidRPr="00EB04F1" w:rsidRDefault="00DA4F3E" w:rsidP="00DA4F3E">
      <w:pPr>
        <w:spacing w:before="120" w:after="120" w:line="360" w:lineRule="auto"/>
        <w:jc w:val="center"/>
        <w:rPr>
          <w:szCs w:val="24"/>
          <w:lang w:val="it-IT" w:eastAsia="en-US"/>
        </w:rPr>
      </w:pPr>
      <w:r w:rsidRPr="00EB04F1">
        <w:rPr>
          <w:szCs w:val="24"/>
          <w:lang w:val="it-IT" w:eastAsia="en-US"/>
        </w:rPr>
        <w:t>10. pants</w:t>
      </w:r>
      <w:r w:rsidRPr="00EB04F1">
        <w:rPr>
          <w:szCs w:val="24"/>
          <w:lang w:val="it-IT" w:eastAsia="en-US"/>
        </w:rPr>
        <w:br/>
        <w:t xml:space="preserve">Ilgtspējīga augsnes apsaimniekošana </w:t>
      </w:r>
    </w:p>
    <w:p w14:paraId="68B2358E" w14:textId="77777777" w:rsidR="00DA4F3E" w:rsidRPr="00EB04F1" w:rsidRDefault="00DA4F3E" w:rsidP="00DA4F3E">
      <w:pPr>
        <w:spacing w:before="120" w:after="120" w:line="360" w:lineRule="auto"/>
        <w:ind w:left="850" w:hanging="850"/>
        <w:rPr>
          <w:szCs w:val="24"/>
          <w:lang w:val="it-IT" w:eastAsia="en-US"/>
        </w:rPr>
      </w:pPr>
      <w:r w:rsidRPr="00EB04F1">
        <w:rPr>
          <w:strike/>
          <w:szCs w:val="24"/>
          <w:lang w:val="it-IT" w:eastAsia="en-US"/>
        </w:rPr>
        <w:t>1.</w:t>
      </w:r>
      <w:r w:rsidRPr="00EB04F1">
        <w:rPr>
          <w:szCs w:val="24"/>
          <w:lang w:val="it-IT" w:eastAsia="en-US"/>
        </w:rPr>
        <w:tab/>
      </w:r>
      <w:r w:rsidRPr="00EB04F1">
        <w:rPr>
          <w:strike/>
          <w:szCs w:val="24"/>
          <w:lang w:val="it-IT" w:eastAsia="en-US"/>
        </w:rPr>
        <w:t>No (PB: ierakstīt datumu, kas ir 4 gadus pēc šīs direktīvas spēkā stāšanās dienas), dalībvalstis, ņemot vērā augsnes tipu, izmantojumu un stāvokli, veic vismaz šādus pasākumus:</w:t>
      </w:r>
    </w:p>
    <w:p w14:paraId="17BD8798" w14:textId="4130E643" w:rsidR="00DA4F3E" w:rsidRPr="00EB04F1" w:rsidRDefault="00DA4F3E" w:rsidP="00DA4F3E">
      <w:pPr>
        <w:spacing w:before="120" w:after="120" w:line="360" w:lineRule="auto"/>
        <w:ind w:left="1416" w:hanging="566"/>
        <w:rPr>
          <w:szCs w:val="24"/>
          <w:lang w:val="it-IT" w:eastAsia="en-US"/>
        </w:rPr>
      </w:pPr>
      <w:r w:rsidRPr="00EB04F1">
        <w:rPr>
          <w:strike/>
          <w:szCs w:val="24"/>
          <w:lang w:val="it-IT" w:eastAsia="en-US"/>
        </w:rPr>
        <w:t>a)</w:t>
      </w:r>
      <w:r w:rsidRPr="00EB04F1">
        <w:rPr>
          <w:szCs w:val="24"/>
          <w:lang w:val="it-IT" w:eastAsia="en-US"/>
        </w:rPr>
        <w:tab/>
      </w:r>
      <w:r w:rsidRPr="00EB04F1">
        <w:rPr>
          <w:strike/>
          <w:szCs w:val="24"/>
          <w:lang w:val="it-IT" w:eastAsia="en-US"/>
        </w:rPr>
        <w:t>nosaka ilgtspējīgas augsnes apsaimniekošanas prakses, kurās ievēro III pielikumā norādītos ilgtspējīgas augsnes apsaimniekošanas principus, kas pakāpeniski jāievieš visās apsaimniekotajās augsnēs, un, balstoties uz saskaņā ar 9. pantu veikto augsnes novērtējumu iznākumu, neveselīgajās dalībvalstu augsnēs pakāpeniski ievieš atveseļošanas prakses;</w:t>
      </w:r>
    </w:p>
    <w:p w14:paraId="5D07811F" w14:textId="0BFE5E7A" w:rsidR="00DA4F3E" w:rsidRPr="00EB04F1" w:rsidRDefault="00DA4F3E" w:rsidP="00DA4F3E">
      <w:pPr>
        <w:spacing w:before="120" w:after="120" w:line="360" w:lineRule="auto"/>
        <w:ind w:left="1416" w:hanging="566"/>
        <w:rPr>
          <w:szCs w:val="24"/>
          <w:lang w:val="it-IT" w:eastAsia="en-US"/>
        </w:rPr>
      </w:pPr>
      <w:r w:rsidRPr="00EB04F1">
        <w:rPr>
          <w:strike/>
          <w:szCs w:val="24"/>
          <w:lang w:val="it-IT" w:eastAsia="en-US"/>
        </w:rPr>
        <w:t>b)</w:t>
      </w:r>
      <w:r w:rsidRPr="00EB04F1">
        <w:rPr>
          <w:szCs w:val="24"/>
          <w:lang w:val="it-IT" w:eastAsia="en-US"/>
        </w:rPr>
        <w:tab/>
      </w:r>
      <w:r w:rsidRPr="00EB04F1">
        <w:rPr>
          <w:strike/>
          <w:szCs w:val="24"/>
          <w:lang w:val="it-IT" w:eastAsia="en-US"/>
        </w:rPr>
        <w:t>nosaka augsnes apsaimniekošanas prakses un citus paņēmienus, kuri augsnes veselību ietekmē negatīvi un no kuriem augsnes apsaimniekotājiem jāizvairās.</w:t>
      </w:r>
    </w:p>
    <w:p w14:paraId="03F1773B" w14:textId="77777777" w:rsidR="00DA4F3E" w:rsidRPr="00EB04F1" w:rsidRDefault="00DA4F3E" w:rsidP="00DA4F3E">
      <w:pPr>
        <w:spacing w:before="120" w:after="120" w:line="360" w:lineRule="auto"/>
        <w:ind w:left="850"/>
        <w:rPr>
          <w:szCs w:val="24"/>
          <w:lang w:val="it-IT" w:eastAsia="en-US"/>
        </w:rPr>
      </w:pPr>
      <w:r w:rsidRPr="00EB04F1">
        <w:rPr>
          <w:strike/>
          <w:szCs w:val="24"/>
          <w:lang w:val="it-IT" w:eastAsia="en-US"/>
        </w:rPr>
        <w:t>Nosakot šajā punktā minētās prakses un pasākumus, dalībvalstis ņem vērā IV pielikumā norādītās programmas, plānus, mērķrādītājus un pasākumus, kā arī jaunākās esošās zinātnes atziņas, arī rezultātus, kas gūti pamatprogrammas “Apvārsnis Eiropa” misijā “Augsnes kurss Eiropai”.</w:t>
      </w:r>
    </w:p>
    <w:p w14:paraId="6177B44D" w14:textId="77777777" w:rsidR="00DA4F3E" w:rsidRPr="00EB04F1" w:rsidRDefault="00DA4F3E" w:rsidP="00DA4F3E">
      <w:pPr>
        <w:spacing w:before="120" w:after="120" w:line="360" w:lineRule="auto"/>
        <w:ind w:left="850"/>
        <w:rPr>
          <w:szCs w:val="24"/>
          <w:lang w:val="it-IT" w:eastAsia="en-US"/>
        </w:rPr>
      </w:pPr>
      <w:r w:rsidRPr="00EB04F1">
        <w:rPr>
          <w:strike/>
          <w:szCs w:val="24"/>
          <w:lang w:val="it-IT" w:eastAsia="en-US"/>
        </w:rPr>
        <w:t>Dalībvalstis apzina sinerģijas ar IV pielikumā izklāstītajām programmām, plāniem un pasākumiem. Augsnes veselības monitoringa dati, augsnes veselības novērtējumu rezultāti, 9. pantā minētā analīze un ilgtspējīgas augsnes apsaimniekošanas pasākumi ir IV pielikumā norādīto programmu, plānu un pasākumu izstrādes pamatā.</w:t>
      </w:r>
    </w:p>
    <w:p w14:paraId="484CCBB5" w14:textId="3BFAB532" w:rsidR="00DA4F3E" w:rsidRPr="00EB04F1" w:rsidRDefault="00DA4F3E" w:rsidP="00DA4F3E">
      <w:pPr>
        <w:spacing w:before="120" w:after="120" w:line="360" w:lineRule="auto"/>
        <w:ind w:left="850"/>
        <w:rPr>
          <w:b/>
          <w:szCs w:val="24"/>
          <w:lang w:val="it-IT" w:eastAsia="en-US"/>
        </w:rPr>
      </w:pPr>
      <w:r w:rsidRPr="00EB04F1">
        <w:rPr>
          <w:strike/>
          <w:szCs w:val="24"/>
          <w:lang w:val="it-IT" w:eastAsia="en-US"/>
        </w:rPr>
        <w:t>Dalībvalstis nodrošina, ka pirmajā daļā minēto prakšu izstrādes process ir atvērts, iekļaujošs un rezultatīvs un ka ir iesaistīta attiecīgā sabiedrības daļa, it sevišķi zemes īpašnieki un apsaimniekotāji, un tai tiek dotas agrīnas un reālas iespējas piedalīties to izstrādē.</w:t>
      </w:r>
      <w:r w:rsidR="009341C6" w:rsidRPr="00EB04F1">
        <w:rPr>
          <w:b/>
          <w:szCs w:val="24"/>
          <w:lang w:val="it-IT" w:eastAsia="en-US"/>
        </w:rPr>
        <w:t xml:space="preserve"> [Gr. 248]</w:t>
      </w:r>
    </w:p>
    <w:p w14:paraId="32F11667" w14:textId="77777777" w:rsidR="009341C6" w:rsidRPr="00EB04F1" w:rsidRDefault="009341C6">
      <w:pPr>
        <w:widowControl/>
        <w:rPr>
          <w:szCs w:val="24"/>
          <w:lang w:val="it-IT" w:eastAsia="en-US"/>
        </w:rPr>
      </w:pPr>
      <w:r w:rsidRPr="00EB04F1">
        <w:rPr>
          <w:szCs w:val="24"/>
          <w:lang w:val="it-IT" w:eastAsia="en-US"/>
        </w:rPr>
        <w:br w:type="page"/>
      </w:r>
    </w:p>
    <w:p w14:paraId="452FC182" w14:textId="77BE62B8" w:rsidR="00DA4F3E" w:rsidRPr="00EB04F1" w:rsidRDefault="00DA4F3E" w:rsidP="00DA4F3E">
      <w:pPr>
        <w:spacing w:before="120" w:after="120" w:line="360" w:lineRule="auto"/>
        <w:ind w:left="850" w:hanging="850"/>
        <w:rPr>
          <w:szCs w:val="24"/>
          <w:lang w:eastAsia="en-US"/>
        </w:rPr>
      </w:pPr>
      <w:r w:rsidRPr="00EB04F1">
        <w:rPr>
          <w:szCs w:val="24"/>
          <w:lang w:val="it-IT" w:eastAsia="en-US"/>
        </w:rPr>
        <w:lastRenderedPageBreak/>
        <w:t>2.</w:t>
      </w:r>
      <w:r w:rsidRPr="00EB04F1">
        <w:rPr>
          <w:szCs w:val="24"/>
          <w:lang w:val="it-IT" w:eastAsia="en-US"/>
        </w:rPr>
        <w:tab/>
        <w:t>Dalībvalstis nodrošina, ka augsnes apsaimniekotājiem, zemes īpašniekiem</w:t>
      </w:r>
      <w:r w:rsidRPr="00EB04F1">
        <w:rPr>
          <w:b/>
          <w:i/>
          <w:szCs w:val="24"/>
          <w:lang w:val="it-IT" w:eastAsia="en-US"/>
        </w:rPr>
        <w:t>, zemes apsaimniekotājiem</w:t>
      </w:r>
      <w:r w:rsidRPr="00EB04F1">
        <w:rPr>
          <w:szCs w:val="24"/>
          <w:lang w:val="it-IT" w:eastAsia="en-US"/>
        </w:rPr>
        <w:t xml:space="preserve"> un attiecīgajām iestādēm ir viegli</w:t>
      </w:r>
      <w:r w:rsidRPr="00EB04F1">
        <w:rPr>
          <w:b/>
          <w:i/>
          <w:szCs w:val="24"/>
          <w:lang w:val="it-IT" w:eastAsia="en-US"/>
        </w:rPr>
        <w:t xml:space="preserve"> un vienādi</w:t>
      </w:r>
      <w:r w:rsidRPr="00EB04F1">
        <w:rPr>
          <w:szCs w:val="24"/>
          <w:lang w:val="it-IT" w:eastAsia="en-US"/>
        </w:rPr>
        <w:t xml:space="preserve"> pieejamas objektīvas un neatkarīgas konsultācijas par ilgtspējīgu augsnes apsaimniekošanu, kā arī attiecīgas apmācības un spēju veidošanas iespējas</w:t>
      </w:r>
      <w:r w:rsidRPr="00EB04F1">
        <w:rPr>
          <w:b/>
          <w:i/>
          <w:szCs w:val="24"/>
          <w:lang w:val="it-IT" w:eastAsia="en-US"/>
        </w:rPr>
        <w:t xml:space="preserve"> visos to augsnes rajonos</w:t>
      </w:r>
      <w:r w:rsidRPr="00EB04F1">
        <w:rPr>
          <w:szCs w:val="24"/>
          <w:lang w:val="it-IT" w:eastAsia="en-US"/>
        </w:rPr>
        <w:t>.</w:t>
      </w:r>
      <w:r w:rsidR="009341C6" w:rsidRPr="00EB04F1">
        <w:rPr>
          <w:b/>
          <w:szCs w:val="24"/>
          <w:lang w:eastAsia="en-US"/>
        </w:rPr>
        <w:t xml:space="preserve"> [Gr. 120 un 249]</w:t>
      </w:r>
    </w:p>
    <w:p w14:paraId="541F8180" w14:textId="77777777" w:rsidR="00DA4F3E" w:rsidRPr="00EB04F1" w:rsidRDefault="00DA4F3E" w:rsidP="00DA4F3E">
      <w:pPr>
        <w:spacing w:before="120" w:after="120" w:line="360" w:lineRule="auto"/>
        <w:ind w:left="850"/>
        <w:rPr>
          <w:szCs w:val="24"/>
          <w:lang w:eastAsia="en-US"/>
        </w:rPr>
      </w:pPr>
      <w:r w:rsidRPr="00EB04F1">
        <w:rPr>
          <w:szCs w:val="24"/>
          <w:lang w:eastAsia="en-US"/>
        </w:rPr>
        <w:t>Dalībvalstis veic arī visus šos pasākumus:</w:t>
      </w:r>
    </w:p>
    <w:p w14:paraId="57B7ED35" w14:textId="5DDE184A" w:rsidR="00DA4F3E" w:rsidRPr="00EB04F1" w:rsidRDefault="00DA4F3E" w:rsidP="00DA4F3E">
      <w:pPr>
        <w:spacing w:before="120" w:after="120" w:line="360" w:lineRule="auto"/>
        <w:ind w:left="1416" w:hanging="566"/>
        <w:rPr>
          <w:szCs w:val="24"/>
          <w:lang w:eastAsia="en-US"/>
        </w:rPr>
      </w:pPr>
      <w:r w:rsidRPr="00EB04F1">
        <w:rPr>
          <w:szCs w:val="24"/>
          <w:lang w:eastAsia="en-US"/>
        </w:rPr>
        <w:t>a)</w:t>
      </w:r>
      <w:r w:rsidRPr="00EB04F1">
        <w:rPr>
          <w:szCs w:val="24"/>
          <w:lang w:eastAsia="en-US"/>
        </w:rPr>
        <w:tab/>
        <w:t>vairo izpratni par daudzajiem vidēja termiņa un ilgtermiņa ieguvumiem, ko dod ilgtspējīga augsnes apsaimniekošana, un nepieciešamību augsni apsaimniekot ilgtspējīgi;</w:t>
      </w:r>
    </w:p>
    <w:p w14:paraId="4613DEB3" w14:textId="49B975C9" w:rsidR="00DA4F3E" w:rsidRPr="00EB04F1" w:rsidRDefault="00DA4F3E" w:rsidP="00DA4F3E">
      <w:pPr>
        <w:spacing w:before="120" w:after="120" w:line="360" w:lineRule="auto"/>
        <w:ind w:left="1416" w:hanging="566"/>
        <w:rPr>
          <w:b/>
          <w:szCs w:val="24"/>
          <w:lang w:eastAsia="en-US"/>
        </w:rPr>
      </w:pPr>
      <w:r w:rsidRPr="00EB04F1">
        <w:rPr>
          <w:szCs w:val="24"/>
          <w:lang w:eastAsia="en-US"/>
        </w:rPr>
        <w:t>b)</w:t>
      </w:r>
      <w:r w:rsidRPr="00EB04F1">
        <w:rPr>
          <w:szCs w:val="24"/>
          <w:lang w:eastAsia="en-US"/>
        </w:rPr>
        <w:tab/>
        <w:t xml:space="preserve">veicina </w:t>
      </w:r>
      <w:r w:rsidRPr="00EB04F1">
        <w:rPr>
          <w:strike/>
          <w:szCs w:val="24"/>
          <w:lang w:eastAsia="en-US"/>
        </w:rPr>
        <w:t>holistisku</w:t>
      </w:r>
      <w:r w:rsidRPr="00EB04F1">
        <w:rPr>
          <w:b/>
          <w:i/>
          <w:szCs w:val="24"/>
          <w:lang w:eastAsia="en-US"/>
        </w:rPr>
        <w:t>ilgtspējīgas</w:t>
      </w:r>
      <w:r w:rsidRPr="00EB04F1">
        <w:rPr>
          <w:szCs w:val="24"/>
          <w:lang w:eastAsia="en-US"/>
        </w:rPr>
        <w:t xml:space="preserve"> augsnes apsaimniekošanas pieeju izpēti</w:t>
      </w:r>
      <w:r w:rsidRPr="00EB04F1">
        <w:rPr>
          <w:b/>
          <w:i/>
          <w:szCs w:val="24"/>
          <w:lang w:eastAsia="en-US"/>
        </w:rPr>
        <w:t>, inovāciju</w:t>
      </w:r>
      <w:r w:rsidRPr="00EB04F1">
        <w:rPr>
          <w:szCs w:val="24"/>
          <w:lang w:eastAsia="en-US"/>
        </w:rPr>
        <w:t xml:space="preserve"> un izmantošanu;</w:t>
      </w:r>
      <w:r w:rsidR="009341C6" w:rsidRPr="00EB04F1">
        <w:rPr>
          <w:b/>
          <w:szCs w:val="24"/>
          <w:lang w:eastAsia="en-US"/>
        </w:rPr>
        <w:t xml:space="preserve"> [Gr. 121 un 250]</w:t>
      </w:r>
    </w:p>
    <w:p w14:paraId="035347B5" w14:textId="29AE3AEE" w:rsidR="00DA4F3E" w:rsidRPr="00EB04F1" w:rsidRDefault="00DA4F3E" w:rsidP="00DA4F3E">
      <w:pPr>
        <w:spacing w:before="120" w:after="120" w:line="360" w:lineRule="auto"/>
        <w:ind w:left="1416" w:hanging="566"/>
        <w:rPr>
          <w:b/>
          <w:szCs w:val="24"/>
          <w:lang w:val="it-IT" w:eastAsia="en-US"/>
        </w:rPr>
      </w:pPr>
      <w:r w:rsidRPr="00EB04F1">
        <w:rPr>
          <w:szCs w:val="24"/>
          <w:lang w:eastAsia="en-US"/>
        </w:rPr>
        <w:t>c)</w:t>
      </w:r>
      <w:r w:rsidRPr="00EB04F1">
        <w:rPr>
          <w:szCs w:val="24"/>
          <w:lang w:eastAsia="en-US"/>
        </w:rPr>
        <w:tab/>
        <w:t>lai atbalstītu ilgtspējīgas augsnes apsaimniekošanas īstenošanu</w:t>
      </w:r>
      <w:r w:rsidRPr="00EB04F1">
        <w:rPr>
          <w:b/>
          <w:i/>
          <w:szCs w:val="24"/>
          <w:lang w:eastAsia="en-US"/>
        </w:rPr>
        <w:t xml:space="preserve"> un citas darbības, kas palīdz īstenot šo direktīvu, ieskaitot izpēti un amatierzinātni</w:t>
      </w:r>
      <w:r w:rsidRPr="00EB04F1">
        <w:rPr>
          <w:szCs w:val="24"/>
          <w:lang w:eastAsia="en-US"/>
        </w:rPr>
        <w:t>, dara pieejamu regulāri atjauninātu pieejamo finansēšanas instrumentu un darbību kartējumu.</w:t>
      </w:r>
      <w:r w:rsidR="009341C6" w:rsidRPr="00EB04F1">
        <w:rPr>
          <w:b/>
          <w:szCs w:val="24"/>
          <w:lang w:eastAsia="en-US"/>
        </w:rPr>
        <w:t xml:space="preserve"> </w:t>
      </w:r>
      <w:r w:rsidR="009341C6" w:rsidRPr="00EB04F1">
        <w:rPr>
          <w:b/>
          <w:szCs w:val="24"/>
          <w:lang w:val="it-IT" w:eastAsia="en-US"/>
        </w:rPr>
        <w:t>[Gr. 122]</w:t>
      </w:r>
    </w:p>
    <w:p w14:paraId="4C646262" w14:textId="77777777" w:rsidR="009341C6" w:rsidRPr="00EB04F1" w:rsidRDefault="009341C6">
      <w:pPr>
        <w:widowControl/>
        <w:rPr>
          <w:strike/>
          <w:szCs w:val="24"/>
          <w:lang w:val="it-IT" w:eastAsia="en-US"/>
        </w:rPr>
      </w:pPr>
      <w:r w:rsidRPr="00EB04F1">
        <w:rPr>
          <w:strike/>
          <w:szCs w:val="24"/>
          <w:lang w:val="it-IT" w:eastAsia="en-US"/>
        </w:rPr>
        <w:br w:type="page"/>
      </w:r>
    </w:p>
    <w:p w14:paraId="2CF29397" w14:textId="5284827C" w:rsidR="00DA4F3E" w:rsidRPr="00EB04F1" w:rsidRDefault="00DA4F3E" w:rsidP="00DA4F3E">
      <w:pPr>
        <w:spacing w:before="120" w:after="120" w:line="360" w:lineRule="auto"/>
        <w:ind w:left="850" w:hanging="850"/>
        <w:rPr>
          <w:b/>
          <w:szCs w:val="24"/>
          <w:lang w:val="it-IT" w:eastAsia="en-US"/>
        </w:rPr>
      </w:pPr>
      <w:r w:rsidRPr="00EB04F1">
        <w:rPr>
          <w:strike/>
          <w:szCs w:val="24"/>
          <w:lang w:val="it-IT" w:eastAsia="en-US"/>
        </w:rPr>
        <w:lastRenderedPageBreak/>
        <w:t>3.</w:t>
      </w:r>
      <w:r w:rsidRPr="00EB04F1">
        <w:rPr>
          <w:szCs w:val="24"/>
          <w:lang w:val="it-IT" w:eastAsia="en-US"/>
        </w:rPr>
        <w:tab/>
      </w:r>
      <w:r w:rsidRPr="00EB04F1">
        <w:rPr>
          <w:strike/>
          <w:szCs w:val="24"/>
          <w:lang w:val="it-IT" w:eastAsia="en-US"/>
        </w:rPr>
        <w:t xml:space="preserve">Dalībvalstis regulāri novērtē saskaņā ar šo pantu veikto pasākumu iedarbīgumu un attiecīgā gadījumā šos pasākumus izskata un pārskata, ņemot vērā </w:t>
      </w:r>
      <w:proofErr w:type="gramStart"/>
      <w:r w:rsidRPr="00EB04F1">
        <w:rPr>
          <w:strike/>
          <w:szCs w:val="24"/>
          <w:lang w:val="it-IT" w:eastAsia="en-US"/>
        </w:rPr>
        <w:t>6.–</w:t>
      </w:r>
      <w:proofErr w:type="gramEnd"/>
      <w:r w:rsidRPr="00EB04F1">
        <w:rPr>
          <w:strike/>
          <w:szCs w:val="24"/>
          <w:lang w:val="it-IT" w:eastAsia="en-US"/>
        </w:rPr>
        <w:t>9. pantā minēto augsnes veselības monitoringu un novērtējumu.</w:t>
      </w:r>
      <w:r w:rsidR="00455113" w:rsidRPr="00EB04F1">
        <w:rPr>
          <w:b/>
          <w:szCs w:val="24"/>
          <w:lang w:val="it-IT" w:eastAsia="en-US"/>
        </w:rPr>
        <w:t xml:space="preserve"> [Gr. 251]</w:t>
      </w:r>
    </w:p>
    <w:p w14:paraId="7114E178" w14:textId="2D88A9FC" w:rsidR="00DA4F3E" w:rsidRPr="00EB04F1" w:rsidRDefault="00DA4F3E" w:rsidP="00DA4F3E">
      <w:pPr>
        <w:spacing w:before="120" w:after="120" w:line="360" w:lineRule="auto"/>
        <w:ind w:left="850" w:hanging="850"/>
        <w:rPr>
          <w:szCs w:val="24"/>
          <w:lang w:val="it-IT" w:eastAsia="en-US"/>
        </w:rPr>
      </w:pPr>
      <w:r w:rsidRPr="00EB04F1">
        <w:rPr>
          <w:strike/>
          <w:szCs w:val="24"/>
          <w:lang w:val="it-IT" w:eastAsia="en-US"/>
        </w:rPr>
        <w:t>4.</w:t>
      </w:r>
      <w:r w:rsidRPr="00EB04F1">
        <w:rPr>
          <w:szCs w:val="24"/>
          <w:lang w:val="it-IT" w:eastAsia="en-US"/>
        </w:rPr>
        <w:tab/>
      </w:r>
      <w:r w:rsidRPr="00EB04F1">
        <w:rPr>
          <w:strike/>
          <w:szCs w:val="24"/>
          <w:lang w:val="it-IT" w:eastAsia="en-US"/>
        </w:rPr>
        <w:t>Komisija ir pilnvarota saskaņā ar 20. pantu pieņemt deleģētos aktus, ar ko groza III pielikumu, lai ilgtspējīgas augsnes apsaimniekošanas principus pielāgotu zinātnes un tehnikas attīstībai.</w:t>
      </w:r>
      <w:r w:rsidR="00455113" w:rsidRPr="00EB04F1">
        <w:rPr>
          <w:strike/>
          <w:szCs w:val="24"/>
          <w:lang w:val="it-IT" w:eastAsia="en-US"/>
        </w:rPr>
        <w:t xml:space="preserve"> </w:t>
      </w:r>
      <w:r w:rsidR="00455113" w:rsidRPr="00EB04F1">
        <w:rPr>
          <w:b/>
          <w:szCs w:val="24"/>
          <w:lang w:eastAsia="en-US"/>
        </w:rPr>
        <w:t>[Gr. 123 un 252]</w:t>
      </w:r>
    </w:p>
    <w:p w14:paraId="491AB2BA" w14:textId="2296A25B"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4</w:t>
      </w:r>
      <w:r w:rsidR="00455113" w:rsidRPr="00EB04F1">
        <w:rPr>
          <w:b/>
          <w:i/>
          <w:szCs w:val="24"/>
          <w:lang w:val="it-IT" w:eastAsia="en-US"/>
        </w:rPr>
        <w:t>.</w:t>
      </w:r>
      <w:r w:rsidRPr="00EB04F1">
        <w:rPr>
          <w:b/>
          <w:i/>
          <w:szCs w:val="24"/>
          <w:lang w:val="it-IT" w:eastAsia="en-US"/>
        </w:rPr>
        <w:t>a</w:t>
      </w:r>
      <w:r w:rsidRPr="00EB04F1">
        <w:rPr>
          <w:szCs w:val="24"/>
          <w:lang w:val="it-IT" w:eastAsia="en-US"/>
        </w:rPr>
        <w:tab/>
      </w:r>
      <w:r w:rsidRPr="00EB04F1">
        <w:rPr>
          <w:b/>
          <w:i/>
          <w:szCs w:val="24"/>
          <w:lang w:val="it-IT" w:eastAsia="en-US"/>
        </w:rPr>
        <w:t>Komisija pēc pieprasījuma palīdz dalībvalstīm un sniedz tām norādījumus par konkrētu pasākumu izstrādi saistībā ar ilgtspējīgas zemes apsaimniekošanas principiem, kas uzskaitīti III pielikumā.</w:t>
      </w:r>
      <w:r w:rsidR="00455113" w:rsidRPr="00EB04F1">
        <w:rPr>
          <w:b/>
          <w:szCs w:val="24"/>
          <w:lang w:val="it-IT" w:eastAsia="en-US"/>
        </w:rPr>
        <w:t xml:space="preserve"> [Gr. 124]</w:t>
      </w:r>
    </w:p>
    <w:p w14:paraId="20476669" w14:textId="77777777" w:rsidR="00DA4F3E" w:rsidRPr="00EB04F1" w:rsidRDefault="00DA4F3E" w:rsidP="00DA4F3E">
      <w:pPr>
        <w:spacing w:before="120" w:after="120" w:line="360" w:lineRule="auto"/>
        <w:jc w:val="center"/>
        <w:rPr>
          <w:szCs w:val="24"/>
          <w:lang w:val="it-IT" w:eastAsia="en-US"/>
        </w:rPr>
      </w:pPr>
      <w:r w:rsidRPr="00EB04F1">
        <w:rPr>
          <w:b/>
          <w:i/>
          <w:szCs w:val="24"/>
          <w:lang w:val="it-IT" w:eastAsia="en-US"/>
        </w:rPr>
        <w:t>10a. pants</w:t>
      </w:r>
      <w:r w:rsidRPr="00EB04F1">
        <w:rPr>
          <w:szCs w:val="24"/>
          <w:lang w:val="it-IT" w:eastAsia="en-US"/>
        </w:rPr>
        <w:br/>
      </w:r>
      <w:r w:rsidRPr="00EB04F1">
        <w:rPr>
          <w:b/>
          <w:i/>
          <w:szCs w:val="24"/>
          <w:lang w:val="it-IT" w:eastAsia="en-US"/>
        </w:rPr>
        <w:t>Ilgtspējīgas augsnes apsaimniekošanas rīku kopums</w:t>
      </w:r>
    </w:p>
    <w:p w14:paraId="6E307FA4" w14:textId="77777777" w:rsidR="00DA4F3E" w:rsidRPr="00EB04F1" w:rsidRDefault="00DA4F3E" w:rsidP="00DA4F3E">
      <w:pPr>
        <w:spacing w:before="120" w:after="120" w:line="360" w:lineRule="auto"/>
        <w:ind w:left="850" w:hanging="850"/>
        <w:rPr>
          <w:szCs w:val="24"/>
          <w:lang w:val="it-IT" w:eastAsia="en-US"/>
        </w:rPr>
      </w:pPr>
      <w:r w:rsidRPr="00EB04F1">
        <w:rPr>
          <w:b/>
          <w:i/>
          <w:szCs w:val="24"/>
          <w:lang w:val="it-IT" w:eastAsia="en-US"/>
        </w:rPr>
        <w:t>1.</w:t>
      </w:r>
      <w:r w:rsidRPr="00EB04F1">
        <w:rPr>
          <w:szCs w:val="24"/>
          <w:lang w:val="it-IT" w:eastAsia="en-US"/>
        </w:rPr>
        <w:tab/>
      </w:r>
      <w:r w:rsidRPr="00EB04F1">
        <w:rPr>
          <w:b/>
          <w:i/>
          <w:szCs w:val="24"/>
          <w:lang w:val="it-IT" w:eastAsia="en-US"/>
        </w:rPr>
        <w:t>Lai palīdzētu īstenot šo direktīvu, Komisija izveido ilgtspējīgas augsnes apsaimniekošanas rīku kopumu, kas augsnes apsaimniekotājiem sniedz praktisku informāciju par ilgtspējīgas augsnes apsaimniekošanas paņēmieniem, kas ietver dalībvalstu sniegto informāciju.</w:t>
      </w:r>
    </w:p>
    <w:p w14:paraId="1813AC6B" w14:textId="77777777" w:rsidR="00455113" w:rsidRPr="00EB04F1" w:rsidRDefault="00455113">
      <w:pPr>
        <w:widowControl/>
        <w:rPr>
          <w:b/>
          <w:i/>
          <w:szCs w:val="24"/>
          <w:lang w:val="it-IT" w:eastAsia="en-US"/>
        </w:rPr>
      </w:pPr>
      <w:r w:rsidRPr="00EB04F1">
        <w:rPr>
          <w:b/>
          <w:i/>
          <w:szCs w:val="24"/>
          <w:lang w:val="it-IT" w:eastAsia="en-US"/>
        </w:rPr>
        <w:br w:type="page"/>
      </w:r>
    </w:p>
    <w:p w14:paraId="559DAAF1" w14:textId="07DF2ED1" w:rsidR="00DA4F3E" w:rsidRPr="00EB04F1" w:rsidRDefault="00DA4F3E" w:rsidP="00DA4F3E">
      <w:pPr>
        <w:spacing w:before="120" w:after="120" w:line="360" w:lineRule="auto"/>
        <w:ind w:left="850" w:hanging="850"/>
        <w:rPr>
          <w:szCs w:val="24"/>
          <w:lang w:val="it-IT" w:eastAsia="en-US"/>
        </w:rPr>
      </w:pPr>
      <w:r w:rsidRPr="00EB04F1">
        <w:rPr>
          <w:b/>
          <w:i/>
          <w:szCs w:val="24"/>
          <w:lang w:val="it-IT" w:eastAsia="en-US"/>
        </w:rPr>
        <w:lastRenderedPageBreak/>
        <w:t>2.</w:t>
      </w:r>
      <w:r w:rsidRPr="00EB04F1">
        <w:rPr>
          <w:szCs w:val="24"/>
          <w:lang w:val="it-IT" w:eastAsia="en-US"/>
        </w:rPr>
        <w:tab/>
      </w:r>
      <w:r w:rsidRPr="00EB04F1">
        <w:rPr>
          <w:b/>
          <w:i/>
          <w:szCs w:val="24"/>
          <w:lang w:val="it-IT" w:eastAsia="en-US"/>
        </w:rPr>
        <w:t>Rīku kopumā ir:</w:t>
      </w:r>
    </w:p>
    <w:p w14:paraId="1CB3BCD7" w14:textId="77777777" w:rsidR="00DA4F3E" w:rsidRPr="00EB04F1" w:rsidRDefault="00DA4F3E" w:rsidP="00DA4F3E">
      <w:pPr>
        <w:spacing w:before="120" w:after="120" w:line="360" w:lineRule="auto"/>
        <w:ind w:left="1416" w:hanging="566"/>
        <w:rPr>
          <w:szCs w:val="24"/>
          <w:lang w:val="it-IT" w:eastAsia="en-US"/>
        </w:rPr>
      </w:pPr>
      <w:r w:rsidRPr="00EB04F1">
        <w:rPr>
          <w:b/>
          <w:i/>
          <w:szCs w:val="24"/>
          <w:lang w:val="it-IT" w:eastAsia="en-US"/>
        </w:rPr>
        <w:t>a)</w:t>
      </w:r>
      <w:r w:rsidRPr="00EB04F1">
        <w:rPr>
          <w:szCs w:val="24"/>
          <w:lang w:val="it-IT" w:eastAsia="en-US"/>
        </w:rPr>
        <w:tab/>
      </w:r>
      <w:r w:rsidRPr="00EB04F1">
        <w:rPr>
          <w:b/>
          <w:i/>
          <w:szCs w:val="24"/>
          <w:lang w:val="it-IT" w:eastAsia="en-US"/>
        </w:rPr>
        <w:t>ieteikumi un paraugprakses piemēri, ko sniegušas dalībvalstu kompetentās iestādes, kuras uzrauga augsnes apsaimniekošanas paņēmienus, un informācija par šādu paņēmienu ietekmi uz dažādiem ekosistēmu pakalpojumiem un augsnes apdraudējumu;</w:t>
      </w:r>
    </w:p>
    <w:p w14:paraId="36603D0D" w14:textId="77777777" w:rsidR="00DA4F3E" w:rsidRPr="00EB04F1" w:rsidRDefault="00DA4F3E" w:rsidP="00DA4F3E">
      <w:pPr>
        <w:spacing w:before="120" w:after="120" w:line="360" w:lineRule="auto"/>
        <w:ind w:left="1416" w:hanging="566"/>
        <w:rPr>
          <w:szCs w:val="24"/>
          <w:lang w:val="it-IT" w:eastAsia="en-US"/>
        </w:rPr>
      </w:pPr>
      <w:r w:rsidRPr="00EB04F1">
        <w:rPr>
          <w:b/>
          <w:i/>
          <w:szCs w:val="24"/>
          <w:lang w:val="it-IT" w:eastAsia="en-US"/>
        </w:rPr>
        <w:t>b)</w:t>
      </w:r>
      <w:r w:rsidRPr="00EB04F1">
        <w:rPr>
          <w:szCs w:val="24"/>
          <w:lang w:val="it-IT" w:eastAsia="en-US"/>
        </w:rPr>
        <w:tab/>
      </w:r>
      <w:r w:rsidRPr="00EB04F1">
        <w:rPr>
          <w:b/>
          <w:i/>
          <w:szCs w:val="24"/>
          <w:lang w:val="it-IT" w:eastAsia="en-US"/>
        </w:rPr>
        <w:t>attiecīgajam kontekstam atbilstīga informācija par augsnes tipu, zemes izmantojumu un klimatiskiem apstākļiem;</w:t>
      </w:r>
    </w:p>
    <w:p w14:paraId="2512F75D" w14:textId="77777777" w:rsidR="00DA4F3E" w:rsidRPr="00EB04F1" w:rsidRDefault="00DA4F3E" w:rsidP="00DA4F3E">
      <w:pPr>
        <w:spacing w:before="120" w:after="120" w:line="360" w:lineRule="auto"/>
        <w:ind w:left="1416" w:hanging="566"/>
        <w:rPr>
          <w:szCs w:val="24"/>
          <w:lang w:val="it-IT" w:eastAsia="en-US"/>
        </w:rPr>
      </w:pPr>
      <w:r w:rsidRPr="00EB04F1">
        <w:rPr>
          <w:b/>
          <w:i/>
          <w:szCs w:val="24"/>
          <w:lang w:val="it-IT" w:eastAsia="en-US"/>
        </w:rPr>
        <w:t>c)</w:t>
      </w:r>
      <w:r w:rsidRPr="00EB04F1">
        <w:rPr>
          <w:szCs w:val="24"/>
          <w:lang w:val="it-IT" w:eastAsia="en-US"/>
        </w:rPr>
        <w:tab/>
      </w:r>
      <w:r w:rsidRPr="00EB04F1">
        <w:rPr>
          <w:b/>
          <w:i/>
          <w:szCs w:val="24"/>
          <w:lang w:val="it-IT" w:eastAsia="en-US"/>
        </w:rPr>
        <w:t>jaunas zināšanas, kas iegūtas no pētījumiem un inovācijas, tostarp no "Apvārsnis Eiropa" misijas "Augsnes kurss Eiropai";</w:t>
      </w:r>
    </w:p>
    <w:p w14:paraId="63A863E1" w14:textId="77777777" w:rsidR="00DA4F3E" w:rsidRPr="00EB04F1" w:rsidRDefault="00DA4F3E" w:rsidP="00DA4F3E">
      <w:pPr>
        <w:spacing w:before="120" w:after="120" w:line="360" w:lineRule="auto"/>
        <w:ind w:left="1416" w:hanging="566"/>
        <w:rPr>
          <w:szCs w:val="24"/>
          <w:lang w:val="it-IT" w:eastAsia="en-US"/>
        </w:rPr>
      </w:pPr>
      <w:r w:rsidRPr="00EB04F1">
        <w:rPr>
          <w:b/>
          <w:i/>
          <w:szCs w:val="24"/>
          <w:lang w:val="it-IT" w:eastAsia="en-US"/>
        </w:rPr>
        <w:t>d)</w:t>
      </w:r>
      <w:r w:rsidRPr="00EB04F1">
        <w:rPr>
          <w:szCs w:val="24"/>
          <w:lang w:val="it-IT" w:eastAsia="en-US"/>
        </w:rPr>
        <w:tab/>
      </w:r>
      <w:r w:rsidRPr="00EB04F1">
        <w:rPr>
          <w:b/>
          <w:i/>
          <w:szCs w:val="24"/>
          <w:lang w:val="it-IT" w:eastAsia="en-US"/>
        </w:rPr>
        <w:t>cita attiecīga informācija, ko ieguvusi Komisija vai ko Komisijai sniegušas dalībvalstis.</w:t>
      </w:r>
    </w:p>
    <w:p w14:paraId="4E0C9850" w14:textId="77777777" w:rsidR="00DA4F3E" w:rsidRPr="00EB04F1" w:rsidRDefault="00DA4F3E" w:rsidP="00DA4F3E">
      <w:pPr>
        <w:spacing w:before="120" w:after="120" w:line="360" w:lineRule="auto"/>
        <w:ind w:left="850" w:hanging="850"/>
        <w:rPr>
          <w:szCs w:val="24"/>
          <w:lang w:val="it-IT" w:eastAsia="en-US"/>
        </w:rPr>
      </w:pPr>
      <w:r w:rsidRPr="00EB04F1">
        <w:rPr>
          <w:b/>
          <w:i/>
          <w:szCs w:val="24"/>
          <w:lang w:val="it-IT" w:eastAsia="en-US"/>
        </w:rPr>
        <w:t>3.</w:t>
      </w:r>
      <w:r w:rsidRPr="00EB04F1">
        <w:rPr>
          <w:szCs w:val="24"/>
          <w:lang w:val="it-IT" w:eastAsia="en-US"/>
        </w:rPr>
        <w:tab/>
      </w:r>
      <w:r w:rsidRPr="00EB04F1">
        <w:rPr>
          <w:b/>
          <w:i/>
          <w:szCs w:val="24"/>
          <w:lang w:val="it-IT" w:eastAsia="en-US"/>
        </w:rPr>
        <w:t>Rīku kopums bez maksas ir publiski pieejams digitālajā augsnes veselības datu portālā, kas izveidots saskaņā ar 6. panta 6. punktu.</w:t>
      </w:r>
    </w:p>
    <w:p w14:paraId="543C0C47" w14:textId="1C5DD226" w:rsidR="00DA4F3E" w:rsidRPr="00EB04F1" w:rsidRDefault="00DA4F3E" w:rsidP="00DA4F3E">
      <w:pPr>
        <w:spacing w:before="120" w:after="120" w:line="360" w:lineRule="auto"/>
        <w:ind w:left="850"/>
        <w:rPr>
          <w:b/>
          <w:szCs w:val="24"/>
          <w:lang w:val="it-IT" w:eastAsia="en-US"/>
        </w:rPr>
      </w:pPr>
      <w:r w:rsidRPr="00EB04F1">
        <w:rPr>
          <w:b/>
          <w:i/>
          <w:szCs w:val="24"/>
          <w:lang w:val="it-IT" w:eastAsia="en-US"/>
        </w:rPr>
        <w:t>Komisija aktīvi atjaunina rīku kopuma saturu un veic visus vajadzīgos pasākumus, lai to popularizētu zemes apsaimniekotājiem.</w:t>
      </w:r>
      <w:r w:rsidR="00455113" w:rsidRPr="00EB04F1">
        <w:rPr>
          <w:b/>
          <w:szCs w:val="24"/>
          <w:lang w:val="it-IT" w:eastAsia="en-US"/>
        </w:rPr>
        <w:t xml:space="preserve"> [Gr. 125]</w:t>
      </w:r>
    </w:p>
    <w:p w14:paraId="66EAA71F" w14:textId="77777777" w:rsidR="00455113" w:rsidRPr="00EB04F1" w:rsidRDefault="00455113">
      <w:pPr>
        <w:widowControl/>
        <w:rPr>
          <w:szCs w:val="24"/>
          <w:lang w:val="it-IT" w:eastAsia="en-US"/>
        </w:rPr>
      </w:pPr>
      <w:r w:rsidRPr="00EB04F1">
        <w:rPr>
          <w:szCs w:val="24"/>
          <w:lang w:val="it-IT" w:eastAsia="en-US"/>
        </w:rPr>
        <w:br w:type="page"/>
      </w:r>
    </w:p>
    <w:p w14:paraId="1EAFEA1E" w14:textId="22B415B2" w:rsidR="00DA4F3E" w:rsidRPr="00EB04F1" w:rsidRDefault="00DA4F3E" w:rsidP="00DA4F3E">
      <w:pPr>
        <w:spacing w:before="120" w:after="120" w:line="360" w:lineRule="auto"/>
        <w:jc w:val="center"/>
        <w:rPr>
          <w:b/>
          <w:szCs w:val="24"/>
          <w:lang w:val="it-IT" w:eastAsia="en-US"/>
        </w:rPr>
      </w:pPr>
      <w:r w:rsidRPr="00EB04F1">
        <w:rPr>
          <w:szCs w:val="24"/>
          <w:lang w:val="it-IT" w:eastAsia="en-US"/>
        </w:rPr>
        <w:lastRenderedPageBreak/>
        <w:t>11. pants</w:t>
      </w:r>
      <w:r w:rsidRPr="00EB04F1">
        <w:rPr>
          <w:szCs w:val="24"/>
          <w:lang w:val="it-IT" w:eastAsia="en-US"/>
        </w:rPr>
        <w:br/>
        <w:t xml:space="preserve">Zemes aizņemšanas </w:t>
      </w:r>
      <w:r w:rsidRPr="00EB04F1">
        <w:rPr>
          <w:strike/>
          <w:szCs w:val="24"/>
          <w:lang w:val="it-IT" w:eastAsia="en-US"/>
        </w:rPr>
        <w:t>mitigācijas principi</w:t>
      </w:r>
      <w:r w:rsidRPr="00EB04F1">
        <w:rPr>
          <w:b/>
          <w:i/>
          <w:szCs w:val="24"/>
          <w:lang w:val="it-IT" w:eastAsia="en-US"/>
        </w:rPr>
        <w:t>mitigācija</w:t>
      </w:r>
      <w:r w:rsidR="00455113" w:rsidRPr="00EB04F1">
        <w:rPr>
          <w:b/>
          <w:szCs w:val="24"/>
          <w:lang w:val="it-IT" w:eastAsia="en-US"/>
        </w:rPr>
        <w:t xml:space="preserve"> [Gr. 126]</w:t>
      </w:r>
    </w:p>
    <w:p w14:paraId="5DB55112" w14:textId="3EF318F1" w:rsidR="00DA4F3E" w:rsidRPr="00EB04F1" w:rsidRDefault="00DA4F3E" w:rsidP="00DA4F3E">
      <w:pPr>
        <w:spacing w:before="120" w:after="120" w:line="360" w:lineRule="auto"/>
        <w:rPr>
          <w:b/>
          <w:szCs w:val="24"/>
          <w:lang w:val="it-IT" w:eastAsia="en-US"/>
        </w:rPr>
      </w:pPr>
      <w:r w:rsidRPr="00EB04F1">
        <w:rPr>
          <w:b/>
          <w:i/>
          <w:szCs w:val="24"/>
          <w:lang w:val="it-IT" w:eastAsia="en-US"/>
        </w:rPr>
        <w:t xml:space="preserve">Zemes platību aizņemšanas gadījumā </w:t>
      </w:r>
      <w:r w:rsidRPr="00EB04F1">
        <w:rPr>
          <w:szCs w:val="24"/>
          <w:lang w:val="it-IT" w:eastAsia="en-US"/>
        </w:rPr>
        <w:t xml:space="preserve">dalībvalstis </w:t>
      </w:r>
      <w:r w:rsidRPr="00EB04F1">
        <w:rPr>
          <w:strike/>
          <w:szCs w:val="24"/>
          <w:lang w:val="it-IT" w:eastAsia="en-US"/>
        </w:rPr>
        <w:t>nodrošina, ka, aizņemot zemi, tiek ievēroti šādi principi</w:t>
      </w:r>
      <w:r w:rsidRPr="00EB04F1">
        <w:rPr>
          <w:b/>
          <w:i/>
          <w:szCs w:val="24"/>
          <w:lang w:val="it-IT" w:eastAsia="en-US"/>
        </w:rPr>
        <w:t>apsver šādas darbības, vienlaikus ņemot vērā vietējo specifiku un sociālekonomisko ietekmi</w:t>
      </w:r>
      <w:r w:rsidRPr="00EB04F1">
        <w:rPr>
          <w:szCs w:val="24"/>
          <w:lang w:val="it-IT" w:eastAsia="en-US"/>
        </w:rPr>
        <w:t>:</w:t>
      </w:r>
      <w:r w:rsidR="00455113" w:rsidRPr="00EB04F1">
        <w:rPr>
          <w:b/>
          <w:szCs w:val="24"/>
          <w:lang w:val="it-IT" w:eastAsia="en-US"/>
        </w:rPr>
        <w:t xml:space="preserve"> [Gr. 127]</w:t>
      </w:r>
    </w:p>
    <w:p w14:paraId="0FF40705" w14:textId="3A8ACE0C"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a)</w:t>
      </w:r>
      <w:r w:rsidRPr="00EB04F1">
        <w:rPr>
          <w:szCs w:val="24"/>
          <w:lang w:val="it-IT" w:eastAsia="en-US"/>
        </w:rPr>
        <w:tab/>
        <w:t>cik vien tehniski</w:t>
      </w:r>
      <w:r w:rsidRPr="00EB04F1">
        <w:rPr>
          <w:b/>
          <w:i/>
          <w:szCs w:val="24"/>
          <w:lang w:val="it-IT" w:eastAsia="en-US"/>
        </w:rPr>
        <w:t>, sociāli</w:t>
      </w:r>
      <w:r w:rsidRPr="00EB04F1">
        <w:rPr>
          <w:szCs w:val="24"/>
          <w:lang w:val="it-IT" w:eastAsia="en-US"/>
        </w:rPr>
        <w:t xml:space="preserve"> un ekonomiski iespējams, izvairās no tā, ka zūd augsnes spēja nodrošināt dažādus ekosistēmu </w:t>
      </w:r>
      <w:r w:rsidRPr="00EB04F1">
        <w:rPr>
          <w:b/>
          <w:i/>
          <w:szCs w:val="24"/>
          <w:lang w:val="it-IT" w:eastAsia="en-US"/>
        </w:rPr>
        <w:t xml:space="preserve">un citus </w:t>
      </w:r>
      <w:r w:rsidRPr="00EB04F1">
        <w:rPr>
          <w:szCs w:val="24"/>
          <w:lang w:val="it-IT" w:eastAsia="en-US"/>
        </w:rPr>
        <w:t xml:space="preserve">pakalpojumus, to vidū </w:t>
      </w:r>
      <w:r w:rsidRPr="00EB04F1">
        <w:rPr>
          <w:b/>
          <w:i/>
          <w:szCs w:val="24"/>
          <w:lang w:val="it-IT" w:eastAsia="en-US"/>
        </w:rPr>
        <w:t xml:space="preserve">lauksaimniecību, </w:t>
      </w:r>
      <w:r w:rsidRPr="00EB04F1">
        <w:rPr>
          <w:szCs w:val="24"/>
          <w:lang w:val="it-IT" w:eastAsia="en-US"/>
        </w:rPr>
        <w:t>pārtikas ražošanu</w:t>
      </w:r>
      <w:r w:rsidRPr="00EB04F1">
        <w:rPr>
          <w:b/>
          <w:i/>
          <w:szCs w:val="24"/>
          <w:lang w:val="it-IT" w:eastAsia="en-US"/>
        </w:rPr>
        <w:t xml:space="preserve"> un mežu ilgtspējīga apsaimniekošanu</w:t>
      </w:r>
      <w:r w:rsidRPr="00EB04F1">
        <w:rPr>
          <w:szCs w:val="24"/>
          <w:lang w:val="it-IT" w:eastAsia="en-US"/>
        </w:rPr>
        <w:t>, vai šīs spējas zudumu ierobežo šādi:</w:t>
      </w:r>
      <w:r w:rsidR="00455113" w:rsidRPr="00EB04F1">
        <w:rPr>
          <w:b/>
          <w:szCs w:val="24"/>
          <w:lang w:val="it-IT" w:eastAsia="en-US"/>
        </w:rPr>
        <w:t xml:space="preserve"> [Gr. 128 un 254]</w:t>
      </w:r>
    </w:p>
    <w:p w14:paraId="1FBDF860" w14:textId="3A6A0EA7" w:rsidR="00DA4F3E" w:rsidRPr="00EB04F1" w:rsidRDefault="00DA4F3E" w:rsidP="00DA4F3E">
      <w:pPr>
        <w:spacing w:before="120" w:after="120" w:line="360" w:lineRule="auto"/>
        <w:ind w:left="1416" w:hanging="566"/>
        <w:rPr>
          <w:b/>
          <w:szCs w:val="24"/>
          <w:lang w:val="it-IT" w:eastAsia="en-US"/>
        </w:rPr>
      </w:pPr>
      <w:r w:rsidRPr="00EB04F1">
        <w:rPr>
          <w:szCs w:val="24"/>
          <w:lang w:val="it-IT" w:eastAsia="en-US"/>
        </w:rPr>
        <w:t>i)</w:t>
      </w:r>
      <w:r w:rsidRPr="00EB04F1">
        <w:rPr>
          <w:szCs w:val="24"/>
          <w:lang w:val="it-IT" w:eastAsia="en-US"/>
        </w:rPr>
        <w:tab/>
      </w:r>
      <w:r w:rsidRPr="00EB04F1">
        <w:rPr>
          <w:strike/>
          <w:szCs w:val="24"/>
          <w:lang w:val="it-IT" w:eastAsia="en-US"/>
        </w:rPr>
        <w:t>iespēju robežās</w:t>
      </w:r>
      <w:r w:rsidRPr="00EB04F1">
        <w:rPr>
          <w:b/>
          <w:i/>
          <w:szCs w:val="24"/>
          <w:lang w:val="it-IT" w:eastAsia="en-US"/>
        </w:rPr>
        <w:t>pēc iespējas</w:t>
      </w:r>
      <w:r w:rsidRPr="00EB04F1">
        <w:rPr>
          <w:szCs w:val="24"/>
          <w:lang w:val="it-IT" w:eastAsia="en-US"/>
        </w:rPr>
        <w:t xml:space="preserve"> samazina platību, ko skar zemes aizņemšana,</w:t>
      </w:r>
      <w:r w:rsidRPr="00EB04F1">
        <w:rPr>
          <w:strike/>
          <w:szCs w:val="24"/>
          <w:lang w:val="it-IT" w:eastAsia="en-US"/>
        </w:rPr>
        <w:t xml:space="preserve"> un</w:t>
      </w:r>
      <w:r w:rsidR="00455113" w:rsidRPr="00EB04F1">
        <w:rPr>
          <w:b/>
          <w:strike/>
          <w:szCs w:val="24"/>
          <w:lang w:val="it-IT" w:eastAsia="en-US"/>
        </w:rPr>
        <w:t xml:space="preserve"> </w:t>
      </w:r>
      <w:r w:rsidR="00455113" w:rsidRPr="00EB04F1">
        <w:rPr>
          <w:b/>
          <w:szCs w:val="24"/>
          <w:lang w:val="it-IT" w:eastAsia="en-US"/>
        </w:rPr>
        <w:t>[Gr. 129]</w:t>
      </w:r>
    </w:p>
    <w:p w14:paraId="55EE3F22" w14:textId="3AB10BAD"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ii)</w:t>
      </w:r>
      <w:r w:rsidRPr="00EB04F1">
        <w:rPr>
          <w:szCs w:val="24"/>
          <w:lang w:val="it-IT" w:eastAsia="en-US"/>
        </w:rPr>
        <w:tab/>
      </w:r>
      <w:r w:rsidRPr="00EB04F1">
        <w:rPr>
          <w:strike/>
          <w:szCs w:val="24"/>
          <w:lang w:val="it-IT" w:eastAsia="en-US"/>
        </w:rPr>
        <w:t>izraugās</w:t>
      </w:r>
      <w:r w:rsidRPr="00EB04F1">
        <w:rPr>
          <w:b/>
          <w:i/>
          <w:szCs w:val="24"/>
          <w:lang w:val="it-IT" w:eastAsia="en-US"/>
        </w:rPr>
        <w:t>par prioritāti izvirza</w:t>
      </w:r>
      <w:r w:rsidRPr="00EB04F1">
        <w:rPr>
          <w:szCs w:val="24"/>
          <w:lang w:val="it-IT" w:eastAsia="en-US"/>
        </w:rPr>
        <w:t xml:space="preserve"> apgabalus, kuros ekosistēmu pakalpojumu zudums būtu minimāls,</w:t>
      </w:r>
      <w:r w:rsidRPr="00EB04F1">
        <w:rPr>
          <w:strike/>
          <w:szCs w:val="24"/>
          <w:lang w:val="it-IT" w:eastAsia="en-US"/>
        </w:rPr>
        <w:t xml:space="preserve"> un</w:t>
      </w:r>
      <w:r w:rsidR="00455113" w:rsidRPr="00EB04F1">
        <w:rPr>
          <w:strike/>
          <w:szCs w:val="24"/>
          <w:lang w:val="it-IT" w:eastAsia="en-US"/>
        </w:rPr>
        <w:t xml:space="preserve"> </w:t>
      </w:r>
      <w:r w:rsidR="00455113" w:rsidRPr="00EB04F1">
        <w:rPr>
          <w:b/>
          <w:szCs w:val="24"/>
          <w:lang w:val="it-IT" w:eastAsia="en-US"/>
        </w:rPr>
        <w:t>[Gr. 130]</w:t>
      </w:r>
    </w:p>
    <w:p w14:paraId="2FF8E766" w14:textId="209018E2" w:rsidR="00DA4F3E" w:rsidRPr="00EB04F1" w:rsidRDefault="00DA4F3E" w:rsidP="00DA4F3E">
      <w:pPr>
        <w:spacing w:before="120" w:after="120" w:line="360" w:lineRule="auto"/>
        <w:ind w:left="1416" w:hanging="566"/>
        <w:rPr>
          <w:b/>
          <w:szCs w:val="24"/>
          <w:lang w:val="it-IT" w:eastAsia="en-US"/>
        </w:rPr>
      </w:pPr>
      <w:r w:rsidRPr="00EB04F1">
        <w:rPr>
          <w:szCs w:val="24"/>
          <w:lang w:val="it-IT" w:eastAsia="en-US"/>
        </w:rPr>
        <w:t>iii)</w:t>
      </w:r>
      <w:r w:rsidRPr="00EB04F1">
        <w:rPr>
          <w:szCs w:val="24"/>
          <w:lang w:val="it-IT" w:eastAsia="en-US"/>
        </w:rPr>
        <w:tab/>
        <w:t xml:space="preserve">zemi aizņem </w:t>
      </w:r>
      <w:r w:rsidRPr="00EB04F1">
        <w:rPr>
          <w:strike/>
          <w:szCs w:val="24"/>
          <w:lang w:val="it-IT" w:eastAsia="en-US"/>
        </w:rPr>
        <w:t>tā, lai minimalizētu negatīvo ietekmi uz augsni</w:t>
      </w:r>
      <w:r w:rsidRPr="00EB04F1">
        <w:rPr>
          <w:b/>
          <w:i/>
          <w:szCs w:val="24"/>
          <w:lang w:val="it-IT" w:eastAsia="en-US"/>
        </w:rPr>
        <w:t>saskaņā ar ilgtspējīgu attīstību, tostarp pēc iespējas saglabājot augsnes auglību, biodaudzveidību un ūdens caurlaidības, filtrēšanas un aizturēšanas spēju</w:t>
      </w:r>
      <w:r w:rsidRPr="00EB04F1">
        <w:rPr>
          <w:szCs w:val="24"/>
          <w:lang w:val="it-IT" w:eastAsia="en-US"/>
        </w:rPr>
        <w:t>;</w:t>
      </w:r>
      <w:r w:rsidR="00455113" w:rsidRPr="00EB04F1">
        <w:rPr>
          <w:b/>
          <w:szCs w:val="24"/>
          <w:lang w:val="it-IT" w:eastAsia="en-US"/>
        </w:rPr>
        <w:t xml:space="preserve"> [Gr. 131]</w:t>
      </w:r>
    </w:p>
    <w:p w14:paraId="44930935" w14:textId="77777777" w:rsidR="00455113" w:rsidRPr="00EB04F1" w:rsidRDefault="00455113">
      <w:pPr>
        <w:widowControl/>
        <w:rPr>
          <w:szCs w:val="24"/>
          <w:lang w:val="it-IT" w:eastAsia="en-US"/>
        </w:rPr>
      </w:pPr>
      <w:r w:rsidRPr="00EB04F1">
        <w:rPr>
          <w:szCs w:val="24"/>
          <w:lang w:val="it-IT" w:eastAsia="en-US"/>
        </w:rPr>
        <w:br w:type="page"/>
      </w:r>
    </w:p>
    <w:p w14:paraId="7AD20B0B" w14:textId="11E53E71"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lastRenderedPageBreak/>
        <w:t>b)</w:t>
      </w:r>
      <w:r w:rsidRPr="00EB04F1">
        <w:rPr>
          <w:szCs w:val="24"/>
          <w:lang w:val="it-IT" w:eastAsia="en-US"/>
        </w:rPr>
        <w:tab/>
      </w:r>
      <w:r w:rsidRPr="00EB04F1">
        <w:rPr>
          <w:strike/>
          <w:szCs w:val="24"/>
          <w:lang w:val="it-IT" w:eastAsia="en-US"/>
        </w:rPr>
        <w:t>cik vien</w:t>
      </w:r>
      <w:r w:rsidRPr="00EB04F1">
        <w:rPr>
          <w:b/>
          <w:i/>
          <w:szCs w:val="24"/>
          <w:lang w:val="it-IT" w:eastAsia="en-US"/>
        </w:rPr>
        <w:t>ja</w:t>
      </w:r>
      <w:r w:rsidRPr="00EB04F1">
        <w:rPr>
          <w:szCs w:val="24"/>
          <w:lang w:val="it-IT" w:eastAsia="en-US"/>
        </w:rPr>
        <w:t xml:space="preserve"> iespējams,</w:t>
      </w:r>
      <w:r w:rsidRPr="00EB04F1">
        <w:rPr>
          <w:b/>
          <w:i/>
          <w:szCs w:val="24"/>
          <w:lang w:val="it-IT" w:eastAsia="en-US"/>
        </w:rPr>
        <w:t xml:space="preserve"> maksimāli</w:t>
      </w:r>
      <w:r w:rsidRPr="00EB04F1">
        <w:rPr>
          <w:szCs w:val="24"/>
          <w:lang w:val="it-IT" w:eastAsia="en-US"/>
        </w:rPr>
        <w:t xml:space="preserve"> kompensē to, ka zūd augsnes spēja nodrošināt dažādus ekosistēmu pakalpojumus.</w:t>
      </w:r>
      <w:r w:rsidRPr="00EB04F1">
        <w:rPr>
          <w:b/>
          <w:i/>
          <w:szCs w:val="24"/>
          <w:lang w:val="it-IT" w:eastAsia="en-US"/>
        </w:rPr>
        <w:t xml:space="preserve"> Šāda kompensācija vajadzības gadījumā var notikt kopējā līmenī vai pārrobežu līmenī starp dalībvalstīm, ja augsnes rajona īpašības ir tādas pašas kā blakus esošajam augsnes rajonam kaimiņos esošā dalībvalstī vai kā pārrobežu augsnes rajonam.</w:t>
      </w:r>
      <w:r w:rsidR="00455113" w:rsidRPr="00EB04F1">
        <w:rPr>
          <w:b/>
          <w:szCs w:val="24"/>
          <w:lang w:val="it-IT" w:eastAsia="en-US"/>
        </w:rPr>
        <w:t xml:space="preserve"> [Gr. 132]</w:t>
      </w:r>
    </w:p>
    <w:p w14:paraId="66FEA0C7" w14:textId="4746B41C"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ba)</w:t>
      </w:r>
      <w:r w:rsidRPr="00EB04F1">
        <w:rPr>
          <w:szCs w:val="24"/>
          <w:lang w:val="it-IT" w:eastAsia="en-US"/>
        </w:rPr>
        <w:tab/>
      </w:r>
      <w:r w:rsidRPr="00EB04F1">
        <w:rPr>
          <w:b/>
          <w:i/>
          <w:szCs w:val="24"/>
          <w:lang w:val="it-IT" w:eastAsia="en-US"/>
        </w:rPr>
        <w:t>pieņem pasākumus, lai nodrošinātu taisnīgu kompensāciju zemes īpašniekiem zemes platību aizņemšanas gadījumā;</w:t>
      </w:r>
      <w:r w:rsidR="00455113" w:rsidRPr="00EB04F1">
        <w:rPr>
          <w:b/>
          <w:szCs w:val="24"/>
          <w:lang w:val="it-IT" w:eastAsia="en-US"/>
        </w:rPr>
        <w:t xml:space="preserve"> [Gr. 133]</w:t>
      </w:r>
    </w:p>
    <w:p w14:paraId="516ACED4" w14:textId="20C10B5C" w:rsidR="00455113" w:rsidRPr="00EB04F1" w:rsidRDefault="00DA4F3E" w:rsidP="00DA4F3E">
      <w:pPr>
        <w:spacing w:before="120" w:after="120" w:line="360" w:lineRule="auto"/>
        <w:ind w:left="850" w:hanging="850"/>
        <w:rPr>
          <w:b/>
          <w:szCs w:val="24"/>
          <w:lang w:val="it-IT" w:eastAsia="en-US"/>
        </w:rPr>
      </w:pPr>
      <w:r w:rsidRPr="00EB04F1">
        <w:rPr>
          <w:b/>
          <w:i/>
          <w:szCs w:val="24"/>
          <w:lang w:val="it-IT" w:eastAsia="en-US"/>
        </w:rPr>
        <w:t>bb)</w:t>
      </w:r>
      <w:r w:rsidRPr="00EB04F1">
        <w:rPr>
          <w:szCs w:val="24"/>
          <w:lang w:val="it-IT" w:eastAsia="en-US"/>
        </w:rPr>
        <w:tab/>
      </w:r>
      <w:r w:rsidRPr="00EB04F1">
        <w:rPr>
          <w:b/>
          <w:i/>
          <w:szCs w:val="24"/>
          <w:lang w:val="it-IT" w:eastAsia="en-US"/>
        </w:rPr>
        <w:t>ievieš pasākumus, lai nepieļautu vai ierobežotu zemes platību aizņemšanu, cita starpā kartējot pamestus degradētus un rūpnieciskus objektus un paredzot stimulus pamesto teritoriju ar noslēgtu augsni atjaunošanai un atkalizmantošanai</w:t>
      </w:r>
      <w:r w:rsidR="00455113" w:rsidRPr="00EB04F1">
        <w:rPr>
          <w:b/>
          <w:i/>
          <w:szCs w:val="24"/>
          <w:lang w:val="it-IT" w:eastAsia="en-US"/>
        </w:rPr>
        <w:t>.</w:t>
      </w:r>
      <w:r w:rsidR="00455113" w:rsidRPr="00EB04F1">
        <w:rPr>
          <w:b/>
          <w:szCs w:val="24"/>
          <w:lang w:val="it-IT" w:eastAsia="en-US"/>
        </w:rPr>
        <w:t xml:space="preserve"> [Gr. 134]</w:t>
      </w:r>
    </w:p>
    <w:p w14:paraId="28DD8424" w14:textId="77777777" w:rsidR="00455113" w:rsidRPr="00EB04F1" w:rsidRDefault="00455113">
      <w:pPr>
        <w:widowControl/>
        <w:rPr>
          <w:b/>
          <w:szCs w:val="24"/>
          <w:lang w:val="it-IT" w:eastAsia="en-US"/>
        </w:rPr>
      </w:pPr>
      <w:r w:rsidRPr="00EB04F1">
        <w:rPr>
          <w:b/>
          <w:szCs w:val="24"/>
          <w:lang w:val="it-IT" w:eastAsia="en-US"/>
        </w:rPr>
        <w:br w:type="page"/>
      </w:r>
    </w:p>
    <w:p w14:paraId="6A1773C4" w14:textId="77777777" w:rsidR="00DA4F3E" w:rsidRPr="00EB04F1" w:rsidRDefault="00DA4F3E" w:rsidP="00DA4F3E">
      <w:pPr>
        <w:spacing w:before="120" w:after="120" w:line="360" w:lineRule="auto"/>
        <w:ind w:left="850" w:hanging="850"/>
        <w:rPr>
          <w:b/>
          <w:szCs w:val="24"/>
          <w:lang w:val="it-IT" w:eastAsia="en-US"/>
        </w:rPr>
      </w:pPr>
    </w:p>
    <w:p w14:paraId="098D815F" w14:textId="77777777" w:rsidR="00DA4F3E" w:rsidRPr="00EB04F1" w:rsidRDefault="00DA4F3E" w:rsidP="00DA4F3E">
      <w:pPr>
        <w:spacing w:before="120" w:after="120" w:line="360" w:lineRule="auto"/>
        <w:jc w:val="center"/>
        <w:rPr>
          <w:szCs w:val="24"/>
          <w:lang w:val="it-IT" w:eastAsia="en-US"/>
        </w:rPr>
      </w:pPr>
      <w:r w:rsidRPr="00EB04F1">
        <w:rPr>
          <w:szCs w:val="24"/>
          <w:lang w:val="it-IT" w:eastAsia="en-US"/>
        </w:rPr>
        <w:t xml:space="preserve">IV nodaļa </w:t>
      </w:r>
      <w:r w:rsidRPr="00EB04F1">
        <w:rPr>
          <w:szCs w:val="24"/>
          <w:lang w:val="it-IT" w:eastAsia="en-US"/>
        </w:rPr>
        <w:br/>
        <w:t>Kontaminēti objekti</w:t>
      </w:r>
    </w:p>
    <w:p w14:paraId="14A8D1A3" w14:textId="77777777" w:rsidR="00DA4F3E" w:rsidRPr="00EB04F1" w:rsidRDefault="00DA4F3E" w:rsidP="00DA4F3E">
      <w:pPr>
        <w:spacing w:before="120" w:after="120" w:line="360" w:lineRule="auto"/>
        <w:jc w:val="center"/>
        <w:rPr>
          <w:szCs w:val="24"/>
          <w:lang w:val="it-IT" w:eastAsia="en-US"/>
        </w:rPr>
      </w:pPr>
      <w:r w:rsidRPr="00EB04F1">
        <w:rPr>
          <w:szCs w:val="24"/>
          <w:lang w:val="it-IT" w:eastAsia="en-US"/>
        </w:rPr>
        <w:t>12. pants</w:t>
      </w:r>
      <w:r w:rsidRPr="00EB04F1">
        <w:rPr>
          <w:szCs w:val="24"/>
          <w:lang w:val="it-IT" w:eastAsia="en-US"/>
        </w:rPr>
        <w:br/>
        <w:t>Riska izvērtēšanā balstīta pieeja</w:t>
      </w:r>
    </w:p>
    <w:p w14:paraId="2B7F0F91" w14:textId="11A950B9"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1.</w:t>
      </w:r>
      <w:r w:rsidRPr="00EB04F1">
        <w:rPr>
          <w:szCs w:val="24"/>
          <w:lang w:val="it-IT" w:eastAsia="en-US"/>
        </w:rPr>
        <w:tab/>
        <w:t>Dalībvalstis pārvalda</w:t>
      </w:r>
      <w:r w:rsidRPr="00EB04F1">
        <w:rPr>
          <w:b/>
          <w:i/>
          <w:szCs w:val="24"/>
          <w:lang w:val="it-IT" w:eastAsia="en-US"/>
        </w:rPr>
        <w:t xml:space="preserve"> un samazina</w:t>
      </w:r>
      <w:r w:rsidRPr="00EB04F1">
        <w:rPr>
          <w:szCs w:val="24"/>
          <w:lang w:val="it-IT" w:eastAsia="en-US"/>
        </w:rPr>
        <w:t xml:space="preserve"> potenciāli kontaminētu objektu un kontaminētu objektu radītos riskus cilvēka </w:t>
      </w:r>
      <w:r w:rsidRPr="00EB04F1">
        <w:rPr>
          <w:b/>
          <w:i/>
          <w:szCs w:val="24"/>
          <w:lang w:val="it-IT" w:eastAsia="en-US"/>
        </w:rPr>
        <w:t xml:space="preserve">un dzīvnieku </w:t>
      </w:r>
      <w:r w:rsidRPr="00EB04F1">
        <w:rPr>
          <w:szCs w:val="24"/>
          <w:lang w:val="it-IT" w:eastAsia="en-US"/>
        </w:rPr>
        <w:t>veselībai un videi un saglabā tos pieņemamā līmenī, ņemot vērā</w:t>
      </w:r>
      <w:r w:rsidRPr="00EB04F1">
        <w:rPr>
          <w:b/>
          <w:i/>
          <w:szCs w:val="24"/>
          <w:lang w:val="it-IT" w:eastAsia="en-US"/>
        </w:rPr>
        <w:t xml:space="preserve"> paredzēto augsnes izmantojumu, kā arī</w:t>
      </w:r>
      <w:r w:rsidRPr="00EB04F1">
        <w:rPr>
          <w:szCs w:val="24"/>
          <w:lang w:val="it-IT" w:eastAsia="en-US"/>
        </w:rPr>
        <w:t xml:space="preserve"> augsnes kontaminācijas un saskaņā ar 15. panta 4. punktu veikto riska mazināšanas pasākumu vidisko, sociālo un ekonomisko ietekmi.</w:t>
      </w:r>
      <w:r w:rsidR="00455113" w:rsidRPr="00EB04F1">
        <w:rPr>
          <w:b/>
          <w:szCs w:val="24"/>
          <w:lang w:val="it-IT" w:eastAsia="en-US"/>
        </w:rPr>
        <w:t xml:space="preserve"> [Gr. 135]</w:t>
      </w:r>
    </w:p>
    <w:p w14:paraId="4484EDBD"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2.</w:t>
      </w:r>
      <w:r w:rsidRPr="00EB04F1">
        <w:rPr>
          <w:szCs w:val="24"/>
          <w:lang w:val="it-IT" w:eastAsia="en-US"/>
        </w:rPr>
        <w:tab/>
        <w:t>Līdz … (PB: ierakstīt datumu, kas ir 4 gadus pēc šīs direktīvas spēkā stāšanās dienas) dalībvalstis izveido riska izvērtēšanā balstītu pieeju šādām vajadzībām:</w:t>
      </w:r>
    </w:p>
    <w:p w14:paraId="3AA1511D" w14:textId="278A72A5"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a)</w:t>
      </w:r>
      <w:r w:rsidRPr="00EB04F1">
        <w:rPr>
          <w:szCs w:val="24"/>
          <w:lang w:val="it-IT" w:eastAsia="en-US"/>
        </w:rPr>
        <w:tab/>
        <w:t>potenciāli kontaminētu objektu apzināšana saskaņā ar 13. pantu;</w:t>
      </w:r>
    </w:p>
    <w:p w14:paraId="59B19D20" w14:textId="055CE894"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b)</w:t>
      </w:r>
      <w:r w:rsidRPr="00EB04F1">
        <w:rPr>
          <w:szCs w:val="24"/>
          <w:lang w:val="it-IT" w:eastAsia="en-US"/>
        </w:rPr>
        <w:tab/>
        <w:t>potenciāli kontaminētu objektu izpēte saskaņā ar 14. pantu;</w:t>
      </w:r>
    </w:p>
    <w:p w14:paraId="0DE5BB6E" w14:textId="585337ED"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c)</w:t>
      </w:r>
      <w:r w:rsidRPr="00EB04F1">
        <w:rPr>
          <w:szCs w:val="24"/>
          <w:lang w:val="it-IT" w:eastAsia="en-US"/>
        </w:rPr>
        <w:tab/>
        <w:t>kontaminētu objektu apsaimniekošana saskaņā ar 15. pantu.</w:t>
      </w:r>
    </w:p>
    <w:p w14:paraId="7DBDC71F" w14:textId="77777777" w:rsidR="00455113" w:rsidRPr="00EB04F1" w:rsidRDefault="00455113">
      <w:pPr>
        <w:widowControl/>
        <w:rPr>
          <w:szCs w:val="24"/>
          <w:lang w:val="it-IT" w:eastAsia="en-US"/>
        </w:rPr>
      </w:pPr>
      <w:r w:rsidRPr="00EB04F1">
        <w:rPr>
          <w:szCs w:val="24"/>
          <w:lang w:val="it-IT" w:eastAsia="en-US"/>
        </w:rPr>
        <w:br w:type="page"/>
      </w:r>
    </w:p>
    <w:p w14:paraId="41542687" w14:textId="0B9567DA"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lastRenderedPageBreak/>
        <w:t>3.</w:t>
      </w:r>
      <w:r w:rsidRPr="00EB04F1">
        <w:rPr>
          <w:szCs w:val="24"/>
          <w:lang w:val="it-IT" w:eastAsia="en-US"/>
        </w:rPr>
        <w:tab/>
        <w:t>Šā panta 2. punktā noteiktā prasība neskar stingrākas prasības, kas izriet no Savienības vai valsts tiesību aktiem.</w:t>
      </w:r>
    </w:p>
    <w:p w14:paraId="5456F264" w14:textId="35C38050"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4.</w:t>
      </w:r>
      <w:r w:rsidRPr="00EB04F1">
        <w:rPr>
          <w:szCs w:val="24"/>
          <w:lang w:val="it-IT" w:eastAsia="en-US"/>
        </w:rPr>
        <w:tab/>
      </w:r>
      <w:r w:rsidRPr="00EB04F1">
        <w:rPr>
          <w:strike/>
          <w:szCs w:val="24"/>
          <w:lang w:val="it-IT" w:eastAsia="en-US"/>
        </w:rPr>
        <w:t>Attiecīgajai sabiedrības daļai</w:t>
      </w:r>
      <w:r w:rsidRPr="00EB04F1">
        <w:rPr>
          <w:b/>
          <w:i/>
          <w:szCs w:val="24"/>
          <w:lang w:val="it-IT" w:eastAsia="en-US"/>
        </w:rPr>
        <w:t>Sabiedrībai</w:t>
      </w:r>
      <w:r w:rsidRPr="00EB04F1">
        <w:rPr>
          <w:szCs w:val="24"/>
          <w:lang w:val="it-IT" w:eastAsia="en-US"/>
        </w:rPr>
        <w:t xml:space="preserve"> tiek dotas agrīnas un reālas iespējas</w:t>
      </w:r>
      <w:r w:rsidR="00455113" w:rsidRPr="00EB04F1">
        <w:rPr>
          <w:b/>
          <w:szCs w:val="24"/>
          <w:lang w:val="it-IT" w:eastAsia="en-US"/>
        </w:rPr>
        <w:t xml:space="preserve"> [Gr. 136]</w:t>
      </w:r>
    </w:p>
    <w:p w14:paraId="269DCF01" w14:textId="64E7F877" w:rsidR="00DA4F3E" w:rsidRPr="00EB04F1" w:rsidRDefault="00DA4F3E" w:rsidP="00DA4F3E">
      <w:pPr>
        <w:spacing w:before="120" w:after="120" w:line="360" w:lineRule="auto"/>
        <w:ind w:left="1416" w:hanging="566"/>
        <w:rPr>
          <w:b/>
          <w:szCs w:val="24"/>
          <w:lang w:val="it-IT" w:eastAsia="en-US"/>
        </w:rPr>
      </w:pPr>
      <w:r w:rsidRPr="00EB04F1">
        <w:rPr>
          <w:szCs w:val="24"/>
          <w:lang w:val="it-IT" w:eastAsia="en-US"/>
        </w:rPr>
        <w:t>a)</w:t>
      </w:r>
      <w:r w:rsidRPr="00EB04F1">
        <w:rPr>
          <w:szCs w:val="24"/>
          <w:lang w:val="it-IT" w:eastAsia="en-US"/>
        </w:rPr>
        <w:tab/>
        <w:t>piedalīties šajā pantā norādītās riska izvērtēšanā balstītās pieejas izveidē un konkrētā piemērošanā</w:t>
      </w:r>
      <w:r w:rsidRPr="00EB04F1">
        <w:rPr>
          <w:b/>
          <w:i/>
          <w:szCs w:val="24"/>
          <w:lang w:val="it-IT" w:eastAsia="en-US"/>
        </w:rPr>
        <w:t>, apzināt potenciāli kontaminētus objektus saskaņā ar 13. pantu, izpētīt potenciāli kontaminētus objektus saskaņā ar 14. pantu un novērtēt un apsaimniekot kontaminētus objektus saskaņā ar 15. pantu, kad vēl ir pieejami visi varianti</w:t>
      </w:r>
      <w:r w:rsidRPr="00EB04F1">
        <w:rPr>
          <w:szCs w:val="24"/>
          <w:lang w:val="it-IT" w:eastAsia="en-US"/>
        </w:rPr>
        <w:t>;</w:t>
      </w:r>
      <w:r w:rsidR="00455113" w:rsidRPr="00EB04F1">
        <w:rPr>
          <w:b/>
          <w:szCs w:val="24"/>
          <w:lang w:val="it-IT" w:eastAsia="en-US"/>
        </w:rPr>
        <w:t xml:space="preserve"> [Gr. 137]</w:t>
      </w:r>
    </w:p>
    <w:p w14:paraId="0F1B29B1" w14:textId="4A5CD252" w:rsidR="00DA4F3E" w:rsidRPr="00EB04F1" w:rsidRDefault="00DA4F3E" w:rsidP="00DA4F3E">
      <w:pPr>
        <w:spacing w:before="120" w:after="120" w:line="360" w:lineRule="auto"/>
        <w:ind w:left="1416" w:hanging="566"/>
        <w:rPr>
          <w:b/>
          <w:szCs w:val="24"/>
          <w:lang w:val="it-IT" w:eastAsia="en-US"/>
        </w:rPr>
      </w:pPr>
      <w:r w:rsidRPr="00EB04F1">
        <w:rPr>
          <w:szCs w:val="24"/>
          <w:lang w:val="it-IT" w:eastAsia="en-US"/>
        </w:rPr>
        <w:t>b)</w:t>
      </w:r>
      <w:r w:rsidRPr="00EB04F1">
        <w:rPr>
          <w:szCs w:val="24"/>
          <w:lang w:val="it-IT" w:eastAsia="en-US"/>
        </w:rPr>
        <w:tab/>
      </w:r>
      <w:r w:rsidRPr="00EB04F1">
        <w:rPr>
          <w:b/>
          <w:i/>
          <w:szCs w:val="24"/>
          <w:lang w:val="it-IT" w:eastAsia="en-US"/>
        </w:rPr>
        <w:t xml:space="preserve">jebkurā brīdī </w:t>
      </w:r>
      <w:r w:rsidRPr="00EB04F1">
        <w:rPr>
          <w:szCs w:val="24"/>
          <w:lang w:val="it-IT" w:eastAsia="en-US"/>
        </w:rPr>
        <w:t>sniegt informāciju</w:t>
      </w:r>
      <w:r w:rsidRPr="00EB04F1">
        <w:rPr>
          <w:b/>
          <w:i/>
          <w:szCs w:val="24"/>
          <w:lang w:val="it-IT" w:eastAsia="en-US"/>
        </w:rPr>
        <w:t xml:space="preserve"> un pierādījumus</w:t>
      </w:r>
      <w:r w:rsidRPr="00EB04F1">
        <w:rPr>
          <w:szCs w:val="24"/>
          <w:lang w:val="it-IT" w:eastAsia="en-US"/>
        </w:rPr>
        <w:t xml:space="preserve">, kas ir </w:t>
      </w:r>
      <w:r w:rsidRPr="00EB04F1">
        <w:rPr>
          <w:strike/>
          <w:szCs w:val="24"/>
          <w:lang w:val="it-IT" w:eastAsia="en-US"/>
        </w:rPr>
        <w:t>relevanta potenciāli kontaminētu objektu apzināšanai saskaņā ar 13. pantu, potenciāli kontaminētu objektu izpētei saskaņā ar 14. pantu un kontaminētu objektu apsaimniekošanai saskaņā ar 15. pantu</w:t>
      </w:r>
      <w:r w:rsidRPr="00EB04F1">
        <w:rPr>
          <w:b/>
          <w:i/>
          <w:szCs w:val="24"/>
          <w:lang w:val="it-IT" w:eastAsia="en-US"/>
        </w:rPr>
        <w:t>relevanti saistībā ar a) apakšpunktā minētajām darbībām, piemēram, cilvēku biomonitoringa vai vides monitoringa datus</w:t>
      </w:r>
      <w:r w:rsidRPr="00EB04F1">
        <w:rPr>
          <w:szCs w:val="24"/>
          <w:lang w:val="it-IT" w:eastAsia="en-US"/>
        </w:rPr>
        <w:t>;</w:t>
      </w:r>
      <w:r w:rsidR="00455113" w:rsidRPr="00EB04F1">
        <w:rPr>
          <w:b/>
          <w:szCs w:val="24"/>
          <w:lang w:val="it-IT" w:eastAsia="en-US"/>
        </w:rPr>
        <w:t xml:space="preserve"> [Gr. 138]</w:t>
      </w:r>
    </w:p>
    <w:p w14:paraId="201B13FD" w14:textId="77777777"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c)</w:t>
      </w:r>
      <w:r w:rsidRPr="00EB04F1">
        <w:rPr>
          <w:szCs w:val="24"/>
          <w:lang w:val="it-IT" w:eastAsia="en-US"/>
        </w:rPr>
        <w:tab/>
        <w:t>pieprasīt labot informāciju par kontaminētiem objektiem un potenciāli kontaminētiem objektiem, kas saskaņā ar 16. pantu iekļauta reģistrā.</w:t>
      </w:r>
    </w:p>
    <w:p w14:paraId="4782FE3A" w14:textId="77777777" w:rsidR="00455113" w:rsidRPr="00EB04F1" w:rsidRDefault="00455113">
      <w:pPr>
        <w:widowControl/>
        <w:rPr>
          <w:b/>
          <w:i/>
          <w:szCs w:val="24"/>
          <w:lang w:val="it-IT" w:eastAsia="en-US"/>
        </w:rPr>
      </w:pPr>
      <w:r w:rsidRPr="00EB04F1">
        <w:rPr>
          <w:b/>
          <w:i/>
          <w:szCs w:val="24"/>
          <w:lang w:val="it-IT" w:eastAsia="en-US"/>
        </w:rPr>
        <w:br w:type="page"/>
      </w:r>
    </w:p>
    <w:p w14:paraId="49DA9C96" w14:textId="207C614B"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lastRenderedPageBreak/>
        <w:t>4</w:t>
      </w:r>
      <w:r w:rsidR="00455113" w:rsidRPr="00EB04F1">
        <w:rPr>
          <w:b/>
          <w:i/>
          <w:szCs w:val="24"/>
          <w:lang w:val="it-IT" w:eastAsia="en-US"/>
        </w:rPr>
        <w:t>.</w:t>
      </w:r>
      <w:r w:rsidRPr="00EB04F1">
        <w:rPr>
          <w:b/>
          <w:i/>
          <w:szCs w:val="24"/>
          <w:lang w:val="it-IT" w:eastAsia="en-US"/>
        </w:rPr>
        <w:t>a</w:t>
      </w:r>
      <w:r w:rsidRPr="00EB04F1">
        <w:rPr>
          <w:szCs w:val="24"/>
          <w:lang w:val="it-IT" w:eastAsia="en-US"/>
        </w:rPr>
        <w:tab/>
      </w:r>
      <w:r w:rsidRPr="00EB04F1">
        <w:rPr>
          <w:b/>
          <w:i/>
          <w:szCs w:val="24"/>
          <w:lang w:val="it-IT" w:eastAsia="en-US"/>
        </w:rPr>
        <w:t>Panta 4. punkta nolūkā dalībvalstis nodrošina visas relevantās informācijas sniegšanu sabiedrībai savlaicīgi, pienācīgi un efektīvi, cita starpā izmantojot publiskus paziņojumus un elektroniskos medijus.</w:t>
      </w:r>
      <w:r w:rsidR="00455113" w:rsidRPr="00EB04F1">
        <w:rPr>
          <w:b/>
          <w:szCs w:val="24"/>
          <w:lang w:val="it-IT" w:eastAsia="en-US"/>
        </w:rPr>
        <w:t xml:space="preserve"> [Gr. 139]</w:t>
      </w:r>
    </w:p>
    <w:p w14:paraId="62B611DD" w14:textId="2BC37C3D"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4</w:t>
      </w:r>
      <w:r w:rsidR="00455113" w:rsidRPr="00EB04F1">
        <w:rPr>
          <w:b/>
          <w:i/>
          <w:szCs w:val="24"/>
          <w:lang w:val="it-IT" w:eastAsia="en-US"/>
        </w:rPr>
        <w:t>.</w:t>
      </w:r>
      <w:r w:rsidRPr="00EB04F1">
        <w:rPr>
          <w:b/>
          <w:i/>
          <w:szCs w:val="24"/>
          <w:lang w:val="it-IT" w:eastAsia="en-US"/>
        </w:rPr>
        <w:t>b</w:t>
      </w:r>
      <w:r w:rsidRPr="00EB04F1">
        <w:rPr>
          <w:szCs w:val="24"/>
          <w:lang w:val="it-IT" w:eastAsia="en-US"/>
        </w:rPr>
        <w:tab/>
      </w:r>
      <w:r w:rsidRPr="00EB04F1">
        <w:rPr>
          <w:b/>
          <w:i/>
          <w:szCs w:val="24"/>
          <w:lang w:val="it-IT" w:eastAsia="en-US"/>
        </w:rPr>
        <w:t>Dalībvalstis pienācīgi ņem vērā saskaņā ar 4. punktu sniegto informāciju, kad tās īsteno šīs nodaļas noteikumus un attiecībā uz I pielikumā uzskaitītajiem augsnes kontaminācijas deskriptoriem.</w:t>
      </w:r>
      <w:r w:rsidR="00455113" w:rsidRPr="00EB04F1">
        <w:rPr>
          <w:b/>
          <w:szCs w:val="24"/>
          <w:lang w:val="it-IT" w:eastAsia="en-US"/>
        </w:rPr>
        <w:t xml:space="preserve"> [Gr. 140]</w:t>
      </w:r>
    </w:p>
    <w:p w14:paraId="7DD83049" w14:textId="56C8B585"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4</w:t>
      </w:r>
      <w:r w:rsidR="00455113" w:rsidRPr="00EB04F1">
        <w:rPr>
          <w:b/>
          <w:i/>
          <w:szCs w:val="24"/>
          <w:lang w:val="it-IT" w:eastAsia="en-US"/>
        </w:rPr>
        <w:t>.</w:t>
      </w:r>
      <w:r w:rsidRPr="00EB04F1">
        <w:rPr>
          <w:b/>
          <w:i/>
          <w:szCs w:val="24"/>
          <w:lang w:val="it-IT" w:eastAsia="en-US"/>
        </w:rPr>
        <w:t>c</w:t>
      </w:r>
      <w:r w:rsidRPr="00EB04F1">
        <w:rPr>
          <w:szCs w:val="24"/>
          <w:lang w:val="it-IT" w:eastAsia="en-US"/>
        </w:rPr>
        <w:tab/>
      </w:r>
      <w:r w:rsidRPr="00EB04F1">
        <w:rPr>
          <w:b/>
          <w:i/>
          <w:szCs w:val="24"/>
          <w:lang w:val="it-IT" w:eastAsia="en-US"/>
        </w:rPr>
        <w:t>Ja pierādījumi liecina plašu izkliedētu augsnes piesārņojumu vai eksponētību attiecīgajai vielai vai maisījumam caur augsni, kompetentā iestāde sāk riska pārvaldības procesu. Ja pierādījumi liecina, ka trūkst informācijas par risku cilvēka vai dzīvnieku veselībai vai videi, ko rada augsnē esoša bīstama viela vai maisījums, kompetentā iestāde veic papildu izpēti, lai vajadzības gadījumā saskaņā ar piesardzības principu veiktu riska pārvaldības pasākumus.</w:t>
      </w:r>
      <w:r w:rsidR="00455113" w:rsidRPr="00EB04F1">
        <w:rPr>
          <w:b/>
          <w:szCs w:val="24"/>
          <w:lang w:val="it-IT" w:eastAsia="en-US"/>
        </w:rPr>
        <w:t xml:space="preserve"> [Gr. 141]</w:t>
      </w:r>
    </w:p>
    <w:p w14:paraId="69C15B06" w14:textId="6337DAFC"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4</w:t>
      </w:r>
      <w:r w:rsidR="00455113" w:rsidRPr="00EB04F1">
        <w:rPr>
          <w:b/>
          <w:i/>
          <w:szCs w:val="24"/>
          <w:lang w:val="it-IT" w:eastAsia="en-US"/>
        </w:rPr>
        <w:t>.</w:t>
      </w:r>
      <w:r w:rsidRPr="00EB04F1">
        <w:rPr>
          <w:b/>
          <w:i/>
          <w:szCs w:val="24"/>
          <w:lang w:val="it-IT" w:eastAsia="en-US"/>
        </w:rPr>
        <w:t>d</w:t>
      </w:r>
      <w:r w:rsidRPr="00EB04F1">
        <w:rPr>
          <w:szCs w:val="24"/>
          <w:lang w:val="it-IT" w:eastAsia="en-US"/>
        </w:rPr>
        <w:tab/>
      </w:r>
      <w:r w:rsidRPr="00EB04F1">
        <w:rPr>
          <w:b/>
          <w:i/>
          <w:szCs w:val="24"/>
          <w:lang w:val="it-IT" w:eastAsia="en-US"/>
        </w:rPr>
        <w:t xml:space="preserve">Dalībvalstis nekavējoties informē sabiedrību par jebkuru pieņemto lēmumu vai pasākumu saskaņā ar 4. un 4.c punktu </w:t>
      </w:r>
      <w:proofErr w:type="gramStart"/>
      <w:r w:rsidRPr="00EB04F1">
        <w:rPr>
          <w:b/>
          <w:i/>
          <w:szCs w:val="24"/>
          <w:lang w:val="it-IT" w:eastAsia="en-US"/>
        </w:rPr>
        <w:t>un par</w:t>
      </w:r>
      <w:proofErr w:type="gramEnd"/>
      <w:r w:rsidRPr="00EB04F1">
        <w:rPr>
          <w:b/>
          <w:i/>
          <w:szCs w:val="24"/>
          <w:lang w:val="it-IT" w:eastAsia="en-US"/>
        </w:rPr>
        <w:t xml:space="preserve"> lēmuma pamatā esošajiem iemesliem un apsvērumiem, tostarp paskaidrojumu par to, kā tika ņemta vērā informācija.</w:t>
      </w:r>
      <w:r w:rsidR="00455113" w:rsidRPr="00EB04F1">
        <w:rPr>
          <w:b/>
          <w:szCs w:val="24"/>
          <w:lang w:val="it-IT" w:eastAsia="en-US"/>
        </w:rPr>
        <w:t xml:space="preserve"> [Gr. 142]</w:t>
      </w:r>
    </w:p>
    <w:p w14:paraId="4CD769C0" w14:textId="77777777" w:rsidR="00455113" w:rsidRPr="00EB04F1" w:rsidRDefault="00455113">
      <w:pPr>
        <w:widowControl/>
        <w:rPr>
          <w:szCs w:val="24"/>
          <w:lang w:val="it-IT" w:eastAsia="en-US"/>
        </w:rPr>
      </w:pPr>
      <w:r w:rsidRPr="00EB04F1">
        <w:rPr>
          <w:szCs w:val="24"/>
          <w:lang w:val="it-IT" w:eastAsia="en-US"/>
        </w:rPr>
        <w:br w:type="page"/>
      </w:r>
    </w:p>
    <w:p w14:paraId="39CDF4C9" w14:textId="70D8EBB5"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13. pants</w:t>
      </w:r>
      <w:r w:rsidRPr="00EB04F1">
        <w:rPr>
          <w:szCs w:val="24"/>
          <w:lang w:val="it-IT" w:eastAsia="en-US"/>
        </w:rPr>
        <w:br/>
        <w:t>Potenciāli kontaminētu objektu apzināšana</w:t>
      </w:r>
    </w:p>
    <w:p w14:paraId="2D34834F" w14:textId="151F4715"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1.</w:t>
      </w:r>
      <w:r w:rsidRPr="00EB04F1">
        <w:rPr>
          <w:szCs w:val="24"/>
          <w:lang w:val="it-IT" w:eastAsia="en-US"/>
        </w:rPr>
        <w:tab/>
        <w:t xml:space="preserve">Dalībvalstis, balstoties uz pierādījumiem, kas ievākti ar visiem </w:t>
      </w:r>
      <w:r w:rsidRPr="00EB04F1">
        <w:rPr>
          <w:strike/>
          <w:szCs w:val="24"/>
          <w:lang w:val="it-IT" w:eastAsia="en-US"/>
        </w:rPr>
        <w:t>pieejamajiem</w:t>
      </w:r>
      <w:r w:rsidRPr="00EB04F1">
        <w:rPr>
          <w:b/>
          <w:i/>
          <w:szCs w:val="24"/>
          <w:lang w:val="it-IT" w:eastAsia="en-US"/>
        </w:rPr>
        <w:t>atbilstīgajiem</w:t>
      </w:r>
      <w:r w:rsidRPr="00EB04F1">
        <w:rPr>
          <w:szCs w:val="24"/>
          <w:lang w:val="it-IT" w:eastAsia="en-US"/>
        </w:rPr>
        <w:t xml:space="preserve"> līdzekļiem</w:t>
      </w:r>
      <w:r w:rsidRPr="00EB04F1">
        <w:rPr>
          <w:b/>
          <w:i/>
          <w:szCs w:val="24"/>
          <w:lang w:val="it-IT" w:eastAsia="en-US"/>
        </w:rPr>
        <w:t>, cita starpā izmantojot iedzīvotāju ieguldījumu un noteiktās procedūras</w:t>
      </w:r>
      <w:r w:rsidRPr="00EB04F1">
        <w:rPr>
          <w:szCs w:val="24"/>
          <w:lang w:val="it-IT" w:eastAsia="en-US"/>
        </w:rPr>
        <w:t>, sistemātiski un aktīvi apzina visus objektus, kuros ir aizdomas par augsnes kontamināciju (</w:t>
      </w:r>
      <w:r w:rsidRPr="00EB04F1">
        <w:rPr>
          <w:strike/>
          <w:szCs w:val="24"/>
          <w:lang w:val="it-IT" w:eastAsia="en-US"/>
        </w:rPr>
        <w:t>“</w:t>
      </w:r>
      <w:r w:rsidRPr="00EB04F1">
        <w:rPr>
          <w:b/>
          <w:i/>
          <w:szCs w:val="24"/>
          <w:lang w:val="it-IT" w:eastAsia="en-US"/>
        </w:rPr>
        <w:t>"</w:t>
      </w:r>
      <w:r w:rsidRPr="00EB04F1">
        <w:rPr>
          <w:szCs w:val="24"/>
          <w:lang w:val="it-IT" w:eastAsia="en-US"/>
        </w:rPr>
        <w:t>potenciāli kontaminēti objekti</w:t>
      </w:r>
      <w:r w:rsidRPr="00EB04F1">
        <w:rPr>
          <w:strike/>
          <w:szCs w:val="24"/>
          <w:lang w:val="it-IT" w:eastAsia="en-US"/>
        </w:rPr>
        <w:t>”</w:t>
      </w:r>
      <w:r w:rsidRPr="00EB04F1">
        <w:rPr>
          <w:b/>
          <w:i/>
          <w:szCs w:val="24"/>
          <w:lang w:val="it-IT" w:eastAsia="en-US"/>
        </w:rPr>
        <w:t>"</w:t>
      </w:r>
      <w:r w:rsidRPr="00EB04F1">
        <w:rPr>
          <w:szCs w:val="24"/>
          <w:lang w:val="it-IT" w:eastAsia="en-US"/>
        </w:rPr>
        <w:t>).</w:t>
      </w:r>
      <w:r w:rsidR="00455113" w:rsidRPr="00EB04F1">
        <w:rPr>
          <w:b/>
          <w:szCs w:val="24"/>
          <w:lang w:val="it-IT" w:eastAsia="en-US"/>
        </w:rPr>
        <w:t xml:space="preserve"> [Gr. 143]</w:t>
      </w:r>
    </w:p>
    <w:p w14:paraId="529E41B1"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2.</w:t>
      </w:r>
      <w:r w:rsidRPr="00EB04F1">
        <w:rPr>
          <w:szCs w:val="24"/>
          <w:lang w:val="it-IT" w:eastAsia="en-US"/>
        </w:rPr>
        <w:tab/>
        <w:t>Nosakot potenciāli kontaminētos objektus, dalībvalstis ņem vērā šādus kritērijus:</w:t>
      </w:r>
    </w:p>
    <w:p w14:paraId="1C4B14E5" w14:textId="6BF6B2DD"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a)</w:t>
      </w:r>
      <w:r w:rsidRPr="00EB04F1">
        <w:rPr>
          <w:szCs w:val="24"/>
          <w:lang w:val="it-IT" w:eastAsia="en-US"/>
        </w:rPr>
        <w:tab/>
        <w:t>aktīva vai neaktīva potenciāli kontaminējoša darbība;</w:t>
      </w:r>
    </w:p>
    <w:p w14:paraId="076D56C2" w14:textId="7238B800"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b)</w:t>
      </w:r>
      <w:r w:rsidRPr="00EB04F1">
        <w:rPr>
          <w:szCs w:val="24"/>
          <w:lang w:val="it-IT" w:eastAsia="en-US"/>
        </w:rPr>
        <w:tab/>
        <w:t>kādas Direktīvas 2010/75/ES I pielikumā norādītās darbības veikšana;</w:t>
      </w:r>
    </w:p>
    <w:p w14:paraId="08A6017C" w14:textId="04F7D19D"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c)</w:t>
      </w:r>
      <w:r w:rsidRPr="00EB04F1">
        <w:rPr>
          <w:szCs w:val="24"/>
          <w:lang w:val="it-IT" w:eastAsia="en-US"/>
        </w:rPr>
        <w:tab/>
        <w:t>kāda Eiropas Parlamenta un Padomes Direktīva 2012/18/ES</w:t>
      </w:r>
      <w:r w:rsidRPr="00EB04F1">
        <w:rPr>
          <w:szCs w:val="24"/>
          <w:vertAlign w:val="superscript"/>
          <w:lang w:val="en-GB" w:eastAsia="en-US"/>
        </w:rPr>
        <w:footnoteReference w:id="51"/>
      </w:r>
      <w:r w:rsidRPr="00EB04F1">
        <w:rPr>
          <w:szCs w:val="24"/>
          <w:lang w:val="it-IT" w:eastAsia="en-US"/>
        </w:rPr>
        <w:t xml:space="preserve"> minētā uzņēmuma darbība;</w:t>
      </w:r>
    </w:p>
    <w:p w14:paraId="63939D94" w14:textId="59AE4497" w:rsidR="00DA4F3E" w:rsidRPr="00EB04F1" w:rsidRDefault="00DA4F3E" w:rsidP="00DA4F3E">
      <w:pPr>
        <w:spacing w:before="120" w:after="120" w:line="360" w:lineRule="auto"/>
        <w:ind w:left="1416" w:hanging="566"/>
        <w:rPr>
          <w:b/>
          <w:szCs w:val="24"/>
          <w:lang w:val="it-IT" w:eastAsia="en-US"/>
        </w:rPr>
      </w:pPr>
      <w:r w:rsidRPr="00EB04F1">
        <w:rPr>
          <w:strike/>
          <w:szCs w:val="24"/>
          <w:lang w:val="it-IT" w:eastAsia="en-US"/>
        </w:rPr>
        <w:t>d)</w:t>
      </w:r>
      <w:r w:rsidRPr="00EB04F1">
        <w:rPr>
          <w:szCs w:val="24"/>
          <w:lang w:val="it-IT" w:eastAsia="en-US"/>
        </w:rPr>
        <w:tab/>
      </w:r>
      <w:r w:rsidRPr="00EB04F1">
        <w:rPr>
          <w:strike/>
          <w:szCs w:val="24"/>
          <w:lang w:val="it-IT" w:eastAsia="en-US"/>
        </w:rPr>
        <w:t>kādas Eiropas Parlamenta un Padomes Direktīvas 2004/35/EK</w:t>
      </w:r>
      <w:r w:rsidRPr="00EB04F1">
        <w:rPr>
          <w:strike/>
          <w:szCs w:val="24"/>
          <w:vertAlign w:val="superscript"/>
          <w:lang w:val="en-GB" w:eastAsia="en-US"/>
        </w:rPr>
        <w:footnoteReference w:id="52"/>
      </w:r>
      <w:r w:rsidRPr="00EB04F1">
        <w:rPr>
          <w:strike/>
          <w:szCs w:val="24"/>
          <w:lang w:val="it-IT" w:eastAsia="en-US"/>
        </w:rPr>
        <w:t xml:space="preserve"> III pielikumā minētās darbības veikšana;</w:t>
      </w:r>
      <w:r w:rsidR="00455113" w:rsidRPr="00EB04F1">
        <w:rPr>
          <w:b/>
          <w:strike/>
          <w:szCs w:val="24"/>
          <w:lang w:val="it-IT" w:eastAsia="en-US"/>
        </w:rPr>
        <w:t xml:space="preserve"> </w:t>
      </w:r>
      <w:r w:rsidR="00455113" w:rsidRPr="00EB04F1">
        <w:rPr>
          <w:b/>
          <w:szCs w:val="24"/>
          <w:lang w:val="it-IT" w:eastAsia="en-US"/>
        </w:rPr>
        <w:t>[Gr. 144]</w:t>
      </w:r>
    </w:p>
    <w:p w14:paraId="31112510" w14:textId="21A62B32"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e)</w:t>
      </w:r>
      <w:r w:rsidRPr="00EB04F1">
        <w:rPr>
          <w:szCs w:val="24"/>
          <w:lang w:val="it-IT" w:eastAsia="en-US"/>
        </w:rPr>
        <w:tab/>
        <w:t>potenciāli kontaminējoša avārija, nelaime, katastrofa, incidents vai noplūde;</w:t>
      </w:r>
    </w:p>
    <w:p w14:paraId="0D8C6208" w14:textId="77777777" w:rsidR="00455113" w:rsidRPr="00EB04F1" w:rsidRDefault="00455113">
      <w:pPr>
        <w:widowControl/>
        <w:rPr>
          <w:szCs w:val="24"/>
          <w:lang w:val="it-IT" w:eastAsia="en-US"/>
        </w:rPr>
      </w:pPr>
      <w:r w:rsidRPr="00EB04F1">
        <w:rPr>
          <w:szCs w:val="24"/>
          <w:lang w:val="it-IT" w:eastAsia="en-US"/>
        </w:rPr>
        <w:br w:type="page"/>
      </w:r>
    </w:p>
    <w:p w14:paraId="79C798AC" w14:textId="660713F3"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lastRenderedPageBreak/>
        <w:t>f)</w:t>
      </w:r>
      <w:r w:rsidRPr="00EB04F1">
        <w:rPr>
          <w:szCs w:val="24"/>
          <w:lang w:val="it-IT" w:eastAsia="en-US"/>
        </w:rPr>
        <w:tab/>
        <w:t>jebkāds cits notikums, kas varētu augsni kontaminēt;</w:t>
      </w:r>
    </w:p>
    <w:p w14:paraId="7938F1B9" w14:textId="586381B9" w:rsidR="00DA4F3E" w:rsidRPr="00EB04F1" w:rsidRDefault="00DA4F3E" w:rsidP="00DA4F3E">
      <w:pPr>
        <w:spacing w:before="120" w:after="120" w:line="360" w:lineRule="auto"/>
        <w:ind w:left="1416" w:hanging="566"/>
        <w:rPr>
          <w:b/>
          <w:szCs w:val="24"/>
          <w:lang w:val="it-IT" w:eastAsia="en-US"/>
        </w:rPr>
      </w:pPr>
      <w:r w:rsidRPr="00EB04F1">
        <w:rPr>
          <w:b/>
          <w:i/>
          <w:szCs w:val="24"/>
          <w:lang w:val="it-IT" w:eastAsia="en-US"/>
        </w:rPr>
        <w:t>fa)</w:t>
      </w:r>
      <w:r w:rsidRPr="00EB04F1">
        <w:rPr>
          <w:szCs w:val="24"/>
          <w:lang w:val="it-IT" w:eastAsia="en-US"/>
        </w:rPr>
        <w:tab/>
      </w:r>
      <w:r w:rsidRPr="00EB04F1">
        <w:rPr>
          <w:b/>
          <w:i/>
          <w:szCs w:val="24"/>
          <w:lang w:val="it-IT" w:eastAsia="en-US"/>
        </w:rPr>
        <w:t>jebkādas dzeramā ūdens ieguvei izmantotās teritorijas;</w:t>
      </w:r>
      <w:r w:rsidR="00455113" w:rsidRPr="00EB04F1">
        <w:rPr>
          <w:b/>
          <w:szCs w:val="24"/>
          <w:lang w:val="it-IT" w:eastAsia="en-US"/>
        </w:rPr>
        <w:t xml:space="preserve"> [Gr. 145]</w:t>
      </w:r>
    </w:p>
    <w:p w14:paraId="189E2E23" w14:textId="5D998819"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g)</w:t>
      </w:r>
      <w:r w:rsidRPr="00EB04F1">
        <w:rPr>
          <w:szCs w:val="24"/>
          <w:lang w:val="it-IT" w:eastAsia="en-US"/>
        </w:rPr>
        <w:tab/>
        <w:t>jebkāda informācija, kas iegūta saskaņā ar 6., 7. un 8. pantu veiktajā augsnes veselības monitoringā.</w:t>
      </w:r>
    </w:p>
    <w:p w14:paraId="075CA5CC" w14:textId="5D01D2F9" w:rsidR="00DA4F3E" w:rsidRPr="00EB04F1" w:rsidRDefault="00DA4F3E" w:rsidP="00DA4F3E">
      <w:pPr>
        <w:spacing w:before="120" w:after="120" w:line="360" w:lineRule="auto"/>
        <w:ind w:left="1416" w:hanging="566"/>
        <w:rPr>
          <w:b/>
          <w:szCs w:val="24"/>
          <w:lang w:val="it-IT" w:eastAsia="en-US"/>
        </w:rPr>
      </w:pPr>
      <w:r w:rsidRPr="00EB04F1">
        <w:rPr>
          <w:b/>
          <w:i/>
          <w:szCs w:val="24"/>
          <w:lang w:val="it-IT" w:eastAsia="en-US"/>
        </w:rPr>
        <w:t>ga)</w:t>
      </w:r>
      <w:r w:rsidRPr="00EB04F1">
        <w:rPr>
          <w:szCs w:val="24"/>
          <w:lang w:val="it-IT" w:eastAsia="en-US"/>
        </w:rPr>
        <w:tab/>
      </w:r>
      <w:r w:rsidRPr="00EB04F1">
        <w:rPr>
          <w:b/>
          <w:i/>
          <w:szCs w:val="24"/>
          <w:lang w:val="it-IT" w:eastAsia="en-US"/>
        </w:rPr>
        <w:t>jebkuras slimības, par kuru uzskata, ka tā ir saistīta ar eksponētību augsnes kontaminācijai, sastopamība;</w:t>
      </w:r>
      <w:r w:rsidR="00455113" w:rsidRPr="00EB04F1">
        <w:rPr>
          <w:b/>
          <w:szCs w:val="24"/>
          <w:lang w:val="it-IT" w:eastAsia="en-US"/>
        </w:rPr>
        <w:t xml:space="preserve"> [Gr. 146]</w:t>
      </w:r>
    </w:p>
    <w:p w14:paraId="0851359D" w14:textId="2B3E3133" w:rsidR="00DA4F3E" w:rsidRPr="00EB04F1" w:rsidRDefault="00DA4F3E" w:rsidP="00DA4F3E">
      <w:pPr>
        <w:spacing w:before="120" w:after="120" w:line="360" w:lineRule="auto"/>
        <w:ind w:left="1416" w:hanging="566"/>
        <w:rPr>
          <w:b/>
          <w:szCs w:val="24"/>
          <w:lang w:val="it-IT" w:eastAsia="en-US"/>
        </w:rPr>
      </w:pPr>
      <w:r w:rsidRPr="00EB04F1">
        <w:rPr>
          <w:b/>
          <w:i/>
          <w:szCs w:val="24"/>
          <w:lang w:val="it-IT" w:eastAsia="en-US"/>
        </w:rPr>
        <w:t>gb)</w:t>
      </w:r>
      <w:r w:rsidRPr="00EB04F1">
        <w:rPr>
          <w:szCs w:val="24"/>
          <w:lang w:val="it-IT" w:eastAsia="en-US"/>
        </w:rPr>
        <w:tab/>
      </w:r>
      <w:r w:rsidRPr="00EB04F1">
        <w:rPr>
          <w:b/>
          <w:i/>
          <w:szCs w:val="24"/>
          <w:lang w:val="it-IT" w:eastAsia="en-US"/>
        </w:rPr>
        <w:t>jebkāda informācija, ko sniegusi sabiedrība vai dalībvalstu iestādes;</w:t>
      </w:r>
      <w:r w:rsidR="00455113" w:rsidRPr="00EB04F1">
        <w:rPr>
          <w:b/>
          <w:szCs w:val="24"/>
          <w:lang w:val="it-IT" w:eastAsia="en-US"/>
        </w:rPr>
        <w:t xml:space="preserve"> [Gr. 147]</w:t>
      </w:r>
    </w:p>
    <w:p w14:paraId="2E828BD9" w14:textId="77777777" w:rsidR="00DA4F3E" w:rsidRPr="00EB04F1" w:rsidRDefault="00DA4F3E" w:rsidP="00DA4F3E">
      <w:pPr>
        <w:spacing w:before="120" w:after="120" w:line="360" w:lineRule="auto"/>
        <w:ind w:left="850"/>
        <w:rPr>
          <w:szCs w:val="24"/>
          <w:lang w:val="it-IT" w:eastAsia="en-US"/>
        </w:rPr>
      </w:pPr>
      <w:r w:rsidRPr="00EB04F1">
        <w:rPr>
          <w:szCs w:val="24"/>
          <w:lang w:val="it-IT" w:eastAsia="en-US"/>
        </w:rPr>
        <w:t>Šā punkta pirmās daļas a) apakšpunkta vajadzībām dalībvalstis izveido potenciāli kontaminējošu darbību sarakstu. Balstoties uz zinātniskiem pierādījumiem, šīs darbības pēc to radītā augsnes kontaminācijas riska var klasificēt sīkāk.</w:t>
      </w:r>
    </w:p>
    <w:p w14:paraId="613BC611"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3.</w:t>
      </w:r>
      <w:r w:rsidRPr="00EB04F1">
        <w:rPr>
          <w:szCs w:val="24"/>
          <w:lang w:val="it-IT" w:eastAsia="en-US"/>
        </w:rPr>
        <w:tab/>
        <w:t>Dalībvalstis nodrošina, ka visi potenciāli kontaminētie objekti ir apzināti līdz (PB: ierakstīt datumu, kas ir 7 gadus pēc šīs direktīvas spēkā stāšanās dienas) un līdz minētajai dienai ir pienācīgi ierakstīti 16. pantā minētajā reģistrā.</w:t>
      </w:r>
    </w:p>
    <w:p w14:paraId="698A0396" w14:textId="77777777" w:rsidR="00455113" w:rsidRPr="00EB04F1" w:rsidRDefault="00455113">
      <w:pPr>
        <w:widowControl/>
        <w:rPr>
          <w:szCs w:val="24"/>
          <w:lang w:val="it-IT" w:eastAsia="en-US"/>
        </w:rPr>
      </w:pPr>
      <w:r w:rsidRPr="00EB04F1">
        <w:rPr>
          <w:szCs w:val="24"/>
          <w:lang w:val="it-IT" w:eastAsia="en-US"/>
        </w:rPr>
        <w:br w:type="page"/>
      </w:r>
    </w:p>
    <w:p w14:paraId="4D2A69E5" w14:textId="0BF24D3E"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14. pants</w:t>
      </w:r>
      <w:r w:rsidRPr="00EB04F1">
        <w:rPr>
          <w:szCs w:val="24"/>
          <w:lang w:val="it-IT" w:eastAsia="en-US"/>
        </w:rPr>
        <w:br/>
        <w:t>Potenciāli kontaminētu objektu izpēte</w:t>
      </w:r>
    </w:p>
    <w:p w14:paraId="6F2D495C" w14:textId="36DBF22E"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1.</w:t>
      </w:r>
      <w:r w:rsidRPr="00EB04F1">
        <w:rPr>
          <w:szCs w:val="24"/>
          <w:lang w:val="it-IT" w:eastAsia="en-US"/>
        </w:rPr>
        <w:tab/>
        <w:t xml:space="preserve">Dalībvalstis nodrošina, ka visos potenciāli kontaminētajos objektos, kas apzināti saskaņā ar 13. pantu, </w:t>
      </w:r>
      <w:r w:rsidRPr="00EB04F1">
        <w:rPr>
          <w:b/>
          <w:i/>
          <w:szCs w:val="24"/>
          <w:lang w:val="it-IT" w:eastAsia="en-US"/>
        </w:rPr>
        <w:t xml:space="preserve">prioritārā secībā </w:t>
      </w:r>
      <w:r w:rsidRPr="00EB04F1">
        <w:rPr>
          <w:szCs w:val="24"/>
          <w:lang w:val="it-IT" w:eastAsia="en-US"/>
        </w:rPr>
        <w:t>tiek veikta augsnes izpēte.</w:t>
      </w:r>
      <w:r w:rsidR="00455113" w:rsidRPr="00EB04F1">
        <w:rPr>
          <w:b/>
          <w:szCs w:val="24"/>
          <w:lang w:val="it-IT" w:eastAsia="en-US"/>
        </w:rPr>
        <w:t xml:space="preserve"> [Gr. 148]</w:t>
      </w:r>
    </w:p>
    <w:p w14:paraId="37644017" w14:textId="4870AFCB"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2.</w:t>
      </w:r>
      <w:r w:rsidRPr="00EB04F1">
        <w:rPr>
          <w:szCs w:val="24"/>
          <w:lang w:val="it-IT" w:eastAsia="en-US"/>
        </w:rPr>
        <w:tab/>
        <w:t>Dalībvalstis paredz noteikumus par augsnes izpētes termiņu, saturu, formu un prioritizēšanu</w:t>
      </w:r>
      <w:r w:rsidRPr="00EB04F1">
        <w:rPr>
          <w:b/>
          <w:i/>
          <w:szCs w:val="24"/>
          <w:lang w:val="it-IT" w:eastAsia="en-US"/>
        </w:rPr>
        <w:t>, ņemot vērā vidiskos, sociālos un ekonomiskos aspektus</w:t>
      </w:r>
      <w:r w:rsidRPr="00EB04F1">
        <w:rPr>
          <w:szCs w:val="24"/>
          <w:lang w:val="it-IT" w:eastAsia="en-US"/>
        </w:rPr>
        <w:t>. Minētos noteikumus izstrādā saskaņā ar 12. pantā minēto riska izvērtēšanā balstīto pieeju un 13. panta 2. punkta otrajā daļā minēto potenciāli kontaminējošo darbību sarakstu.</w:t>
      </w:r>
      <w:r w:rsidR="00455113" w:rsidRPr="00EB04F1">
        <w:rPr>
          <w:b/>
          <w:szCs w:val="24"/>
          <w:lang w:val="it-IT" w:eastAsia="en-US"/>
        </w:rPr>
        <w:t xml:space="preserve"> [Gr. 149]</w:t>
      </w:r>
    </w:p>
    <w:p w14:paraId="1BFB7AF7" w14:textId="45EF79A5" w:rsidR="00DA4F3E" w:rsidRPr="00EB04F1" w:rsidRDefault="00DA4F3E" w:rsidP="00DA4F3E">
      <w:pPr>
        <w:spacing w:before="120" w:after="120" w:line="360" w:lineRule="auto"/>
        <w:ind w:left="850"/>
        <w:rPr>
          <w:b/>
          <w:szCs w:val="24"/>
          <w:lang w:val="it-IT" w:eastAsia="en-US"/>
        </w:rPr>
      </w:pPr>
      <w:r w:rsidRPr="00EB04F1">
        <w:rPr>
          <w:b/>
          <w:i/>
          <w:szCs w:val="24"/>
          <w:lang w:val="it-IT" w:eastAsia="en-US"/>
        </w:rPr>
        <w:t>Augsnes izpētei par prioritārām uzskata potenciāli piesārņotas vietas, kas atrodas teritorijās, kuras izmanto dzeramā ūdens ieguvei.</w:t>
      </w:r>
      <w:r w:rsidR="00455113" w:rsidRPr="00EB04F1">
        <w:rPr>
          <w:b/>
          <w:szCs w:val="24"/>
          <w:lang w:val="it-IT" w:eastAsia="en-US"/>
        </w:rPr>
        <w:t xml:space="preserve"> [Gr. 150]</w:t>
      </w:r>
    </w:p>
    <w:p w14:paraId="19A90995" w14:textId="77777777" w:rsidR="00DA4F3E" w:rsidRPr="00EB04F1" w:rsidRDefault="00DA4F3E" w:rsidP="00DA4F3E">
      <w:pPr>
        <w:spacing w:before="120" w:after="120" w:line="360" w:lineRule="auto"/>
        <w:ind w:left="850"/>
        <w:rPr>
          <w:szCs w:val="24"/>
          <w:lang w:val="it-IT" w:eastAsia="en-US"/>
        </w:rPr>
      </w:pPr>
      <w:r w:rsidRPr="00EB04F1">
        <w:rPr>
          <w:szCs w:val="24"/>
          <w:lang w:val="it-IT" w:eastAsia="en-US"/>
        </w:rPr>
        <w:t>Dalībvalstis attiecīgā gadījumā par augsnes izpēti var uzskatīt pamatziņojumus un monitoringa pasākumus, kas īstenoti saskaņā ar Direktīvu 2010/75/ES.</w:t>
      </w:r>
    </w:p>
    <w:p w14:paraId="04E16748"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3.</w:t>
      </w:r>
      <w:r w:rsidRPr="00EB04F1">
        <w:rPr>
          <w:szCs w:val="24"/>
          <w:lang w:val="it-IT" w:eastAsia="en-US"/>
        </w:rPr>
        <w:tab/>
        <w:t>Dalībvalstis turklāt nosaka, kādu konkrētu notikumu gadījumā izpēte veicama pirms termiņa, kas noteikts saskaņā ar 2. punktu.</w:t>
      </w:r>
    </w:p>
    <w:p w14:paraId="08826C62" w14:textId="77777777" w:rsidR="00455113" w:rsidRPr="00EB04F1" w:rsidRDefault="00455113">
      <w:pPr>
        <w:widowControl/>
        <w:rPr>
          <w:szCs w:val="24"/>
          <w:lang w:val="it-IT" w:eastAsia="en-US"/>
        </w:rPr>
      </w:pPr>
      <w:r w:rsidRPr="00EB04F1">
        <w:rPr>
          <w:szCs w:val="24"/>
          <w:lang w:val="it-IT" w:eastAsia="en-US"/>
        </w:rPr>
        <w:br w:type="page"/>
      </w:r>
    </w:p>
    <w:p w14:paraId="5643F9F0" w14:textId="0F1A8C3B"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15. pants</w:t>
      </w:r>
      <w:r w:rsidRPr="00EB04F1">
        <w:rPr>
          <w:szCs w:val="24"/>
          <w:lang w:val="it-IT" w:eastAsia="en-US"/>
        </w:rPr>
        <w:br/>
        <w:t>Kontaminēto objektu riska novērtēšana un pārvaldība</w:t>
      </w:r>
    </w:p>
    <w:p w14:paraId="08D862A7"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1.</w:t>
      </w:r>
      <w:r w:rsidRPr="00EB04F1">
        <w:rPr>
          <w:szCs w:val="24"/>
          <w:lang w:val="it-IT" w:eastAsia="en-US"/>
        </w:rPr>
        <w:tab/>
        <w:t>Dalībvalstis nosaka, ar kādu konkrētu metodiku nosakāmi katram kontaminētajam objektam raksturīgie riski. Šīs metodikas pamatā ir VI pielikumā norādītie objektam raksturīgā riska novērtēšanas posmi un prasības.</w:t>
      </w:r>
    </w:p>
    <w:p w14:paraId="704D5ACF" w14:textId="422F6AE2"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2.</w:t>
      </w:r>
      <w:r w:rsidRPr="00EB04F1">
        <w:rPr>
          <w:szCs w:val="24"/>
          <w:lang w:val="it-IT" w:eastAsia="en-US"/>
        </w:rPr>
        <w:tab/>
        <w:t xml:space="preserve">Dalībvalstis nosaka, kāds kontaminēto objektu radītais risks uzskatāms par nepieņemamu risku cilvēka </w:t>
      </w:r>
      <w:r w:rsidRPr="00EB04F1">
        <w:rPr>
          <w:b/>
          <w:i/>
          <w:szCs w:val="24"/>
          <w:lang w:val="it-IT" w:eastAsia="en-US"/>
        </w:rPr>
        <w:t xml:space="preserve">un dzīvnieku </w:t>
      </w:r>
      <w:r w:rsidRPr="00EB04F1">
        <w:rPr>
          <w:szCs w:val="24"/>
          <w:lang w:val="it-IT" w:eastAsia="en-US"/>
        </w:rPr>
        <w:t>veselībai un videi, ņemot vērā pašreizējās zinātnes atziņas</w:t>
      </w:r>
      <w:r w:rsidRPr="00EB04F1">
        <w:rPr>
          <w:b/>
          <w:i/>
          <w:szCs w:val="24"/>
          <w:lang w:val="it-IT" w:eastAsia="en-US"/>
        </w:rPr>
        <w:t>, veselības aprūpes speciālistu un veselības nozares iestāžu atzinumus</w:t>
      </w:r>
      <w:r w:rsidRPr="00EB04F1">
        <w:rPr>
          <w:szCs w:val="24"/>
          <w:lang w:val="it-IT" w:eastAsia="en-US"/>
        </w:rPr>
        <w:t>, piesardzības principu, vietējās īpatnības un pašreizējo un nākotnē plānoto zemes izmantojumu.</w:t>
      </w:r>
      <w:r w:rsidR="00455113" w:rsidRPr="00EB04F1">
        <w:rPr>
          <w:b/>
          <w:szCs w:val="24"/>
          <w:lang w:val="it-IT" w:eastAsia="en-US"/>
        </w:rPr>
        <w:t xml:space="preserve"> [Gr. 151]</w:t>
      </w:r>
    </w:p>
    <w:p w14:paraId="62A1B59A" w14:textId="78CB0CD9"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3.</w:t>
      </w:r>
      <w:r w:rsidRPr="00EB04F1">
        <w:rPr>
          <w:szCs w:val="24"/>
          <w:lang w:val="it-IT" w:eastAsia="en-US"/>
        </w:rPr>
        <w:tab/>
        <w:t xml:space="preserve">Attiecībā uz katru kontaminēto objektu, kas apzināts saskaņā ar 14. pantu vai jebkādā citā veidā, atbildīgā kompetentā iestāde veic konkrētā objekta novērtējumu, ņemot vērā pašreizējo un plānoto zemes izmantojumu, lai noteiktu, vai kontaminētais objekts nerada nepieņemamu risku cilvēka </w:t>
      </w:r>
      <w:r w:rsidRPr="00EB04F1">
        <w:rPr>
          <w:b/>
          <w:i/>
          <w:szCs w:val="24"/>
          <w:lang w:val="it-IT" w:eastAsia="en-US"/>
        </w:rPr>
        <w:t xml:space="preserve">un dzīvnieku </w:t>
      </w:r>
      <w:r w:rsidRPr="00EB04F1">
        <w:rPr>
          <w:szCs w:val="24"/>
          <w:lang w:val="it-IT" w:eastAsia="en-US"/>
        </w:rPr>
        <w:t>veselībai vai videi.</w:t>
      </w:r>
      <w:r w:rsidR="00455113" w:rsidRPr="00EB04F1">
        <w:rPr>
          <w:b/>
          <w:szCs w:val="24"/>
          <w:lang w:val="it-IT" w:eastAsia="en-US"/>
        </w:rPr>
        <w:t xml:space="preserve"> [Gr. 152]</w:t>
      </w:r>
    </w:p>
    <w:p w14:paraId="70C0BF44" w14:textId="062E87CF"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3</w:t>
      </w:r>
      <w:r w:rsidR="00455113" w:rsidRPr="00EB04F1">
        <w:rPr>
          <w:b/>
          <w:i/>
          <w:szCs w:val="24"/>
          <w:lang w:val="it-IT" w:eastAsia="en-US"/>
        </w:rPr>
        <w:t>.</w:t>
      </w:r>
      <w:r w:rsidRPr="00EB04F1">
        <w:rPr>
          <w:b/>
          <w:i/>
          <w:szCs w:val="24"/>
          <w:lang w:val="it-IT" w:eastAsia="en-US"/>
        </w:rPr>
        <w:t>a</w:t>
      </w:r>
      <w:r w:rsidRPr="00EB04F1">
        <w:rPr>
          <w:szCs w:val="24"/>
          <w:lang w:val="it-IT" w:eastAsia="en-US"/>
        </w:rPr>
        <w:tab/>
      </w:r>
      <w:r w:rsidRPr="00EB04F1">
        <w:rPr>
          <w:b/>
          <w:i/>
          <w:szCs w:val="24"/>
          <w:lang w:val="it-IT" w:eastAsia="en-US"/>
        </w:rPr>
        <w:t>Attiecīgā gadījumā dalībvalstis par pietiekamiem var uzskatīt novērtējumus, kas īstenoti saskaņā ar Direktīvā 2010/75/ES, 2011/92/ES vai 2012/18/ES.</w:t>
      </w:r>
      <w:r w:rsidR="00455113" w:rsidRPr="00EB04F1">
        <w:rPr>
          <w:b/>
          <w:szCs w:val="24"/>
          <w:lang w:val="it-IT" w:eastAsia="en-US"/>
        </w:rPr>
        <w:t xml:space="preserve"> [Gr. 153]</w:t>
      </w:r>
    </w:p>
    <w:p w14:paraId="64C2330F" w14:textId="77777777" w:rsidR="00455113" w:rsidRPr="00EB04F1" w:rsidRDefault="00455113">
      <w:pPr>
        <w:widowControl/>
        <w:rPr>
          <w:szCs w:val="24"/>
          <w:lang w:val="it-IT" w:eastAsia="en-US"/>
        </w:rPr>
      </w:pPr>
      <w:r w:rsidRPr="00EB04F1">
        <w:rPr>
          <w:szCs w:val="24"/>
          <w:lang w:val="it-IT" w:eastAsia="en-US"/>
        </w:rPr>
        <w:br w:type="page"/>
      </w:r>
    </w:p>
    <w:p w14:paraId="2D768A3E" w14:textId="2709F714"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lastRenderedPageBreak/>
        <w:t>4.</w:t>
      </w:r>
      <w:r w:rsidRPr="00EB04F1">
        <w:rPr>
          <w:szCs w:val="24"/>
          <w:lang w:val="it-IT" w:eastAsia="en-US"/>
        </w:rPr>
        <w:tab/>
        <w:t xml:space="preserve">Balstoties uz 3. punktā minētā novērtējuma iznākumu, atbildīgā kompetentā iestāde </w:t>
      </w:r>
      <w:r w:rsidRPr="00EB04F1">
        <w:rPr>
          <w:strike/>
          <w:szCs w:val="24"/>
          <w:lang w:val="it-IT" w:eastAsia="en-US"/>
        </w:rPr>
        <w:t>veic piemērotus pasākumus</w:t>
      </w:r>
      <w:r w:rsidRPr="00EB04F1">
        <w:rPr>
          <w:b/>
          <w:i/>
          <w:szCs w:val="24"/>
          <w:lang w:val="it-IT" w:eastAsia="en-US"/>
        </w:rPr>
        <w:t>nodrošina, ka tiek veikti piemēroti pasākumi</w:t>
      </w:r>
      <w:r w:rsidRPr="00EB04F1">
        <w:rPr>
          <w:szCs w:val="24"/>
          <w:lang w:val="it-IT" w:eastAsia="en-US"/>
        </w:rPr>
        <w:t>, ar ko risku cilvēka veselībai un videi samazina līdz pieņemamam līmenim (</w:t>
      </w:r>
      <w:r w:rsidRPr="00EB04F1">
        <w:rPr>
          <w:strike/>
          <w:szCs w:val="24"/>
          <w:lang w:val="it-IT" w:eastAsia="en-US"/>
        </w:rPr>
        <w:t>“</w:t>
      </w:r>
      <w:r w:rsidRPr="00EB04F1">
        <w:rPr>
          <w:b/>
          <w:i/>
          <w:szCs w:val="24"/>
          <w:lang w:val="it-IT" w:eastAsia="en-US"/>
        </w:rPr>
        <w:t>"</w:t>
      </w:r>
      <w:r w:rsidRPr="00EB04F1">
        <w:rPr>
          <w:szCs w:val="24"/>
          <w:lang w:val="it-IT" w:eastAsia="en-US"/>
        </w:rPr>
        <w:t>riska mazināšanas pasākumi</w:t>
      </w:r>
      <w:r w:rsidRPr="00EB04F1">
        <w:rPr>
          <w:strike/>
          <w:szCs w:val="24"/>
          <w:lang w:val="it-IT" w:eastAsia="en-US"/>
        </w:rPr>
        <w:t>”</w:t>
      </w:r>
      <w:r w:rsidRPr="00EB04F1">
        <w:rPr>
          <w:b/>
          <w:i/>
          <w:szCs w:val="24"/>
          <w:lang w:val="it-IT" w:eastAsia="en-US"/>
        </w:rPr>
        <w:t>"</w:t>
      </w:r>
      <w:r w:rsidRPr="00EB04F1">
        <w:rPr>
          <w:szCs w:val="24"/>
          <w:lang w:val="it-IT" w:eastAsia="en-US"/>
        </w:rPr>
        <w:t>).</w:t>
      </w:r>
      <w:r w:rsidR="00455113" w:rsidRPr="00EB04F1">
        <w:rPr>
          <w:b/>
          <w:szCs w:val="24"/>
          <w:lang w:val="it-IT" w:eastAsia="en-US"/>
        </w:rPr>
        <w:t xml:space="preserve"> [Gr. 154]</w:t>
      </w:r>
    </w:p>
    <w:p w14:paraId="37A22DC9" w14:textId="44A9EB62"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5.</w:t>
      </w:r>
      <w:r w:rsidRPr="00EB04F1">
        <w:rPr>
          <w:szCs w:val="24"/>
          <w:lang w:val="it-IT" w:eastAsia="en-US"/>
        </w:rPr>
        <w:tab/>
        <w:t xml:space="preserve">Riska mazināšanas </w:t>
      </w:r>
      <w:r w:rsidRPr="00EB04F1">
        <w:rPr>
          <w:strike/>
          <w:szCs w:val="24"/>
          <w:lang w:val="it-IT" w:eastAsia="en-US"/>
        </w:rPr>
        <w:t>pasākumi var būt</w:t>
      </w:r>
      <w:r w:rsidRPr="00EB04F1">
        <w:rPr>
          <w:b/>
          <w:i/>
          <w:szCs w:val="24"/>
          <w:lang w:val="it-IT" w:eastAsia="en-US"/>
        </w:rPr>
        <w:t>pasākumu pamatā ir</w:t>
      </w:r>
      <w:r w:rsidRPr="00EB04F1">
        <w:rPr>
          <w:szCs w:val="24"/>
          <w:lang w:val="it-IT" w:eastAsia="en-US"/>
        </w:rPr>
        <w:t xml:space="preserve"> V pielikumā minētie pasākumi. Lemjot par to, kādi riska mazināšanas pasākumi būtu piemēroti, kompetentā iestāde ņem vērā pieejamo riska mazināšanas pasākumu izmaksas, ieguvumus, iedarbīgumu, noturību un tehnisko realizējamību</w:t>
      </w:r>
      <w:r w:rsidRPr="00EB04F1">
        <w:rPr>
          <w:b/>
          <w:i/>
          <w:szCs w:val="24"/>
          <w:lang w:val="it-IT" w:eastAsia="en-US"/>
        </w:rPr>
        <w:t xml:space="preserve"> īstermiņā un ilgtermiņā</w:t>
      </w:r>
      <w:r w:rsidRPr="00EB04F1">
        <w:rPr>
          <w:szCs w:val="24"/>
          <w:lang w:val="it-IT" w:eastAsia="en-US"/>
        </w:rPr>
        <w:t>.</w:t>
      </w:r>
      <w:r w:rsidRPr="00EB04F1">
        <w:rPr>
          <w:b/>
          <w:i/>
          <w:szCs w:val="24"/>
          <w:lang w:val="it-IT" w:eastAsia="en-US"/>
        </w:rPr>
        <w:t xml:space="preserve"> Dalībvalstis vienmēr tiecas rīkoties preventīvi un veikt augsnes dekontamināciju.</w:t>
      </w:r>
      <w:r w:rsidR="00455113" w:rsidRPr="00EB04F1">
        <w:rPr>
          <w:b/>
          <w:szCs w:val="24"/>
          <w:lang w:val="it-IT" w:eastAsia="en-US"/>
        </w:rPr>
        <w:t xml:space="preserve"> [Gr. 155]</w:t>
      </w:r>
    </w:p>
    <w:p w14:paraId="63C359E0" w14:textId="77F03CAD" w:rsidR="00DA4F3E" w:rsidRPr="00EB04F1" w:rsidRDefault="00DA4F3E" w:rsidP="00DA4F3E">
      <w:pPr>
        <w:spacing w:before="120" w:after="120" w:line="360" w:lineRule="auto"/>
        <w:ind w:left="850"/>
        <w:rPr>
          <w:b/>
          <w:szCs w:val="24"/>
          <w:lang w:val="it-IT" w:eastAsia="en-US"/>
        </w:rPr>
      </w:pPr>
      <w:r w:rsidRPr="00EB04F1">
        <w:rPr>
          <w:b/>
          <w:i/>
          <w:szCs w:val="24"/>
          <w:lang w:val="it-IT" w:eastAsia="en-US"/>
        </w:rPr>
        <w:t>Riska mazināšanas pasākumi, kas ietekmē apkārtējās ūdenstilpes, kuras izmanto dzeramā ūdens ieguvei, atbilst pieņemamajiem riska standartiem, kas noteikti Direktīvā (ES) 2020/2184.</w:t>
      </w:r>
      <w:r w:rsidR="00455113" w:rsidRPr="00EB04F1">
        <w:rPr>
          <w:b/>
          <w:szCs w:val="24"/>
          <w:lang w:val="it-IT" w:eastAsia="en-US"/>
        </w:rPr>
        <w:t xml:space="preserve"> [Gr. 156]</w:t>
      </w:r>
    </w:p>
    <w:p w14:paraId="585BC8C1" w14:textId="5C39B7CF" w:rsidR="00DA4F3E" w:rsidRPr="00EB04F1" w:rsidRDefault="00455113" w:rsidP="00DA4F3E">
      <w:pPr>
        <w:spacing w:before="120" w:after="120" w:line="360" w:lineRule="auto"/>
        <w:ind w:left="850" w:hanging="850"/>
        <w:rPr>
          <w:b/>
          <w:szCs w:val="24"/>
          <w:lang w:val="it-IT" w:eastAsia="en-US"/>
        </w:rPr>
      </w:pPr>
      <w:r w:rsidRPr="00EB04F1">
        <w:rPr>
          <w:b/>
          <w:i/>
          <w:szCs w:val="24"/>
          <w:lang w:val="it-IT" w:eastAsia="en-US"/>
        </w:rPr>
        <w:t>5.a</w:t>
      </w:r>
      <w:r w:rsidR="00DA4F3E" w:rsidRPr="00EB04F1">
        <w:rPr>
          <w:szCs w:val="24"/>
          <w:lang w:val="it-IT" w:eastAsia="en-US"/>
        </w:rPr>
        <w:tab/>
      </w:r>
      <w:r w:rsidR="00DA4F3E" w:rsidRPr="00EB04F1">
        <w:rPr>
          <w:b/>
          <w:i/>
          <w:szCs w:val="24"/>
          <w:lang w:val="it-IT" w:eastAsia="en-US"/>
        </w:rPr>
        <w:t>Komisija ir pilnvarota pieņemt deleģētos aktus saskaņā ar 20. pantu, lai papildinātu šo direktīvu, nosakot maksimālās pieļaujamās vērtības saistībā ar tāda nepieņemama riska noteikšanu veselībai un videi, ko rada kontaminēti objekti, kā minēts 2. punktā.</w:t>
      </w:r>
      <w:r w:rsidRPr="00EB04F1">
        <w:rPr>
          <w:b/>
          <w:szCs w:val="24"/>
          <w:lang w:val="it-IT" w:eastAsia="en-US"/>
        </w:rPr>
        <w:t xml:space="preserve"> [Gr. 157]</w:t>
      </w:r>
    </w:p>
    <w:p w14:paraId="0D754CEF" w14:textId="77777777" w:rsidR="00455113" w:rsidRPr="00EB04F1" w:rsidRDefault="00455113">
      <w:pPr>
        <w:widowControl/>
        <w:rPr>
          <w:szCs w:val="24"/>
          <w:lang w:val="it-IT" w:eastAsia="en-US"/>
        </w:rPr>
      </w:pPr>
      <w:r w:rsidRPr="00EB04F1">
        <w:rPr>
          <w:szCs w:val="24"/>
          <w:lang w:val="it-IT" w:eastAsia="en-US"/>
        </w:rPr>
        <w:br w:type="page"/>
      </w:r>
    </w:p>
    <w:p w14:paraId="543180E9" w14:textId="2D4D6701"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lastRenderedPageBreak/>
        <w:t>6.</w:t>
      </w:r>
      <w:r w:rsidRPr="00EB04F1">
        <w:rPr>
          <w:szCs w:val="24"/>
          <w:lang w:val="it-IT" w:eastAsia="en-US"/>
        </w:rPr>
        <w:tab/>
        <w:t>Komisija ir pilnvarota saskaņā ar 20. pantu pieņemt deleģētos aktus, ar ko V un VI pielikumu groza, lai riska mazināšanas pasākumu sarakstu un konkrētā objekta riska novērtējuma prasības pielāgotu zinātnes un tehnikas attīstībai.</w:t>
      </w:r>
    </w:p>
    <w:p w14:paraId="0A2B3A99" w14:textId="77777777" w:rsidR="00DA4F3E" w:rsidRPr="00EB04F1" w:rsidRDefault="00DA4F3E" w:rsidP="00DA4F3E">
      <w:pPr>
        <w:spacing w:before="120" w:after="120" w:line="360" w:lineRule="auto"/>
        <w:jc w:val="center"/>
        <w:rPr>
          <w:szCs w:val="24"/>
          <w:lang w:val="it-IT" w:eastAsia="en-US"/>
        </w:rPr>
      </w:pPr>
      <w:r w:rsidRPr="00EB04F1">
        <w:rPr>
          <w:szCs w:val="24"/>
          <w:lang w:val="it-IT" w:eastAsia="en-US"/>
        </w:rPr>
        <w:t>16. pants</w:t>
      </w:r>
      <w:r w:rsidRPr="00EB04F1">
        <w:rPr>
          <w:szCs w:val="24"/>
          <w:lang w:val="it-IT" w:eastAsia="en-US"/>
        </w:rPr>
        <w:br/>
        <w:t>Reģistrs</w:t>
      </w:r>
    </w:p>
    <w:p w14:paraId="3773ABCA"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1.</w:t>
      </w:r>
      <w:r w:rsidRPr="00EB04F1">
        <w:rPr>
          <w:szCs w:val="24"/>
          <w:lang w:val="it-IT" w:eastAsia="en-US"/>
        </w:rPr>
        <w:tab/>
        <w:t>Līdz … (PB: ierakstīt datumu, kas ir 4 gadus pēc šīs direktīvas spēkā stāšanās dienas), dalībvalstis saskaņā ar 2. punktu izveido kontaminēto objektu un potenciāli kontaminēto objektu reģistru.</w:t>
      </w:r>
    </w:p>
    <w:p w14:paraId="6B9244AA"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2.</w:t>
      </w:r>
      <w:r w:rsidRPr="00EB04F1">
        <w:rPr>
          <w:szCs w:val="24"/>
          <w:lang w:val="it-IT" w:eastAsia="en-US"/>
        </w:rPr>
        <w:tab/>
        <w:t>Reģistrā iekļauj VII pielikumā noteikto informāciju.</w:t>
      </w:r>
    </w:p>
    <w:p w14:paraId="65611741"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3.</w:t>
      </w:r>
      <w:r w:rsidRPr="00EB04F1">
        <w:rPr>
          <w:szCs w:val="24"/>
          <w:lang w:val="it-IT" w:eastAsia="en-US"/>
        </w:rPr>
        <w:tab/>
        <w:t>Reģistru pārvalda atbildīgā kompetentā iestāde, un to regulāri izskata un atjaunina.</w:t>
      </w:r>
    </w:p>
    <w:p w14:paraId="0FD800E1" w14:textId="77777777" w:rsidR="00455113" w:rsidRPr="00EB04F1" w:rsidRDefault="00455113">
      <w:pPr>
        <w:widowControl/>
        <w:rPr>
          <w:szCs w:val="24"/>
          <w:lang w:val="it-IT" w:eastAsia="en-US"/>
        </w:rPr>
      </w:pPr>
      <w:r w:rsidRPr="00EB04F1">
        <w:rPr>
          <w:szCs w:val="24"/>
          <w:lang w:val="it-IT" w:eastAsia="en-US"/>
        </w:rPr>
        <w:br w:type="page"/>
      </w:r>
    </w:p>
    <w:p w14:paraId="58C60F39" w14:textId="14CC6B98"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lastRenderedPageBreak/>
        <w:t>4.</w:t>
      </w:r>
      <w:r w:rsidRPr="00EB04F1">
        <w:rPr>
          <w:szCs w:val="24"/>
          <w:lang w:val="it-IT" w:eastAsia="en-US"/>
        </w:rPr>
        <w:tab/>
        <w:t>Dalībvalstis šā panta 1. un 2. punktā minēto reģistru un informāciju publisko</w:t>
      </w:r>
      <w:r w:rsidRPr="00EB04F1">
        <w:rPr>
          <w:b/>
          <w:i/>
          <w:szCs w:val="24"/>
          <w:lang w:val="it-IT" w:eastAsia="en-US"/>
        </w:rPr>
        <w:t xml:space="preserve"> </w:t>
      </w:r>
      <w:proofErr w:type="gramStart"/>
      <w:r w:rsidRPr="00EB04F1">
        <w:rPr>
          <w:b/>
          <w:i/>
          <w:szCs w:val="24"/>
          <w:lang w:val="it-IT" w:eastAsia="en-US"/>
        </w:rPr>
        <w:t>un dara</w:t>
      </w:r>
      <w:proofErr w:type="gramEnd"/>
      <w:r w:rsidRPr="00EB04F1">
        <w:rPr>
          <w:b/>
          <w:i/>
          <w:szCs w:val="24"/>
          <w:lang w:val="it-IT" w:eastAsia="en-US"/>
        </w:rPr>
        <w:t xml:space="preserve"> lietotājiem viegli un bez maksas pieejamu</w:t>
      </w:r>
      <w:r w:rsidRPr="00EB04F1">
        <w:rPr>
          <w:szCs w:val="24"/>
          <w:lang w:val="it-IT" w:eastAsia="en-US"/>
        </w:rPr>
        <w:t>. Kompetentā iestāde jebkādas informācijas izpaušanu var atteikt vai ierobežot, ja ir izpildīti Eiropas Parlamenta un Padomes Direktīvas 2003/4/EK</w:t>
      </w:r>
      <w:r w:rsidRPr="00EB04F1">
        <w:rPr>
          <w:szCs w:val="24"/>
          <w:vertAlign w:val="superscript"/>
          <w:lang w:val="en-GB" w:eastAsia="en-US"/>
        </w:rPr>
        <w:footnoteReference w:id="53"/>
      </w:r>
      <w:r w:rsidRPr="00EB04F1">
        <w:rPr>
          <w:szCs w:val="24"/>
          <w:lang w:val="it-IT" w:eastAsia="en-US"/>
        </w:rPr>
        <w:t xml:space="preserve"> 4. pantā paredzētie nosacījumi.</w:t>
      </w:r>
      <w:r w:rsidRPr="00EB04F1">
        <w:rPr>
          <w:b/>
          <w:i/>
          <w:szCs w:val="24"/>
          <w:lang w:val="it-IT" w:eastAsia="en-US"/>
        </w:rPr>
        <w:t xml:space="preserve"> Reģistru dara pieejamu ģeoreferencētu telpisko datu tiešsaistes datubāzes formā.</w:t>
      </w:r>
      <w:r w:rsidR="00455113" w:rsidRPr="00EB04F1">
        <w:rPr>
          <w:b/>
          <w:szCs w:val="24"/>
          <w:lang w:val="it-IT" w:eastAsia="en-US"/>
        </w:rPr>
        <w:t xml:space="preserve"> [Gr. 158]</w:t>
      </w:r>
    </w:p>
    <w:p w14:paraId="4142EC27" w14:textId="77777777" w:rsidR="00DA4F3E" w:rsidRPr="00EB04F1" w:rsidRDefault="00DA4F3E" w:rsidP="00DA4F3E">
      <w:pPr>
        <w:spacing w:before="120" w:after="120" w:line="360" w:lineRule="auto"/>
        <w:ind w:left="850"/>
        <w:rPr>
          <w:szCs w:val="24"/>
          <w:lang w:val="it-IT" w:eastAsia="en-US"/>
        </w:rPr>
      </w:pPr>
      <w:r w:rsidRPr="00EB04F1">
        <w:rPr>
          <w:szCs w:val="24"/>
          <w:lang w:val="it-IT" w:eastAsia="en-US"/>
        </w:rPr>
        <w:t>Reģistru dara pieejamu ģeoreferencētu telpisko datu tiešsaistes datubāzes formā.</w:t>
      </w:r>
    </w:p>
    <w:p w14:paraId="3F6A63F8" w14:textId="23F750B6"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5.</w:t>
      </w:r>
      <w:r w:rsidRPr="00EB04F1">
        <w:rPr>
          <w:szCs w:val="24"/>
          <w:lang w:val="it-IT" w:eastAsia="en-US"/>
        </w:rPr>
        <w:tab/>
        <w:t>Komisija</w:t>
      </w:r>
      <w:r w:rsidRPr="00EB04F1">
        <w:rPr>
          <w:b/>
          <w:i/>
          <w:szCs w:val="24"/>
          <w:lang w:val="it-IT" w:eastAsia="en-US"/>
        </w:rPr>
        <w:t xml:space="preserve"> līdz ... [PB: lūgums ievietot datumu, kas ir 1 gads pēc šīs direktīvas spēkā stāšanās dienas]</w:t>
      </w:r>
      <w:r w:rsidRPr="00EB04F1">
        <w:rPr>
          <w:szCs w:val="24"/>
          <w:lang w:val="it-IT" w:eastAsia="en-US"/>
        </w:rPr>
        <w:t xml:space="preserve"> pieņem īstenošanas aktus, ar kuriem nosaka reģistra formātu. Minētos īstenošanas aktus pieņem saskaņā ar 21. pantā minēto pārbaudes procedūru.</w:t>
      </w:r>
      <w:r w:rsidR="00455113" w:rsidRPr="00EB04F1">
        <w:rPr>
          <w:b/>
          <w:szCs w:val="24"/>
          <w:lang w:val="it-IT" w:eastAsia="en-US"/>
        </w:rPr>
        <w:t xml:space="preserve"> [Gr. 159]</w:t>
      </w:r>
    </w:p>
    <w:p w14:paraId="6B2D5A44" w14:textId="77777777" w:rsidR="00455113" w:rsidRPr="00EB04F1" w:rsidRDefault="00455113">
      <w:pPr>
        <w:widowControl/>
        <w:rPr>
          <w:szCs w:val="24"/>
          <w:lang w:val="it-IT" w:eastAsia="en-US"/>
        </w:rPr>
      </w:pPr>
      <w:r w:rsidRPr="00EB04F1">
        <w:rPr>
          <w:szCs w:val="24"/>
          <w:lang w:val="it-IT" w:eastAsia="en-US"/>
        </w:rPr>
        <w:br w:type="page"/>
      </w:r>
    </w:p>
    <w:p w14:paraId="6F89E5BA" w14:textId="61E00BB0"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 xml:space="preserve">V nodaļa </w:t>
      </w:r>
      <w:r w:rsidRPr="00EB04F1">
        <w:rPr>
          <w:szCs w:val="24"/>
          <w:lang w:val="it-IT" w:eastAsia="en-US"/>
        </w:rPr>
        <w:br/>
        <w:t>Finansējums, sabiedrības informēšana un dalībvalstu ziņojumi</w:t>
      </w:r>
    </w:p>
    <w:p w14:paraId="183EF919" w14:textId="77777777" w:rsidR="00DA4F3E" w:rsidRPr="00EB04F1" w:rsidRDefault="00DA4F3E" w:rsidP="00DA4F3E">
      <w:pPr>
        <w:spacing w:before="120" w:after="120" w:line="360" w:lineRule="auto"/>
        <w:jc w:val="center"/>
        <w:rPr>
          <w:szCs w:val="24"/>
          <w:lang w:val="it-IT" w:eastAsia="en-US"/>
        </w:rPr>
      </w:pPr>
      <w:r w:rsidRPr="00EB04F1">
        <w:rPr>
          <w:szCs w:val="24"/>
          <w:lang w:val="it-IT" w:eastAsia="en-US"/>
        </w:rPr>
        <w:t>17. pants</w:t>
      </w:r>
      <w:r w:rsidRPr="00EB04F1">
        <w:rPr>
          <w:szCs w:val="24"/>
          <w:lang w:val="it-IT" w:eastAsia="en-US"/>
        </w:rPr>
        <w:br/>
        <w:t>Savienības</w:t>
      </w:r>
      <w:r w:rsidRPr="00EB04F1">
        <w:rPr>
          <w:b/>
          <w:i/>
          <w:szCs w:val="24"/>
          <w:lang w:val="it-IT" w:eastAsia="en-US"/>
        </w:rPr>
        <w:t xml:space="preserve"> un dalībvalstu</w:t>
      </w:r>
      <w:r w:rsidRPr="00EB04F1">
        <w:rPr>
          <w:szCs w:val="24"/>
          <w:lang w:val="it-IT" w:eastAsia="en-US"/>
        </w:rPr>
        <w:t xml:space="preserve"> finansējums</w:t>
      </w:r>
    </w:p>
    <w:p w14:paraId="42E6F68B" w14:textId="5808CC9E"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1.</w:t>
      </w:r>
      <w:r w:rsidRPr="00EB04F1">
        <w:rPr>
          <w:szCs w:val="24"/>
          <w:lang w:val="it-IT" w:eastAsia="en-US"/>
        </w:rPr>
        <w:tab/>
        <w:t xml:space="preserve">Ņemot vērā, cik prioritāra pašos pamatos ir augsnes monitoringa izveide un augsnes ilgtspējīga apsaimniekošana un atveseļošana, </w:t>
      </w:r>
      <w:r w:rsidRPr="00EB04F1">
        <w:rPr>
          <w:b/>
          <w:i/>
          <w:szCs w:val="24"/>
          <w:lang w:val="it-IT" w:eastAsia="en-US"/>
        </w:rPr>
        <w:t xml:space="preserve">līdz ... [PB: ierakstīt datumu, kas ir 12 mēnešus pēc </w:t>
      </w:r>
      <w:r w:rsidRPr="00EB04F1">
        <w:rPr>
          <w:szCs w:val="24"/>
          <w:lang w:val="it-IT" w:eastAsia="en-US"/>
        </w:rPr>
        <w:t xml:space="preserve">šīs direktīvas </w:t>
      </w:r>
      <w:r w:rsidRPr="00EB04F1">
        <w:rPr>
          <w:strike/>
          <w:szCs w:val="24"/>
          <w:lang w:val="it-IT" w:eastAsia="en-US"/>
        </w:rPr>
        <w:t>īstenošanu atbalsta ar esošajām</w:t>
      </w:r>
      <w:r w:rsidRPr="00EB04F1">
        <w:rPr>
          <w:b/>
          <w:i/>
          <w:szCs w:val="24"/>
          <w:lang w:val="it-IT" w:eastAsia="en-US"/>
        </w:rPr>
        <w:t>spēkā stāšanās dienas] Komisija iesniedz ziņojumu Eiropas Parlamentam un Padomei, novērtējot</w:t>
      </w:r>
      <w:r w:rsidRPr="00EB04F1">
        <w:rPr>
          <w:szCs w:val="24"/>
          <w:lang w:val="it-IT" w:eastAsia="en-US"/>
        </w:rPr>
        <w:t xml:space="preserve"> Savienības </w:t>
      </w:r>
      <w:r w:rsidRPr="00EB04F1">
        <w:rPr>
          <w:b/>
          <w:i/>
          <w:szCs w:val="24"/>
          <w:lang w:val="it-IT" w:eastAsia="en-US"/>
        </w:rPr>
        <w:t xml:space="preserve">līmenī pieejamo </w:t>
      </w:r>
      <w:r w:rsidRPr="00EB04F1">
        <w:rPr>
          <w:szCs w:val="24"/>
          <w:lang w:val="it-IT" w:eastAsia="en-US"/>
        </w:rPr>
        <w:t xml:space="preserve">finanšu </w:t>
      </w:r>
      <w:r w:rsidRPr="00EB04F1">
        <w:rPr>
          <w:strike/>
          <w:szCs w:val="24"/>
          <w:lang w:val="it-IT" w:eastAsia="en-US"/>
        </w:rPr>
        <w:t>programmām saskaņā ar piemērojamajiem to noteikumiem un nosacījumiem</w:t>
      </w:r>
      <w:r w:rsidRPr="00EB04F1">
        <w:rPr>
          <w:b/>
          <w:i/>
          <w:szCs w:val="24"/>
          <w:lang w:val="it-IT" w:eastAsia="en-US"/>
        </w:rPr>
        <w:t>resursus šīs direktīvas īstenošanai</w:t>
      </w:r>
      <w:r w:rsidRPr="00EB04F1">
        <w:rPr>
          <w:szCs w:val="24"/>
          <w:lang w:val="it-IT" w:eastAsia="en-US"/>
        </w:rPr>
        <w:t>.</w:t>
      </w:r>
      <w:r w:rsidR="00455113" w:rsidRPr="00EB04F1">
        <w:rPr>
          <w:b/>
          <w:szCs w:val="24"/>
          <w:lang w:val="it-IT" w:eastAsia="en-US"/>
        </w:rPr>
        <w:t xml:space="preserve"> [Gr. 161]</w:t>
      </w:r>
    </w:p>
    <w:p w14:paraId="318D10C2" w14:textId="4E8377BD" w:rsidR="00DA4F3E" w:rsidRPr="00EB04F1" w:rsidRDefault="00DA4F3E" w:rsidP="00DA4F3E">
      <w:pPr>
        <w:spacing w:before="120" w:after="120" w:line="360" w:lineRule="auto"/>
        <w:ind w:left="850"/>
        <w:rPr>
          <w:b/>
          <w:szCs w:val="24"/>
          <w:lang w:val="it-IT" w:eastAsia="en-US"/>
        </w:rPr>
      </w:pPr>
      <w:r w:rsidRPr="00EB04F1">
        <w:rPr>
          <w:b/>
          <w:i/>
          <w:szCs w:val="24"/>
          <w:lang w:val="it-IT" w:eastAsia="en-US"/>
        </w:rPr>
        <w:t>Komisija izvērtē jebkādas neatbilstības starp pieejamo Savienības finansējumu un finansējumu, kas vajadzīgs, lai palīdzētu dalībvalstīm īstenot šo direktīvu, īpašu uzmanību pievēršot vides monitoringa vajadzībām, ieskaitot LUCAS "Soil".</w:t>
      </w:r>
      <w:r w:rsidR="00455113" w:rsidRPr="00EB04F1">
        <w:rPr>
          <w:b/>
          <w:szCs w:val="24"/>
          <w:lang w:val="it-IT" w:eastAsia="en-US"/>
        </w:rPr>
        <w:t xml:space="preserve"> [Gr. 162]</w:t>
      </w:r>
    </w:p>
    <w:p w14:paraId="0BC8A94A" w14:textId="6C874E71" w:rsidR="00DA4F3E" w:rsidRPr="00EB04F1" w:rsidRDefault="00DA4F3E" w:rsidP="00DA4F3E">
      <w:pPr>
        <w:spacing w:before="120" w:after="120" w:line="360" w:lineRule="auto"/>
        <w:ind w:left="850"/>
        <w:rPr>
          <w:b/>
          <w:szCs w:val="24"/>
          <w:lang w:val="it-IT" w:eastAsia="en-US"/>
        </w:rPr>
      </w:pPr>
      <w:r w:rsidRPr="00EB04F1">
        <w:rPr>
          <w:b/>
          <w:i/>
          <w:szCs w:val="24"/>
          <w:lang w:val="it-IT" w:eastAsia="en-US"/>
        </w:rPr>
        <w:t>Papildu finanšu resursus paredz periodam pēc 2027. gada, lai veicinātu augšņu ilgtspējīgu apsaimniekošanu, kā arī to pastāvīgu atveseļošanu un monitoringu.</w:t>
      </w:r>
      <w:r w:rsidR="00455113" w:rsidRPr="00EB04F1">
        <w:rPr>
          <w:b/>
          <w:szCs w:val="24"/>
          <w:lang w:val="it-IT" w:eastAsia="en-US"/>
        </w:rPr>
        <w:t xml:space="preserve"> [Gr. 163]</w:t>
      </w:r>
    </w:p>
    <w:p w14:paraId="321D6D8D" w14:textId="77777777" w:rsidR="00455113" w:rsidRPr="00EB04F1" w:rsidRDefault="00455113">
      <w:pPr>
        <w:widowControl/>
        <w:rPr>
          <w:b/>
          <w:i/>
          <w:szCs w:val="24"/>
          <w:lang w:val="it-IT" w:eastAsia="en-US"/>
        </w:rPr>
      </w:pPr>
      <w:r w:rsidRPr="00EB04F1">
        <w:rPr>
          <w:b/>
          <w:i/>
          <w:szCs w:val="24"/>
          <w:lang w:val="it-IT" w:eastAsia="en-US"/>
        </w:rPr>
        <w:br w:type="page"/>
      </w:r>
    </w:p>
    <w:p w14:paraId="2C1321F3" w14:textId="724C92A7" w:rsidR="00DA4F3E" w:rsidRPr="00EB04F1" w:rsidRDefault="00455113" w:rsidP="00DA4F3E">
      <w:pPr>
        <w:spacing w:before="120" w:after="120" w:line="360" w:lineRule="auto"/>
        <w:ind w:left="850" w:hanging="850"/>
        <w:rPr>
          <w:b/>
          <w:szCs w:val="24"/>
          <w:lang w:val="it-IT" w:eastAsia="en-US"/>
        </w:rPr>
      </w:pPr>
      <w:r w:rsidRPr="00EB04F1">
        <w:rPr>
          <w:b/>
          <w:i/>
          <w:szCs w:val="24"/>
          <w:lang w:val="it-IT" w:eastAsia="en-US"/>
        </w:rPr>
        <w:lastRenderedPageBreak/>
        <w:t>1</w:t>
      </w:r>
      <w:r w:rsidR="00DA4F3E" w:rsidRPr="00EB04F1">
        <w:rPr>
          <w:b/>
          <w:i/>
          <w:szCs w:val="24"/>
          <w:lang w:val="it-IT" w:eastAsia="en-US"/>
        </w:rPr>
        <w:t>.</w:t>
      </w:r>
      <w:r w:rsidRPr="00EB04F1">
        <w:rPr>
          <w:b/>
          <w:i/>
          <w:szCs w:val="24"/>
          <w:lang w:val="it-IT" w:eastAsia="en-US"/>
        </w:rPr>
        <w:t>a</w:t>
      </w:r>
      <w:r w:rsidR="00DA4F3E" w:rsidRPr="00EB04F1">
        <w:rPr>
          <w:szCs w:val="24"/>
          <w:lang w:val="it-IT" w:eastAsia="en-US"/>
        </w:rPr>
        <w:tab/>
      </w:r>
      <w:r w:rsidR="00DA4F3E" w:rsidRPr="00EB04F1">
        <w:rPr>
          <w:b/>
          <w:i/>
          <w:szCs w:val="24"/>
          <w:lang w:val="it-IT" w:eastAsia="en-US"/>
        </w:rPr>
        <w:t>Īstenojot šo direktīvu, dalībvalstis izmanto finanšu līdzekļus no attiecīgiem avotiem, tostarp Savienības, valstu, reģionālajiem un vietējiem līdzekļiem, lai finansētu darbības, kas vērstas uz augsnes aizsardzību, ilgtspējīgu apsaimniekošanu un atjaunošanu.</w:t>
      </w:r>
      <w:r w:rsidRPr="00EB04F1">
        <w:rPr>
          <w:b/>
          <w:szCs w:val="24"/>
          <w:lang w:val="it-IT" w:eastAsia="en-US"/>
        </w:rPr>
        <w:t xml:space="preserve"> [Gr. 164]</w:t>
      </w:r>
    </w:p>
    <w:p w14:paraId="750A253D" w14:textId="66AEB08D" w:rsidR="00DA4F3E" w:rsidRPr="00EB04F1" w:rsidRDefault="00455113" w:rsidP="00DA4F3E">
      <w:pPr>
        <w:spacing w:before="120" w:after="120" w:line="360" w:lineRule="auto"/>
        <w:ind w:left="850" w:hanging="850"/>
        <w:rPr>
          <w:b/>
          <w:szCs w:val="24"/>
          <w:lang w:val="it-IT" w:eastAsia="en-US"/>
        </w:rPr>
      </w:pPr>
      <w:r w:rsidRPr="00EB04F1">
        <w:rPr>
          <w:b/>
          <w:i/>
          <w:szCs w:val="24"/>
          <w:lang w:val="it-IT" w:eastAsia="en-US"/>
        </w:rPr>
        <w:t>1</w:t>
      </w:r>
      <w:r w:rsidR="00DA4F3E" w:rsidRPr="00EB04F1">
        <w:rPr>
          <w:b/>
          <w:i/>
          <w:szCs w:val="24"/>
          <w:lang w:val="it-IT" w:eastAsia="en-US"/>
        </w:rPr>
        <w:t>.</w:t>
      </w:r>
      <w:r w:rsidRPr="00EB04F1">
        <w:rPr>
          <w:b/>
          <w:i/>
          <w:szCs w:val="24"/>
          <w:lang w:val="it-IT" w:eastAsia="en-US"/>
        </w:rPr>
        <w:t>b</w:t>
      </w:r>
      <w:r w:rsidR="00DA4F3E" w:rsidRPr="00EB04F1">
        <w:rPr>
          <w:szCs w:val="24"/>
          <w:lang w:val="it-IT" w:eastAsia="en-US"/>
        </w:rPr>
        <w:tab/>
      </w:r>
      <w:r w:rsidR="00DA4F3E" w:rsidRPr="00EB04F1">
        <w:rPr>
          <w:b/>
          <w:i/>
          <w:szCs w:val="24"/>
          <w:lang w:val="it-IT" w:eastAsia="en-US"/>
        </w:rPr>
        <w:t>Komisija uzrauga dalībvalstu spēju apgūt Savienības fondus saistībā ar augsnes aizsardzību, ilgtspējīgu apsaimniekošanu un atjaunošanu. Komisija nodrošina apmācību un tehnisko atbalstu, lai palielinātu dalībvalstu absorbcijas spēju.</w:t>
      </w:r>
      <w:r w:rsidRPr="00EB04F1">
        <w:rPr>
          <w:b/>
          <w:szCs w:val="24"/>
          <w:lang w:val="it-IT" w:eastAsia="en-US"/>
        </w:rPr>
        <w:t xml:space="preserve"> [Gr. 165]</w:t>
      </w:r>
    </w:p>
    <w:p w14:paraId="21439DAF" w14:textId="70BBB8FF" w:rsidR="00DA4F3E" w:rsidRPr="00EB04F1" w:rsidRDefault="00455113" w:rsidP="00DA4F3E">
      <w:pPr>
        <w:spacing w:before="120" w:after="120" w:line="360" w:lineRule="auto"/>
        <w:ind w:left="850" w:hanging="850"/>
        <w:rPr>
          <w:b/>
          <w:szCs w:val="24"/>
          <w:lang w:val="it-IT" w:eastAsia="en-US"/>
        </w:rPr>
      </w:pPr>
      <w:r w:rsidRPr="00EB04F1">
        <w:rPr>
          <w:b/>
          <w:i/>
          <w:szCs w:val="24"/>
          <w:lang w:val="it-IT" w:eastAsia="en-US"/>
        </w:rPr>
        <w:t>1</w:t>
      </w:r>
      <w:r w:rsidR="00DA4F3E" w:rsidRPr="00EB04F1">
        <w:rPr>
          <w:b/>
          <w:i/>
          <w:szCs w:val="24"/>
          <w:lang w:val="it-IT" w:eastAsia="en-US"/>
        </w:rPr>
        <w:t>.</w:t>
      </w:r>
      <w:r w:rsidRPr="00EB04F1">
        <w:rPr>
          <w:b/>
          <w:i/>
          <w:szCs w:val="24"/>
          <w:lang w:val="it-IT" w:eastAsia="en-US"/>
        </w:rPr>
        <w:t>c</w:t>
      </w:r>
      <w:r w:rsidR="00DA4F3E" w:rsidRPr="00EB04F1">
        <w:rPr>
          <w:szCs w:val="24"/>
          <w:lang w:val="it-IT" w:eastAsia="en-US"/>
        </w:rPr>
        <w:tab/>
      </w:r>
      <w:r w:rsidR="00DA4F3E" w:rsidRPr="00EB04F1">
        <w:rPr>
          <w:b/>
          <w:i/>
          <w:szCs w:val="24"/>
          <w:lang w:val="it-IT" w:eastAsia="en-US"/>
        </w:rPr>
        <w:t>Dalībvalstis un Komisija, sadarbojoties ar Eiropas Investīciju banku, uzlabo un veicina inovatīvu finansēšanas mehānismu izmantošanu un veicina privātā kapitāla piesaistīšanu darbībām, kas jāveic, lai sasniegtu šīs direktīvas mērķi.</w:t>
      </w:r>
      <w:r w:rsidRPr="00EB04F1">
        <w:rPr>
          <w:b/>
          <w:szCs w:val="24"/>
          <w:lang w:val="it-IT" w:eastAsia="en-US"/>
        </w:rPr>
        <w:t xml:space="preserve"> [Gr. 166]</w:t>
      </w:r>
    </w:p>
    <w:p w14:paraId="3A04F441" w14:textId="6EA9B690" w:rsidR="00DA4F3E" w:rsidRPr="00EB04F1" w:rsidRDefault="00455113" w:rsidP="00DA4F3E">
      <w:pPr>
        <w:spacing w:before="120" w:after="120" w:line="360" w:lineRule="auto"/>
        <w:ind w:left="850" w:hanging="850"/>
        <w:rPr>
          <w:b/>
          <w:szCs w:val="24"/>
          <w:lang w:val="it-IT" w:eastAsia="en-US"/>
        </w:rPr>
      </w:pPr>
      <w:r w:rsidRPr="00EB04F1">
        <w:rPr>
          <w:b/>
          <w:i/>
          <w:szCs w:val="24"/>
          <w:lang w:val="it-IT" w:eastAsia="en-US"/>
        </w:rPr>
        <w:t>1</w:t>
      </w:r>
      <w:r w:rsidR="00DA4F3E" w:rsidRPr="00EB04F1">
        <w:rPr>
          <w:b/>
          <w:i/>
          <w:szCs w:val="24"/>
          <w:lang w:val="it-IT" w:eastAsia="en-US"/>
        </w:rPr>
        <w:t>.</w:t>
      </w:r>
      <w:r w:rsidRPr="00EB04F1">
        <w:rPr>
          <w:b/>
          <w:i/>
          <w:szCs w:val="24"/>
          <w:lang w:val="it-IT" w:eastAsia="en-US"/>
        </w:rPr>
        <w:t>d</w:t>
      </w:r>
      <w:r w:rsidR="00DA4F3E" w:rsidRPr="00EB04F1">
        <w:rPr>
          <w:szCs w:val="24"/>
          <w:lang w:val="it-IT" w:eastAsia="en-US"/>
        </w:rPr>
        <w:tab/>
      </w:r>
      <w:r w:rsidR="00DA4F3E" w:rsidRPr="00EB04F1">
        <w:rPr>
          <w:b/>
          <w:i/>
          <w:szCs w:val="24"/>
          <w:lang w:val="it-IT" w:eastAsia="en-US"/>
        </w:rPr>
        <w:t>Īstenojot šo direktīvu, dalībvalstis un Komisija ievēro principu "nenodarīt būtisku kaitējumu", kā tas definēts Regulas (ES) 2020/852 17. pantā.</w:t>
      </w:r>
      <w:r w:rsidRPr="00EB04F1">
        <w:rPr>
          <w:b/>
          <w:szCs w:val="24"/>
          <w:lang w:val="it-IT" w:eastAsia="en-US"/>
        </w:rPr>
        <w:t xml:space="preserve"> [Gr. 167]</w:t>
      </w:r>
    </w:p>
    <w:p w14:paraId="0EE4DF1F" w14:textId="77777777" w:rsidR="00455113" w:rsidRPr="00EB04F1" w:rsidRDefault="00455113">
      <w:pPr>
        <w:widowControl/>
        <w:rPr>
          <w:szCs w:val="24"/>
          <w:lang w:val="it-IT" w:eastAsia="en-US"/>
        </w:rPr>
      </w:pPr>
      <w:r w:rsidRPr="00EB04F1">
        <w:rPr>
          <w:szCs w:val="24"/>
          <w:lang w:val="it-IT" w:eastAsia="en-US"/>
        </w:rPr>
        <w:br w:type="page"/>
      </w:r>
    </w:p>
    <w:p w14:paraId="6B1B257F" w14:textId="7FCDA2A0"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18. pants</w:t>
      </w:r>
      <w:r w:rsidRPr="00EB04F1">
        <w:rPr>
          <w:szCs w:val="24"/>
          <w:lang w:val="it-IT" w:eastAsia="en-US"/>
        </w:rPr>
        <w:br/>
        <w:t>Dalībvalstu ziņojumi</w:t>
      </w:r>
    </w:p>
    <w:p w14:paraId="0B7A68B5" w14:textId="74ED8472"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1.</w:t>
      </w:r>
      <w:r w:rsidRPr="00EB04F1">
        <w:rPr>
          <w:szCs w:val="24"/>
          <w:lang w:val="it-IT" w:eastAsia="en-US"/>
        </w:rPr>
        <w:tab/>
        <w:t xml:space="preserve">Dalībvalstis </w:t>
      </w:r>
      <w:r w:rsidRPr="00EB04F1">
        <w:rPr>
          <w:b/>
          <w:i/>
          <w:szCs w:val="24"/>
          <w:lang w:val="it-IT" w:eastAsia="en-US"/>
        </w:rPr>
        <w:t xml:space="preserve">vismaz </w:t>
      </w:r>
      <w:r w:rsidRPr="00EB04F1">
        <w:rPr>
          <w:szCs w:val="24"/>
          <w:lang w:val="it-IT" w:eastAsia="en-US"/>
        </w:rPr>
        <w:t xml:space="preserve">ik pēc </w:t>
      </w:r>
      <w:r w:rsidRPr="00EB04F1">
        <w:rPr>
          <w:strike/>
          <w:szCs w:val="24"/>
          <w:lang w:val="it-IT" w:eastAsia="en-US"/>
        </w:rPr>
        <w:t>5</w:t>
      </w:r>
      <w:r w:rsidRPr="00EB04F1">
        <w:rPr>
          <w:b/>
          <w:i/>
          <w:szCs w:val="24"/>
          <w:lang w:val="it-IT" w:eastAsia="en-US"/>
        </w:rPr>
        <w:t>6</w:t>
      </w:r>
      <w:r w:rsidRPr="00EB04F1">
        <w:rPr>
          <w:szCs w:val="24"/>
          <w:lang w:val="it-IT" w:eastAsia="en-US"/>
        </w:rPr>
        <w:t xml:space="preserve"> gadiem Komisijai un EVA elektroniski ziņo šādus datus un informāciju:</w:t>
      </w:r>
      <w:r w:rsidR="00455113" w:rsidRPr="00EB04F1">
        <w:rPr>
          <w:b/>
          <w:szCs w:val="24"/>
          <w:lang w:val="it-IT" w:eastAsia="en-US"/>
        </w:rPr>
        <w:t xml:space="preserve"> [Gr. 168]</w:t>
      </w:r>
    </w:p>
    <w:p w14:paraId="720FAD0F" w14:textId="56FEFE00"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a)</w:t>
      </w:r>
      <w:r w:rsidRPr="00EB04F1">
        <w:rPr>
          <w:szCs w:val="24"/>
          <w:lang w:val="it-IT" w:eastAsia="en-US"/>
        </w:rPr>
        <w:tab/>
        <w:t xml:space="preserve">saskaņā ar </w:t>
      </w:r>
      <w:proofErr w:type="gramStart"/>
      <w:r w:rsidRPr="00EB04F1">
        <w:rPr>
          <w:szCs w:val="24"/>
          <w:lang w:val="it-IT" w:eastAsia="en-US"/>
        </w:rPr>
        <w:t>6.–</w:t>
      </w:r>
      <w:proofErr w:type="gramEnd"/>
      <w:r w:rsidRPr="00EB04F1">
        <w:rPr>
          <w:szCs w:val="24"/>
          <w:lang w:val="it-IT" w:eastAsia="en-US"/>
        </w:rPr>
        <w:t>9. pantu veiktā augsnes veselības monitoringa un novērtēšanas dati un rezultāti;</w:t>
      </w:r>
    </w:p>
    <w:p w14:paraId="5E6F1953" w14:textId="5EA2567D" w:rsidR="00DA4F3E" w:rsidRPr="00EB04F1" w:rsidRDefault="00DA4F3E" w:rsidP="00DA4F3E">
      <w:pPr>
        <w:spacing w:before="120" w:after="120" w:line="360" w:lineRule="auto"/>
        <w:ind w:left="1416" w:hanging="566"/>
        <w:rPr>
          <w:b/>
          <w:szCs w:val="24"/>
          <w:lang w:val="it-IT" w:eastAsia="en-US"/>
        </w:rPr>
      </w:pPr>
      <w:r w:rsidRPr="00EB04F1">
        <w:rPr>
          <w:szCs w:val="24"/>
          <w:lang w:val="it-IT" w:eastAsia="en-US"/>
        </w:rPr>
        <w:t>b)</w:t>
      </w:r>
      <w:r w:rsidRPr="00EB04F1">
        <w:rPr>
          <w:szCs w:val="24"/>
          <w:lang w:val="it-IT" w:eastAsia="en-US"/>
        </w:rPr>
        <w:tab/>
      </w:r>
      <w:r w:rsidRPr="00EB04F1">
        <w:rPr>
          <w:b/>
          <w:i/>
          <w:szCs w:val="24"/>
          <w:lang w:val="it-IT" w:eastAsia="en-US"/>
        </w:rPr>
        <w:t xml:space="preserve">pamatojuma dati, metadati un </w:t>
      </w:r>
      <w:r w:rsidRPr="00EB04F1">
        <w:rPr>
          <w:szCs w:val="24"/>
          <w:lang w:val="it-IT" w:eastAsia="en-US"/>
        </w:rPr>
        <w:t>augsnes veselības tendenču analīze pēc I pielikuma A, B un C daļā norādītajiem deskriptoriem</w:t>
      </w:r>
      <w:r w:rsidRPr="00EB04F1">
        <w:rPr>
          <w:b/>
          <w:i/>
          <w:szCs w:val="24"/>
          <w:lang w:val="it-IT" w:eastAsia="en-US"/>
        </w:rPr>
        <w:t xml:space="preserve"> atbilstīgi izvēlētajam augsnes monitoringa koncepcijas līmenim</w:t>
      </w:r>
      <w:r w:rsidRPr="00EB04F1">
        <w:rPr>
          <w:szCs w:val="24"/>
          <w:lang w:val="it-IT" w:eastAsia="en-US"/>
        </w:rPr>
        <w:t xml:space="preserve"> un I pielikuma D daļā norādītajiem zemes aizņemšanas un augsnes noslēgšanas indikatoriem saskaņā ar 9. pantu</w:t>
      </w:r>
      <w:r w:rsidRPr="00EB04F1">
        <w:rPr>
          <w:b/>
          <w:i/>
          <w:szCs w:val="24"/>
          <w:lang w:val="it-IT" w:eastAsia="en-US"/>
        </w:rPr>
        <w:t>, kā arī paplašinātie deskriptori, ko norādījusi katra atsevišķā dalībvalsts</w:t>
      </w:r>
      <w:r w:rsidRPr="00EB04F1">
        <w:rPr>
          <w:szCs w:val="24"/>
          <w:lang w:val="it-IT" w:eastAsia="en-US"/>
        </w:rPr>
        <w:t>;</w:t>
      </w:r>
      <w:r w:rsidR="00455113" w:rsidRPr="00EB04F1">
        <w:rPr>
          <w:b/>
          <w:szCs w:val="24"/>
          <w:lang w:val="it-IT" w:eastAsia="en-US"/>
        </w:rPr>
        <w:t xml:space="preserve"> [Gr. 169]</w:t>
      </w:r>
    </w:p>
    <w:p w14:paraId="76F74C0A" w14:textId="77777777" w:rsidR="00455113" w:rsidRPr="00EB04F1" w:rsidRDefault="00455113">
      <w:pPr>
        <w:widowControl/>
        <w:rPr>
          <w:szCs w:val="24"/>
          <w:lang w:val="it-IT" w:eastAsia="en-US"/>
        </w:rPr>
      </w:pPr>
      <w:r w:rsidRPr="00EB04F1">
        <w:rPr>
          <w:szCs w:val="24"/>
          <w:lang w:val="it-IT" w:eastAsia="en-US"/>
        </w:rPr>
        <w:br w:type="page"/>
      </w:r>
    </w:p>
    <w:p w14:paraId="672B6F2C" w14:textId="14DCD580"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lastRenderedPageBreak/>
        <w:t>c)</w:t>
      </w:r>
      <w:r w:rsidRPr="00EB04F1">
        <w:rPr>
          <w:szCs w:val="24"/>
          <w:lang w:val="it-IT" w:eastAsia="en-US"/>
        </w:rPr>
        <w:tab/>
        <w:t>kopsavilkums par progresu šādās jomās:</w:t>
      </w:r>
    </w:p>
    <w:p w14:paraId="0854EC04" w14:textId="77777777"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i)</w:t>
      </w:r>
      <w:r w:rsidRPr="00EB04F1">
        <w:rPr>
          <w:szCs w:val="24"/>
          <w:lang w:val="it-IT" w:eastAsia="en-US"/>
        </w:rPr>
        <w:tab/>
        <w:t>ilgtspējīgas augsnes apsaimniekošanas principu ieviešana saskaņā ar 10. pantu;</w:t>
      </w:r>
    </w:p>
    <w:p w14:paraId="3CEF00B0" w14:textId="77777777"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ii)</w:t>
      </w:r>
      <w:r w:rsidRPr="00EB04F1">
        <w:rPr>
          <w:szCs w:val="24"/>
          <w:lang w:val="it-IT" w:eastAsia="en-US"/>
        </w:rPr>
        <w:tab/>
        <w:t xml:space="preserve">kontaminētu objektu reģistrēšana, apzināšana, izpēte un apsaimniekošana saskaņā ar </w:t>
      </w:r>
      <w:proofErr w:type="gramStart"/>
      <w:r w:rsidRPr="00EB04F1">
        <w:rPr>
          <w:szCs w:val="24"/>
          <w:lang w:val="it-IT" w:eastAsia="en-US"/>
        </w:rPr>
        <w:t>12.–</w:t>
      </w:r>
      <w:proofErr w:type="gramEnd"/>
      <w:r w:rsidRPr="00EB04F1">
        <w:rPr>
          <w:szCs w:val="24"/>
          <w:lang w:val="it-IT" w:eastAsia="en-US"/>
        </w:rPr>
        <w:t>16. pantu;</w:t>
      </w:r>
    </w:p>
    <w:p w14:paraId="37FA325C" w14:textId="082D12D9"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d)</w:t>
      </w:r>
      <w:r w:rsidRPr="00EB04F1">
        <w:rPr>
          <w:szCs w:val="24"/>
          <w:lang w:val="it-IT" w:eastAsia="en-US"/>
        </w:rPr>
        <w:tab/>
        <w:t>dati un informācija, kas iekļauta 16. pantā minētajā reģistrā.</w:t>
      </w:r>
    </w:p>
    <w:p w14:paraId="146AC5C5" w14:textId="67B55CB7" w:rsidR="00DA4F3E" w:rsidRPr="00EB04F1" w:rsidRDefault="00DA4F3E" w:rsidP="00DA4F3E">
      <w:pPr>
        <w:spacing w:before="120" w:after="120" w:line="360" w:lineRule="auto"/>
        <w:ind w:left="850"/>
        <w:rPr>
          <w:b/>
          <w:szCs w:val="24"/>
          <w:lang w:val="it-IT" w:eastAsia="en-US"/>
        </w:rPr>
      </w:pPr>
      <w:r w:rsidRPr="00EB04F1">
        <w:rPr>
          <w:szCs w:val="24"/>
          <w:lang w:val="it-IT" w:eastAsia="en-US"/>
        </w:rPr>
        <w:t xml:space="preserve">Pirmos ziņojumus iesniedz līdz … (PB: ierakstīt datumu, kas ir </w:t>
      </w:r>
      <w:r w:rsidRPr="00EB04F1">
        <w:rPr>
          <w:strike/>
          <w:szCs w:val="24"/>
          <w:lang w:val="it-IT" w:eastAsia="en-US"/>
        </w:rPr>
        <w:t>5</w:t>
      </w:r>
      <w:r w:rsidRPr="00EB04F1">
        <w:rPr>
          <w:b/>
          <w:i/>
          <w:szCs w:val="24"/>
          <w:lang w:val="it-IT" w:eastAsia="en-US"/>
        </w:rPr>
        <w:t>6</w:t>
      </w:r>
      <w:r w:rsidRPr="00EB04F1">
        <w:rPr>
          <w:szCs w:val="24"/>
          <w:lang w:val="it-IT" w:eastAsia="en-US"/>
        </w:rPr>
        <w:t xml:space="preserve"> gadus</w:t>
      </w:r>
      <w:r w:rsidRPr="00EB04F1">
        <w:rPr>
          <w:strike/>
          <w:szCs w:val="24"/>
          <w:lang w:val="it-IT" w:eastAsia="en-US"/>
        </w:rPr>
        <w:t xml:space="preserve"> un 6 mēnešus</w:t>
      </w:r>
      <w:r w:rsidRPr="00EB04F1">
        <w:rPr>
          <w:szCs w:val="24"/>
          <w:lang w:val="it-IT" w:eastAsia="en-US"/>
        </w:rPr>
        <w:t xml:space="preserve"> pēc šīs direktīvas spēkā stāšanās dienas).</w:t>
      </w:r>
      <w:r w:rsidR="00455113" w:rsidRPr="00EB04F1">
        <w:rPr>
          <w:b/>
          <w:szCs w:val="24"/>
          <w:lang w:val="it-IT" w:eastAsia="en-US"/>
        </w:rPr>
        <w:t xml:space="preserve"> [Gr. 171]</w:t>
      </w:r>
    </w:p>
    <w:p w14:paraId="5F31E1F1"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2.</w:t>
      </w:r>
      <w:r w:rsidRPr="00EB04F1">
        <w:rPr>
          <w:szCs w:val="24"/>
          <w:lang w:val="it-IT" w:eastAsia="en-US"/>
        </w:rPr>
        <w:tab/>
        <w:t>Dalībvalstis nodrošina, ka Komisijai un EVA ir pastāvīga piekļuve 1. punktā minētajai informācijai un datiem.</w:t>
      </w:r>
    </w:p>
    <w:p w14:paraId="17B5D06A"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3.</w:t>
      </w:r>
      <w:r w:rsidRPr="00EB04F1">
        <w:rPr>
          <w:szCs w:val="24"/>
          <w:lang w:val="it-IT" w:eastAsia="en-US"/>
        </w:rPr>
        <w:tab/>
        <w:t>Dalībvalstis Komisijai nodrošina tiešsaistes piekļuvi šādām ziņām:</w:t>
      </w:r>
    </w:p>
    <w:p w14:paraId="350941A2" w14:textId="0DDA2814" w:rsidR="00DA4F3E" w:rsidRPr="00EB04F1" w:rsidRDefault="00DA4F3E" w:rsidP="00DA4F3E">
      <w:pPr>
        <w:spacing w:before="120" w:after="120" w:line="360" w:lineRule="auto"/>
        <w:ind w:left="1416" w:hanging="566"/>
        <w:rPr>
          <w:b/>
          <w:szCs w:val="24"/>
          <w:lang w:val="it-IT" w:eastAsia="en-US"/>
        </w:rPr>
      </w:pPr>
      <w:r w:rsidRPr="00EB04F1">
        <w:rPr>
          <w:szCs w:val="24"/>
          <w:lang w:val="it-IT" w:eastAsia="en-US"/>
        </w:rPr>
        <w:t>a)</w:t>
      </w:r>
      <w:r w:rsidRPr="00EB04F1">
        <w:rPr>
          <w:szCs w:val="24"/>
          <w:lang w:val="it-IT" w:eastAsia="en-US"/>
        </w:rPr>
        <w:tab/>
        <w:t xml:space="preserve">atjaunināts 4. pantā minēto augsnes rajonu saraksts un telpiskie dati — līdz … (PB: ierakstīt datumu, kas ir </w:t>
      </w:r>
      <w:r w:rsidRPr="00EB04F1">
        <w:rPr>
          <w:strike/>
          <w:szCs w:val="24"/>
          <w:lang w:val="it-IT" w:eastAsia="en-US"/>
        </w:rPr>
        <w:t>2 gadus un 3</w:t>
      </w:r>
      <w:r w:rsidRPr="00EB04F1">
        <w:rPr>
          <w:b/>
          <w:i/>
          <w:szCs w:val="24"/>
          <w:lang w:val="it-IT" w:eastAsia="en-US"/>
        </w:rPr>
        <w:t>12</w:t>
      </w:r>
      <w:r w:rsidRPr="00EB04F1">
        <w:rPr>
          <w:szCs w:val="24"/>
          <w:lang w:val="it-IT" w:eastAsia="en-US"/>
        </w:rPr>
        <w:t xml:space="preserve"> mēnešus pēc šīs direktīvas spēkā stāšanās dienas)</w:t>
      </w:r>
      <w:r w:rsidRPr="00EB04F1">
        <w:rPr>
          <w:b/>
          <w:i/>
          <w:szCs w:val="24"/>
          <w:lang w:val="it-IT" w:eastAsia="en-US"/>
        </w:rPr>
        <w:t xml:space="preserve"> — un to attiecīgie rajonu plāni, ja tie ir pieejami</w:t>
      </w:r>
      <w:r w:rsidRPr="00EB04F1">
        <w:rPr>
          <w:szCs w:val="24"/>
          <w:lang w:val="it-IT" w:eastAsia="en-US"/>
        </w:rPr>
        <w:t>;</w:t>
      </w:r>
      <w:r w:rsidR="00455113" w:rsidRPr="00EB04F1">
        <w:rPr>
          <w:b/>
          <w:szCs w:val="24"/>
          <w:lang w:val="it-IT" w:eastAsia="en-US"/>
        </w:rPr>
        <w:t xml:space="preserve"> [Gr. 172]</w:t>
      </w:r>
    </w:p>
    <w:p w14:paraId="6DA0811B" w14:textId="77777777" w:rsidR="00455113" w:rsidRPr="00EB04F1" w:rsidRDefault="00455113">
      <w:pPr>
        <w:widowControl/>
        <w:rPr>
          <w:szCs w:val="24"/>
          <w:lang w:val="it-IT" w:eastAsia="en-US"/>
        </w:rPr>
      </w:pPr>
      <w:r w:rsidRPr="00EB04F1">
        <w:rPr>
          <w:szCs w:val="24"/>
          <w:lang w:val="it-IT" w:eastAsia="en-US"/>
        </w:rPr>
        <w:br w:type="page"/>
      </w:r>
    </w:p>
    <w:p w14:paraId="3F27B67F" w14:textId="4C9E47B1" w:rsidR="00DA4F3E" w:rsidRPr="00EB04F1" w:rsidRDefault="00DA4F3E" w:rsidP="00DA4F3E">
      <w:pPr>
        <w:spacing w:before="120" w:after="120" w:line="360" w:lineRule="auto"/>
        <w:ind w:left="1416" w:hanging="566"/>
        <w:rPr>
          <w:b/>
          <w:szCs w:val="24"/>
          <w:lang w:val="it-IT" w:eastAsia="en-US"/>
        </w:rPr>
      </w:pPr>
      <w:r w:rsidRPr="00EB04F1">
        <w:rPr>
          <w:szCs w:val="24"/>
          <w:lang w:val="it-IT" w:eastAsia="en-US"/>
        </w:rPr>
        <w:lastRenderedPageBreak/>
        <w:t>b)</w:t>
      </w:r>
      <w:r w:rsidRPr="00EB04F1">
        <w:rPr>
          <w:szCs w:val="24"/>
          <w:lang w:val="it-IT" w:eastAsia="en-US"/>
        </w:rPr>
        <w:tab/>
        <w:t xml:space="preserve">atjaunināts 5. pantā minēto kompetento iestāžu saraksts — līdz … (PB: ierakstīt datumu, kas ir </w:t>
      </w:r>
      <w:r w:rsidRPr="00EB04F1">
        <w:rPr>
          <w:strike/>
          <w:szCs w:val="24"/>
          <w:lang w:val="it-IT" w:eastAsia="en-US"/>
        </w:rPr>
        <w:t>2 gadus un 3</w:t>
      </w:r>
      <w:r w:rsidRPr="00EB04F1">
        <w:rPr>
          <w:b/>
          <w:i/>
          <w:szCs w:val="24"/>
          <w:lang w:val="it-IT" w:eastAsia="en-US"/>
        </w:rPr>
        <w:t>12</w:t>
      </w:r>
      <w:r w:rsidRPr="00EB04F1">
        <w:rPr>
          <w:szCs w:val="24"/>
          <w:lang w:val="it-IT" w:eastAsia="en-US"/>
        </w:rPr>
        <w:t xml:space="preserve"> mēnešus pēc šīs direktīvas spēkā stāšanās dienas);</w:t>
      </w:r>
      <w:r w:rsidR="00455113" w:rsidRPr="00EB04F1">
        <w:rPr>
          <w:b/>
          <w:szCs w:val="24"/>
          <w:lang w:val="it-IT" w:eastAsia="en-US"/>
        </w:rPr>
        <w:t xml:space="preserve"> [Gr. 173]</w:t>
      </w:r>
    </w:p>
    <w:p w14:paraId="71910D63" w14:textId="4CE2197D"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c)</w:t>
      </w:r>
      <w:r w:rsidRPr="00EB04F1">
        <w:rPr>
          <w:szCs w:val="24"/>
          <w:lang w:val="it-IT" w:eastAsia="en-US"/>
        </w:rPr>
        <w:tab/>
        <w:t>pasākumi un ilgtspējīgas augsnes apsaimniekošanas prakses, kas minētas 10. pantā, — līdz … (PB: ierakstīt datumu, kas ir 4 gadus un 3 mēnešus pēc šīs di</w:t>
      </w:r>
      <w:r w:rsidR="00455113" w:rsidRPr="00EB04F1">
        <w:rPr>
          <w:szCs w:val="24"/>
          <w:lang w:val="it-IT" w:eastAsia="en-US"/>
        </w:rPr>
        <w:t>rektīvas spēkā stāšanās dienas);</w:t>
      </w:r>
    </w:p>
    <w:p w14:paraId="64BB7457" w14:textId="77F1CA4F" w:rsidR="00DA4F3E" w:rsidRPr="00EB04F1" w:rsidRDefault="00DA4F3E" w:rsidP="00DA4F3E">
      <w:pPr>
        <w:spacing w:before="120" w:after="120" w:line="360" w:lineRule="auto"/>
        <w:ind w:left="1416" w:hanging="566"/>
        <w:rPr>
          <w:b/>
          <w:szCs w:val="24"/>
          <w:lang w:val="it-IT" w:eastAsia="en-US"/>
        </w:rPr>
      </w:pPr>
      <w:r w:rsidRPr="00EB04F1">
        <w:rPr>
          <w:b/>
          <w:i/>
          <w:szCs w:val="24"/>
          <w:lang w:val="it-IT" w:eastAsia="en-US"/>
        </w:rPr>
        <w:t>ca)</w:t>
      </w:r>
      <w:r w:rsidRPr="00EB04F1">
        <w:rPr>
          <w:szCs w:val="24"/>
          <w:lang w:val="it-IT" w:eastAsia="en-US"/>
        </w:rPr>
        <w:tab/>
      </w:r>
      <w:r w:rsidRPr="00EB04F1">
        <w:rPr>
          <w:b/>
          <w:i/>
          <w:szCs w:val="24"/>
          <w:lang w:val="it-IT" w:eastAsia="en-US"/>
        </w:rPr>
        <w:t>augsnes deskriptoru mērījumi paraugošanas punktā;</w:t>
      </w:r>
      <w:r w:rsidR="00455113" w:rsidRPr="00EB04F1">
        <w:rPr>
          <w:b/>
          <w:szCs w:val="24"/>
          <w:lang w:val="it-IT" w:eastAsia="en-US"/>
        </w:rPr>
        <w:t xml:space="preserve"> [Gr. 174]</w:t>
      </w:r>
    </w:p>
    <w:p w14:paraId="066B24AC"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4.</w:t>
      </w:r>
      <w:r w:rsidRPr="00EB04F1">
        <w:rPr>
          <w:szCs w:val="24"/>
          <w:lang w:val="it-IT" w:eastAsia="en-US"/>
        </w:rPr>
        <w:tab/>
        <w:t>Komisija ir pilnvarota pieņemt īstenošanas aktus, ar kuriem nosaka šā panta 1. punktā minētās informācijas iesniegšanas formātu un kārtību. Minētos īstenošanas aktus pieņem saskaņā ar 21. pantā minēto pārbaudes procedūru.</w:t>
      </w:r>
    </w:p>
    <w:p w14:paraId="17CD5DBC" w14:textId="77777777" w:rsidR="00455113" w:rsidRPr="00EB04F1" w:rsidRDefault="00455113">
      <w:pPr>
        <w:widowControl/>
        <w:rPr>
          <w:szCs w:val="24"/>
          <w:lang w:val="it-IT" w:eastAsia="en-US"/>
        </w:rPr>
      </w:pPr>
      <w:r w:rsidRPr="00EB04F1">
        <w:rPr>
          <w:szCs w:val="24"/>
          <w:lang w:val="it-IT" w:eastAsia="en-US"/>
        </w:rPr>
        <w:br w:type="page"/>
      </w:r>
    </w:p>
    <w:p w14:paraId="576A7FA6" w14:textId="18F8B1E5"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19. pants</w:t>
      </w:r>
      <w:r w:rsidRPr="00EB04F1">
        <w:rPr>
          <w:szCs w:val="24"/>
          <w:lang w:val="it-IT" w:eastAsia="en-US"/>
        </w:rPr>
        <w:br/>
        <w:t>Informācija sabiedrībai</w:t>
      </w:r>
    </w:p>
    <w:p w14:paraId="2BAFE0BE" w14:textId="23F43841"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1.</w:t>
      </w:r>
      <w:r w:rsidRPr="00EB04F1">
        <w:rPr>
          <w:szCs w:val="24"/>
          <w:lang w:val="it-IT" w:eastAsia="en-US"/>
        </w:rPr>
        <w:tab/>
        <w:t xml:space="preserve">Dalībvalstis saskaņā ar šīs direktīvas 8. pantu veiktajā monitoringā iegūtos datus un saskaņā ar 9. pantu </w:t>
      </w:r>
      <w:r w:rsidRPr="00EB04F1">
        <w:rPr>
          <w:strike/>
          <w:szCs w:val="24"/>
          <w:lang w:val="it-IT" w:eastAsia="en-US"/>
        </w:rPr>
        <w:t>veikto novērtējumu</w:t>
      </w:r>
      <w:r w:rsidRPr="00EB04F1">
        <w:rPr>
          <w:b/>
          <w:i/>
          <w:szCs w:val="24"/>
          <w:lang w:val="it-IT" w:eastAsia="en-US"/>
        </w:rPr>
        <w:t>un 10. panta 3. punktu veiktos novērtējumus</w:t>
      </w:r>
      <w:r w:rsidRPr="00EB04F1">
        <w:rPr>
          <w:szCs w:val="24"/>
          <w:lang w:val="it-IT" w:eastAsia="en-US"/>
        </w:rPr>
        <w:t xml:space="preserve"> dara publiski piekļūstamus saskaņā ar Eiropas Parlamenta un Padomes Direktīvas 2007/2/EK</w:t>
      </w:r>
      <w:r w:rsidRPr="00EB04F1">
        <w:rPr>
          <w:szCs w:val="24"/>
          <w:vertAlign w:val="superscript"/>
          <w:lang w:val="en-GB" w:eastAsia="en-US"/>
        </w:rPr>
        <w:footnoteReference w:id="54"/>
      </w:r>
      <w:r w:rsidRPr="00EB04F1">
        <w:rPr>
          <w:szCs w:val="24"/>
          <w:lang w:val="it-IT" w:eastAsia="en-US"/>
        </w:rPr>
        <w:t xml:space="preserve"> 11. panta noteikumiem, ja tie ir ģeogrāfiski eksplicīti dati, bet saskaņā ar Direktīvas (ES) 2019/1024 5. panta noteikumiem, ja tie ir citi dati.</w:t>
      </w:r>
      <w:r w:rsidR="00455113" w:rsidRPr="00EB04F1">
        <w:rPr>
          <w:b/>
          <w:szCs w:val="24"/>
          <w:lang w:val="it-IT" w:eastAsia="en-US"/>
        </w:rPr>
        <w:t xml:space="preserve"> [Gr. 175]</w:t>
      </w:r>
    </w:p>
    <w:p w14:paraId="154D9FE9" w14:textId="54787EDA"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2.</w:t>
      </w:r>
      <w:r w:rsidRPr="00EB04F1">
        <w:rPr>
          <w:szCs w:val="24"/>
          <w:lang w:val="it-IT" w:eastAsia="en-US"/>
        </w:rPr>
        <w:tab/>
        <w:t>Komisija nodrošina, ka</w:t>
      </w:r>
      <w:r w:rsidRPr="00EB04F1">
        <w:rPr>
          <w:b/>
          <w:i/>
          <w:szCs w:val="24"/>
          <w:lang w:val="it-IT" w:eastAsia="en-US"/>
        </w:rPr>
        <w:t xml:space="preserve"> attiecīgie</w:t>
      </w:r>
      <w:r w:rsidRPr="00EB04F1">
        <w:rPr>
          <w:szCs w:val="24"/>
          <w:lang w:val="it-IT" w:eastAsia="en-US"/>
        </w:rPr>
        <w:t xml:space="preserve"> augsnes veselības dati, kas darīti pieejami, izmantojot 6. pantā minēto digitālo augsnes veselības datu portālu, ir publiski pieejami </w:t>
      </w:r>
      <w:r w:rsidRPr="00EB04F1">
        <w:rPr>
          <w:b/>
          <w:i/>
          <w:szCs w:val="24"/>
          <w:lang w:val="it-IT" w:eastAsia="en-US"/>
        </w:rPr>
        <w:t xml:space="preserve">tikai ar zemes īpašnieka un zemes apsaimniekotāja skaidru atļauju apkopotā un anonimizētā formātā </w:t>
      </w:r>
      <w:r w:rsidRPr="00EB04F1">
        <w:rPr>
          <w:szCs w:val="24"/>
          <w:lang w:val="it-IT" w:eastAsia="en-US"/>
        </w:rPr>
        <w:t>saskaņā ar Eiropas Parlamenta un Padomes Regulu (ES) 2018/1725</w:t>
      </w:r>
      <w:r w:rsidRPr="00EB04F1">
        <w:rPr>
          <w:szCs w:val="24"/>
          <w:vertAlign w:val="superscript"/>
          <w:lang w:val="en-GB" w:eastAsia="en-US"/>
        </w:rPr>
        <w:footnoteReference w:id="55"/>
      </w:r>
      <w:r w:rsidRPr="00EB04F1">
        <w:rPr>
          <w:szCs w:val="24"/>
          <w:lang w:val="it-IT" w:eastAsia="en-US"/>
        </w:rPr>
        <w:t xml:space="preserve"> un Eiropas Parlamenta un Padomes Regulu (EK) Nr. 1367/2006</w:t>
      </w:r>
      <w:r w:rsidRPr="00EB04F1">
        <w:rPr>
          <w:szCs w:val="24"/>
          <w:vertAlign w:val="superscript"/>
          <w:lang w:val="en-GB" w:eastAsia="en-US"/>
        </w:rPr>
        <w:footnoteReference w:id="56"/>
      </w:r>
      <w:r w:rsidRPr="00EB04F1">
        <w:rPr>
          <w:szCs w:val="24"/>
          <w:lang w:val="it-IT" w:eastAsia="en-US"/>
        </w:rPr>
        <w:t>.</w:t>
      </w:r>
      <w:r w:rsidR="00455113" w:rsidRPr="00EB04F1">
        <w:rPr>
          <w:b/>
          <w:szCs w:val="24"/>
          <w:lang w:val="it-IT" w:eastAsia="en-US"/>
        </w:rPr>
        <w:t xml:space="preserve"> [Gr. 231]</w:t>
      </w:r>
    </w:p>
    <w:p w14:paraId="07A8766B" w14:textId="77777777" w:rsidR="00455113" w:rsidRPr="00EB04F1" w:rsidRDefault="00455113">
      <w:pPr>
        <w:widowControl/>
        <w:rPr>
          <w:szCs w:val="24"/>
          <w:lang w:val="it-IT" w:eastAsia="en-US"/>
        </w:rPr>
      </w:pPr>
      <w:r w:rsidRPr="00EB04F1">
        <w:rPr>
          <w:szCs w:val="24"/>
          <w:lang w:val="it-IT" w:eastAsia="en-US"/>
        </w:rPr>
        <w:br w:type="page"/>
      </w:r>
    </w:p>
    <w:p w14:paraId="5DFC5AAD" w14:textId="4F0B0372"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lastRenderedPageBreak/>
        <w:t>3.</w:t>
      </w:r>
      <w:r w:rsidRPr="00EB04F1">
        <w:rPr>
          <w:szCs w:val="24"/>
          <w:lang w:val="it-IT" w:eastAsia="en-US"/>
        </w:rPr>
        <w:tab/>
        <w:t xml:space="preserve">Dalībvalstis nodrošina, ka šīs direktīvas 18. pantā minētā </w:t>
      </w:r>
      <w:r w:rsidRPr="00EB04F1">
        <w:rPr>
          <w:b/>
          <w:i/>
          <w:szCs w:val="24"/>
          <w:lang w:val="it-IT" w:eastAsia="en-US"/>
        </w:rPr>
        <w:t xml:space="preserve">attiecīgā </w:t>
      </w:r>
      <w:r w:rsidRPr="00EB04F1">
        <w:rPr>
          <w:szCs w:val="24"/>
          <w:lang w:val="it-IT" w:eastAsia="en-US"/>
        </w:rPr>
        <w:t>informācija ir publiski pieejama un piekļūstama</w:t>
      </w:r>
      <w:r w:rsidRPr="00EB04F1">
        <w:rPr>
          <w:b/>
          <w:i/>
          <w:szCs w:val="24"/>
          <w:lang w:val="it-IT" w:eastAsia="en-US"/>
        </w:rPr>
        <w:t xml:space="preserve"> tikai ar zemes īpašnieka un zemes apsaimniekotāja skaidru atļauju apkopotā un anonimizētā formātā</w:t>
      </w:r>
      <w:r w:rsidRPr="00EB04F1">
        <w:rPr>
          <w:szCs w:val="24"/>
          <w:lang w:val="it-IT" w:eastAsia="en-US"/>
        </w:rPr>
        <w:t xml:space="preserve"> saskaņā ar Eiropas Parlamenta un Padomes Direktīvu 2003/4/EK, Direktīvu 2007/2/EK un Direktīvu (ES) 2019/1024</w:t>
      </w:r>
      <w:r w:rsidRPr="00EB04F1">
        <w:rPr>
          <w:szCs w:val="24"/>
          <w:vertAlign w:val="superscript"/>
          <w:lang w:val="en-GB" w:eastAsia="en-US"/>
        </w:rPr>
        <w:footnoteReference w:id="57"/>
      </w:r>
      <w:r w:rsidRPr="00EB04F1">
        <w:rPr>
          <w:szCs w:val="24"/>
          <w:lang w:val="it-IT" w:eastAsia="en-US"/>
        </w:rPr>
        <w:t>.</w:t>
      </w:r>
      <w:r w:rsidR="00455113" w:rsidRPr="00EB04F1">
        <w:rPr>
          <w:b/>
          <w:szCs w:val="24"/>
          <w:lang w:val="it-IT" w:eastAsia="en-US"/>
        </w:rPr>
        <w:t xml:space="preserve"> [Gr. 232]</w:t>
      </w:r>
    </w:p>
    <w:p w14:paraId="352F7F0E"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4.</w:t>
      </w:r>
      <w:r w:rsidRPr="00EB04F1">
        <w:rPr>
          <w:szCs w:val="24"/>
          <w:lang w:val="it-IT" w:eastAsia="en-US"/>
        </w:rPr>
        <w:tab/>
        <w:t>Jebkuras šajā direktīvā prasītās informācijas izpaušanu var atteikt vai ierobežot, ja ir izpildīti Direktīvas 2003/4/EK 4. pantā noteiktie nosacījumi.</w:t>
      </w:r>
    </w:p>
    <w:p w14:paraId="7A2A1E9D" w14:textId="304105E1"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4</w:t>
      </w:r>
      <w:r w:rsidR="00455113" w:rsidRPr="00EB04F1">
        <w:rPr>
          <w:b/>
          <w:i/>
          <w:szCs w:val="24"/>
          <w:lang w:val="it-IT" w:eastAsia="en-US"/>
        </w:rPr>
        <w:t>.</w:t>
      </w:r>
      <w:r w:rsidRPr="00EB04F1">
        <w:rPr>
          <w:b/>
          <w:i/>
          <w:szCs w:val="24"/>
          <w:lang w:val="it-IT" w:eastAsia="en-US"/>
        </w:rPr>
        <w:t>a</w:t>
      </w:r>
      <w:r w:rsidRPr="00EB04F1">
        <w:rPr>
          <w:szCs w:val="24"/>
          <w:lang w:val="it-IT" w:eastAsia="en-US"/>
        </w:rPr>
        <w:tab/>
      </w:r>
      <w:r w:rsidRPr="00EB04F1">
        <w:rPr>
          <w:b/>
          <w:i/>
          <w:szCs w:val="24"/>
          <w:lang w:val="it-IT" w:eastAsia="en-US"/>
        </w:rPr>
        <w:t>Dalībvalstis pieņem pasākumus, lai nodrošinātu, ka ar augsni saistīta informācija, kas apkopota, īstenojot šo direktīvu, tiktu darīta pieejama attiecībā zemes gabala potenciālajam pircējam vai potenciālajam īrniekam.</w:t>
      </w:r>
      <w:r w:rsidR="00455113" w:rsidRPr="00EB04F1">
        <w:rPr>
          <w:b/>
          <w:szCs w:val="24"/>
          <w:lang w:val="it-IT" w:eastAsia="en-US"/>
        </w:rPr>
        <w:t xml:space="preserve"> [Gr. 176]</w:t>
      </w:r>
    </w:p>
    <w:p w14:paraId="0362D8AA" w14:textId="77777777" w:rsidR="00455113" w:rsidRPr="00EB04F1" w:rsidRDefault="00455113">
      <w:pPr>
        <w:widowControl/>
        <w:rPr>
          <w:szCs w:val="24"/>
          <w:lang w:val="it-IT" w:eastAsia="en-US"/>
        </w:rPr>
      </w:pPr>
      <w:r w:rsidRPr="00EB04F1">
        <w:rPr>
          <w:szCs w:val="24"/>
          <w:lang w:val="it-IT" w:eastAsia="en-US"/>
        </w:rPr>
        <w:br w:type="page"/>
      </w:r>
    </w:p>
    <w:p w14:paraId="3CE567C5" w14:textId="498B6307"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VI nodaļa</w:t>
      </w:r>
      <w:r w:rsidRPr="00EB04F1">
        <w:rPr>
          <w:szCs w:val="24"/>
          <w:lang w:val="it-IT" w:eastAsia="en-US"/>
        </w:rPr>
        <w:br/>
        <w:t>Deleģēšana un komiteju procedūra</w:t>
      </w:r>
    </w:p>
    <w:p w14:paraId="47CAB86C" w14:textId="77777777" w:rsidR="00DA4F3E" w:rsidRPr="00EB04F1" w:rsidRDefault="00DA4F3E" w:rsidP="00DA4F3E">
      <w:pPr>
        <w:spacing w:before="120" w:after="120" w:line="360" w:lineRule="auto"/>
        <w:jc w:val="center"/>
        <w:rPr>
          <w:szCs w:val="24"/>
          <w:lang w:val="it-IT" w:eastAsia="en-US"/>
        </w:rPr>
      </w:pPr>
      <w:r w:rsidRPr="00EB04F1">
        <w:rPr>
          <w:szCs w:val="24"/>
          <w:lang w:val="it-IT" w:eastAsia="en-US"/>
        </w:rPr>
        <w:t>20. pants</w:t>
      </w:r>
      <w:r w:rsidRPr="00EB04F1">
        <w:rPr>
          <w:szCs w:val="24"/>
          <w:lang w:val="it-IT" w:eastAsia="en-US"/>
        </w:rPr>
        <w:br/>
        <w:t>Deleģēšanas īstenošana</w:t>
      </w:r>
    </w:p>
    <w:p w14:paraId="4711E87E"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1.</w:t>
      </w:r>
      <w:r w:rsidRPr="00EB04F1">
        <w:rPr>
          <w:szCs w:val="24"/>
          <w:lang w:val="it-IT" w:eastAsia="en-US"/>
        </w:rPr>
        <w:tab/>
        <w:t>Pilnvaras pieņemt deleģētos aktus Komisijai piešķir, ievērojot šajā pantā izklāstītos nosacījumus.</w:t>
      </w:r>
    </w:p>
    <w:p w14:paraId="1510FAC6" w14:textId="275AE1ED"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2.</w:t>
      </w:r>
      <w:r w:rsidRPr="00EB04F1">
        <w:rPr>
          <w:szCs w:val="24"/>
          <w:lang w:val="it-IT" w:eastAsia="en-US"/>
        </w:rPr>
        <w:tab/>
        <w:t xml:space="preserve">Pilnvaras pieņemt 8., </w:t>
      </w:r>
      <w:r w:rsidRPr="00EB04F1">
        <w:rPr>
          <w:strike/>
          <w:szCs w:val="24"/>
          <w:lang w:val="it-IT" w:eastAsia="en-US"/>
        </w:rPr>
        <w:t>10., 15. un 16</w:t>
      </w:r>
      <w:r w:rsidRPr="00EB04F1">
        <w:rPr>
          <w:b/>
          <w:i/>
          <w:szCs w:val="24"/>
          <w:lang w:val="it-IT" w:eastAsia="en-US"/>
        </w:rPr>
        <w:t>9. un 15</w:t>
      </w:r>
      <w:r w:rsidRPr="00EB04F1">
        <w:rPr>
          <w:szCs w:val="24"/>
          <w:lang w:val="it-IT" w:eastAsia="en-US"/>
        </w:rPr>
        <w:t>. pantā minētos deleģētos aktus Komisijai piešķir uz nenoteiktu laiku no šīs direktīvas spēkā stāšanās dienas.</w:t>
      </w:r>
      <w:r w:rsidR="00455113" w:rsidRPr="00EB04F1">
        <w:rPr>
          <w:b/>
          <w:szCs w:val="24"/>
          <w:lang w:val="it-IT" w:eastAsia="en-US"/>
        </w:rPr>
        <w:t xml:space="preserve"> [Gr. 177]</w:t>
      </w:r>
    </w:p>
    <w:p w14:paraId="47713EF8" w14:textId="0CC3BD12"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3.</w:t>
      </w:r>
      <w:r w:rsidRPr="00EB04F1">
        <w:rPr>
          <w:szCs w:val="24"/>
          <w:lang w:val="it-IT" w:eastAsia="en-US"/>
        </w:rPr>
        <w:tab/>
        <w:t xml:space="preserve">Eiropas Parlaments vai Padome jebkurā laikā var atsaukt 8., </w:t>
      </w:r>
      <w:r w:rsidRPr="00EB04F1">
        <w:rPr>
          <w:strike/>
          <w:szCs w:val="24"/>
          <w:lang w:val="it-IT" w:eastAsia="en-US"/>
        </w:rPr>
        <w:t>10., 15. un 16</w:t>
      </w:r>
      <w:r w:rsidRPr="00EB04F1">
        <w:rPr>
          <w:b/>
          <w:i/>
          <w:szCs w:val="24"/>
          <w:lang w:val="it-IT" w:eastAsia="en-US"/>
        </w:rPr>
        <w:t>9. un 15</w:t>
      </w:r>
      <w:r w:rsidRPr="00EB04F1">
        <w:rPr>
          <w:szCs w:val="24"/>
          <w:lang w:val="it-IT" w:eastAsia="en-US"/>
        </w:rPr>
        <w:t xml:space="preserve">. pantā minēto pilnvaru deleģēšanu. Ar lēmumu par atsaukšanu izbeidz tajā norādīto pilnvaru deleģēšanu. Lēmums stājas spēkā nākamajā dienā pēc tā publicēšanas </w:t>
      </w:r>
      <w:r w:rsidRPr="00EB04F1">
        <w:rPr>
          <w:i/>
          <w:szCs w:val="24"/>
          <w:lang w:val="it-IT" w:eastAsia="en-US"/>
        </w:rPr>
        <w:t>Eiropas Savienības Oficiālajā Vēstnesī</w:t>
      </w:r>
      <w:r w:rsidRPr="00EB04F1">
        <w:rPr>
          <w:szCs w:val="24"/>
          <w:lang w:val="it-IT" w:eastAsia="en-US"/>
        </w:rPr>
        <w:t xml:space="preserve"> vai vēlākā dienā, kas tajā norādīta. Tas neskar jau spēkā esošos deleģētos aktus.</w:t>
      </w:r>
      <w:r w:rsidR="00455113" w:rsidRPr="00EB04F1">
        <w:rPr>
          <w:b/>
          <w:szCs w:val="24"/>
          <w:lang w:val="it-IT" w:eastAsia="en-US"/>
        </w:rPr>
        <w:t xml:space="preserve"> [Gr. 178]</w:t>
      </w:r>
    </w:p>
    <w:p w14:paraId="43BCE13B" w14:textId="77777777" w:rsidR="00455113" w:rsidRPr="00EB04F1" w:rsidRDefault="00455113">
      <w:pPr>
        <w:widowControl/>
        <w:rPr>
          <w:szCs w:val="24"/>
          <w:lang w:val="it-IT" w:eastAsia="en-US"/>
        </w:rPr>
      </w:pPr>
      <w:r w:rsidRPr="00EB04F1">
        <w:rPr>
          <w:szCs w:val="24"/>
          <w:lang w:val="it-IT" w:eastAsia="en-US"/>
        </w:rPr>
        <w:br w:type="page"/>
      </w:r>
    </w:p>
    <w:p w14:paraId="5E897D0B" w14:textId="4C390D3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lastRenderedPageBreak/>
        <w:t>4.</w:t>
      </w:r>
      <w:r w:rsidRPr="00EB04F1">
        <w:rPr>
          <w:szCs w:val="24"/>
          <w:lang w:val="it-IT" w:eastAsia="en-US"/>
        </w:rPr>
        <w:tab/>
        <w:t>Pirms deleģētā akta pieņemšanas Komisija apspriežas ar katras dalībvalsts ieceltajiem ekspertiem saskaņā ar principiem, kas noteikti 2016. gada 13. aprīļa Iestāžu nolīgumā par labāku likumdošanas procesu.</w:t>
      </w:r>
    </w:p>
    <w:p w14:paraId="5B8EFDBD"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5.</w:t>
      </w:r>
      <w:r w:rsidRPr="00EB04F1">
        <w:rPr>
          <w:szCs w:val="24"/>
          <w:lang w:val="it-IT" w:eastAsia="en-US"/>
        </w:rPr>
        <w:tab/>
        <w:t>Tiklīdz Komisija pieņem deleģēto aktu, tā par to paziņo vienlaikus Eiropas Parlamentam un Padomei.</w:t>
      </w:r>
    </w:p>
    <w:p w14:paraId="17A92756" w14:textId="6CBABC14"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6.</w:t>
      </w:r>
      <w:r w:rsidRPr="00EB04F1">
        <w:rPr>
          <w:szCs w:val="24"/>
          <w:lang w:val="it-IT" w:eastAsia="en-US"/>
        </w:rPr>
        <w:tab/>
        <w:t xml:space="preserve">Saskaņā ar 8., </w:t>
      </w:r>
      <w:r w:rsidRPr="00EB04F1">
        <w:rPr>
          <w:strike/>
          <w:szCs w:val="24"/>
          <w:lang w:val="it-IT" w:eastAsia="en-US"/>
        </w:rPr>
        <w:t>10., 15. un 16</w:t>
      </w:r>
      <w:r w:rsidRPr="00EB04F1">
        <w:rPr>
          <w:b/>
          <w:i/>
          <w:szCs w:val="24"/>
          <w:lang w:val="it-IT" w:eastAsia="en-US"/>
        </w:rPr>
        <w:t>9. un 15</w:t>
      </w:r>
      <w:r w:rsidRPr="00EB04F1">
        <w:rPr>
          <w:szCs w:val="24"/>
          <w:lang w:val="it-IT" w:eastAsia="en-US"/>
        </w:rPr>
        <w:t>.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r w:rsidR="00455113" w:rsidRPr="00EB04F1">
        <w:rPr>
          <w:b/>
          <w:szCs w:val="24"/>
          <w:lang w:val="it-IT" w:eastAsia="en-US"/>
        </w:rPr>
        <w:t xml:space="preserve"> [Gr. 179]</w:t>
      </w:r>
    </w:p>
    <w:p w14:paraId="4AD3DEB9" w14:textId="77777777" w:rsidR="00455113" w:rsidRPr="00EB04F1" w:rsidRDefault="00455113">
      <w:pPr>
        <w:widowControl/>
        <w:rPr>
          <w:szCs w:val="24"/>
          <w:lang w:val="it-IT" w:eastAsia="en-US"/>
        </w:rPr>
      </w:pPr>
      <w:r w:rsidRPr="00EB04F1">
        <w:rPr>
          <w:szCs w:val="24"/>
          <w:lang w:val="it-IT" w:eastAsia="en-US"/>
        </w:rPr>
        <w:br w:type="page"/>
      </w:r>
    </w:p>
    <w:p w14:paraId="4F56C264" w14:textId="52CE2E52"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21. pants</w:t>
      </w:r>
      <w:r w:rsidRPr="00EB04F1">
        <w:rPr>
          <w:szCs w:val="24"/>
          <w:lang w:val="it-IT" w:eastAsia="en-US"/>
        </w:rPr>
        <w:br/>
        <w:t>Komiteja</w:t>
      </w:r>
    </w:p>
    <w:p w14:paraId="4E6C605A"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1.</w:t>
      </w:r>
      <w:r w:rsidRPr="00EB04F1">
        <w:rPr>
          <w:szCs w:val="24"/>
          <w:lang w:val="it-IT" w:eastAsia="en-US"/>
        </w:rPr>
        <w:tab/>
        <w:t>Komisijai palīdz komiteja. Minētā komiteja ir komiteja Regulas (ES) Nr. 182/2011 nozīmē.</w:t>
      </w:r>
    </w:p>
    <w:p w14:paraId="2EB9375C" w14:textId="77777777" w:rsidR="00DA4F3E" w:rsidRPr="00EB04F1" w:rsidRDefault="00DA4F3E" w:rsidP="00DA4F3E">
      <w:pPr>
        <w:spacing w:before="120" w:after="120" w:line="360" w:lineRule="auto"/>
        <w:ind w:left="850" w:hanging="850"/>
        <w:rPr>
          <w:szCs w:val="24"/>
          <w:lang w:val="es-ES" w:eastAsia="en-US"/>
        </w:rPr>
      </w:pPr>
      <w:r w:rsidRPr="00EB04F1">
        <w:rPr>
          <w:szCs w:val="24"/>
          <w:lang w:val="es-ES" w:eastAsia="en-US"/>
        </w:rPr>
        <w:t>2.</w:t>
      </w:r>
      <w:r w:rsidRPr="00EB04F1">
        <w:rPr>
          <w:szCs w:val="24"/>
          <w:lang w:val="es-ES" w:eastAsia="en-US"/>
        </w:rPr>
        <w:tab/>
        <w:t>Ja ir atsauce uz šo punktu, piemēro Regulas (ES) Nr. 182/2011 5. pantu.</w:t>
      </w:r>
    </w:p>
    <w:p w14:paraId="128D9606" w14:textId="77777777" w:rsidR="00DA4F3E" w:rsidRPr="00EB04F1" w:rsidRDefault="00DA4F3E" w:rsidP="00DA4F3E">
      <w:pPr>
        <w:spacing w:before="120" w:after="120" w:line="360" w:lineRule="auto"/>
        <w:jc w:val="center"/>
        <w:rPr>
          <w:szCs w:val="24"/>
          <w:lang w:val="es-ES" w:eastAsia="en-US"/>
        </w:rPr>
      </w:pPr>
      <w:r w:rsidRPr="00EB04F1">
        <w:rPr>
          <w:szCs w:val="24"/>
          <w:lang w:val="es-ES" w:eastAsia="en-US"/>
        </w:rPr>
        <w:t xml:space="preserve">VII nodaļa </w:t>
      </w:r>
      <w:r w:rsidRPr="00EB04F1">
        <w:rPr>
          <w:szCs w:val="24"/>
          <w:lang w:val="es-ES" w:eastAsia="en-US"/>
        </w:rPr>
        <w:br/>
        <w:t xml:space="preserve">Nobeiguma noteikumi </w:t>
      </w:r>
    </w:p>
    <w:p w14:paraId="5CC1103C" w14:textId="77777777" w:rsidR="00DA4F3E" w:rsidRPr="00EB04F1" w:rsidRDefault="00DA4F3E" w:rsidP="00DA4F3E">
      <w:pPr>
        <w:spacing w:before="120" w:after="120" w:line="360" w:lineRule="auto"/>
        <w:jc w:val="center"/>
        <w:rPr>
          <w:szCs w:val="24"/>
          <w:lang w:val="es-ES" w:eastAsia="en-US"/>
        </w:rPr>
      </w:pPr>
      <w:r w:rsidRPr="00EB04F1">
        <w:rPr>
          <w:szCs w:val="24"/>
          <w:lang w:val="es-ES" w:eastAsia="en-US"/>
        </w:rPr>
        <w:t>22. pants</w:t>
      </w:r>
      <w:r w:rsidRPr="00EB04F1">
        <w:rPr>
          <w:szCs w:val="24"/>
          <w:lang w:val="es-ES" w:eastAsia="en-US"/>
        </w:rPr>
        <w:br/>
        <w:t>Iespēja vērsties tiesā</w:t>
      </w:r>
    </w:p>
    <w:p w14:paraId="7598C681" w14:textId="77777777" w:rsidR="00DA4F3E" w:rsidRPr="00EB04F1" w:rsidRDefault="00DA4F3E" w:rsidP="00DA4F3E">
      <w:pPr>
        <w:spacing w:before="120" w:after="120" w:line="360" w:lineRule="auto"/>
        <w:rPr>
          <w:szCs w:val="24"/>
          <w:lang w:val="es-ES" w:eastAsia="en-US"/>
        </w:rPr>
      </w:pPr>
      <w:r w:rsidRPr="00EB04F1">
        <w:rPr>
          <w:szCs w:val="24"/>
          <w:lang w:val="es-ES" w:eastAsia="en-US"/>
        </w:rPr>
        <w:t>Dalībvalstis nodrošina, ka sabiedrības locekļiem, kuri saskaņā ar valsts tiesību aktiem ir pietiekami ieinteresēti vai kuri spēj norādīt uz tiesību aizskārumu, ir piekļuve lietas izskatīšanai tiesā vai citā ar likumu izveidotā neatkarīgā un objektīvā struktūrā, kurā tie var apstrīdēt augsnes veselības novērtējuma materiālo vai procesuālo likumību, pasākumus, kas veikti saskaņā ar šo direktīvu, un kompetento iestāžu bezdarbību.</w:t>
      </w:r>
    </w:p>
    <w:p w14:paraId="4CA969D9" w14:textId="77777777" w:rsidR="00455113" w:rsidRPr="00EB04F1" w:rsidRDefault="00455113">
      <w:pPr>
        <w:widowControl/>
        <w:rPr>
          <w:szCs w:val="24"/>
          <w:lang w:val="es-ES" w:eastAsia="en-US"/>
        </w:rPr>
      </w:pPr>
      <w:r w:rsidRPr="00EB04F1">
        <w:rPr>
          <w:szCs w:val="24"/>
          <w:lang w:val="es-ES" w:eastAsia="en-US"/>
        </w:rPr>
        <w:br w:type="page"/>
      </w:r>
    </w:p>
    <w:p w14:paraId="0104349C" w14:textId="6723A562" w:rsidR="00DA4F3E" w:rsidRPr="00EB04F1" w:rsidRDefault="00DA4F3E" w:rsidP="00DA4F3E">
      <w:pPr>
        <w:spacing w:before="120" w:after="120" w:line="360" w:lineRule="auto"/>
        <w:rPr>
          <w:b/>
          <w:szCs w:val="24"/>
          <w:lang w:val="es-ES" w:eastAsia="en-US"/>
        </w:rPr>
      </w:pPr>
      <w:r w:rsidRPr="00EB04F1">
        <w:rPr>
          <w:szCs w:val="24"/>
          <w:lang w:val="es-ES" w:eastAsia="en-US"/>
        </w:rPr>
        <w:lastRenderedPageBreak/>
        <w:t>Dalībvalstis nosaka, kāda ieinteresētība ir uzskatāma par pietiekamu un kas uzskatāms par tiesību aizskārumu, ievērojot mērķi sabiedrībai nodrošināt plašas iespējas vērsties tiesā</w:t>
      </w:r>
      <w:r w:rsidRPr="00EB04F1">
        <w:rPr>
          <w:strike/>
          <w:szCs w:val="24"/>
          <w:lang w:val="es-ES" w:eastAsia="en-US"/>
        </w:rPr>
        <w:t>. Piemērojot 1. punktu, uzskata, ka jebkurai nevalstiskai organizācijai, kas iestājas par vides aizsardzību un atbilst visām valsts tiesību aktu prasībām, ir</w:t>
      </w:r>
      <w:r w:rsidRPr="00EB04F1">
        <w:rPr>
          <w:b/>
          <w:i/>
          <w:szCs w:val="24"/>
          <w:lang w:val="es-ES" w:eastAsia="en-US"/>
        </w:rPr>
        <w:t xml:space="preserve"> saskaņā ar Orhūsas konvencijas 9. pantu.</w:t>
      </w:r>
      <w:r w:rsidRPr="00EB04F1">
        <w:rPr>
          <w:szCs w:val="24"/>
          <w:lang w:val="es-ES" w:eastAsia="en-US"/>
        </w:rPr>
        <w:t xml:space="preserve"> Tiesības</w:t>
      </w:r>
      <w:r w:rsidRPr="00EB04F1">
        <w:rPr>
          <w:strike/>
          <w:szCs w:val="24"/>
          <w:lang w:val="es-ES" w:eastAsia="en-US"/>
        </w:rPr>
        <w:t>, kas var tikt aizskartas, un to ieinteresētību uzskata par pietiekamu</w:t>
      </w:r>
      <w:r w:rsidRPr="00EB04F1">
        <w:rPr>
          <w:b/>
          <w:i/>
          <w:szCs w:val="24"/>
          <w:lang w:val="es-ES" w:eastAsia="en-US"/>
        </w:rPr>
        <w:t xml:space="preserve"> celt prasību nav atkarīgas no tā, vai attiecīgajam sabiedrības loceklim ir bijusi nozīme šajā direktīvā paredzēto lēmumu pieņemšanas procedūru līdzdalības posmā</w:t>
      </w:r>
      <w:r w:rsidRPr="00EB04F1">
        <w:rPr>
          <w:szCs w:val="24"/>
          <w:lang w:val="es-ES" w:eastAsia="en-US"/>
        </w:rPr>
        <w:t>.</w:t>
      </w:r>
      <w:r w:rsidR="00455113" w:rsidRPr="00EB04F1">
        <w:rPr>
          <w:b/>
          <w:szCs w:val="24"/>
          <w:lang w:val="es-ES" w:eastAsia="en-US"/>
        </w:rPr>
        <w:t xml:space="preserve"> [Gr. 180]</w:t>
      </w:r>
    </w:p>
    <w:p w14:paraId="1962EDF6" w14:textId="77777777" w:rsidR="00DA4F3E" w:rsidRPr="00EB04F1" w:rsidRDefault="00DA4F3E" w:rsidP="00DA4F3E">
      <w:pPr>
        <w:spacing w:before="120" w:after="120" w:line="360" w:lineRule="auto"/>
        <w:rPr>
          <w:szCs w:val="24"/>
          <w:lang w:val="es-ES" w:eastAsia="en-US"/>
        </w:rPr>
      </w:pPr>
      <w:r w:rsidRPr="00EB04F1">
        <w:rPr>
          <w:szCs w:val="24"/>
          <w:lang w:val="es-ES" w:eastAsia="en-US"/>
        </w:rPr>
        <w:t>Pirmajā daļā minētās izskatīšanas procedūras ir taisnīgas, objektīvas, laicīgas un bez maksas vai ne pārmērīgi dārgas, un tās paredz pienācīgus un iedarbīgus tiesiskās aizsardzības mehānismus, attiecīgā gadījumā arī pienākumrīkojumus.</w:t>
      </w:r>
    </w:p>
    <w:p w14:paraId="034FAD12" w14:textId="77777777" w:rsidR="00DA4F3E" w:rsidRPr="00EB04F1" w:rsidRDefault="00DA4F3E" w:rsidP="00DA4F3E">
      <w:pPr>
        <w:spacing w:before="120" w:after="120" w:line="360" w:lineRule="auto"/>
        <w:rPr>
          <w:szCs w:val="24"/>
          <w:lang w:val="es-ES" w:eastAsia="en-US"/>
        </w:rPr>
      </w:pPr>
      <w:r w:rsidRPr="00EB04F1">
        <w:rPr>
          <w:szCs w:val="24"/>
          <w:lang w:val="es-ES" w:eastAsia="en-US"/>
        </w:rPr>
        <w:t>Dalībvalstis nodrošina, ka sabiedrībai ir pieejama praktiska informācija par šajā pantā minētajām administratīvajām un likumības izskatīšanas procedūrām.</w:t>
      </w:r>
    </w:p>
    <w:p w14:paraId="72D4809D" w14:textId="77777777" w:rsidR="00455113" w:rsidRPr="00EB04F1" w:rsidRDefault="00455113">
      <w:pPr>
        <w:widowControl/>
        <w:rPr>
          <w:strike/>
          <w:szCs w:val="24"/>
          <w:lang w:val="es-ES" w:eastAsia="en-US"/>
        </w:rPr>
      </w:pPr>
      <w:r w:rsidRPr="00EB04F1">
        <w:rPr>
          <w:strike/>
          <w:szCs w:val="24"/>
          <w:lang w:val="es-ES" w:eastAsia="en-US"/>
        </w:rPr>
        <w:br w:type="page"/>
      </w:r>
    </w:p>
    <w:p w14:paraId="22AF3B15" w14:textId="5D8C84EE" w:rsidR="00DA4F3E" w:rsidRPr="00EB04F1" w:rsidRDefault="00DA4F3E" w:rsidP="00DA4F3E">
      <w:pPr>
        <w:spacing w:before="120" w:after="120" w:line="360" w:lineRule="auto"/>
        <w:jc w:val="center"/>
        <w:rPr>
          <w:szCs w:val="24"/>
          <w:lang w:val="es-ES" w:eastAsia="en-US"/>
        </w:rPr>
      </w:pPr>
      <w:r w:rsidRPr="00EB04F1">
        <w:rPr>
          <w:strike/>
          <w:szCs w:val="24"/>
          <w:lang w:val="es-ES" w:eastAsia="en-US"/>
        </w:rPr>
        <w:lastRenderedPageBreak/>
        <w:t>23. pants</w:t>
      </w:r>
      <w:r w:rsidRPr="00EB04F1">
        <w:rPr>
          <w:szCs w:val="24"/>
          <w:lang w:val="es-ES" w:eastAsia="en-US"/>
        </w:rPr>
        <w:br/>
      </w:r>
      <w:r w:rsidRPr="00EB04F1">
        <w:rPr>
          <w:strike/>
          <w:szCs w:val="24"/>
          <w:lang w:val="es-ES" w:eastAsia="en-US"/>
        </w:rPr>
        <w:t>Sodi</w:t>
      </w:r>
    </w:p>
    <w:p w14:paraId="377A64EB" w14:textId="77777777" w:rsidR="00DA4F3E" w:rsidRPr="00EB04F1" w:rsidRDefault="00DA4F3E" w:rsidP="00DA4F3E">
      <w:pPr>
        <w:spacing w:before="120" w:after="120" w:line="360" w:lineRule="auto"/>
        <w:ind w:left="850" w:hanging="850"/>
        <w:rPr>
          <w:szCs w:val="24"/>
          <w:lang w:val="es-ES" w:eastAsia="en-US"/>
        </w:rPr>
      </w:pPr>
      <w:r w:rsidRPr="00EB04F1">
        <w:rPr>
          <w:strike/>
          <w:szCs w:val="24"/>
          <w:lang w:val="es-ES" w:eastAsia="en-US"/>
        </w:rPr>
        <w:t>1.</w:t>
      </w:r>
      <w:r w:rsidRPr="00EB04F1">
        <w:rPr>
          <w:szCs w:val="24"/>
          <w:lang w:val="es-ES" w:eastAsia="en-US"/>
        </w:rPr>
        <w:tab/>
      </w:r>
      <w:r w:rsidRPr="00EB04F1">
        <w:rPr>
          <w:strike/>
          <w:szCs w:val="24"/>
          <w:lang w:val="es-ES" w:eastAsia="en-US"/>
        </w:rPr>
        <w:t>Neskarot pienākumus, kas dalībvalstīm uzlikti ar Eiropas Parlamenta un Padomes Direktīvu 2008/99/EK, dalībvalstis nosaka noteikumus par sodiem, kas piemērojami par to valsts noteikumu pārkāpumiem, kas pieņemti saskaņā ar šo direktīvu un ko varētu izdarīt fiziskas vai juridiskas personas, un nodrošina minēto noteikumu piemērošanu. Paredzētie sodi ir iedarbīgi, samērīgi un atturoši.</w:t>
      </w:r>
    </w:p>
    <w:p w14:paraId="6D7E5AC1" w14:textId="77777777" w:rsidR="00DA4F3E" w:rsidRPr="00EB04F1" w:rsidRDefault="00DA4F3E" w:rsidP="00DA4F3E">
      <w:pPr>
        <w:spacing w:before="120" w:after="120" w:line="360" w:lineRule="auto"/>
        <w:ind w:left="850" w:hanging="850"/>
        <w:rPr>
          <w:szCs w:val="24"/>
          <w:lang w:val="es-ES" w:eastAsia="en-US"/>
        </w:rPr>
      </w:pPr>
      <w:r w:rsidRPr="00EB04F1">
        <w:rPr>
          <w:strike/>
          <w:szCs w:val="24"/>
          <w:lang w:val="es-ES" w:eastAsia="en-US"/>
        </w:rPr>
        <w:t>2.</w:t>
      </w:r>
      <w:r w:rsidRPr="00EB04F1">
        <w:rPr>
          <w:szCs w:val="24"/>
          <w:lang w:val="es-ES" w:eastAsia="en-US"/>
        </w:rPr>
        <w:tab/>
      </w:r>
      <w:r w:rsidRPr="00EB04F1">
        <w:rPr>
          <w:strike/>
          <w:szCs w:val="24"/>
          <w:lang w:val="es-ES" w:eastAsia="en-US"/>
        </w:rPr>
        <w:t>Sodi, kas minēti 1. punktā, ietver naudas sodus, kas ir proporcionāli pārkāpumu izdarījušās juridiskās personas apgrozījumam vai fiziskās personas ienākumiem. Naudas sodu apmēru aprēķina tā, lai nodrošinātu, ka tie personai, kas ir atbildīga par pārkāpumu, faktiski atņem no pārkāpuma izrietošo ekonomisko labumu. Ja pārkāpumu izdarījusi juridiska persona, šādi naudas sodi ir samērīgi ar juridiskās personas gada apgrozījumu attiecīgajā dalībvalstī, cita starpā ņemot vērā mazo un vidējo uzņēmumu (MVU) specifiku.</w:t>
      </w:r>
    </w:p>
    <w:p w14:paraId="236C9C4B" w14:textId="77777777" w:rsidR="00DA4F3E" w:rsidRPr="00EB04F1" w:rsidRDefault="00DA4F3E" w:rsidP="00DA4F3E">
      <w:pPr>
        <w:spacing w:before="120" w:after="120" w:line="360" w:lineRule="auto"/>
        <w:ind w:left="850" w:hanging="850"/>
        <w:rPr>
          <w:szCs w:val="24"/>
          <w:lang w:val="es-ES" w:eastAsia="en-US"/>
        </w:rPr>
      </w:pPr>
      <w:r w:rsidRPr="00EB04F1">
        <w:rPr>
          <w:strike/>
          <w:szCs w:val="24"/>
          <w:lang w:val="es-ES" w:eastAsia="en-US"/>
        </w:rPr>
        <w:t>3.</w:t>
      </w:r>
      <w:r w:rsidRPr="00EB04F1">
        <w:rPr>
          <w:szCs w:val="24"/>
          <w:lang w:val="es-ES" w:eastAsia="en-US"/>
        </w:rPr>
        <w:tab/>
      </w:r>
      <w:r w:rsidRPr="00EB04F1">
        <w:rPr>
          <w:strike/>
          <w:szCs w:val="24"/>
          <w:lang w:val="es-ES" w:eastAsia="en-US"/>
        </w:rPr>
        <w:t>Dalībvalstis nodrošina, ka saskaņā ar šo pantu noteiktajos sodos attiecīgā gadījumā pienācīgi ņemti vērā šādi aspekti:</w:t>
      </w:r>
    </w:p>
    <w:p w14:paraId="18B4BE98" w14:textId="77777777" w:rsidR="00DA4F3E" w:rsidRPr="00EB04F1" w:rsidRDefault="00DA4F3E" w:rsidP="00DA4F3E">
      <w:pPr>
        <w:spacing w:before="120" w:after="120" w:line="360" w:lineRule="auto"/>
        <w:ind w:left="1416" w:hanging="566"/>
        <w:rPr>
          <w:szCs w:val="24"/>
          <w:lang w:val="es-ES" w:eastAsia="en-US"/>
        </w:rPr>
      </w:pPr>
      <w:r w:rsidRPr="00EB04F1">
        <w:rPr>
          <w:strike/>
          <w:szCs w:val="24"/>
          <w:lang w:val="es-ES" w:eastAsia="en-US"/>
        </w:rPr>
        <w:t>(a)</w:t>
      </w:r>
      <w:r w:rsidRPr="00EB04F1">
        <w:rPr>
          <w:szCs w:val="24"/>
          <w:lang w:val="es-ES" w:eastAsia="en-US"/>
        </w:rPr>
        <w:tab/>
      </w:r>
      <w:r w:rsidRPr="00EB04F1">
        <w:rPr>
          <w:strike/>
          <w:szCs w:val="24"/>
          <w:lang w:val="es-ES" w:eastAsia="en-US"/>
        </w:rPr>
        <w:t>pārkāpuma veids, smagums un apmērs;</w:t>
      </w:r>
    </w:p>
    <w:p w14:paraId="69007C6C" w14:textId="77777777" w:rsidR="00DA4F3E" w:rsidRPr="00EB04F1" w:rsidRDefault="00DA4F3E" w:rsidP="00DA4F3E">
      <w:pPr>
        <w:spacing w:before="120" w:after="120" w:line="360" w:lineRule="auto"/>
        <w:ind w:left="1416" w:hanging="566"/>
        <w:rPr>
          <w:szCs w:val="24"/>
          <w:lang w:val="es-ES" w:eastAsia="en-US"/>
        </w:rPr>
      </w:pPr>
      <w:r w:rsidRPr="00EB04F1">
        <w:rPr>
          <w:strike/>
          <w:szCs w:val="24"/>
          <w:lang w:val="es-ES" w:eastAsia="en-US"/>
        </w:rPr>
        <w:t>(b)</w:t>
      </w:r>
      <w:r w:rsidRPr="00EB04F1">
        <w:rPr>
          <w:szCs w:val="24"/>
          <w:lang w:val="es-ES" w:eastAsia="en-US"/>
        </w:rPr>
        <w:tab/>
      </w:r>
      <w:r w:rsidRPr="00EB04F1">
        <w:rPr>
          <w:strike/>
          <w:szCs w:val="24"/>
          <w:lang w:val="es-ES" w:eastAsia="en-US"/>
        </w:rPr>
        <w:t>tas, vai pārkāpums izdarīts tīši vai noticis nolaidības dēļ;</w:t>
      </w:r>
    </w:p>
    <w:p w14:paraId="52B225B5" w14:textId="77777777" w:rsidR="00DA4F3E" w:rsidRPr="00EB04F1" w:rsidRDefault="00DA4F3E" w:rsidP="00DA4F3E">
      <w:pPr>
        <w:spacing w:before="120" w:after="120" w:line="360" w:lineRule="auto"/>
        <w:ind w:left="1416" w:hanging="566"/>
        <w:rPr>
          <w:szCs w:val="24"/>
          <w:lang w:val="es-ES" w:eastAsia="en-US"/>
        </w:rPr>
      </w:pPr>
      <w:r w:rsidRPr="00EB04F1">
        <w:rPr>
          <w:strike/>
          <w:szCs w:val="24"/>
          <w:lang w:val="es-ES" w:eastAsia="en-US"/>
        </w:rPr>
        <w:t>(c)</w:t>
      </w:r>
      <w:r w:rsidRPr="00EB04F1">
        <w:rPr>
          <w:szCs w:val="24"/>
          <w:lang w:val="es-ES" w:eastAsia="en-US"/>
        </w:rPr>
        <w:tab/>
      </w:r>
      <w:r w:rsidRPr="00EB04F1">
        <w:rPr>
          <w:strike/>
          <w:szCs w:val="24"/>
          <w:lang w:val="es-ES" w:eastAsia="en-US"/>
        </w:rPr>
        <w:t xml:space="preserve">pārkāpuma skartie iedzīvotāji vai vide, ņemot vērā pārkāpuma ietekmi uz mērķi panākt augstu cilvēka veselības </w:t>
      </w:r>
      <w:proofErr w:type="gramStart"/>
      <w:r w:rsidRPr="00EB04F1">
        <w:rPr>
          <w:strike/>
          <w:szCs w:val="24"/>
          <w:lang w:val="es-ES" w:eastAsia="en-US"/>
        </w:rPr>
        <w:t>un vides</w:t>
      </w:r>
      <w:proofErr w:type="gramEnd"/>
      <w:r w:rsidRPr="00EB04F1">
        <w:rPr>
          <w:strike/>
          <w:szCs w:val="24"/>
          <w:lang w:val="es-ES" w:eastAsia="en-US"/>
        </w:rPr>
        <w:t xml:space="preserve"> aizsardzības līmeni.</w:t>
      </w:r>
    </w:p>
    <w:p w14:paraId="175D6EDE" w14:textId="62438621" w:rsidR="00DA4F3E" w:rsidRPr="00EB04F1" w:rsidRDefault="00DA4F3E" w:rsidP="00DA4F3E">
      <w:pPr>
        <w:spacing w:before="120" w:after="120" w:line="360" w:lineRule="auto"/>
        <w:ind w:left="850" w:hanging="850"/>
        <w:rPr>
          <w:b/>
          <w:szCs w:val="24"/>
          <w:lang w:val="es-ES" w:eastAsia="en-US"/>
        </w:rPr>
      </w:pPr>
      <w:r w:rsidRPr="00EB04F1">
        <w:rPr>
          <w:strike/>
          <w:szCs w:val="24"/>
          <w:lang w:val="es-ES" w:eastAsia="en-US"/>
        </w:rPr>
        <w:t>4.</w:t>
      </w:r>
      <w:r w:rsidRPr="00EB04F1">
        <w:rPr>
          <w:szCs w:val="24"/>
          <w:lang w:val="es-ES" w:eastAsia="en-US"/>
        </w:rPr>
        <w:tab/>
      </w:r>
      <w:r w:rsidRPr="00EB04F1">
        <w:rPr>
          <w:strike/>
          <w:szCs w:val="24"/>
          <w:lang w:val="es-ES" w:eastAsia="en-US"/>
        </w:rPr>
        <w:t>Dalībvalstis 1. punktā minētos noteikumus un pasākumus bez liekas kavēšanās dara zināmus Komisijai un paziņo tai par jebkādiem turpmākiem grozījumiem, kas tos ietekmē.</w:t>
      </w:r>
      <w:r w:rsidR="00F1302B" w:rsidRPr="00EB04F1">
        <w:rPr>
          <w:b/>
          <w:strike/>
          <w:szCs w:val="24"/>
          <w:lang w:val="es-ES" w:eastAsia="en-US"/>
        </w:rPr>
        <w:t xml:space="preserve"> </w:t>
      </w:r>
      <w:r w:rsidR="00F1302B" w:rsidRPr="00EB04F1">
        <w:rPr>
          <w:b/>
          <w:szCs w:val="24"/>
          <w:lang w:val="es-ES" w:eastAsia="en-US"/>
        </w:rPr>
        <w:t>[Gr. 234]</w:t>
      </w:r>
    </w:p>
    <w:p w14:paraId="13B6DDA7" w14:textId="77777777" w:rsidR="00F1302B" w:rsidRPr="00EB04F1" w:rsidRDefault="00F1302B">
      <w:pPr>
        <w:widowControl/>
        <w:rPr>
          <w:szCs w:val="24"/>
          <w:lang w:val="es-ES" w:eastAsia="en-US"/>
        </w:rPr>
      </w:pPr>
      <w:r w:rsidRPr="00EB04F1">
        <w:rPr>
          <w:szCs w:val="24"/>
          <w:lang w:val="es-ES" w:eastAsia="en-US"/>
        </w:rPr>
        <w:br w:type="page"/>
      </w:r>
    </w:p>
    <w:p w14:paraId="7672F384" w14:textId="537D9480" w:rsidR="00DA4F3E" w:rsidRPr="00EB04F1" w:rsidRDefault="00DA4F3E" w:rsidP="00DA4F3E">
      <w:pPr>
        <w:spacing w:before="120" w:after="120" w:line="360" w:lineRule="auto"/>
        <w:jc w:val="center"/>
        <w:rPr>
          <w:szCs w:val="24"/>
          <w:lang w:val="es-ES" w:eastAsia="en-US"/>
        </w:rPr>
      </w:pPr>
      <w:r w:rsidRPr="00EB04F1">
        <w:rPr>
          <w:szCs w:val="24"/>
          <w:lang w:val="es-ES" w:eastAsia="en-US"/>
        </w:rPr>
        <w:lastRenderedPageBreak/>
        <w:t>24. pants</w:t>
      </w:r>
      <w:r w:rsidRPr="00EB04F1">
        <w:rPr>
          <w:szCs w:val="24"/>
          <w:lang w:val="es-ES" w:eastAsia="en-US"/>
        </w:rPr>
        <w:br/>
        <w:t>Izvērtēšana un izskatīšana</w:t>
      </w:r>
    </w:p>
    <w:p w14:paraId="32F509FD" w14:textId="2A1244CF" w:rsidR="00DA4F3E" w:rsidRPr="00EB04F1" w:rsidRDefault="00DA4F3E" w:rsidP="00DA4F3E">
      <w:pPr>
        <w:spacing w:before="120" w:after="120" w:line="360" w:lineRule="auto"/>
        <w:ind w:left="850" w:hanging="850"/>
        <w:rPr>
          <w:b/>
          <w:szCs w:val="24"/>
          <w:lang w:val="es-ES" w:eastAsia="en-US"/>
        </w:rPr>
      </w:pPr>
      <w:r w:rsidRPr="00EB04F1">
        <w:rPr>
          <w:szCs w:val="24"/>
          <w:lang w:val="es-ES" w:eastAsia="en-US"/>
        </w:rPr>
        <w:t>1.</w:t>
      </w:r>
      <w:r w:rsidRPr="00EB04F1">
        <w:rPr>
          <w:szCs w:val="24"/>
          <w:lang w:val="es-ES" w:eastAsia="en-US"/>
        </w:rPr>
        <w:tab/>
        <w:t xml:space="preserve">Līdz (PB: ierakstīt datumu, kas ir 6 gadus pēc šīs direktīvas spēkā stāšanās dienas) Komisija veic šīs direktīvas izvērtēšanu, lai novērtētu progresu virzībā uz tās mērķiem un to, vai tās noteikumi jāgroza, lai </w:t>
      </w:r>
      <w:r w:rsidRPr="00EB04F1">
        <w:rPr>
          <w:strike/>
          <w:szCs w:val="24"/>
          <w:lang w:val="es-ES" w:eastAsia="en-US"/>
        </w:rPr>
        <w:t>noteiktu konkrētākas</w:t>
      </w:r>
      <w:r w:rsidRPr="00EB04F1">
        <w:rPr>
          <w:b/>
          <w:i/>
          <w:szCs w:val="24"/>
          <w:lang w:val="es-ES" w:eastAsia="en-US"/>
        </w:rPr>
        <w:t>pielāgotu šajā direktīvā noteiktās</w:t>
      </w:r>
      <w:r w:rsidRPr="00EB04F1">
        <w:rPr>
          <w:szCs w:val="24"/>
          <w:lang w:val="es-ES" w:eastAsia="en-US"/>
        </w:rPr>
        <w:t xml:space="preserve"> prasības</w:t>
      </w:r>
      <w:r w:rsidRPr="00EB04F1">
        <w:rPr>
          <w:strike/>
          <w:szCs w:val="24"/>
          <w:lang w:val="es-ES" w:eastAsia="en-US"/>
        </w:rPr>
        <w:t>, kas</w:t>
      </w:r>
      <w:r w:rsidRPr="00EB04F1">
        <w:rPr>
          <w:b/>
          <w:i/>
          <w:szCs w:val="24"/>
          <w:lang w:val="es-ES" w:eastAsia="en-US"/>
        </w:rPr>
        <w:t xml:space="preserve"> un</w:t>
      </w:r>
      <w:r w:rsidRPr="00EB04F1">
        <w:rPr>
          <w:szCs w:val="24"/>
          <w:lang w:val="es-ES" w:eastAsia="en-US"/>
        </w:rPr>
        <w:t xml:space="preserve"> nodrošinātu </w:t>
      </w:r>
      <w:r w:rsidRPr="00EB04F1">
        <w:rPr>
          <w:strike/>
          <w:szCs w:val="24"/>
          <w:lang w:val="es-ES" w:eastAsia="en-US"/>
        </w:rPr>
        <w:t>neveselīgu augšņu atveseļošanu un to, ka</w:t>
      </w:r>
      <w:r w:rsidRPr="00EB04F1">
        <w:rPr>
          <w:b/>
          <w:i/>
          <w:szCs w:val="24"/>
          <w:lang w:val="es-ES" w:eastAsia="en-US"/>
        </w:rPr>
        <w:t>pastāvīgu virzību uz to, lai</w:t>
      </w:r>
      <w:r w:rsidRPr="00EB04F1">
        <w:rPr>
          <w:szCs w:val="24"/>
          <w:lang w:val="es-ES" w:eastAsia="en-US"/>
        </w:rPr>
        <w:t xml:space="preserve"> līdz 2050. gadam visas augsnes </w:t>
      </w:r>
      <w:r w:rsidRPr="00EB04F1">
        <w:rPr>
          <w:strike/>
          <w:szCs w:val="24"/>
          <w:lang w:val="es-ES" w:eastAsia="en-US"/>
        </w:rPr>
        <w:t>būs</w:t>
      </w:r>
      <w:r w:rsidRPr="00EB04F1">
        <w:rPr>
          <w:b/>
          <w:i/>
          <w:szCs w:val="24"/>
          <w:lang w:val="es-ES" w:eastAsia="en-US"/>
        </w:rPr>
        <w:t>būtu</w:t>
      </w:r>
      <w:r w:rsidRPr="00EB04F1">
        <w:rPr>
          <w:szCs w:val="24"/>
          <w:lang w:val="es-ES" w:eastAsia="en-US"/>
        </w:rPr>
        <w:t xml:space="preserve"> veselīgas. Šajā izvērtējumā cita starpā ņem vērā šādus elementus:</w:t>
      </w:r>
      <w:r w:rsidR="00F1302B" w:rsidRPr="00EB04F1">
        <w:rPr>
          <w:b/>
          <w:szCs w:val="24"/>
          <w:lang w:val="es-ES" w:eastAsia="en-US"/>
        </w:rPr>
        <w:t xml:space="preserve"> [Gr. 186]</w:t>
      </w:r>
    </w:p>
    <w:p w14:paraId="7D8CEC46" w14:textId="25696A6B" w:rsidR="00DA4F3E" w:rsidRPr="00EB04F1" w:rsidRDefault="00DA4F3E" w:rsidP="00DA4F3E">
      <w:pPr>
        <w:spacing w:before="120" w:after="120" w:line="360" w:lineRule="auto"/>
        <w:ind w:left="1416" w:hanging="566"/>
        <w:rPr>
          <w:szCs w:val="24"/>
          <w:lang w:val="es-ES" w:eastAsia="en-US"/>
        </w:rPr>
      </w:pPr>
      <w:r w:rsidRPr="00EB04F1">
        <w:rPr>
          <w:szCs w:val="24"/>
          <w:lang w:val="es-ES" w:eastAsia="en-US"/>
        </w:rPr>
        <w:t>a)</w:t>
      </w:r>
      <w:r w:rsidRPr="00EB04F1">
        <w:rPr>
          <w:szCs w:val="24"/>
          <w:lang w:val="es-ES" w:eastAsia="en-US"/>
        </w:rPr>
        <w:tab/>
        <w:t>direktīvas īstenošanā gūtā pieredze;</w:t>
      </w:r>
    </w:p>
    <w:p w14:paraId="22513091" w14:textId="582440AB"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b)</w:t>
      </w:r>
      <w:r w:rsidRPr="00EB04F1">
        <w:rPr>
          <w:szCs w:val="24"/>
          <w:lang w:val="it-IT" w:eastAsia="en-US"/>
        </w:rPr>
        <w:tab/>
        <w:t>18. pantā minētie dati un informācija;</w:t>
      </w:r>
    </w:p>
    <w:p w14:paraId="1FC0FD53" w14:textId="01D1CA00" w:rsidR="00DA4F3E" w:rsidRPr="00EB04F1" w:rsidRDefault="00DA4F3E" w:rsidP="00DA4F3E">
      <w:pPr>
        <w:spacing w:before="120" w:after="120" w:line="360" w:lineRule="auto"/>
        <w:ind w:left="1416" w:hanging="566"/>
        <w:rPr>
          <w:b/>
          <w:szCs w:val="24"/>
          <w:lang w:val="it-IT" w:eastAsia="en-US"/>
        </w:rPr>
      </w:pPr>
      <w:r w:rsidRPr="00EB04F1">
        <w:rPr>
          <w:szCs w:val="24"/>
          <w:lang w:val="it-IT" w:eastAsia="en-US"/>
        </w:rPr>
        <w:t>c)</w:t>
      </w:r>
      <w:r w:rsidRPr="00EB04F1">
        <w:rPr>
          <w:szCs w:val="24"/>
          <w:lang w:val="it-IT" w:eastAsia="en-US"/>
        </w:rPr>
        <w:tab/>
        <w:t xml:space="preserve">relevantie zinātniskie un analītiskie dati, arī Savienības </w:t>
      </w:r>
      <w:r w:rsidRPr="00EB04F1">
        <w:rPr>
          <w:b/>
          <w:i/>
          <w:szCs w:val="24"/>
          <w:lang w:val="it-IT" w:eastAsia="en-US"/>
        </w:rPr>
        <w:t xml:space="preserve">un dalībvalstu </w:t>
      </w:r>
      <w:r w:rsidRPr="00EB04F1">
        <w:rPr>
          <w:szCs w:val="24"/>
          <w:lang w:val="it-IT" w:eastAsia="en-US"/>
        </w:rPr>
        <w:t>finansēto pētniecības projektu rezultāti;</w:t>
      </w:r>
      <w:r w:rsidR="00F1302B" w:rsidRPr="00EB04F1">
        <w:rPr>
          <w:b/>
          <w:szCs w:val="24"/>
          <w:lang w:val="it-IT" w:eastAsia="en-US"/>
        </w:rPr>
        <w:t xml:space="preserve"> [Gr. 187]</w:t>
      </w:r>
    </w:p>
    <w:p w14:paraId="49C31A0A" w14:textId="4B842C69" w:rsidR="00DA4F3E" w:rsidRPr="00EB04F1" w:rsidRDefault="00DA4F3E" w:rsidP="00DA4F3E">
      <w:pPr>
        <w:spacing w:before="120" w:after="120" w:line="360" w:lineRule="auto"/>
        <w:ind w:left="1416" w:hanging="566"/>
        <w:rPr>
          <w:b/>
          <w:szCs w:val="24"/>
          <w:lang w:val="it-IT" w:eastAsia="en-US"/>
        </w:rPr>
      </w:pPr>
      <w:r w:rsidRPr="00EB04F1">
        <w:rPr>
          <w:szCs w:val="24"/>
          <w:lang w:val="it-IT" w:eastAsia="en-US"/>
        </w:rPr>
        <w:t>d)</w:t>
      </w:r>
      <w:r w:rsidRPr="00EB04F1">
        <w:rPr>
          <w:szCs w:val="24"/>
          <w:lang w:val="it-IT" w:eastAsia="en-US"/>
        </w:rPr>
        <w:tab/>
        <w:t>analīze, cik liela ir plaisa līdz veselīgas augsnes sasniegšanai līdz 2050. gadam</w:t>
      </w:r>
      <w:r w:rsidRPr="00EB04F1">
        <w:rPr>
          <w:b/>
          <w:i/>
          <w:szCs w:val="24"/>
          <w:lang w:val="it-IT" w:eastAsia="en-US"/>
        </w:rPr>
        <w:t xml:space="preserve"> un kādi ir nepieciešamie pasākumi</w:t>
      </w:r>
      <w:r w:rsidRPr="00EB04F1">
        <w:rPr>
          <w:szCs w:val="24"/>
          <w:lang w:val="it-IT" w:eastAsia="en-US"/>
        </w:rPr>
        <w:t>;</w:t>
      </w:r>
      <w:r w:rsidR="00F1302B" w:rsidRPr="00EB04F1">
        <w:rPr>
          <w:b/>
          <w:szCs w:val="24"/>
          <w:lang w:val="it-IT" w:eastAsia="en-US"/>
        </w:rPr>
        <w:t xml:space="preserve"> [Gr. 188]</w:t>
      </w:r>
    </w:p>
    <w:p w14:paraId="67A18EF2" w14:textId="77777777" w:rsidR="00F1302B" w:rsidRPr="00EB04F1" w:rsidRDefault="00F1302B">
      <w:pPr>
        <w:widowControl/>
        <w:rPr>
          <w:szCs w:val="24"/>
          <w:lang w:val="it-IT" w:eastAsia="en-US"/>
        </w:rPr>
      </w:pPr>
      <w:r w:rsidRPr="00EB04F1">
        <w:rPr>
          <w:szCs w:val="24"/>
          <w:lang w:val="it-IT" w:eastAsia="en-US"/>
        </w:rPr>
        <w:br w:type="page"/>
      </w:r>
    </w:p>
    <w:p w14:paraId="5CCAD702" w14:textId="28A89D26"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lastRenderedPageBreak/>
        <w:t>e)</w:t>
      </w:r>
      <w:r w:rsidRPr="00EB04F1">
        <w:rPr>
          <w:szCs w:val="24"/>
          <w:lang w:val="it-IT" w:eastAsia="en-US"/>
        </w:rPr>
        <w:tab/>
        <w:t>analīze par iespējamo vajadzību šīs direktīvas noteikumus pielāgot zinātnes un tehnikas attīstībai, it sevišķi šādos aspektos:</w:t>
      </w:r>
    </w:p>
    <w:p w14:paraId="6CA75EB6" w14:textId="77777777"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i)</w:t>
      </w:r>
      <w:r w:rsidRPr="00EB04F1">
        <w:rPr>
          <w:szCs w:val="24"/>
          <w:lang w:val="it-IT" w:eastAsia="en-US"/>
        </w:rPr>
        <w:tab/>
        <w:t>veselīgu augšņu definīcija;</w:t>
      </w:r>
    </w:p>
    <w:p w14:paraId="6BE9570A" w14:textId="2EDC2D1D" w:rsidR="00DA4F3E" w:rsidRPr="00EB04F1" w:rsidRDefault="00DA4F3E" w:rsidP="00DA4F3E">
      <w:pPr>
        <w:spacing w:before="120" w:after="120" w:line="360" w:lineRule="auto"/>
        <w:ind w:left="1982" w:hanging="566"/>
        <w:rPr>
          <w:b/>
          <w:szCs w:val="24"/>
          <w:lang w:val="it-IT" w:eastAsia="en-US"/>
        </w:rPr>
      </w:pPr>
      <w:r w:rsidRPr="00EB04F1">
        <w:rPr>
          <w:szCs w:val="24"/>
          <w:lang w:val="it-IT" w:eastAsia="en-US"/>
        </w:rPr>
        <w:t>ii)</w:t>
      </w:r>
      <w:r w:rsidRPr="00EB04F1">
        <w:rPr>
          <w:szCs w:val="24"/>
          <w:lang w:val="it-IT" w:eastAsia="en-US"/>
        </w:rPr>
        <w:tab/>
        <w:t xml:space="preserve">I </w:t>
      </w:r>
      <w:r w:rsidRPr="00EB04F1">
        <w:rPr>
          <w:strike/>
          <w:szCs w:val="24"/>
          <w:lang w:val="it-IT" w:eastAsia="en-US"/>
        </w:rPr>
        <w:t>pielikuma C daļā</w:t>
      </w:r>
      <w:r w:rsidRPr="00EB04F1">
        <w:rPr>
          <w:b/>
          <w:i/>
          <w:szCs w:val="24"/>
          <w:lang w:val="it-IT" w:eastAsia="en-US"/>
        </w:rPr>
        <w:t>pielikumā</w:t>
      </w:r>
      <w:r w:rsidRPr="00EB04F1">
        <w:rPr>
          <w:szCs w:val="24"/>
          <w:lang w:val="it-IT" w:eastAsia="en-US"/>
        </w:rPr>
        <w:t xml:space="preserve"> norādīto augsnes deskriptoru kritēriju noteikšana;</w:t>
      </w:r>
      <w:r w:rsidR="00CC256C" w:rsidRPr="00EB04F1">
        <w:rPr>
          <w:b/>
          <w:szCs w:val="24"/>
          <w:lang w:val="it-IT" w:eastAsia="en-US"/>
        </w:rPr>
        <w:t xml:space="preserve"> [Gr. 189]</w:t>
      </w:r>
    </w:p>
    <w:p w14:paraId="71BCFC43" w14:textId="124A041D" w:rsidR="00DA4F3E" w:rsidRPr="00EB04F1" w:rsidRDefault="00DA4F3E" w:rsidP="00DA4F3E">
      <w:pPr>
        <w:spacing w:before="120" w:after="120" w:line="360" w:lineRule="auto"/>
        <w:ind w:left="1982" w:hanging="566"/>
        <w:rPr>
          <w:b/>
          <w:szCs w:val="24"/>
          <w:lang w:val="it-IT" w:eastAsia="en-US"/>
        </w:rPr>
      </w:pPr>
      <w:r w:rsidRPr="00EB04F1">
        <w:rPr>
          <w:szCs w:val="24"/>
          <w:lang w:val="it-IT" w:eastAsia="en-US"/>
        </w:rPr>
        <w:t>iii)</w:t>
      </w:r>
      <w:r w:rsidRPr="00EB04F1">
        <w:rPr>
          <w:szCs w:val="24"/>
          <w:lang w:val="it-IT" w:eastAsia="en-US"/>
        </w:rPr>
        <w:tab/>
        <w:t>jaunu augsnes deskriptoru pievienošana monitoringa vajadzībām</w:t>
      </w:r>
      <w:r w:rsidRPr="00EB04F1">
        <w:rPr>
          <w:strike/>
          <w:szCs w:val="24"/>
          <w:lang w:val="it-IT" w:eastAsia="en-US"/>
        </w:rPr>
        <w:t>.</w:t>
      </w:r>
      <w:r w:rsidRPr="00EB04F1">
        <w:rPr>
          <w:b/>
          <w:i/>
          <w:szCs w:val="24"/>
          <w:lang w:val="it-IT" w:eastAsia="en-US"/>
        </w:rPr>
        <w:t xml:space="preserve"> vai I pielikumā iekļauto augsnes deskriptoru un kritēriju pielāgošana;</w:t>
      </w:r>
      <w:r w:rsidR="00CC256C" w:rsidRPr="00EB04F1">
        <w:rPr>
          <w:b/>
          <w:szCs w:val="24"/>
          <w:lang w:val="it-IT" w:eastAsia="en-US"/>
        </w:rPr>
        <w:t xml:space="preserve"> [Gr. 190]</w:t>
      </w:r>
    </w:p>
    <w:p w14:paraId="7A268A40" w14:textId="255A141F" w:rsidR="00DA4F3E" w:rsidRPr="00EB04F1" w:rsidRDefault="00DA4F3E" w:rsidP="00DA4F3E">
      <w:pPr>
        <w:spacing w:before="120" w:after="120" w:line="360" w:lineRule="auto"/>
        <w:ind w:left="1416" w:hanging="566"/>
        <w:rPr>
          <w:b/>
          <w:szCs w:val="24"/>
          <w:lang w:val="it-IT" w:eastAsia="en-US"/>
        </w:rPr>
      </w:pPr>
      <w:r w:rsidRPr="00EB04F1">
        <w:rPr>
          <w:b/>
          <w:i/>
          <w:szCs w:val="24"/>
          <w:lang w:val="it-IT" w:eastAsia="en-US"/>
        </w:rPr>
        <w:t>ea)</w:t>
      </w:r>
      <w:r w:rsidRPr="00EB04F1">
        <w:rPr>
          <w:szCs w:val="24"/>
          <w:lang w:val="it-IT" w:eastAsia="en-US"/>
        </w:rPr>
        <w:tab/>
      </w:r>
      <w:r w:rsidRPr="00EB04F1">
        <w:rPr>
          <w:b/>
          <w:i/>
          <w:szCs w:val="24"/>
          <w:lang w:val="it-IT" w:eastAsia="en-US"/>
        </w:rPr>
        <w:t>noteikto monitoringa koncepciju analīze un robežvērtības, ko dalībvalstis noteikušas saskaņā ar šo direktīvu;</w:t>
      </w:r>
      <w:r w:rsidR="00CC256C" w:rsidRPr="00EB04F1">
        <w:rPr>
          <w:b/>
          <w:szCs w:val="24"/>
          <w:lang w:val="it-IT" w:eastAsia="en-US"/>
        </w:rPr>
        <w:t xml:space="preserve"> [Gr. 191]</w:t>
      </w:r>
    </w:p>
    <w:p w14:paraId="3392B974" w14:textId="7890507D" w:rsidR="00DA4F3E" w:rsidRPr="00EB04F1" w:rsidRDefault="00DA4F3E" w:rsidP="00DA4F3E">
      <w:pPr>
        <w:spacing w:before="120" w:after="120" w:line="360" w:lineRule="auto"/>
        <w:ind w:left="1416" w:hanging="566"/>
        <w:rPr>
          <w:b/>
          <w:szCs w:val="24"/>
          <w:lang w:val="it-IT" w:eastAsia="en-US"/>
        </w:rPr>
      </w:pPr>
      <w:r w:rsidRPr="00EB04F1">
        <w:rPr>
          <w:b/>
          <w:i/>
          <w:szCs w:val="24"/>
          <w:lang w:val="it-IT" w:eastAsia="en-US"/>
        </w:rPr>
        <w:t>eb)</w:t>
      </w:r>
      <w:r w:rsidRPr="00EB04F1">
        <w:rPr>
          <w:szCs w:val="24"/>
          <w:lang w:val="it-IT" w:eastAsia="en-US"/>
        </w:rPr>
        <w:tab/>
      </w:r>
      <w:r w:rsidRPr="00EB04F1">
        <w:rPr>
          <w:b/>
          <w:i/>
          <w:szCs w:val="24"/>
          <w:lang w:val="it-IT" w:eastAsia="en-US"/>
        </w:rPr>
        <w:t>šīs direktīvas sociālekonomiskā ietekme;</w:t>
      </w:r>
      <w:r w:rsidR="00CC256C" w:rsidRPr="00EB04F1">
        <w:rPr>
          <w:b/>
          <w:szCs w:val="24"/>
          <w:lang w:val="it-IT" w:eastAsia="en-US"/>
        </w:rPr>
        <w:t xml:space="preserve"> [Gr. 192]</w:t>
      </w:r>
    </w:p>
    <w:p w14:paraId="1EE168E4" w14:textId="7E42B8EF" w:rsidR="00DA4F3E" w:rsidRPr="00EB04F1" w:rsidRDefault="00DA4F3E" w:rsidP="00DA4F3E">
      <w:pPr>
        <w:spacing w:before="120" w:after="120" w:line="360" w:lineRule="auto"/>
        <w:ind w:left="850" w:hanging="850"/>
        <w:rPr>
          <w:b/>
          <w:szCs w:val="24"/>
          <w:lang w:val="it-IT" w:eastAsia="en-US"/>
        </w:rPr>
      </w:pPr>
      <w:r w:rsidRPr="00EB04F1">
        <w:rPr>
          <w:szCs w:val="24"/>
          <w:lang w:val="it-IT" w:eastAsia="en-US"/>
        </w:rPr>
        <w:t>2.</w:t>
      </w:r>
      <w:r w:rsidRPr="00EB04F1">
        <w:rPr>
          <w:szCs w:val="24"/>
          <w:lang w:val="it-IT" w:eastAsia="en-US"/>
        </w:rPr>
        <w:tab/>
        <w:t>Komisija Eiropas Parlamentam, Padomei, Eiropas Ekonomikas un sociālo lietu komitejai un Reģionu komitejai iesniedz ziņojumu par galvenajiem 1. punktā minētā izvērtējuma konstatējumiem</w:t>
      </w:r>
      <w:r w:rsidRPr="00EB04F1">
        <w:rPr>
          <w:b/>
          <w:i/>
          <w:szCs w:val="24"/>
          <w:lang w:val="it-IT" w:eastAsia="en-US"/>
        </w:rPr>
        <w:t>, attiecīgā gadījumā pievienojot tiesību aktu priekšlikumus</w:t>
      </w:r>
      <w:r w:rsidRPr="00EB04F1">
        <w:rPr>
          <w:szCs w:val="24"/>
          <w:lang w:val="it-IT" w:eastAsia="en-US"/>
        </w:rPr>
        <w:t>.</w:t>
      </w:r>
      <w:r w:rsidR="00CC256C" w:rsidRPr="00EB04F1">
        <w:rPr>
          <w:b/>
          <w:szCs w:val="24"/>
          <w:lang w:val="it-IT" w:eastAsia="en-US"/>
        </w:rPr>
        <w:t xml:space="preserve"> [Gr. 193]</w:t>
      </w:r>
    </w:p>
    <w:p w14:paraId="672FA188" w14:textId="77777777" w:rsidR="00CC256C" w:rsidRPr="00EB04F1" w:rsidRDefault="00CC256C">
      <w:pPr>
        <w:widowControl/>
        <w:rPr>
          <w:b/>
          <w:i/>
          <w:szCs w:val="24"/>
          <w:lang w:val="it-IT" w:eastAsia="en-US"/>
        </w:rPr>
      </w:pPr>
      <w:r w:rsidRPr="00EB04F1">
        <w:rPr>
          <w:b/>
          <w:i/>
          <w:szCs w:val="24"/>
          <w:lang w:val="it-IT" w:eastAsia="en-US"/>
        </w:rPr>
        <w:br w:type="page"/>
      </w:r>
    </w:p>
    <w:p w14:paraId="4881ACD3" w14:textId="6606E76D"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lastRenderedPageBreak/>
        <w:t>2</w:t>
      </w:r>
      <w:r w:rsidR="00CC256C" w:rsidRPr="00EB04F1">
        <w:rPr>
          <w:b/>
          <w:i/>
          <w:szCs w:val="24"/>
          <w:lang w:val="it-IT" w:eastAsia="en-US"/>
        </w:rPr>
        <w:t>.</w:t>
      </w:r>
      <w:r w:rsidRPr="00EB04F1">
        <w:rPr>
          <w:b/>
          <w:i/>
          <w:szCs w:val="24"/>
          <w:lang w:val="it-IT" w:eastAsia="en-US"/>
        </w:rPr>
        <w:t>a</w:t>
      </w:r>
      <w:r w:rsidRPr="00EB04F1">
        <w:rPr>
          <w:szCs w:val="24"/>
          <w:lang w:val="it-IT" w:eastAsia="en-US"/>
        </w:rPr>
        <w:tab/>
      </w:r>
      <w:r w:rsidRPr="00EB04F1">
        <w:rPr>
          <w:b/>
          <w:i/>
          <w:szCs w:val="24"/>
          <w:lang w:val="it-IT" w:eastAsia="en-US"/>
        </w:rPr>
        <w:t>No ... [PB: lūgums ierakstīt datumu = astoņi gadi pēc šīs direktīvas spēkā stāšanās dienas] un reizi piecos gados pēc tam Komisija ziņo Eiropas Parlamentam un Padomei par šīs direktīvas īstenošanu, kā arī par pasākumiem, ko dalībvalstis veikušas, lai izpildītu šīs direktīvas prasības. Ziņojumā iekļauj vispārēju izvērtējumu par virzību uz mērķi — panākt, ka augsnes ir veselas.</w:t>
      </w:r>
      <w:r w:rsidR="00CC256C" w:rsidRPr="00EB04F1">
        <w:rPr>
          <w:b/>
          <w:szCs w:val="24"/>
          <w:lang w:val="it-IT" w:eastAsia="en-US"/>
        </w:rPr>
        <w:t xml:space="preserve"> [Gr. 194]</w:t>
      </w:r>
    </w:p>
    <w:p w14:paraId="31CFE4C2" w14:textId="78C3F59D" w:rsidR="00DA4F3E" w:rsidRPr="00EB04F1" w:rsidRDefault="00DA4F3E" w:rsidP="00DA4F3E">
      <w:pPr>
        <w:spacing w:before="120" w:after="120" w:line="360" w:lineRule="auto"/>
        <w:ind w:left="850" w:hanging="850"/>
        <w:rPr>
          <w:b/>
          <w:szCs w:val="24"/>
          <w:lang w:val="it-IT" w:eastAsia="en-US"/>
        </w:rPr>
      </w:pPr>
      <w:r w:rsidRPr="00EB04F1">
        <w:rPr>
          <w:b/>
          <w:i/>
          <w:szCs w:val="24"/>
          <w:lang w:val="it-IT" w:eastAsia="en-US"/>
        </w:rPr>
        <w:t>2</w:t>
      </w:r>
      <w:r w:rsidR="00CC256C" w:rsidRPr="00EB04F1">
        <w:rPr>
          <w:b/>
          <w:i/>
          <w:szCs w:val="24"/>
          <w:lang w:val="it-IT" w:eastAsia="en-US"/>
        </w:rPr>
        <w:t>.</w:t>
      </w:r>
      <w:r w:rsidRPr="00EB04F1">
        <w:rPr>
          <w:b/>
          <w:i/>
          <w:szCs w:val="24"/>
          <w:lang w:val="it-IT" w:eastAsia="en-US"/>
        </w:rPr>
        <w:t>b</w:t>
      </w:r>
      <w:r w:rsidRPr="00EB04F1">
        <w:rPr>
          <w:szCs w:val="24"/>
          <w:lang w:val="it-IT" w:eastAsia="en-US"/>
        </w:rPr>
        <w:tab/>
      </w:r>
      <w:r w:rsidRPr="00EB04F1">
        <w:rPr>
          <w:b/>
          <w:i/>
          <w:szCs w:val="24"/>
          <w:lang w:val="it-IT" w:eastAsia="en-US"/>
        </w:rPr>
        <w:t>Līdz ... [PB: lūgums ierakstīt datumu = 6 gadi pēc šīs direktīvas spēkā stāšanās dienas] Komisija saistībā ar 1. punktā minēto novērtējumu izvērtē dalībvalstīs savākto informāciju, analizējot augsnes kontaminantu sastopamību, izplatību un vērtības, lai izveidotu prioritāro vielu sarakstu, attiecīgā gadījumā pievienojot augsnes kontaminantu novērošanas sarakstu.</w:t>
      </w:r>
      <w:r w:rsidR="00CC256C" w:rsidRPr="00EB04F1">
        <w:rPr>
          <w:b/>
          <w:szCs w:val="24"/>
          <w:lang w:val="it-IT" w:eastAsia="en-US"/>
        </w:rPr>
        <w:t xml:space="preserve"> [Gr. 195]</w:t>
      </w:r>
    </w:p>
    <w:p w14:paraId="29E55792" w14:textId="77777777" w:rsidR="00CC256C" w:rsidRPr="00EB04F1" w:rsidRDefault="00CC256C">
      <w:pPr>
        <w:widowControl/>
        <w:rPr>
          <w:b/>
          <w:i/>
          <w:szCs w:val="24"/>
          <w:lang w:val="it-IT" w:eastAsia="en-US"/>
        </w:rPr>
      </w:pPr>
      <w:r w:rsidRPr="00EB04F1">
        <w:rPr>
          <w:b/>
          <w:i/>
          <w:szCs w:val="24"/>
          <w:lang w:val="it-IT" w:eastAsia="en-US"/>
        </w:rPr>
        <w:br w:type="page"/>
      </w:r>
    </w:p>
    <w:p w14:paraId="0F87B29B" w14:textId="3A0E3471" w:rsidR="00DA4F3E" w:rsidRPr="00EB04F1" w:rsidRDefault="00DA4F3E" w:rsidP="00DA4F3E">
      <w:pPr>
        <w:spacing w:before="120" w:after="120" w:line="360" w:lineRule="auto"/>
        <w:jc w:val="center"/>
        <w:rPr>
          <w:szCs w:val="24"/>
          <w:lang w:val="it-IT" w:eastAsia="en-US"/>
        </w:rPr>
      </w:pPr>
      <w:r w:rsidRPr="00EB04F1">
        <w:rPr>
          <w:b/>
          <w:i/>
          <w:szCs w:val="24"/>
          <w:lang w:val="it-IT" w:eastAsia="en-US"/>
        </w:rPr>
        <w:lastRenderedPageBreak/>
        <w:t>24</w:t>
      </w:r>
      <w:r w:rsidR="00CC256C" w:rsidRPr="00EB04F1">
        <w:rPr>
          <w:b/>
          <w:i/>
          <w:szCs w:val="24"/>
          <w:lang w:val="it-IT" w:eastAsia="en-US"/>
        </w:rPr>
        <w:t>.</w:t>
      </w:r>
      <w:r w:rsidRPr="00EB04F1">
        <w:rPr>
          <w:b/>
          <w:i/>
          <w:szCs w:val="24"/>
          <w:lang w:val="it-IT" w:eastAsia="en-US"/>
        </w:rPr>
        <w:t>a pants</w:t>
      </w:r>
      <w:r w:rsidRPr="00EB04F1">
        <w:rPr>
          <w:szCs w:val="24"/>
          <w:lang w:val="it-IT" w:eastAsia="en-US"/>
        </w:rPr>
        <w:br/>
      </w:r>
      <w:r w:rsidRPr="00EB04F1">
        <w:rPr>
          <w:b/>
          <w:i/>
          <w:szCs w:val="24"/>
          <w:lang w:val="it-IT" w:eastAsia="en-US"/>
        </w:rPr>
        <w:t>Eiropas Savienības Augsnes observatorijas (EUSO) forums</w:t>
      </w:r>
    </w:p>
    <w:p w14:paraId="63DBACC3" w14:textId="61444905" w:rsidR="00DA4F3E" w:rsidRPr="00EB04F1" w:rsidRDefault="00DA4F3E" w:rsidP="00DA4F3E">
      <w:pPr>
        <w:spacing w:before="120" w:after="120" w:line="360" w:lineRule="auto"/>
        <w:rPr>
          <w:b/>
          <w:szCs w:val="24"/>
          <w:lang w:val="it-IT" w:eastAsia="en-US"/>
        </w:rPr>
      </w:pPr>
      <w:r w:rsidRPr="00EB04F1">
        <w:rPr>
          <w:b/>
          <w:i/>
          <w:szCs w:val="24"/>
          <w:lang w:val="it-IT" w:eastAsia="en-US"/>
        </w:rPr>
        <w:t>Komisija ar EUSO foruma starpniecību sekmē regulāru sadarbību starp ieinteresētajām personām, tostarp dalībvalstu kompetentajām iestādēm visos attiecīgajos līmeņos, nozari, pilsonisko sabiedrību un zinātnieku kopienu. EUSO forums palīdz koordinēti īstenot Savienības tiesību aktus un politiku, kas attiecas uz augsnes veselības monitoringu un augsnes veselības uzlabošanu, cita starpā ar pieredzes un labas prakses apmaiņu, arī par ilgtspējīgu augsnes apsaimniekošanas un atjaunošanas praksēm, kā arī ar pieredzes apmaiņu par augsnes apsaimniekošanas praksēm, no kurām vajadzētu izvairīties.</w:t>
      </w:r>
      <w:r w:rsidR="00CC256C" w:rsidRPr="00EB04F1">
        <w:rPr>
          <w:b/>
          <w:szCs w:val="24"/>
          <w:lang w:val="it-IT" w:eastAsia="en-US"/>
        </w:rPr>
        <w:t xml:space="preserve"> [Gr. 196]</w:t>
      </w:r>
    </w:p>
    <w:p w14:paraId="337CE2A3" w14:textId="77777777" w:rsidR="00CC256C" w:rsidRPr="00EB04F1" w:rsidRDefault="00CC256C">
      <w:pPr>
        <w:widowControl/>
        <w:rPr>
          <w:szCs w:val="24"/>
          <w:lang w:val="it-IT" w:eastAsia="en-US"/>
        </w:rPr>
      </w:pPr>
      <w:r w:rsidRPr="00EB04F1">
        <w:rPr>
          <w:szCs w:val="24"/>
          <w:lang w:val="it-IT" w:eastAsia="en-US"/>
        </w:rPr>
        <w:br w:type="page"/>
      </w:r>
    </w:p>
    <w:p w14:paraId="7D7FA77A" w14:textId="13B21FDB"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25. pants</w:t>
      </w:r>
      <w:r w:rsidRPr="00EB04F1">
        <w:rPr>
          <w:szCs w:val="24"/>
          <w:lang w:val="it-IT" w:eastAsia="en-US"/>
        </w:rPr>
        <w:br/>
        <w:t>Transponēšana</w:t>
      </w:r>
    </w:p>
    <w:p w14:paraId="2548F014"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1.</w:t>
      </w:r>
      <w:r w:rsidRPr="00EB04F1">
        <w:rPr>
          <w:szCs w:val="24"/>
          <w:lang w:val="it-IT" w:eastAsia="en-US"/>
        </w:rPr>
        <w:tab/>
        <w:t>Dalībvalstīs ne vēlāk kā [PB: ierakstīt datumu, kas ir 2 gadus pēc direktīvas spēkā stāšanās datuma] stājas spēkā normatīvie un administratīvie akti, kas nepieciešami, lai izpildītu šīs direktīvas prasības. Dalībvalstis tūlīt dara Komisijai zināmu minēto noteikumu tekstu.</w:t>
      </w:r>
    </w:p>
    <w:p w14:paraId="7A2EF35F" w14:textId="77777777" w:rsidR="00DA4F3E" w:rsidRPr="00EB04F1" w:rsidRDefault="00DA4F3E" w:rsidP="00DA4F3E">
      <w:pPr>
        <w:spacing w:before="120" w:after="120" w:line="360" w:lineRule="auto"/>
        <w:ind w:left="850"/>
        <w:rPr>
          <w:szCs w:val="24"/>
          <w:lang w:val="it-IT" w:eastAsia="en-US"/>
        </w:rPr>
      </w:pPr>
      <w:r w:rsidRPr="00EB04F1">
        <w:rPr>
          <w:szCs w:val="24"/>
          <w:lang w:val="it-IT" w:eastAsia="en-US"/>
        </w:rPr>
        <w:t>Kad dalībvalstis pieņem minētos noteikumus, tajos ietver atsauci uz šo direktīvu vai šādu atsauci pievieno to oficiālajai publikācijai. Dalībvalstis nosaka, kā šāda atsauce izdarāma.</w:t>
      </w:r>
    </w:p>
    <w:p w14:paraId="763B87FB"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2.</w:t>
      </w:r>
      <w:r w:rsidRPr="00EB04F1">
        <w:rPr>
          <w:szCs w:val="24"/>
          <w:lang w:val="it-IT" w:eastAsia="en-US"/>
        </w:rPr>
        <w:tab/>
        <w:t>Dalībvalstis dara Komisijai zināmus to tiesību aktu galvenos noteikumus, ko tās pieņem jomā, uz kuru attiecas šī direktīva.</w:t>
      </w:r>
    </w:p>
    <w:p w14:paraId="39D81820" w14:textId="77777777" w:rsidR="00CC256C" w:rsidRPr="00EB04F1" w:rsidRDefault="00CC256C">
      <w:pPr>
        <w:widowControl/>
        <w:rPr>
          <w:szCs w:val="24"/>
          <w:lang w:val="it-IT" w:eastAsia="en-US"/>
        </w:rPr>
      </w:pPr>
      <w:r w:rsidRPr="00EB04F1">
        <w:rPr>
          <w:szCs w:val="24"/>
          <w:lang w:val="it-IT" w:eastAsia="en-US"/>
        </w:rPr>
        <w:br w:type="page"/>
      </w:r>
    </w:p>
    <w:p w14:paraId="64DCADC7" w14:textId="590F4508" w:rsidR="00DA4F3E" w:rsidRPr="00EB04F1" w:rsidRDefault="00DA4F3E" w:rsidP="00DA4F3E">
      <w:pPr>
        <w:spacing w:before="120" w:after="120" w:line="360" w:lineRule="auto"/>
        <w:jc w:val="center"/>
        <w:rPr>
          <w:szCs w:val="24"/>
          <w:lang w:val="it-IT" w:eastAsia="en-US"/>
        </w:rPr>
      </w:pPr>
      <w:r w:rsidRPr="00EB04F1">
        <w:rPr>
          <w:szCs w:val="24"/>
          <w:lang w:val="it-IT" w:eastAsia="en-US"/>
        </w:rPr>
        <w:lastRenderedPageBreak/>
        <w:t>26. pants</w:t>
      </w:r>
      <w:r w:rsidRPr="00EB04F1">
        <w:rPr>
          <w:szCs w:val="24"/>
          <w:lang w:val="it-IT" w:eastAsia="en-US"/>
        </w:rPr>
        <w:br/>
        <w:t>Stāšanās spēkā</w:t>
      </w:r>
    </w:p>
    <w:p w14:paraId="0103A668" w14:textId="77777777" w:rsidR="00DA4F3E" w:rsidRPr="00EB04F1" w:rsidRDefault="00DA4F3E" w:rsidP="00DA4F3E">
      <w:pPr>
        <w:spacing w:before="120" w:after="120" w:line="360" w:lineRule="auto"/>
        <w:rPr>
          <w:szCs w:val="24"/>
          <w:lang w:val="it-IT" w:eastAsia="en-US"/>
        </w:rPr>
      </w:pPr>
      <w:r w:rsidRPr="00EB04F1">
        <w:rPr>
          <w:szCs w:val="24"/>
          <w:lang w:val="it-IT" w:eastAsia="en-US"/>
        </w:rPr>
        <w:t xml:space="preserve">Šī direktīva stājas spēkā divdesmitajā dienā pēc tās publicēšanas </w:t>
      </w:r>
      <w:r w:rsidRPr="00EB04F1">
        <w:rPr>
          <w:i/>
          <w:szCs w:val="24"/>
          <w:lang w:val="it-IT" w:eastAsia="en-US"/>
        </w:rPr>
        <w:t>Eiropas Savienības Oficiālajā Vēstnesī</w:t>
      </w:r>
      <w:r w:rsidRPr="00EB04F1">
        <w:rPr>
          <w:szCs w:val="24"/>
          <w:lang w:val="it-IT" w:eastAsia="en-US"/>
        </w:rPr>
        <w:t>.</w:t>
      </w:r>
    </w:p>
    <w:p w14:paraId="0413819B" w14:textId="77777777" w:rsidR="00DA4F3E" w:rsidRPr="00EB04F1" w:rsidRDefault="00DA4F3E" w:rsidP="00DA4F3E">
      <w:pPr>
        <w:spacing w:before="120" w:after="120" w:line="360" w:lineRule="auto"/>
        <w:jc w:val="center"/>
        <w:rPr>
          <w:szCs w:val="24"/>
          <w:lang w:val="it-IT" w:eastAsia="en-US"/>
        </w:rPr>
      </w:pPr>
      <w:r w:rsidRPr="00EB04F1">
        <w:rPr>
          <w:szCs w:val="24"/>
          <w:lang w:val="it-IT" w:eastAsia="en-US"/>
        </w:rPr>
        <w:t>27. pants</w:t>
      </w:r>
      <w:r w:rsidRPr="00EB04F1">
        <w:rPr>
          <w:szCs w:val="24"/>
          <w:lang w:val="it-IT" w:eastAsia="en-US"/>
        </w:rPr>
        <w:br/>
        <w:t>Adresāti</w:t>
      </w:r>
    </w:p>
    <w:p w14:paraId="7B5FD605" w14:textId="77777777" w:rsidR="00DA4F3E" w:rsidRPr="00EB04F1" w:rsidRDefault="00DA4F3E" w:rsidP="00DA4F3E">
      <w:pPr>
        <w:spacing w:before="120" w:after="120" w:line="360" w:lineRule="auto"/>
        <w:rPr>
          <w:szCs w:val="24"/>
          <w:lang w:val="it-IT" w:eastAsia="en-US"/>
        </w:rPr>
      </w:pPr>
      <w:r w:rsidRPr="00EB04F1">
        <w:rPr>
          <w:szCs w:val="24"/>
          <w:lang w:val="it-IT" w:eastAsia="en-US"/>
        </w:rPr>
        <w:t>Šī direktīva ir adresēta dalībvalstīm.</w:t>
      </w:r>
    </w:p>
    <w:p w14:paraId="26A28ACB" w14:textId="6FC3FCDA" w:rsidR="00DA4F3E" w:rsidRPr="00EB04F1" w:rsidRDefault="00EB04F1" w:rsidP="00DA4F3E">
      <w:pPr>
        <w:keepNext/>
        <w:widowControl/>
        <w:spacing w:before="120" w:line="360" w:lineRule="auto"/>
        <w:rPr>
          <w:szCs w:val="24"/>
          <w:lang w:val="it-IT" w:eastAsia="en-US"/>
        </w:rPr>
      </w:pPr>
      <w:r>
        <w:rPr>
          <w:szCs w:val="24"/>
          <w:lang w:val="it-IT" w:eastAsia="en-US"/>
        </w:rPr>
        <w:t>…</w:t>
      </w:r>
      <w:r w:rsidR="00DA4F3E" w:rsidRPr="00EB04F1">
        <w:rPr>
          <w:szCs w:val="24"/>
          <w:lang w:val="it-IT" w:eastAsia="en-US"/>
        </w:rPr>
        <w:t>,</w:t>
      </w:r>
    </w:p>
    <w:p w14:paraId="44B34378" w14:textId="77777777" w:rsidR="00DA4F3E" w:rsidRPr="00EB04F1" w:rsidRDefault="00DA4F3E" w:rsidP="00DA4F3E">
      <w:pPr>
        <w:keepNext/>
        <w:widowControl/>
        <w:tabs>
          <w:tab w:val="left" w:pos="4252"/>
        </w:tabs>
        <w:spacing w:before="720" w:after="100" w:line="360" w:lineRule="auto"/>
        <w:jc w:val="both"/>
        <w:rPr>
          <w:i/>
          <w:szCs w:val="24"/>
          <w:lang w:val="pt-PT" w:eastAsia="en-US"/>
        </w:rPr>
      </w:pPr>
      <w:proofErr w:type="gramStart"/>
      <w:r w:rsidRPr="00EB04F1">
        <w:rPr>
          <w:i/>
          <w:szCs w:val="24"/>
          <w:lang w:val="pt-PT" w:eastAsia="en-US"/>
        </w:rPr>
        <w:t>Eiropas Parlamenta</w:t>
      </w:r>
      <w:proofErr w:type="gramEnd"/>
      <w:r w:rsidRPr="00EB04F1">
        <w:rPr>
          <w:i/>
          <w:szCs w:val="24"/>
          <w:lang w:val="pt-PT" w:eastAsia="en-US"/>
        </w:rPr>
        <w:t xml:space="preserve"> vārdā —</w:t>
      </w:r>
      <w:r w:rsidRPr="00EB04F1">
        <w:rPr>
          <w:i/>
          <w:szCs w:val="24"/>
          <w:lang w:val="pt-PT" w:eastAsia="en-US"/>
        </w:rPr>
        <w:tab/>
        <w:t>Padomes vārdā —</w:t>
      </w:r>
    </w:p>
    <w:p w14:paraId="2C303580" w14:textId="77777777" w:rsidR="00DA4F3E" w:rsidRPr="00EB04F1" w:rsidRDefault="00DA4F3E" w:rsidP="00DA4F3E">
      <w:pPr>
        <w:widowControl/>
        <w:tabs>
          <w:tab w:val="left" w:pos="4252"/>
        </w:tabs>
        <w:spacing w:line="360" w:lineRule="auto"/>
        <w:rPr>
          <w:i/>
          <w:szCs w:val="24"/>
          <w:lang w:val="pt-PT" w:eastAsia="en-US"/>
        </w:rPr>
      </w:pPr>
      <w:r w:rsidRPr="00EB04F1">
        <w:rPr>
          <w:i/>
          <w:szCs w:val="24"/>
          <w:lang w:val="pt-PT" w:eastAsia="en-US"/>
        </w:rPr>
        <w:t>priekšsēdētāja</w:t>
      </w:r>
      <w:r w:rsidRPr="00EB04F1">
        <w:rPr>
          <w:i/>
          <w:szCs w:val="24"/>
          <w:lang w:val="pt-PT" w:eastAsia="en-US"/>
        </w:rPr>
        <w:tab/>
        <w:t>priekšsēdētājs</w:t>
      </w:r>
    </w:p>
    <w:p w14:paraId="50814059" w14:textId="77777777" w:rsidR="00DA4F3E" w:rsidRPr="00EB04F1" w:rsidRDefault="00DA4F3E" w:rsidP="00DA4F3E">
      <w:pPr>
        <w:spacing w:before="120" w:after="120" w:line="360" w:lineRule="auto"/>
        <w:rPr>
          <w:szCs w:val="24"/>
          <w:lang w:val="pt-PT" w:eastAsia="en-US"/>
        </w:rPr>
        <w:sectPr w:rsidR="00DA4F3E" w:rsidRPr="00EB04F1">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3863BA4E" w14:textId="77777777" w:rsidR="00DA4F3E" w:rsidRPr="00EB04F1" w:rsidRDefault="00DA4F3E" w:rsidP="00CC256C">
      <w:pPr>
        <w:spacing w:before="120" w:after="120" w:line="360" w:lineRule="auto"/>
        <w:ind w:left="1134" w:hanging="1134"/>
        <w:jc w:val="center"/>
        <w:rPr>
          <w:lang w:val="pt-PT" w:eastAsia="en-US"/>
        </w:rPr>
      </w:pPr>
      <w:r w:rsidRPr="00EB04F1">
        <w:rPr>
          <w:lang w:val="pt-PT" w:eastAsia="en-US"/>
        </w:rPr>
        <w:lastRenderedPageBreak/>
        <w:t>I PIELIKUMS</w:t>
      </w:r>
    </w:p>
    <w:p w14:paraId="64EF09F7" w14:textId="6C59E509" w:rsidR="00DA4F3E" w:rsidRPr="00EB04F1" w:rsidRDefault="00DA4F3E" w:rsidP="00DA4F3E">
      <w:pPr>
        <w:spacing w:before="120" w:after="120" w:line="360" w:lineRule="auto"/>
        <w:jc w:val="center"/>
        <w:rPr>
          <w:szCs w:val="24"/>
          <w:lang w:val="pt-PT" w:eastAsia="en-US"/>
        </w:rPr>
      </w:pPr>
      <w:r w:rsidRPr="00EB04F1">
        <w:rPr>
          <w:szCs w:val="24"/>
          <w:lang w:val="pt-PT" w:eastAsia="en-US"/>
        </w:rPr>
        <w:t xml:space="preserve">AUGSNES DESKRIPTORI, </w:t>
      </w:r>
      <w:r w:rsidRPr="00EB04F1">
        <w:rPr>
          <w:strike/>
          <w:szCs w:val="24"/>
          <w:lang w:val="pt-PT" w:eastAsia="en-US"/>
        </w:rPr>
        <w:t xml:space="preserve">VESELĪGA </w:t>
      </w:r>
      <w:r w:rsidRPr="00EB04F1">
        <w:rPr>
          <w:szCs w:val="24"/>
          <w:lang w:val="pt-PT" w:eastAsia="en-US"/>
        </w:rPr>
        <w:t>AUGSNES</w:t>
      </w:r>
      <w:r w:rsidRPr="00EB04F1">
        <w:rPr>
          <w:b/>
          <w:i/>
          <w:szCs w:val="24"/>
          <w:lang w:val="pt-PT" w:eastAsia="en-US"/>
        </w:rPr>
        <w:t xml:space="preserve"> EKOLOĢISKĀ</w:t>
      </w:r>
      <w:r w:rsidRPr="00EB04F1">
        <w:rPr>
          <w:szCs w:val="24"/>
          <w:lang w:val="pt-PT" w:eastAsia="en-US"/>
        </w:rPr>
        <w:t xml:space="preserve"> STĀVOKĻA </w:t>
      </w:r>
      <w:r w:rsidRPr="00EB04F1">
        <w:rPr>
          <w:b/>
          <w:i/>
          <w:szCs w:val="24"/>
          <w:lang w:val="pt-PT" w:eastAsia="en-US"/>
        </w:rPr>
        <w:t xml:space="preserve">NOTEIKŠANAS </w:t>
      </w:r>
      <w:r w:rsidRPr="00EB04F1">
        <w:rPr>
          <w:szCs w:val="24"/>
          <w:lang w:val="pt-PT" w:eastAsia="en-US"/>
        </w:rPr>
        <w:t>KRITĒRIJI</w:t>
      </w:r>
      <w:r w:rsidRPr="00EB04F1">
        <w:rPr>
          <w:b/>
          <w:i/>
          <w:szCs w:val="24"/>
          <w:lang w:val="pt-PT" w:eastAsia="en-US"/>
        </w:rPr>
        <w:t xml:space="preserve"> UN METODES</w:t>
      </w:r>
      <w:r w:rsidRPr="00EB04F1">
        <w:rPr>
          <w:szCs w:val="24"/>
          <w:lang w:val="pt-PT" w:eastAsia="en-US"/>
        </w:rPr>
        <w:t>, ZEMES AIZŅEMŠANAS UN AUGSNES NOSLĒGŠANAS INDIKATORI</w:t>
      </w:r>
    </w:p>
    <w:p w14:paraId="415E3B72" w14:textId="77777777" w:rsidR="00DA4F3E" w:rsidRPr="00EB04F1" w:rsidRDefault="00DA4F3E" w:rsidP="00DA4F3E">
      <w:pPr>
        <w:spacing w:before="120" w:after="120" w:line="360" w:lineRule="auto"/>
        <w:rPr>
          <w:szCs w:val="24"/>
          <w:lang w:val="pt-PT" w:eastAsia="en-US"/>
        </w:rPr>
      </w:pPr>
      <w:r w:rsidRPr="00EB04F1">
        <w:rPr>
          <w:szCs w:val="24"/>
          <w:lang w:val="pt-PT" w:eastAsia="en-US"/>
        </w:rPr>
        <w:t>Šajā pielikumā piemēro šādas definīcijas:</w:t>
      </w:r>
    </w:p>
    <w:p w14:paraId="571B61C6" w14:textId="7777777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(1)</w:t>
      </w:r>
      <w:r w:rsidRPr="00EB04F1">
        <w:rPr>
          <w:szCs w:val="24"/>
          <w:lang w:val="pt-PT" w:eastAsia="en-US"/>
        </w:rPr>
        <w:tab/>
        <w:t>“augsnes atbrīvošana” ir mākslīgas zemes pārveidošana par dabisku vai daļēji dabisku zemi;</w:t>
      </w:r>
    </w:p>
    <w:p w14:paraId="5082CF35" w14:textId="6FC8DD07" w:rsidR="00DA4F3E" w:rsidRPr="00EB04F1" w:rsidRDefault="00DA4F3E" w:rsidP="00DA4F3E">
      <w:pPr>
        <w:spacing w:before="120" w:after="120" w:line="360" w:lineRule="auto"/>
        <w:ind w:left="850" w:hanging="850"/>
        <w:rPr>
          <w:szCs w:val="24"/>
          <w:lang w:val="pt-PT" w:eastAsia="en-US"/>
        </w:rPr>
      </w:pPr>
      <w:r w:rsidRPr="00EB04F1">
        <w:rPr>
          <w:szCs w:val="24"/>
          <w:lang w:val="pt-PT" w:eastAsia="en-US"/>
        </w:rPr>
        <w:t>(2)</w:t>
      </w:r>
      <w:r w:rsidRPr="00EB04F1">
        <w:rPr>
          <w:szCs w:val="24"/>
          <w:lang w:val="pt-PT" w:eastAsia="en-US"/>
        </w:rPr>
        <w:tab/>
        <w:t>“neto aizņemtā zeme” ir aizņemtā zeme, no kuras atskaitīta atbrīvotā zeme.</w:t>
      </w:r>
    </w:p>
    <w:tbl>
      <w:tblPr>
        <w:tblStyle w:val="TableGrid1"/>
        <w:tblW w:w="8933" w:type="dxa"/>
        <w:tblLook w:val="04A0" w:firstRow="1" w:lastRow="0" w:firstColumn="1" w:lastColumn="0" w:noHBand="0" w:noVBand="1"/>
      </w:tblPr>
      <w:tblGrid>
        <w:gridCol w:w="1686"/>
        <w:gridCol w:w="1896"/>
        <w:gridCol w:w="2807"/>
        <w:gridCol w:w="2544"/>
      </w:tblGrid>
      <w:tr w:rsidR="00DC05AB" w:rsidRPr="00EB04F1" w14:paraId="12758FE7" w14:textId="77777777" w:rsidTr="006D71D8">
        <w:trPr>
          <w:cantSplit/>
          <w:trHeight w:val="300"/>
        </w:trPr>
        <w:tc>
          <w:tcPr>
            <w:tcW w:w="1684" w:type="dxa"/>
            <w:tcBorders>
              <w:top w:val="single" w:sz="4" w:space="0" w:color="auto"/>
              <w:left w:val="single" w:sz="4" w:space="0" w:color="auto"/>
              <w:bottom w:val="single" w:sz="4" w:space="0" w:color="auto"/>
              <w:right w:val="single" w:sz="4" w:space="0" w:color="auto"/>
            </w:tcBorders>
            <w:hideMark/>
          </w:tcPr>
          <w:p w14:paraId="23982F22" w14:textId="23E4510A" w:rsidR="00DC05AB" w:rsidRPr="00EB04F1" w:rsidRDefault="00017E95" w:rsidP="0092524A">
            <w:pPr>
              <w:widowControl/>
              <w:spacing w:before="120" w:after="120"/>
              <w:rPr>
                <w:rFonts w:ascii="Times New Roman" w:hAnsi="Times New Roman"/>
                <w:b/>
                <w:bCs/>
                <w:strike/>
                <w:noProof/>
                <w:lang w:val="en-IE"/>
              </w:rPr>
            </w:pPr>
            <w:r w:rsidRPr="00EB04F1">
              <w:rPr>
                <w:rFonts w:ascii="Times New Roman" w:hAnsi="Times New Roman"/>
                <w:b/>
                <w:bCs/>
                <w:strike/>
                <w:noProof/>
                <w:lang w:val="en-IE"/>
              </w:rPr>
              <w:t>Augsnes degradācijas aspekts</w:t>
            </w:r>
          </w:p>
        </w:tc>
        <w:tc>
          <w:tcPr>
            <w:tcW w:w="1860" w:type="dxa"/>
            <w:tcBorders>
              <w:top w:val="single" w:sz="4" w:space="0" w:color="auto"/>
              <w:left w:val="single" w:sz="4" w:space="0" w:color="auto"/>
              <w:bottom w:val="single" w:sz="4" w:space="0" w:color="auto"/>
              <w:right w:val="single" w:sz="4" w:space="0" w:color="auto"/>
            </w:tcBorders>
            <w:hideMark/>
          </w:tcPr>
          <w:p w14:paraId="2054FA2E" w14:textId="1AE5B083" w:rsidR="00DC05AB" w:rsidRPr="00EB04F1" w:rsidRDefault="00017E95" w:rsidP="0092524A">
            <w:pPr>
              <w:widowControl/>
              <w:spacing w:before="120" w:after="120"/>
              <w:rPr>
                <w:rFonts w:ascii="Times New Roman" w:hAnsi="Times New Roman"/>
                <w:b/>
                <w:bCs/>
                <w:strike/>
                <w:noProof/>
                <w:lang w:val="en-IE"/>
              </w:rPr>
            </w:pPr>
            <w:r w:rsidRPr="00EB04F1">
              <w:rPr>
                <w:rFonts w:ascii="Times New Roman" w:hAnsi="Times New Roman"/>
                <w:b/>
                <w:bCs/>
                <w:strike/>
                <w:noProof/>
                <w:lang w:val="en-IE"/>
              </w:rPr>
              <w:t>Augsnes deskriptors</w:t>
            </w:r>
          </w:p>
        </w:tc>
        <w:tc>
          <w:tcPr>
            <w:tcW w:w="2851" w:type="dxa"/>
            <w:tcBorders>
              <w:top w:val="single" w:sz="4" w:space="0" w:color="auto"/>
              <w:left w:val="single" w:sz="4" w:space="0" w:color="auto"/>
              <w:bottom w:val="single" w:sz="4" w:space="0" w:color="auto"/>
              <w:right w:val="single" w:sz="4" w:space="0" w:color="auto"/>
            </w:tcBorders>
            <w:hideMark/>
          </w:tcPr>
          <w:p w14:paraId="770E6D7B" w14:textId="58E8D3A4" w:rsidR="00DC05AB" w:rsidRPr="00EB04F1" w:rsidRDefault="00017E95" w:rsidP="0092524A">
            <w:pPr>
              <w:widowControl/>
              <w:spacing w:before="120" w:after="120"/>
              <w:rPr>
                <w:rFonts w:ascii="Times New Roman" w:hAnsi="Times New Roman"/>
                <w:b/>
                <w:bCs/>
                <w:strike/>
                <w:noProof/>
                <w:lang w:val="en-IE"/>
              </w:rPr>
            </w:pPr>
            <w:r w:rsidRPr="00EB04F1">
              <w:rPr>
                <w:rFonts w:ascii="Times New Roman" w:hAnsi="Times New Roman"/>
                <w:b/>
                <w:bCs/>
                <w:strike/>
                <w:noProof/>
                <w:lang w:val="en-IE"/>
              </w:rPr>
              <w:t xml:space="preserve">Veselīga augsnes stāvokļa kritēriji </w:t>
            </w:r>
          </w:p>
        </w:tc>
        <w:tc>
          <w:tcPr>
            <w:tcW w:w="2538" w:type="dxa"/>
            <w:tcBorders>
              <w:top w:val="single" w:sz="4" w:space="0" w:color="auto"/>
              <w:left w:val="single" w:sz="4" w:space="0" w:color="auto"/>
              <w:bottom w:val="single" w:sz="4" w:space="0" w:color="auto"/>
              <w:right w:val="single" w:sz="4" w:space="0" w:color="auto"/>
            </w:tcBorders>
            <w:hideMark/>
          </w:tcPr>
          <w:p w14:paraId="7F8AFF6A" w14:textId="4B4BAD26" w:rsidR="00DC05AB" w:rsidRPr="00EB04F1" w:rsidRDefault="00017E95" w:rsidP="0092524A">
            <w:pPr>
              <w:widowControl/>
              <w:spacing w:before="120" w:after="120"/>
              <w:rPr>
                <w:rFonts w:ascii="Times New Roman" w:hAnsi="Times New Roman"/>
                <w:b/>
                <w:bCs/>
                <w:strike/>
                <w:noProof/>
                <w:lang w:val="en-IE"/>
              </w:rPr>
            </w:pPr>
            <w:r w:rsidRPr="00EB04F1">
              <w:rPr>
                <w:rFonts w:ascii="Times New Roman" w:hAnsi="Times New Roman"/>
                <w:b/>
                <w:bCs/>
                <w:strike/>
                <w:noProof/>
                <w:lang w:val="en-IE"/>
              </w:rPr>
              <w:t>Zemes platības, kuras no saistītā kritērija izpildes izslēgtas</w:t>
            </w:r>
          </w:p>
        </w:tc>
      </w:tr>
      <w:tr w:rsidR="00BA6990" w:rsidRPr="00EB04F1" w14:paraId="1512D395" w14:textId="77777777" w:rsidTr="00857D1A">
        <w:trPr>
          <w:cantSplit/>
          <w:trHeight w:val="300"/>
        </w:trPr>
        <w:tc>
          <w:tcPr>
            <w:tcW w:w="8933" w:type="dxa"/>
            <w:gridSpan w:val="4"/>
            <w:tcBorders>
              <w:top w:val="single" w:sz="4" w:space="0" w:color="auto"/>
              <w:left w:val="single" w:sz="4" w:space="0" w:color="auto"/>
              <w:bottom w:val="single" w:sz="4" w:space="0" w:color="auto"/>
              <w:right w:val="single" w:sz="4" w:space="0" w:color="auto"/>
            </w:tcBorders>
          </w:tcPr>
          <w:p w14:paraId="555766E2" w14:textId="7A566127" w:rsidR="00BA6990" w:rsidRPr="00EB04F1" w:rsidRDefault="00BA6990" w:rsidP="00857D1A">
            <w:pPr>
              <w:widowControl/>
              <w:spacing w:before="120" w:after="120"/>
              <w:rPr>
                <w:b/>
                <w:bCs/>
                <w:strike/>
                <w:noProof/>
              </w:rPr>
            </w:pPr>
            <w:r w:rsidRPr="00EB04F1">
              <w:rPr>
                <w:rFonts w:ascii="Times New Roman" w:hAnsi="Times New Roman"/>
                <w:b/>
                <w:i/>
                <w:strike/>
                <w:noProof/>
              </w:rPr>
              <w:t>A daļa. Augsnes deskriptori ar veselīga augsnes stāvokļa kritērijiem, kas noteikti Savienības līmenī</w:t>
            </w:r>
          </w:p>
        </w:tc>
      </w:tr>
      <w:tr w:rsidR="00BA6990" w:rsidRPr="00EB04F1" w14:paraId="5E71C8E4" w14:textId="77777777" w:rsidTr="006D71D8">
        <w:trPr>
          <w:trHeight w:val="300"/>
          <w:tblHeader/>
        </w:trPr>
        <w:tc>
          <w:tcPr>
            <w:tcW w:w="1696" w:type="dxa"/>
            <w:tcBorders>
              <w:top w:val="single" w:sz="4" w:space="0" w:color="auto"/>
              <w:left w:val="single" w:sz="4" w:space="0" w:color="auto"/>
              <w:bottom w:val="single" w:sz="4" w:space="0" w:color="auto"/>
              <w:right w:val="single" w:sz="4" w:space="0" w:color="auto"/>
            </w:tcBorders>
            <w:hideMark/>
          </w:tcPr>
          <w:p w14:paraId="0E4BA8B0" w14:textId="5EFFCF23" w:rsidR="00BA6990" w:rsidRPr="00EB04F1" w:rsidRDefault="00BA6990" w:rsidP="00857D1A">
            <w:pPr>
              <w:widowControl/>
              <w:spacing w:before="120" w:after="120"/>
              <w:rPr>
                <w:rFonts w:ascii="Times New Roman" w:hAnsi="Times New Roman"/>
                <w:strike/>
                <w:noProof/>
                <w:lang w:val="en-IE"/>
              </w:rPr>
            </w:pPr>
            <w:r w:rsidRPr="00EB04F1">
              <w:rPr>
                <w:rFonts w:ascii="Times New Roman" w:hAnsi="Times New Roman"/>
                <w:strike/>
                <w:noProof/>
                <w:lang w:val="en-IE"/>
              </w:rPr>
              <w:t>Sasāļošanās</w:t>
            </w:r>
          </w:p>
        </w:tc>
        <w:tc>
          <w:tcPr>
            <w:tcW w:w="1787" w:type="dxa"/>
            <w:tcBorders>
              <w:top w:val="single" w:sz="4" w:space="0" w:color="auto"/>
              <w:left w:val="single" w:sz="4" w:space="0" w:color="auto"/>
              <w:bottom w:val="single" w:sz="4" w:space="0" w:color="auto"/>
              <w:right w:val="single" w:sz="4" w:space="0" w:color="auto"/>
            </w:tcBorders>
            <w:hideMark/>
          </w:tcPr>
          <w:p w14:paraId="07932C33" w14:textId="60F7BC9B" w:rsidR="00BA6990" w:rsidRPr="00EB04F1" w:rsidRDefault="00BA6990" w:rsidP="00857D1A">
            <w:pPr>
              <w:widowControl/>
              <w:spacing w:before="120" w:after="120"/>
              <w:rPr>
                <w:rFonts w:ascii="Times New Roman" w:hAnsi="Times New Roman"/>
                <w:bCs/>
                <w:strike/>
                <w:noProof/>
                <w:lang w:val="en-IE"/>
              </w:rPr>
            </w:pPr>
            <w:r w:rsidRPr="00EB04F1">
              <w:rPr>
                <w:rFonts w:ascii="Times New Roman" w:hAnsi="Times New Roman"/>
                <w:strike/>
                <w:noProof/>
                <w:lang w:val="en-IE"/>
              </w:rPr>
              <w:t>Elektrovadītspēja (decisīmensi uz metru)</w:t>
            </w:r>
          </w:p>
        </w:tc>
        <w:tc>
          <w:tcPr>
            <w:tcW w:w="2868" w:type="dxa"/>
            <w:tcBorders>
              <w:top w:val="single" w:sz="4" w:space="0" w:color="auto"/>
              <w:left w:val="single" w:sz="4" w:space="0" w:color="auto"/>
              <w:bottom w:val="single" w:sz="4" w:space="0" w:color="auto"/>
              <w:right w:val="single" w:sz="4" w:space="0" w:color="auto"/>
            </w:tcBorders>
            <w:hideMark/>
          </w:tcPr>
          <w:p w14:paraId="34136636" w14:textId="48EA1EB7" w:rsidR="00BA6990" w:rsidRPr="00EB04F1" w:rsidRDefault="00BA6990" w:rsidP="00857D1A">
            <w:pPr>
              <w:widowControl/>
              <w:spacing w:before="120" w:after="120"/>
              <w:rPr>
                <w:rFonts w:ascii="Times New Roman" w:hAnsi="Times New Roman"/>
                <w:bCs/>
                <w:strike/>
                <w:noProof/>
                <w:lang w:val="en-IE"/>
              </w:rPr>
            </w:pPr>
            <w:r w:rsidRPr="00EB04F1">
              <w:rPr>
                <w:rFonts w:ascii="Times New Roman" w:hAnsi="Times New Roman"/>
                <w:strike/>
                <w:noProof/>
                <w:lang w:val="en-IE"/>
              </w:rPr>
              <w:t xml:space="preserve"> &lt; 4 dS m−1, ja izmanto piesātinātās augsnes pastas izvilkuma mērīšanas metodi vai līdzvērtīgu kritēriju, ja izmanto citu mērīšanas metodi</w:t>
            </w:r>
          </w:p>
        </w:tc>
        <w:tc>
          <w:tcPr>
            <w:tcW w:w="2582" w:type="dxa"/>
            <w:tcBorders>
              <w:top w:val="single" w:sz="4" w:space="0" w:color="auto"/>
              <w:left w:val="single" w:sz="4" w:space="0" w:color="auto"/>
              <w:bottom w:val="single" w:sz="4" w:space="0" w:color="auto"/>
              <w:right w:val="single" w:sz="4" w:space="0" w:color="auto"/>
            </w:tcBorders>
            <w:hideMark/>
          </w:tcPr>
          <w:p w14:paraId="5C9BC217" w14:textId="725E43AC" w:rsidR="00BA6990" w:rsidRPr="00EB04F1" w:rsidRDefault="00BA6990" w:rsidP="00857D1A">
            <w:pPr>
              <w:widowControl/>
              <w:spacing w:before="120" w:after="120"/>
              <w:rPr>
                <w:rFonts w:ascii="Times New Roman" w:hAnsi="Times New Roman"/>
                <w:strike/>
                <w:noProof/>
                <w:lang w:val="en-IE"/>
              </w:rPr>
            </w:pPr>
            <w:r w:rsidRPr="00EB04F1">
              <w:rPr>
                <w:rFonts w:ascii="Times New Roman" w:hAnsi="Times New Roman"/>
                <w:strike/>
                <w:noProof/>
                <w:lang w:val="en-IE"/>
              </w:rPr>
              <w:t>Dabiski sāļas sauszemes teritorijas Sauszemes teritorijas, ko tieši skar jūras līmeņa celšanās</w:t>
            </w:r>
          </w:p>
        </w:tc>
      </w:tr>
      <w:tr w:rsidR="00BA6990" w:rsidRPr="00EB04F1" w14:paraId="7DBBBA28" w14:textId="77777777" w:rsidTr="006D71D8">
        <w:trPr>
          <w:trHeight w:val="300"/>
          <w:tblHeader/>
        </w:trPr>
        <w:tc>
          <w:tcPr>
            <w:tcW w:w="1696" w:type="dxa"/>
            <w:tcBorders>
              <w:top w:val="single" w:sz="4" w:space="0" w:color="auto"/>
              <w:left w:val="single" w:sz="4" w:space="0" w:color="auto"/>
              <w:bottom w:val="single" w:sz="4" w:space="0" w:color="auto"/>
              <w:right w:val="single" w:sz="4" w:space="0" w:color="auto"/>
            </w:tcBorders>
          </w:tcPr>
          <w:p w14:paraId="2C994734" w14:textId="42804D27" w:rsidR="00BA6990" w:rsidRPr="00EB04F1" w:rsidRDefault="00BA6990"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rPr>
              <w:t>Augsnes erozija</w:t>
            </w:r>
          </w:p>
        </w:tc>
        <w:tc>
          <w:tcPr>
            <w:tcW w:w="1787" w:type="dxa"/>
            <w:tcBorders>
              <w:top w:val="single" w:sz="4" w:space="0" w:color="auto"/>
              <w:left w:val="single" w:sz="4" w:space="0" w:color="auto"/>
              <w:bottom w:val="single" w:sz="4" w:space="0" w:color="auto"/>
              <w:right w:val="single" w:sz="4" w:space="0" w:color="auto"/>
            </w:tcBorders>
          </w:tcPr>
          <w:p w14:paraId="0F4D72A8" w14:textId="3478897B" w:rsidR="00BA6990" w:rsidRPr="00EB04F1" w:rsidRDefault="00BA6990"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rPr>
              <w:t>Augsnes erozijas rādītājs (tonnas uz hektāru gadā)</w:t>
            </w:r>
          </w:p>
        </w:tc>
        <w:tc>
          <w:tcPr>
            <w:tcW w:w="2868" w:type="dxa"/>
            <w:tcBorders>
              <w:top w:val="single" w:sz="4" w:space="0" w:color="auto"/>
              <w:left w:val="single" w:sz="4" w:space="0" w:color="auto"/>
              <w:bottom w:val="single" w:sz="4" w:space="0" w:color="auto"/>
              <w:right w:val="single" w:sz="4" w:space="0" w:color="auto"/>
            </w:tcBorders>
          </w:tcPr>
          <w:p w14:paraId="29344590" w14:textId="7DA1B354" w:rsidR="00BA6990" w:rsidRPr="00EB04F1" w:rsidRDefault="00BA6990"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rPr>
              <w:t>≤ 2 t ha</w:t>
            </w:r>
            <w:r w:rsidRPr="00EB04F1">
              <w:rPr>
                <w:rFonts w:ascii="Times New Roman" w:hAnsi="Times New Roman" w:cs="Times New Roman"/>
                <w:strike/>
                <w:vertAlign w:val="superscript"/>
              </w:rPr>
              <w:t>-1</w:t>
            </w:r>
            <w:r w:rsidRPr="00EB04F1">
              <w:rPr>
                <w:rFonts w:ascii="Times New Roman" w:hAnsi="Times New Roman" w:cs="Times New Roman"/>
                <w:strike/>
              </w:rPr>
              <w:t xml:space="preserve"> g.</w:t>
            </w:r>
            <w:r w:rsidRPr="00EB04F1">
              <w:rPr>
                <w:rFonts w:ascii="Times New Roman" w:hAnsi="Times New Roman" w:cs="Times New Roman"/>
                <w:strike/>
                <w:vertAlign w:val="superscript"/>
              </w:rPr>
              <w:t>-1</w:t>
            </w:r>
            <w:r w:rsidRPr="00EB04F1">
              <w:rPr>
                <w:rFonts w:ascii="Times New Roman" w:hAnsi="Times New Roman" w:cs="Times New Roman"/>
                <w:strike/>
              </w:rPr>
              <w:t xml:space="preserve"> </w:t>
            </w:r>
          </w:p>
        </w:tc>
        <w:tc>
          <w:tcPr>
            <w:tcW w:w="2582" w:type="dxa"/>
            <w:tcBorders>
              <w:top w:val="single" w:sz="4" w:space="0" w:color="auto"/>
              <w:left w:val="single" w:sz="4" w:space="0" w:color="auto"/>
              <w:bottom w:val="single" w:sz="4" w:space="0" w:color="auto"/>
              <w:right w:val="single" w:sz="4" w:space="0" w:color="auto"/>
            </w:tcBorders>
          </w:tcPr>
          <w:p w14:paraId="555D776F" w14:textId="3E20D7C1" w:rsidR="00BA6990" w:rsidRPr="00EB04F1" w:rsidRDefault="00BA6990"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rPr>
              <w:t>Bedlends un citas neapsaimniekotas dabas teritorijas, izņemot gadījumus, kad tās rada būtisku katastrofu risku</w:t>
            </w:r>
          </w:p>
        </w:tc>
      </w:tr>
      <w:tr w:rsidR="006D71D8" w:rsidRPr="00EB04F1" w14:paraId="504D010C" w14:textId="77777777" w:rsidTr="007774B1">
        <w:trPr>
          <w:trHeight w:val="300"/>
          <w:tblHeader/>
        </w:trPr>
        <w:tc>
          <w:tcPr>
            <w:tcW w:w="1696" w:type="dxa"/>
            <w:vMerge w:val="restart"/>
            <w:tcBorders>
              <w:top w:val="single" w:sz="4" w:space="0" w:color="auto"/>
              <w:left w:val="single" w:sz="4" w:space="0" w:color="auto"/>
              <w:right w:val="single" w:sz="4" w:space="0" w:color="auto"/>
            </w:tcBorders>
          </w:tcPr>
          <w:p w14:paraId="1DC6738E" w14:textId="5D8C17D9" w:rsidR="006D71D8" w:rsidRPr="00EB04F1" w:rsidRDefault="006D71D8"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rPr>
              <w:t>Augsnes organiskā oglekļa zudums</w:t>
            </w:r>
          </w:p>
        </w:tc>
        <w:tc>
          <w:tcPr>
            <w:tcW w:w="1787" w:type="dxa"/>
            <w:vMerge w:val="restart"/>
            <w:tcBorders>
              <w:top w:val="single" w:sz="4" w:space="0" w:color="auto"/>
              <w:left w:val="single" w:sz="4" w:space="0" w:color="auto"/>
              <w:right w:val="single" w:sz="4" w:space="0" w:color="auto"/>
            </w:tcBorders>
          </w:tcPr>
          <w:p w14:paraId="614BC043" w14:textId="43892F0F" w:rsidR="006D71D8" w:rsidRPr="00EB04F1" w:rsidRDefault="006D71D8"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rPr>
              <w:t>Augsnes organiskā oglekļa (AOO) koncentrācija (g uz kg)</w:t>
            </w:r>
          </w:p>
        </w:tc>
        <w:tc>
          <w:tcPr>
            <w:tcW w:w="2868" w:type="dxa"/>
            <w:tcBorders>
              <w:top w:val="single" w:sz="4" w:space="0" w:color="auto"/>
              <w:left w:val="single" w:sz="4" w:space="0" w:color="auto"/>
              <w:bottom w:val="single" w:sz="4" w:space="0" w:color="auto"/>
              <w:right w:val="single" w:sz="4" w:space="0" w:color="auto"/>
            </w:tcBorders>
          </w:tcPr>
          <w:p w14:paraId="321BB497" w14:textId="306FBDBB" w:rsidR="006D71D8" w:rsidRPr="00EB04F1" w:rsidRDefault="006D71D8"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noProof/>
                <w:lang w:val="en-IE"/>
              </w:rPr>
              <w:t>- Organiskām augsnēm: ievēroti mērķrādītāji, kas šādām augsnēm noteikti valsts līmenī saskaņā ar Regulas (ES) …/…</w:t>
            </w:r>
            <w:r w:rsidRPr="00EB04F1">
              <w:rPr>
                <w:rStyle w:val="FootnoteReference"/>
                <w:rFonts w:ascii="Times New Roman" w:hAnsi="Times New Roman" w:cs="Times New Roman"/>
                <w:strike/>
                <w:noProof/>
                <w:lang w:val="en-IE"/>
              </w:rPr>
              <w:footnoteReference w:customMarkFollows="1" w:id="58"/>
              <w:sym w:font="Symbol" w:char="F02B"/>
            </w:r>
            <w:r w:rsidRPr="00EB04F1">
              <w:rPr>
                <w:rFonts w:ascii="Times New Roman" w:hAnsi="Times New Roman" w:cs="Times New Roman"/>
                <w:strike/>
                <w:noProof/>
                <w:lang w:val="en-IE"/>
              </w:rPr>
              <w:t xml:space="preserve"> 4. panta 1. punktu, 4. panta 2. punktu un 9. panta 4. punktu </w:t>
            </w:r>
          </w:p>
        </w:tc>
        <w:tc>
          <w:tcPr>
            <w:tcW w:w="2582" w:type="dxa"/>
            <w:tcBorders>
              <w:top w:val="single" w:sz="4" w:space="0" w:color="auto"/>
              <w:left w:val="single" w:sz="4" w:space="0" w:color="auto"/>
              <w:bottom w:val="single" w:sz="4" w:space="0" w:color="auto"/>
              <w:right w:val="single" w:sz="4" w:space="0" w:color="auto"/>
            </w:tcBorders>
          </w:tcPr>
          <w:p w14:paraId="6BEBCE0F" w14:textId="16A5D126" w:rsidR="006D71D8" w:rsidRPr="00EB04F1" w:rsidRDefault="006D71D8"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rPr>
              <w:t>Izslēgtu platību nav</w:t>
            </w:r>
          </w:p>
        </w:tc>
      </w:tr>
      <w:tr w:rsidR="006D71D8" w:rsidRPr="00EB04F1" w14:paraId="7DED687A" w14:textId="77777777" w:rsidTr="006D71D8">
        <w:trPr>
          <w:trHeight w:val="300"/>
          <w:tblHeader/>
        </w:trPr>
        <w:tc>
          <w:tcPr>
            <w:tcW w:w="1684" w:type="dxa"/>
            <w:vMerge/>
            <w:tcBorders>
              <w:left w:val="single" w:sz="4" w:space="0" w:color="auto"/>
              <w:bottom w:val="single" w:sz="4" w:space="0" w:color="auto"/>
              <w:right w:val="single" w:sz="4" w:space="0" w:color="auto"/>
            </w:tcBorders>
          </w:tcPr>
          <w:p w14:paraId="416A6B14" w14:textId="77777777" w:rsidR="006D71D8" w:rsidRPr="00EB04F1" w:rsidRDefault="006D71D8" w:rsidP="00857D1A">
            <w:pPr>
              <w:widowControl/>
              <w:spacing w:before="120" w:after="120"/>
              <w:rPr>
                <w:rFonts w:ascii="Times New Roman" w:hAnsi="Times New Roman" w:cs="Times New Roman"/>
                <w:strike/>
                <w:noProof/>
                <w:lang w:val="en-IE"/>
              </w:rPr>
            </w:pPr>
          </w:p>
        </w:tc>
        <w:tc>
          <w:tcPr>
            <w:tcW w:w="1913" w:type="dxa"/>
            <w:vMerge/>
            <w:tcBorders>
              <w:left w:val="single" w:sz="4" w:space="0" w:color="auto"/>
              <w:bottom w:val="single" w:sz="4" w:space="0" w:color="auto"/>
              <w:right w:val="single" w:sz="4" w:space="0" w:color="auto"/>
            </w:tcBorders>
          </w:tcPr>
          <w:p w14:paraId="229FE787" w14:textId="77777777" w:rsidR="006D71D8" w:rsidRPr="00EB04F1" w:rsidRDefault="006D71D8" w:rsidP="00857D1A">
            <w:pPr>
              <w:widowControl/>
              <w:spacing w:before="120" w:after="120"/>
              <w:rPr>
                <w:strike/>
                <w:noProof/>
                <w:lang w:val="en-IE"/>
              </w:rPr>
            </w:pPr>
          </w:p>
        </w:tc>
        <w:tc>
          <w:tcPr>
            <w:tcW w:w="2798" w:type="dxa"/>
            <w:tcBorders>
              <w:top w:val="single" w:sz="4" w:space="0" w:color="auto"/>
              <w:left w:val="single" w:sz="4" w:space="0" w:color="auto"/>
              <w:bottom w:val="single" w:sz="4" w:space="0" w:color="auto"/>
              <w:right w:val="single" w:sz="4" w:space="0" w:color="auto"/>
            </w:tcBorders>
          </w:tcPr>
          <w:p w14:paraId="2A9ABB41" w14:textId="4D3919CF" w:rsidR="006D71D8" w:rsidRPr="00EB04F1" w:rsidRDefault="006D71D8"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rPr>
              <w:t xml:space="preserve">- Minerālaugsnēm: AOO/māla attiecība &gt; 1/13; dalībvalstis var piemērot korekcijas koeficientu, ja tas </w:t>
            </w:r>
            <w:r w:rsidRPr="00EB04F1">
              <w:rPr>
                <w:rFonts w:ascii="Times New Roman" w:hAnsi="Times New Roman" w:cs="Times New Roman"/>
                <w:strike/>
              </w:rPr>
              <w:lastRenderedPageBreak/>
              <w:t>vajadzīgs specifisku augsnes tipu vai klimatisko apstākļu dēļ, ņemot vērā faktisko AOO saturu ilggadīgajos zālājos.</w:t>
            </w:r>
          </w:p>
        </w:tc>
        <w:tc>
          <w:tcPr>
            <w:tcW w:w="2538" w:type="dxa"/>
            <w:tcBorders>
              <w:top w:val="single" w:sz="4" w:space="0" w:color="auto"/>
              <w:left w:val="single" w:sz="4" w:space="0" w:color="auto"/>
              <w:bottom w:val="single" w:sz="4" w:space="0" w:color="auto"/>
              <w:right w:val="single" w:sz="4" w:space="0" w:color="auto"/>
            </w:tcBorders>
          </w:tcPr>
          <w:p w14:paraId="0D0E700D" w14:textId="68185C99" w:rsidR="006D71D8" w:rsidRPr="00EB04F1" w:rsidRDefault="006D71D8" w:rsidP="00857D1A">
            <w:pPr>
              <w:widowControl/>
              <w:spacing w:before="120" w:after="120"/>
              <w:rPr>
                <w:rFonts w:ascii="Times New Roman" w:hAnsi="Times New Roman" w:cs="Times New Roman"/>
                <w:strike/>
                <w:noProof/>
                <w:lang w:val="en-IE"/>
              </w:rPr>
            </w:pPr>
            <w:r w:rsidRPr="00EB04F1">
              <w:rPr>
                <w:rFonts w:ascii="Times New Roman" w:hAnsi="Times New Roman" w:cs="Times New Roman"/>
                <w:strike/>
              </w:rPr>
              <w:lastRenderedPageBreak/>
              <w:t>Neapsaimniekotas augsnes dabiskās zemes platībās</w:t>
            </w:r>
          </w:p>
        </w:tc>
      </w:tr>
    </w:tbl>
    <w:tbl>
      <w:tblPr>
        <w:tblStyle w:val="TableGrid"/>
        <w:tblpPr w:leftFromText="180" w:rightFromText="180" w:vertAnchor="page" w:horzAnchor="margin" w:tblpY="1314"/>
        <w:tblW w:w="8933" w:type="dxa"/>
        <w:tblLayout w:type="fixed"/>
        <w:tblLook w:val="04A0" w:firstRow="1" w:lastRow="0" w:firstColumn="1" w:lastColumn="0" w:noHBand="0" w:noVBand="1"/>
      </w:tblPr>
      <w:tblGrid>
        <w:gridCol w:w="1555"/>
        <w:gridCol w:w="1996"/>
        <w:gridCol w:w="2823"/>
        <w:gridCol w:w="2559"/>
      </w:tblGrid>
      <w:tr w:rsidR="005D02DE" w:rsidRPr="00EB04F1" w14:paraId="0D97A7A3" w14:textId="77777777" w:rsidTr="00454F19">
        <w:trPr>
          <w:trHeight w:val="300"/>
          <w:tblHeader/>
        </w:trPr>
        <w:tc>
          <w:tcPr>
            <w:tcW w:w="1555" w:type="dxa"/>
            <w:tcBorders>
              <w:top w:val="single" w:sz="4" w:space="0" w:color="auto"/>
              <w:left w:val="single" w:sz="4" w:space="0" w:color="auto"/>
              <w:bottom w:val="single" w:sz="4" w:space="0" w:color="auto"/>
              <w:right w:val="single" w:sz="4" w:space="0" w:color="auto"/>
            </w:tcBorders>
            <w:hideMark/>
          </w:tcPr>
          <w:p w14:paraId="5C69EFFF" w14:textId="77777777" w:rsidR="005D02DE" w:rsidRPr="00EB04F1" w:rsidRDefault="005D02DE" w:rsidP="0007559D">
            <w:pPr>
              <w:widowControl/>
              <w:spacing w:before="120" w:after="120"/>
              <w:rPr>
                <w:strike/>
                <w:noProof/>
              </w:rPr>
            </w:pPr>
            <w:r w:rsidRPr="00EB04F1">
              <w:rPr>
                <w:strike/>
              </w:rPr>
              <w:lastRenderedPageBreak/>
              <w:t>Augsnes apakškārtas sablīvēšanās</w:t>
            </w:r>
          </w:p>
        </w:tc>
        <w:tc>
          <w:tcPr>
            <w:tcW w:w="1996" w:type="dxa"/>
            <w:tcBorders>
              <w:top w:val="single" w:sz="4" w:space="0" w:color="auto"/>
              <w:left w:val="single" w:sz="4" w:space="0" w:color="auto"/>
              <w:bottom w:val="single" w:sz="4" w:space="0" w:color="auto"/>
              <w:right w:val="single" w:sz="4" w:space="0" w:color="auto"/>
            </w:tcBorders>
            <w:hideMark/>
          </w:tcPr>
          <w:p w14:paraId="6728F6CE" w14:textId="6326022D" w:rsidR="005D02DE" w:rsidRPr="00EB04F1" w:rsidRDefault="005D02DE" w:rsidP="00DC05AB">
            <w:pPr>
              <w:spacing w:before="120" w:after="120"/>
              <w:rPr>
                <w:strike/>
                <w:noProof/>
              </w:rPr>
            </w:pPr>
            <w:r w:rsidRPr="00EB04F1">
              <w:rPr>
                <w:strike/>
              </w:rPr>
              <w:t>Augsnes apakškārtas tilpummasa (B vai E horizonta augšdaļa</w:t>
            </w:r>
            <w:r w:rsidR="00DC05AB" w:rsidRPr="00EB04F1">
              <w:rPr>
                <w:rStyle w:val="FootnoteReference"/>
                <w:strike/>
              </w:rPr>
              <w:footnoteReference w:id="59"/>
            </w:r>
            <w:r w:rsidRPr="00EB04F1">
              <w:rPr>
                <w:strike/>
              </w:rPr>
              <w:t>); d</w:t>
            </w:r>
            <w:r w:rsidR="0007559D" w:rsidRPr="00EB04F1">
              <w:rPr>
                <w:strike/>
              </w:rPr>
              <w:t>alībvalstis</w:t>
            </w:r>
            <w:r w:rsidRPr="00EB04F1">
              <w:rPr>
                <w:strike/>
              </w:rPr>
              <w:t xml:space="preserve"> šo deskriptoru var aizstāt ar pielīdzināmu parametru (g uz cm</w:t>
            </w:r>
            <w:r w:rsidRPr="00EB04F1">
              <w:rPr>
                <w:strike/>
                <w:vertAlign w:val="superscript"/>
              </w:rPr>
              <w:t>3</w:t>
            </w:r>
            <w:r w:rsidRPr="00EB04F1">
              <w:rPr>
                <w:strike/>
              </w:rPr>
              <w:t>)</w:t>
            </w:r>
          </w:p>
        </w:tc>
        <w:tc>
          <w:tcPr>
            <w:tcW w:w="2823" w:type="dxa"/>
            <w:tcBorders>
              <w:top w:val="single" w:sz="4" w:space="0" w:color="auto"/>
              <w:left w:val="single" w:sz="4" w:space="0" w:color="auto"/>
              <w:bottom w:val="single" w:sz="4" w:space="0" w:color="auto"/>
              <w:right w:val="single" w:sz="4" w:space="0" w:color="auto"/>
            </w:tcBorders>
            <w:hideMark/>
          </w:tcPr>
          <w:tbl>
            <w:tblPr>
              <w:tblStyle w:val="TableGrid"/>
              <w:tblW w:w="2825" w:type="dxa"/>
              <w:tblLayout w:type="fixed"/>
              <w:tblLook w:val="04A0" w:firstRow="1" w:lastRow="0" w:firstColumn="1" w:lastColumn="0" w:noHBand="0" w:noVBand="1"/>
            </w:tblPr>
            <w:tblGrid>
              <w:gridCol w:w="1940"/>
              <w:gridCol w:w="885"/>
            </w:tblGrid>
            <w:tr w:rsidR="005D02DE" w:rsidRPr="00EB04F1" w14:paraId="5427D14C" w14:textId="77777777" w:rsidTr="00454F19">
              <w:trPr>
                <w:trHeight w:val="300"/>
              </w:trPr>
              <w:tc>
                <w:tcPr>
                  <w:tcW w:w="1940" w:type="dxa"/>
                  <w:tcBorders>
                    <w:top w:val="single" w:sz="4" w:space="0" w:color="auto"/>
                    <w:left w:val="single" w:sz="4" w:space="0" w:color="auto"/>
                    <w:bottom w:val="single" w:sz="4" w:space="0" w:color="auto"/>
                    <w:right w:val="single" w:sz="4" w:space="0" w:color="auto"/>
                  </w:tcBorders>
                  <w:hideMark/>
                </w:tcPr>
                <w:p w14:paraId="29912FA1" w14:textId="77777777" w:rsidR="005D02DE" w:rsidRPr="00EB04F1" w:rsidRDefault="005D02DE" w:rsidP="00345349">
                  <w:pPr>
                    <w:framePr w:hSpace="180" w:wrap="around" w:vAnchor="page" w:hAnchor="margin" w:y="1314"/>
                    <w:spacing w:before="120" w:after="120"/>
                    <w:rPr>
                      <w:strike/>
                      <w:noProof/>
                    </w:rPr>
                  </w:pPr>
                  <w:r w:rsidRPr="00EB04F1">
                    <w:rPr>
                      <w:strike/>
                    </w:rPr>
                    <w:t>Augsnes granulometriskais sastāvs</w:t>
                  </w:r>
                  <w:r w:rsidRPr="00EB04F1">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41DCF174" w14:textId="77777777" w:rsidR="005D02DE" w:rsidRPr="00EB04F1" w:rsidRDefault="005D02DE" w:rsidP="00345349">
                  <w:pPr>
                    <w:framePr w:hSpace="180" w:wrap="around" w:vAnchor="page" w:hAnchor="margin" w:y="1314"/>
                    <w:spacing w:before="120" w:after="120"/>
                    <w:rPr>
                      <w:strike/>
                      <w:noProof/>
                    </w:rPr>
                  </w:pPr>
                  <w:r w:rsidRPr="00EB04F1">
                    <w:rPr>
                      <w:strike/>
                    </w:rPr>
                    <w:t>Diapazons</w:t>
                  </w:r>
                </w:p>
              </w:tc>
            </w:tr>
            <w:tr w:rsidR="005D02DE" w:rsidRPr="00EB04F1" w14:paraId="68F00702" w14:textId="77777777" w:rsidTr="00454F19">
              <w:trPr>
                <w:trHeight w:val="300"/>
              </w:trPr>
              <w:tc>
                <w:tcPr>
                  <w:tcW w:w="1940" w:type="dxa"/>
                  <w:tcBorders>
                    <w:top w:val="single" w:sz="4" w:space="0" w:color="auto"/>
                    <w:left w:val="single" w:sz="4" w:space="0" w:color="auto"/>
                    <w:bottom w:val="single" w:sz="4" w:space="0" w:color="auto"/>
                    <w:right w:val="single" w:sz="4" w:space="0" w:color="auto"/>
                  </w:tcBorders>
                  <w:hideMark/>
                </w:tcPr>
                <w:p w14:paraId="16952881" w14:textId="77777777" w:rsidR="005D02DE" w:rsidRPr="00EB04F1" w:rsidRDefault="005D02DE" w:rsidP="00345349">
                  <w:pPr>
                    <w:framePr w:hSpace="180" w:wrap="around" w:vAnchor="page" w:hAnchor="margin" w:y="1314"/>
                    <w:spacing w:before="120" w:after="120"/>
                    <w:rPr>
                      <w:strike/>
                      <w:noProof/>
                    </w:rPr>
                  </w:pPr>
                  <w:r w:rsidRPr="00EB04F1">
                    <w:rPr>
                      <w:strike/>
                    </w:rPr>
                    <w:t>Smilts, mālsmilts, smaga mālsmilts, smilšmāls</w:t>
                  </w:r>
                </w:p>
              </w:tc>
              <w:tc>
                <w:tcPr>
                  <w:tcW w:w="885" w:type="dxa"/>
                  <w:tcBorders>
                    <w:top w:val="single" w:sz="4" w:space="0" w:color="auto"/>
                    <w:left w:val="single" w:sz="4" w:space="0" w:color="auto"/>
                    <w:bottom w:val="single" w:sz="4" w:space="0" w:color="auto"/>
                    <w:right w:val="single" w:sz="4" w:space="0" w:color="auto"/>
                  </w:tcBorders>
                  <w:hideMark/>
                </w:tcPr>
                <w:p w14:paraId="733F92CF" w14:textId="77777777" w:rsidR="005D02DE" w:rsidRPr="00EB04F1" w:rsidRDefault="005D02DE" w:rsidP="00345349">
                  <w:pPr>
                    <w:framePr w:hSpace="180" w:wrap="around" w:vAnchor="page" w:hAnchor="margin" w:y="1314"/>
                    <w:spacing w:before="120" w:after="120"/>
                    <w:rPr>
                      <w:strike/>
                      <w:noProof/>
                    </w:rPr>
                  </w:pPr>
                  <w:r w:rsidRPr="00EB04F1">
                    <w:rPr>
                      <w:strike/>
                    </w:rPr>
                    <w:t>&lt;1,80</w:t>
                  </w:r>
                </w:p>
              </w:tc>
            </w:tr>
            <w:tr w:rsidR="005D02DE" w:rsidRPr="00EB04F1" w14:paraId="71AE53CA" w14:textId="77777777" w:rsidTr="00454F19">
              <w:trPr>
                <w:trHeight w:val="300"/>
              </w:trPr>
              <w:tc>
                <w:tcPr>
                  <w:tcW w:w="1940" w:type="dxa"/>
                  <w:tcBorders>
                    <w:top w:val="single" w:sz="4" w:space="0" w:color="auto"/>
                    <w:left w:val="single" w:sz="4" w:space="0" w:color="auto"/>
                    <w:bottom w:val="single" w:sz="4" w:space="0" w:color="auto"/>
                    <w:right w:val="single" w:sz="4" w:space="0" w:color="auto"/>
                  </w:tcBorders>
                  <w:hideMark/>
                </w:tcPr>
                <w:p w14:paraId="5B49C2A6" w14:textId="77777777" w:rsidR="005D02DE" w:rsidRPr="00EB04F1" w:rsidRDefault="005D02DE" w:rsidP="00345349">
                  <w:pPr>
                    <w:framePr w:hSpace="180" w:wrap="around" w:vAnchor="page" w:hAnchor="margin" w:y="1314"/>
                    <w:spacing w:before="120" w:after="120"/>
                    <w:rPr>
                      <w:strike/>
                      <w:noProof/>
                    </w:rPr>
                  </w:pPr>
                  <w:r w:rsidRPr="00EB04F1">
                    <w:rPr>
                      <w:strike/>
                    </w:rPr>
                    <w:t>Smags smilšmāls, smilšmāls, viegls māls, putekļi, putekļains smilšmāls</w:t>
                  </w:r>
                </w:p>
              </w:tc>
              <w:tc>
                <w:tcPr>
                  <w:tcW w:w="885" w:type="dxa"/>
                  <w:tcBorders>
                    <w:top w:val="single" w:sz="4" w:space="0" w:color="auto"/>
                    <w:left w:val="single" w:sz="4" w:space="0" w:color="auto"/>
                    <w:bottom w:val="single" w:sz="4" w:space="0" w:color="auto"/>
                    <w:right w:val="single" w:sz="4" w:space="0" w:color="auto"/>
                  </w:tcBorders>
                  <w:hideMark/>
                </w:tcPr>
                <w:p w14:paraId="37BD3BDD" w14:textId="77777777" w:rsidR="005D02DE" w:rsidRPr="00EB04F1" w:rsidRDefault="005D02DE" w:rsidP="00345349">
                  <w:pPr>
                    <w:framePr w:hSpace="180" w:wrap="around" w:vAnchor="page" w:hAnchor="margin" w:y="1314"/>
                    <w:spacing w:before="120" w:after="120"/>
                    <w:rPr>
                      <w:strike/>
                      <w:noProof/>
                    </w:rPr>
                  </w:pPr>
                  <w:r w:rsidRPr="00EB04F1">
                    <w:rPr>
                      <w:strike/>
                    </w:rPr>
                    <w:t>&lt;1,75</w:t>
                  </w:r>
                </w:p>
              </w:tc>
            </w:tr>
            <w:tr w:rsidR="005D02DE" w:rsidRPr="00EB04F1" w14:paraId="7B9D6AE8" w14:textId="77777777" w:rsidTr="00454F19">
              <w:trPr>
                <w:trHeight w:val="300"/>
              </w:trPr>
              <w:tc>
                <w:tcPr>
                  <w:tcW w:w="1940" w:type="dxa"/>
                  <w:tcBorders>
                    <w:top w:val="single" w:sz="4" w:space="0" w:color="auto"/>
                    <w:left w:val="single" w:sz="4" w:space="0" w:color="auto"/>
                    <w:bottom w:val="single" w:sz="4" w:space="0" w:color="auto"/>
                    <w:right w:val="single" w:sz="4" w:space="0" w:color="auto"/>
                  </w:tcBorders>
                  <w:hideMark/>
                </w:tcPr>
                <w:p w14:paraId="47D169AA" w14:textId="77777777" w:rsidR="005D02DE" w:rsidRPr="00EB04F1" w:rsidRDefault="005D02DE" w:rsidP="00345349">
                  <w:pPr>
                    <w:framePr w:hSpace="180" w:wrap="around" w:vAnchor="page" w:hAnchor="margin" w:y="1314"/>
                    <w:spacing w:before="120" w:after="120"/>
                    <w:rPr>
                      <w:strike/>
                      <w:noProof/>
                    </w:rPr>
                  </w:pPr>
                  <w:r w:rsidRPr="00EB04F1">
                    <w:rPr>
                      <w:strike/>
                    </w:rPr>
                    <w:t>Putekļains smilšmāls, viegls putekļu māls</w:t>
                  </w:r>
                </w:p>
              </w:tc>
              <w:tc>
                <w:tcPr>
                  <w:tcW w:w="885" w:type="dxa"/>
                  <w:tcBorders>
                    <w:top w:val="single" w:sz="4" w:space="0" w:color="auto"/>
                    <w:left w:val="single" w:sz="4" w:space="0" w:color="auto"/>
                    <w:bottom w:val="single" w:sz="4" w:space="0" w:color="auto"/>
                    <w:right w:val="single" w:sz="4" w:space="0" w:color="auto"/>
                  </w:tcBorders>
                  <w:hideMark/>
                </w:tcPr>
                <w:p w14:paraId="47CF6D35" w14:textId="77777777" w:rsidR="005D02DE" w:rsidRPr="00EB04F1" w:rsidRDefault="005D02DE" w:rsidP="00345349">
                  <w:pPr>
                    <w:framePr w:hSpace="180" w:wrap="around" w:vAnchor="page" w:hAnchor="margin" w:y="1314"/>
                    <w:spacing w:before="120" w:after="120"/>
                    <w:rPr>
                      <w:strike/>
                      <w:noProof/>
                    </w:rPr>
                  </w:pPr>
                  <w:r w:rsidRPr="00EB04F1">
                    <w:rPr>
                      <w:strike/>
                    </w:rPr>
                    <w:t>&lt;1,65</w:t>
                  </w:r>
                </w:p>
              </w:tc>
            </w:tr>
            <w:tr w:rsidR="005D02DE" w:rsidRPr="00EB04F1" w14:paraId="025E5265" w14:textId="77777777" w:rsidTr="00454F19">
              <w:trPr>
                <w:trHeight w:val="300"/>
              </w:trPr>
              <w:tc>
                <w:tcPr>
                  <w:tcW w:w="1940" w:type="dxa"/>
                  <w:tcBorders>
                    <w:top w:val="single" w:sz="4" w:space="0" w:color="auto"/>
                    <w:left w:val="single" w:sz="4" w:space="0" w:color="auto"/>
                    <w:bottom w:val="single" w:sz="4" w:space="0" w:color="auto"/>
                    <w:right w:val="single" w:sz="4" w:space="0" w:color="auto"/>
                  </w:tcBorders>
                  <w:hideMark/>
                </w:tcPr>
                <w:p w14:paraId="611B529F" w14:textId="77777777" w:rsidR="005D02DE" w:rsidRPr="00EB04F1" w:rsidRDefault="005D02DE" w:rsidP="00345349">
                  <w:pPr>
                    <w:framePr w:hSpace="180" w:wrap="around" w:vAnchor="page" w:hAnchor="margin" w:y="1314"/>
                    <w:spacing w:before="120" w:after="120"/>
                    <w:rPr>
                      <w:strike/>
                      <w:noProof/>
                    </w:rPr>
                  </w:pPr>
                  <w:r w:rsidRPr="00EB04F1">
                    <w:rPr>
                      <w:strike/>
                    </w:rPr>
                    <w:t>Vidējs māls, smags putekļu māls, viegls māls ar 35–45 % māla</w:t>
                  </w:r>
                </w:p>
              </w:tc>
              <w:tc>
                <w:tcPr>
                  <w:tcW w:w="885" w:type="dxa"/>
                  <w:tcBorders>
                    <w:top w:val="single" w:sz="4" w:space="0" w:color="auto"/>
                    <w:left w:val="single" w:sz="4" w:space="0" w:color="auto"/>
                    <w:bottom w:val="single" w:sz="4" w:space="0" w:color="auto"/>
                    <w:right w:val="single" w:sz="4" w:space="0" w:color="auto"/>
                  </w:tcBorders>
                  <w:hideMark/>
                </w:tcPr>
                <w:p w14:paraId="703D7FD7" w14:textId="77777777" w:rsidR="005D02DE" w:rsidRPr="00EB04F1" w:rsidRDefault="005D02DE" w:rsidP="00345349">
                  <w:pPr>
                    <w:framePr w:hSpace="180" w:wrap="around" w:vAnchor="page" w:hAnchor="margin" w:y="1314"/>
                    <w:spacing w:before="120" w:after="120"/>
                    <w:rPr>
                      <w:strike/>
                      <w:noProof/>
                    </w:rPr>
                  </w:pPr>
                  <w:r w:rsidRPr="00EB04F1">
                    <w:rPr>
                      <w:strike/>
                    </w:rPr>
                    <w:t>&lt;1,58</w:t>
                  </w:r>
                </w:p>
              </w:tc>
            </w:tr>
            <w:tr w:rsidR="005D02DE" w:rsidRPr="00EB04F1" w14:paraId="06FE8B18" w14:textId="77777777" w:rsidTr="00454F19">
              <w:trPr>
                <w:trHeight w:val="300"/>
              </w:trPr>
              <w:tc>
                <w:tcPr>
                  <w:tcW w:w="1940" w:type="dxa"/>
                  <w:tcBorders>
                    <w:top w:val="single" w:sz="4" w:space="0" w:color="auto"/>
                    <w:left w:val="single" w:sz="4" w:space="0" w:color="auto"/>
                    <w:bottom w:val="single" w:sz="4" w:space="0" w:color="auto"/>
                    <w:right w:val="single" w:sz="4" w:space="0" w:color="auto"/>
                  </w:tcBorders>
                  <w:hideMark/>
                </w:tcPr>
                <w:p w14:paraId="778BA6C2" w14:textId="77777777" w:rsidR="005D02DE" w:rsidRPr="00EB04F1" w:rsidRDefault="005D02DE" w:rsidP="00345349">
                  <w:pPr>
                    <w:framePr w:hSpace="180" w:wrap="around" w:vAnchor="page" w:hAnchor="margin" w:y="1314"/>
                    <w:spacing w:before="120" w:after="120"/>
                    <w:rPr>
                      <w:strike/>
                      <w:noProof/>
                    </w:rPr>
                  </w:pPr>
                  <w:r w:rsidRPr="00EB04F1">
                    <w:rPr>
                      <w:strike/>
                    </w:rPr>
                    <w:t>Māls</w:t>
                  </w:r>
                </w:p>
              </w:tc>
              <w:tc>
                <w:tcPr>
                  <w:tcW w:w="885" w:type="dxa"/>
                  <w:tcBorders>
                    <w:top w:val="single" w:sz="4" w:space="0" w:color="auto"/>
                    <w:left w:val="single" w:sz="4" w:space="0" w:color="auto"/>
                    <w:bottom w:val="single" w:sz="4" w:space="0" w:color="auto"/>
                    <w:right w:val="single" w:sz="4" w:space="0" w:color="auto"/>
                  </w:tcBorders>
                  <w:hideMark/>
                </w:tcPr>
                <w:p w14:paraId="438957EA" w14:textId="77777777" w:rsidR="005D02DE" w:rsidRPr="00EB04F1" w:rsidRDefault="005D02DE" w:rsidP="00345349">
                  <w:pPr>
                    <w:framePr w:hSpace="180" w:wrap="around" w:vAnchor="page" w:hAnchor="margin" w:y="1314"/>
                    <w:spacing w:before="120" w:after="120"/>
                    <w:rPr>
                      <w:strike/>
                      <w:noProof/>
                    </w:rPr>
                  </w:pPr>
                  <w:r w:rsidRPr="00EB04F1">
                    <w:rPr>
                      <w:strike/>
                    </w:rPr>
                    <w:t>&lt;1,47</w:t>
                  </w:r>
                </w:p>
              </w:tc>
            </w:tr>
          </w:tbl>
          <w:p w14:paraId="7DA4CD99" w14:textId="08ED3705" w:rsidR="005D02DE" w:rsidRPr="00EB04F1" w:rsidRDefault="005D02DE" w:rsidP="00DC05AB">
            <w:pPr>
              <w:spacing w:before="120" w:after="120"/>
              <w:rPr>
                <w:strike/>
                <w:noProof/>
              </w:rPr>
            </w:pPr>
            <w:r w:rsidRPr="00EB04F1">
              <w:rPr>
                <w:strike/>
              </w:rPr>
              <w:t>Ja dalībvalsts augsnes deskriptoru “augsnes apakškārtas tilpummasa” aizstāj ar pielīdzināmu parametru, tā izraudzītajam augsnes deskriptoram pieņem veselīga augsnes stāvokļa kritēriju, kas būtu pielīdzināms attiecībā uz augsnes apakškārtas tilpummasu noteiktajam kritērijam.</w:t>
            </w:r>
          </w:p>
        </w:tc>
        <w:tc>
          <w:tcPr>
            <w:tcW w:w="2559" w:type="dxa"/>
            <w:tcBorders>
              <w:top w:val="single" w:sz="4" w:space="0" w:color="auto"/>
              <w:left w:val="single" w:sz="4" w:space="0" w:color="auto"/>
              <w:bottom w:val="single" w:sz="4" w:space="0" w:color="auto"/>
              <w:right w:val="single" w:sz="4" w:space="0" w:color="auto"/>
            </w:tcBorders>
            <w:hideMark/>
          </w:tcPr>
          <w:p w14:paraId="36704F1C" w14:textId="77777777" w:rsidR="005D02DE" w:rsidRPr="00EB04F1" w:rsidRDefault="005D02DE" w:rsidP="00DC05AB">
            <w:pPr>
              <w:spacing w:before="120" w:after="120"/>
              <w:rPr>
                <w:strike/>
                <w:noProof/>
              </w:rPr>
            </w:pPr>
            <w:r w:rsidRPr="00EB04F1">
              <w:rPr>
                <w:strike/>
              </w:rPr>
              <w:t>Neapsaimniekotas augsnes dabiskās zemes platībās</w:t>
            </w:r>
          </w:p>
        </w:tc>
      </w:tr>
    </w:tbl>
    <w:tbl>
      <w:tblPr>
        <w:tblStyle w:val="TableGrid"/>
        <w:tblW w:w="8926" w:type="dxa"/>
        <w:tblLook w:val="04A0" w:firstRow="1" w:lastRow="0" w:firstColumn="1" w:lastColumn="0" w:noHBand="0" w:noVBand="1"/>
      </w:tblPr>
      <w:tblGrid>
        <w:gridCol w:w="2721"/>
        <w:gridCol w:w="2848"/>
        <w:gridCol w:w="1992"/>
        <w:gridCol w:w="1365"/>
      </w:tblGrid>
      <w:tr w:rsidR="005D02DE" w:rsidRPr="00EB04F1" w14:paraId="11B35CCD" w14:textId="77777777" w:rsidTr="0092524A">
        <w:tc>
          <w:tcPr>
            <w:tcW w:w="8926" w:type="dxa"/>
            <w:gridSpan w:val="4"/>
            <w:tcBorders>
              <w:top w:val="single" w:sz="4" w:space="0" w:color="auto"/>
              <w:left w:val="single" w:sz="4" w:space="0" w:color="auto"/>
              <w:bottom w:val="single" w:sz="4" w:space="0" w:color="auto"/>
              <w:right w:val="single" w:sz="4" w:space="0" w:color="auto"/>
            </w:tcBorders>
            <w:hideMark/>
          </w:tcPr>
          <w:p w14:paraId="59202CD0" w14:textId="77777777" w:rsidR="005D02DE" w:rsidRPr="00EB04F1" w:rsidRDefault="005D02DE" w:rsidP="00DC05AB">
            <w:pPr>
              <w:widowControl/>
              <w:spacing w:before="120" w:after="120"/>
              <w:jc w:val="both"/>
              <w:rPr>
                <w:b/>
                <w:bCs/>
                <w:i/>
                <w:sz w:val="22"/>
                <w:szCs w:val="22"/>
              </w:rPr>
            </w:pPr>
            <w:r w:rsidRPr="00EB04F1">
              <w:rPr>
                <w:b/>
                <w:i/>
                <w:sz w:val="22"/>
              </w:rPr>
              <w:t>A daļa. Augsnes monitoringa koncepcijas 1. līmenis</w:t>
            </w:r>
          </w:p>
          <w:p w14:paraId="42640227" w14:textId="77777777" w:rsidR="005D02DE" w:rsidRPr="00EB04F1" w:rsidRDefault="005D02DE" w:rsidP="00DC05AB">
            <w:pPr>
              <w:widowControl/>
              <w:spacing w:before="120" w:after="120"/>
              <w:jc w:val="both"/>
              <w:rPr>
                <w:b/>
                <w:bCs/>
                <w:i/>
                <w:sz w:val="22"/>
                <w:szCs w:val="22"/>
              </w:rPr>
            </w:pPr>
            <w:r w:rsidRPr="00EB04F1">
              <w:rPr>
                <w:b/>
                <w:i/>
                <w:sz w:val="22"/>
              </w:rPr>
              <w:t>Dalībvalsts ir tiesīga izmantot augsnes monitoringa koncepcijas 1. līmeni, ja tā izpilda visus kritērijus, kas noteikti 2. slejā, un iekļauj visus augsnes deskriptorus.</w:t>
            </w:r>
          </w:p>
        </w:tc>
      </w:tr>
      <w:tr w:rsidR="005D02DE" w:rsidRPr="00EB04F1" w14:paraId="6019DCA3" w14:textId="77777777" w:rsidTr="0092524A">
        <w:tc>
          <w:tcPr>
            <w:tcW w:w="8926" w:type="dxa"/>
            <w:gridSpan w:val="4"/>
            <w:tcBorders>
              <w:top w:val="single" w:sz="4" w:space="0" w:color="auto"/>
              <w:left w:val="single" w:sz="4" w:space="0" w:color="auto"/>
              <w:bottom w:val="single" w:sz="4" w:space="0" w:color="auto"/>
              <w:right w:val="single" w:sz="4" w:space="0" w:color="auto"/>
            </w:tcBorders>
            <w:hideMark/>
          </w:tcPr>
          <w:p w14:paraId="28FBD4A7" w14:textId="77777777" w:rsidR="005D02DE" w:rsidRPr="00EB04F1" w:rsidRDefault="005D02DE" w:rsidP="00DC05AB">
            <w:pPr>
              <w:widowControl/>
              <w:spacing w:before="120" w:after="120"/>
              <w:jc w:val="both"/>
              <w:rPr>
                <w:b/>
                <w:bCs/>
                <w:i/>
                <w:sz w:val="22"/>
                <w:szCs w:val="22"/>
              </w:rPr>
            </w:pPr>
            <w:r w:rsidRPr="00EB04F1">
              <w:rPr>
                <w:b/>
                <w:i/>
                <w:sz w:val="22"/>
              </w:rPr>
              <w:lastRenderedPageBreak/>
              <w:t>Paraugošanas koncepcija</w:t>
            </w:r>
          </w:p>
        </w:tc>
      </w:tr>
      <w:tr w:rsidR="005D02DE" w:rsidRPr="00EB04F1" w14:paraId="798E882D"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5B324E7A" w14:textId="77777777" w:rsidR="005D02DE" w:rsidRPr="00EB04F1" w:rsidRDefault="005D02DE" w:rsidP="00DC05AB">
            <w:pPr>
              <w:widowControl/>
              <w:spacing w:before="120" w:after="120"/>
              <w:jc w:val="both"/>
              <w:rPr>
                <w:b/>
                <w:bCs/>
                <w:i/>
                <w:iCs/>
                <w:sz w:val="22"/>
                <w:szCs w:val="22"/>
              </w:rPr>
            </w:pPr>
            <w:r w:rsidRPr="00EB04F1">
              <w:rPr>
                <w:b/>
                <w:i/>
                <w:sz w:val="22"/>
              </w:rPr>
              <w:t>Atsauces metodika</w:t>
            </w:r>
          </w:p>
        </w:tc>
        <w:tc>
          <w:tcPr>
            <w:tcW w:w="2848" w:type="dxa"/>
            <w:tcBorders>
              <w:top w:val="single" w:sz="4" w:space="0" w:color="auto"/>
              <w:left w:val="single" w:sz="4" w:space="0" w:color="auto"/>
              <w:bottom w:val="single" w:sz="4" w:space="0" w:color="auto"/>
              <w:right w:val="single" w:sz="4" w:space="0" w:color="auto"/>
            </w:tcBorders>
            <w:hideMark/>
          </w:tcPr>
          <w:p w14:paraId="33F9826D" w14:textId="77777777" w:rsidR="005D02DE" w:rsidRPr="00EB04F1" w:rsidRDefault="005D02DE" w:rsidP="00DC05AB">
            <w:pPr>
              <w:widowControl/>
              <w:spacing w:before="120" w:after="120"/>
              <w:jc w:val="both"/>
              <w:rPr>
                <w:b/>
                <w:bCs/>
                <w:i/>
                <w:iCs/>
                <w:sz w:val="22"/>
                <w:szCs w:val="22"/>
              </w:rPr>
            </w:pPr>
            <w:r w:rsidRPr="00EB04F1">
              <w:rPr>
                <w:b/>
                <w:i/>
                <w:sz w:val="22"/>
              </w:rPr>
              <w:t>Izpildāmie kritēriji</w:t>
            </w:r>
          </w:p>
        </w:tc>
        <w:tc>
          <w:tcPr>
            <w:tcW w:w="1992" w:type="dxa"/>
            <w:tcBorders>
              <w:top w:val="single" w:sz="4" w:space="0" w:color="auto"/>
              <w:left w:val="single" w:sz="4" w:space="0" w:color="auto"/>
              <w:bottom w:val="single" w:sz="4" w:space="0" w:color="auto"/>
              <w:right w:val="single" w:sz="4" w:space="0" w:color="auto"/>
            </w:tcBorders>
            <w:hideMark/>
          </w:tcPr>
          <w:p w14:paraId="060D5CDA" w14:textId="77777777" w:rsidR="005D02DE" w:rsidRPr="00EB04F1" w:rsidRDefault="005D02DE" w:rsidP="00DC05AB">
            <w:pPr>
              <w:widowControl/>
              <w:spacing w:before="120" w:after="120"/>
              <w:jc w:val="both"/>
              <w:rPr>
                <w:b/>
                <w:bCs/>
                <w:i/>
                <w:iCs/>
                <w:sz w:val="22"/>
                <w:szCs w:val="22"/>
              </w:rPr>
            </w:pPr>
            <w:r w:rsidRPr="00EB04F1">
              <w:rPr>
                <w:b/>
                <w:i/>
                <w:sz w:val="22"/>
              </w:rPr>
              <w:t>Izņēmumi</w:t>
            </w:r>
          </w:p>
        </w:tc>
        <w:tc>
          <w:tcPr>
            <w:tcW w:w="1365" w:type="dxa"/>
            <w:tcBorders>
              <w:top w:val="single" w:sz="4" w:space="0" w:color="auto"/>
              <w:left w:val="single" w:sz="4" w:space="0" w:color="auto"/>
              <w:bottom w:val="single" w:sz="4" w:space="0" w:color="auto"/>
              <w:right w:val="single" w:sz="4" w:space="0" w:color="auto"/>
            </w:tcBorders>
            <w:hideMark/>
          </w:tcPr>
          <w:p w14:paraId="49AFD516" w14:textId="77777777" w:rsidR="005D02DE" w:rsidRPr="00EB04F1" w:rsidRDefault="005D02DE" w:rsidP="00DC05AB">
            <w:pPr>
              <w:widowControl/>
              <w:spacing w:before="120" w:after="120"/>
              <w:jc w:val="both"/>
              <w:rPr>
                <w:b/>
                <w:bCs/>
                <w:i/>
                <w:iCs/>
                <w:sz w:val="22"/>
                <w:szCs w:val="22"/>
              </w:rPr>
            </w:pPr>
            <w:r w:rsidRPr="00EB04F1">
              <w:rPr>
                <w:b/>
                <w:i/>
                <w:sz w:val="22"/>
              </w:rPr>
              <w:t>Piezīmes</w:t>
            </w:r>
          </w:p>
        </w:tc>
      </w:tr>
      <w:tr w:rsidR="005D02DE" w:rsidRPr="00EB04F1" w14:paraId="14965C24"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6C0B28B8" w14:textId="77777777" w:rsidR="005D02DE" w:rsidRPr="00EB04F1" w:rsidRDefault="005D02DE" w:rsidP="00DC05AB">
            <w:pPr>
              <w:widowControl/>
              <w:spacing w:before="120" w:after="120"/>
              <w:jc w:val="both"/>
              <w:rPr>
                <w:b/>
                <w:i/>
                <w:sz w:val="22"/>
                <w:szCs w:val="22"/>
              </w:rPr>
            </w:pPr>
            <w:r w:rsidRPr="00EB04F1">
              <w:rPr>
                <w:b/>
                <w:i/>
                <w:sz w:val="22"/>
              </w:rPr>
              <w:t>Izlases veida apsekojumu izstrādā, par pamatu ņemot pilnīgu izlases bāzi, kas satur labāko pieejamo informāciju par augsnes īpašību sadalījumu, arī — bet ne tikai — informāciju, kas iegūta iepriekšējos valsts mērījumos un LUCAS programmas mērījumos.</w:t>
            </w:r>
          </w:p>
          <w:p w14:paraId="03261D26" w14:textId="77777777" w:rsidR="005D02DE" w:rsidRPr="00EB04F1" w:rsidRDefault="005D02DE" w:rsidP="00DC05AB">
            <w:pPr>
              <w:widowControl/>
              <w:spacing w:before="120" w:after="120"/>
              <w:jc w:val="both"/>
              <w:rPr>
                <w:b/>
                <w:i/>
                <w:sz w:val="22"/>
                <w:szCs w:val="22"/>
              </w:rPr>
            </w:pPr>
            <w:r w:rsidRPr="00EB04F1">
              <w:rPr>
                <w:b/>
                <w:i/>
                <w:sz w:val="22"/>
              </w:rPr>
              <w:t>Paraugošanas shēma ir stratificēta gadījumizlase.</w:t>
            </w:r>
          </w:p>
          <w:p w14:paraId="6838E97C" w14:textId="77777777" w:rsidR="005D02DE" w:rsidRPr="00EB04F1" w:rsidRDefault="005D02DE" w:rsidP="00DC05AB">
            <w:pPr>
              <w:widowControl/>
              <w:spacing w:before="120" w:after="120"/>
              <w:jc w:val="both"/>
              <w:rPr>
                <w:b/>
                <w:i/>
                <w:sz w:val="22"/>
                <w:szCs w:val="22"/>
              </w:rPr>
            </w:pPr>
            <w:r w:rsidRPr="00EB04F1">
              <w:rPr>
                <w:b/>
                <w:i/>
                <w:sz w:val="22"/>
              </w:rPr>
              <w:t>Vērtējot, kādā platībā augsnes ir veselīgas, valsts izlases lielums atbilst prasībai par maksimālo procentuālo kļūdu (jeb variācijas koeficientu) 5 %.</w:t>
            </w:r>
          </w:p>
          <w:p w14:paraId="6A621A1B" w14:textId="77777777" w:rsidR="005D02DE" w:rsidRPr="00EB04F1" w:rsidRDefault="005D02DE" w:rsidP="00DC05AB">
            <w:pPr>
              <w:widowControl/>
              <w:spacing w:before="120" w:after="120"/>
              <w:jc w:val="both"/>
              <w:rPr>
                <w:b/>
                <w:i/>
                <w:sz w:val="22"/>
                <w:szCs w:val="22"/>
              </w:rPr>
            </w:pPr>
            <w:r w:rsidRPr="00EB04F1">
              <w:rPr>
                <w:b/>
                <w:i/>
                <w:sz w:val="22"/>
              </w:rPr>
              <w:t>Komisijas izlase apsekojumam, ko veic saskaņā ar 6. panta 4. punktu, veido ne mazāk kā 20 % no valsts izlases lieluma.</w:t>
            </w:r>
          </w:p>
          <w:p w14:paraId="50906968" w14:textId="77777777" w:rsidR="005D02DE" w:rsidRPr="00EB04F1" w:rsidRDefault="005D02DE" w:rsidP="00DC05AB">
            <w:pPr>
              <w:widowControl/>
              <w:spacing w:before="120" w:after="120"/>
              <w:jc w:val="both"/>
              <w:rPr>
                <w:b/>
                <w:i/>
                <w:sz w:val="22"/>
                <w:szCs w:val="22"/>
              </w:rPr>
            </w:pPr>
            <w:r w:rsidRPr="00EB04F1">
              <w:rPr>
                <w:b/>
                <w:i/>
                <w:sz w:val="22"/>
              </w:rPr>
              <w:t>Izlases sadalījumu un lielumu nosaka, piemērojot Betela algoritmu (Bethel, 1989), ņemot vērā norādīto maksimālo aplēses kļūdu.</w:t>
            </w:r>
          </w:p>
        </w:tc>
        <w:tc>
          <w:tcPr>
            <w:tcW w:w="2848" w:type="dxa"/>
            <w:tcBorders>
              <w:top w:val="single" w:sz="4" w:space="0" w:color="auto"/>
              <w:left w:val="single" w:sz="4" w:space="0" w:color="auto"/>
              <w:bottom w:val="single" w:sz="4" w:space="0" w:color="auto"/>
              <w:right w:val="single" w:sz="4" w:space="0" w:color="auto"/>
            </w:tcBorders>
            <w:hideMark/>
          </w:tcPr>
          <w:p w14:paraId="4F288E53" w14:textId="77777777" w:rsidR="005D02DE" w:rsidRPr="00EB04F1" w:rsidRDefault="005D02DE" w:rsidP="00DC05AB">
            <w:pPr>
              <w:widowControl/>
              <w:spacing w:before="120" w:after="120"/>
              <w:jc w:val="both"/>
              <w:rPr>
                <w:b/>
                <w:i/>
                <w:sz w:val="22"/>
                <w:szCs w:val="22"/>
              </w:rPr>
            </w:pPr>
            <w:r w:rsidRPr="00EB04F1">
              <w:rPr>
                <w:b/>
                <w:i/>
                <w:sz w:val="22"/>
              </w:rPr>
              <w:t>a) Stratificēta gadījumizlase, pamatojoties uz zemes veidu. Stratificētie dati var ietvert klimatiskos apstākļus, augsnes tipu, zemes veidu un administratīvos apgabalus saskaņā ar 4. pantu.</w:t>
            </w:r>
          </w:p>
          <w:p w14:paraId="61E8F44C" w14:textId="77777777" w:rsidR="005D02DE" w:rsidRPr="00EB04F1" w:rsidRDefault="005D02DE" w:rsidP="00DC05AB">
            <w:pPr>
              <w:widowControl/>
              <w:spacing w:before="120" w:after="120"/>
              <w:jc w:val="both"/>
              <w:rPr>
                <w:b/>
                <w:i/>
                <w:sz w:val="22"/>
                <w:szCs w:val="22"/>
              </w:rPr>
            </w:pPr>
            <w:r w:rsidRPr="00EB04F1">
              <w:rPr>
                <w:b/>
                <w:i/>
                <w:sz w:val="22"/>
              </w:rPr>
              <w:t>b) Paraugu skaitu nosaka, piemērojot Betela algoritmu, ņemot vērā norādīto maksimālo aplēses kļūdu.</w:t>
            </w:r>
          </w:p>
          <w:p w14:paraId="40F0E1E6" w14:textId="77777777" w:rsidR="005D02DE" w:rsidRPr="00EB04F1" w:rsidRDefault="005D02DE" w:rsidP="00DC05AB">
            <w:pPr>
              <w:widowControl/>
              <w:spacing w:before="120" w:after="120"/>
              <w:jc w:val="both"/>
              <w:rPr>
                <w:b/>
                <w:i/>
                <w:sz w:val="22"/>
                <w:szCs w:val="22"/>
              </w:rPr>
            </w:pPr>
            <w:r w:rsidRPr="00EB04F1">
              <w:rPr>
                <w:b/>
                <w:i/>
                <w:sz w:val="22"/>
              </w:rPr>
              <w:t>c) Ļauj daļu (līdz 20 % un ne mazāk kā 10 %) no paraugošanas vietām veltīt mērķorientētai paraugošanai saistībā ar izpētēm vai riska novērtējumu.</w:t>
            </w:r>
          </w:p>
        </w:tc>
        <w:tc>
          <w:tcPr>
            <w:tcW w:w="1992" w:type="dxa"/>
            <w:tcBorders>
              <w:top w:val="single" w:sz="4" w:space="0" w:color="auto"/>
              <w:left w:val="single" w:sz="4" w:space="0" w:color="auto"/>
              <w:bottom w:val="single" w:sz="4" w:space="0" w:color="auto"/>
              <w:right w:val="single" w:sz="4" w:space="0" w:color="auto"/>
            </w:tcBorders>
            <w:hideMark/>
          </w:tcPr>
          <w:p w14:paraId="741709AC" w14:textId="77777777" w:rsidR="005D02DE" w:rsidRPr="00EB04F1" w:rsidRDefault="005D02DE" w:rsidP="00DC05AB">
            <w:pPr>
              <w:widowControl/>
              <w:spacing w:before="120" w:after="120"/>
              <w:jc w:val="both"/>
              <w:rPr>
                <w:b/>
                <w:i/>
                <w:sz w:val="22"/>
                <w:szCs w:val="22"/>
              </w:rPr>
            </w:pPr>
            <w:r w:rsidRPr="00EB04F1">
              <w:rPr>
                <w:b/>
                <w:i/>
                <w:sz w:val="22"/>
              </w:rPr>
              <w:t>Ja dalībvalsts līmenī ir paraugošanas koncepcija, kas atbilst 1. līmenim noteiktajiem kritērijiem, var pielāgot atsauces metodiku vai Komisijai ierosināt citas koncepcijas pieejas, ja ieviestā koncepcija nodrošina pietiekamu dalībvalsts aptvērumu atbilstīgi atsauces metodikai (arī valsts un LUCAS izlasēm). Pieņemot atsauces metodiku, dalībvalstīm tomēr ir jāievēro EK in situ koncepcija.</w:t>
            </w:r>
          </w:p>
        </w:tc>
        <w:tc>
          <w:tcPr>
            <w:tcW w:w="1365" w:type="dxa"/>
            <w:tcBorders>
              <w:top w:val="single" w:sz="4" w:space="0" w:color="auto"/>
              <w:left w:val="single" w:sz="4" w:space="0" w:color="auto"/>
              <w:bottom w:val="single" w:sz="4" w:space="0" w:color="auto"/>
              <w:right w:val="single" w:sz="4" w:space="0" w:color="auto"/>
            </w:tcBorders>
          </w:tcPr>
          <w:p w14:paraId="32DAF283" w14:textId="77777777" w:rsidR="005D02DE" w:rsidRPr="00EB04F1" w:rsidRDefault="005D02DE" w:rsidP="00DC05AB">
            <w:pPr>
              <w:widowControl/>
              <w:spacing w:before="120" w:after="120"/>
              <w:jc w:val="both"/>
              <w:rPr>
                <w:b/>
                <w:i/>
                <w:sz w:val="22"/>
                <w:szCs w:val="22"/>
                <w:lang w:eastAsia="en-US"/>
              </w:rPr>
            </w:pPr>
          </w:p>
        </w:tc>
      </w:tr>
      <w:tr w:rsidR="005D02DE" w:rsidRPr="00EB04F1" w14:paraId="71C31BCC" w14:textId="77777777" w:rsidTr="0092524A">
        <w:tc>
          <w:tcPr>
            <w:tcW w:w="8926" w:type="dxa"/>
            <w:gridSpan w:val="4"/>
            <w:tcBorders>
              <w:top w:val="single" w:sz="4" w:space="0" w:color="auto"/>
              <w:left w:val="single" w:sz="4" w:space="0" w:color="auto"/>
              <w:bottom w:val="single" w:sz="4" w:space="0" w:color="auto"/>
              <w:right w:val="single" w:sz="4" w:space="0" w:color="auto"/>
            </w:tcBorders>
            <w:hideMark/>
          </w:tcPr>
          <w:p w14:paraId="67598EAB" w14:textId="77777777" w:rsidR="005D02DE" w:rsidRPr="00EB04F1" w:rsidRDefault="005D02DE" w:rsidP="00DC05AB">
            <w:pPr>
              <w:widowControl/>
              <w:spacing w:before="120" w:after="120"/>
              <w:jc w:val="both"/>
              <w:rPr>
                <w:b/>
                <w:i/>
                <w:sz w:val="22"/>
                <w:szCs w:val="22"/>
              </w:rPr>
            </w:pPr>
            <w:r w:rsidRPr="00EB04F1">
              <w:rPr>
                <w:b/>
                <w:i/>
                <w:sz w:val="22"/>
              </w:rPr>
              <w:t>Degradācijas faktori</w:t>
            </w:r>
          </w:p>
        </w:tc>
      </w:tr>
      <w:tr w:rsidR="005D02DE" w:rsidRPr="00EB04F1" w14:paraId="6D016EB4"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650E4D9B" w14:textId="77777777" w:rsidR="005D02DE" w:rsidRPr="00EB04F1" w:rsidRDefault="005D02DE" w:rsidP="00DC05AB">
            <w:pPr>
              <w:widowControl/>
              <w:spacing w:before="120" w:after="120"/>
              <w:jc w:val="both"/>
              <w:rPr>
                <w:b/>
                <w:i/>
                <w:iCs/>
                <w:sz w:val="22"/>
                <w:szCs w:val="22"/>
              </w:rPr>
            </w:pPr>
            <w:r w:rsidRPr="00EB04F1">
              <w:rPr>
                <w:b/>
                <w:i/>
                <w:sz w:val="22"/>
              </w:rPr>
              <w:t>Degradācijas faktors</w:t>
            </w:r>
          </w:p>
        </w:tc>
        <w:tc>
          <w:tcPr>
            <w:tcW w:w="2848" w:type="dxa"/>
            <w:tcBorders>
              <w:top w:val="single" w:sz="4" w:space="0" w:color="auto"/>
              <w:left w:val="single" w:sz="4" w:space="0" w:color="auto"/>
              <w:bottom w:val="single" w:sz="4" w:space="0" w:color="auto"/>
              <w:right w:val="single" w:sz="4" w:space="0" w:color="auto"/>
            </w:tcBorders>
            <w:hideMark/>
          </w:tcPr>
          <w:p w14:paraId="70C40DBF" w14:textId="77777777" w:rsidR="005D02DE" w:rsidRPr="00EB04F1" w:rsidRDefault="005D02DE" w:rsidP="00DC05AB">
            <w:pPr>
              <w:widowControl/>
              <w:spacing w:before="120" w:after="120"/>
              <w:jc w:val="both"/>
              <w:rPr>
                <w:b/>
                <w:bCs/>
                <w:i/>
                <w:iCs/>
                <w:sz w:val="22"/>
                <w:szCs w:val="22"/>
              </w:rPr>
            </w:pPr>
            <w:r w:rsidRPr="00EB04F1">
              <w:rPr>
                <w:b/>
                <w:i/>
                <w:sz w:val="22"/>
              </w:rPr>
              <w:t>Augsnes deskriptors</w:t>
            </w:r>
          </w:p>
        </w:tc>
        <w:tc>
          <w:tcPr>
            <w:tcW w:w="1992" w:type="dxa"/>
            <w:tcBorders>
              <w:top w:val="single" w:sz="4" w:space="0" w:color="auto"/>
              <w:left w:val="single" w:sz="4" w:space="0" w:color="auto"/>
              <w:bottom w:val="single" w:sz="4" w:space="0" w:color="auto"/>
              <w:right w:val="single" w:sz="4" w:space="0" w:color="auto"/>
            </w:tcBorders>
            <w:hideMark/>
          </w:tcPr>
          <w:p w14:paraId="2C503B72" w14:textId="77777777" w:rsidR="005D02DE" w:rsidRPr="00EB04F1" w:rsidRDefault="005D02DE" w:rsidP="00DC05AB">
            <w:pPr>
              <w:widowControl/>
              <w:spacing w:before="120" w:after="120"/>
              <w:jc w:val="both"/>
              <w:rPr>
                <w:b/>
                <w:bCs/>
                <w:i/>
                <w:iCs/>
                <w:sz w:val="22"/>
                <w:szCs w:val="22"/>
              </w:rPr>
            </w:pPr>
            <w:r w:rsidRPr="00EB04F1">
              <w:rPr>
                <w:b/>
                <w:i/>
                <w:sz w:val="22"/>
              </w:rPr>
              <w:t>Izņēmumi</w:t>
            </w:r>
          </w:p>
        </w:tc>
        <w:tc>
          <w:tcPr>
            <w:tcW w:w="1365" w:type="dxa"/>
            <w:tcBorders>
              <w:top w:val="single" w:sz="4" w:space="0" w:color="auto"/>
              <w:left w:val="single" w:sz="4" w:space="0" w:color="auto"/>
              <w:bottom w:val="single" w:sz="4" w:space="0" w:color="auto"/>
              <w:right w:val="single" w:sz="4" w:space="0" w:color="auto"/>
            </w:tcBorders>
            <w:hideMark/>
          </w:tcPr>
          <w:p w14:paraId="1D053CFD" w14:textId="77777777" w:rsidR="005D02DE" w:rsidRPr="00EB04F1" w:rsidRDefault="005D02DE" w:rsidP="00DC05AB">
            <w:pPr>
              <w:widowControl/>
              <w:spacing w:before="120" w:after="120"/>
              <w:jc w:val="both"/>
              <w:rPr>
                <w:b/>
                <w:bCs/>
                <w:i/>
                <w:iCs/>
                <w:sz w:val="22"/>
                <w:szCs w:val="22"/>
              </w:rPr>
            </w:pPr>
            <w:r w:rsidRPr="00EB04F1">
              <w:rPr>
                <w:b/>
                <w:i/>
                <w:sz w:val="22"/>
              </w:rPr>
              <w:t>Piezīmes</w:t>
            </w:r>
          </w:p>
        </w:tc>
      </w:tr>
      <w:tr w:rsidR="005D02DE" w:rsidRPr="00EB04F1" w14:paraId="1B48821C"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6B00E374" w14:textId="77777777" w:rsidR="005D02DE" w:rsidRPr="00EB04F1" w:rsidRDefault="005D02DE" w:rsidP="00DC05AB">
            <w:pPr>
              <w:widowControl/>
              <w:spacing w:before="120" w:after="120"/>
              <w:jc w:val="both"/>
              <w:rPr>
                <w:b/>
                <w:i/>
                <w:sz w:val="22"/>
                <w:szCs w:val="22"/>
              </w:rPr>
            </w:pPr>
            <w:r w:rsidRPr="00EB04F1">
              <w:rPr>
                <w:b/>
                <w:i/>
                <w:sz w:val="22"/>
              </w:rPr>
              <w:t>Augsnes erozija</w:t>
            </w:r>
          </w:p>
        </w:tc>
        <w:tc>
          <w:tcPr>
            <w:tcW w:w="2848" w:type="dxa"/>
            <w:tcBorders>
              <w:top w:val="single" w:sz="4" w:space="0" w:color="auto"/>
              <w:left w:val="single" w:sz="4" w:space="0" w:color="auto"/>
              <w:bottom w:val="single" w:sz="4" w:space="0" w:color="auto"/>
              <w:right w:val="single" w:sz="4" w:space="0" w:color="auto"/>
            </w:tcBorders>
            <w:hideMark/>
          </w:tcPr>
          <w:p w14:paraId="1C22C0EB"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erozijas rādītājs (zaudētās tonnas uz hektāru gadā) (t ha</w:t>
            </w:r>
            <w:r w:rsidRPr="00EB04F1">
              <w:rPr>
                <w:b/>
                <w:i/>
                <w:sz w:val="22"/>
                <w:vertAlign w:val="superscript"/>
              </w:rPr>
              <w:t xml:space="preserve">-1 </w:t>
            </w:r>
            <w:r w:rsidRPr="00EB04F1">
              <w:rPr>
                <w:b/>
                <w:i/>
                <w:sz w:val="22"/>
              </w:rPr>
              <w:t>g.</w:t>
            </w:r>
            <w:r w:rsidRPr="00EB04F1">
              <w:rPr>
                <w:b/>
                <w:i/>
                <w:sz w:val="22"/>
                <w:vertAlign w:val="superscript"/>
              </w:rPr>
              <w:t>-1</w:t>
            </w:r>
            <w:r w:rsidRPr="00EB04F1">
              <w:rPr>
                <w:b/>
                <w:i/>
                <w:sz w:val="22"/>
              </w:rPr>
              <w:t>))</w:t>
            </w:r>
          </w:p>
        </w:tc>
        <w:tc>
          <w:tcPr>
            <w:tcW w:w="1992" w:type="dxa"/>
            <w:tcBorders>
              <w:top w:val="single" w:sz="4" w:space="0" w:color="auto"/>
              <w:left w:val="single" w:sz="4" w:space="0" w:color="auto"/>
              <w:bottom w:val="single" w:sz="4" w:space="0" w:color="auto"/>
              <w:right w:val="single" w:sz="4" w:space="0" w:color="auto"/>
            </w:tcBorders>
            <w:hideMark/>
          </w:tcPr>
          <w:p w14:paraId="7C4FC0DF"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tcPr>
          <w:p w14:paraId="1AA7327C" w14:textId="77777777" w:rsidR="005D02DE" w:rsidRPr="00EB04F1" w:rsidRDefault="005D02DE" w:rsidP="00DC05AB">
            <w:pPr>
              <w:widowControl/>
              <w:spacing w:before="120" w:after="120"/>
              <w:jc w:val="both"/>
              <w:rPr>
                <w:b/>
                <w:i/>
                <w:sz w:val="22"/>
                <w:szCs w:val="22"/>
                <w:lang w:eastAsia="en-US"/>
              </w:rPr>
            </w:pPr>
          </w:p>
        </w:tc>
      </w:tr>
      <w:tr w:rsidR="005D02DE" w:rsidRPr="00EB04F1" w14:paraId="03B2BF9A"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47B43574" w14:textId="77777777" w:rsidR="005D02DE" w:rsidRPr="00EB04F1" w:rsidRDefault="005D02DE" w:rsidP="00DC05AB">
            <w:pPr>
              <w:widowControl/>
              <w:spacing w:before="120" w:after="120"/>
              <w:jc w:val="both"/>
              <w:rPr>
                <w:b/>
                <w:i/>
                <w:sz w:val="22"/>
                <w:szCs w:val="22"/>
              </w:rPr>
            </w:pPr>
            <w:r w:rsidRPr="00EB04F1">
              <w:rPr>
                <w:b/>
                <w:i/>
                <w:sz w:val="22"/>
              </w:rPr>
              <w:t>Augsnes organiskā oglekļa zudums</w:t>
            </w:r>
          </w:p>
        </w:tc>
        <w:tc>
          <w:tcPr>
            <w:tcW w:w="2848" w:type="dxa"/>
            <w:tcBorders>
              <w:top w:val="single" w:sz="4" w:space="0" w:color="auto"/>
              <w:left w:val="single" w:sz="4" w:space="0" w:color="auto"/>
              <w:bottom w:val="single" w:sz="4" w:space="0" w:color="auto"/>
              <w:right w:val="single" w:sz="4" w:space="0" w:color="auto"/>
            </w:tcBorders>
            <w:hideMark/>
          </w:tcPr>
          <w:p w14:paraId="67736F57"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organiskā oglekļa (AOO) koncentrācija (g oglekļa uz kg (g kg</w:t>
            </w:r>
            <w:r w:rsidRPr="00EB04F1">
              <w:rPr>
                <w:b/>
                <w:i/>
                <w:sz w:val="22"/>
                <w:vertAlign w:val="superscript"/>
              </w:rPr>
              <w:t>-1</w:t>
            </w:r>
            <w:r w:rsidRPr="00EB04F1">
              <w:rPr>
                <w:b/>
                <w:i/>
                <w:sz w:val="22"/>
              </w:rPr>
              <w:t>))</w:t>
            </w:r>
          </w:p>
        </w:tc>
        <w:tc>
          <w:tcPr>
            <w:tcW w:w="1992" w:type="dxa"/>
            <w:tcBorders>
              <w:top w:val="single" w:sz="4" w:space="0" w:color="auto"/>
              <w:left w:val="single" w:sz="4" w:space="0" w:color="auto"/>
              <w:bottom w:val="single" w:sz="4" w:space="0" w:color="auto"/>
              <w:right w:val="single" w:sz="4" w:space="0" w:color="auto"/>
            </w:tcBorders>
            <w:hideMark/>
          </w:tcPr>
          <w:p w14:paraId="52835264"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12FCB4DA"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w:t>
            </w:r>
          </w:p>
        </w:tc>
      </w:tr>
      <w:tr w:rsidR="005D02DE" w:rsidRPr="00EB04F1" w14:paraId="7557C712"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7B6D3775" w14:textId="77777777" w:rsidR="005D02DE" w:rsidRPr="00EB04F1" w:rsidRDefault="005D02DE" w:rsidP="00DC05AB">
            <w:pPr>
              <w:widowControl/>
              <w:spacing w:before="120" w:after="120"/>
              <w:jc w:val="both"/>
              <w:rPr>
                <w:b/>
                <w:i/>
                <w:sz w:val="22"/>
                <w:szCs w:val="22"/>
              </w:rPr>
            </w:pPr>
            <w:r w:rsidRPr="00EB04F1">
              <w:rPr>
                <w:b/>
                <w:i/>
                <w:sz w:val="22"/>
              </w:rPr>
              <w:t>Augsnes noblīvēšana</w:t>
            </w:r>
          </w:p>
        </w:tc>
        <w:tc>
          <w:tcPr>
            <w:tcW w:w="2848" w:type="dxa"/>
            <w:tcBorders>
              <w:top w:val="single" w:sz="4" w:space="0" w:color="auto"/>
              <w:left w:val="single" w:sz="4" w:space="0" w:color="auto"/>
              <w:bottom w:val="single" w:sz="4" w:space="0" w:color="auto"/>
              <w:right w:val="single" w:sz="4" w:space="0" w:color="auto"/>
            </w:tcBorders>
            <w:hideMark/>
          </w:tcPr>
          <w:p w14:paraId="27F56C68"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virskārtas tilpummasa (g cm</w:t>
            </w:r>
            <w:r w:rsidRPr="00EB04F1">
              <w:rPr>
                <w:b/>
                <w:i/>
                <w:sz w:val="22"/>
                <w:vertAlign w:val="superscript"/>
              </w:rPr>
              <w:t>-3</w:t>
            </w:r>
            <w:r w:rsidRPr="00EB04F1">
              <w:rPr>
                <w:b/>
                <w:i/>
                <w:sz w:val="22"/>
              </w:rPr>
              <w:t>)</w:t>
            </w:r>
          </w:p>
        </w:tc>
        <w:tc>
          <w:tcPr>
            <w:tcW w:w="1992" w:type="dxa"/>
            <w:tcBorders>
              <w:top w:val="single" w:sz="4" w:space="0" w:color="auto"/>
              <w:left w:val="single" w:sz="4" w:space="0" w:color="auto"/>
              <w:bottom w:val="single" w:sz="4" w:space="0" w:color="auto"/>
              <w:right w:val="single" w:sz="4" w:space="0" w:color="auto"/>
            </w:tcBorders>
            <w:hideMark/>
          </w:tcPr>
          <w:p w14:paraId="0D4C90A6" w14:textId="77777777" w:rsidR="005D02DE" w:rsidRPr="00EB04F1" w:rsidRDefault="005D02DE" w:rsidP="00DC05AB">
            <w:pPr>
              <w:widowControl/>
              <w:spacing w:before="120" w:after="120"/>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4D55F2FE" w14:textId="77777777" w:rsidR="005D02DE" w:rsidRPr="00EB04F1" w:rsidRDefault="005D02DE" w:rsidP="00DC05AB">
            <w:pPr>
              <w:widowControl/>
              <w:spacing w:before="120" w:after="120"/>
              <w:jc w:val="both"/>
              <w:rPr>
                <w:b/>
                <w:i/>
                <w:sz w:val="22"/>
                <w:szCs w:val="22"/>
              </w:rPr>
            </w:pPr>
            <w:r w:rsidRPr="00EB04F1">
              <w:rPr>
                <w:b/>
                <w:i/>
                <w:sz w:val="22"/>
              </w:rPr>
              <w:t xml:space="preserve">Jāveic attiecībā uz augsnes </w:t>
            </w:r>
            <w:r w:rsidRPr="00EB04F1">
              <w:rPr>
                <w:b/>
                <w:i/>
                <w:sz w:val="22"/>
              </w:rPr>
              <w:lastRenderedPageBreak/>
              <w:t>virskārtu (0–10 cm, 10–30 cm (fakultatīvi))</w:t>
            </w:r>
          </w:p>
        </w:tc>
      </w:tr>
      <w:tr w:rsidR="005D02DE" w:rsidRPr="00EB04F1" w14:paraId="24B4B434"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437D04B6" w14:textId="77777777" w:rsidR="005D02DE" w:rsidRPr="00EB04F1" w:rsidRDefault="005D02DE" w:rsidP="00DC05AB">
            <w:pPr>
              <w:widowControl/>
              <w:spacing w:before="120" w:after="120"/>
              <w:jc w:val="both"/>
              <w:rPr>
                <w:b/>
                <w:i/>
                <w:sz w:val="22"/>
                <w:szCs w:val="22"/>
              </w:rPr>
            </w:pPr>
            <w:r w:rsidRPr="00EB04F1">
              <w:rPr>
                <w:b/>
                <w:i/>
                <w:sz w:val="22"/>
              </w:rPr>
              <w:lastRenderedPageBreak/>
              <w:t>Pārmērīgs barības vielu saturs augsnē</w:t>
            </w:r>
          </w:p>
        </w:tc>
        <w:tc>
          <w:tcPr>
            <w:tcW w:w="2848" w:type="dxa"/>
            <w:tcBorders>
              <w:top w:val="single" w:sz="4" w:space="0" w:color="auto"/>
              <w:left w:val="single" w:sz="4" w:space="0" w:color="auto"/>
              <w:bottom w:val="single" w:sz="4" w:space="0" w:color="auto"/>
              <w:right w:val="single" w:sz="4" w:space="0" w:color="auto"/>
            </w:tcBorders>
            <w:hideMark/>
          </w:tcPr>
          <w:p w14:paraId="2E2A87AB"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Pieejamais fosfors (mg uz kg</w:t>
            </w:r>
            <w:r w:rsidRPr="00EB04F1">
              <w:rPr>
                <w:b/>
                <w:i/>
                <w:sz w:val="22"/>
                <w:vertAlign w:val="superscript"/>
              </w:rPr>
              <w:t>-1</w:t>
            </w:r>
            <w:r w:rsidRPr="00EB04F1">
              <w:rPr>
                <w:b/>
                <w:i/>
                <w:sz w:val="22"/>
              </w:rPr>
              <w:t>)</w:t>
            </w:r>
          </w:p>
          <w:p w14:paraId="30A384E3"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Kopējais slāpeklis augsnē (mg g</w:t>
            </w:r>
            <w:r w:rsidRPr="00EB04F1">
              <w:rPr>
                <w:b/>
                <w:i/>
                <w:sz w:val="22"/>
                <w:vertAlign w:val="superscript"/>
              </w:rPr>
              <w:t>-1</w:t>
            </w:r>
            <w:r w:rsidRPr="00EB04F1">
              <w:rPr>
                <w:b/>
                <w:i/>
                <w:sz w:val="22"/>
              </w:rPr>
              <w:t>)</w:t>
            </w:r>
          </w:p>
        </w:tc>
        <w:tc>
          <w:tcPr>
            <w:tcW w:w="1992" w:type="dxa"/>
            <w:tcBorders>
              <w:top w:val="single" w:sz="4" w:space="0" w:color="auto"/>
              <w:left w:val="single" w:sz="4" w:space="0" w:color="auto"/>
              <w:bottom w:val="single" w:sz="4" w:space="0" w:color="auto"/>
              <w:right w:val="single" w:sz="4" w:space="0" w:color="auto"/>
            </w:tcBorders>
            <w:hideMark/>
          </w:tcPr>
          <w:p w14:paraId="0C2DC32C"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52A52621" w14:textId="77777777" w:rsidR="005D02DE" w:rsidRPr="00EB04F1" w:rsidRDefault="005D02DE" w:rsidP="00DC05AB">
            <w:pPr>
              <w:widowControl/>
              <w:spacing w:before="120" w:after="120"/>
              <w:jc w:val="both"/>
              <w:rPr>
                <w:b/>
                <w:i/>
                <w:iCs/>
                <w:sz w:val="22"/>
                <w:szCs w:val="22"/>
              </w:rPr>
            </w:pPr>
            <w:r w:rsidRPr="00EB04F1">
              <w:rPr>
                <w:b/>
                <w:i/>
                <w:sz w:val="22"/>
              </w:rPr>
              <w:t>Jāveic attiecībā uz augsnes virskārtu (0–10 cm, 10–30 cm)</w:t>
            </w:r>
          </w:p>
        </w:tc>
      </w:tr>
      <w:tr w:rsidR="005D02DE" w:rsidRPr="00EB04F1" w14:paraId="0BDA5B97"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4371FE2A" w14:textId="77777777" w:rsidR="005D02DE" w:rsidRPr="00EB04F1" w:rsidRDefault="005D02DE" w:rsidP="00DC05AB">
            <w:pPr>
              <w:widowControl/>
              <w:spacing w:before="120" w:after="120"/>
              <w:jc w:val="both"/>
              <w:rPr>
                <w:b/>
                <w:i/>
                <w:sz w:val="22"/>
                <w:szCs w:val="22"/>
              </w:rPr>
            </w:pPr>
            <w:r w:rsidRPr="00EB04F1">
              <w:rPr>
                <w:b/>
                <w:i/>
                <w:sz w:val="22"/>
              </w:rPr>
              <w:t>Augsnes kontaminācija</w:t>
            </w:r>
          </w:p>
        </w:tc>
        <w:tc>
          <w:tcPr>
            <w:tcW w:w="2848" w:type="dxa"/>
            <w:tcBorders>
              <w:top w:val="single" w:sz="4" w:space="0" w:color="auto"/>
              <w:left w:val="single" w:sz="4" w:space="0" w:color="auto"/>
              <w:bottom w:val="single" w:sz="4" w:space="0" w:color="auto"/>
              <w:right w:val="single" w:sz="4" w:space="0" w:color="auto"/>
            </w:tcBorders>
            <w:hideMark/>
          </w:tcPr>
          <w:p w14:paraId="073071D8"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Smago metālu koncentrācija augsnē: As, Sb, Cd, Co, Cr (kopējais), Cr(VI), Cu, Hg, Pb, Ni, Tl, V, Zn (µg uz kg);</w:t>
            </w:r>
          </w:p>
          <w:p w14:paraId="688C241D"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Dalībvalstu atlasīto organisko kontaminantu koncentrācija, ņemot vērā Regulā (ES) Nr. 2019/1021 ietvertos kontaminantus un Savienības tiesību aktos noteiktās esošās robežkoncentrācijas, piemēram, attiecībā uz ūdens kvalitāti un emisijām gaisā, it sevišķi prioritāras vielas saskaņā ar Ūdens pamatdirektīvu un saistītajiem vides kvalitātes standartiem (Direktīva 2008/105/EK), kā arī direktīvām par pazemes ūdeņiem (Direktīva 2006/118/EK)</w:t>
            </w:r>
          </w:p>
          <w:p w14:paraId="635252A9"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Augu aizsardzības līdzekļu kandidāti aizstāšanai un vielas, kas ir atļautas ārkārtas situācijā, kā arī biocīdu atliekas</w:t>
            </w:r>
          </w:p>
          <w:p w14:paraId="683A0D56"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Per- un poli-fluorētās alkilvielas (PFAS) kopā vai PFAS kopējā summa</w:t>
            </w:r>
            <w:r w:rsidRPr="00EB04F1">
              <w:t xml:space="preserve"> </w:t>
            </w:r>
          </w:p>
        </w:tc>
        <w:tc>
          <w:tcPr>
            <w:tcW w:w="1992" w:type="dxa"/>
            <w:tcBorders>
              <w:top w:val="single" w:sz="4" w:space="0" w:color="auto"/>
              <w:left w:val="single" w:sz="4" w:space="0" w:color="auto"/>
              <w:bottom w:val="single" w:sz="4" w:space="0" w:color="auto"/>
              <w:right w:val="single" w:sz="4" w:space="0" w:color="auto"/>
            </w:tcBorders>
            <w:hideMark/>
          </w:tcPr>
          <w:p w14:paraId="161E8452"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2BC6FCBB"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 (fakultatīvi))</w:t>
            </w:r>
          </w:p>
        </w:tc>
      </w:tr>
      <w:tr w:rsidR="005D02DE" w:rsidRPr="00EB04F1" w14:paraId="38144D39"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52F87889" w14:textId="77777777" w:rsidR="005D02DE" w:rsidRPr="00EB04F1" w:rsidRDefault="005D02DE" w:rsidP="00DC05AB">
            <w:pPr>
              <w:widowControl/>
              <w:spacing w:before="120" w:after="120"/>
              <w:jc w:val="both"/>
              <w:rPr>
                <w:b/>
                <w:i/>
                <w:sz w:val="22"/>
                <w:szCs w:val="22"/>
              </w:rPr>
            </w:pPr>
            <w:r w:rsidRPr="00EB04F1">
              <w:rPr>
                <w:b/>
                <w:i/>
                <w:sz w:val="22"/>
              </w:rPr>
              <w:t>Ūdens aiztures samazinājums</w:t>
            </w:r>
          </w:p>
        </w:tc>
        <w:tc>
          <w:tcPr>
            <w:tcW w:w="2848" w:type="dxa"/>
            <w:tcBorders>
              <w:top w:val="single" w:sz="4" w:space="0" w:color="auto"/>
              <w:left w:val="single" w:sz="4" w:space="0" w:color="auto"/>
              <w:bottom w:val="single" w:sz="4" w:space="0" w:color="auto"/>
              <w:right w:val="single" w:sz="4" w:space="0" w:color="auto"/>
            </w:tcBorders>
            <w:hideMark/>
          </w:tcPr>
          <w:p w14:paraId="213500F4"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parauga ūdensietilpība (ūdens tilpums, %)</w:t>
            </w:r>
          </w:p>
          <w:p w14:paraId="09725AAC"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Piesātinātās augsnes tilpums</w:t>
            </w:r>
          </w:p>
        </w:tc>
        <w:tc>
          <w:tcPr>
            <w:tcW w:w="1992" w:type="dxa"/>
            <w:tcBorders>
              <w:top w:val="single" w:sz="4" w:space="0" w:color="auto"/>
              <w:left w:val="single" w:sz="4" w:space="0" w:color="auto"/>
              <w:bottom w:val="single" w:sz="4" w:space="0" w:color="auto"/>
              <w:right w:val="single" w:sz="4" w:space="0" w:color="auto"/>
            </w:tcBorders>
            <w:hideMark/>
          </w:tcPr>
          <w:p w14:paraId="030D3DA6"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2E02AF85"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 (fakultatīvi))</w:t>
            </w:r>
          </w:p>
        </w:tc>
      </w:tr>
      <w:tr w:rsidR="005D02DE" w:rsidRPr="00EB04F1" w14:paraId="0D783681"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7DE34E42" w14:textId="77777777" w:rsidR="005D02DE" w:rsidRPr="00EB04F1" w:rsidRDefault="005D02DE" w:rsidP="00DC05AB">
            <w:pPr>
              <w:widowControl/>
              <w:spacing w:before="120" w:after="120"/>
              <w:jc w:val="both"/>
              <w:rPr>
                <w:b/>
                <w:i/>
                <w:sz w:val="22"/>
                <w:szCs w:val="22"/>
              </w:rPr>
            </w:pPr>
            <w:r w:rsidRPr="00EB04F1">
              <w:rPr>
                <w:b/>
                <w:i/>
                <w:sz w:val="22"/>
              </w:rPr>
              <w:lastRenderedPageBreak/>
              <w:t>Paskābināšanās</w:t>
            </w:r>
          </w:p>
        </w:tc>
        <w:tc>
          <w:tcPr>
            <w:tcW w:w="2848" w:type="dxa"/>
            <w:tcBorders>
              <w:top w:val="single" w:sz="4" w:space="0" w:color="auto"/>
              <w:left w:val="single" w:sz="4" w:space="0" w:color="auto"/>
              <w:bottom w:val="single" w:sz="4" w:space="0" w:color="auto"/>
              <w:right w:val="single" w:sz="4" w:space="0" w:color="auto"/>
            </w:tcBorders>
            <w:hideMark/>
          </w:tcPr>
          <w:p w14:paraId="143E2FEB" w14:textId="77777777" w:rsidR="005D02DE" w:rsidRPr="00EB04F1" w:rsidRDefault="005D02DE" w:rsidP="00DC05AB">
            <w:pPr>
              <w:widowControl/>
              <w:spacing w:before="120" w:after="120"/>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skābums (pH H</w:t>
            </w:r>
            <w:r w:rsidRPr="00EB04F1">
              <w:rPr>
                <w:b/>
                <w:i/>
                <w:sz w:val="22"/>
                <w:vertAlign w:val="subscript"/>
              </w:rPr>
              <w:t>2</w:t>
            </w:r>
            <w:r w:rsidRPr="00EB04F1">
              <w:rPr>
                <w:b/>
                <w:i/>
                <w:sz w:val="22"/>
              </w:rPr>
              <w:t>O)</w:t>
            </w:r>
          </w:p>
        </w:tc>
        <w:tc>
          <w:tcPr>
            <w:tcW w:w="1992" w:type="dxa"/>
            <w:tcBorders>
              <w:top w:val="single" w:sz="4" w:space="0" w:color="auto"/>
              <w:left w:val="single" w:sz="4" w:space="0" w:color="auto"/>
              <w:bottom w:val="single" w:sz="4" w:space="0" w:color="auto"/>
              <w:right w:val="single" w:sz="4" w:space="0" w:color="auto"/>
            </w:tcBorders>
            <w:hideMark/>
          </w:tcPr>
          <w:p w14:paraId="30C0FA40"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764D45B5"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 (fakultatīvi))</w:t>
            </w:r>
          </w:p>
        </w:tc>
      </w:tr>
      <w:tr w:rsidR="005D02DE" w:rsidRPr="00EB04F1" w14:paraId="55805A04" w14:textId="77777777" w:rsidTr="0092524A">
        <w:tc>
          <w:tcPr>
            <w:tcW w:w="8926" w:type="dxa"/>
            <w:gridSpan w:val="4"/>
            <w:tcBorders>
              <w:top w:val="single" w:sz="4" w:space="0" w:color="auto"/>
              <w:left w:val="single" w:sz="4" w:space="0" w:color="auto"/>
              <w:bottom w:val="single" w:sz="4" w:space="0" w:color="auto"/>
              <w:right w:val="single" w:sz="4" w:space="0" w:color="auto"/>
            </w:tcBorders>
            <w:hideMark/>
          </w:tcPr>
          <w:p w14:paraId="57CFAF2E" w14:textId="77777777" w:rsidR="005D02DE" w:rsidRPr="00EB04F1" w:rsidRDefault="005D02DE" w:rsidP="00DC05AB">
            <w:pPr>
              <w:widowControl/>
              <w:spacing w:before="120" w:after="120"/>
              <w:jc w:val="both"/>
              <w:rPr>
                <w:b/>
                <w:i/>
                <w:sz w:val="22"/>
                <w:szCs w:val="22"/>
              </w:rPr>
            </w:pPr>
            <w:r w:rsidRPr="00EB04F1">
              <w:rPr>
                <w:b/>
                <w:i/>
                <w:sz w:val="22"/>
              </w:rPr>
              <w:t>Augsnes ekoloģiskās funkcijas</w:t>
            </w:r>
          </w:p>
        </w:tc>
      </w:tr>
      <w:tr w:rsidR="005D02DE" w:rsidRPr="00EB04F1" w14:paraId="710768D6"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380A3148" w14:textId="77777777" w:rsidR="005D02DE" w:rsidRPr="00EB04F1" w:rsidRDefault="005D02DE" w:rsidP="00DC05AB">
            <w:pPr>
              <w:widowControl/>
              <w:spacing w:before="120" w:after="120"/>
              <w:jc w:val="both"/>
              <w:rPr>
                <w:b/>
                <w:i/>
                <w:sz w:val="22"/>
                <w:szCs w:val="22"/>
              </w:rPr>
            </w:pPr>
            <w:r w:rsidRPr="00EB04F1">
              <w:rPr>
                <w:b/>
                <w:i/>
                <w:sz w:val="22"/>
              </w:rPr>
              <w:t>Ekoloģiskā funkcija</w:t>
            </w:r>
          </w:p>
        </w:tc>
        <w:tc>
          <w:tcPr>
            <w:tcW w:w="2848" w:type="dxa"/>
            <w:tcBorders>
              <w:top w:val="single" w:sz="4" w:space="0" w:color="auto"/>
              <w:left w:val="single" w:sz="4" w:space="0" w:color="auto"/>
              <w:bottom w:val="single" w:sz="4" w:space="0" w:color="auto"/>
              <w:right w:val="single" w:sz="4" w:space="0" w:color="auto"/>
            </w:tcBorders>
            <w:hideMark/>
          </w:tcPr>
          <w:p w14:paraId="7A116B39" w14:textId="77777777" w:rsidR="005D02DE" w:rsidRPr="00EB04F1" w:rsidRDefault="005D02DE" w:rsidP="00DC05AB">
            <w:pPr>
              <w:widowControl/>
              <w:spacing w:before="120" w:after="120"/>
              <w:jc w:val="both"/>
              <w:rPr>
                <w:b/>
                <w:i/>
                <w:sz w:val="22"/>
                <w:szCs w:val="22"/>
              </w:rPr>
            </w:pPr>
            <w:r w:rsidRPr="00EB04F1">
              <w:rPr>
                <w:b/>
                <w:i/>
                <w:sz w:val="22"/>
              </w:rPr>
              <w:t>Augsnes deskriptors</w:t>
            </w:r>
          </w:p>
        </w:tc>
        <w:tc>
          <w:tcPr>
            <w:tcW w:w="1992" w:type="dxa"/>
            <w:tcBorders>
              <w:top w:val="single" w:sz="4" w:space="0" w:color="auto"/>
              <w:left w:val="single" w:sz="4" w:space="0" w:color="auto"/>
              <w:bottom w:val="single" w:sz="4" w:space="0" w:color="auto"/>
              <w:right w:val="single" w:sz="4" w:space="0" w:color="auto"/>
            </w:tcBorders>
            <w:hideMark/>
          </w:tcPr>
          <w:p w14:paraId="094B6245" w14:textId="77777777" w:rsidR="005D02DE" w:rsidRPr="00EB04F1" w:rsidRDefault="005D02DE" w:rsidP="00DC05AB">
            <w:pPr>
              <w:widowControl/>
              <w:spacing w:before="120" w:after="120"/>
              <w:jc w:val="both"/>
              <w:rPr>
                <w:b/>
                <w:i/>
                <w:sz w:val="22"/>
                <w:szCs w:val="22"/>
              </w:rPr>
            </w:pPr>
            <w:r w:rsidRPr="00EB04F1">
              <w:rPr>
                <w:b/>
                <w:i/>
                <w:sz w:val="22"/>
              </w:rPr>
              <w:t>Izņēmumi</w:t>
            </w:r>
          </w:p>
        </w:tc>
        <w:tc>
          <w:tcPr>
            <w:tcW w:w="1365" w:type="dxa"/>
            <w:tcBorders>
              <w:top w:val="single" w:sz="4" w:space="0" w:color="auto"/>
              <w:left w:val="single" w:sz="4" w:space="0" w:color="auto"/>
              <w:bottom w:val="single" w:sz="4" w:space="0" w:color="auto"/>
              <w:right w:val="single" w:sz="4" w:space="0" w:color="auto"/>
            </w:tcBorders>
            <w:hideMark/>
          </w:tcPr>
          <w:p w14:paraId="2C05AE96" w14:textId="77777777" w:rsidR="005D02DE" w:rsidRPr="00EB04F1" w:rsidRDefault="005D02DE" w:rsidP="00DC05AB">
            <w:pPr>
              <w:widowControl/>
              <w:spacing w:before="120" w:after="120"/>
              <w:jc w:val="both"/>
              <w:rPr>
                <w:b/>
                <w:bCs/>
                <w:i/>
                <w:iCs/>
                <w:sz w:val="22"/>
                <w:szCs w:val="22"/>
              </w:rPr>
            </w:pPr>
            <w:r w:rsidRPr="00EB04F1">
              <w:rPr>
                <w:b/>
                <w:i/>
                <w:sz w:val="22"/>
              </w:rPr>
              <w:t>Piezīmes</w:t>
            </w:r>
          </w:p>
        </w:tc>
      </w:tr>
      <w:tr w:rsidR="005D02DE" w:rsidRPr="00EB04F1" w14:paraId="3E76AE76"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444DCA5C" w14:textId="77777777" w:rsidR="005D02DE" w:rsidRPr="00EB04F1" w:rsidRDefault="005D02DE" w:rsidP="00DC05AB">
            <w:pPr>
              <w:widowControl/>
              <w:spacing w:before="120" w:after="120"/>
              <w:jc w:val="both"/>
              <w:rPr>
                <w:b/>
                <w:i/>
                <w:sz w:val="22"/>
                <w:szCs w:val="22"/>
              </w:rPr>
            </w:pPr>
            <w:r w:rsidRPr="00EB04F1">
              <w:rPr>
                <w:b/>
                <w:i/>
                <w:sz w:val="22"/>
              </w:rPr>
              <w:t>Augsnes agregāts</w:t>
            </w:r>
          </w:p>
        </w:tc>
        <w:tc>
          <w:tcPr>
            <w:tcW w:w="2848" w:type="dxa"/>
            <w:tcBorders>
              <w:top w:val="single" w:sz="4" w:space="0" w:color="auto"/>
              <w:left w:val="single" w:sz="4" w:space="0" w:color="auto"/>
              <w:bottom w:val="single" w:sz="4" w:space="0" w:color="auto"/>
              <w:right w:val="single" w:sz="4" w:space="0" w:color="auto"/>
            </w:tcBorders>
            <w:hideMark/>
          </w:tcPr>
          <w:p w14:paraId="7759058F" w14:textId="77777777" w:rsidR="005D02DE" w:rsidRPr="00EB04F1" w:rsidRDefault="005D02DE" w:rsidP="00DC05AB">
            <w:pPr>
              <w:widowControl/>
              <w:spacing w:before="120" w:after="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Ūdenī noturīgi agregāti (%)</w:t>
            </w:r>
          </w:p>
        </w:tc>
        <w:tc>
          <w:tcPr>
            <w:tcW w:w="1992" w:type="dxa"/>
            <w:tcBorders>
              <w:top w:val="single" w:sz="4" w:space="0" w:color="auto"/>
              <w:left w:val="single" w:sz="4" w:space="0" w:color="auto"/>
              <w:bottom w:val="single" w:sz="4" w:space="0" w:color="auto"/>
              <w:right w:val="single" w:sz="4" w:space="0" w:color="auto"/>
            </w:tcBorders>
            <w:hideMark/>
          </w:tcPr>
          <w:p w14:paraId="2D372C7F"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38B2CD31"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 (fakultatīvi))</w:t>
            </w:r>
          </w:p>
        </w:tc>
      </w:tr>
      <w:tr w:rsidR="005D02DE" w:rsidRPr="00EB04F1" w14:paraId="626292EE"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6A0FC0A7" w14:textId="77777777" w:rsidR="005D02DE" w:rsidRPr="00EB04F1" w:rsidRDefault="005D02DE" w:rsidP="00DC05AB">
            <w:pPr>
              <w:widowControl/>
              <w:spacing w:before="120" w:after="120"/>
              <w:jc w:val="both"/>
              <w:rPr>
                <w:b/>
                <w:i/>
                <w:sz w:val="22"/>
                <w:szCs w:val="22"/>
              </w:rPr>
            </w:pPr>
            <w:r w:rsidRPr="00EB04F1">
              <w:rPr>
                <w:b/>
                <w:i/>
                <w:sz w:val="22"/>
              </w:rPr>
              <w:t>Augsnes elpošana</w:t>
            </w:r>
          </w:p>
        </w:tc>
        <w:tc>
          <w:tcPr>
            <w:tcW w:w="2848" w:type="dxa"/>
            <w:tcBorders>
              <w:top w:val="single" w:sz="4" w:space="0" w:color="auto"/>
              <w:left w:val="single" w:sz="4" w:space="0" w:color="auto"/>
              <w:bottom w:val="single" w:sz="4" w:space="0" w:color="auto"/>
              <w:right w:val="single" w:sz="4" w:space="0" w:color="auto"/>
            </w:tcBorders>
            <w:hideMark/>
          </w:tcPr>
          <w:p w14:paraId="795EB40F" w14:textId="77777777" w:rsidR="005D02DE" w:rsidRPr="00EB04F1" w:rsidRDefault="005D02DE" w:rsidP="00DC05AB">
            <w:pPr>
              <w:widowControl/>
              <w:spacing w:before="120" w:after="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mikroorganismu bazālā elpošana (μl O</w:t>
            </w:r>
            <w:r w:rsidRPr="00EB04F1">
              <w:rPr>
                <w:b/>
                <w:i/>
                <w:sz w:val="22"/>
                <w:vertAlign w:val="subscript"/>
              </w:rPr>
              <w:t>2</w:t>
            </w:r>
            <w:r w:rsidRPr="00EB04F1">
              <w:rPr>
                <w:b/>
                <w:i/>
                <w:sz w:val="22"/>
              </w:rPr>
              <w:t xml:space="preserve"> h</w:t>
            </w:r>
            <w:r w:rsidRPr="00EB04F1">
              <w:rPr>
                <w:b/>
                <w:i/>
                <w:sz w:val="22"/>
                <w:vertAlign w:val="superscript"/>
              </w:rPr>
              <w:t>-1</w:t>
            </w:r>
            <w:r w:rsidRPr="00EB04F1">
              <w:rPr>
                <w:b/>
                <w:i/>
                <w:sz w:val="22"/>
              </w:rPr>
              <w:t xml:space="preserve"> g</w:t>
            </w:r>
            <w:r w:rsidRPr="00EB04F1">
              <w:rPr>
                <w:b/>
                <w:i/>
                <w:sz w:val="22"/>
                <w:vertAlign w:val="superscript"/>
              </w:rPr>
              <w:t>-1</w:t>
            </w:r>
            <w:r w:rsidRPr="00EB04F1">
              <w:rPr>
                <w:b/>
                <w:i/>
                <w:sz w:val="22"/>
              </w:rPr>
              <w:t xml:space="preserve"> augsnes saussvara)</w:t>
            </w:r>
          </w:p>
        </w:tc>
        <w:tc>
          <w:tcPr>
            <w:tcW w:w="1992" w:type="dxa"/>
            <w:tcBorders>
              <w:top w:val="single" w:sz="4" w:space="0" w:color="auto"/>
              <w:left w:val="single" w:sz="4" w:space="0" w:color="auto"/>
              <w:bottom w:val="single" w:sz="4" w:space="0" w:color="auto"/>
              <w:right w:val="single" w:sz="4" w:space="0" w:color="auto"/>
            </w:tcBorders>
            <w:hideMark/>
          </w:tcPr>
          <w:p w14:paraId="412EAB25"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3668827C"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 (fakultatīvi))</w:t>
            </w:r>
          </w:p>
        </w:tc>
      </w:tr>
      <w:tr w:rsidR="005D02DE" w:rsidRPr="00EB04F1" w14:paraId="76F86F91"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7AABA407" w14:textId="77777777" w:rsidR="005D02DE" w:rsidRPr="00EB04F1" w:rsidRDefault="005D02DE" w:rsidP="00DC05AB">
            <w:pPr>
              <w:widowControl/>
              <w:spacing w:before="120" w:after="120"/>
              <w:jc w:val="both"/>
              <w:rPr>
                <w:b/>
                <w:i/>
                <w:sz w:val="22"/>
                <w:szCs w:val="22"/>
              </w:rPr>
            </w:pPr>
            <w:r w:rsidRPr="00EB04F1">
              <w:rPr>
                <w:b/>
                <w:i/>
                <w:sz w:val="22"/>
              </w:rPr>
              <w:t>Augsnes biomasa</w:t>
            </w:r>
          </w:p>
        </w:tc>
        <w:tc>
          <w:tcPr>
            <w:tcW w:w="2848" w:type="dxa"/>
            <w:tcBorders>
              <w:top w:val="single" w:sz="4" w:space="0" w:color="auto"/>
              <w:left w:val="single" w:sz="4" w:space="0" w:color="auto"/>
              <w:bottom w:val="single" w:sz="4" w:space="0" w:color="auto"/>
              <w:right w:val="single" w:sz="4" w:space="0" w:color="auto"/>
            </w:tcBorders>
            <w:hideMark/>
          </w:tcPr>
          <w:p w14:paraId="25C08C24" w14:textId="77777777" w:rsidR="005D02DE" w:rsidRPr="00EB04F1" w:rsidRDefault="005D02DE" w:rsidP="00DC05AB">
            <w:pPr>
              <w:widowControl/>
              <w:spacing w:before="120" w:after="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mikroorganismu biomasa (μg C g</w:t>
            </w:r>
            <w:r w:rsidRPr="00EB04F1">
              <w:rPr>
                <w:b/>
                <w:i/>
                <w:sz w:val="22"/>
                <w:vertAlign w:val="superscript"/>
              </w:rPr>
              <w:t>-1</w:t>
            </w:r>
            <w:r w:rsidRPr="00EB04F1">
              <w:rPr>
                <w:b/>
                <w:i/>
                <w:sz w:val="22"/>
              </w:rPr>
              <w:t xml:space="preserve"> augsnes saussvara)</w:t>
            </w:r>
          </w:p>
        </w:tc>
        <w:tc>
          <w:tcPr>
            <w:tcW w:w="1992" w:type="dxa"/>
            <w:tcBorders>
              <w:top w:val="single" w:sz="4" w:space="0" w:color="auto"/>
              <w:left w:val="single" w:sz="4" w:space="0" w:color="auto"/>
              <w:bottom w:val="single" w:sz="4" w:space="0" w:color="auto"/>
              <w:right w:val="single" w:sz="4" w:space="0" w:color="auto"/>
            </w:tcBorders>
            <w:hideMark/>
          </w:tcPr>
          <w:p w14:paraId="66CD149F"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649D05E8"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 (fakultatīvi))</w:t>
            </w:r>
          </w:p>
        </w:tc>
      </w:tr>
      <w:tr w:rsidR="005D02DE" w:rsidRPr="00EB04F1" w14:paraId="41B52A8F" w14:textId="77777777" w:rsidTr="0092524A">
        <w:tc>
          <w:tcPr>
            <w:tcW w:w="8926" w:type="dxa"/>
            <w:gridSpan w:val="4"/>
            <w:tcBorders>
              <w:top w:val="single" w:sz="4" w:space="0" w:color="auto"/>
              <w:left w:val="single" w:sz="4" w:space="0" w:color="auto"/>
              <w:bottom w:val="single" w:sz="4" w:space="0" w:color="auto"/>
              <w:right w:val="single" w:sz="4" w:space="0" w:color="auto"/>
            </w:tcBorders>
            <w:hideMark/>
          </w:tcPr>
          <w:p w14:paraId="33DD0929" w14:textId="77777777" w:rsidR="005D02DE" w:rsidRPr="00EB04F1" w:rsidRDefault="005D02DE" w:rsidP="00DC05AB">
            <w:pPr>
              <w:widowControl/>
              <w:spacing w:before="120" w:after="120"/>
              <w:jc w:val="both"/>
              <w:rPr>
                <w:b/>
                <w:bCs/>
                <w:i/>
                <w:sz w:val="22"/>
                <w:szCs w:val="22"/>
              </w:rPr>
            </w:pPr>
            <w:r w:rsidRPr="00EB04F1">
              <w:rPr>
                <w:b/>
                <w:i/>
                <w:sz w:val="22"/>
              </w:rPr>
              <w:t>Augsnes biodaudzveidība</w:t>
            </w:r>
          </w:p>
        </w:tc>
      </w:tr>
      <w:tr w:rsidR="005D02DE" w:rsidRPr="00EB04F1" w14:paraId="0F79E97E"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5E2E806C" w14:textId="77777777" w:rsidR="005D02DE" w:rsidRPr="00EB04F1" w:rsidRDefault="005D02DE" w:rsidP="00DC05AB">
            <w:pPr>
              <w:widowControl/>
              <w:spacing w:before="120" w:after="120"/>
              <w:jc w:val="both"/>
              <w:rPr>
                <w:b/>
                <w:i/>
                <w:sz w:val="22"/>
                <w:szCs w:val="22"/>
              </w:rPr>
            </w:pPr>
            <w:r w:rsidRPr="00EB04F1">
              <w:rPr>
                <w:b/>
                <w:i/>
                <w:sz w:val="22"/>
              </w:rPr>
              <w:t>Augsnes biodaudzveidības iezīmes</w:t>
            </w:r>
          </w:p>
        </w:tc>
        <w:tc>
          <w:tcPr>
            <w:tcW w:w="2848" w:type="dxa"/>
            <w:tcBorders>
              <w:top w:val="single" w:sz="4" w:space="0" w:color="auto"/>
              <w:left w:val="single" w:sz="4" w:space="0" w:color="auto"/>
              <w:bottom w:val="single" w:sz="4" w:space="0" w:color="auto"/>
              <w:right w:val="single" w:sz="4" w:space="0" w:color="auto"/>
            </w:tcBorders>
            <w:hideMark/>
          </w:tcPr>
          <w:p w14:paraId="39018C39" w14:textId="77777777" w:rsidR="005D02DE" w:rsidRPr="00EB04F1" w:rsidRDefault="005D02DE" w:rsidP="00DC05AB">
            <w:pPr>
              <w:widowControl/>
              <w:spacing w:before="120" w:after="120"/>
              <w:jc w:val="both"/>
              <w:rPr>
                <w:b/>
                <w:i/>
                <w:sz w:val="22"/>
                <w:szCs w:val="22"/>
              </w:rPr>
            </w:pPr>
            <w:r w:rsidRPr="00EB04F1">
              <w:rPr>
                <w:b/>
                <w:i/>
                <w:sz w:val="22"/>
              </w:rPr>
              <w:t>Augsnes deskriptors</w:t>
            </w:r>
          </w:p>
        </w:tc>
        <w:tc>
          <w:tcPr>
            <w:tcW w:w="1992" w:type="dxa"/>
            <w:tcBorders>
              <w:top w:val="single" w:sz="4" w:space="0" w:color="auto"/>
              <w:left w:val="single" w:sz="4" w:space="0" w:color="auto"/>
              <w:bottom w:val="single" w:sz="4" w:space="0" w:color="auto"/>
              <w:right w:val="single" w:sz="4" w:space="0" w:color="auto"/>
            </w:tcBorders>
            <w:hideMark/>
          </w:tcPr>
          <w:p w14:paraId="0B6D2A25" w14:textId="77777777" w:rsidR="005D02DE" w:rsidRPr="00EB04F1" w:rsidRDefault="005D02DE" w:rsidP="00DC05AB">
            <w:pPr>
              <w:widowControl/>
              <w:spacing w:before="120" w:after="120"/>
              <w:jc w:val="both"/>
              <w:rPr>
                <w:b/>
                <w:i/>
                <w:sz w:val="22"/>
                <w:szCs w:val="22"/>
              </w:rPr>
            </w:pPr>
            <w:r w:rsidRPr="00EB04F1">
              <w:rPr>
                <w:b/>
                <w:i/>
                <w:sz w:val="22"/>
              </w:rPr>
              <w:t>Izņēmumi</w:t>
            </w:r>
          </w:p>
        </w:tc>
        <w:tc>
          <w:tcPr>
            <w:tcW w:w="1365" w:type="dxa"/>
            <w:tcBorders>
              <w:top w:val="single" w:sz="4" w:space="0" w:color="auto"/>
              <w:left w:val="single" w:sz="4" w:space="0" w:color="auto"/>
              <w:bottom w:val="single" w:sz="4" w:space="0" w:color="auto"/>
              <w:right w:val="single" w:sz="4" w:space="0" w:color="auto"/>
            </w:tcBorders>
            <w:hideMark/>
          </w:tcPr>
          <w:p w14:paraId="75F69332" w14:textId="77777777" w:rsidR="005D02DE" w:rsidRPr="00EB04F1" w:rsidRDefault="005D02DE" w:rsidP="00DC05AB">
            <w:pPr>
              <w:widowControl/>
              <w:spacing w:before="120" w:after="120"/>
              <w:jc w:val="both"/>
              <w:rPr>
                <w:b/>
                <w:bCs/>
                <w:i/>
                <w:iCs/>
                <w:sz w:val="22"/>
                <w:szCs w:val="22"/>
              </w:rPr>
            </w:pPr>
            <w:r w:rsidRPr="00EB04F1">
              <w:rPr>
                <w:b/>
                <w:i/>
                <w:sz w:val="22"/>
              </w:rPr>
              <w:t>Piezīmes</w:t>
            </w:r>
          </w:p>
        </w:tc>
      </w:tr>
      <w:tr w:rsidR="005D02DE" w:rsidRPr="00EB04F1" w14:paraId="14C463A0"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52FF31DB" w14:textId="77777777" w:rsidR="005D02DE" w:rsidRPr="00EB04F1" w:rsidRDefault="005D02DE" w:rsidP="00DC05AB">
            <w:pPr>
              <w:widowControl/>
              <w:spacing w:before="120" w:after="120"/>
              <w:jc w:val="both"/>
              <w:rPr>
                <w:b/>
                <w:i/>
                <w:sz w:val="22"/>
                <w:szCs w:val="22"/>
              </w:rPr>
            </w:pPr>
            <w:r w:rsidRPr="00EB04F1">
              <w:rPr>
                <w:b/>
                <w:i/>
                <w:sz w:val="22"/>
              </w:rPr>
              <w:t>Taksonomiskā daudzveidība</w:t>
            </w:r>
          </w:p>
        </w:tc>
        <w:tc>
          <w:tcPr>
            <w:tcW w:w="2848" w:type="dxa"/>
            <w:tcBorders>
              <w:top w:val="single" w:sz="4" w:space="0" w:color="auto"/>
              <w:left w:val="single" w:sz="4" w:space="0" w:color="auto"/>
              <w:bottom w:val="single" w:sz="4" w:space="0" w:color="auto"/>
              <w:right w:val="single" w:sz="4" w:space="0" w:color="auto"/>
            </w:tcBorders>
            <w:hideMark/>
          </w:tcPr>
          <w:p w14:paraId="23288969" w14:textId="77777777" w:rsidR="005D02DE" w:rsidRPr="00EB04F1" w:rsidRDefault="005D02DE" w:rsidP="00DC05AB">
            <w:pPr>
              <w:widowControl/>
              <w:spacing w:before="120" w:after="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organismu daudzveidība (klātbūtnes skaits vienā taksonomiskajā grupā), izmantojot metataksonomisko sekvencēšanu ar 16S un 18S rRNA gēnu reģioniem un iekšējās transkribētās starplikas reģionu (ITS), it sevišķi sēnēm (papildus var apsvērt citus marķierus, piemēram, COI  augsnes faunai)</w:t>
            </w:r>
          </w:p>
        </w:tc>
        <w:tc>
          <w:tcPr>
            <w:tcW w:w="1992" w:type="dxa"/>
            <w:tcBorders>
              <w:top w:val="single" w:sz="4" w:space="0" w:color="auto"/>
              <w:left w:val="single" w:sz="4" w:space="0" w:color="auto"/>
              <w:bottom w:val="single" w:sz="4" w:space="0" w:color="auto"/>
              <w:right w:val="single" w:sz="4" w:space="0" w:color="auto"/>
            </w:tcBorders>
            <w:hideMark/>
          </w:tcPr>
          <w:p w14:paraId="652C355E"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6C084823"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 (fakultatīvi))</w:t>
            </w:r>
          </w:p>
        </w:tc>
      </w:tr>
      <w:tr w:rsidR="005D02DE" w:rsidRPr="00EB04F1" w14:paraId="0C30F40A"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4D2E9CCF" w14:textId="77777777" w:rsidR="005D02DE" w:rsidRPr="00EB04F1" w:rsidRDefault="005D02DE" w:rsidP="00DC05AB">
            <w:pPr>
              <w:widowControl/>
              <w:spacing w:before="120" w:after="120"/>
              <w:jc w:val="both"/>
              <w:rPr>
                <w:b/>
                <w:i/>
                <w:sz w:val="22"/>
                <w:szCs w:val="22"/>
              </w:rPr>
            </w:pPr>
            <w:r w:rsidRPr="00EB04F1">
              <w:rPr>
                <w:b/>
                <w:i/>
                <w:sz w:val="22"/>
              </w:rPr>
              <w:lastRenderedPageBreak/>
              <w:t>Populācijas skaitliskums</w:t>
            </w:r>
          </w:p>
        </w:tc>
        <w:tc>
          <w:tcPr>
            <w:tcW w:w="2848" w:type="dxa"/>
            <w:tcBorders>
              <w:top w:val="single" w:sz="4" w:space="0" w:color="auto"/>
              <w:left w:val="single" w:sz="4" w:space="0" w:color="auto"/>
              <w:bottom w:val="single" w:sz="4" w:space="0" w:color="auto"/>
              <w:right w:val="single" w:sz="4" w:space="0" w:color="auto"/>
            </w:tcBorders>
            <w:hideMark/>
          </w:tcPr>
          <w:p w14:paraId="10428712" w14:textId="77777777" w:rsidR="005D02DE" w:rsidRPr="00EB04F1" w:rsidRDefault="005D02DE" w:rsidP="00DC05AB">
            <w:pPr>
              <w:widowControl/>
              <w:spacing w:before="120" w:after="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Kopējais baktēriju un arheju skaitliskums (izmantojot 16S rRNA gēnu reģionu kopijas)</w:t>
            </w:r>
          </w:p>
          <w:p w14:paraId="63447728" w14:textId="77777777" w:rsidR="005D02DE" w:rsidRPr="00EB04F1" w:rsidRDefault="005D02DE" w:rsidP="00DC05AB">
            <w:pPr>
              <w:widowControl/>
              <w:spacing w:before="120" w:after="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Kopējais sēņu skaitliskums (izmantojot 18S rRNA gēnu reģionu kopijas)</w:t>
            </w:r>
          </w:p>
          <w:p w14:paraId="549C2D85" w14:textId="77777777" w:rsidR="005D02DE" w:rsidRPr="00EB04F1" w:rsidRDefault="005D02DE" w:rsidP="00DC05AB">
            <w:pPr>
              <w:widowControl/>
              <w:spacing w:before="120" w:after="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Patogēno sēņu kopējais skaits un īpatsvars</w:t>
            </w:r>
          </w:p>
          <w:p w14:paraId="068B280D" w14:textId="77777777" w:rsidR="005D02DE" w:rsidRPr="00EB04F1" w:rsidRDefault="005D02DE" w:rsidP="00DC05AB">
            <w:pPr>
              <w:widowControl/>
              <w:spacing w:before="120" w:after="120"/>
              <w:ind w:left="347" w:hanging="360"/>
              <w:contextualSpacing/>
              <w:jc w:val="both"/>
              <w:rPr>
                <w:b/>
                <w:i/>
              </w:rPr>
            </w:pPr>
            <w:r w:rsidRPr="00EB04F1">
              <w:rPr>
                <w:rFonts w:ascii="Symbol" w:hAnsi="Symbol"/>
              </w:rPr>
              <w:sym w:font="Symbol" w:char="F0B7"/>
            </w:r>
            <w:r w:rsidRPr="00EB04F1">
              <w:rPr>
                <w:rFonts w:ascii="Symbol" w:hAnsi="Symbol"/>
              </w:rPr>
              <w:tab/>
            </w:r>
            <w:r w:rsidRPr="00EB04F1">
              <w:rPr>
                <w:b/>
                <w:i/>
                <w:sz w:val="22"/>
              </w:rPr>
              <w:t>Kopējais nematožu skaitliskums funkcionālajā grupā, pamatojoties uz morfoloģiju (baktēriju barotnes, sēņu barotnes, sakņu barotnes, visēdāji, citēdāji)</w:t>
            </w:r>
          </w:p>
        </w:tc>
        <w:tc>
          <w:tcPr>
            <w:tcW w:w="1992" w:type="dxa"/>
            <w:tcBorders>
              <w:top w:val="single" w:sz="4" w:space="0" w:color="auto"/>
              <w:left w:val="single" w:sz="4" w:space="0" w:color="auto"/>
              <w:bottom w:val="single" w:sz="4" w:space="0" w:color="auto"/>
              <w:right w:val="single" w:sz="4" w:space="0" w:color="auto"/>
            </w:tcBorders>
            <w:hideMark/>
          </w:tcPr>
          <w:p w14:paraId="238C414F"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56B22B38"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 (fakultatīvi))</w:t>
            </w:r>
          </w:p>
        </w:tc>
      </w:tr>
      <w:tr w:rsidR="005D02DE" w:rsidRPr="00EB04F1" w14:paraId="4E73126E" w14:textId="77777777" w:rsidTr="0092524A">
        <w:tc>
          <w:tcPr>
            <w:tcW w:w="8926" w:type="dxa"/>
            <w:gridSpan w:val="4"/>
            <w:tcBorders>
              <w:top w:val="single" w:sz="4" w:space="0" w:color="auto"/>
              <w:left w:val="single" w:sz="4" w:space="0" w:color="auto"/>
              <w:bottom w:val="single" w:sz="4" w:space="0" w:color="auto"/>
              <w:right w:val="single" w:sz="4" w:space="0" w:color="auto"/>
            </w:tcBorders>
            <w:hideMark/>
          </w:tcPr>
          <w:p w14:paraId="4D0EDE4D" w14:textId="77777777" w:rsidR="005D02DE" w:rsidRPr="00EB04F1" w:rsidRDefault="005D02DE" w:rsidP="00DC05AB">
            <w:pPr>
              <w:widowControl/>
              <w:spacing w:before="120" w:after="120"/>
              <w:jc w:val="both"/>
              <w:rPr>
                <w:b/>
                <w:i/>
                <w:sz w:val="22"/>
                <w:szCs w:val="22"/>
              </w:rPr>
            </w:pPr>
            <w:r w:rsidRPr="00EB04F1">
              <w:rPr>
                <w:b/>
                <w:i/>
                <w:sz w:val="22"/>
              </w:rPr>
              <w:t>Augsnes dzīvotne</w:t>
            </w:r>
          </w:p>
        </w:tc>
      </w:tr>
      <w:tr w:rsidR="005D02DE" w:rsidRPr="00EB04F1" w14:paraId="7A60D8CE"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2F96D35D" w14:textId="77777777" w:rsidR="005D02DE" w:rsidRPr="00EB04F1" w:rsidRDefault="005D02DE" w:rsidP="00DC05AB">
            <w:pPr>
              <w:widowControl/>
              <w:spacing w:before="120" w:after="120"/>
              <w:jc w:val="both"/>
              <w:rPr>
                <w:b/>
                <w:i/>
                <w:sz w:val="22"/>
                <w:szCs w:val="22"/>
              </w:rPr>
            </w:pPr>
            <w:r w:rsidRPr="00EB04F1">
              <w:rPr>
                <w:b/>
                <w:i/>
                <w:sz w:val="22"/>
              </w:rPr>
              <w:t>Augsnes dzīvotnes iezīmes</w:t>
            </w:r>
          </w:p>
        </w:tc>
        <w:tc>
          <w:tcPr>
            <w:tcW w:w="2848" w:type="dxa"/>
            <w:tcBorders>
              <w:top w:val="single" w:sz="4" w:space="0" w:color="auto"/>
              <w:left w:val="single" w:sz="4" w:space="0" w:color="auto"/>
              <w:bottom w:val="single" w:sz="4" w:space="0" w:color="auto"/>
              <w:right w:val="single" w:sz="4" w:space="0" w:color="auto"/>
            </w:tcBorders>
            <w:hideMark/>
          </w:tcPr>
          <w:p w14:paraId="4837629D" w14:textId="77777777" w:rsidR="005D02DE" w:rsidRPr="00EB04F1" w:rsidRDefault="005D02DE" w:rsidP="00DC05AB">
            <w:pPr>
              <w:widowControl/>
              <w:spacing w:before="120" w:after="120"/>
              <w:jc w:val="both"/>
              <w:rPr>
                <w:b/>
                <w:i/>
                <w:sz w:val="22"/>
                <w:szCs w:val="22"/>
              </w:rPr>
            </w:pPr>
            <w:r w:rsidRPr="00EB04F1">
              <w:rPr>
                <w:b/>
                <w:i/>
                <w:sz w:val="22"/>
              </w:rPr>
              <w:t>Augsnes deskriptors</w:t>
            </w:r>
          </w:p>
        </w:tc>
        <w:tc>
          <w:tcPr>
            <w:tcW w:w="1992" w:type="dxa"/>
            <w:tcBorders>
              <w:top w:val="single" w:sz="4" w:space="0" w:color="auto"/>
              <w:left w:val="single" w:sz="4" w:space="0" w:color="auto"/>
              <w:bottom w:val="single" w:sz="4" w:space="0" w:color="auto"/>
              <w:right w:val="single" w:sz="4" w:space="0" w:color="auto"/>
            </w:tcBorders>
            <w:hideMark/>
          </w:tcPr>
          <w:p w14:paraId="0FCEF3FC" w14:textId="77777777" w:rsidR="005D02DE" w:rsidRPr="00EB04F1" w:rsidRDefault="005D02DE" w:rsidP="00DC05AB">
            <w:pPr>
              <w:widowControl/>
              <w:spacing w:before="120" w:after="120"/>
              <w:jc w:val="both"/>
              <w:rPr>
                <w:b/>
                <w:i/>
                <w:sz w:val="22"/>
                <w:szCs w:val="22"/>
              </w:rPr>
            </w:pPr>
            <w:r w:rsidRPr="00EB04F1">
              <w:rPr>
                <w:b/>
                <w:i/>
                <w:sz w:val="22"/>
              </w:rPr>
              <w:t>Izņēmumi</w:t>
            </w:r>
          </w:p>
        </w:tc>
        <w:tc>
          <w:tcPr>
            <w:tcW w:w="1365" w:type="dxa"/>
            <w:tcBorders>
              <w:top w:val="single" w:sz="4" w:space="0" w:color="auto"/>
              <w:left w:val="single" w:sz="4" w:space="0" w:color="auto"/>
              <w:bottom w:val="single" w:sz="4" w:space="0" w:color="auto"/>
              <w:right w:val="single" w:sz="4" w:space="0" w:color="auto"/>
            </w:tcBorders>
          </w:tcPr>
          <w:p w14:paraId="1172C0F3" w14:textId="77777777" w:rsidR="005D02DE" w:rsidRPr="00EB04F1" w:rsidRDefault="005D02DE" w:rsidP="00DC05AB">
            <w:pPr>
              <w:widowControl/>
              <w:spacing w:before="120" w:after="120"/>
              <w:jc w:val="both"/>
              <w:rPr>
                <w:b/>
                <w:bCs/>
                <w:i/>
                <w:iCs/>
                <w:sz w:val="22"/>
                <w:szCs w:val="22"/>
                <w:lang w:eastAsia="en-US"/>
              </w:rPr>
            </w:pPr>
          </w:p>
        </w:tc>
      </w:tr>
      <w:tr w:rsidR="005D02DE" w:rsidRPr="00EB04F1" w14:paraId="1CAD462E" w14:textId="77777777" w:rsidTr="0092524A">
        <w:tc>
          <w:tcPr>
            <w:tcW w:w="2721" w:type="dxa"/>
            <w:tcBorders>
              <w:top w:val="single" w:sz="4" w:space="0" w:color="auto"/>
              <w:left w:val="single" w:sz="4" w:space="0" w:color="auto"/>
              <w:bottom w:val="single" w:sz="4" w:space="0" w:color="auto"/>
              <w:right w:val="single" w:sz="4" w:space="0" w:color="auto"/>
            </w:tcBorders>
            <w:hideMark/>
          </w:tcPr>
          <w:p w14:paraId="706A4F51" w14:textId="77777777" w:rsidR="005D02DE" w:rsidRPr="00EB04F1" w:rsidRDefault="005D02DE" w:rsidP="00DC05AB">
            <w:pPr>
              <w:widowControl/>
              <w:spacing w:before="120" w:after="120"/>
              <w:jc w:val="both"/>
              <w:rPr>
                <w:b/>
                <w:i/>
                <w:sz w:val="22"/>
                <w:szCs w:val="22"/>
              </w:rPr>
            </w:pPr>
            <w:r w:rsidRPr="00EB04F1">
              <w:rPr>
                <w:b/>
                <w:i/>
                <w:sz w:val="22"/>
              </w:rPr>
              <w:t>Augsnes struktūra</w:t>
            </w:r>
          </w:p>
        </w:tc>
        <w:tc>
          <w:tcPr>
            <w:tcW w:w="2848" w:type="dxa"/>
            <w:tcBorders>
              <w:top w:val="single" w:sz="4" w:space="0" w:color="auto"/>
              <w:left w:val="single" w:sz="4" w:space="0" w:color="auto"/>
              <w:bottom w:val="single" w:sz="4" w:space="0" w:color="auto"/>
              <w:right w:val="single" w:sz="4" w:space="0" w:color="auto"/>
            </w:tcBorders>
            <w:hideMark/>
          </w:tcPr>
          <w:p w14:paraId="3971D9A0" w14:textId="77777777" w:rsidR="005D02DE" w:rsidRPr="00EB04F1" w:rsidRDefault="005D02DE" w:rsidP="00DC05AB">
            <w:pPr>
              <w:widowControl/>
              <w:spacing w:before="120" w:after="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Lieluma klases īpatsvars (smilts, putekļi, māls)</w:t>
            </w:r>
          </w:p>
          <w:p w14:paraId="5FB6AB0F" w14:textId="77777777" w:rsidR="005D02DE" w:rsidRPr="00EB04F1" w:rsidRDefault="005D02DE" w:rsidP="00DC05AB">
            <w:pPr>
              <w:widowControl/>
              <w:spacing w:before="120" w:after="120"/>
              <w:ind w:left="347" w:hanging="360"/>
              <w:contextualSpacing/>
              <w:jc w:val="both"/>
              <w:rPr>
                <w:b/>
                <w:i/>
              </w:rPr>
            </w:pPr>
            <w:r w:rsidRPr="00EB04F1">
              <w:rPr>
                <w:rFonts w:ascii="Symbol" w:hAnsi="Symbol"/>
              </w:rPr>
              <w:sym w:font="Symbol" w:char="F0B7"/>
            </w:r>
            <w:r w:rsidRPr="00EB04F1">
              <w:rPr>
                <w:rFonts w:ascii="Symbol" w:hAnsi="Symbol"/>
              </w:rPr>
              <w:tab/>
            </w:r>
            <w:r w:rsidRPr="00EB04F1">
              <w:rPr>
                <w:b/>
                <w:i/>
                <w:sz w:val="22"/>
              </w:rPr>
              <w:t>Rupjo materiālu (&gt;2 mm) īpatsvars</w:t>
            </w:r>
          </w:p>
        </w:tc>
        <w:tc>
          <w:tcPr>
            <w:tcW w:w="1992" w:type="dxa"/>
            <w:tcBorders>
              <w:top w:val="single" w:sz="4" w:space="0" w:color="auto"/>
              <w:left w:val="single" w:sz="4" w:space="0" w:color="auto"/>
              <w:bottom w:val="single" w:sz="4" w:space="0" w:color="auto"/>
              <w:right w:val="single" w:sz="4" w:space="0" w:color="auto"/>
            </w:tcBorders>
            <w:hideMark/>
          </w:tcPr>
          <w:p w14:paraId="7DCD59C7" w14:textId="77777777" w:rsidR="005D02DE" w:rsidRPr="00EB04F1" w:rsidRDefault="005D02DE" w:rsidP="00DC05AB">
            <w:pPr>
              <w:widowControl/>
              <w:spacing w:before="120" w:after="120"/>
              <w:jc w:val="both"/>
              <w:rPr>
                <w:b/>
                <w:i/>
                <w:sz w:val="22"/>
                <w:szCs w:val="22"/>
              </w:rPr>
            </w:pPr>
            <w:r w:rsidRPr="00EB04F1">
              <w:rPr>
                <w:b/>
                <w:i/>
                <w:sz w:val="22"/>
              </w:rPr>
              <w:t>-</w:t>
            </w:r>
          </w:p>
        </w:tc>
        <w:tc>
          <w:tcPr>
            <w:tcW w:w="1365" w:type="dxa"/>
            <w:tcBorders>
              <w:top w:val="single" w:sz="4" w:space="0" w:color="auto"/>
              <w:left w:val="single" w:sz="4" w:space="0" w:color="auto"/>
              <w:bottom w:val="single" w:sz="4" w:space="0" w:color="auto"/>
              <w:right w:val="single" w:sz="4" w:space="0" w:color="auto"/>
            </w:tcBorders>
            <w:hideMark/>
          </w:tcPr>
          <w:p w14:paraId="49FA26BF" w14:textId="77777777" w:rsidR="005D02DE" w:rsidRPr="00EB04F1" w:rsidRDefault="005D02DE" w:rsidP="00DC05AB">
            <w:pPr>
              <w:widowControl/>
              <w:spacing w:before="120" w:after="120"/>
              <w:jc w:val="both"/>
              <w:rPr>
                <w:b/>
                <w:i/>
                <w:sz w:val="22"/>
                <w:szCs w:val="22"/>
              </w:rPr>
            </w:pPr>
            <w:r w:rsidRPr="00EB04F1">
              <w:rPr>
                <w:b/>
                <w:i/>
                <w:sz w:val="22"/>
              </w:rPr>
              <w:t>Jāveic attiecībā uz augsnes virskārtu (0–10 cm, 10–30 cm)</w:t>
            </w:r>
          </w:p>
        </w:tc>
      </w:tr>
    </w:tbl>
    <w:p w14:paraId="07D43827" w14:textId="00D482F2" w:rsidR="005D02DE" w:rsidRPr="00EB04F1" w:rsidRDefault="00DC05AB" w:rsidP="00DC05AB">
      <w:pPr>
        <w:spacing w:before="120" w:after="120"/>
        <w:ind w:left="850" w:hanging="850"/>
        <w:jc w:val="right"/>
        <w:rPr>
          <w:b/>
          <w:szCs w:val="24"/>
          <w:lang w:val="pt-PT" w:eastAsia="en-US"/>
        </w:rPr>
      </w:pPr>
      <w:r w:rsidRPr="00EB04F1">
        <w:rPr>
          <w:b/>
          <w:szCs w:val="24"/>
          <w:lang w:val="pt-PT" w:eastAsia="en-US"/>
        </w:rPr>
        <w:t xml:space="preserve"> [Gr. 198]</w:t>
      </w:r>
    </w:p>
    <w:p w14:paraId="7729B870" w14:textId="60A83402" w:rsidR="00DC05AB" w:rsidRPr="00EB04F1" w:rsidRDefault="004A6AFC" w:rsidP="000F6C2E">
      <w:pPr>
        <w:widowControl/>
        <w:rPr>
          <w:szCs w:val="24"/>
          <w:lang w:val="pt-PT" w:eastAsia="en-US"/>
        </w:rPr>
      </w:pPr>
      <w:r w:rsidRPr="00EB04F1">
        <w:rPr>
          <w:szCs w:val="24"/>
          <w:lang w:val="pt-PT" w:eastAsia="en-US"/>
        </w:rP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838"/>
        <w:gridCol w:w="2268"/>
        <w:gridCol w:w="2835"/>
        <w:gridCol w:w="2126"/>
      </w:tblGrid>
      <w:tr w:rsidR="00DA4F3E" w:rsidRPr="00EB04F1" w14:paraId="1773F488" w14:textId="77777777" w:rsidTr="005D02DE">
        <w:tc>
          <w:tcPr>
            <w:tcW w:w="9067" w:type="dxa"/>
            <w:gridSpan w:val="4"/>
          </w:tcPr>
          <w:p w14:paraId="0CB85A7C" w14:textId="2D5AC485" w:rsidR="00DA4F3E" w:rsidRPr="00EB04F1" w:rsidRDefault="00DA4F3E" w:rsidP="00DF7EB4">
            <w:pPr>
              <w:spacing w:before="120" w:after="120"/>
              <w:rPr>
                <w:b/>
                <w:strike/>
                <w:szCs w:val="24"/>
                <w:lang w:val="pt-PT" w:eastAsia="en-US"/>
              </w:rPr>
            </w:pPr>
            <w:r w:rsidRPr="00EB04F1">
              <w:rPr>
                <w:b/>
                <w:strike/>
                <w:szCs w:val="24"/>
                <w:lang w:val="pt-PT" w:eastAsia="en-US"/>
              </w:rPr>
              <w:lastRenderedPageBreak/>
              <w:t>— B daļa. Augsnes deskriptori ar veselīga augsnes stāvokļa kritērijiem, kas noteikti dalībvalstu līmenī</w:t>
            </w:r>
          </w:p>
        </w:tc>
      </w:tr>
      <w:tr w:rsidR="00CC256C" w:rsidRPr="00EB04F1" w14:paraId="6CD4628B" w14:textId="77777777" w:rsidTr="005D02DE">
        <w:tc>
          <w:tcPr>
            <w:tcW w:w="1838" w:type="dxa"/>
          </w:tcPr>
          <w:p w14:paraId="5678C2B2" w14:textId="77777777" w:rsidR="00DA4F3E" w:rsidRPr="00EB04F1" w:rsidRDefault="00DA4F3E" w:rsidP="00DF7EB4">
            <w:pPr>
              <w:spacing w:before="120" w:after="120"/>
              <w:rPr>
                <w:strike/>
                <w:szCs w:val="24"/>
                <w:lang w:eastAsia="en-US"/>
              </w:rPr>
            </w:pPr>
            <w:r w:rsidRPr="00EB04F1">
              <w:rPr>
                <w:strike/>
                <w:szCs w:val="24"/>
                <w:lang w:eastAsia="en-US"/>
              </w:rPr>
              <w:t>— Pārmērīgs barības vielu saturs augsnē</w:t>
            </w:r>
          </w:p>
        </w:tc>
        <w:tc>
          <w:tcPr>
            <w:tcW w:w="2268" w:type="dxa"/>
          </w:tcPr>
          <w:p w14:paraId="71D216D4" w14:textId="77777777" w:rsidR="00DA4F3E" w:rsidRPr="00EB04F1" w:rsidRDefault="00DA4F3E" w:rsidP="00DF7EB4">
            <w:pPr>
              <w:spacing w:before="120" w:after="120"/>
              <w:rPr>
                <w:strike/>
                <w:szCs w:val="24"/>
                <w:lang w:eastAsia="en-US"/>
              </w:rPr>
            </w:pPr>
            <w:r w:rsidRPr="00EB04F1">
              <w:rPr>
                <w:strike/>
                <w:szCs w:val="24"/>
                <w:lang w:eastAsia="en-US"/>
              </w:rPr>
              <w:t>— Ekstrahējams fosfors (mg uz kg)</w:t>
            </w:r>
          </w:p>
        </w:tc>
        <w:tc>
          <w:tcPr>
            <w:tcW w:w="2835" w:type="dxa"/>
          </w:tcPr>
          <w:p w14:paraId="23C2C000" w14:textId="77777777" w:rsidR="00DA4F3E" w:rsidRPr="00EB04F1" w:rsidRDefault="00DA4F3E" w:rsidP="00DF7EB4">
            <w:pPr>
              <w:spacing w:before="120" w:after="120"/>
              <w:rPr>
                <w:strike/>
                <w:szCs w:val="24"/>
                <w:lang w:eastAsia="en-US"/>
              </w:rPr>
            </w:pPr>
            <w:r w:rsidRPr="00EB04F1">
              <w:rPr>
                <w:strike/>
                <w:szCs w:val="24"/>
                <w:lang w:eastAsia="en-US"/>
              </w:rPr>
              <w:t>&lt; “maksimālā vērtība”; — “maksimālo vērtību” dalībvalsts nosaka diapazonā 30–50 mg kg-1</w:t>
            </w:r>
          </w:p>
        </w:tc>
        <w:tc>
          <w:tcPr>
            <w:tcW w:w="2126" w:type="dxa"/>
          </w:tcPr>
          <w:p w14:paraId="014C7295" w14:textId="77777777" w:rsidR="00DA4F3E" w:rsidRPr="00EB04F1" w:rsidRDefault="00DA4F3E" w:rsidP="00DF7EB4">
            <w:pPr>
              <w:spacing w:before="120" w:after="120"/>
              <w:rPr>
                <w:strike/>
                <w:szCs w:val="24"/>
                <w:lang w:val="en-GB" w:eastAsia="en-US"/>
              </w:rPr>
            </w:pPr>
            <w:r w:rsidRPr="00EB04F1">
              <w:rPr>
                <w:strike/>
                <w:szCs w:val="24"/>
                <w:lang w:val="en-GB" w:eastAsia="en-US"/>
              </w:rPr>
              <w:t>— Izslēgtu platību nav</w:t>
            </w:r>
          </w:p>
        </w:tc>
      </w:tr>
      <w:tr w:rsidR="00CC256C" w:rsidRPr="00EB04F1" w14:paraId="527E9788" w14:textId="77777777" w:rsidTr="005D02DE">
        <w:tc>
          <w:tcPr>
            <w:tcW w:w="1838" w:type="dxa"/>
          </w:tcPr>
          <w:p w14:paraId="2AD552FA" w14:textId="77777777" w:rsidR="00DA4F3E" w:rsidRPr="00EB04F1" w:rsidRDefault="00DA4F3E" w:rsidP="00DF7EB4">
            <w:pPr>
              <w:spacing w:before="120" w:after="120"/>
              <w:rPr>
                <w:strike/>
                <w:szCs w:val="24"/>
                <w:lang w:val="en-GB" w:eastAsia="en-US"/>
              </w:rPr>
            </w:pPr>
            <w:r w:rsidRPr="00EB04F1">
              <w:rPr>
                <w:strike/>
                <w:szCs w:val="24"/>
                <w:lang w:val="en-GB" w:eastAsia="en-US"/>
              </w:rPr>
              <w:t>— Augsnes kontaminācija</w:t>
            </w:r>
          </w:p>
        </w:tc>
        <w:tc>
          <w:tcPr>
            <w:tcW w:w="2268" w:type="dxa"/>
          </w:tcPr>
          <w:p w14:paraId="54DD162A" w14:textId="77777777" w:rsidR="00DA4F3E" w:rsidRPr="00EB04F1" w:rsidRDefault="00DA4F3E" w:rsidP="00DF7EB4">
            <w:pPr>
              <w:spacing w:before="120" w:after="120"/>
              <w:rPr>
                <w:strike/>
                <w:szCs w:val="24"/>
                <w:lang w:val="en-GB" w:eastAsia="en-US"/>
              </w:rPr>
            </w:pPr>
            <w:r w:rsidRPr="00EB04F1">
              <w:rPr>
                <w:strike/>
                <w:szCs w:val="24"/>
                <w:lang w:val="en-GB" w:eastAsia="en-US"/>
              </w:rPr>
              <w:t>— smago metālu koncentrācija augsnē: As, Sb, Cd, Co, Cr (kopējais), Cr(VI), Cu, Hg, Pb, Ni, Tl, V, Zn (µg uz kg);   — dalībvalstu atlasīto organisko kontaminantu koncentrācija, ņemot vērā Savienības tiesību aktos noteiktās esošās robežkoncentrācijas, piemēram, attiecībā uz ūdens kvalitāti un emisijām gaisā</w:t>
            </w:r>
          </w:p>
        </w:tc>
        <w:tc>
          <w:tcPr>
            <w:tcW w:w="2835" w:type="dxa"/>
          </w:tcPr>
          <w:p w14:paraId="40A81ED4" w14:textId="77777777" w:rsidR="00DA4F3E" w:rsidRPr="00EB04F1" w:rsidRDefault="00DA4F3E" w:rsidP="00DF7EB4">
            <w:pPr>
              <w:spacing w:before="120" w:after="120"/>
              <w:rPr>
                <w:strike/>
                <w:szCs w:val="24"/>
                <w:lang w:val="en-GB" w:eastAsia="en-US"/>
              </w:rPr>
            </w:pPr>
            <w:r w:rsidRPr="00EB04F1">
              <w:rPr>
                <w:strike/>
                <w:szCs w:val="24"/>
                <w:lang w:val="en-GB" w:eastAsia="en-US"/>
              </w:rPr>
              <w:t>Pamatota pārliecība, ka augsnes kontaminācija nerada nepieņemamu risku ne cilvēka veselībai, ne videi; šādas pārliecības pamatā ir augsnes punktparaugošana, kontaminēto objektu apzināšana un izpēte un cita relevanta informācija. — Dzīvotnes ar dabiski augstu smago metālu koncentrāciju, kas iekļautas Padomes Direktīvas 92/43/EEK</w:t>
            </w:r>
            <w:r w:rsidRPr="00EB04F1">
              <w:rPr>
                <w:strike/>
                <w:szCs w:val="24"/>
                <w:vertAlign w:val="superscript"/>
                <w:lang w:val="en-GB" w:eastAsia="en-US"/>
              </w:rPr>
              <w:footnoteReference w:customMarkFollows="1" w:id="61"/>
              <w:t>4</w:t>
            </w:r>
            <w:r w:rsidRPr="00EB04F1">
              <w:rPr>
                <w:strike/>
                <w:szCs w:val="24"/>
                <w:lang w:val="en-GB" w:eastAsia="en-US"/>
              </w:rPr>
              <w:t xml:space="preserve"> I pielikumā, tiek aizsargātas arī turpmāk.</w:t>
            </w:r>
          </w:p>
          <w:p w14:paraId="0CB36F21" w14:textId="76E16FC2" w:rsidR="00DA4F3E" w:rsidRPr="00EB04F1" w:rsidRDefault="00DA4F3E" w:rsidP="00DF7EB4">
            <w:pPr>
              <w:spacing w:before="120" w:after="120"/>
              <w:rPr>
                <w:strike/>
                <w:szCs w:val="24"/>
                <w:lang w:val="en-GB" w:eastAsia="en-US"/>
              </w:rPr>
            </w:pPr>
          </w:p>
        </w:tc>
        <w:tc>
          <w:tcPr>
            <w:tcW w:w="2126" w:type="dxa"/>
          </w:tcPr>
          <w:p w14:paraId="5ABAFCBC" w14:textId="77777777" w:rsidR="00DA4F3E" w:rsidRPr="00EB04F1" w:rsidRDefault="00DA4F3E" w:rsidP="00DF7EB4">
            <w:pPr>
              <w:spacing w:before="120" w:after="120"/>
              <w:rPr>
                <w:strike/>
                <w:szCs w:val="24"/>
                <w:lang w:val="en-GB" w:eastAsia="en-US"/>
              </w:rPr>
            </w:pPr>
            <w:r w:rsidRPr="00EB04F1">
              <w:rPr>
                <w:strike/>
                <w:szCs w:val="24"/>
                <w:lang w:val="en-GB" w:eastAsia="en-US"/>
              </w:rPr>
              <w:t>— Izslēgtu platību nav</w:t>
            </w:r>
          </w:p>
        </w:tc>
      </w:tr>
    </w:tbl>
    <w:p w14:paraId="4E8BDA45" w14:textId="77777777" w:rsidR="00924F47" w:rsidRPr="00EB04F1" w:rsidRDefault="00924F47">
      <w:r w:rsidRPr="00EB04F1">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838"/>
        <w:gridCol w:w="2268"/>
        <w:gridCol w:w="2835"/>
        <w:gridCol w:w="2552"/>
      </w:tblGrid>
      <w:tr w:rsidR="00924F47" w:rsidRPr="00EB04F1" w14:paraId="456A6851" w14:textId="77777777" w:rsidTr="00213DF3">
        <w:tc>
          <w:tcPr>
            <w:tcW w:w="1838" w:type="dxa"/>
          </w:tcPr>
          <w:p w14:paraId="0FC676E8" w14:textId="5B8E7E50" w:rsidR="00924F47" w:rsidRPr="00EB04F1" w:rsidRDefault="00924F47" w:rsidP="00924F47">
            <w:pPr>
              <w:spacing w:before="120" w:after="120"/>
              <w:rPr>
                <w:strike/>
                <w:szCs w:val="24"/>
                <w:lang w:val="en-GB" w:eastAsia="en-US"/>
              </w:rPr>
            </w:pPr>
            <w:r w:rsidRPr="00EB04F1">
              <w:rPr>
                <w:strike/>
              </w:rPr>
              <w:lastRenderedPageBreak/>
              <w:t>Mazāka augsnes ūdensietilpība</w:t>
            </w:r>
          </w:p>
        </w:tc>
        <w:tc>
          <w:tcPr>
            <w:tcW w:w="2268" w:type="dxa"/>
          </w:tcPr>
          <w:p w14:paraId="4BCC6771" w14:textId="0490B8C8" w:rsidR="00924F47" w:rsidRPr="00EB04F1" w:rsidRDefault="00924F47" w:rsidP="00924F47">
            <w:pPr>
              <w:spacing w:before="120" w:after="120"/>
              <w:rPr>
                <w:strike/>
                <w:szCs w:val="24"/>
                <w:lang w:val="en-GB" w:eastAsia="en-US"/>
              </w:rPr>
            </w:pPr>
            <w:r w:rsidRPr="00EB04F1">
              <w:rPr>
                <w:strike/>
              </w:rPr>
              <w:t>Augsnes parauga ūdensietilpība (</w:t>
            </w:r>
            <w:r w:rsidRPr="00EB04F1">
              <w:rPr>
                <w:rStyle w:val="ui-provider"/>
                <w:strike/>
              </w:rPr>
              <w:t>ūdens tilpums / piesātinātās augsnes tilpums, %</w:t>
            </w:r>
            <w:r w:rsidRPr="00EB04F1">
              <w:rPr>
                <w:strike/>
              </w:rPr>
              <w:t>)</w:t>
            </w:r>
          </w:p>
        </w:tc>
        <w:tc>
          <w:tcPr>
            <w:tcW w:w="2835" w:type="dxa"/>
          </w:tcPr>
          <w:p w14:paraId="7BA926A0" w14:textId="3F0D827C" w:rsidR="00924F47" w:rsidRPr="00EB04F1" w:rsidRDefault="00924F47" w:rsidP="00924F47">
            <w:pPr>
              <w:spacing w:before="120" w:after="120"/>
              <w:rPr>
                <w:strike/>
                <w:szCs w:val="24"/>
                <w:lang w:eastAsia="en-US"/>
              </w:rPr>
            </w:pPr>
            <w:r w:rsidRPr="00EB04F1">
              <w:rPr>
                <w:strike/>
              </w:rPr>
              <w:t xml:space="preserve">Aplēstā augsnes rajona kopējās ūdensietilpības vērtība pa upju baseiniem vai apakšbaseiniem pārsniedz minimālo sliekšņvērtību. Minimālo sliekšņvērtību (tonnās) dalībvalsts nosaka augsnes rajona un upes baseina vai apakšbaseina līmenī, vērtību nosakot tādu, lai pēc intensīviem lietiem notikušas applūšanas vai sausuma izraisītu zema augsnes mitruma periodu ietekme būtu mazāka. </w:t>
            </w:r>
          </w:p>
        </w:tc>
        <w:tc>
          <w:tcPr>
            <w:tcW w:w="2552" w:type="dxa"/>
          </w:tcPr>
          <w:p w14:paraId="233BBA65" w14:textId="4C3E558A" w:rsidR="00924F47" w:rsidRPr="00EB04F1" w:rsidRDefault="00924F47" w:rsidP="00924F47">
            <w:pPr>
              <w:spacing w:before="120" w:after="120"/>
              <w:rPr>
                <w:strike/>
                <w:szCs w:val="24"/>
                <w:lang w:val="en-GB" w:eastAsia="en-US"/>
              </w:rPr>
            </w:pPr>
            <w:r w:rsidRPr="00EB04F1">
              <w:rPr>
                <w:strike/>
                <w:szCs w:val="24"/>
                <w:lang w:val="en-GB" w:eastAsia="en-US"/>
              </w:rPr>
              <w:t>— Izslēgtu platību nav</w:t>
            </w:r>
          </w:p>
        </w:tc>
      </w:tr>
    </w:tbl>
    <w:tbl>
      <w:tblPr>
        <w:tblStyle w:val="TableGrid"/>
        <w:tblW w:w="9493" w:type="dxa"/>
        <w:tblLook w:val="04A0" w:firstRow="1" w:lastRow="0" w:firstColumn="1" w:lastColumn="0" w:noHBand="0" w:noVBand="1"/>
      </w:tblPr>
      <w:tblGrid>
        <w:gridCol w:w="3048"/>
        <w:gridCol w:w="2621"/>
        <w:gridCol w:w="2157"/>
        <w:gridCol w:w="1667"/>
      </w:tblGrid>
      <w:tr w:rsidR="000F6C2E" w:rsidRPr="00EB04F1" w14:paraId="1061EFFD" w14:textId="77777777" w:rsidTr="0092524A">
        <w:tc>
          <w:tcPr>
            <w:tcW w:w="9493" w:type="dxa"/>
            <w:gridSpan w:val="4"/>
            <w:tcBorders>
              <w:top w:val="single" w:sz="4" w:space="0" w:color="auto"/>
              <w:left w:val="single" w:sz="4" w:space="0" w:color="auto"/>
              <w:bottom w:val="single" w:sz="4" w:space="0" w:color="auto"/>
              <w:right w:val="single" w:sz="4" w:space="0" w:color="auto"/>
            </w:tcBorders>
            <w:hideMark/>
          </w:tcPr>
          <w:p w14:paraId="48A5A3D8" w14:textId="77777777" w:rsidR="000F6C2E" w:rsidRPr="00EB04F1" w:rsidRDefault="000F6C2E" w:rsidP="0092524A">
            <w:pPr>
              <w:widowControl/>
              <w:spacing w:before="120"/>
              <w:jc w:val="both"/>
              <w:rPr>
                <w:b/>
                <w:bCs/>
                <w:i/>
                <w:sz w:val="22"/>
                <w:szCs w:val="22"/>
              </w:rPr>
            </w:pPr>
            <w:r w:rsidRPr="00EB04F1">
              <w:rPr>
                <w:b/>
                <w:i/>
                <w:sz w:val="22"/>
              </w:rPr>
              <w:t>B daļa. Augsnes monitoringa koncepcijas 2. līmenis</w:t>
            </w:r>
          </w:p>
          <w:p w14:paraId="158B64C0" w14:textId="77777777" w:rsidR="000F6C2E" w:rsidRPr="00EB04F1" w:rsidRDefault="000F6C2E" w:rsidP="0092524A">
            <w:pPr>
              <w:widowControl/>
              <w:spacing w:before="120"/>
              <w:jc w:val="both"/>
              <w:rPr>
                <w:b/>
                <w:i/>
                <w:iCs/>
                <w:sz w:val="22"/>
                <w:szCs w:val="22"/>
              </w:rPr>
            </w:pPr>
            <w:r w:rsidRPr="00EB04F1">
              <w:rPr>
                <w:b/>
                <w:i/>
                <w:sz w:val="22"/>
              </w:rPr>
              <w:t>Dalībvalstij ir tiesības piemērot augsnes monitoringa koncepcijas 2. līmeni, ja:</w:t>
            </w:r>
          </w:p>
          <w:p w14:paraId="1FA4C49C" w14:textId="77777777" w:rsidR="000F6C2E" w:rsidRPr="00EB04F1" w:rsidRDefault="000F6C2E" w:rsidP="0092524A">
            <w:pPr>
              <w:widowControl/>
              <w:spacing w:before="120"/>
              <w:jc w:val="both"/>
              <w:rPr>
                <w:b/>
                <w:i/>
                <w:iCs/>
                <w:sz w:val="22"/>
                <w:szCs w:val="22"/>
              </w:rPr>
            </w:pPr>
            <w:r w:rsidRPr="00EB04F1">
              <w:rPr>
                <w:b/>
                <w:i/>
                <w:sz w:val="22"/>
              </w:rPr>
              <w:t xml:space="preserve">- tā pastāvīgi iekļauj visus 1. līmeņa augsnes deskriptorus un kritērijus, kas noteikti B daļas paraugošanas koncepcijas 2. slejā, un iekļauj vismaz 50 % no B daļas augsnes deskriptoriem, vai </w:t>
            </w:r>
          </w:p>
          <w:p w14:paraId="0F176A9E" w14:textId="77777777" w:rsidR="000F6C2E" w:rsidRPr="00EB04F1" w:rsidRDefault="000F6C2E" w:rsidP="0092524A">
            <w:pPr>
              <w:widowControl/>
              <w:spacing w:before="120"/>
              <w:jc w:val="both"/>
              <w:rPr>
                <w:b/>
                <w:bCs/>
                <w:i/>
                <w:sz w:val="22"/>
                <w:szCs w:val="22"/>
              </w:rPr>
            </w:pPr>
            <w:r w:rsidRPr="00EB04F1">
              <w:rPr>
                <w:b/>
                <w:i/>
                <w:sz w:val="22"/>
              </w:rPr>
              <w:t>- kumulatīvi izpilda 1. līmeņa augsnes paraugošanas koncepcijas kritērijus un iekļauj visus A un B daļas augsnes deskriptorus.</w:t>
            </w:r>
          </w:p>
        </w:tc>
      </w:tr>
      <w:tr w:rsidR="000F6C2E" w:rsidRPr="00EB04F1" w14:paraId="7E71719D" w14:textId="77777777" w:rsidTr="0092524A">
        <w:tc>
          <w:tcPr>
            <w:tcW w:w="9493" w:type="dxa"/>
            <w:gridSpan w:val="4"/>
            <w:tcBorders>
              <w:top w:val="single" w:sz="4" w:space="0" w:color="auto"/>
              <w:left w:val="single" w:sz="4" w:space="0" w:color="auto"/>
              <w:bottom w:val="single" w:sz="4" w:space="0" w:color="auto"/>
              <w:right w:val="single" w:sz="4" w:space="0" w:color="auto"/>
            </w:tcBorders>
            <w:hideMark/>
          </w:tcPr>
          <w:p w14:paraId="1840866B" w14:textId="77777777" w:rsidR="000F6C2E" w:rsidRPr="00EB04F1" w:rsidRDefault="000F6C2E" w:rsidP="0092524A">
            <w:pPr>
              <w:widowControl/>
              <w:spacing w:before="120"/>
              <w:jc w:val="both"/>
              <w:rPr>
                <w:b/>
                <w:bCs/>
                <w:i/>
                <w:sz w:val="22"/>
                <w:szCs w:val="22"/>
              </w:rPr>
            </w:pPr>
            <w:r w:rsidRPr="00EB04F1">
              <w:rPr>
                <w:b/>
                <w:i/>
                <w:sz w:val="22"/>
              </w:rPr>
              <w:t>Paraugošanas koncepcija</w:t>
            </w:r>
          </w:p>
        </w:tc>
      </w:tr>
      <w:tr w:rsidR="000F6C2E" w:rsidRPr="00EB04F1" w14:paraId="09FE6F9B"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61207D75" w14:textId="77777777" w:rsidR="000F6C2E" w:rsidRPr="00EB04F1" w:rsidRDefault="000F6C2E" w:rsidP="0092524A">
            <w:pPr>
              <w:widowControl/>
              <w:spacing w:before="120"/>
              <w:jc w:val="both"/>
              <w:rPr>
                <w:b/>
                <w:bCs/>
                <w:i/>
                <w:iCs/>
                <w:sz w:val="22"/>
                <w:szCs w:val="22"/>
              </w:rPr>
            </w:pPr>
            <w:r w:rsidRPr="00EB04F1">
              <w:rPr>
                <w:b/>
                <w:i/>
                <w:sz w:val="22"/>
              </w:rPr>
              <w:t>Atsauces metodika</w:t>
            </w:r>
          </w:p>
        </w:tc>
        <w:tc>
          <w:tcPr>
            <w:tcW w:w="2621" w:type="dxa"/>
            <w:tcBorders>
              <w:top w:val="single" w:sz="4" w:space="0" w:color="auto"/>
              <w:left w:val="single" w:sz="4" w:space="0" w:color="auto"/>
              <w:bottom w:val="single" w:sz="4" w:space="0" w:color="auto"/>
              <w:right w:val="single" w:sz="4" w:space="0" w:color="auto"/>
            </w:tcBorders>
            <w:hideMark/>
          </w:tcPr>
          <w:p w14:paraId="3679E139" w14:textId="77777777" w:rsidR="000F6C2E" w:rsidRPr="00EB04F1" w:rsidRDefault="000F6C2E" w:rsidP="0092524A">
            <w:pPr>
              <w:widowControl/>
              <w:spacing w:before="120"/>
              <w:jc w:val="both"/>
              <w:rPr>
                <w:b/>
                <w:bCs/>
                <w:i/>
                <w:iCs/>
                <w:sz w:val="22"/>
                <w:szCs w:val="22"/>
              </w:rPr>
            </w:pPr>
            <w:r w:rsidRPr="00EB04F1">
              <w:rPr>
                <w:b/>
                <w:i/>
                <w:sz w:val="22"/>
              </w:rPr>
              <w:t>Izpildāmie kritēriji</w:t>
            </w:r>
          </w:p>
        </w:tc>
        <w:tc>
          <w:tcPr>
            <w:tcW w:w="2157" w:type="dxa"/>
            <w:tcBorders>
              <w:top w:val="single" w:sz="4" w:space="0" w:color="auto"/>
              <w:left w:val="single" w:sz="4" w:space="0" w:color="auto"/>
              <w:bottom w:val="single" w:sz="4" w:space="0" w:color="auto"/>
              <w:right w:val="single" w:sz="4" w:space="0" w:color="auto"/>
            </w:tcBorders>
            <w:hideMark/>
          </w:tcPr>
          <w:p w14:paraId="7CC21AE0" w14:textId="77777777" w:rsidR="000F6C2E" w:rsidRPr="00EB04F1" w:rsidRDefault="000F6C2E" w:rsidP="0092524A">
            <w:pPr>
              <w:widowControl/>
              <w:spacing w:before="120"/>
              <w:jc w:val="both"/>
              <w:rPr>
                <w:b/>
                <w:bCs/>
                <w:i/>
                <w:iCs/>
                <w:sz w:val="22"/>
                <w:szCs w:val="22"/>
              </w:rPr>
            </w:pPr>
            <w:r w:rsidRPr="00EB04F1">
              <w:rPr>
                <w:b/>
                <w:i/>
                <w:sz w:val="22"/>
              </w:rPr>
              <w:t>Izņēmumi</w:t>
            </w:r>
          </w:p>
        </w:tc>
        <w:tc>
          <w:tcPr>
            <w:tcW w:w="1667" w:type="dxa"/>
            <w:tcBorders>
              <w:top w:val="single" w:sz="4" w:space="0" w:color="auto"/>
              <w:left w:val="single" w:sz="4" w:space="0" w:color="auto"/>
              <w:bottom w:val="single" w:sz="4" w:space="0" w:color="auto"/>
              <w:right w:val="single" w:sz="4" w:space="0" w:color="auto"/>
            </w:tcBorders>
            <w:hideMark/>
          </w:tcPr>
          <w:p w14:paraId="3D8DF50B" w14:textId="77777777" w:rsidR="000F6C2E" w:rsidRPr="00EB04F1" w:rsidRDefault="000F6C2E" w:rsidP="0092524A">
            <w:pPr>
              <w:widowControl/>
              <w:spacing w:before="120"/>
              <w:jc w:val="both"/>
              <w:rPr>
                <w:b/>
                <w:bCs/>
                <w:i/>
                <w:iCs/>
                <w:sz w:val="22"/>
                <w:szCs w:val="22"/>
              </w:rPr>
            </w:pPr>
            <w:r w:rsidRPr="00EB04F1">
              <w:rPr>
                <w:b/>
                <w:i/>
                <w:sz w:val="22"/>
              </w:rPr>
              <w:t>Piezīmes</w:t>
            </w:r>
          </w:p>
        </w:tc>
      </w:tr>
      <w:tr w:rsidR="000F6C2E" w:rsidRPr="00EB04F1" w14:paraId="5AABE492"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010C412A" w14:textId="77777777" w:rsidR="000F6C2E" w:rsidRPr="00EB04F1" w:rsidRDefault="000F6C2E" w:rsidP="0092524A">
            <w:pPr>
              <w:widowControl/>
              <w:spacing w:before="120"/>
              <w:jc w:val="both"/>
              <w:rPr>
                <w:b/>
                <w:i/>
                <w:sz w:val="22"/>
                <w:szCs w:val="22"/>
              </w:rPr>
            </w:pPr>
            <w:r w:rsidRPr="00EB04F1">
              <w:rPr>
                <w:b/>
                <w:i/>
                <w:sz w:val="22"/>
              </w:rPr>
              <w:t>Stratificēta sistemātiska paraugošana, izmantojot telpisko tīklu, lai dalībvalsts teritorijā nodrošinātu viendabīgu visu zemes veidu pārklājumu. Lai sīkāk izstrādātu paraugošanas koncepciju, var izmantot arī tādu papildu informāciju kā, piemēram, vides zonas vai augsnes tipi.</w:t>
            </w:r>
          </w:p>
          <w:p w14:paraId="4E2C900B" w14:textId="77777777" w:rsidR="000F6C2E" w:rsidRPr="00EB04F1" w:rsidRDefault="000F6C2E" w:rsidP="0092524A">
            <w:pPr>
              <w:widowControl/>
              <w:spacing w:before="120"/>
              <w:jc w:val="both"/>
              <w:rPr>
                <w:b/>
                <w:i/>
                <w:sz w:val="22"/>
                <w:szCs w:val="22"/>
              </w:rPr>
            </w:pPr>
            <w:r w:rsidRPr="00EB04F1">
              <w:rPr>
                <w:b/>
                <w:i/>
                <w:sz w:val="22"/>
              </w:rPr>
              <w:t xml:space="preserve">Dalībvalstis paraugošanas punktu sadalījumu saskaņo ar citām esošām monitoringa programmām, piemēram, ar valsts augu segas un mežu uzskaites sarakstu, ja tādi ir pieejami. Tas pats attiecas uz citu veidu uzskaiti, piemēram </w:t>
            </w:r>
            <w:r w:rsidRPr="00EB04F1">
              <w:rPr>
                <w:b/>
                <w:i/>
                <w:sz w:val="22"/>
              </w:rPr>
              <w:lastRenderedPageBreak/>
              <w:t>lauksaimniecības uzskaiti, lai uzlabotu datu vākšanu par apsaimniekošanas paņēmieniem un optimizētu izmaksas.</w:t>
            </w:r>
          </w:p>
          <w:p w14:paraId="1E9EE126" w14:textId="77777777" w:rsidR="000F6C2E" w:rsidRPr="00EB04F1" w:rsidRDefault="000F6C2E" w:rsidP="0092524A">
            <w:pPr>
              <w:widowControl/>
              <w:spacing w:before="120"/>
              <w:jc w:val="both"/>
              <w:rPr>
                <w:b/>
                <w:i/>
                <w:sz w:val="22"/>
                <w:szCs w:val="22"/>
              </w:rPr>
            </w:pPr>
            <w:r w:rsidRPr="00EB04F1">
              <w:rPr>
                <w:b/>
                <w:i/>
                <w:sz w:val="22"/>
              </w:rPr>
              <w:t>Izlases sadalījumu un lielumu nosaka, izmantojot zinātniski pamatotas metodes, kas paredzētas piemērotajai paraugošanas koncepcijai, piemēram, metodes, kuras Bethel (1989) norādītas stratificētai gadījumizlasei.</w:t>
            </w:r>
          </w:p>
        </w:tc>
        <w:tc>
          <w:tcPr>
            <w:tcW w:w="2621" w:type="dxa"/>
            <w:tcBorders>
              <w:top w:val="single" w:sz="4" w:space="0" w:color="auto"/>
              <w:left w:val="single" w:sz="4" w:space="0" w:color="auto"/>
              <w:bottom w:val="single" w:sz="4" w:space="0" w:color="auto"/>
              <w:right w:val="single" w:sz="4" w:space="0" w:color="auto"/>
            </w:tcBorders>
            <w:hideMark/>
          </w:tcPr>
          <w:p w14:paraId="50302401" w14:textId="77777777" w:rsidR="000F6C2E" w:rsidRPr="00EB04F1" w:rsidRDefault="000F6C2E" w:rsidP="0092524A">
            <w:pPr>
              <w:widowControl/>
              <w:spacing w:before="120"/>
              <w:jc w:val="both"/>
              <w:rPr>
                <w:b/>
                <w:i/>
                <w:sz w:val="22"/>
                <w:szCs w:val="22"/>
              </w:rPr>
            </w:pPr>
            <w:r w:rsidRPr="00EB04F1">
              <w:rPr>
                <w:b/>
                <w:i/>
                <w:sz w:val="22"/>
              </w:rPr>
              <w:lastRenderedPageBreak/>
              <w:t>a) Nodrošina dalībvalsts teritorijas viendabīgu tvērumu attiecībā uz visiem zemes veidiem (piemēram, īstenojot sistemātisku stratificēšanu (piemēram, pastāvīgu tīklu) paraugošanas koncepcijas ietvaros.</w:t>
            </w:r>
          </w:p>
          <w:p w14:paraId="61E212DA" w14:textId="77777777" w:rsidR="000F6C2E" w:rsidRPr="00EB04F1" w:rsidRDefault="000F6C2E" w:rsidP="0092524A">
            <w:pPr>
              <w:widowControl/>
              <w:spacing w:before="120"/>
              <w:jc w:val="both"/>
              <w:rPr>
                <w:b/>
                <w:i/>
                <w:sz w:val="22"/>
                <w:szCs w:val="22"/>
              </w:rPr>
            </w:pPr>
            <w:r w:rsidRPr="00EB04F1">
              <w:rPr>
                <w:b/>
                <w:i/>
                <w:sz w:val="22"/>
              </w:rPr>
              <w:t>b) Stratificēta gadījumizlase, pamatojoties uz zemes veidu. Stratificētie dati var ietvert klimatiskos apstākļus, augsnes tipu, zemes veidu un administratīvos apgabalus saskaņā ar 4. pantu.</w:t>
            </w:r>
          </w:p>
          <w:p w14:paraId="38FA22E4" w14:textId="77777777" w:rsidR="000F6C2E" w:rsidRPr="00EB04F1" w:rsidRDefault="000F6C2E" w:rsidP="0092524A">
            <w:pPr>
              <w:widowControl/>
              <w:spacing w:before="120"/>
              <w:jc w:val="both"/>
              <w:rPr>
                <w:b/>
                <w:i/>
                <w:sz w:val="22"/>
                <w:szCs w:val="22"/>
              </w:rPr>
            </w:pPr>
            <w:r w:rsidRPr="00EB04F1">
              <w:rPr>
                <w:b/>
                <w:i/>
                <w:sz w:val="22"/>
              </w:rPr>
              <w:lastRenderedPageBreak/>
              <w:t>c) Paraugu kopējā minimālā skaita aplēse atbilst 1. līmeņa procedūrai.</w:t>
            </w:r>
          </w:p>
          <w:p w14:paraId="6F195BAB" w14:textId="77777777" w:rsidR="000F6C2E" w:rsidRPr="00EB04F1" w:rsidRDefault="000F6C2E" w:rsidP="0092524A">
            <w:pPr>
              <w:widowControl/>
              <w:spacing w:before="120"/>
              <w:jc w:val="both"/>
              <w:rPr>
                <w:b/>
                <w:i/>
                <w:sz w:val="22"/>
                <w:szCs w:val="22"/>
              </w:rPr>
            </w:pPr>
            <w:r w:rsidRPr="00EB04F1">
              <w:rPr>
                <w:b/>
                <w:i/>
                <w:sz w:val="22"/>
              </w:rPr>
              <w:t>d) Ļauj 20 % no paraugošanas vietām veltīt mērķorientētai paraugošanai saistībā ar izpētēm vai riska novērtējumu.</w:t>
            </w:r>
          </w:p>
        </w:tc>
        <w:tc>
          <w:tcPr>
            <w:tcW w:w="2157" w:type="dxa"/>
            <w:tcBorders>
              <w:top w:val="single" w:sz="4" w:space="0" w:color="auto"/>
              <w:left w:val="single" w:sz="4" w:space="0" w:color="auto"/>
              <w:bottom w:val="single" w:sz="4" w:space="0" w:color="auto"/>
              <w:right w:val="single" w:sz="4" w:space="0" w:color="auto"/>
            </w:tcBorders>
            <w:hideMark/>
          </w:tcPr>
          <w:p w14:paraId="3ADE9CF7" w14:textId="77777777" w:rsidR="000F6C2E" w:rsidRPr="00EB04F1" w:rsidRDefault="000F6C2E" w:rsidP="0092524A">
            <w:pPr>
              <w:widowControl/>
              <w:spacing w:before="120"/>
              <w:jc w:val="both"/>
              <w:rPr>
                <w:b/>
                <w:i/>
                <w:sz w:val="22"/>
                <w:szCs w:val="22"/>
              </w:rPr>
            </w:pPr>
            <w:r w:rsidRPr="00EB04F1">
              <w:rPr>
                <w:b/>
                <w:i/>
                <w:sz w:val="22"/>
              </w:rPr>
              <w:lastRenderedPageBreak/>
              <w:t>-</w:t>
            </w:r>
          </w:p>
        </w:tc>
        <w:tc>
          <w:tcPr>
            <w:tcW w:w="1667" w:type="dxa"/>
            <w:tcBorders>
              <w:top w:val="single" w:sz="4" w:space="0" w:color="auto"/>
              <w:left w:val="single" w:sz="4" w:space="0" w:color="auto"/>
              <w:bottom w:val="single" w:sz="4" w:space="0" w:color="auto"/>
              <w:right w:val="single" w:sz="4" w:space="0" w:color="auto"/>
            </w:tcBorders>
            <w:hideMark/>
          </w:tcPr>
          <w:p w14:paraId="093894AA" w14:textId="77777777" w:rsidR="000F6C2E" w:rsidRPr="00EB04F1" w:rsidRDefault="000F6C2E" w:rsidP="0092524A">
            <w:pPr>
              <w:widowControl/>
              <w:spacing w:before="120"/>
              <w:jc w:val="both"/>
              <w:rPr>
                <w:b/>
                <w:i/>
                <w:iCs/>
                <w:sz w:val="22"/>
                <w:szCs w:val="22"/>
              </w:rPr>
            </w:pPr>
            <w:r w:rsidRPr="00EB04F1">
              <w:rPr>
                <w:b/>
                <w:i/>
                <w:sz w:val="22"/>
              </w:rPr>
              <w:t xml:space="preserve">Ir ieteicams augsnes monitoringa sistēmas koncepcijā un īstenošanā iesaistīt vairākas ieinteresētās personas un, ja vajadzīgs, starptautiskus pārrobežu līgumus, lai nodrošinātu, ka tiek apsvērti izmaksu ziņā lietderīgi pasākumi un ka </w:t>
            </w:r>
            <w:r w:rsidRPr="00EB04F1">
              <w:rPr>
                <w:b/>
                <w:i/>
                <w:sz w:val="22"/>
              </w:rPr>
              <w:lastRenderedPageBreak/>
              <w:t>tiek ņemtas vērā pieejamās zināšanas.</w:t>
            </w:r>
          </w:p>
        </w:tc>
      </w:tr>
      <w:tr w:rsidR="000F6C2E" w:rsidRPr="00EB04F1" w14:paraId="53365976" w14:textId="77777777" w:rsidTr="0092524A">
        <w:tc>
          <w:tcPr>
            <w:tcW w:w="9493" w:type="dxa"/>
            <w:gridSpan w:val="4"/>
            <w:tcBorders>
              <w:top w:val="single" w:sz="4" w:space="0" w:color="auto"/>
              <w:left w:val="single" w:sz="4" w:space="0" w:color="auto"/>
              <w:bottom w:val="single" w:sz="4" w:space="0" w:color="auto"/>
              <w:right w:val="single" w:sz="4" w:space="0" w:color="auto"/>
            </w:tcBorders>
            <w:hideMark/>
          </w:tcPr>
          <w:p w14:paraId="0F6C9254" w14:textId="77777777" w:rsidR="000F6C2E" w:rsidRPr="00EB04F1" w:rsidRDefault="000F6C2E" w:rsidP="0092524A">
            <w:pPr>
              <w:widowControl/>
              <w:spacing w:before="120"/>
              <w:jc w:val="both"/>
              <w:rPr>
                <w:b/>
                <w:i/>
                <w:sz w:val="22"/>
                <w:szCs w:val="22"/>
              </w:rPr>
            </w:pPr>
            <w:r w:rsidRPr="00EB04F1">
              <w:rPr>
                <w:b/>
                <w:i/>
                <w:sz w:val="22"/>
              </w:rPr>
              <w:lastRenderedPageBreak/>
              <w:t>Degradācijas faktori</w:t>
            </w:r>
          </w:p>
        </w:tc>
      </w:tr>
      <w:tr w:rsidR="000F6C2E" w:rsidRPr="00EB04F1" w14:paraId="06235354"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6712DF81" w14:textId="77777777" w:rsidR="000F6C2E" w:rsidRPr="00EB04F1" w:rsidRDefault="000F6C2E" w:rsidP="0092524A">
            <w:pPr>
              <w:widowControl/>
              <w:spacing w:before="120"/>
              <w:jc w:val="both"/>
              <w:rPr>
                <w:b/>
                <w:i/>
                <w:iCs/>
                <w:sz w:val="22"/>
                <w:szCs w:val="22"/>
              </w:rPr>
            </w:pPr>
            <w:r w:rsidRPr="00EB04F1">
              <w:rPr>
                <w:b/>
                <w:i/>
                <w:sz w:val="22"/>
              </w:rPr>
              <w:t>Degradācijas faktors</w:t>
            </w:r>
          </w:p>
        </w:tc>
        <w:tc>
          <w:tcPr>
            <w:tcW w:w="2621" w:type="dxa"/>
            <w:tcBorders>
              <w:top w:val="single" w:sz="4" w:space="0" w:color="auto"/>
              <w:left w:val="single" w:sz="4" w:space="0" w:color="auto"/>
              <w:bottom w:val="single" w:sz="4" w:space="0" w:color="auto"/>
              <w:right w:val="single" w:sz="4" w:space="0" w:color="auto"/>
            </w:tcBorders>
            <w:hideMark/>
          </w:tcPr>
          <w:p w14:paraId="5A153752" w14:textId="77777777" w:rsidR="000F6C2E" w:rsidRPr="00EB04F1" w:rsidRDefault="000F6C2E" w:rsidP="0092524A">
            <w:pPr>
              <w:widowControl/>
              <w:spacing w:before="120"/>
              <w:jc w:val="both"/>
              <w:rPr>
                <w:b/>
                <w:bCs/>
                <w:i/>
                <w:iCs/>
                <w:sz w:val="22"/>
                <w:szCs w:val="22"/>
              </w:rPr>
            </w:pPr>
            <w:r w:rsidRPr="00EB04F1">
              <w:rPr>
                <w:b/>
                <w:i/>
                <w:sz w:val="22"/>
              </w:rPr>
              <w:t>Augsnes deskriptors</w:t>
            </w:r>
          </w:p>
        </w:tc>
        <w:tc>
          <w:tcPr>
            <w:tcW w:w="2157" w:type="dxa"/>
            <w:tcBorders>
              <w:top w:val="single" w:sz="4" w:space="0" w:color="auto"/>
              <w:left w:val="single" w:sz="4" w:space="0" w:color="auto"/>
              <w:bottom w:val="single" w:sz="4" w:space="0" w:color="auto"/>
              <w:right w:val="single" w:sz="4" w:space="0" w:color="auto"/>
            </w:tcBorders>
            <w:hideMark/>
          </w:tcPr>
          <w:p w14:paraId="7AF82E5C" w14:textId="77777777" w:rsidR="000F6C2E" w:rsidRPr="00EB04F1" w:rsidRDefault="000F6C2E" w:rsidP="0092524A">
            <w:pPr>
              <w:widowControl/>
              <w:spacing w:before="120"/>
              <w:jc w:val="both"/>
              <w:rPr>
                <w:b/>
                <w:bCs/>
                <w:i/>
                <w:iCs/>
                <w:sz w:val="22"/>
                <w:szCs w:val="22"/>
              </w:rPr>
            </w:pPr>
            <w:r w:rsidRPr="00EB04F1">
              <w:rPr>
                <w:b/>
                <w:i/>
                <w:sz w:val="22"/>
              </w:rPr>
              <w:t>Izņēmumi</w:t>
            </w:r>
          </w:p>
        </w:tc>
        <w:tc>
          <w:tcPr>
            <w:tcW w:w="1667" w:type="dxa"/>
            <w:tcBorders>
              <w:top w:val="single" w:sz="4" w:space="0" w:color="auto"/>
              <w:left w:val="single" w:sz="4" w:space="0" w:color="auto"/>
              <w:bottom w:val="single" w:sz="4" w:space="0" w:color="auto"/>
              <w:right w:val="single" w:sz="4" w:space="0" w:color="auto"/>
            </w:tcBorders>
            <w:hideMark/>
          </w:tcPr>
          <w:p w14:paraId="1E177D01" w14:textId="77777777" w:rsidR="000F6C2E" w:rsidRPr="00EB04F1" w:rsidRDefault="000F6C2E" w:rsidP="0092524A">
            <w:pPr>
              <w:widowControl/>
              <w:spacing w:before="120"/>
              <w:jc w:val="both"/>
              <w:rPr>
                <w:b/>
                <w:bCs/>
                <w:i/>
                <w:iCs/>
                <w:sz w:val="22"/>
                <w:szCs w:val="22"/>
              </w:rPr>
            </w:pPr>
            <w:r w:rsidRPr="00EB04F1">
              <w:rPr>
                <w:b/>
                <w:i/>
                <w:sz w:val="22"/>
              </w:rPr>
              <w:t>Piezīmes</w:t>
            </w:r>
          </w:p>
        </w:tc>
      </w:tr>
      <w:tr w:rsidR="000F6C2E" w:rsidRPr="00EB04F1" w14:paraId="2E1A3978"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14406754" w14:textId="77777777" w:rsidR="000F6C2E" w:rsidRPr="00EB04F1" w:rsidRDefault="000F6C2E" w:rsidP="0092524A">
            <w:pPr>
              <w:widowControl/>
              <w:spacing w:before="120"/>
              <w:jc w:val="both"/>
              <w:rPr>
                <w:b/>
                <w:i/>
                <w:sz w:val="22"/>
                <w:szCs w:val="22"/>
              </w:rPr>
            </w:pPr>
            <w:r w:rsidRPr="00EB04F1">
              <w:rPr>
                <w:b/>
                <w:i/>
                <w:sz w:val="22"/>
              </w:rPr>
              <w:t>Sasāļošanās</w:t>
            </w:r>
          </w:p>
        </w:tc>
        <w:tc>
          <w:tcPr>
            <w:tcW w:w="2621" w:type="dxa"/>
            <w:tcBorders>
              <w:top w:val="single" w:sz="4" w:space="0" w:color="auto"/>
              <w:left w:val="single" w:sz="4" w:space="0" w:color="auto"/>
              <w:bottom w:val="single" w:sz="4" w:space="0" w:color="auto"/>
              <w:right w:val="single" w:sz="4" w:space="0" w:color="auto"/>
            </w:tcBorders>
            <w:hideMark/>
          </w:tcPr>
          <w:p w14:paraId="05C8C2A2" w14:textId="77777777" w:rsidR="000F6C2E" w:rsidRPr="00EB04F1" w:rsidRDefault="000F6C2E" w:rsidP="0092524A">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Elektrovadītspēja (sīmensi uz metru) (S m</w:t>
            </w:r>
            <w:r w:rsidRPr="00EB04F1">
              <w:rPr>
                <w:b/>
                <w:i/>
                <w:sz w:val="22"/>
                <w:vertAlign w:val="superscript"/>
              </w:rPr>
              <w:t>-1</w:t>
            </w:r>
            <w:r w:rsidRPr="00EB04F1">
              <w:rPr>
                <w:b/>
                <w:i/>
                <w:sz w:val="22"/>
              </w:rPr>
              <w:t>))</w:t>
            </w:r>
          </w:p>
        </w:tc>
        <w:tc>
          <w:tcPr>
            <w:tcW w:w="2157" w:type="dxa"/>
            <w:tcBorders>
              <w:top w:val="single" w:sz="4" w:space="0" w:color="auto"/>
              <w:left w:val="single" w:sz="4" w:space="0" w:color="auto"/>
              <w:bottom w:val="single" w:sz="4" w:space="0" w:color="auto"/>
              <w:right w:val="single" w:sz="4" w:space="0" w:color="auto"/>
            </w:tcBorders>
            <w:hideMark/>
          </w:tcPr>
          <w:p w14:paraId="01DF6E69" w14:textId="77777777" w:rsidR="000F6C2E" w:rsidRPr="00EB04F1" w:rsidRDefault="000F6C2E" w:rsidP="0092524A">
            <w:pPr>
              <w:widowControl/>
              <w:spacing w:before="120"/>
              <w:jc w:val="both"/>
              <w:rPr>
                <w:b/>
                <w:i/>
                <w:sz w:val="22"/>
                <w:szCs w:val="22"/>
              </w:rPr>
            </w:pPr>
            <w:r w:rsidRPr="00EB04F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739B7667" w14:textId="77777777" w:rsidR="000F6C2E" w:rsidRPr="00EB04F1" w:rsidRDefault="000F6C2E" w:rsidP="0092524A">
            <w:pPr>
              <w:widowControl/>
              <w:spacing w:before="120"/>
              <w:jc w:val="both"/>
              <w:rPr>
                <w:b/>
                <w:i/>
                <w:sz w:val="22"/>
                <w:szCs w:val="22"/>
              </w:rPr>
            </w:pPr>
            <w:r w:rsidRPr="00EB04F1">
              <w:rPr>
                <w:b/>
                <w:i/>
                <w:sz w:val="22"/>
              </w:rPr>
              <w:t>Jāveic attiecībā uz augsnes virskārtu (0–10 cm, 10–30 cm (fakultatīvi))</w:t>
            </w:r>
          </w:p>
        </w:tc>
      </w:tr>
      <w:tr w:rsidR="000F6C2E" w:rsidRPr="00EB04F1" w14:paraId="63D7652C" w14:textId="77777777" w:rsidTr="00213DF3">
        <w:trPr>
          <w:trHeight w:val="359"/>
        </w:trPr>
        <w:tc>
          <w:tcPr>
            <w:tcW w:w="3048" w:type="dxa"/>
            <w:tcBorders>
              <w:top w:val="single" w:sz="4" w:space="0" w:color="auto"/>
              <w:left w:val="single" w:sz="4" w:space="0" w:color="auto"/>
              <w:bottom w:val="single" w:sz="4" w:space="0" w:color="auto"/>
              <w:right w:val="single" w:sz="4" w:space="0" w:color="auto"/>
            </w:tcBorders>
            <w:hideMark/>
          </w:tcPr>
          <w:p w14:paraId="3F1B784D" w14:textId="77777777" w:rsidR="000F6C2E" w:rsidRPr="00EB04F1" w:rsidRDefault="000F6C2E" w:rsidP="0092524A">
            <w:pPr>
              <w:widowControl/>
              <w:spacing w:before="120"/>
              <w:jc w:val="both"/>
              <w:rPr>
                <w:b/>
                <w:i/>
              </w:rPr>
            </w:pPr>
            <w:r w:rsidRPr="00EB04F1">
              <w:rPr>
                <w:b/>
                <w:i/>
                <w:sz w:val="22"/>
              </w:rPr>
              <w:t>Zemes platību aizņemšana</w:t>
            </w:r>
          </w:p>
        </w:tc>
        <w:tc>
          <w:tcPr>
            <w:tcW w:w="2621" w:type="dxa"/>
            <w:tcBorders>
              <w:top w:val="single" w:sz="4" w:space="0" w:color="auto"/>
              <w:left w:val="single" w:sz="4" w:space="0" w:color="auto"/>
              <w:bottom w:val="single" w:sz="4" w:space="0" w:color="auto"/>
              <w:right w:val="single" w:sz="4" w:space="0" w:color="auto"/>
            </w:tcBorders>
            <w:hideMark/>
          </w:tcPr>
          <w:p w14:paraId="1BE2F54C" w14:textId="77777777" w:rsidR="000F6C2E" w:rsidRPr="00EB04F1" w:rsidRDefault="000F6C2E" w:rsidP="0092524A">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noslēgšana (kā noslēgtās zemes īpatsvars dalījumā pēc jebkādām cilvēka izveidotām infrastruktūrām uz 100 m2)</w:t>
            </w:r>
          </w:p>
        </w:tc>
        <w:tc>
          <w:tcPr>
            <w:tcW w:w="2157" w:type="dxa"/>
            <w:tcBorders>
              <w:top w:val="single" w:sz="4" w:space="0" w:color="auto"/>
              <w:left w:val="single" w:sz="4" w:space="0" w:color="auto"/>
              <w:bottom w:val="single" w:sz="4" w:space="0" w:color="auto"/>
              <w:right w:val="single" w:sz="4" w:space="0" w:color="auto"/>
            </w:tcBorders>
            <w:hideMark/>
          </w:tcPr>
          <w:p w14:paraId="6CE9177C" w14:textId="77777777" w:rsidR="000F6C2E" w:rsidRPr="00EB04F1" w:rsidRDefault="000F6C2E" w:rsidP="0092524A">
            <w:pPr>
              <w:widowControl/>
              <w:spacing w:before="120"/>
              <w:jc w:val="both"/>
              <w:rPr>
                <w:b/>
                <w:i/>
              </w:rPr>
            </w:pPr>
            <w:r w:rsidRPr="00EB04F1">
              <w:rPr>
                <w:b/>
                <w:i/>
              </w:rPr>
              <w:t>-</w:t>
            </w:r>
          </w:p>
        </w:tc>
        <w:tc>
          <w:tcPr>
            <w:tcW w:w="1667" w:type="dxa"/>
            <w:tcBorders>
              <w:top w:val="single" w:sz="4" w:space="0" w:color="auto"/>
              <w:left w:val="single" w:sz="4" w:space="0" w:color="auto"/>
              <w:bottom w:val="single" w:sz="4" w:space="0" w:color="auto"/>
              <w:right w:val="single" w:sz="4" w:space="0" w:color="auto"/>
            </w:tcBorders>
            <w:hideMark/>
          </w:tcPr>
          <w:p w14:paraId="4536D6B3" w14:textId="77777777" w:rsidR="000F6C2E" w:rsidRPr="00EB04F1" w:rsidRDefault="000F6C2E" w:rsidP="0092524A">
            <w:pPr>
              <w:widowControl/>
              <w:spacing w:before="120"/>
              <w:jc w:val="both"/>
              <w:rPr>
                <w:b/>
                <w:i/>
                <w:iCs/>
              </w:rPr>
            </w:pPr>
            <w:r w:rsidRPr="00EB04F1">
              <w:rPr>
                <w:b/>
                <w:i/>
                <w:sz w:val="22"/>
              </w:rPr>
              <w:t>Atsaucei paraugošanas vieta būtu jāuzskata par šā novērtējuma centru</w:t>
            </w:r>
          </w:p>
        </w:tc>
      </w:tr>
      <w:tr w:rsidR="000F6C2E" w:rsidRPr="00EB04F1" w14:paraId="00CD0FA5"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59512226" w14:textId="77777777" w:rsidR="000F6C2E" w:rsidRPr="00EB04F1" w:rsidRDefault="000F6C2E" w:rsidP="0092524A">
            <w:pPr>
              <w:widowControl/>
              <w:spacing w:before="120"/>
              <w:jc w:val="both"/>
              <w:rPr>
                <w:b/>
                <w:i/>
                <w:sz w:val="22"/>
                <w:szCs w:val="22"/>
              </w:rPr>
            </w:pPr>
            <w:r w:rsidRPr="00EB04F1">
              <w:rPr>
                <w:b/>
                <w:i/>
                <w:sz w:val="22"/>
              </w:rPr>
              <w:t>Augsnes kontaminācija</w:t>
            </w:r>
          </w:p>
        </w:tc>
        <w:tc>
          <w:tcPr>
            <w:tcW w:w="2621" w:type="dxa"/>
            <w:tcBorders>
              <w:top w:val="single" w:sz="4" w:space="0" w:color="auto"/>
              <w:left w:val="single" w:sz="4" w:space="0" w:color="auto"/>
              <w:bottom w:val="single" w:sz="4" w:space="0" w:color="auto"/>
              <w:right w:val="single" w:sz="4" w:space="0" w:color="auto"/>
            </w:tcBorders>
            <w:hideMark/>
          </w:tcPr>
          <w:p w14:paraId="1897EB7E" w14:textId="77777777" w:rsidR="000F6C2E" w:rsidRPr="00EB04F1" w:rsidRDefault="000F6C2E" w:rsidP="0092524A">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Farmaceitisko un veterināro produktu koncentrācija</w:t>
            </w:r>
          </w:p>
        </w:tc>
        <w:tc>
          <w:tcPr>
            <w:tcW w:w="2157" w:type="dxa"/>
            <w:tcBorders>
              <w:top w:val="single" w:sz="4" w:space="0" w:color="auto"/>
              <w:left w:val="single" w:sz="4" w:space="0" w:color="auto"/>
              <w:bottom w:val="single" w:sz="4" w:space="0" w:color="auto"/>
              <w:right w:val="single" w:sz="4" w:space="0" w:color="auto"/>
            </w:tcBorders>
            <w:hideMark/>
          </w:tcPr>
          <w:p w14:paraId="1731F287" w14:textId="77777777" w:rsidR="000F6C2E" w:rsidRPr="00EB04F1" w:rsidRDefault="000F6C2E" w:rsidP="0092524A">
            <w:pPr>
              <w:widowControl/>
              <w:spacing w:before="120"/>
              <w:jc w:val="both"/>
              <w:rPr>
                <w:b/>
                <w:i/>
                <w:sz w:val="22"/>
                <w:szCs w:val="22"/>
              </w:rPr>
            </w:pPr>
            <w:r w:rsidRPr="00EB04F1">
              <w:rPr>
                <w:b/>
                <w:i/>
                <w:sz w:val="22"/>
              </w:rPr>
              <w:t>-</w:t>
            </w:r>
          </w:p>
        </w:tc>
        <w:tc>
          <w:tcPr>
            <w:tcW w:w="1667" w:type="dxa"/>
            <w:tcBorders>
              <w:top w:val="single" w:sz="4" w:space="0" w:color="auto"/>
              <w:left w:val="single" w:sz="4" w:space="0" w:color="auto"/>
              <w:bottom w:val="single" w:sz="4" w:space="0" w:color="auto"/>
              <w:right w:val="single" w:sz="4" w:space="0" w:color="auto"/>
            </w:tcBorders>
          </w:tcPr>
          <w:p w14:paraId="7231EFE5" w14:textId="77777777" w:rsidR="000F6C2E" w:rsidRPr="00EB04F1" w:rsidRDefault="000F6C2E" w:rsidP="0092524A">
            <w:pPr>
              <w:widowControl/>
              <w:spacing w:before="120"/>
              <w:jc w:val="both"/>
              <w:rPr>
                <w:b/>
                <w:i/>
                <w:sz w:val="22"/>
                <w:szCs w:val="22"/>
                <w:lang w:eastAsia="en-US"/>
              </w:rPr>
            </w:pPr>
          </w:p>
        </w:tc>
      </w:tr>
      <w:tr w:rsidR="000F6C2E" w:rsidRPr="00EB04F1" w14:paraId="4257656F"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55DDCC56" w14:textId="77777777" w:rsidR="000F6C2E" w:rsidRPr="00EB04F1" w:rsidRDefault="000F6C2E" w:rsidP="0092524A">
            <w:pPr>
              <w:widowControl/>
              <w:spacing w:before="120"/>
              <w:jc w:val="both"/>
              <w:rPr>
                <w:b/>
                <w:i/>
                <w:sz w:val="22"/>
                <w:szCs w:val="22"/>
              </w:rPr>
            </w:pPr>
            <w:r w:rsidRPr="00EB04F1">
              <w:rPr>
                <w:b/>
                <w:i/>
                <w:sz w:val="22"/>
              </w:rPr>
              <w:t>Augsnes noblīvēšana</w:t>
            </w:r>
          </w:p>
        </w:tc>
        <w:tc>
          <w:tcPr>
            <w:tcW w:w="2621" w:type="dxa"/>
            <w:tcBorders>
              <w:top w:val="single" w:sz="4" w:space="0" w:color="auto"/>
              <w:left w:val="single" w:sz="4" w:space="0" w:color="auto"/>
              <w:bottom w:val="single" w:sz="4" w:space="0" w:color="auto"/>
              <w:right w:val="single" w:sz="4" w:space="0" w:color="auto"/>
            </w:tcBorders>
            <w:hideMark/>
          </w:tcPr>
          <w:p w14:paraId="38F4DD34" w14:textId="77777777" w:rsidR="000F6C2E" w:rsidRPr="00EB04F1" w:rsidRDefault="000F6C2E" w:rsidP="0092524A">
            <w:pPr>
              <w:widowControl/>
              <w:spacing w:before="120" w:after="160" w:line="254" w:lineRule="auto"/>
              <w:ind w:left="346" w:hanging="360"/>
              <w:contextualSpacing/>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apakškārtas tilpummasa; dalībvalstis šo deskriptoru var aizstāt ar pielīdzināmu parametru (g uz cm</w:t>
            </w:r>
            <w:r w:rsidRPr="00EB04F1">
              <w:rPr>
                <w:b/>
                <w:i/>
                <w:sz w:val="22"/>
                <w:vertAlign w:val="superscript"/>
              </w:rPr>
              <w:t>3</w:t>
            </w:r>
            <w:r w:rsidRPr="00EB04F1">
              <w:rPr>
                <w:b/>
                <w:i/>
                <w:sz w:val="22"/>
              </w:rPr>
              <w:t>)</w:t>
            </w:r>
          </w:p>
        </w:tc>
        <w:tc>
          <w:tcPr>
            <w:tcW w:w="2157" w:type="dxa"/>
            <w:tcBorders>
              <w:top w:val="single" w:sz="4" w:space="0" w:color="auto"/>
              <w:left w:val="single" w:sz="4" w:space="0" w:color="auto"/>
              <w:bottom w:val="single" w:sz="4" w:space="0" w:color="auto"/>
              <w:right w:val="single" w:sz="4" w:space="0" w:color="auto"/>
            </w:tcBorders>
            <w:hideMark/>
          </w:tcPr>
          <w:p w14:paraId="24D6F0A7" w14:textId="77777777" w:rsidR="000F6C2E" w:rsidRPr="00EB04F1" w:rsidRDefault="000F6C2E" w:rsidP="0092524A">
            <w:pPr>
              <w:widowControl/>
              <w:spacing w:before="120"/>
              <w:rPr>
                <w:b/>
                <w:i/>
                <w:sz w:val="22"/>
                <w:szCs w:val="22"/>
              </w:rPr>
            </w:pPr>
            <w:r w:rsidRPr="00EB04F1">
              <w:rPr>
                <w:b/>
                <w:i/>
                <w:sz w:val="22"/>
              </w:rPr>
              <w:t>Neapsaimniekotas augsnes dabiskās zemes platībās</w:t>
            </w:r>
          </w:p>
        </w:tc>
        <w:tc>
          <w:tcPr>
            <w:tcW w:w="1667" w:type="dxa"/>
            <w:tcBorders>
              <w:top w:val="single" w:sz="4" w:space="0" w:color="auto"/>
              <w:left w:val="single" w:sz="4" w:space="0" w:color="auto"/>
              <w:bottom w:val="single" w:sz="4" w:space="0" w:color="auto"/>
              <w:right w:val="single" w:sz="4" w:space="0" w:color="auto"/>
            </w:tcBorders>
            <w:hideMark/>
          </w:tcPr>
          <w:p w14:paraId="64DB0B8F" w14:textId="77777777" w:rsidR="000F6C2E" w:rsidRPr="00EB04F1" w:rsidRDefault="000F6C2E" w:rsidP="0092524A">
            <w:pPr>
              <w:widowControl/>
              <w:spacing w:before="120"/>
              <w:jc w:val="both"/>
              <w:rPr>
                <w:b/>
                <w:i/>
                <w:sz w:val="22"/>
                <w:szCs w:val="22"/>
              </w:rPr>
            </w:pPr>
            <w:r w:rsidRPr="00EB04F1">
              <w:rPr>
                <w:b/>
                <w:i/>
                <w:sz w:val="22"/>
              </w:rPr>
              <w:t>Jāveic attiecībā uz augsnes apakškārtu (30–50 cm, 50–100 cm)</w:t>
            </w:r>
          </w:p>
        </w:tc>
      </w:tr>
      <w:tr w:rsidR="000F6C2E" w:rsidRPr="00EB04F1" w14:paraId="4CD370C2" w14:textId="77777777" w:rsidTr="0092524A">
        <w:tc>
          <w:tcPr>
            <w:tcW w:w="9493" w:type="dxa"/>
            <w:gridSpan w:val="4"/>
            <w:tcBorders>
              <w:top w:val="single" w:sz="4" w:space="0" w:color="auto"/>
              <w:left w:val="single" w:sz="4" w:space="0" w:color="auto"/>
              <w:bottom w:val="single" w:sz="4" w:space="0" w:color="auto"/>
              <w:right w:val="single" w:sz="4" w:space="0" w:color="auto"/>
            </w:tcBorders>
            <w:hideMark/>
          </w:tcPr>
          <w:p w14:paraId="2DDB3029" w14:textId="77777777" w:rsidR="000F6C2E" w:rsidRPr="00EB04F1" w:rsidRDefault="000F6C2E" w:rsidP="0092524A">
            <w:pPr>
              <w:widowControl/>
              <w:spacing w:before="120"/>
              <w:jc w:val="both"/>
              <w:rPr>
                <w:b/>
                <w:i/>
                <w:sz w:val="22"/>
                <w:szCs w:val="22"/>
              </w:rPr>
            </w:pPr>
            <w:r w:rsidRPr="00EB04F1">
              <w:rPr>
                <w:b/>
                <w:i/>
                <w:sz w:val="22"/>
              </w:rPr>
              <w:t>Augsnes ekoloģiskās funkcijas</w:t>
            </w:r>
          </w:p>
        </w:tc>
      </w:tr>
      <w:tr w:rsidR="000F6C2E" w:rsidRPr="00EB04F1" w14:paraId="64FC97AC"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6699907A" w14:textId="77777777" w:rsidR="000F6C2E" w:rsidRPr="00EB04F1" w:rsidRDefault="000F6C2E" w:rsidP="0092524A">
            <w:pPr>
              <w:widowControl/>
              <w:spacing w:before="120"/>
              <w:jc w:val="both"/>
              <w:rPr>
                <w:b/>
                <w:i/>
                <w:sz w:val="22"/>
                <w:szCs w:val="22"/>
              </w:rPr>
            </w:pPr>
            <w:r w:rsidRPr="00EB04F1">
              <w:rPr>
                <w:b/>
                <w:i/>
                <w:sz w:val="22"/>
              </w:rPr>
              <w:t>Ekoloģiskā funkcija</w:t>
            </w:r>
          </w:p>
        </w:tc>
        <w:tc>
          <w:tcPr>
            <w:tcW w:w="2621" w:type="dxa"/>
            <w:tcBorders>
              <w:top w:val="single" w:sz="4" w:space="0" w:color="auto"/>
              <w:left w:val="single" w:sz="4" w:space="0" w:color="auto"/>
              <w:bottom w:val="single" w:sz="4" w:space="0" w:color="auto"/>
              <w:right w:val="single" w:sz="4" w:space="0" w:color="auto"/>
            </w:tcBorders>
            <w:hideMark/>
          </w:tcPr>
          <w:p w14:paraId="2C487588" w14:textId="77777777" w:rsidR="000F6C2E" w:rsidRPr="00EB04F1" w:rsidRDefault="000F6C2E" w:rsidP="0092524A">
            <w:pPr>
              <w:widowControl/>
              <w:spacing w:before="120"/>
              <w:jc w:val="both"/>
              <w:rPr>
                <w:b/>
                <w:i/>
                <w:sz w:val="22"/>
                <w:szCs w:val="22"/>
              </w:rPr>
            </w:pPr>
            <w:r w:rsidRPr="00EB04F1">
              <w:rPr>
                <w:b/>
                <w:i/>
                <w:sz w:val="22"/>
              </w:rPr>
              <w:t>Augsnes deskriptors</w:t>
            </w:r>
          </w:p>
        </w:tc>
        <w:tc>
          <w:tcPr>
            <w:tcW w:w="2157" w:type="dxa"/>
            <w:tcBorders>
              <w:top w:val="single" w:sz="4" w:space="0" w:color="auto"/>
              <w:left w:val="single" w:sz="4" w:space="0" w:color="auto"/>
              <w:bottom w:val="single" w:sz="4" w:space="0" w:color="auto"/>
              <w:right w:val="single" w:sz="4" w:space="0" w:color="auto"/>
            </w:tcBorders>
            <w:hideMark/>
          </w:tcPr>
          <w:p w14:paraId="72D1BABE" w14:textId="77777777" w:rsidR="000F6C2E" w:rsidRPr="00EB04F1" w:rsidRDefault="000F6C2E" w:rsidP="0092524A">
            <w:pPr>
              <w:widowControl/>
              <w:spacing w:before="120"/>
              <w:jc w:val="both"/>
              <w:rPr>
                <w:b/>
                <w:i/>
                <w:sz w:val="22"/>
                <w:szCs w:val="22"/>
              </w:rPr>
            </w:pPr>
            <w:r w:rsidRPr="00EB04F1">
              <w:rPr>
                <w:b/>
                <w:i/>
                <w:sz w:val="22"/>
              </w:rPr>
              <w:t>Izņēmumi</w:t>
            </w:r>
          </w:p>
        </w:tc>
        <w:tc>
          <w:tcPr>
            <w:tcW w:w="1667" w:type="dxa"/>
            <w:tcBorders>
              <w:top w:val="single" w:sz="4" w:space="0" w:color="auto"/>
              <w:left w:val="single" w:sz="4" w:space="0" w:color="auto"/>
              <w:bottom w:val="single" w:sz="4" w:space="0" w:color="auto"/>
              <w:right w:val="single" w:sz="4" w:space="0" w:color="auto"/>
            </w:tcBorders>
          </w:tcPr>
          <w:p w14:paraId="72F61124" w14:textId="77777777" w:rsidR="000F6C2E" w:rsidRPr="00EB04F1" w:rsidRDefault="000F6C2E" w:rsidP="0092524A">
            <w:pPr>
              <w:widowControl/>
              <w:spacing w:before="120"/>
              <w:jc w:val="both"/>
              <w:rPr>
                <w:b/>
                <w:bCs/>
                <w:i/>
                <w:iCs/>
                <w:sz w:val="22"/>
                <w:szCs w:val="22"/>
                <w:lang w:eastAsia="en-US"/>
              </w:rPr>
            </w:pPr>
          </w:p>
        </w:tc>
      </w:tr>
      <w:tr w:rsidR="000F6C2E" w:rsidRPr="00EB04F1" w14:paraId="04FC1F4F"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49539C97" w14:textId="77777777" w:rsidR="000F6C2E" w:rsidRPr="00EB04F1" w:rsidRDefault="000F6C2E" w:rsidP="0092524A">
            <w:pPr>
              <w:widowControl/>
              <w:spacing w:before="120"/>
              <w:jc w:val="both"/>
              <w:rPr>
                <w:b/>
                <w:i/>
                <w:sz w:val="22"/>
                <w:szCs w:val="22"/>
              </w:rPr>
            </w:pPr>
            <w:r w:rsidRPr="00EB04F1">
              <w:rPr>
                <w:b/>
                <w:i/>
                <w:sz w:val="22"/>
              </w:rPr>
              <w:t>Barības vielu aprite</w:t>
            </w:r>
          </w:p>
        </w:tc>
        <w:tc>
          <w:tcPr>
            <w:tcW w:w="2621" w:type="dxa"/>
            <w:tcBorders>
              <w:top w:val="single" w:sz="4" w:space="0" w:color="auto"/>
              <w:left w:val="single" w:sz="4" w:space="0" w:color="auto"/>
              <w:bottom w:val="single" w:sz="4" w:space="0" w:color="auto"/>
              <w:right w:val="single" w:sz="4" w:space="0" w:color="auto"/>
            </w:tcBorders>
            <w:hideMark/>
          </w:tcPr>
          <w:p w14:paraId="27AB3768" w14:textId="77777777" w:rsidR="000F6C2E" w:rsidRPr="00EB04F1" w:rsidRDefault="000F6C2E" w:rsidP="0092524A">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 xml:space="preserve">slāpekļa mineralizācija, </w:t>
            </w:r>
          </w:p>
          <w:p w14:paraId="6E794F7E" w14:textId="77777777" w:rsidR="000F6C2E" w:rsidRPr="00EB04F1" w:rsidRDefault="000F6C2E" w:rsidP="0092524A">
            <w:pPr>
              <w:widowControl/>
              <w:spacing w:before="120"/>
              <w:ind w:left="347" w:hanging="360"/>
              <w:contextualSpacing/>
              <w:jc w:val="both"/>
              <w:rPr>
                <w:b/>
                <w:i/>
              </w:rPr>
            </w:pPr>
            <w:r w:rsidRPr="00EB04F1">
              <w:rPr>
                <w:rFonts w:ascii="Symbol" w:hAnsi="Symbol"/>
              </w:rPr>
              <w:sym w:font="Symbol" w:char="F0B7"/>
            </w:r>
            <w:r w:rsidRPr="00EB04F1">
              <w:rPr>
                <w:rFonts w:ascii="Symbol" w:hAnsi="Symbol"/>
              </w:rPr>
              <w:tab/>
            </w:r>
            <w:r w:rsidRPr="00EB04F1">
              <w:rPr>
                <w:b/>
                <w:i/>
                <w:sz w:val="22"/>
              </w:rPr>
              <w:t>slāpekļa pieejamība</w:t>
            </w:r>
          </w:p>
        </w:tc>
        <w:tc>
          <w:tcPr>
            <w:tcW w:w="2157" w:type="dxa"/>
            <w:tcBorders>
              <w:top w:val="single" w:sz="4" w:space="0" w:color="auto"/>
              <w:left w:val="single" w:sz="4" w:space="0" w:color="auto"/>
              <w:bottom w:val="single" w:sz="4" w:space="0" w:color="auto"/>
              <w:right w:val="single" w:sz="4" w:space="0" w:color="auto"/>
            </w:tcBorders>
            <w:hideMark/>
          </w:tcPr>
          <w:p w14:paraId="3EEB9640" w14:textId="77777777" w:rsidR="000F6C2E" w:rsidRPr="00EB04F1" w:rsidRDefault="000F6C2E" w:rsidP="0092524A">
            <w:pPr>
              <w:widowControl/>
              <w:spacing w:before="120"/>
              <w:jc w:val="both"/>
              <w:rPr>
                <w:b/>
                <w:i/>
                <w:sz w:val="22"/>
                <w:szCs w:val="22"/>
              </w:rPr>
            </w:pPr>
            <w:r w:rsidRPr="00EB04F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6EEFEA4B" w14:textId="77777777" w:rsidR="000F6C2E" w:rsidRPr="00EB04F1" w:rsidRDefault="000F6C2E" w:rsidP="0092524A">
            <w:pPr>
              <w:widowControl/>
              <w:spacing w:before="120"/>
              <w:jc w:val="both"/>
              <w:rPr>
                <w:b/>
                <w:i/>
                <w:sz w:val="22"/>
                <w:szCs w:val="22"/>
              </w:rPr>
            </w:pPr>
            <w:r w:rsidRPr="00EB04F1">
              <w:rPr>
                <w:b/>
                <w:i/>
                <w:sz w:val="22"/>
              </w:rPr>
              <w:t>Jāveic attiecībā uz augsnes virskārtu (0–10 cm, 10–30 cm (fakultatīvi))</w:t>
            </w:r>
          </w:p>
        </w:tc>
      </w:tr>
      <w:tr w:rsidR="000F6C2E" w:rsidRPr="00EB04F1" w14:paraId="4688B658"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5749C814" w14:textId="77777777" w:rsidR="000F6C2E" w:rsidRPr="00EB04F1" w:rsidRDefault="000F6C2E" w:rsidP="0092524A">
            <w:pPr>
              <w:widowControl/>
              <w:spacing w:before="120"/>
              <w:jc w:val="both"/>
              <w:rPr>
                <w:b/>
                <w:i/>
                <w:sz w:val="22"/>
                <w:szCs w:val="22"/>
              </w:rPr>
            </w:pPr>
            <w:r w:rsidRPr="00EB04F1">
              <w:rPr>
                <w:b/>
                <w:i/>
                <w:sz w:val="22"/>
              </w:rPr>
              <w:t>Augsnes agregāts</w:t>
            </w:r>
          </w:p>
        </w:tc>
        <w:tc>
          <w:tcPr>
            <w:tcW w:w="2621" w:type="dxa"/>
            <w:tcBorders>
              <w:top w:val="single" w:sz="4" w:space="0" w:color="auto"/>
              <w:left w:val="single" w:sz="4" w:space="0" w:color="auto"/>
              <w:bottom w:val="single" w:sz="4" w:space="0" w:color="auto"/>
              <w:right w:val="single" w:sz="4" w:space="0" w:color="auto"/>
            </w:tcBorders>
            <w:hideMark/>
          </w:tcPr>
          <w:p w14:paraId="448D91D0" w14:textId="77777777" w:rsidR="000F6C2E" w:rsidRPr="00EB04F1" w:rsidRDefault="000F6C2E" w:rsidP="0092524A">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Ūdenī noturīga rupjo frakciju matērija</w:t>
            </w:r>
          </w:p>
        </w:tc>
        <w:tc>
          <w:tcPr>
            <w:tcW w:w="2157" w:type="dxa"/>
            <w:tcBorders>
              <w:top w:val="single" w:sz="4" w:space="0" w:color="auto"/>
              <w:left w:val="single" w:sz="4" w:space="0" w:color="auto"/>
              <w:bottom w:val="single" w:sz="4" w:space="0" w:color="auto"/>
              <w:right w:val="single" w:sz="4" w:space="0" w:color="auto"/>
            </w:tcBorders>
            <w:hideMark/>
          </w:tcPr>
          <w:p w14:paraId="061FBDA5" w14:textId="77777777" w:rsidR="000F6C2E" w:rsidRPr="00EB04F1" w:rsidRDefault="000F6C2E" w:rsidP="0092524A">
            <w:pPr>
              <w:widowControl/>
              <w:spacing w:before="120"/>
              <w:jc w:val="both"/>
              <w:rPr>
                <w:b/>
                <w:i/>
                <w:sz w:val="22"/>
                <w:szCs w:val="22"/>
              </w:rPr>
            </w:pPr>
            <w:r w:rsidRPr="00EB04F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0ABB17B2" w14:textId="77777777" w:rsidR="000F6C2E" w:rsidRPr="00EB04F1" w:rsidRDefault="000F6C2E" w:rsidP="0092524A">
            <w:pPr>
              <w:widowControl/>
              <w:spacing w:before="120"/>
              <w:jc w:val="both"/>
              <w:rPr>
                <w:b/>
                <w:i/>
                <w:sz w:val="22"/>
                <w:szCs w:val="22"/>
              </w:rPr>
            </w:pPr>
            <w:r w:rsidRPr="00EB04F1">
              <w:rPr>
                <w:b/>
                <w:i/>
                <w:sz w:val="22"/>
              </w:rPr>
              <w:t>Jāveic attiecībā uz augsnes virskārtu (0–10 cm, 10–30 cm (fakultatīvi))</w:t>
            </w:r>
          </w:p>
        </w:tc>
      </w:tr>
      <w:tr w:rsidR="000F6C2E" w:rsidRPr="00EB04F1" w14:paraId="4097F6D4"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05C82E08" w14:textId="77777777" w:rsidR="000F6C2E" w:rsidRPr="00EB04F1" w:rsidRDefault="000F6C2E" w:rsidP="0092524A">
            <w:pPr>
              <w:widowControl/>
              <w:spacing w:before="120"/>
              <w:jc w:val="both"/>
              <w:rPr>
                <w:b/>
                <w:i/>
                <w:sz w:val="22"/>
                <w:szCs w:val="22"/>
              </w:rPr>
            </w:pPr>
            <w:r w:rsidRPr="00EB04F1">
              <w:rPr>
                <w:b/>
                <w:i/>
                <w:sz w:val="22"/>
              </w:rPr>
              <w:lastRenderedPageBreak/>
              <w:t>Fermentatīvā aktivitāte</w:t>
            </w:r>
          </w:p>
        </w:tc>
        <w:tc>
          <w:tcPr>
            <w:tcW w:w="2621" w:type="dxa"/>
            <w:tcBorders>
              <w:top w:val="single" w:sz="4" w:space="0" w:color="auto"/>
              <w:left w:val="single" w:sz="4" w:space="0" w:color="auto"/>
              <w:bottom w:val="single" w:sz="4" w:space="0" w:color="auto"/>
              <w:right w:val="single" w:sz="4" w:space="0" w:color="auto"/>
            </w:tcBorders>
            <w:hideMark/>
          </w:tcPr>
          <w:p w14:paraId="6B9A9722" w14:textId="77777777" w:rsidR="000F6C2E" w:rsidRPr="00EB04F1" w:rsidRDefault="000F6C2E" w:rsidP="0092524A">
            <w:pPr>
              <w:widowControl/>
              <w:spacing w:before="120"/>
              <w:ind w:left="363"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Fermentatīvās aktivitātes skābās fosfatāzes potenciāls (EC 3.13.2)</w:t>
            </w:r>
          </w:p>
          <w:p w14:paraId="24A4F654" w14:textId="77777777" w:rsidR="000F6C2E" w:rsidRPr="00EB04F1" w:rsidRDefault="000F6C2E" w:rsidP="0092524A">
            <w:pPr>
              <w:widowControl/>
              <w:spacing w:before="120"/>
              <w:ind w:left="363"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Fermentatīvās aktivitātes N-acetilglukozamīndāzes potenciāls (EC 3.2.1.50)</w:t>
            </w:r>
          </w:p>
          <w:p w14:paraId="678ABB78" w14:textId="77777777" w:rsidR="000F6C2E" w:rsidRPr="00EB04F1" w:rsidRDefault="000F6C2E" w:rsidP="0092524A">
            <w:pPr>
              <w:widowControl/>
              <w:spacing w:before="120"/>
              <w:ind w:left="363"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Fermentatīvās aktivitātes ksilosidāzes potenciāls (EC 3.2.1.37)</w:t>
            </w:r>
          </w:p>
          <w:p w14:paraId="5046EB52" w14:textId="77777777" w:rsidR="000F6C2E" w:rsidRPr="00EB04F1" w:rsidRDefault="000F6C2E" w:rsidP="0092524A">
            <w:pPr>
              <w:widowControl/>
              <w:spacing w:before="120"/>
              <w:ind w:left="363"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Fermentatīvās aktivitātes celulozes 1,4-β-celobiozidāzes potenciāls (EC 3.2.1.91)</w:t>
            </w:r>
          </w:p>
          <w:p w14:paraId="4BBE84E0" w14:textId="77777777" w:rsidR="000F6C2E" w:rsidRPr="00EB04F1" w:rsidRDefault="000F6C2E" w:rsidP="0092524A">
            <w:pPr>
              <w:widowControl/>
              <w:spacing w:before="120"/>
              <w:ind w:left="363"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Fermentatīvās aktivitātes β-glikozidāzes potenciāls (EC 3.2.1.21)</w:t>
            </w:r>
          </w:p>
        </w:tc>
        <w:tc>
          <w:tcPr>
            <w:tcW w:w="2157" w:type="dxa"/>
            <w:tcBorders>
              <w:top w:val="single" w:sz="4" w:space="0" w:color="auto"/>
              <w:left w:val="single" w:sz="4" w:space="0" w:color="auto"/>
              <w:bottom w:val="single" w:sz="4" w:space="0" w:color="auto"/>
              <w:right w:val="single" w:sz="4" w:space="0" w:color="auto"/>
            </w:tcBorders>
            <w:hideMark/>
          </w:tcPr>
          <w:p w14:paraId="66FC6847" w14:textId="77777777" w:rsidR="000F6C2E" w:rsidRPr="00EB04F1" w:rsidRDefault="000F6C2E" w:rsidP="0092524A">
            <w:pPr>
              <w:widowControl/>
              <w:spacing w:before="120"/>
              <w:jc w:val="both"/>
              <w:rPr>
                <w:b/>
                <w:i/>
                <w:sz w:val="22"/>
                <w:szCs w:val="22"/>
              </w:rPr>
            </w:pPr>
            <w:r w:rsidRPr="00EB04F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7C396300" w14:textId="77777777" w:rsidR="000F6C2E" w:rsidRPr="00EB04F1" w:rsidRDefault="000F6C2E" w:rsidP="0092524A">
            <w:pPr>
              <w:widowControl/>
              <w:spacing w:before="120"/>
              <w:jc w:val="both"/>
              <w:rPr>
                <w:b/>
                <w:i/>
                <w:sz w:val="22"/>
                <w:szCs w:val="22"/>
              </w:rPr>
            </w:pPr>
            <w:r w:rsidRPr="00EB04F1">
              <w:rPr>
                <w:b/>
                <w:i/>
                <w:sz w:val="22"/>
              </w:rPr>
              <w:t>Jāveic attiecībā uz augsnes virskārtu (0–10 cm, 10–30 cm (fakultatīvi))</w:t>
            </w:r>
          </w:p>
        </w:tc>
      </w:tr>
      <w:tr w:rsidR="000F6C2E" w:rsidRPr="00EB04F1" w14:paraId="2030605A"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20E4F85C" w14:textId="77777777" w:rsidR="000F6C2E" w:rsidRPr="00EB04F1" w:rsidRDefault="000F6C2E" w:rsidP="0092524A">
            <w:pPr>
              <w:widowControl/>
              <w:spacing w:before="120"/>
              <w:jc w:val="both"/>
              <w:rPr>
                <w:b/>
                <w:i/>
                <w:sz w:val="22"/>
                <w:szCs w:val="22"/>
              </w:rPr>
            </w:pPr>
            <w:r w:rsidRPr="00EB04F1">
              <w:rPr>
                <w:b/>
                <w:i/>
                <w:sz w:val="22"/>
              </w:rPr>
              <w:t>Augsnes biomasa</w:t>
            </w:r>
          </w:p>
        </w:tc>
        <w:tc>
          <w:tcPr>
            <w:tcW w:w="2621" w:type="dxa"/>
            <w:tcBorders>
              <w:top w:val="single" w:sz="4" w:space="0" w:color="auto"/>
              <w:left w:val="single" w:sz="4" w:space="0" w:color="auto"/>
              <w:bottom w:val="single" w:sz="4" w:space="0" w:color="auto"/>
              <w:right w:val="single" w:sz="4" w:space="0" w:color="auto"/>
            </w:tcBorders>
            <w:hideMark/>
          </w:tcPr>
          <w:p w14:paraId="0B18B6FE" w14:textId="77777777" w:rsidR="000F6C2E" w:rsidRPr="00EB04F1" w:rsidRDefault="000F6C2E" w:rsidP="0092524A">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Mikroorganismu biomasa, ko norāda taukskābju marķieri (biomasa mikroorganismu funkcionālajā grupā; ng FAME g</w:t>
            </w:r>
            <w:r w:rsidRPr="00EB04F1">
              <w:rPr>
                <w:b/>
                <w:i/>
                <w:sz w:val="22"/>
                <w:vertAlign w:val="superscript"/>
              </w:rPr>
              <w:t>-1</w:t>
            </w:r>
            <w:r w:rsidRPr="00EB04F1">
              <w:rPr>
                <w:b/>
                <w:i/>
                <w:sz w:val="22"/>
              </w:rPr>
              <w:t xml:space="preserve"> augsnes saussvara)</w:t>
            </w:r>
          </w:p>
        </w:tc>
        <w:tc>
          <w:tcPr>
            <w:tcW w:w="2157" w:type="dxa"/>
            <w:tcBorders>
              <w:top w:val="single" w:sz="4" w:space="0" w:color="auto"/>
              <w:left w:val="single" w:sz="4" w:space="0" w:color="auto"/>
              <w:bottom w:val="single" w:sz="4" w:space="0" w:color="auto"/>
              <w:right w:val="single" w:sz="4" w:space="0" w:color="auto"/>
            </w:tcBorders>
            <w:hideMark/>
          </w:tcPr>
          <w:p w14:paraId="4E30F262" w14:textId="77777777" w:rsidR="000F6C2E" w:rsidRPr="00EB04F1" w:rsidRDefault="000F6C2E" w:rsidP="0092524A">
            <w:pPr>
              <w:widowControl/>
              <w:spacing w:before="120"/>
              <w:jc w:val="both"/>
              <w:rPr>
                <w:b/>
                <w:i/>
                <w:sz w:val="22"/>
                <w:szCs w:val="22"/>
              </w:rPr>
            </w:pPr>
            <w:r w:rsidRPr="00EB04F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46CF77B6" w14:textId="77777777" w:rsidR="000F6C2E" w:rsidRPr="00EB04F1" w:rsidRDefault="000F6C2E" w:rsidP="0092524A">
            <w:pPr>
              <w:widowControl/>
              <w:spacing w:before="120"/>
              <w:jc w:val="both"/>
              <w:rPr>
                <w:b/>
                <w:i/>
                <w:sz w:val="22"/>
                <w:szCs w:val="22"/>
              </w:rPr>
            </w:pPr>
            <w:r w:rsidRPr="00EB04F1">
              <w:rPr>
                <w:b/>
                <w:i/>
                <w:sz w:val="22"/>
              </w:rPr>
              <w:t>Jāveic attiecībā uz augsnes virskārtu (0–10 cm, 10–30 cm (fakultatīvi))</w:t>
            </w:r>
          </w:p>
        </w:tc>
      </w:tr>
      <w:tr w:rsidR="000F6C2E" w:rsidRPr="00EB04F1" w14:paraId="788BA05D" w14:textId="77777777" w:rsidTr="0092524A">
        <w:tc>
          <w:tcPr>
            <w:tcW w:w="9493" w:type="dxa"/>
            <w:gridSpan w:val="4"/>
            <w:tcBorders>
              <w:top w:val="single" w:sz="4" w:space="0" w:color="auto"/>
              <w:left w:val="single" w:sz="4" w:space="0" w:color="auto"/>
              <w:bottom w:val="single" w:sz="4" w:space="0" w:color="auto"/>
              <w:right w:val="single" w:sz="4" w:space="0" w:color="auto"/>
            </w:tcBorders>
            <w:hideMark/>
          </w:tcPr>
          <w:p w14:paraId="7AED315C" w14:textId="77777777" w:rsidR="000F6C2E" w:rsidRPr="00EB04F1" w:rsidRDefault="000F6C2E" w:rsidP="0092524A">
            <w:pPr>
              <w:widowControl/>
              <w:spacing w:before="120"/>
              <w:jc w:val="both"/>
              <w:rPr>
                <w:b/>
                <w:bCs/>
                <w:i/>
                <w:sz w:val="22"/>
                <w:szCs w:val="22"/>
              </w:rPr>
            </w:pPr>
            <w:r w:rsidRPr="00EB04F1">
              <w:rPr>
                <w:b/>
                <w:i/>
                <w:sz w:val="22"/>
              </w:rPr>
              <w:t>Augsnes biodaudzveidība</w:t>
            </w:r>
          </w:p>
        </w:tc>
      </w:tr>
      <w:tr w:rsidR="000F6C2E" w:rsidRPr="00EB04F1" w14:paraId="47CF089D"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1F93F910" w14:textId="77777777" w:rsidR="000F6C2E" w:rsidRPr="00EB04F1" w:rsidRDefault="000F6C2E" w:rsidP="0092524A">
            <w:pPr>
              <w:widowControl/>
              <w:spacing w:before="120"/>
              <w:jc w:val="both"/>
              <w:rPr>
                <w:b/>
                <w:i/>
                <w:sz w:val="22"/>
                <w:szCs w:val="22"/>
              </w:rPr>
            </w:pPr>
            <w:r w:rsidRPr="00EB04F1">
              <w:rPr>
                <w:b/>
                <w:i/>
                <w:sz w:val="22"/>
              </w:rPr>
              <w:t>Augsnes biodaudzveidības iezīmes</w:t>
            </w:r>
          </w:p>
        </w:tc>
        <w:tc>
          <w:tcPr>
            <w:tcW w:w="2621" w:type="dxa"/>
            <w:tcBorders>
              <w:top w:val="single" w:sz="4" w:space="0" w:color="auto"/>
              <w:left w:val="single" w:sz="4" w:space="0" w:color="auto"/>
              <w:bottom w:val="single" w:sz="4" w:space="0" w:color="auto"/>
              <w:right w:val="single" w:sz="4" w:space="0" w:color="auto"/>
            </w:tcBorders>
            <w:hideMark/>
          </w:tcPr>
          <w:p w14:paraId="0AC6963C" w14:textId="77777777" w:rsidR="000F6C2E" w:rsidRPr="00EB04F1" w:rsidRDefault="000F6C2E" w:rsidP="0092524A">
            <w:pPr>
              <w:widowControl/>
              <w:spacing w:before="120"/>
              <w:jc w:val="both"/>
              <w:rPr>
                <w:b/>
                <w:i/>
                <w:sz w:val="22"/>
                <w:szCs w:val="22"/>
              </w:rPr>
            </w:pPr>
            <w:r w:rsidRPr="00EB04F1">
              <w:rPr>
                <w:b/>
                <w:i/>
                <w:sz w:val="22"/>
              </w:rPr>
              <w:t>Augsnes deskriptors</w:t>
            </w:r>
          </w:p>
        </w:tc>
        <w:tc>
          <w:tcPr>
            <w:tcW w:w="2157" w:type="dxa"/>
            <w:tcBorders>
              <w:top w:val="single" w:sz="4" w:space="0" w:color="auto"/>
              <w:left w:val="single" w:sz="4" w:space="0" w:color="auto"/>
              <w:bottom w:val="single" w:sz="4" w:space="0" w:color="auto"/>
              <w:right w:val="single" w:sz="4" w:space="0" w:color="auto"/>
            </w:tcBorders>
            <w:hideMark/>
          </w:tcPr>
          <w:p w14:paraId="7F7E30D8" w14:textId="77777777" w:rsidR="000F6C2E" w:rsidRPr="00EB04F1" w:rsidRDefault="000F6C2E" w:rsidP="0092524A">
            <w:pPr>
              <w:widowControl/>
              <w:spacing w:before="120"/>
              <w:jc w:val="both"/>
              <w:rPr>
                <w:b/>
                <w:i/>
                <w:sz w:val="22"/>
                <w:szCs w:val="22"/>
              </w:rPr>
            </w:pPr>
            <w:r w:rsidRPr="00EB04F1">
              <w:rPr>
                <w:b/>
                <w:i/>
                <w:sz w:val="22"/>
              </w:rPr>
              <w:t>Izņēmumi</w:t>
            </w:r>
          </w:p>
        </w:tc>
        <w:tc>
          <w:tcPr>
            <w:tcW w:w="1667" w:type="dxa"/>
            <w:tcBorders>
              <w:top w:val="single" w:sz="4" w:space="0" w:color="auto"/>
              <w:left w:val="single" w:sz="4" w:space="0" w:color="auto"/>
              <w:bottom w:val="single" w:sz="4" w:space="0" w:color="auto"/>
              <w:right w:val="single" w:sz="4" w:space="0" w:color="auto"/>
            </w:tcBorders>
            <w:hideMark/>
          </w:tcPr>
          <w:p w14:paraId="2724BF63" w14:textId="77777777" w:rsidR="000F6C2E" w:rsidRPr="00EB04F1" w:rsidRDefault="000F6C2E" w:rsidP="0092524A">
            <w:pPr>
              <w:widowControl/>
              <w:spacing w:before="120"/>
              <w:jc w:val="both"/>
              <w:rPr>
                <w:b/>
                <w:bCs/>
                <w:i/>
                <w:iCs/>
                <w:sz w:val="22"/>
                <w:szCs w:val="22"/>
              </w:rPr>
            </w:pPr>
            <w:r w:rsidRPr="00EB04F1">
              <w:rPr>
                <w:b/>
                <w:i/>
                <w:sz w:val="22"/>
              </w:rPr>
              <w:t>Piezīmes</w:t>
            </w:r>
          </w:p>
        </w:tc>
      </w:tr>
      <w:tr w:rsidR="000F6C2E" w:rsidRPr="00EB04F1" w14:paraId="7B9F798E"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6C8A4C18" w14:textId="77777777" w:rsidR="000F6C2E" w:rsidRPr="00EB04F1" w:rsidRDefault="000F6C2E" w:rsidP="0092524A">
            <w:pPr>
              <w:widowControl/>
              <w:spacing w:before="120"/>
              <w:jc w:val="both"/>
              <w:rPr>
                <w:b/>
                <w:i/>
                <w:sz w:val="22"/>
                <w:szCs w:val="22"/>
              </w:rPr>
            </w:pPr>
            <w:r w:rsidRPr="00EB04F1">
              <w:rPr>
                <w:b/>
                <w:i/>
                <w:sz w:val="22"/>
              </w:rPr>
              <w:t>Taksonomiskā daudzveidība</w:t>
            </w:r>
          </w:p>
        </w:tc>
        <w:tc>
          <w:tcPr>
            <w:tcW w:w="2621" w:type="dxa"/>
            <w:tcBorders>
              <w:top w:val="single" w:sz="4" w:space="0" w:color="auto"/>
              <w:left w:val="single" w:sz="4" w:space="0" w:color="auto"/>
              <w:bottom w:val="single" w:sz="4" w:space="0" w:color="auto"/>
              <w:right w:val="single" w:sz="4" w:space="0" w:color="auto"/>
            </w:tcBorders>
            <w:hideMark/>
          </w:tcPr>
          <w:p w14:paraId="1096257D" w14:textId="77777777" w:rsidR="000F6C2E" w:rsidRPr="00EB04F1" w:rsidRDefault="000F6C2E" w:rsidP="0092524A">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dzīvnieku daudzveidība (bagātīgums) grupā, pamatojoties uz morfoloģiskām metodēm, un tas var ietvert arī attēlu identifikāciju (nematodes (nematodēm klasificēšana būtu jāveic vismaz saimes līmenī) un sliekas (sliekām klasificēšana būtu jāveic līdz sugas līmenim))</w:t>
            </w:r>
          </w:p>
          <w:p w14:paraId="6B28EE1F" w14:textId="77777777" w:rsidR="000F6C2E" w:rsidRPr="00EB04F1" w:rsidRDefault="000F6C2E" w:rsidP="0092524A">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 xml:space="preserve">Metagenomā bāzēts augsnes biodaudzveidības taksonomiskais </w:t>
            </w:r>
            <w:r w:rsidRPr="00EB04F1">
              <w:rPr>
                <w:b/>
                <w:i/>
                <w:sz w:val="22"/>
              </w:rPr>
              <w:lastRenderedPageBreak/>
              <w:t>skaitliskums vienā taksonomiskajā grupā</w:t>
            </w:r>
          </w:p>
        </w:tc>
        <w:tc>
          <w:tcPr>
            <w:tcW w:w="2157" w:type="dxa"/>
            <w:tcBorders>
              <w:top w:val="single" w:sz="4" w:space="0" w:color="auto"/>
              <w:left w:val="single" w:sz="4" w:space="0" w:color="auto"/>
              <w:bottom w:val="single" w:sz="4" w:space="0" w:color="auto"/>
              <w:right w:val="single" w:sz="4" w:space="0" w:color="auto"/>
            </w:tcBorders>
            <w:hideMark/>
          </w:tcPr>
          <w:p w14:paraId="1C440091" w14:textId="77777777" w:rsidR="000F6C2E" w:rsidRPr="00EB04F1" w:rsidRDefault="000F6C2E" w:rsidP="0092524A">
            <w:pPr>
              <w:widowControl/>
              <w:spacing w:before="120"/>
              <w:jc w:val="both"/>
              <w:rPr>
                <w:b/>
                <w:i/>
                <w:sz w:val="22"/>
                <w:szCs w:val="22"/>
              </w:rPr>
            </w:pPr>
            <w:r w:rsidRPr="00EB04F1">
              <w:rPr>
                <w:b/>
                <w:i/>
                <w:sz w:val="22"/>
              </w:rPr>
              <w:lastRenderedPageBreak/>
              <w:t>-</w:t>
            </w:r>
          </w:p>
        </w:tc>
        <w:tc>
          <w:tcPr>
            <w:tcW w:w="1667" w:type="dxa"/>
            <w:tcBorders>
              <w:top w:val="single" w:sz="4" w:space="0" w:color="auto"/>
              <w:left w:val="single" w:sz="4" w:space="0" w:color="auto"/>
              <w:bottom w:val="single" w:sz="4" w:space="0" w:color="auto"/>
              <w:right w:val="single" w:sz="4" w:space="0" w:color="auto"/>
            </w:tcBorders>
            <w:hideMark/>
          </w:tcPr>
          <w:p w14:paraId="77D68454" w14:textId="77777777" w:rsidR="000F6C2E" w:rsidRPr="00EB04F1" w:rsidRDefault="000F6C2E" w:rsidP="0092524A">
            <w:pPr>
              <w:widowControl/>
              <w:spacing w:before="120"/>
              <w:jc w:val="both"/>
              <w:rPr>
                <w:b/>
                <w:i/>
                <w:sz w:val="22"/>
                <w:szCs w:val="22"/>
              </w:rPr>
            </w:pPr>
            <w:r w:rsidRPr="00EB04F1">
              <w:rPr>
                <w:b/>
                <w:i/>
                <w:sz w:val="22"/>
              </w:rPr>
              <w:t>Jāveic attiecībā uz augsnes virskārtu (0–10 cm, 10–30 cm (fakultatīvi))</w:t>
            </w:r>
          </w:p>
        </w:tc>
      </w:tr>
      <w:tr w:rsidR="000F6C2E" w:rsidRPr="00EB04F1" w14:paraId="4812A6B7"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30074448" w14:textId="77777777" w:rsidR="000F6C2E" w:rsidRPr="00EB04F1" w:rsidRDefault="000F6C2E" w:rsidP="0092524A">
            <w:pPr>
              <w:widowControl/>
              <w:spacing w:before="120"/>
              <w:jc w:val="both"/>
              <w:rPr>
                <w:b/>
                <w:i/>
                <w:sz w:val="22"/>
                <w:szCs w:val="22"/>
              </w:rPr>
            </w:pPr>
            <w:r w:rsidRPr="00EB04F1">
              <w:rPr>
                <w:b/>
                <w:i/>
                <w:sz w:val="22"/>
              </w:rPr>
              <w:t>Populācijas skaitliskums</w:t>
            </w:r>
          </w:p>
        </w:tc>
        <w:tc>
          <w:tcPr>
            <w:tcW w:w="2621" w:type="dxa"/>
            <w:tcBorders>
              <w:top w:val="single" w:sz="4" w:space="0" w:color="auto"/>
              <w:left w:val="single" w:sz="4" w:space="0" w:color="auto"/>
              <w:bottom w:val="single" w:sz="4" w:space="0" w:color="auto"/>
              <w:right w:val="single" w:sz="4" w:space="0" w:color="auto"/>
            </w:tcBorders>
            <w:hideMark/>
          </w:tcPr>
          <w:p w14:paraId="21D35633" w14:textId="77777777" w:rsidR="000F6C2E" w:rsidRPr="00EB04F1" w:rsidRDefault="000F6C2E" w:rsidP="0092524A">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Sēņu kopējais skaitliskums (izmantojot iekšējās transkribētās starplikas reģionu (ITS))</w:t>
            </w:r>
          </w:p>
        </w:tc>
        <w:tc>
          <w:tcPr>
            <w:tcW w:w="2157" w:type="dxa"/>
            <w:tcBorders>
              <w:top w:val="single" w:sz="4" w:space="0" w:color="auto"/>
              <w:left w:val="single" w:sz="4" w:space="0" w:color="auto"/>
              <w:bottom w:val="single" w:sz="4" w:space="0" w:color="auto"/>
              <w:right w:val="single" w:sz="4" w:space="0" w:color="auto"/>
            </w:tcBorders>
            <w:hideMark/>
          </w:tcPr>
          <w:p w14:paraId="439EA66A" w14:textId="77777777" w:rsidR="000F6C2E" w:rsidRPr="00EB04F1" w:rsidRDefault="000F6C2E" w:rsidP="0092524A">
            <w:pPr>
              <w:widowControl/>
              <w:spacing w:before="120"/>
              <w:jc w:val="both"/>
              <w:rPr>
                <w:b/>
                <w:i/>
                <w:sz w:val="22"/>
                <w:szCs w:val="22"/>
              </w:rPr>
            </w:pPr>
            <w:r w:rsidRPr="00EB04F1">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3862F9B7" w14:textId="77777777" w:rsidR="000F6C2E" w:rsidRPr="00EB04F1" w:rsidRDefault="000F6C2E" w:rsidP="0092524A">
            <w:pPr>
              <w:widowControl/>
              <w:spacing w:before="120"/>
              <w:jc w:val="both"/>
              <w:rPr>
                <w:b/>
                <w:i/>
                <w:sz w:val="22"/>
                <w:szCs w:val="22"/>
              </w:rPr>
            </w:pPr>
            <w:r w:rsidRPr="00EB04F1">
              <w:rPr>
                <w:b/>
                <w:i/>
                <w:sz w:val="22"/>
              </w:rPr>
              <w:t>Jāveic attiecībā uz augsnes virskārtu (0–10 cm, 10–30 cm (fakultatīvi))</w:t>
            </w:r>
          </w:p>
        </w:tc>
      </w:tr>
      <w:tr w:rsidR="000F6C2E" w:rsidRPr="00EB04F1" w14:paraId="275F6A53" w14:textId="77777777" w:rsidTr="0092524A">
        <w:tc>
          <w:tcPr>
            <w:tcW w:w="9493" w:type="dxa"/>
            <w:gridSpan w:val="4"/>
            <w:tcBorders>
              <w:top w:val="single" w:sz="4" w:space="0" w:color="auto"/>
              <w:left w:val="single" w:sz="4" w:space="0" w:color="auto"/>
              <w:bottom w:val="single" w:sz="4" w:space="0" w:color="auto"/>
              <w:right w:val="single" w:sz="4" w:space="0" w:color="auto"/>
            </w:tcBorders>
            <w:hideMark/>
          </w:tcPr>
          <w:p w14:paraId="0E928E07" w14:textId="77777777" w:rsidR="000F6C2E" w:rsidRPr="00EB04F1" w:rsidRDefault="000F6C2E" w:rsidP="0092524A">
            <w:pPr>
              <w:widowControl/>
              <w:spacing w:before="120"/>
              <w:jc w:val="both"/>
              <w:rPr>
                <w:b/>
                <w:i/>
                <w:sz w:val="22"/>
                <w:szCs w:val="22"/>
              </w:rPr>
            </w:pPr>
            <w:r w:rsidRPr="00EB04F1">
              <w:rPr>
                <w:b/>
                <w:i/>
                <w:sz w:val="22"/>
              </w:rPr>
              <w:t>Augsnes dzīvotne</w:t>
            </w:r>
          </w:p>
        </w:tc>
      </w:tr>
      <w:tr w:rsidR="000F6C2E" w:rsidRPr="00EB04F1" w14:paraId="34711748" w14:textId="77777777" w:rsidTr="00213DF3">
        <w:tc>
          <w:tcPr>
            <w:tcW w:w="3048" w:type="dxa"/>
            <w:tcBorders>
              <w:top w:val="single" w:sz="4" w:space="0" w:color="auto"/>
              <w:left w:val="single" w:sz="4" w:space="0" w:color="auto"/>
              <w:bottom w:val="single" w:sz="4" w:space="0" w:color="auto"/>
              <w:right w:val="single" w:sz="4" w:space="0" w:color="auto"/>
            </w:tcBorders>
            <w:hideMark/>
          </w:tcPr>
          <w:p w14:paraId="127ECC72" w14:textId="77777777" w:rsidR="000F6C2E" w:rsidRPr="00EB04F1" w:rsidRDefault="000F6C2E" w:rsidP="0092524A">
            <w:pPr>
              <w:widowControl/>
              <w:spacing w:before="120"/>
              <w:jc w:val="both"/>
              <w:rPr>
                <w:b/>
                <w:i/>
                <w:sz w:val="22"/>
                <w:szCs w:val="22"/>
              </w:rPr>
            </w:pPr>
            <w:r w:rsidRPr="00EB04F1">
              <w:rPr>
                <w:b/>
                <w:i/>
                <w:sz w:val="22"/>
              </w:rPr>
              <w:t>Augsnes dzīvotnes iezīmes</w:t>
            </w:r>
          </w:p>
        </w:tc>
        <w:tc>
          <w:tcPr>
            <w:tcW w:w="2621" w:type="dxa"/>
            <w:tcBorders>
              <w:top w:val="single" w:sz="4" w:space="0" w:color="auto"/>
              <w:left w:val="single" w:sz="4" w:space="0" w:color="auto"/>
              <w:bottom w:val="single" w:sz="4" w:space="0" w:color="auto"/>
              <w:right w:val="single" w:sz="4" w:space="0" w:color="auto"/>
            </w:tcBorders>
            <w:hideMark/>
          </w:tcPr>
          <w:p w14:paraId="2575E02C" w14:textId="77777777" w:rsidR="000F6C2E" w:rsidRPr="00EB04F1" w:rsidRDefault="000F6C2E" w:rsidP="0092524A">
            <w:pPr>
              <w:widowControl/>
              <w:spacing w:before="120"/>
              <w:jc w:val="both"/>
              <w:rPr>
                <w:b/>
                <w:i/>
                <w:sz w:val="22"/>
                <w:szCs w:val="22"/>
              </w:rPr>
            </w:pPr>
            <w:r w:rsidRPr="00EB04F1">
              <w:rPr>
                <w:b/>
                <w:i/>
                <w:sz w:val="22"/>
              </w:rPr>
              <w:t>Augsnes deskriptors</w:t>
            </w:r>
          </w:p>
        </w:tc>
        <w:tc>
          <w:tcPr>
            <w:tcW w:w="2157" w:type="dxa"/>
            <w:tcBorders>
              <w:top w:val="single" w:sz="4" w:space="0" w:color="auto"/>
              <w:left w:val="single" w:sz="4" w:space="0" w:color="auto"/>
              <w:bottom w:val="single" w:sz="4" w:space="0" w:color="auto"/>
              <w:right w:val="single" w:sz="4" w:space="0" w:color="auto"/>
            </w:tcBorders>
            <w:hideMark/>
          </w:tcPr>
          <w:p w14:paraId="3625B8A6" w14:textId="77777777" w:rsidR="000F6C2E" w:rsidRPr="00EB04F1" w:rsidRDefault="000F6C2E" w:rsidP="0092524A">
            <w:pPr>
              <w:widowControl/>
              <w:spacing w:before="120"/>
              <w:jc w:val="both"/>
              <w:rPr>
                <w:b/>
                <w:i/>
                <w:sz w:val="22"/>
                <w:szCs w:val="22"/>
              </w:rPr>
            </w:pPr>
            <w:r w:rsidRPr="00EB04F1">
              <w:rPr>
                <w:b/>
                <w:i/>
                <w:sz w:val="22"/>
              </w:rPr>
              <w:t>Izņēmumi</w:t>
            </w:r>
          </w:p>
        </w:tc>
        <w:tc>
          <w:tcPr>
            <w:tcW w:w="1667" w:type="dxa"/>
            <w:tcBorders>
              <w:top w:val="single" w:sz="4" w:space="0" w:color="auto"/>
              <w:left w:val="single" w:sz="4" w:space="0" w:color="auto"/>
              <w:bottom w:val="single" w:sz="4" w:space="0" w:color="auto"/>
              <w:right w:val="single" w:sz="4" w:space="0" w:color="auto"/>
            </w:tcBorders>
            <w:hideMark/>
          </w:tcPr>
          <w:p w14:paraId="602988C7" w14:textId="77777777" w:rsidR="000F6C2E" w:rsidRPr="00EB04F1" w:rsidRDefault="000F6C2E" w:rsidP="0092524A">
            <w:pPr>
              <w:widowControl/>
              <w:spacing w:before="120"/>
              <w:jc w:val="both"/>
              <w:rPr>
                <w:b/>
                <w:bCs/>
                <w:i/>
                <w:iCs/>
                <w:sz w:val="22"/>
                <w:szCs w:val="22"/>
              </w:rPr>
            </w:pPr>
            <w:r w:rsidRPr="00EB04F1">
              <w:rPr>
                <w:b/>
                <w:i/>
                <w:sz w:val="22"/>
              </w:rPr>
              <w:t>Piezīmes</w:t>
            </w:r>
          </w:p>
        </w:tc>
      </w:tr>
    </w:tbl>
    <w:p w14:paraId="7196E897" w14:textId="77777777" w:rsidR="000F6C2E" w:rsidRPr="00EB04F1" w:rsidRDefault="000F6C2E" w:rsidP="000F6C2E"/>
    <w:p w14:paraId="3ED85409" w14:textId="7E44E479" w:rsidR="000F6C2E" w:rsidRPr="00EB04F1" w:rsidRDefault="00630E74" w:rsidP="00630E74">
      <w:pPr>
        <w:jc w:val="right"/>
        <w:rPr>
          <w:b/>
        </w:rPr>
      </w:pPr>
      <w:r w:rsidRPr="00EB04F1">
        <w:rPr>
          <w:b/>
        </w:rPr>
        <w:t xml:space="preserve"> [Gr. 199]</w:t>
      </w:r>
    </w:p>
    <w:p w14:paraId="448FA002" w14:textId="54FA44D7" w:rsidR="000F6C2E" w:rsidRPr="00EB04F1" w:rsidRDefault="000F6C2E"/>
    <w:tbl>
      <w:tblPr>
        <w:tblStyle w:val="TableGrid"/>
        <w:tblW w:w="9634" w:type="dxa"/>
        <w:tblLook w:val="04A0" w:firstRow="1" w:lastRow="0" w:firstColumn="1" w:lastColumn="0" w:noHBand="0" w:noVBand="1"/>
      </w:tblPr>
      <w:tblGrid>
        <w:gridCol w:w="3007"/>
        <w:gridCol w:w="428"/>
        <w:gridCol w:w="2287"/>
        <w:gridCol w:w="2122"/>
        <w:gridCol w:w="1790"/>
      </w:tblGrid>
      <w:tr w:rsidR="00630E74" w:rsidRPr="00EB04F1" w14:paraId="3E7F2290" w14:textId="77777777" w:rsidTr="00791203">
        <w:tc>
          <w:tcPr>
            <w:tcW w:w="9634" w:type="dxa"/>
            <w:gridSpan w:val="5"/>
            <w:tcBorders>
              <w:top w:val="single" w:sz="4" w:space="0" w:color="auto"/>
              <w:left w:val="single" w:sz="4" w:space="0" w:color="auto"/>
              <w:bottom w:val="single" w:sz="4" w:space="0" w:color="auto"/>
              <w:right w:val="single" w:sz="4" w:space="0" w:color="auto"/>
            </w:tcBorders>
            <w:hideMark/>
          </w:tcPr>
          <w:p w14:paraId="01FC135A" w14:textId="77777777" w:rsidR="00630E74" w:rsidRPr="00EB04F1" w:rsidRDefault="00630E74" w:rsidP="00630E74">
            <w:pPr>
              <w:spacing w:before="120" w:after="120"/>
              <w:rPr>
                <w:b/>
                <w:i/>
                <w:strike/>
                <w:noProof/>
              </w:rPr>
            </w:pPr>
            <w:r w:rsidRPr="00EB04F1">
              <w:rPr>
                <w:b/>
                <w:i/>
                <w:strike/>
              </w:rPr>
              <w:t>C daļa. Augsnes deskriptori bez kritērijiem</w:t>
            </w:r>
          </w:p>
        </w:tc>
      </w:tr>
      <w:tr w:rsidR="00630E74" w:rsidRPr="00EB04F1" w14:paraId="7AC92693" w14:textId="77777777" w:rsidTr="00791203">
        <w:tc>
          <w:tcPr>
            <w:tcW w:w="3435" w:type="dxa"/>
            <w:gridSpan w:val="2"/>
            <w:tcBorders>
              <w:top w:val="single" w:sz="4" w:space="0" w:color="auto"/>
              <w:left w:val="single" w:sz="4" w:space="0" w:color="auto"/>
              <w:bottom w:val="single" w:sz="4" w:space="0" w:color="auto"/>
              <w:right w:val="single" w:sz="4" w:space="0" w:color="auto"/>
            </w:tcBorders>
            <w:hideMark/>
          </w:tcPr>
          <w:p w14:paraId="2E5DB101" w14:textId="77777777" w:rsidR="00630E74" w:rsidRPr="00EB04F1" w:rsidRDefault="00630E74" w:rsidP="00630E74">
            <w:pPr>
              <w:spacing w:before="120" w:after="120"/>
              <w:rPr>
                <w:b/>
                <w:bCs/>
                <w:i/>
                <w:strike/>
                <w:noProof/>
              </w:rPr>
            </w:pPr>
            <w:r w:rsidRPr="00EB04F1">
              <w:rPr>
                <w:b/>
                <w:i/>
                <w:strike/>
              </w:rPr>
              <w:t>Augsnes degradācijas aspekts</w:t>
            </w:r>
          </w:p>
        </w:tc>
        <w:tc>
          <w:tcPr>
            <w:tcW w:w="6199" w:type="dxa"/>
            <w:gridSpan w:val="3"/>
            <w:tcBorders>
              <w:top w:val="single" w:sz="4" w:space="0" w:color="auto"/>
              <w:left w:val="single" w:sz="4" w:space="0" w:color="auto"/>
              <w:bottom w:val="single" w:sz="4" w:space="0" w:color="auto"/>
              <w:right w:val="single" w:sz="4" w:space="0" w:color="auto"/>
            </w:tcBorders>
            <w:hideMark/>
          </w:tcPr>
          <w:p w14:paraId="5B5C30CE" w14:textId="77777777" w:rsidR="00630E74" w:rsidRPr="00EB04F1" w:rsidRDefault="00630E74" w:rsidP="00630E74">
            <w:pPr>
              <w:spacing w:before="120" w:after="120"/>
              <w:rPr>
                <w:b/>
                <w:bCs/>
                <w:i/>
                <w:strike/>
                <w:noProof/>
              </w:rPr>
            </w:pPr>
            <w:r w:rsidRPr="00EB04F1">
              <w:rPr>
                <w:b/>
                <w:i/>
                <w:strike/>
              </w:rPr>
              <w:t>Augsnes deskriptors</w:t>
            </w:r>
          </w:p>
        </w:tc>
      </w:tr>
      <w:tr w:rsidR="00630E74" w:rsidRPr="00EB04F1" w14:paraId="2A26290B" w14:textId="77777777" w:rsidTr="00791203">
        <w:tc>
          <w:tcPr>
            <w:tcW w:w="3435" w:type="dxa"/>
            <w:gridSpan w:val="2"/>
            <w:tcBorders>
              <w:top w:val="single" w:sz="4" w:space="0" w:color="auto"/>
              <w:left w:val="single" w:sz="4" w:space="0" w:color="auto"/>
              <w:bottom w:val="single" w:sz="4" w:space="0" w:color="auto"/>
              <w:right w:val="single" w:sz="4" w:space="0" w:color="auto"/>
            </w:tcBorders>
            <w:hideMark/>
          </w:tcPr>
          <w:p w14:paraId="11D9CA25" w14:textId="77777777" w:rsidR="00630E74" w:rsidRPr="00EB04F1" w:rsidRDefault="00630E74" w:rsidP="00630E74">
            <w:pPr>
              <w:spacing w:before="120" w:after="120"/>
              <w:rPr>
                <w:iCs/>
                <w:strike/>
                <w:noProof/>
              </w:rPr>
            </w:pPr>
            <w:r w:rsidRPr="00EB04F1">
              <w:rPr>
                <w:strike/>
              </w:rPr>
              <w:t>Pārmērīgs barības vielu saturs augsnē</w:t>
            </w:r>
          </w:p>
        </w:tc>
        <w:tc>
          <w:tcPr>
            <w:tcW w:w="6199" w:type="dxa"/>
            <w:gridSpan w:val="3"/>
            <w:tcBorders>
              <w:top w:val="single" w:sz="4" w:space="0" w:color="auto"/>
              <w:left w:val="single" w:sz="4" w:space="0" w:color="auto"/>
              <w:bottom w:val="single" w:sz="4" w:space="0" w:color="auto"/>
              <w:right w:val="single" w:sz="4" w:space="0" w:color="auto"/>
            </w:tcBorders>
            <w:hideMark/>
          </w:tcPr>
          <w:p w14:paraId="6B2CA0EA" w14:textId="77777777" w:rsidR="00630E74" w:rsidRPr="00EB04F1" w:rsidRDefault="00630E74" w:rsidP="00630E74">
            <w:pPr>
              <w:spacing w:before="120" w:after="120"/>
              <w:rPr>
                <w:strike/>
                <w:noProof/>
              </w:rPr>
            </w:pPr>
            <w:r w:rsidRPr="00EB04F1">
              <w:rPr>
                <w:strike/>
              </w:rPr>
              <w:t>Slāpeklis augsnē (mg g</w:t>
            </w:r>
            <w:r w:rsidRPr="00EB04F1">
              <w:rPr>
                <w:strike/>
                <w:vertAlign w:val="superscript"/>
              </w:rPr>
              <w:t>-1</w:t>
            </w:r>
            <w:r w:rsidRPr="00EB04F1">
              <w:rPr>
                <w:strike/>
              </w:rPr>
              <w:t>)</w:t>
            </w:r>
          </w:p>
        </w:tc>
      </w:tr>
      <w:tr w:rsidR="00630E74" w:rsidRPr="00EB04F1" w14:paraId="0BEF0F57" w14:textId="77777777" w:rsidTr="00791203">
        <w:tc>
          <w:tcPr>
            <w:tcW w:w="3435" w:type="dxa"/>
            <w:gridSpan w:val="2"/>
            <w:tcBorders>
              <w:top w:val="single" w:sz="4" w:space="0" w:color="auto"/>
              <w:left w:val="single" w:sz="4" w:space="0" w:color="auto"/>
              <w:bottom w:val="single" w:sz="4" w:space="0" w:color="auto"/>
              <w:right w:val="single" w:sz="4" w:space="0" w:color="auto"/>
            </w:tcBorders>
            <w:hideMark/>
          </w:tcPr>
          <w:p w14:paraId="1501648A" w14:textId="77777777" w:rsidR="00630E74" w:rsidRPr="00EB04F1" w:rsidRDefault="00630E74" w:rsidP="00630E74">
            <w:pPr>
              <w:spacing w:before="120" w:after="120"/>
              <w:rPr>
                <w:iCs/>
                <w:strike/>
                <w:noProof/>
              </w:rPr>
            </w:pPr>
            <w:r w:rsidRPr="00EB04F1">
              <w:rPr>
                <w:strike/>
              </w:rPr>
              <w:t>Paskābināšanās</w:t>
            </w:r>
          </w:p>
        </w:tc>
        <w:tc>
          <w:tcPr>
            <w:tcW w:w="6199" w:type="dxa"/>
            <w:gridSpan w:val="3"/>
            <w:tcBorders>
              <w:top w:val="single" w:sz="4" w:space="0" w:color="auto"/>
              <w:left w:val="single" w:sz="4" w:space="0" w:color="auto"/>
              <w:bottom w:val="single" w:sz="4" w:space="0" w:color="auto"/>
              <w:right w:val="single" w:sz="4" w:space="0" w:color="auto"/>
            </w:tcBorders>
            <w:hideMark/>
          </w:tcPr>
          <w:p w14:paraId="717AB7EE" w14:textId="77777777" w:rsidR="00630E74" w:rsidRPr="00EB04F1" w:rsidRDefault="00630E74" w:rsidP="00630E74">
            <w:pPr>
              <w:spacing w:before="120" w:after="120"/>
              <w:rPr>
                <w:iCs/>
                <w:strike/>
                <w:noProof/>
              </w:rPr>
            </w:pPr>
            <w:r w:rsidRPr="00EB04F1">
              <w:rPr>
                <w:strike/>
              </w:rPr>
              <w:t>Augsnes skābums (pH)</w:t>
            </w:r>
          </w:p>
        </w:tc>
      </w:tr>
      <w:tr w:rsidR="00630E74" w:rsidRPr="00EB04F1" w14:paraId="01D4D564" w14:textId="77777777" w:rsidTr="00791203">
        <w:tc>
          <w:tcPr>
            <w:tcW w:w="3435" w:type="dxa"/>
            <w:gridSpan w:val="2"/>
            <w:tcBorders>
              <w:top w:val="single" w:sz="4" w:space="0" w:color="auto"/>
              <w:left w:val="single" w:sz="4" w:space="0" w:color="auto"/>
              <w:bottom w:val="single" w:sz="4" w:space="0" w:color="auto"/>
              <w:right w:val="single" w:sz="4" w:space="0" w:color="auto"/>
            </w:tcBorders>
            <w:hideMark/>
          </w:tcPr>
          <w:p w14:paraId="6D2C230B" w14:textId="77777777" w:rsidR="00630E74" w:rsidRPr="00EB04F1" w:rsidRDefault="00630E74" w:rsidP="00630E74">
            <w:pPr>
              <w:spacing w:before="120" w:after="120"/>
              <w:rPr>
                <w:iCs/>
                <w:strike/>
                <w:noProof/>
              </w:rPr>
            </w:pPr>
            <w:r w:rsidRPr="00EB04F1">
              <w:rPr>
                <w:strike/>
              </w:rPr>
              <w:t>Augsnes virskārtas sablīvēšanās</w:t>
            </w:r>
          </w:p>
        </w:tc>
        <w:tc>
          <w:tcPr>
            <w:tcW w:w="6199" w:type="dxa"/>
            <w:gridSpan w:val="3"/>
            <w:tcBorders>
              <w:top w:val="single" w:sz="4" w:space="0" w:color="auto"/>
              <w:left w:val="single" w:sz="4" w:space="0" w:color="auto"/>
              <w:bottom w:val="single" w:sz="4" w:space="0" w:color="auto"/>
              <w:right w:val="single" w:sz="4" w:space="0" w:color="auto"/>
            </w:tcBorders>
            <w:hideMark/>
          </w:tcPr>
          <w:p w14:paraId="51493DCD" w14:textId="1A413AE5" w:rsidR="00630E74" w:rsidRPr="00EB04F1" w:rsidRDefault="00630E74" w:rsidP="004060C8">
            <w:pPr>
              <w:spacing w:before="120" w:after="120"/>
              <w:rPr>
                <w:iCs/>
                <w:strike/>
                <w:noProof/>
              </w:rPr>
            </w:pPr>
            <w:r w:rsidRPr="00EB04F1">
              <w:rPr>
                <w:strike/>
              </w:rPr>
              <w:t>Augsnes virskārtas tilpummasa (A horizonts</w:t>
            </w:r>
            <w:r w:rsidR="004060C8" w:rsidRPr="00EB04F1">
              <w:rPr>
                <w:rStyle w:val="FootnoteReference"/>
                <w:strike/>
              </w:rPr>
              <w:footnoteReference w:id="62"/>
            </w:r>
            <w:r w:rsidRPr="00EB04F1">
              <w:rPr>
                <w:strike/>
              </w:rPr>
              <w:t>) (g cm</w:t>
            </w:r>
            <w:r w:rsidRPr="00EB04F1">
              <w:rPr>
                <w:strike/>
                <w:vertAlign w:val="superscript"/>
              </w:rPr>
              <w:t>-3</w:t>
            </w:r>
            <w:r w:rsidRPr="00EB04F1">
              <w:rPr>
                <w:strike/>
              </w:rPr>
              <w:t>)</w:t>
            </w:r>
          </w:p>
        </w:tc>
      </w:tr>
      <w:tr w:rsidR="00630E74" w:rsidRPr="00EB04F1" w14:paraId="12B00DF2" w14:textId="77777777" w:rsidTr="00791203">
        <w:tc>
          <w:tcPr>
            <w:tcW w:w="3435" w:type="dxa"/>
            <w:gridSpan w:val="2"/>
            <w:tcBorders>
              <w:top w:val="single" w:sz="4" w:space="0" w:color="auto"/>
              <w:left w:val="single" w:sz="4" w:space="0" w:color="auto"/>
              <w:bottom w:val="single" w:sz="4" w:space="0" w:color="auto"/>
              <w:right w:val="single" w:sz="4" w:space="0" w:color="auto"/>
            </w:tcBorders>
            <w:hideMark/>
          </w:tcPr>
          <w:p w14:paraId="5D0B10BA" w14:textId="77777777" w:rsidR="00630E74" w:rsidRPr="00EB04F1" w:rsidRDefault="00630E74" w:rsidP="00630E74">
            <w:pPr>
              <w:spacing w:before="120" w:after="120"/>
              <w:rPr>
                <w:iCs/>
                <w:strike/>
                <w:noProof/>
              </w:rPr>
            </w:pPr>
            <w:r w:rsidRPr="00EB04F1">
              <w:rPr>
                <w:strike/>
              </w:rPr>
              <w:t>Augsnes biodaudzveidības zudums</w:t>
            </w:r>
          </w:p>
        </w:tc>
        <w:tc>
          <w:tcPr>
            <w:tcW w:w="6199" w:type="dxa"/>
            <w:gridSpan w:val="3"/>
            <w:tcBorders>
              <w:top w:val="single" w:sz="4" w:space="0" w:color="auto"/>
              <w:left w:val="single" w:sz="4" w:space="0" w:color="auto"/>
              <w:bottom w:val="single" w:sz="4" w:space="0" w:color="auto"/>
              <w:right w:val="single" w:sz="4" w:space="0" w:color="auto"/>
            </w:tcBorders>
            <w:hideMark/>
          </w:tcPr>
          <w:p w14:paraId="0C8DA0A5" w14:textId="77777777" w:rsidR="00630E74" w:rsidRPr="00EB04F1" w:rsidRDefault="00630E74" w:rsidP="00630E74">
            <w:pPr>
              <w:spacing w:before="120" w:after="120"/>
              <w:rPr>
                <w:rFonts w:eastAsiaTheme="minorEastAsia"/>
                <w:strike/>
                <w:noProof/>
              </w:rPr>
            </w:pPr>
            <w:r w:rsidRPr="00EB04F1">
              <w:rPr>
                <w:strike/>
              </w:rPr>
              <w:t>Sausas augsnes bazālā elpošana (mm</w:t>
            </w:r>
            <w:r w:rsidRPr="00EB04F1">
              <w:rPr>
                <w:strike/>
                <w:vertAlign w:val="superscript"/>
              </w:rPr>
              <w:t>3</w:t>
            </w:r>
            <w:r w:rsidRPr="00EB04F1">
              <w:rPr>
                <w:strike/>
              </w:rPr>
              <w:t xml:space="preserve"> O</w:t>
            </w:r>
            <w:r w:rsidRPr="00EB04F1">
              <w:rPr>
                <w:strike/>
                <w:vertAlign w:val="subscript"/>
              </w:rPr>
              <w:t>2</w:t>
            </w:r>
            <w:r w:rsidRPr="00EB04F1">
              <w:rPr>
                <w:strike/>
              </w:rPr>
              <w:t xml:space="preserve"> g</w:t>
            </w:r>
            <w:r w:rsidRPr="00EB04F1">
              <w:rPr>
                <w:strike/>
                <w:vertAlign w:val="superscript"/>
              </w:rPr>
              <w:t>-1</w:t>
            </w:r>
            <w:r w:rsidRPr="00EB04F1">
              <w:rPr>
                <w:strike/>
              </w:rPr>
              <w:t xml:space="preserve"> h</w:t>
            </w:r>
            <w:r w:rsidRPr="00EB04F1">
              <w:rPr>
                <w:strike/>
                <w:vertAlign w:val="superscript"/>
              </w:rPr>
              <w:t>-1</w:t>
            </w:r>
            <w:r w:rsidRPr="00EB04F1">
              <w:rPr>
                <w:strike/>
              </w:rPr>
              <w:t xml:space="preserve">) </w:t>
            </w:r>
          </w:p>
          <w:p w14:paraId="305881BB" w14:textId="515C2AC8" w:rsidR="00630E74" w:rsidRPr="00EB04F1" w:rsidRDefault="00630E74" w:rsidP="00630E74">
            <w:pPr>
              <w:spacing w:before="120" w:after="120"/>
              <w:rPr>
                <w:strike/>
                <w:noProof/>
              </w:rPr>
            </w:pPr>
            <w:r w:rsidRPr="00EB04F1">
              <w:rPr>
                <w:strike/>
              </w:rPr>
              <w:t>Dalībvalstis var izvēlēties arī citus fakultatīvus augsnes deskriptorus, kas raksturo biodaudzveidību, piemēram, šādus:</w:t>
            </w:r>
            <w:r w:rsidRPr="00EB04F1">
              <w:rPr>
                <w:strike/>
              </w:rPr>
              <w:cr/>
              <w:t xml:space="preserve"> - baktēriju, sēņu, protistu un dzīvnieku metataksonomiskā sekvencēšana;</w:t>
            </w:r>
            <w:r w:rsidRPr="00EB04F1">
              <w:rPr>
                <w:strike/>
              </w:rPr>
              <w:cr/>
              <w:t xml:space="preserve"> - nematožu skaitliskums un daudzveidība;</w:t>
            </w:r>
            <w:r w:rsidRPr="00EB04F1">
              <w:rPr>
                <w:strike/>
              </w:rPr>
              <w:cr/>
              <w:t xml:space="preserve"> - mikroorganismu biomasa;</w:t>
            </w:r>
            <w:r w:rsidRPr="00EB04F1">
              <w:rPr>
                <w:strike/>
              </w:rPr>
              <w:cr/>
              <w:t xml:space="preserve"> - slieku skaitliskums un daudzveidība (aramzemē);</w:t>
            </w:r>
          </w:p>
          <w:p w14:paraId="4E75A7B8" w14:textId="77777777" w:rsidR="00630E74" w:rsidRPr="00EB04F1" w:rsidRDefault="00630E74" w:rsidP="00630E74">
            <w:pPr>
              <w:spacing w:before="120" w:after="120"/>
              <w:rPr>
                <w:strike/>
                <w:noProof/>
              </w:rPr>
            </w:pPr>
            <w:r w:rsidRPr="00EB04F1">
              <w:rPr>
                <w:strike/>
              </w:rPr>
              <w:t>- invazīvas svešzemju sugas un augiem kaitīgie organismi</w:t>
            </w:r>
          </w:p>
        </w:tc>
      </w:tr>
      <w:tr w:rsidR="00791203" w:rsidRPr="00EB04F1" w14:paraId="01814802" w14:textId="77777777" w:rsidTr="00791203">
        <w:tc>
          <w:tcPr>
            <w:tcW w:w="9634" w:type="dxa"/>
            <w:gridSpan w:val="5"/>
            <w:tcBorders>
              <w:top w:val="single" w:sz="4" w:space="0" w:color="auto"/>
              <w:left w:val="single" w:sz="4" w:space="0" w:color="auto"/>
              <w:bottom w:val="single" w:sz="4" w:space="0" w:color="auto"/>
              <w:right w:val="single" w:sz="4" w:space="0" w:color="auto"/>
            </w:tcBorders>
            <w:hideMark/>
          </w:tcPr>
          <w:p w14:paraId="2239A176" w14:textId="77777777" w:rsidR="00791203" w:rsidRPr="00EB04F1" w:rsidRDefault="00791203" w:rsidP="003050E9">
            <w:pPr>
              <w:widowControl/>
              <w:spacing w:before="120"/>
              <w:jc w:val="both"/>
              <w:rPr>
                <w:b/>
                <w:bCs/>
                <w:i/>
                <w:sz w:val="22"/>
                <w:szCs w:val="22"/>
              </w:rPr>
            </w:pPr>
            <w:r w:rsidRPr="00EB04F1">
              <w:rPr>
                <w:b/>
                <w:i/>
                <w:sz w:val="22"/>
              </w:rPr>
              <w:t>C daļa. Augsnes monitoringa koncepcijas 3. līmenis</w:t>
            </w:r>
          </w:p>
          <w:p w14:paraId="17F3DD66" w14:textId="77777777" w:rsidR="00791203" w:rsidRPr="00EB04F1" w:rsidRDefault="00791203" w:rsidP="003050E9">
            <w:pPr>
              <w:widowControl/>
              <w:spacing w:before="120"/>
              <w:jc w:val="both"/>
              <w:rPr>
                <w:b/>
                <w:bCs/>
                <w:i/>
                <w:sz w:val="22"/>
                <w:szCs w:val="22"/>
              </w:rPr>
            </w:pPr>
            <w:r w:rsidRPr="00EB04F1">
              <w:rPr>
                <w:b/>
                <w:i/>
                <w:sz w:val="22"/>
              </w:rPr>
              <w:t>Dalībvalstij ir tiesības piemērot 3. līmeni, ja tā izpilda nosacījumus attiecībā uz augsnes monitoringa koncepcijas 3. līmeni un iekļauj vismaz 50 % C daļas augsnes deskriptoru.</w:t>
            </w:r>
          </w:p>
        </w:tc>
      </w:tr>
      <w:tr w:rsidR="00791203" w:rsidRPr="00EB04F1" w14:paraId="3435330D" w14:textId="77777777" w:rsidTr="00791203">
        <w:tc>
          <w:tcPr>
            <w:tcW w:w="9634" w:type="dxa"/>
            <w:gridSpan w:val="5"/>
            <w:tcBorders>
              <w:top w:val="single" w:sz="4" w:space="0" w:color="auto"/>
              <w:left w:val="single" w:sz="4" w:space="0" w:color="auto"/>
              <w:bottom w:val="single" w:sz="4" w:space="0" w:color="auto"/>
              <w:right w:val="single" w:sz="4" w:space="0" w:color="auto"/>
            </w:tcBorders>
            <w:hideMark/>
          </w:tcPr>
          <w:p w14:paraId="57B41FCF" w14:textId="77777777" w:rsidR="00791203" w:rsidRPr="00EB04F1" w:rsidRDefault="00791203" w:rsidP="003050E9">
            <w:pPr>
              <w:widowControl/>
              <w:spacing w:before="120"/>
              <w:jc w:val="both"/>
              <w:rPr>
                <w:b/>
                <w:i/>
                <w:sz w:val="22"/>
                <w:szCs w:val="22"/>
              </w:rPr>
            </w:pPr>
            <w:r w:rsidRPr="00EB04F1">
              <w:rPr>
                <w:b/>
                <w:i/>
                <w:sz w:val="22"/>
              </w:rPr>
              <w:t>Degradācijas faktori</w:t>
            </w:r>
          </w:p>
        </w:tc>
      </w:tr>
      <w:tr w:rsidR="00791203" w:rsidRPr="00EB04F1" w14:paraId="7B6F253D" w14:textId="77777777" w:rsidTr="00791203">
        <w:tc>
          <w:tcPr>
            <w:tcW w:w="3007" w:type="dxa"/>
            <w:tcBorders>
              <w:top w:val="single" w:sz="4" w:space="0" w:color="auto"/>
              <w:left w:val="single" w:sz="4" w:space="0" w:color="auto"/>
              <w:bottom w:val="single" w:sz="4" w:space="0" w:color="auto"/>
              <w:right w:val="single" w:sz="4" w:space="0" w:color="auto"/>
            </w:tcBorders>
            <w:hideMark/>
          </w:tcPr>
          <w:p w14:paraId="77F43969" w14:textId="77777777" w:rsidR="00791203" w:rsidRPr="00EB04F1" w:rsidRDefault="00791203" w:rsidP="003050E9">
            <w:pPr>
              <w:widowControl/>
              <w:spacing w:before="120"/>
              <w:jc w:val="both"/>
              <w:rPr>
                <w:b/>
                <w:bCs/>
                <w:i/>
              </w:rPr>
            </w:pPr>
            <w:r w:rsidRPr="00EB04F1">
              <w:rPr>
                <w:b/>
                <w:i/>
                <w:sz w:val="22"/>
              </w:rPr>
              <w:t>Degradācijas faktors</w:t>
            </w:r>
          </w:p>
        </w:tc>
        <w:tc>
          <w:tcPr>
            <w:tcW w:w="2715" w:type="dxa"/>
            <w:gridSpan w:val="2"/>
            <w:tcBorders>
              <w:top w:val="single" w:sz="4" w:space="0" w:color="auto"/>
              <w:left w:val="single" w:sz="4" w:space="0" w:color="auto"/>
              <w:bottom w:val="single" w:sz="4" w:space="0" w:color="auto"/>
              <w:right w:val="single" w:sz="4" w:space="0" w:color="auto"/>
            </w:tcBorders>
            <w:hideMark/>
          </w:tcPr>
          <w:p w14:paraId="6F4B5A1E" w14:textId="77777777" w:rsidR="00791203" w:rsidRPr="00EB04F1" w:rsidRDefault="00791203" w:rsidP="003050E9">
            <w:pPr>
              <w:widowControl/>
              <w:spacing w:before="120"/>
              <w:jc w:val="both"/>
              <w:rPr>
                <w:b/>
                <w:i/>
              </w:rPr>
            </w:pPr>
            <w:r w:rsidRPr="00EB04F1">
              <w:rPr>
                <w:b/>
                <w:i/>
                <w:sz w:val="22"/>
              </w:rPr>
              <w:t>Augsnes deskriptors</w:t>
            </w:r>
          </w:p>
        </w:tc>
        <w:tc>
          <w:tcPr>
            <w:tcW w:w="2122" w:type="dxa"/>
            <w:tcBorders>
              <w:top w:val="single" w:sz="4" w:space="0" w:color="auto"/>
              <w:left w:val="single" w:sz="4" w:space="0" w:color="auto"/>
              <w:bottom w:val="single" w:sz="4" w:space="0" w:color="auto"/>
              <w:right w:val="single" w:sz="4" w:space="0" w:color="auto"/>
            </w:tcBorders>
            <w:hideMark/>
          </w:tcPr>
          <w:p w14:paraId="38CD1D2C" w14:textId="77777777" w:rsidR="00791203" w:rsidRPr="00EB04F1" w:rsidRDefault="00791203" w:rsidP="003050E9">
            <w:pPr>
              <w:widowControl/>
              <w:spacing w:before="120"/>
              <w:jc w:val="both"/>
              <w:rPr>
                <w:b/>
                <w:i/>
              </w:rPr>
            </w:pPr>
            <w:r w:rsidRPr="00EB04F1">
              <w:rPr>
                <w:b/>
                <w:i/>
                <w:sz w:val="22"/>
              </w:rPr>
              <w:t>Izņēmumi</w:t>
            </w:r>
          </w:p>
        </w:tc>
        <w:tc>
          <w:tcPr>
            <w:tcW w:w="1790" w:type="dxa"/>
            <w:tcBorders>
              <w:top w:val="single" w:sz="4" w:space="0" w:color="auto"/>
              <w:left w:val="single" w:sz="4" w:space="0" w:color="auto"/>
              <w:bottom w:val="single" w:sz="4" w:space="0" w:color="auto"/>
              <w:right w:val="single" w:sz="4" w:space="0" w:color="auto"/>
            </w:tcBorders>
            <w:hideMark/>
          </w:tcPr>
          <w:p w14:paraId="2FE4E698" w14:textId="77777777" w:rsidR="00791203" w:rsidRPr="00EB04F1" w:rsidRDefault="00791203" w:rsidP="003050E9">
            <w:pPr>
              <w:widowControl/>
              <w:spacing w:before="120"/>
              <w:jc w:val="both"/>
              <w:rPr>
                <w:b/>
                <w:i/>
                <w:sz w:val="22"/>
                <w:szCs w:val="22"/>
              </w:rPr>
            </w:pPr>
            <w:r w:rsidRPr="00EB04F1">
              <w:rPr>
                <w:b/>
                <w:i/>
                <w:sz w:val="22"/>
              </w:rPr>
              <w:t>Piezīmes</w:t>
            </w:r>
          </w:p>
        </w:tc>
      </w:tr>
      <w:tr w:rsidR="00791203" w:rsidRPr="00EB04F1" w14:paraId="7A4A073D" w14:textId="77777777" w:rsidTr="00791203">
        <w:tc>
          <w:tcPr>
            <w:tcW w:w="3007" w:type="dxa"/>
            <w:tcBorders>
              <w:top w:val="single" w:sz="4" w:space="0" w:color="auto"/>
              <w:left w:val="single" w:sz="4" w:space="0" w:color="auto"/>
              <w:bottom w:val="single" w:sz="4" w:space="0" w:color="auto"/>
              <w:right w:val="single" w:sz="4" w:space="0" w:color="auto"/>
            </w:tcBorders>
            <w:hideMark/>
          </w:tcPr>
          <w:p w14:paraId="71F4950F" w14:textId="77777777" w:rsidR="00791203" w:rsidRPr="00EB04F1" w:rsidRDefault="00791203" w:rsidP="003050E9">
            <w:pPr>
              <w:widowControl/>
              <w:spacing w:before="120"/>
              <w:jc w:val="both"/>
              <w:rPr>
                <w:b/>
                <w:bCs/>
                <w:i/>
              </w:rPr>
            </w:pPr>
            <w:r w:rsidRPr="00EB04F1">
              <w:rPr>
                <w:b/>
                <w:i/>
                <w:sz w:val="22"/>
              </w:rPr>
              <w:t>Augsnes kontaminācija</w:t>
            </w:r>
          </w:p>
        </w:tc>
        <w:tc>
          <w:tcPr>
            <w:tcW w:w="2715" w:type="dxa"/>
            <w:gridSpan w:val="2"/>
            <w:tcBorders>
              <w:top w:val="single" w:sz="4" w:space="0" w:color="auto"/>
              <w:left w:val="single" w:sz="4" w:space="0" w:color="auto"/>
              <w:bottom w:val="single" w:sz="4" w:space="0" w:color="auto"/>
              <w:right w:val="single" w:sz="4" w:space="0" w:color="auto"/>
            </w:tcBorders>
            <w:hideMark/>
          </w:tcPr>
          <w:p w14:paraId="4F07630C" w14:textId="77777777" w:rsidR="00791203" w:rsidRPr="00EB04F1" w:rsidRDefault="00791203" w:rsidP="003050E9">
            <w:pPr>
              <w:widowControl/>
              <w:spacing w:before="120"/>
              <w:ind w:left="347" w:hanging="360"/>
              <w:contextualSpacing/>
              <w:jc w:val="both"/>
              <w:rPr>
                <w:b/>
                <w:i/>
              </w:rPr>
            </w:pPr>
            <w:r w:rsidRPr="00EB04F1">
              <w:rPr>
                <w:rFonts w:ascii="Symbol" w:hAnsi="Symbol"/>
              </w:rPr>
              <w:sym w:font="Symbol" w:char="F0B7"/>
            </w:r>
            <w:r w:rsidRPr="00EB04F1">
              <w:rPr>
                <w:rFonts w:ascii="Symbol" w:hAnsi="Symbol"/>
              </w:rPr>
              <w:tab/>
            </w:r>
            <w:r w:rsidRPr="00EB04F1">
              <w:rPr>
                <w:b/>
                <w:i/>
                <w:sz w:val="22"/>
              </w:rPr>
              <w:t>Mikroplastmasas un nanoplastmasas koncentrācija</w:t>
            </w:r>
          </w:p>
        </w:tc>
        <w:tc>
          <w:tcPr>
            <w:tcW w:w="2122" w:type="dxa"/>
            <w:tcBorders>
              <w:top w:val="single" w:sz="4" w:space="0" w:color="auto"/>
              <w:left w:val="single" w:sz="4" w:space="0" w:color="auto"/>
              <w:bottom w:val="single" w:sz="4" w:space="0" w:color="auto"/>
              <w:right w:val="single" w:sz="4" w:space="0" w:color="auto"/>
            </w:tcBorders>
            <w:hideMark/>
          </w:tcPr>
          <w:p w14:paraId="696FB446" w14:textId="77777777" w:rsidR="00791203" w:rsidRPr="00EB04F1" w:rsidRDefault="00791203" w:rsidP="003050E9">
            <w:pPr>
              <w:widowControl/>
              <w:spacing w:before="120"/>
              <w:jc w:val="both"/>
              <w:rPr>
                <w:b/>
                <w:i/>
              </w:rPr>
            </w:pPr>
            <w:r w:rsidRPr="00EB04F1">
              <w:rPr>
                <w:b/>
                <w:i/>
                <w:sz w:val="22"/>
              </w:rPr>
              <w:t>-</w:t>
            </w:r>
          </w:p>
        </w:tc>
        <w:tc>
          <w:tcPr>
            <w:tcW w:w="1790" w:type="dxa"/>
            <w:tcBorders>
              <w:top w:val="single" w:sz="4" w:space="0" w:color="auto"/>
              <w:left w:val="single" w:sz="4" w:space="0" w:color="auto"/>
              <w:bottom w:val="single" w:sz="4" w:space="0" w:color="auto"/>
              <w:right w:val="single" w:sz="4" w:space="0" w:color="auto"/>
            </w:tcBorders>
            <w:hideMark/>
          </w:tcPr>
          <w:p w14:paraId="7D63D75D" w14:textId="77777777" w:rsidR="00791203" w:rsidRPr="00EB04F1" w:rsidRDefault="00791203" w:rsidP="003050E9">
            <w:pPr>
              <w:widowControl/>
              <w:spacing w:before="120"/>
              <w:jc w:val="both"/>
              <w:rPr>
                <w:b/>
                <w:i/>
                <w:sz w:val="22"/>
                <w:szCs w:val="22"/>
              </w:rPr>
            </w:pPr>
            <w:r w:rsidRPr="00EB04F1">
              <w:rPr>
                <w:b/>
                <w:i/>
                <w:sz w:val="22"/>
              </w:rPr>
              <w:t>Jāveic attiecībā uz augsnes virskārtu (0–10 cm, 10–30 cm (fakultatīvi))</w:t>
            </w:r>
          </w:p>
        </w:tc>
      </w:tr>
      <w:tr w:rsidR="00791203" w:rsidRPr="00EB04F1" w14:paraId="1E1927EF" w14:textId="77777777" w:rsidTr="00791203">
        <w:tc>
          <w:tcPr>
            <w:tcW w:w="9634" w:type="dxa"/>
            <w:gridSpan w:val="5"/>
            <w:tcBorders>
              <w:top w:val="single" w:sz="4" w:space="0" w:color="auto"/>
              <w:left w:val="single" w:sz="4" w:space="0" w:color="auto"/>
              <w:bottom w:val="single" w:sz="4" w:space="0" w:color="auto"/>
              <w:right w:val="single" w:sz="4" w:space="0" w:color="auto"/>
            </w:tcBorders>
            <w:hideMark/>
          </w:tcPr>
          <w:p w14:paraId="0504A421" w14:textId="77777777" w:rsidR="00791203" w:rsidRPr="00EB04F1" w:rsidRDefault="00791203" w:rsidP="003050E9">
            <w:pPr>
              <w:widowControl/>
              <w:spacing w:before="120"/>
              <w:jc w:val="both"/>
              <w:rPr>
                <w:b/>
                <w:i/>
                <w:sz w:val="22"/>
                <w:szCs w:val="22"/>
              </w:rPr>
            </w:pPr>
            <w:r w:rsidRPr="00EB04F1">
              <w:rPr>
                <w:b/>
                <w:i/>
                <w:sz w:val="22"/>
              </w:rPr>
              <w:t>Augsnes ekoloģiskās funkcijas</w:t>
            </w:r>
          </w:p>
        </w:tc>
      </w:tr>
      <w:tr w:rsidR="00791203" w:rsidRPr="00EB04F1" w14:paraId="595823CE" w14:textId="77777777" w:rsidTr="00791203">
        <w:tc>
          <w:tcPr>
            <w:tcW w:w="3007" w:type="dxa"/>
            <w:tcBorders>
              <w:top w:val="single" w:sz="4" w:space="0" w:color="auto"/>
              <w:left w:val="single" w:sz="4" w:space="0" w:color="auto"/>
              <w:bottom w:val="single" w:sz="4" w:space="0" w:color="auto"/>
              <w:right w:val="single" w:sz="4" w:space="0" w:color="auto"/>
            </w:tcBorders>
            <w:hideMark/>
          </w:tcPr>
          <w:p w14:paraId="461DBA2A" w14:textId="77777777" w:rsidR="00791203" w:rsidRPr="00EB04F1" w:rsidRDefault="00791203" w:rsidP="003050E9">
            <w:pPr>
              <w:widowControl/>
              <w:spacing w:before="120"/>
              <w:jc w:val="both"/>
              <w:rPr>
                <w:b/>
                <w:i/>
                <w:sz w:val="22"/>
                <w:szCs w:val="22"/>
              </w:rPr>
            </w:pPr>
            <w:r w:rsidRPr="00EB04F1">
              <w:rPr>
                <w:b/>
                <w:i/>
                <w:sz w:val="22"/>
              </w:rPr>
              <w:lastRenderedPageBreak/>
              <w:t>Ekoloģiskā funkcija</w:t>
            </w:r>
          </w:p>
        </w:tc>
        <w:tc>
          <w:tcPr>
            <w:tcW w:w="2715" w:type="dxa"/>
            <w:gridSpan w:val="2"/>
            <w:tcBorders>
              <w:top w:val="single" w:sz="4" w:space="0" w:color="auto"/>
              <w:left w:val="single" w:sz="4" w:space="0" w:color="auto"/>
              <w:bottom w:val="single" w:sz="4" w:space="0" w:color="auto"/>
              <w:right w:val="single" w:sz="4" w:space="0" w:color="auto"/>
            </w:tcBorders>
            <w:hideMark/>
          </w:tcPr>
          <w:p w14:paraId="7D7BBBE4" w14:textId="77777777" w:rsidR="00791203" w:rsidRPr="00EB04F1" w:rsidRDefault="00791203" w:rsidP="003050E9">
            <w:pPr>
              <w:widowControl/>
              <w:spacing w:before="120"/>
              <w:jc w:val="both"/>
              <w:rPr>
                <w:b/>
                <w:i/>
                <w:sz w:val="22"/>
                <w:szCs w:val="22"/>
              </w:rPr>
            </w:pPr>
            <w:r w:rsidRPr="00EB04F1">
              <w:rPr>
                <w:b/>
                <w:i/>
                <w:sz w:val="22"/>
              </w:rPr>
              <w:t>Augsnes deskriptors</w:t>
            </w:r>
          </w:p>
        </w:tc>
        <w:tc>
          <w:tcPr>
            <w:tcW w:w="2122" w:type="dxa"/>
            <w:tcBorders>
              <w:top w:val="single" w:sz="4" w:space="0" w:color="auto"/>
              <w:left w:val="single" w:sz="4" w:space="0" w:color="auto"/>
              <w:bottom w:val="single" w:sz="4" w:space="0" w:color="auto"/>
              <w:right w:val="single" w:sz="4" w:space="0" w:color="auto"/>
            </w:tcBorders>
            <w:hideMark/>
          </w:tcPr>
          <w:p w14:paraId="0EE4037B" w14:textId="77777777" w:rsidR="00791203" w:rsidRPr="00EB04F1" w:rsidRDefault="00791203" w:rsidP="003050E9">
            <w:pPr>
              <w:widowControl/>
              <w:spacing w:before="120"/>
              <w:jc w:val="both"/>
              <w:rPr>
                <w:b/>
                <w:i/>
                <w:sz w:val="22"/>
                <w:szCs w:val="22"/>
              </w:rPr>
            </w:pPr>
            <w:r w:rsidRPr="00EB04F1">
              <w:rPr>
                <w:b/>
                <w:i/>
                <w:sz w:val="22"/>
              </w:rPr>
              <w:t>Izņēmumi</w:t>
            </w:r>
          </w:p>
        </w:tc>
        <w:tc>
          <w:tcPr>
            <w:tcW w:w="1790" w:type="dxa"/>
            <w:tcBorders>
              <w:top w:val="single" w:sz="4" w:space="0" w:color="auto"/>
              <w:left w:val="single" w:sz="4" w:space="0" w:color="auto"/>
              <w:bottom w:val="single" w:sz="4" w:space="0" w:color="auto"/>
              <w:right w:val="single" w:sz="4" w:space="0" w:color="auto"/>
            </w:tcBorders>
            <w:hideMark/>
          </w:tcPr>
          <w:p w14:paraId="5C663DA7" w14:textId="77777777" w:rsidR="00791203" w:rsidRPr="00EB04F1" w:rsidRDefault="00791203" w:rsidP="003050E9">
            <w:pPr>
              <w:widowControl/>
              <w:spacing w:before="120"/>
              <w:jc w:val="both"/>
              <w:rPr>
                <w:b/>
                <w:bCs/>
                <w:i/>
                <w:iCs/>
                <w:sz w:val="22"/>
                <w:szCs w:val="22"/>
              </w:rPr>
            </w:pPr>
            <w:r w:rsidRPr="00EB04F1">
              <w:rPr>
                <w:b/>
                <w:i/>
                <w:sz w:val="22"/>
              </w:rPr>
              <w:t>Piezīmes</w:t>
            </w:r>
          </w:p>
        </w:tc>
      </w:tr>
      <w:tr w:rsidR="00791203" w:rsidRPr="00EB04F1" w14:paraId="37230C28" w14:textId="77777777" w:rsidTr="00791203">
        <w:tc>
          <w:tcPr>
            <w:tcW w:w="3007" w:type="dxa"/>
            <w:tcBorders>
              <w:top w:val="single" w:sz="4" w:space="0" w:color="auto"/>
              <w:left w:val="single" w:sz="4" w:space="0" w:color="auto"/>
              <w:bottom w:val="single" w:sz="4" w:space="0" w:color="auto"/>
              <w:right w:val="single" w:sz="4" w:space="0" w:color="auto"/>
            </w:tcBorders>
            <w:hideMark/>
          </w:tcPr>
          <w:p w14:paraId="25628482" w14:textId="77777777" w:rsidR="00791203" w:rsidRPr="00EB04F1" w:rsidRDefault="00791203" w:rsidP="003050E9">
            <w:pPr>
              <w:widowControl/>
              <w:spacing w:before="120"/>
              <w:jc w:val="both"/>
              <w:rPr>
                <w:b/>
                <w:i/>
                <w:sz w:val="22"/>
                <w:szCs w:val="22"/>
              </w:rPr>
            </w:pPr>
            <w:r w:rsidRPr="00EB04F1">
              <w:rPr>
                <w:b/>
                <w:i/>
                <w:sz w:val="22"/>
              </w:rPr>
              <w:t>Augsnes biomasa</w:t>
            </w:r>
          </w:p>
        </w:tc>
        <w:tc>
          <w:tcPr>
            <w:tcW w:w="2715" w:type="dxa"/>
            <w:gridSpan w:val="2"/>
            <w:tcBorders>
              <w:top w:val="single" w:sz="4" w:space="0" w:color="auto"/>
              <w:left w:val="single" w:sz="4" w:space="0" w:color="auto"/>
              <w:bottom w:val="single" w:sz="4" w:space="0" w:color="auto"/>
              <w:right w:val="single" w:sz="4" w:space="0" w:color="auto"/>
            </w:tcBorders>
            <w:hideMark/>
          </w:tcPr>
          <w:p w14:paraId="4F822D91"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dzīvnieku biomasa (vienā taksonomiskajā grupā (nematodes un sliekas); mg svaiga svara (nematodēm)/saussvara (sliekām) uz g sausas augsnes)</w:t>
            </w:r>
          </w:p>
          <w:p w14:paraId="501AF24F"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Sakņu biomasa (mg saussvara uz g sausas augsnes)</w:t>
            </w:r>
          </w:p>
        </w:tc>
        <w:tc>
          <w:tcPr>
            <w:tcW w:w="2122" w:type="dxa"/>
            <w:tcBorders>
              <w:top w:val="single" w:sz="4" w:space="0" w:color="auto"/>
              <w:left w:val="single" w:sz="4" w:space="0" w:color="auto"/>
              <w:bottom w:val="single" w:sz="4" w:space="0" w:color="auto"/>
              <w:right w:val="single" w:sz="4" w:space="0" w:color="auto"/>
            </w:tcBorders>
            <w:hideMark/>
          </w:tcPr>
          <w:p w14:paraId="34CEAA59" w14:textId="77777777" w:rsidR="00791203" w:rsidRPr="00EB04F1" w:rsidRDefault="00791203" w:rsidP="003050E9">
            <w:pPr>
              <w:widowControl/>
              <w:spacing w:before="120"/>
              <w:jc w:val="both"/>
              <w:rPr>
                <w:b/>
                <w:i/>
                <w:sz w:val="22"/>
                <w:szCs w:val="22"/>
              </w:rPr>
            </w:pPr>
            <w:r w:rsidRPr="00EB04F1">
              <w:rPr>
                <w:b/>
                <w:i/>
                <w:sz w:val="22"/>
              </w:rPr>
              <w:t>-</w:t>
            </w:r>
          </w:p>
        </w:tc>
        <w:tc>
          <w:tcPr>
            <w:tcW w:w="1790" w:type="dxa"/>
            <w:tcBorders>
              <w:top w:val="single" w:sz="4" w:space="0" w:color="auto"/>
              <w:left w:val="single" w:sz="4" w:space="0" w:color="auto"/>
              <w:bottom w:val="single" w:sz="4" w:space="0" w:color="auto"/>
              <w:right w:val="single" w:sz="4" w:space="0" w:color="auto"/>
            </w:tcBorders>
            <w:hideMark/>
          </w:tcPr>
          <w:p w14:paraId="7769F684" w14:textId="77777777" w:rsidR="00791203" w:rsidRPr="00EB04F1" w:rsidRDefault="00791203" w:rsidP="003050E9">
            <w:pPr>
              <w:widowControl/>
              <w:spacing w:before="120"/>
              <w:jc w:val="both"/>
              <w:rPr>
                <w:b/>
                <w:i/>
                <w:sz w:val="22"/>
                <w:szCs w:val="22"/>
              </w:rPr>
            </w:pPr>
            <w:r w:rsidRPr="00EB04F1">
              <w:rPr>
                <w:b/>
                <w:i/>
                <w:sz w:val="22"/>
              </w:rPr>
              <w:t>Jāveic attiecībā uz augsnes virskārtu (0–10 cm, 10–30 cm (fakultatīvi))</w:t>
            </w:r>
          </w:p>
        </w:tc>
      </w:tr>
      <w:tr w:rsidR="00791203" w:rsidRPr="00EB04F1" w14:paraId="07BC6D30" w14:textId="77777777" w:rsidTr="00791203">
        <w:tc>
          <w:tcPr>
            <w:tcW w:w="3007" w:type="dxa"/>
            <w:tcBorders>
              <w:top w:val="single" w:sz="4" w:space="0" w:color="auto"/>
              <w:left w:val="single" w:sz="4" w:space="0" w:color="auto"/>
              <w:bottom w:val="single" w:sz="4" w:space="0" w:color="auto"/>
              <w:right w:val="single" w:sz="4" w:space="0" w:color="auto"/>
            </w:tcBorders>
            <w:hideMark/>
          </w:tcPr>
          <w:p w14:paraId="56962B14" w14:textId="77777777" w:rsidR="00791203" w:rsidRPr="00EB04F1" w:rsidRDefault="00791203" w:rsidP="003050E9">
            <w:pPr>
              <w:widowControl/>
              <w:spacing w:before="120"/>
              <w:jc w:val="both"/>
              <w:rPr>
                <w:b/>
                <w:i/>
                <w:sz w:val="22"/>
                <w:szCs w:val="22"/>
              </w:rPr>
            </w:pPr>
            <w:r w:rsidRPr="00EB04F1">
              <w:rPr>
                <w:b/>
                <w:i/>
                <w:sz w:val="22"/>
              </w:rPr>
              <w:t>Sakņu kopu iezīmes</w:t>
            </w:r>
          </w:p>
        </w:tc>
        <w:tc>
          <w:tcPr>
            <w:tcW w:w="2715" w:type="dxa"/>
            <w:gridSpan w:val="2"/>
            <w:tcBorders>
              <w:top w:val="single" w:sz="4" w:space="0" w:color="auto"/>
              <w:left w:val="single" w:sz="4" w:space="0" w:color="auto"/>
              <w:bottom w:val="single" w:sz="4" w:space="0" w:color="auto"/>
              <w:right w:val="single" w:sz="4" w:space="0" w:color="auto"/>
            </w:tcBorders>
            <w:hideMark/>
          </w:tcPr>
          <w:p w14:paraId="59FF8238"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Kopējais slāpeklis saknēs</w:t>
            </w:r>
          </w:p>
          <w:p w14:paraId="3A338406"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Sakņu garuma blīvums</w:t>
            </w:r>
          </w:p>
          <w:p w14:paraId="655CA050"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Sakņu vidējais diametrs</w:t>
            </w:r>
          </w:p>
          <w:p w14:paraId="2D7EF781"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Sakņu diametra mainīgums</w:t>
            </w:r>
          </w:p>
          <w:p w14:paraId="7AE9CC8D"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Sakņu sausnas saturs</w:t>
            </w:r>
          </w:p>
        </w:tc>
        <w:tc>
          <w:tcPr>
            <w:tcW w:w="2122" w:type="dxa"/>
            <w:tcBorders>
              <w:top w:val="single" w:sz="4" w:space="0" w:color="auto"/>
              <w:left w:val="single" w:sz="4" w:space="0" w:color="auto"/>
              <w:bottom w:val="single" w:sz="4" w:space="0" w:color="auto"/>
              <w:right w:val="single" w:sz="4" w:space="0" w:color="auto"/>
            </w:tcBorders>
            <w:hideMark/>
          </w:tcPr>
          <w:p w14:paraId="7659425E" w14:textId="77777777" w:rsidR="00791203" w:rsidRPr="00EB04F1" w:rsidRDefault="00791203" w:rsidP="003050E9">
            <w:pPr>
              <w:widowControl/>
              <w:spacing w:before="120"/>
              <w:jc w:val="both"/>
              <w:rPr>
                <w:b/>
                <w:i/>
                <w:sz w:val="22"/>
                <w:szCs w:val="22"/>
              </w:rPr>
            </w:pPr>
            <w:r w:rsidRPr="00EB04F1">
              <w:rPr>
                <w:b/>
                <w:i/>
                <w:sz w:val="22"/>
              </w:rPr>
              <w:t>-</w:t>
            </w:r>
          </w:p>
        </w:tc>
        <w:tc>
          <w:tcPr>
            <w:tcW w:w="1790" w:type="dxa"/>
            <w:tcBorders>
              <w:top w:val="single" w:sz="4" w:space="0" w:color="auto"/>
              <w:left w:val="single" w:sz="4" w:space="0" w:color="auto"/>
              <w:bottom w:val="single" w:sz="4" w:space="0" w:color="auto"/>
              <w:right w:val="single" w:sz="4" w:space="0" w:color="auto"/>
            </w:tcBorders>
            <w:hideMark/>
          </w:tcPr>
          <w:p w14:paraId="595407CF" w14:textId="77777777" w:rsidR="00791203" w:rsidRPr="00EB04F1" w:rsidRDefault="00791203" w:rsidP="003050E9">
            <w:pPr>
              <w:widowControl/>
              <w:spacing w:before="120"/>
              <w:jc w:val="both"/>
              <w:rPr>
                <w:b/>
                <w:i/>
                <w:sz w:val="22"/>
                <w:szCs w:val="22"/>
              </w:rPr>
            </w:pPr>
            <w:r w:rsidRPr="00EB04F1">
              <w:rPr>
                <w:b/>
                <w:i/>
                <w:sz w:val="22"/>
              </w:rPr>
              <w:t>Jāveic attiecībā uz augsnes virskārtu (0–10 cm, 10–30 cm (fakultatīvi))</w:t>
            </w:r>
          </w:p>
        </w:tc>
      </w:tr>
      <w:tr w:rsidR="00791203" w:rsidRPr="00EB04F1" w14:paraId="18764650" w14:textId="77777777" w:rsidTr="00791203">
        <w:tc>
          <w:tcPr>
            <w:tcW w:w="7844" w:type="dxa"/>
            <w:gridSpan w:val="4"/>
            <w:tcBorders>
              <w:top w:val="single" w:sz="4" w:space="0" w:color="auto"/>
              <w:left w:val="single" w:sz="4" w:space="0" w:color="auto"/>
              <w:bottom w:val="single" w:sz="4" w:space="0" w:color="auto"/>
              <w:right w:val="single" w:sz="4" w:space="0" w:color="auto"/>
            </w:tcBorders>
            <w:hideMark/>
          </w:tcPr>
          <w:p w14:paraId="62B58DDF" w14:textId="77777777" w:rsidR="00791203" w:rsidRPr="00EB04F1" w:rsidRDefault="00791203" w:rsidP="003050E9">
            <w:pPr>
              <w:widowControl/>
              <w:spacing w:before="120"/>
              <w:jc w:val="both"/>
              <w:rPr>
                <w:b/>
                <w:i/>
                <w:sz w:val="22"/>
                <w:szCs w:val="22"/>
              </w:rPr>
            </w:pPr>
            <w:r w:rsidRPr="00EB04F1">
              <w:rPr>
                <w:b/>
                <w:i/>
                <w:sz w:val="22"/>
              </w:rPr>
              <w:t>Augsnes biodaudzveidība</w:t>
            </w:r>
          </w:p>
        </w:tc>
        <w:tc>
          <w:tcPr>
            <w:tcW w:w="1790" w:type="dxa"/>
            <w:tcBorders>
              <w:top w:val="single" w:sz="4" w:space="0" w:color="auto"/>
              <w:left w:val="single" w:sz="4" w:space="0" w:color="auto"/>
              <w:bottom w:val="single" w:sz="4" w:space="0" w:color="auto"/>
              <w:right w:val="single" w:sz="4" w:space="0" w:color="auto"/>
            </w:tcBorders>
          </w:tcPr>
          <w:p w14:paraId="6A109022" w14:textId="77777777" w:rsidR="00791203" w:rsidRPr="00EB04F1" w:rsidRDefault="00791203" w:rsidP="003050E9">
            <w:pPr>
              <w:widowControl/>
              <w:spacing w:before="120"/>
              <w:jc w:val="both"/>
              <w:rPr>
                <w:b/>
                <w:bCs/>
                <w:i/>
                <w:sz w:val="22"/>
                <w:szCs w:val="22"/>
                <w:lang w:eastAsia="en-US"/>
              </w:rPr>
            </w:pPr>
          </w:p>
        </w:tc>
      </w:tr>
      <w:tr w:rsidR="00791203" w:rsidRPr="00EB04F1" w14:paraId="57B99839" w14:textId="77777777" w:rsidTr="00791203">
        <w:tc>
          <w:tcPr>
            <w:tcW w:w="3007" w:type="dxa"/>
            <w:tcBorders>
              <w:top w:val="single" w:sz="4" w:space="0" w:color="auto"/>
              <w:left w:val="single" w:sz="4" w:space="0" w:color="auto"/>
              <w:bottom w:val="single" w:sz="4" w:space="0" w:color="auto"/>
              <w:right w:val="single" w:sz="4" w:space="0" w:color="auto"/>
            </w:tcBorders>
            <w:hideMark/>
          </w:tcPr>
          <w:p w14:paraId="0C743C5D" w14:textId="77777777" w:rsidR="00791203" w:rsidRPr="00EB04F1" w:rsidRDefault="00791203" w:rsidP="003050E9">
            <w:pPr>
              <w:widowControl/>
              <w:spacing w:before="120"/>
              <w:jc w:val="both"/>
              <w:rPr>
                <w:b/>
                <w:i/>
                <w:sz w:val="22"/>
                <w:szCs w:val="22"/>
              </w:rPr>
            </w:pPr>
            <w:r w:rsidRPr="00EB04F1">
              <w:rPr>
                <w:b/>
                <w:i/>
                <w:sz w:val="22"/>
              </w:rPr>
              <w:t>Augsnes biodaudzveidības iezīmes</w:t>
            </w:r>
          </w:p>
        </w:tc>
        <w:tc>
          <w:tcPr>
            <w:tcW w:w="2715" w:type="dxa"/>
            <w:gridSpan w:val="2"/>
            <w:tcBorders>
              <w:top w:val="single" w:sz="4" w:space="0" w:color="auto"/>
              <w:left w:val="single" w:sz="4" w:space="0" w:color="auto"/>
              <w:bottom w:val="single" w:sz="4" w:space="0" w:color="auto"/>
              <w:right w:val="single" w:sz="4" w:space="0" w:color="auto"/>
            </w:tcBorders>
            <w:hideMark/>
          </w:tcPr>
          <w:p w14:paraId="623C7255" w14:textId="77777777" w:rsidR="00791203" w:rsidRPr="00EB04F1" w:rsidRDefault="00791203" w:rsidP="003050E9">
            <w:pPr>
              <w:widowControl/>
              <w:spacing w:before="120"/>
              <w:jc w:val="both"/>
              <w:rPr>
                <w:b/>
                <w:i/>
                <w:sz w:val="22"/>
                <w:szCs w:val="22"/>
              </w:rPr>
            </w:pPr>
            <w:r w:rsidRPr="00EB04F1">
              <w:rPr>
                <w:b/>
                <w:i/>
                <w:sz w:val="22"/>
              </w:rPr>
              <w:t>Augsnes deskriptors</w:t>
            </w:r>
          </w:p>
        </w:tc>
        <w:tc>
          <w:tcPr>
            <w:tcW w:w="2122" w:type="dxa"/>
            <w:tcBorders>
              <w:top w:val="single" w:sz="4" w:space="0" w:color="auto"/>
              <w:left w:val="single" w:sz="4" w:space="0" w:color="auto"/>
              <w:bottom w:val="single" w:sz="4" w:space="0" w:color="auto"/>
              <w:right w:val="single" w:sz="4" w:space="0" w:color="auto"/>
            </w:tcBorders>
            <w:hideMark/>
          </w:tcPr>
          <w:p w14:paraId="43FB09B6" w14:textId="77777777" w:rsidR="00791203" w:rsidRPr="00EB04F1" w:rsidRDefault="00791203" w:rsidP="003050E9">
            <w:pPr>
              <w:widowControl/>
              <w:spacing w:before="120"/>
              <w:jc w:val="both"/>
              <w:rPr>
                <w:b/>
                <w:i/>
                <w:sz w:val="22"/>
                <w:szCs w:val="22"/>
              </w:rPr>
            </w:pPr>
            <w:r w:rsidRPr="00EB04F1">
              <w:rPr>
                <w:b/>
                <w:i/>
                <w:sz w:val="22"/>
              </w:rPr>
              <w:t>Izņēmumi</w:t>
            </w:r>
          </w:p>
        </w:tc>
        <w:tc>
          <w:tcPr>
            <w:tcW w:w="1790" w:type="dxa"/>
            <w:tcBorders>
              <w:top w:val="single" w:sz="4" w:space="0" w:color="auto"/>
              <w:left w:val="single" w:sz="4" w:space="0" w:color="auto"/>
              <w:bottom w:val="single" w:sz="4" w:space="0" w:color="auto"/>
              <w:right w:val="single" w:sz="4" w:space="0" w:color="auto"/>
            </w:tcBorders>
            <w:hideMark/>
          </w:tcPr>
          <w:p w14:paraId="10B05500" w14:textId="77777777" w:rsidR="00791203" w:rsidRPr="00EB04F1" w:rsidRDefault="00791203" w:rsidP="003050E9">
            <w:pPr>
              <w:widowControl/>
              <w:spacing w:before="120"/>
              <w:jc w:val="both"/>
              <w:rPr>
                <w:b/>
                <w:bCs/>
                <w:i/>
                <w:iCs/>
                <w:sz w:val="22"/>
                <w:szCs w:val="22"/>
              </w:rPr>
            </w:pPr>
            <w:r w:rsidRPr="00EB04F1">
              <w:rPr>
                <w:b/>
                <w:i/>
                <w:sz w:val="22"/>
              </w:rPr>
              <w:t>Piezīmes</w:t>
            </w:r>
          </w:p>
        </w:tc>
      </w:tr>
      <w:tr w:rsidR="00791203" w:rsidRPr="00EB04F1" w14:paraId="47A927B7" w14:textId="77777777" w:rsidTr="00791203">
        <w:tc>
          <w:tcPr>
            <w:tcW w:w="3007" w:type="dxa"/>
            <w:tcBorders>
              <w:top w:val="single" w:sz="4" w:space="0" w:color="auto"/>
              <w:left w:val="single" w:sz="4" w:space="0" w:color="auto"/>
              <w:bottom w:val="single" w:sz="4" w:space="0" w:color="auto"/>
              <w:right w:val="single" w:sz="4" w:space="0" w:color="auto"/>
            </w:tcBorders>
            <w:hideMark/>
          </w:tcPr>
          <w:p w14:paraId="06119788" w14:textId="77777777" w:rsidR="00791203" w:rsidRPr="00EB04F1" w:rsidRDefault="00791203" w:rsidP="003050E9">
            <w:pPr>
              <w:widowControl/>
              <w:spacing w:before="120"/>
              <w:jc w:val="both"/>
              <w:rPr>
                <w:b/>
                <w:i/>
                <w:sz w:val="22"/>
                <w:szCs w:val="22"/>
              </w:rPr>
            </w:pPr>
            <w:r w:rsidRPr="00EB04F1">
              <w:rPr>
                <w:b/>
                <w:i/>
                <w:sz w:val="22"/>
              </w:rPr>
              <w:t>Taksonomiskā daudzveidība</w:t>
            </w:r>
          </w:p>
        </w:tc>
        <w:tc>
          <w:tcPr>
            <w:tcW w:w="2715" w:type="dxa"/>
            <w:gridSpan w:val="2"/>
            <w:tcBorders>
              <w:top w:val="single" w:sz="4" w:space="0" w:color="auto"/>
              <w:left w:val="single" w:sz="4" w:space="0" w:color="auto"/>
              <w:bottom w:val="single" w:sz="4" w:space="0" w:color="auto"/>
              <w:right w:val="single" w:sz="4" w:space="0" w:color="auto"/>
            </w:tcBorders>
            <w:hideMark/>
          </w:tcPr>
          <w:p w14:paraId="6BEEE132"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dzīvnieku daudzveidība (bagātīgums) grupā (Collembola un Mites)</w:t>
            </w:r>
          </w:p>
          <w:p w14:paraId="46421C1F"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Invazīvo svešzemju sugu klātbūtne</w:t>
            </w:r>
          </w:p>
          <w:p w14:paraId="713DACE5"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Vīrusu daudzveidība, izmantojot metagenoma pieejas</w:t>
            </w:r>
          </w:p>
        </w:tc>
        <w:tc>
          <w:tcPr>
            <w:tcW w:w="2122" w:type="dxa"/>
            <w:tcBorders>
              <w:top w:val="single" w:sz="4" w:space="0" w:color="auto"/>
              <w:left w:val="single" w:sz="4" w:space="0" w:color="auto"/>
              <w:bottom w:val="single" w:sz="4" w:space="0" w:color="auto"/>
              <w:right w:val="single" w:sz="4" w:space="0" w:color="auto"/>
            </w:tcBorders>
            <w:hideMark/>
          </w:tcPr>
          <w:p w14:paraId="661ED303" w14:textId="77777777" w:rsidR="00791203" w:rsidRPr="00EB04F1" w:rsidRDefault="00791203" w:rsidP="003050E9">
            <w:pPr>
              <w:widowControl/>
              <w:spacing w:before="120"/>
              <w:jc w:val="both"/>
              <w:rPr>
                <w:b/>
                <w:i/>
                <w:sz w:val="22"/>
                <w:szCs w:val="22"/>
              </w:rPr>
            </w:pPr>
            <w:r w:rsidRPr="00EB04F1">
              <w:rPr>
                <w:b/>
                <w:i/>
                <w:sz w:val="22"/>
              </w:rPr>
              <w:t>-</w:t>
            </w:r>
          </w:p>
        </w:tc>
        <w:tc>
          <w:tcPr>
            <w:tcW w:w="1790" w:type="dxa"/>
            <w:tcBorders>
              <w:top w:val="single" w:sz="4" w:space="0" w:color="auto"/>
              <w:left w:val="single" w:sz="4" w:space="0" w:color="auto"/>
              <w:bottom w:val="single" w:sz="4" w:space="0" w:color="auto"/>
              <w:right w:val="single" w:sz="4" w:space="0" w:color="auto"/>
            </w:tcBorders>
            <w:hideMark/>
          </w:tcPr>
          <w:p w14:paraId="479203D0" w14:textId="77777777" w:rsidR="00791203" w:rsidRPr="00EB04F1" w:rsidRDefault="00791203" w:rsidP="003050E9">
            <w:pPr>
              <w:widowControl/>
              <w:spacing w:before="120"/>
              <w:jc w:val="both"/>
              <w:rPr>
                <w:b/>
                <w:i/>
                <w:sz w:val="22"/>
                <w:szCs w:val="22"/>
              </w:rPr>
            </w:pPr>
            <w:r w:rsidRPr="00EB04F1">
              <w:rPr>
                <w:b/>
                <w:i/>
                <w:sz w:val="22"/>
              </w:rPr>
              <w:t>Jāveic attiecībā uz augsnes virskārtu (0–10 cm, 10–30 cm (fakultatīvi))</w:t>
            </w:r>
          </w:p>
        </w:tc>
      </w:tr>
      <w:tr w:rsidR="00791203" w:rsidRPr="00EB04F1" w14:paraId="0F1A5B3C" w14:textId="77777777" w:rsidTr="00791203">
        <w:tc>
          <w:tcPr>
            <w:tcW w:w="3007" w:type="dxa"/>
            <w:tcBorders>
              <w:top w:val="single" w:sz="4" w:space="0" w:color="auto"/>
              <w:left w:val="single" w:sz="4" w:space="0" w:color="auto"/>
              <w:bottom w:val="single" w:sz="4" w:space="0" w:color="auto"/>
              <w:right w:val="single" w:sz="4" w:space="0" w:color="auto"/>
            </w:tcBorders>
            <w:hideMark/>
          </w:tcPr>
          <w:p w14:paraId="3F657990" w14:textId="77777777" w:rsidR="00791203" w:rsidRPr="00EB04F1" w:rsidRDefault="00791203" w:rsidP="003050E9">
            <w:pPr>
              <w:widowControl/>
              <w:spacing w:before="120"/>
              <w:jc w:val="both"/>
              <w:rPr>
                <w:b/>
                <w:i/>
                <w:sz w:val="22"/>
                <w:szCs w:val="22"/>
              </w:rPr>
            </w:pPr>
            <w:r w:rsidRPr="00EB04F1">
              <w:rPr>
                <w:b/>
                <w:i/>
                <w:sz w:val="22"/>
              </w:rPr>
              <w:t>Populācijas skaitliskums</w:t>
            </w:r>
          </w:p>
        </w:tc>
        <w:tc>
          <w:tcPr>
            <w:tcW w:w="2715" w:type="dxa"/>
            <w:gridSpan w:val="2"/>
            <w:tcBorders>
              <w:top w:val="single" w:sz="4" w:space="0" w:color="auto"/>
              <w:left w:val="single" w:sz="4" w:space="0" w:color="auto"/>
              <w:bottom w:val="single" w:sz="4" w:space="0" w:color="auto"/>
              <w:right w:val="single" w:sz="4" w:space="0" w:color="auto"/>
            </w:tcBorders>
            <w:hideMark/>
          </w:tcPr>
          <w:p w14:paraId="32F55A3C" w14:textId="77777777" w:rsidR="00791203" w:rsidRPr="00EB04F1" w:rsidRDefault="00791203" w:rsidP="003050E9">
            <w:pPr>
              <w:widowControl/>
              <w:spacing w:before="120"/>
              <w:ind w:left="347" w:hanging="360"/>
              <w:contextualSpacing/>
              <w:jc w:val="both"/>
              <w:rPr>
                <w:b/>
                <w:i/>
                <w:sz w:val="22"/>
                <w:szCs w:val="22"/>
              </w:rPr>
            </w:pPr>
            <w:r w:rsidRPr="00EB04F1">
              <w:rPr>
                <w:rFonts w:ascii="Symbol" w:hAnsi="Symbol"/>
                <w:sz w:val="22"/>
              </w:rPr>
              <w:sym w:font="Symbol" w:char="F0B7"/>
            </w:r>
            <w:r w:rsidRPr="00EB04F1">
              <w:rPr>
                <w:rFonts w:ascii="Symbol" w:hAnsi="Symbol"/>
                <w:sz w:val="22"/>
              </w:rPr>
              <w:tab/>
            </w:r>
            <w:r w:rsidRPr="00EB04F1">
              <w:rPr>
                <w:b/>
                <w:i/>
                <w:sz w:val="22"/>
              </w:rPr>
              <w:t>Augsnes dzīvnieku kopējais skaitliskums grupā (nematodes un sliekas)</w:t>
            </w:r>
          </w:p>
        </w:tc>
        <w:tc>
          <w:tcPr>
            <w:tcW w:w="2122" w:type="dxa"/>
            <w:tcBorders>
              <w:top w:val="single" w:sz="4" w:space="0" w:color="auto"/>
              <w:left w:val="single" w:sz="4" w:space="0" w:color="auto"/>
              <w:bottom w:val="single" w:sz="4" w:space="0" w:color="auto"/>
              <w:right w:val="single" w:sz="4" w:space="0" w:color="auto"/>
            </w:tcBorders>
            <w:hideMark/>
          </w:tcPr>
          <w:p w14:paraId="0993903C" w14:textId="77777777" w:rsidR="00791203" w:rsidRPr="00EB04F1" w:rsidRDefault="00791203" w:rsidP="003050E9">
            <w:pPr>
              <w:widowControl/>
              <w:spacing w:before="120"/>
              <w:jc w:val="both"/>
              <w:rPr>
                <w:b/>
                <w:i/>
                <w:sz w:val="22"/>
                <w:szCs w:val="22"/>
              </w:rPr>
            </w:pPr>
            <w:r w:rsidRPr="00EB04F1">
              <w:rPr>
                <w:b/>
                <w:i/>
                <w:sz w:val="22"/>
              </w:rPr>
              <w:t>-</w:t>
            </w:r>
          </w:p>
        </w:tc>
        <w:tc>
          <w:tcPr>
            <w:tcW w:w="1790" w:type="dxa"/>
            <w:tcBorders>
              <w:top w:val="single" w:sz="4" w:space="0" w:color="auto"/>
              <w:left w:val="single" w:sz="4" w:space="0" w:color="auto"/>
              <w:bottom w:val="single" w:sz="4" w:space="0" w:color="auto"/>
              <w:right w:val="single" w:sz="4" w:space="0" w:color="auto"/>
            </w:tcBorders>
            <w:hideMark/>
          </w:tcPr>
          <w:p w14:paraId="7D10F881" w14:textId="77777777" w:rsidR="00791203" w:rsidRPr="00EB04F1" w:rsidRDefault="00791203" w:rsidP="003050E9">
            <w:pPr>
              <w:widowControl/>
              <w:spacing w:before="120"/>
              <w:jc w:val="both"/>
              <w:rPr>
                <w:b/>
                <w:i/>
                <w:sz w:val="22"/>
                <w:szCs w:val="22"/>
              </w:rPr>
            </w:pPr>
            <w:r w:rsidRPr="00EB04F1">
              <w:rPr>
                <w:b/>
                <w:i/>
                <w:sz w:val="22"/>
              </w:rPr>
              <w:t>Jāveic attiecībā uz augsnes virskārtu (0–10 cm, 10–30 cm (fakultatīvi))</w:t>
            </w:r>
          </w:p>
        </w:tc>
      </w:tr>
      <w:tr w:rsidR="00791203" w:rsidRPr="00EB04F1" w14:paraId="63552A1D" w14:textId="77777777" w:rsidTr="00791203">
        <w:tc>
          <w:tcPr>
            <w:tcW w:w="9634" w:type="dxa"/>
            <w:gridSpan w:val="5"/>
            <w:tcBorders>
              <w:top w:val="single" w:sz="4" w:space="0" w:color="auto"/>
              <w:left w:val="single" w:sz="4" w:space="0" w:color="auto"/>
              <w:bottom w:val="single" w:sz="4" w:space="0" w:color="auto"/>
              <w:right w:val="single" w:sz="4" w:space="0" w:color="auto"/>
            </w:tcBorders>
            <w:hideMark/>
          </w:tcPr>
          <w:p w14:paraId="012AD5B5" w14:textId="77777777" w:rsidR="00791203" w:rsidRPr="00EB04F1" w:rsidRDefault="00791203" w:rsidP="003050E9">
            <w:pPr>
              <w:widowControl/>
              <w:spacing w:before="120"/>
              <w:jc w:val="both"/>
              <w:rPr>
                <w:b/>
                <w:i/>
                <w:sz w:val="22"/>
                <w:szCs w:val="22"/>
              </w:rPr>
            </w:pPr>
            <w:r w:rsidRPr="00EB04F1">
              <w:rPr>
                <w:b/>
                <w:i/>
                <w:sz w:val="22"/>
              </w:rPr>
              <w:t>Augsnes dzīvotne</w:t>
            </w:r>
          </w:p>
        </w:tc>
      </w:tr>
      <w:tr w:rsidR="00791203" w:rsidRPr="00EB04F1" w14:paraId="2B614A5B" w14:textId="77777777" w:rsidTr="00791203">
        <w:tc>
          <w:tcPr>
            <w:tcW w:w="3007" w:type="dxa"/>
            <w:tcBorders>
              <w:top w:val="single" w:sz="4" w:space="0" w:color="auto"/>
              <w:left w:val="single" w:sz="4" w:space="0" w:color="auto"/>
              <w:bottom w:val="single" w:sz="4" w:space="0" w:color="auto"/>
              <w:right w:val="single" w:sz="4" w:space="0" w:color="auto"/>
            </w:tcBorders>
            <w:hideMark/>
          </w:tcPr>
          <w:p w14:paraId="553D7E91" w14:textId="77777777" w:rsidR="00791203" w:rsidRPr="00EB04F1" w:rsidRDefault="00791203" w:rsidP="003050E9">
            <w:pPr>
              <w:widowControl/>
              <w:spacing w:before="120"/>
              <w:jc w:val="both"/>
              <w:rPr>
                <w:b/>
                <w:i/>
                <w:sz w:val="22"/>
                <w:szCs w:val="22"/>
              </w:rPr>
            </w:pPr>
            <w:r w:rsidRPr="00EB04F1">
              <w:rPr>
                <w:b/>
                <w:i/>
                <w:sz w:val="22"/>
              </w:rPr>
              <w:t>Augsnes dzīvotnes iezīmes</w:t>
            </w:r>
          </w:p>
        </w:tc>
        <w:tc>
          <w:tcPr>
            <w:tcW w:w="2715" w:type="dxa"/>
            <w:gridSpan w:val="2"/>
            <w:tcBorders>
              <w:top w:val="single" w:sz="4" w:space="0" w:color="auto"/>
              <w:left w:val="single" w:sz="4" w:space="0" w:color="auto"/>
              <w:bottom w:val="single" w:sz="4" w:space="0" w:color="auto"/>
              <w:right w:val="single" w:sz="4" w:space="0" w:color="auto"/>
            </w:tcBorders>
            <w:hideMark/>
          </w:tcPr>
          <w:p w14:paraId="332D526C" w14:textId="77777777" w:rsidR="00791203" w:rsidRPr="00EB04F1" w:rsidRDefault="00791203" w:rsidP="003050E9">
            <w:pPr>
              <w:widowControl/>
              <w:spacing w:before="120"/>
              <w:jc w:val="both"/>
              <w:rPr>
                <w:b/>
                <w:i/>
                <w:sz w:val="22"/>
                <w:szCs w:val="22"/>
              </w:rPr>
            </w:pPr>
            <w:r w:rsidRPr="00EB04F1">
              <w:rPr>
                <w:b/>
                <w:i/>
                <w:sz w:val="22"/>
              </w:rPr>
              <w:t>Augsnes deskriptors</w:t>
            </w:r>
          </w:p>
        </w:tc>
        <w:tc>
          <w:tcPr>
            <w:tcW w:w="2122" w:type="dxa"/>
            <w:tcBorders>
              <w:top w:val="single" w:sz="4" w:space="0" w:color="auto"/>
              <w:left w:val="single" w:sz="4" w:space="0" w:color="auto"/>
              <w:bottom w:val="single" w:sz="4" w:space="0" w:color="auto"/>
              <w:right w:val="single" w:sz="4" w:space="0" w:color="auto"/>
            </w:tcBorders>
            <w:hideMark/>
          </w:tcPr>
          <w:p w14:paraId="6CBFD997" w14:textId="77777777" w:rsidR="00791203" w:rsidRPr="00EB04F1" w:rsidRDefault="00791203" w:rsidP="003050E9">
            <w:pPr>
              <w:widowControl/>
              <w:spacing w:before="120"/>
              <w:jc w:val="both"/>
              <w:rPr>
                <w:b/>
                <w:i/>
                <w:sz w:val="22"/>
                <w:szCs w:val="22"/>
              </w:rPr>
            </w:pPr>
            <w:r w:rsidRPr="00EB04F1">
              <w:rPr>
                <w:b/>
                <w:i/>
                <w:sz w:val="22"/>
              </w:rPr>
              <w:t>Izņēmumi</w:t>
            </w:r>
          </w:p>
        </w:tc>
        <w:tc>
          <w:tcPr>
            <w:tcW w:w="1790" w:type="dxa"/>
            <w:tcBorders>
              <w:top w:val="single" w:sz="4" w:space="0" w:color="auto"/>
              <w:left w:val="single" w:sz="4" w:space="0" w:color="auto"/>
              <w:bottom w:val="single" w:sz="4" w:space="0" w:color="auto"/>
              <w:right w:val="single" w:sz="4" w:space="0" w:color="auto"/>
            </w:tcBorders>
            <w:hideMark/>
          </w:tcPr>
          <w:p w14:paraId="170B6653" w14:textId="77777777" w:rsidR="00791203" w:rsidRPr="00EB04F1" w:rsidRDefault="00791203" w:rsidP="003050E9">
            <w:pPr>
              <w:widowControl/>
              <w:spacing w:before="120"/>
              <w:jc w:val="both"/>
              <w:rPr>
                <w:b/>
                <w:bCs/>
                <w:i/>
                <w:iCs/>
                <w:sz w:val="22"/>
                <w:szCs w:val="22"/>
              </w:rPr>
            </w:pPr>
            <w:r w:rsidRPr="00EB04F1">
              <w:rPr>
                <w:b/>
                <w:i/>
                <w:sz w:val="22"/>
              </w:rPr>
              <w:t>Piezīmes</w:t>
            </w:r>
          </w:p>
        </w:tc>
      </w:tr>
    </w:tbl>
    <w:p w14:paraId="4E6E547B" w14:textId="77777777" w:rsidR="00791203" w:rsidRPr="00EB04F1" w:rsidRDefault="00791203" w:rsidP="00791203"/>
    <w:p w14:paraId="39CB6537" w14:textId="10A9EBDD" w:rsidR="00791203" w:rsidRPr="00EB04F1" w:rsidRDefault="00132248" w:rsidP="00132248">
      <w:pPr>
        <w:jc w:val="right"/>
        <w:rPr>
          <w:b/>
        </w:rPr>
      </w:pPr>
      <w:r w:rsidRPr="00EB04F1">
        <w:rPr>
          <w:b/>
        </w:rPr>
        <w:t xml:space="preserve"> [Gr. 200]</w:t>
      </w:r>
    </w:p>
    <w:p w14:paraId="61CA400B" w14:textId="77777777" w:rsidR="00132248" w:rsidRPr="00EB04F1" w:rsidRDefault="00132248" w:rsidP="00132248">
      <w:pPr>
        <w:jc w:val="right"/>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3433"/>
        <w:gridCol w:w="5634"/>
      </w:tblGrid>
      <w:tr w:rsidR="00DA4F3E" w:rsidRPr="00EB04F1" w14:paraId="75302D2A" w14:textId="77777777" w:rsidTr="005D02DE">
        <w:tc>
          <w:tcPr>
            <w:tcW w:w="9067" w:type="dxa"/>
            <w:gridSpan w:val="2"/>
          </w:tcPr>
          <w:p w14:paraId="37989F9D" w14:textId="4DEA00D3" w:rsidR="00DA4F3E" w:rsidRPr="00EB04F1" w:rsidRDefault="00DA4F3E" w:rsidP="00DF7EB4">
            <w:pPr>
              <w:spacing w:before="120" w:after="120"/>
              <w:rPr>
                <w:b/>
                <w:i/>
                <w:szCs w:val="24"/>
                <w:lang w:val="en-GB" w:eastAsia="en-US"/>
              </w:rPr>
            </w:pPr>
            <w:r w:rsidRPr="00EB04F1">
              <w:rPr>
                <w:b/>
                <w:i/>
                <w:szCs w:val="24"/>
                <w:lang w:val="en-GB" w:eastAsia="en-US"/>
              </w:rPr>
              <w:t>D daļa. Zemes aizņemšanas un augsnes noslēgšanas indikatori</w:t>
            </w:r>
          </w:p>
        </w:tc>
      </w:tr>
      <w:tr w:rsidR="00DA4F3E" w:rsidRPr="00EB04F1" w14:paraId="252FA46D" w14:textId="77777777" w:rsidTr="00132248">
        <w:tc>
          <w:tcPr>
            <w:tcW w:w="3433" w:type="dxa"/>
          </w:tcPr>
          <w:p w14:paraId="5441A103" w14:textId="77777777" w:rsidR="00DA4F3E" w:rsidRPr="00EB04F1" w:rsidRDefault="00DA4F3E" w:rsidP="00DF7EB4">
            <w:pPr>
              <w:spacing w:before="120" w:after="120"/>
              <w:rPr>
                <w:b/>
                <w:szCs w:val="24"/>
                <w:lang w:val="en-GB" w:eastAsia="en-US"/>
              </w:rPr>
            </w:pPr>
            <w:r w:rsidRPr="00EB04F1">
              <w:rPr>
                <w:b/>
                <w:szCs w:val="24"/>
                <w:lang w:val="en-GB" w:eastAsia="en-US"/>
              </w:rPr>
              <w:t>Augsnes degradācijas aspekts</w:t>
            </w:r>
          </w:p>
        </w:tc>
        <w:tc>
          <w:tcPr>
            <w:tcW w:w="5634" w:type="dxa"/>
          </w:tcPr>
          <w:p w14:paraId="74CADA8F" w14:textId="77777777" w:rsidR="00DA4F3E" w:rsidRPr="00EB04F1" w:rsidRDefault="00DA4F3E" w:rsidP="00DF7EB4">
            <w:pPr>
              <w:spacing w:before="120" w:after="120"/>
              <w:rPr>
                <w:b/>
                <w:szCs w:val="24"/>
                <w:lang w:val="en-GB" w:eastAsia="en-US"/>
              </w:rPr>
            </w:pPr>
            <w:r w:rsidRPr="00EB04F1">
              <w:rPr>
                <w:b/>
                <w:szCs w:val="24"/>
                <w:lang w:val="en-GB" w:eastAsia="en-US"/>
              </w:rPr>
              <w:t>Zemes aizņemšanas un augsnes noslēgšanas indikatori</w:t>
            </w:r>
          </w:p>
        </w:tc>
      </w:tr>
      <w:tr w:rsidR="00DA4F3E" w:rsidRPr="00EB04F1" w14:paraId="555CAFEB" w14:textId="77777777" w:rsidTr="00132248">
        <w:tc>
          <w:tcPr>
            <w:tcW w:w="3433" w:type="dxa"/>
          </w:tcPr>
          <w:p w14:paraId="2FC3A278" w14:textId="77777777" w:rsidR="00DA4F3E" w:rsidRPr="00EB04F1" w:rsidRDefault="00DA4F3E" w:rsidP="00DF7EB4">
            <w:pPr>
              <w:spacing w:before="120" w:after="120"/>
              <w:rPr>
                <w:szCs w:val="24"/>
                <w:lang w:val="en-GB" w:eastAsia="en-US"/>
              </w:rPr>
            </w:pPr>
            <w:r w:rsidRPr="00EB04F1">
              <w:rPr>
                <w:szCs w:val="24"/>
                <w:lang w:val="en-GB" w:eastAsia="en-US"/>
              </w:rPr>
              <w:t>Zemes aizņemšana un augsnes noslēgšana</w:t>
            </w:r>
          </w:p>
        </w:tc>
        <w:tc>
          <w:tcPr>
            <w:tcW w:w="5634" w:type="dxa"/>
          </w:tcPr>
          <w:p w14:paraId="7F3CAA42" w14:textId="77777777" w:rsidR="00DA4F3E" w:rsidRPr="00EB04F1" w:rsidRDefault="00DA4F3E" w:rsidP="00DF7EB4">
            <w:pPr>
              <w:spacing w:before="120" w:after="120"/>
              <w:rPr>
                <w:szCs w:val="24"/>
                <w:lang w:val="en-GB" w:eastAsia="en-US"/>
              </w:rPr>
            </w:pPr>
            <w:r w:rsidRPr="00EB04F1">
              <w:rPr>
                <w:szCs w:val="24"/>
                <w:lang w:val="en-GB" w:eastAsia="en-US"/>
              </w:rPr>
              <w:t xml:space="preserve">Kopējā mākslīgā zeme (km² un % no dalībvalsts platības) Aizņemtā zeme, atbrīvotā zeme, neto aizņemtā zeme (vidēji gadā — km² un % no dalībvalsts platības) Augsnes noslēgšana (km² un % no dalībvalsts platības) Dalībvalstis var mērīt arī </w:t>
            </w:r>
            <w:r w:rsidRPr="00EB04F1">
              <w:rPr>
                <w:szCs w:val="24"/>
                <w:lang w:val="en-GB" w:eastAsia="en-US"/>
              </w:rPr>
              <w:lastRenderedPageBreak/>
              <w:t>citus saistītus fakultatīvus indikatorus, piemēram, šādus: — zemes sadrumstalotība; — zemes reciklēšanas rādītājs; — zeme, kas aizņemta komercdarbībai, loģistikas mezgliem, atjaunīgajai enerģijai, tādas virsmas kā lidostas, ceļi, raktuves; — zemes aizņemšanas sekas, piemēram, skaitliski izteikts ekosistēmu pakalpojumu zudums, plūdu intensitātes izmaiņas</w:t>
            </w:r>
          </w:p>
        </w:tc>
      </w:tr>
    </w:tbl>
    <w:p w14:paraId="2B345808" w14:textId="77777777" w:rsidR="00132248" w:rsidRPr="00EB04F1" w:rsidRDefault="00132248" w:rsidP="00DF7EB4">
      <w:pPr>
        <w:spacing w:before="120" w:after="120"/>
        <w:rPr>
          <w:szCs w:val="24"/>
          <w:lang w:val="en-GB" w:eastAsia="en-US"/>
        </w:rPr>
        <w:sectPr w:rsidR="00132248" w:rsidRPr="00EB04F1">
          <w:footnotePr>
            <w:numRestart w:val="eachSect"/>
          </w:footnotePr>
          <w:pgSz w:w="11909" w:h="16834"/>
          <w:pgMar w:top="1134" w:right="1417" w:bottom="1417" w:left="1417" w:header="1134" w:footer="567" w:gutter="0"/>
          <w:cols w:space="720"/>
        </w:sectPr>
      </w:pPr>
    </w:p>
    <w:p w14:paraId="1DC18EC0" w14:textId="77777777" w:rsidR="00DA4F3E" w:rsidRPr="00EB04F1" w:rsidRDefault="00DA4F3E" w:rsidP="00DA4F3E">
      <w:pPr>
        <w:spacing w:before="120" w:after="120" w:line="360" w:lineRule="auto"/>
        <w:jc w:val="center"/>
        <w:rPr>
          <w:lang w:val="en-GB" w:eastAsia="en-US"/>
        </w:rPr>
      </w:pPr>
      <w:r w:rsidRPr="00EB04F1">
        <w:rPr>
          <w:lang w:val="en-GB" w:eastAsia="en-US"/>
        </w:rPr>
        <w:lastRenderedPageBreak/>
        <w:t>II PIELIKUMS</w:t>
      </w:r>
    </w:p>
    <w:p w14:paraId="258E2A6D" w14:textId="3A40118C" w:rsidR="00DA4F3E" w:rsidRPr="00EB04F1" w:rsidRDefault="00DA4F3E" w:rsidP="00DA4F3E">
      <w:pPr>
        <w:spacing w:before="120" w:after="120" w:line="360" w:lineRule="auto"/>
        <w:jc w:val="center"/>
        <w:rPr>
          <w:szCs w:val="24"/>
          <w:lang w:val="en-GB" w:eastAsia="en-US"/>
        </w:rPr>
      </w:pPr>
      <w:r w:rsidRPr="00EB04F1">
        <w:rPr>
          <w:szCs w:val="24"/>
          <w:lang w:val="en-GB" w:eastAsia="en-US"/>
        </w:rPr>
        <w:t xml:space="preserve">METODIKAS </w:t>
      </w:r>
    </w:p>
    <w:p w14:paraId="59FE66CC" w14:textId="77777777" w:rsidR="00DA4F3E" w:rsidRPr="00EB04F1" w:rsidRDefault="00DA4F3E" w:rsidP="00DA4F3E">
      <w:pPr>
        <w:spacing w:before="120" w:after="120" w:line="360" w:lineRule="auto"/>
        <w:jc w:val="center"/>
        <w:rPr>
          <w:szCs w:val="24"/>
          <w:lang w:val="en-GB" w:eastAsia="en-US"/>
        </w:rPr>
      </w:pPr>
      <w:r w:rsidRPr="00EB04F1">
        <w:rPr>
          <w:szCs w:val="24"/>
          <w:lang w:val="en-GB" w:eastAsia="en-US"/>
        </w:rPr>
        <w:t>I daļa</w:t>
      </w:r>
      <w:r w:rsidRPr="00EB04F1">
        <w:rPr>
          <w:szCs w:val="24"/>
          <w:lang w:val="en-GB" w:eastAsia="en-US"/>
        </w:rPr>
        <w:br/>
        <w:t>A daļa.</w:t>
      </w:r>
    </w:p>
    <w:p w14:paraId="31460928" w14:textId="77777777" w:rsidR="004111BE" w:rsidRPr="00EB04F1" w:rsidRDefault="004111BE" w:rsidP="004111BE">
      <w:pPr>
        <w:spacing w:before="120" w:after="120"/>
        <w:rPr>
          <w:strike/>
          <w:noProof/>
        </w:rPr>
      </w:pPr>
      <w:r w:rsidRPr="00EB04F1">
        <w:rPr>
          <w:strike/>
        </w:rPr>
        <w:t>A daļa. Paraugošanas punktu noteikšanas metodika</w:t>
      </w:r>
    </w:p>
    <w:tbl>
      <w:tblPr>
        <w:tblStyle w:val="TableGrid"/>
        <w:tblW w:w="9322" w:type="dxa"/>
        <w:tblLook w:val="04A0" w:firstRow="1" w:lastRow="0" w:firstColumn="1" w:lastColumn="0" w:noHBand="0" w:noVBand="1"/>
      </w:tblPr>
      <w:tblGrid>
        <w:gridCol w:w="3492"/>
        <w:gridCol w:w="5830"/>
      </w:tblGrid>
      <w:tr w:rsidR="004111BE" w:rsidRPr="00EB04F1" w14:paraId="192FD91D" w14:textId="77777777" w:rsidTr="003050E9">
        <w:tc>
          <w:tcPr>
            <w:tcW w:w="3492" w:type="dxa"/>
            <w:tcBorders>
              <w:top w:val="single" w:sz="4" w:space="0" w:color="auto"/>
              <w:left w:val="single" w:sz="4" w:space="0" w:color="auto"/>
              <w:bottom w:val="single" w:sz="4" w:space="0" w:color="auto"/>
              <w:right w:val="single" w:sz="4" w:space="0" w:color="auto"/>
            </w:tcBorders>
            <w:hideMark/>
          </w:tcPr>
          <w:p w14:paraId="66DA0E88" w14:textId="77777777" w:rsidR="004111BE" w:rsidRPr="00EB04F1" w:rsidRDefault="004111BE" w:rsidP="004111BE">
            <w:pPr>
              <w:spacing w:before="120" w:after="120"/>
              <w:rPr>
                <w:b/>
                <w:bCs/>
                <w:strike/>
                <w:noProof/>
              </w:rPr>
            </w:pPr>
            <w:r w:rsidRPr="00EB04F1">
              <w:rPr>
                <w:b/>
                <w:strike/>
              </w:rPr>
              <w:t>Darbība</w:t>
            </w:r>
          </w:p>
        </w:tc>
        <w:tc>
          <w:tcPr>
            <w:tcW w:w="5830" w:type="dxa"/>
            <w:tcBorders>
              <w:top w:val="single" w:sz="4" w:space="0" w:color="auto"/>
              <w:left w:val="single" w:sz="4" w:space="0" w:color="auto"/>
              <w:bottom w:val="single" w:sz="4" w:space="0" w:color="auto"/>
              <w:right w:val="single" w:sz="4" w:space="0" w:color="auto"/>
            </w:tcBorders>
            <w:hideMark/>
          </w:tcPr>
          <w:p w14:paraId="566C70CA" w14:textId="77777777" w:rsidR="004111BE" w:rsidRPr="00EB04F1" w:rsidRDefault="004111BE" w:rsidP="004111BE">
            <w:pPr>
              <w:spacing w:before="120" w:after="120"/>
              <w:rPr>
                <w:b/>
                <w:bCs/>
                <w:strike/>
                <w:noProof/>
              </w:rPr>
            </w:pPr>
            <w:r w:rsidRPr="00EB04F1">
              <w:rPr>
                <w:b/>
                <w:strike/>
              </w:rPr>
              <w:t>Metodisko kritēriju minimums</w:t>
            </w:r>
          </w:p>
        </w:tc>
      </w:tr>
      <w:tr w:rsidR="004111BE" w:rsidRPr="00EB04F1" w14:paraId="1D63EE02" w14:textId="77777777" w:rsidTr="003050E9">
        <w:tc>
          <w:tcPr>
            <w:tcW w:w="3492" w:type="dxa"/>
            <w:tcBorders>
              <w:top w:val="single" w:sz="4" w:space="0" w:color="auto"/>
              <w:left w:val="single" w:sz="4" w:space="0" w:color="auto"/>
              <w:bottom w:val="single" w:sz="4" w:space="0" w:color="auto"/>
              <w:right w:val="single" w:sz="4" w:space="0" w:color="auto"/>
            </w:tcBorders>
            <w:hideMark/>
          </w:tcPr>
          <w:p w14:paraId="5BA8FE4E" w14:textId="77777777" w:rsidR="004111BE" w:rsidRPr="00EB04F1" w:rsidRDefault="004111BE" w:rsidP="004111BE">
            <w:pPr>
              <w:spacing w:before="120" w:after="120"/>
              <w:rPr>
                <w:strike/>
                <w:noProof/>
              </w:rPr>
            </w:pPr>
            <w:r w:rsidRPr="00EB04F1">
              <w:rPr>
                <w:strike/>
              </w:rPr>
              <w:t>Augsnes paraugošanas punktu noteikšana (izlases veida apsekojums)</w:t>
            </w:r>
          </w:p>
        </w:tc>
        <w:tc>
          <w:tcPr>
            <w:tcW w:w="5830" w:type="dxa"/>
            <w:tcBorders>
              <w:top w:val="single" w:sz="4" w:space="0" w:color="auto"/>
              <w:left w:val="single" w:sz="4" w:space="0" w:color="auto"/>
              <w:bottom w:val="single" w:sz="4" w:space="0" w:color="auto"/>
              <w:right w:val="single" w:sz="4" w:space="0" w:color="auto"/>
            </w:tcBorders>
            <w:hideMark/>
          </w:tcPr>
          <w:p w14:paraId="7D30EF31" w14:textId="77777777" w:rsidR="004111BE" w:rsidRPr="00EB04F1" w:rsidRDefault="004111BE" w:rsidP="004111BE">
            <w:pPr>
              <w:spacing w:before="120" w:after="120"/>
              <w:rPr>
                <w:strike/>
                <w:noProof/>
              </w:rPr>
            </w:pPr>
            <w:r w:rsidRPr="00EB04F1">
              <w:rPr>
                <w:strike/>
              </w:rPr>
              <w:t>Izlases veida apsekojumu izstrādā, par pamatu ņemot pilnīgu izlases bāzi, kas satur labāko pieejamo informāciju par augsnes īpašību sadalījumu, arī — bet ne tikai — informāciju, kas iegūta iepriekšējos valsts mērījumos un LUCAS programmas mērījumos.</w:t>
            </w:r>
          </w:p>
          <w:p w14:paraId="59552A7A" w14:textId="77777777" w:rsidR="004111BE" w:rsidRPr="00EB04F1" w:rsidRDefault="004111BE" w:rsidP="004111BE">
            <w:pPr>
              <w:spacing w:before="120" w:after="120"/>
              <w:rPr>
                <w:strike/>
                <w:noProof/>
              </w:rPr>
            </w:pPr>
            <w:r w:rsidRPr="00EB04F1">
              <w:rPr>
                <w:strike/>
              </w:rPr>
              <w:t>Paraugošanas shēma ir stratificēta gadījumizlase, kas optimizēta ar augsnes veselības deskriptoriem.</w:t>
            </w:r>
          </w:p>
          <w:p w14:paraId="334B77F1" w14:textId="77777777" w:rsidR="004111BE" w:rsidRPr="00EB04F1" w:rsidRDefault="004111BE" w:rsidP="004111BE">
            <w:pPr>
              <w:spacing w:before="120" w:after="120"/>
              <w:rPr>
                <w:strike/>
                <w:noProof/>
              </w:rPr>
            </w:pPr>
            <w:r w:rsidRPr="00EB04F1">
              <w:rPr>
                <w:strike/>
              </w:rPr>
              <w:t>Vērtējot, kādā platībā augsnes ir veselīgas, valsts izlases lielums atbilst prasībai par maksimālo procentuālo kļūdu (jeb variācijas koeficientu) 5 %.</w:t>
            </w:r>
          </w:p>
          <w:p w14:paraId="7145286C" w14:textId="77777777" w:rsidR="004111BE" w:rsidRPr="00EB04F1" w:rsidRDefault="004111BE" w:rsidP="004111BE">
            <w:pPr>
              <w:spacing w:before="120" w:after="120"/>
              <w:rPr>
                <w:strike/>
                <w:noProof/>
              </w:rPr>
            </w:pPr>
            <w:r w:rsidRPr="00EB04F1">
              <w:rPr>
                <w:strike/>
              </w:rPr>
              <w:t>Komisijas izlase apsekojumam, ko veic saskaņā ar 6. panta 4. punktu, var veidot ne vairāk kā 20 % no valsts izlases lieluma.</w:t>
            </w:r>
          </w:p>
          <w:p w14:paraId="052CA934" w14:textId="30C0218D" w:rsidR="004111BE" w:rsidRPr="00EB04F1" w:rsidRDefault="004111BE" w:rsidP="004111BE">
            <w:pPr>
              <w:spacing w:before="120" w:after="120"/>
              <w:rPr>
                <w:strike/>
                <w:noProof/>
              </w:rPr>
            </w:pPr>
            <w:r w:rsidRPr="00EB04F1">
              <w:rPr>
                <w:strike/>
              </w:rPr>
              <w:t>Izlases sadalījumu un lielumu nosaka, piemērojot Betela algoritmu (Bethel, 1989)</w:t>
            </w:r>
            <w:r w:rsidRPr="00EB04F1">
              <w:rPr>
                <w:rStyle w:val="FootnoteReference"/>
                <w:strike/>
              </w:rPr>
              <w:footnoteReference w:id="63"/>
            </w:r>
            <w:r w:rsidRPr="00EB04F1">
              <w:rPr>
                <w:strike/>
              </w:rPr>
              <w:t xml:space="preserve">, ņemot vērā norādīto maksimālo aplēses kļūdu. </w:t>
            </w:r>
          </w:p>
        </w:tc>
      </w:tr>
    </w:tbl>
    <w:p w14:paraId="7C8002C2" w14:textId="77777777" w:rsidR="004111BE" w:rsidRPr="00EB04F1" w:rsidRDefault="004111BE" w:rsidP="004111BE">
      <w:pPr>
        <w:spacing w:after="60"/>
        <w:rPr>
          <w:b/>
          <w:i/>
          <w:sz w:val="22"/>
        </w:rPr>
      </w:pPr>
    </w:p>
    <w:p w14:paraId="4833348A" w14:textId="02E73F9C" w:rsidR="004111BE" w:rsidRPr="00EB04F1" w:rsidRDefault="004111BE" w:rsidP="004111BE">
      <w:pPr>
        <w:spacing w:before="120" w:after="120"/>
        <w:rPr>
          <w:rFonts w:cs="Calibri"/>
          <w:b/>
          <w:bCs/>
          <w:i/>
          <w:szCs w:val="24"/>
        </w:rPr>
      </w:pPr>
      <w:r w:rsidRPr="00EB04F1">
        <w:rPr>
          <w:b/>
          <w:i/>
          <w:szCs w:val="24"/>
        </w:rPr>
        <w:t>A daļa. Vispārīgās augsnes biodaudzveidības un augsnes ekoloģisko funkciju paraugošanas metodes</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4111BE" w:rsidRPr="00EB04F1" w14:paraId="42FD9F18" w14:textId="77777777" w:rsidTr="003050E9">
        <w:tc>
          <w:tcPr>
            <w:tcW w:w="3389" w:type="dxa"/>
            <w:tcBorders>
              <w:top w:val="single" w:sz="4" w:space="0" w:color="000000"/>
              <w:left w:val="single" w:sz="4" w:space="0" w:color="000000"/>
              <w:bottom w:val="single" w:sz="4" w:space="0" w:color="000000"/>
              <w:right w:val="single" w:sz="4" w:space="0" w:color="000000"/>
            </w:tcBorders>
            <w:hideMark/>
          </w:tcPr>
          <w:p w14:paraId="6F7364A0" w14:textId="77777777" w:rsidR="004111BE" w:rsidRPr="00EB04F1" w:rsidRDefault="004111BE" w:rsidP="004111BE">
            <w:pPr>
              <w:spacing w:after="120"/>
              <w:rPr>
                <w:rFonts w:cs="Calibri"/>
                <w:b/>
                <w:i/>
              </w:rPr>
            </w:pPr>
            <w:r w:rsidRPr="00EB04F1">
              <w:rPr>
                <w:b/>
                <w:i/>
              </w:rPr>
              <w:t>Darbība</w:t>
            </w:r>
          </w:p>
        </w:tc>
        <w:tc>
          <w:tcPr>
            <w:tcW w:w="5971" w:type="dxa"/>
            <w:tcBorders>
              <w:top w:val="single" w:sz="4" w:space="0" w:color="000000"/>
              <w:left w:val="single" w:sz="4" w:space="0" w:color="000000"/>
              <w:bottom w:val="single" w:sz="4" w:space="0" w:color="000000"/>
              <w:right w:val="single" w:sz="4" w:space="0" w:color="000000"/>
            </w:tcBorders>
            <w:hideMark/>
          </w:tcPr>
          <w:p w14:paraId="38E84DCE" w14:textId="77777777" w:rsidR="004111BE" w:rsidRPr="00EB04F1" w:rsidRDefault="004111BE" w:rsidP="004111BE">
            <w:pPr>
              <w:spacing w:after="120"/>
              <w:rPr>
                <w:rFonts w:cs="Calibri"/>
                <w:b/>
                <w:i/>
              </w:rPr>
            </w:pPr>
            <w:r w:rsidRPr="00EB04F1">
              <w:rPr>
                <w:b/>
                <w:i/>
              </w:rPr>
              <w:t>Metodikas atsauces kritēriji</w:t>
            </w:r>
          </w:p>
        </w:tc>
      </w:tr>
      <w:tr w:rsidR="004111BE" w:rsidRPr="00EB04F1" w14:paraId="3C3E546D" w14:textId="77777777" w:rsidTr="003050E9">
        <w:tc>
          <w:tcPr>
            <w:tcW w:w="3389" w:type="dxa"/>
            <w:tcBorders>
              <w:top w:val="single" w:sz="4" w:space="0" w:color="000000"/>
              <w:left w:val="single" w:sz="4" w:space="0" w:color="000000"/>
              <w:bottom w:val="single" w:sz="4" w:space="0" w:color="000000"/>
              <w:right w:val="single" w:sz="4" w:space="0" w:color="000000"/>
            </w:tcBorders>
            <w:hideMark/>
          </w:tcPr>
          <w:p w14:paraId="16CD2B98" w14:textId="77777777" w:rsidR="004111BE" w:rsidRPr="00EB04F1" w:rsidRDefault="004111BE" w:rsidP="004111BE">
            <w:pPr>
              <w:spacing w:after="120"/>
              <w:rPr>
                <w:rFonts w:cs="Calibri"/>
                <w:b/>
                <w:i/>
              </w:rPr>
            </w:pPr>
            <w:r w:rsidRPr="00EB04F1">
              <w:rPr>
                <w:b/>
                <w:i/>
              </w:rPr>
              <w:t>Augsnes ekoloģiskais monitorings</w:t>
            </w:r>
          </w:p>
        </w:tc>
        <w:tc>
          <w:tcPr>
            <w:tcW w:w="5971" w:type="dxa"/>
            <w:tcBorders>
              <w:top w:val="single" w:sz="4" w:space="0" w:color="000000"/>
              <w:left w:val="single" w:sz="4" w:space="0" w:color="000000"/>
              <w:bottom w:val="single" w:sz="4" w:space="0" w:color="000000"/>
              <w:right w:val="single" w:sz="4" w:space="0" w:color="000000"/>
            </w:tcBorders>
            <w:hideMark/>
          </w:tcPr>
          <w:p w14:paraId="580E31D2" w14:textId="77777777" w:rsidR="004111BE" w:rsidRPr="00EB04F1" w:rsidRDefault="004111BE" w:rsidP="004111BE">
            <w:pPr>
              <w:spacing w:after="120"/>
              <w:rPr>
                <w:rFonts w:cs="Calibri"/>
                <w:b/>
                <w:bCs/>
                <w:i/>
              </w:rPr>
            </w:pPr>
            <w:r w:rsidRPr="00EB04F1">
              <w:rPr>
                <w:b/>
                <w:i/>
              </w:rPr>
              <w:t>Paredzēts izmantot vienkāršu augsnes paraugu ņemšanas protokolu, ar kuru augsnes ekoloģisko paraugu ņemšanu var standartizēt visās dalībvalstīs un kuru var piemērot visiem 1. un 2. līmeņa augsnes deskriptoriem (augsnes ekoloģiskās funkcijas, augsnes biodaudzveidība un augsnes dzīvotnes deskriptori), izņemot augsnes faunas deskriptorus.</w:t>
            </w:r>
          </w:p>
          <w:p w14:paraId="339A29B2" w14:textId="77777777" w:rsidR="004111BE" w:rsidRPr="00EB04F1" w:rsidRDefault="004111BE" w:rsidP="004111BE">
            <w:pPr>
              <w:spacing w:after="120"/>
              <w:rPr>
                <w:rFonts w:cs="Calibri"/>
                <w:b/>
                <w:bCs/>
                <w:i/>
              </w:rPr>
            </w:pPr>
            <w:r w:rsidRPr="00EB04F1">
              <w:rPr>
                <w:b/>
                <w:i/>
              </w:rPr>
              <w:t xml:space="preserve">Ievērojot SoilBON paraugu ņemšanas protokolu, ņemot vērā viendabīgu 30 x 30 metru lielu kvadrātveida laukumu, izveido deviņus apakšparaugus kvadrātu stūros, centrā un starppunktos. Izmantojot metāla augsnes urbi vai līdzīgu instrumentu, ekstrahē augsnes daudzumu 5 cm </w:t>
            </w:r>
            <w:r w:rsidRPr="00EB04F1">
              <w:rPr>
                <w:b/>
                <w:i/>
              </w:rPr>
              <w:lastRenderedPageBreak/>
              <w:t xml:space="preserve">diametrā un 10 cm dziļumā. Augsnes dziļumu var palielināt līdz 30 cm, bet pirmajam slānim (līdz 10 cm) un otrajam slānim jābūt nodalītiem. </w:t>
            </w:r>
          </w:p>
        </w:tc>
      </w:tr>
      <w:tr w:rsidR="004111BE" w:rsidRPr="00EB04F1" w14:paraId="31BDB853" w14:textId="77777777" w:rsidTr="003050E9">
        <w:tc>
          <w:tcPr>
            <w:tcW w:w="3389" w:type="dxa"/>
            <w:tcBorders>
              <w:top w:val="single" w:sz="4" w:space="0" w:color="000000"/>
              <w:left w:val="single" w:sz="4" w:space="0" w:color="000000"/>
              <w:bottom w:val="single" w:sz="4" w:space="0" w:color="000000"/>
              <w:right w:val="single" w:sz="4" w:space="0" w:color="000000"/>
            </w:tcBorders>
            <w:hideMark/>
          </w:tcPr>
          <w:p w14:paraId="3E39AD5E" w14:textId="77777777" w:rsidR="004111BE" w:rsidRPr="00EB04F1" w:rsidRDefault="004111BE" w:rsidP="004111BE">
            <w:pPr>
              <w:spacing w:after="120"/>
              <w:rPr>
                <w:rFonts w:cs="Calibri"/>
                <w:b/>
                <w:i/>
              </w:rPr>
            </w:pPr>
            <w:r w:rsidRPr="00EB04F1">
              <w:rPr>
                <w:b/>
                <w:i/>
              </w:rPr>
              <w:lastRenderedPageBreak/>
              <w:t>Augsnes faunas monitorings</w:t>
            </w:r>
          </w:p>
        </w:tc>
        <w:tc>
          <w:tcPr>
            <w:tcW w:w="5971" w:type="dxa"/>
            <w:tcBorders>
              <w:top w:val="single" w:sz="4" w:space="0" w:color="000000"/>
              <w:left w:val="single" w:sz="4" w:space="0" w:color="000000"/>
              <w:bottom w:val="single" w:sz="4" w:space="0" w:color="000000"/>
              <w:right w:val="single" w:sz="4" w:space="0" w:color="000000"/>
            </w:tcBorders>
            <w:hideMark/>
          </w:tcPr>
          <w:p w14:paraId="45BCCBD6" w14:textId="77777777" w:rsidR="004111BE" w:rsidRPr="00EB04F1" w:rsidRDefault="004111BE" w:rsidP="004111BE">
            <w:pPr>
              <w:spacing w:after="120"/>
              <w:rPr>
                <w:rFonts w:cs="Calibri"/>
                <w:b/>
                <w:bCs/>
                <w:i/>
              </w:rPr>
            </w:pPr>
            <w:r w:rsidRPr="00EB04F1">
              <w:rPr>
                <w:b/>
                <w:i/>
              </w:rPr>
              <w:t>Sliekām: manuāla šķirošana, izmantojot protokolus, kas atbilst paraugošanas protokoliem, kuri aprakstīti Briones et al. 2020.</w:t>
            </w:r>
          </w:p>
          <w:p w14:paraId="76E49EAA" w14:textId="77777777" w:rsidR="004111BE" w:rsidRPr="00EB04F1" w:rsidRDefault="004111BE" w:rsidP="004111BE">
            <w:pPr>
              <w:spacing w:after="120"/>
              <w:rPr>
                <w:rFonts w:cs="Calibri"/>
                <w:b/>
                <w:bCs/>
                <w:i/>
              </w:rPr>
            </w:pPr>
            <w:r w:rsidRPr="00EB04F1">
              <w:rPr>
                <w:b/>
                <w:i/>
              </w:rPr>
              <w:t>Nematodēm: Izmantojot kritērijus, kas noteikti standarta SoilBON paraugošanas protokolā.</w:t>
            </w:r>
          </w:p>
          <w:p w14:paraId="3BA7DC5D" w14:textId="77777777" w:rsidR="004111BE" w:rsidRPr="00EB04F1" w:rsidRDefault="004111BE" w:rsidP="004111BE">
            <w:pPr>
              <w:spacing w:after="120"/>
              <w:rPr>
                <w:rFonts w:cs="Calibri"/>
                <w:b/>
                <w:bCs/>
                <w:i/>
              </w:rPr>
            </w:pPr>
            <w:r w:rsidRPr="00EB04F1">
              <w:rPr>
                <w:b/>
                <w:i/>
              </w:rPr>
              <w:t>Collembola un Mites: Izmantojot protokolus, kas izklāstīti Potapov et al. 2022.</w:t>
            </w:r>
          </w:p>
        </w:tc>
      </w:tr>
      <w:tr w:rsidR="004111BE" w:rsidRPr="00EB04F1" w14:paraId="2E620F07" w14:textId="77777777" w:rsidTr="003050E9">
        <w:tc>
          <w:tcPr>
            <w:tcW w:w="3389" w:type="dxa"/>
            <w:tcBorders>
              <w:top w:val="single" w:sz="4" w:space="0" w:color="000000"/>
              <w:left w:val="single" w:sz="4" w:space="0" w:color="000000"/>
              <w:bottom w:val="single" w:sz="4" w:space="0" w:color="000000"/>
              <w:right w:val="single" w:sz="4" w:space="0" w:color="000000"/>
            </w:tcBorders>
            <w:hideMark/>
          </w:tcPr>
          <w:p w14:paraId="56550824" w14:textId="77777777" w:rsidR="004111BE" w:rsidRPr="00EB04F1" w:rsidRDefault="004111BE" w:rsidP="004111BE">
            <w:pPr>
              <w:spacing w:after="120"/>
              <w:jc w:val="left"/>
              <w:rPr>
                <w:rFonts w:cs="Calibri"/>
                <w:b/>
                <w:i/>
              </w:rPr>
            </w:pPr>
            <w:r w:rsidRPr="00EB04F1">
              <w:rPr>
                <w:b/>
                <w:i/>
              </w:rPr>
              <w:t>Citi augsnes deskriptori paraugošanas punktā</w:t>
            </w:r>
          </w:p>
        </w:tc>
        <w:tc>
          <w:tcPr>
            <w:tcW w:w="5971" w:type="dxa"/>
            <w:tcBorders>
              <w:top w:val="single" w:sz="4" w:space="0" w:color="000000"/>
              <w:left w:val="single" w:sz="4" w:space="0" w:color="000000"/>
              <w:bottom w:val="single" w:sz="4" w:space="0" w:color="000000"/>
              <w:right w:val="single" w:sz="4" w:space="0" w:color="000000"/>
            </w:tcBorders>
            <w:hideMark/>
          </w:tcPr>
          <w:p w14:paraId="17262B91" w14:textId="77777777" w:rsidR="004111BE" w:rsidRPr="00EB04F1" w:rsidRDefault="004111BE" w:rsidP="004111BE">
            <w:pPr>
              <w:spacing w:after="120"/>
              <w:rPr>
                <w:rFonts w:cs="Calibri"/>
                <w:b/>
                <w:bCs/>
                <w:i/>
              </w:rPr>
            </w:pPr>
            <w:r w:rsidRPr="00EB04F1">
              <w:rPr>
                <w:b/>
                <w:i/>
              </w:rPr>
              <w:t>Dalībvalstis augsnes paraugošanai atsaucei izmanto LUCAS "Soil" metodiku.</w:t>
            </w:r>
          </w:p>
        </w:tc>
      </w:tr>
    </w:tbl>
    <w:p w14:paraId="36F0CA9F" w14:textId="4F8A9301" w:rsidR="006C20A6" w:rsidRPr="00EB04F1" w:rsidRDefault="006C20A6" w:rsidP="006C20A6">
      <w:pPr>
        <w:spacing w:before="120" w:after="120" w:line="360" w:lineRule="auto"/>
        <w:jc w:val="right"/>
        <w:rPr>
          <w:b/>
          <w:szCs w:val="24"/>
          <w:lang w:eastAsia="en-US"/>
        </w:rPr>
      </w:pPr>
      <w:r w:rsidRPr="00EB04F1">
        <w:rPr>
          <w:b/>
          <w:szCs w:val="24"/>
          <w:lang w:eastAsia="en-US"/>
        </w:rPr>
        <w:t xml:space="preserve"> [Gr. 201]</w:t>
      </w:r>
    </w:p>
    <w:p w14:paraId="6DDB4335" w14:textId="10899BD2" w:rsidR="00DA4F3E" w:rsidRPr="00EB04F1" w:rsidRDefault="00DA4F3E" w:rsidP="006C20A6">
      <w:pPr>
        <w:spacing w:before="120" w:after="120"/>
        <w:rPr>
          <w:szCs w:val="24"/>
          <w:lang w:eastAsia="en-US"/>
        </w:rPr>
      </w:pPr>
      <w:r w:rsidRPr="00EB04F1">
        <w:rPr>
          <w:szCs w:val="24"/>
          <w:lang w:eastAsia="en-US"/>
        </w:rPr>
        <w:t>B daļa.</w:t>
      </w:r>
      <w:r w:rsidR="006C20A6" w:rsidRPr="00EB04F1">
        <w:rPr>
          <w:szCs w:val="24"/>
          <w:lang w:eastAsia="en-US"/>
        </w:rPr>
        <w:t xml:space="preserve"> </w:t>
      </w:r>
      <w:r w:rsidRPr="00EB04F1">
        <w:rPr>
          <w:szCs w:val="24"/>
          <w:lang w:eastAsia="en-US"/>
        </w:rPr>
        <w:t>Augsnes deskriptoru vērtību noteikšanas vai aplēšanas metodika</w:t>
      </w:r>
    </w:p>
    <w:p w14:paraId="0FAE4756" w14:textId="54B2AE32" w:rsidR="00DA4F3E" w:rsidRPr="00EB04F1" w:rsidRDefault="00DA4F3E" w:rsidP="006C20A6">
      <w:pPr>
        <w:spacing w:before="120" w:after="120"/>
        <w:rPr>
          <w:szCs w:val="24"/>
          <w:lang w:eastAsia="en-US"/>
        </w:rPr>
      </w:pPr>
      <w:r w:rsidRPr="00EB04F1">
        <w:rPr>
          <w:szCs w:val="24"/>
          <w:lang w:eastAsia="en-US"/>
        </w:rPr>
        <w:t>Ja ir noteikta atsauces metodika, izmanto vai nu atsauces metodiku, vai citu metodiku, ja tā ir pieejama zinātniskajā literatūrā vai publiski pieejama un ir pieejama validēta pārneses funkcija.</w:t>
      </w:r>
    </w:p>
    <w:tbl>
      <w:tblPr>
        <w:tblStyle w:val="TableGrid"/>
        <w:tblW w:w="9351" w:type="dxa"/>
        <w:tblLook w:val="04A0" w:firstRow="1" w:lastRow="0" w:firstColumn="1" w:lastColumn="0" w:noHBand="0" w:noVBand="1"/>
      </w:tblPr>
      <w:tblGrid>
        <w:gridCol w:w="2003"/>
        <w:gridCol w:w="2377"/>
        <w:gridCol w:w="2845"/>
        <w:gridCol w:w="100"/>
        <w:gridCol w:w="2026"/>
      </w:tblGrid>
      <w:tr w:rsidR="006C20A6" w:rsidRPr="00EB04F1" w14:paraId="3E46AD83"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34444266" w14:textId="77777777" w:rsidR="006C20A6" w:rsidRPr="00EB04F1" w:rsidRDefault="006C20A6" w:rsidP="006C20A6">
            <w:pPr>
              <w:spacing w:before="120" w:after="120"/>
              <w:rPr>
                <w:b/>
                <w:bCs/>
                <w:strike/>
                <w:noProof/>
                <w:szCs w:val="24"/>
              </w:rPr>
            </w:pPr>
            <w:r w:rsidRPr="00EB04F1">
              <w:rPr>
                <w:b/>
                <w:strike/>
                <w:szCs w:val="24"/>
              </w:rPr>
              <w:t>Augsnes deskriptors</w:t>
            </w:r>
          </w:p>
        </w:tc>
        <w:tc>
          <w:tcPr>
            <w:tcW w:w="2377" w:type="dxa"/>
            <w:tcBorders>
              <w:top w:val="single" w:sz="4" w:space="0" w:color="auto"/>
              <w:left w:val="single" w:sz="4" w:space="0" w:color="auto"/>
              <w:bottom w:val="single" w:sz="4" w:space="0" w:color="auto"/>
              <w:right w:val="single" w:sz="4" w:space="0" w:color="auto"/>
            </w:tcBorders>
            <w:hideMark/>
          </w:tcPr>
          <w:p w14:paraId="39B402D2" w14:textId="77777777" w:rsidR="006C20A6" w:rsidRPr="00EB04F1" w:rsidRDefault="006C20A6" w:rsidP="006C20A6">
            <w:pPr>
              <w:spacing w:before="120" w:after="120"/>
              <w:rPr>
                <w:b/>
                <w:bCs/>
                <w:strike/>
                <w:noProof/>
                <w:szCs w:val="24"/>
              </w:rPr>
            </w:pPr>
            <w:r w:rsidRPr="00EB04F1">
              <w:rPr>
                <w:b/>
                <w:strike/>
                <w:szCs w:val="24"/>
              </w:rPr>
              <w:t>Atsauces metodika</w:t>
            </w:r>
          </w:p>
        </w:tc>
        <w:tc>
          <w:tcPr>
            <w:tcW w:w="2945" w:type="dxa"/>
            <w:gridSpan w:val="2"/>
            <w:tcBorders>
              <w:top w:val="single" w:sz="4" w:space="0" w:color="auto"/>
              <w:left w:val="single" w:sz="4" w:space="0" w:color="auto"/>
              <w:bottom w:val="single" w:sz="4" w:space="0" w:color="auto"/>
              <w:right w:val="single" w:sz="4" w:space="0" w:color="auto"/>
            </w:tcBorders>
            <w:hideMark/>
          </w:tcPr>
          <w:p w14:paraId="49DCFBDE" w14:textId="77777777" w:rsidR="006C20A6" w:rsidRPr="00EB04F1" w:rsidRDefault="006C20A6" w:rsidP="006C20A6">
            <w:pPr>
              <w:spacing w:before="120" w:after="120"/>
              <w:rPr>
                <w:b/>
                <w:bCs/>
                <w:strike/>
                <w:noProof/>
                <w:szCs w:val="24"/>
              </w:rPr>
            </w:pPr>
            <w:r w:rsidRPr="00EB04F1">
              <w:rPr>
                <w:b/>
                <w:strike/>
                <w:szCs w:val="24"/>
              </w:rPr>
              <w:t>Metodisko kritēriju minimums</w:t>
            </w:r>
          </w:p>
        </w:tc>
        <w:tc>
          <w:tcPr>
            <w:tcW w:w="2026" w:type="dxa"/>
            <w:tcBorders>
              <w:top w:val="single" w:sz="4" w:space="0" w:color="auto"/>
              <w:left w:val="single" w:sz="4" w:space="0" w:color="auto"/>
              <w:bottom w:val="single" w:sz="4" w:space="0" w:color="auto"/>
              <w:right w:val="single" w:sz="4" w:space="0" w:color="auto"/>
            </w:tcBorders>
            <w:hideMark/>
          </w:tcPr>
          <w:p w14:paraId="3DB75BB9" w14:textId="46D03994" w:rsidR="006C20A6" w:rsidRPr="00EB04F1" w:rsidRDefault="006C20A6" w:rsidP="00907A80">
            <w:pPr>
              <w:spacing w:before="120" w:after="120"/>
              <w:rPr>
                <w:b/>
                <w:bCs/>
                <w:strike/>
                <w:noProof/>
                <w:szCs w:val="24"/>
              </w:rPr>
            </w:pPr>
            <w:r w:rsidRPr="00EB04F1">
              <w:rPr>
                <w:b/>
                <w:strike/>
                <w:szCs w:val="24"/>
              </w:rPr>
              <w:t>Vai vajadzīga validēta pārneses funkcija (ja izmanto metodiku, kas atšķiras no atsauces metodikas</w:t>
            </w:r>
            <w:r w:rsidR="00907A80" w:rsidRPr="00EB04F1">
              <w:rPr>
                <w:rStyle w:val="FootnoteReference"/>
                <w:b/>
                <w:strike/>
                <w:szCs w:val="24"/>
              </w:rPr>
              <w:footnoteReference w:id="64"/>
            </w:r>
            <w:r w:rsidRPr="00EB04F1">
              <w:rPr>
                <w:b/>
                <w:strike/>
                <w:szCs w:val="24"/>
              </w:rPr>
              <w:t xml:space="preserve">)? </w:t>
            </w:r>
          </w:p>
        </w:tc>
      </w:tr>
      <w:tr w:rsidR="006C20A6" w:rsidRPr="00EB04F1" w14:paraId="5909A6AB"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387B443F" w14:textId="77777777" w:rsidR="006C20A6" w:rsidRPr="00EB04F1" w:rsidRDefault="006C20A6" w:rsidP="006C20A6">
            <w:pPr>
              <w:spacing w:before="120" w:after="120"/>
              <w:rPr>
                <w:strike/>
                <w:noProof/>
                <w:szCs w:val="24"/>
              </w:rPr>
            </w:pPr>
            <w:r w:rsidRPr="00EB04F1">
              <w:rPr>
                <w:strike/>
                <w:szCs w:val="24"/>
              </w:rPr>
              <w:t>Augsnes granulometriskais sastāvs (māla, putekļu un smilts saturs, kas vajadzīgs, lai noteiktu citus deskriptorus un saistītos diapazonus)</w:t>
            </w:r>
          </w:p>
        </w:tc>
        <w:tc>
          <w:tcPr>
            <w:tcW w:w="2377" w:type="dxa"/>
            <w:tcBorders>
              <w:top w:val="single" w:sz="4" w:space="0" w:color="auto"/>
              <w:left w:val="single" w:sz="4" w:space="0" w:color="auto"/>
              <w:bottom w:val="single" w:sz="4" w:space="0" w:color="auto"/>
              <w:right w:val="single" w:sz="4" w:space="0" w:color="auto"/>
            </w:tcBorders>
            <w:hideMark/>
          </w:tcPr>
          <w:p w14:paraId="6BF5ED91" w14:textId="77777777" w:rsidR="006C20A6" w:rsidRPr="00EB04F1" w:rsidRDefault="006C20A6" w:rsidP="006C20A6">
            <w:pPr>
              <w:spacing w:before="120" w:after="120"/>
              <w:rPr>
                <w:strike/>
                <w:noProof/>
                <w:szCs w:val="24"/>
              </w:rPr>
            </w:pPr>
            <w:r w:rsidRPr="00EB04F1">
              <w:rPr>
                <w:strike/>
                <w:szCs w:val="24"/>
              </w:rPr>
              <w:t>Vēlamā metode: ISO 11277:1998. Augsnes minerālmateriāla granulometriskā sastāva noteikšana. Sijāšanas un nostādināšanas metode</w:t>
            </w:r>
            <w:r w:rsidRPr="00EB04F1">
              <w:rPr>
                <w:strike/>
                <w:szCs w:val="24"/>
              </w:rPr>
              <w:cr/>
            </w:r>
            <w:r w:rsidRPr="00EB04F1">
              <w:rPr>
                <w:strike/>
                <w:szCs w:val="24"/>
              </w:rPr>
              <w:br/>
              <w:t>Alternatīva metode: ISO 13320:2009. Daļiņu lieluma analīze. Lāzerdifrakcijas metodes</w:t>
            </w:r>
          </w:p>
        </w:tc>
        <w:tc>
          <w:tcPr>
            <w:tcW w:w="2945" w:type="dxa"/>
            <w:gridSpan w:val="2"/>
            <w:tcBorders>
              <w:top w:val="single" w:sz="4" w:space="0" w:color="auto"/>
              <w:left w:val="single" w:sz="4" w:space="0" w:color="auto"/>
              <w:bottom w:val="single" w:sz="4" w:space="0" w:color="auto"/>
              <w:right w:val="single" w:sz="4" w:space="0" w:color="auto"/>
            </w:tcBorders>
          </w:tcPr>
          <w:p w14:paraId="54A7B4DB" w14:textId="77777777" w:rsidR="006C20A6" w:rsidRPr="00EB04F1" w:rsidRDefault="006C20A6" w:rsidP="006C20A6">
            <w:pPr>
              <w:spacing w:before="120" w:after="120"/>
              <w:rPr>
                <w:strike/>
                <w:noProof/>
                <w:szCs w:val="24"/>
              </w:rPr>
            </w:pPr>
          </w:p>
        </w:tc>
        <w:tc>
          <w:tcPr>
            <w:tcW w:w="2026" w:type="dxa"/>
            <w:tcBorders>
              <w:top w:val="single" w:sz="4" w:space="0" w:color="auto"/>
              <w:left w:val="single" w:sz="4" w:space="0" w:color="auto"/>
              <w:bottom w:val="single" w:sz="4" w:space="0" w:color="auto"/>
              <w:right w:val="single" w:sz="4" w:space="0" w:color="auto"/>
            </w:tcBorders>
            <w:hideMark/>
          </w:tcPr>
          <w:p w14:paraId="40D22607" w14:textId="77777777" w:rsidR="006C20A6" w:rsidRPr="00EB04F1" w:rsidRDefault="006C20A6" w:rsidP="006C20A6">
            <w:pPr>
              <w:spacing w:before="120" w:after="120"/>
              <w:rPr>
                <w:strike/>
                <w:noProof/>
                <w:szCs w:val="24"/>
              </w:rPr>
            </w:pPr>
            <w:r w:rsidRPr="00EB04F1">
              <w:rPr>
                <w:strike/>
                <w:szCs w:val="24"/>
              </w:rPr>
              <w:t>JĀ</w:t>
            </w:r>
          </w:p>
        </w:tc>
      </w:tr>
      <w:tr w:rsidR="006C20A6" w:rsidRPr="00EB04F1" w14:paraId="275217DB"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624BDCF0" w14:textId="77777777" w:rsidR="006C20A6" w:rsidRPr="00EB04F1" w:rsidRDefault="006C20A6" w:rsidP="006C20A6">
            <w:pPr>
              <w:spacing w:before="120" w:after="120"/>
              <w:rPr>
                <w:bCs/>
                <w:strike/>
                <w:noProof/>
                <w:szCs w:val="24"/>
              </w:rPr>
            </w:pPr>
            <w:r w:rsidRPr="00EB04F1">
              <w:rPr>
                <w:strike/>
                <w:szCs w:val="24"/>
              </w:rPr>
              <w:lastRenderedPageBreak/>
              <w:t>Elektrovadītspēja</w:t>
            </w:r>
          </w:p>
        </w:tc>
        <w:tc>
          <w:tcPr>
            <w:tcW w:w="2377" w:type="dxa"/>
            <w:tcBorders>
              <w:top w:val="single" w:sz="4" w:space="0" w:color="auto"/>
              <w:left w:val="single" w:sz="4" w:space="0" w:color="auto"/>
              <w:bottom w:val="single" w:sz="4" w:space="0" w:color="auto"/>
              <w:right w:val="single" w:sz="4" w:space="0" w:color="auto"/>
            </w:tcBorders>
            <w:hideMark/>
          </w:tcPr>
          <w:p w14:paraId="1367D5D5" w14:textId="76165790" w:rsidR="006C20A6" w:rsidRPr="00EB04F1" w:rsidRDefault="006C20A6" w:rsidP="00907A80">
            <w:pPr>
              <w:spacing w:before="120" w:after="120"/>
              <w:rPr>
                <w:strike/>
                <w:noProof/>
                <w:szCs w:val="24"/>
              </w:rPr>
            </w:pPr>
            <w:r w:rsidRPr="00EB04F1">
              <w:rPr>
                <w:strike/>
                <w:szCs w:val="24"/>
              </w:rPr>
              <w:t>1. variants. piesātinātās augsnes pastas izvilkuma mērīšanas metode (FAO standarta operāciju procedūra GLOSOLAN-SOP-08</w:t>
            </w:r>
            <w:r w:rsidR="00907A80" w:rsidRPr="00EB04F1">
              <w:rPr>
                <w:rStyle w:val="FootnoteReference"/>
                <w:strike/>
                <w:szCs w:val="24"/>
              </w:rPr>
              <w:footnoteReference w:id="65"/>
            </w:r>
            <w:r w:rsidRPr="00EB04F1">
              <w:rPr>
                <w:strike/>
                <w:szCs w:val="24"/>
              </w:rPr>
              <w:t>)2. variants. ISO 11265:1994. Īpatnējās elektrovadītspējas noteikšana</w:t>
            </w:r>
          </w:p>
        </w:tc>
        <w:tc>
          <w:tcPr>
            <w:tcW w:w="2945" w:type="dxa"/>
            <w:gridSpan w:val="2"/>
            <w:tcBorders>
              <w:top w:val="single" w:sz="4" w:space="0" w:color="auto"/>
              <w:left w:val="single" w:sz="4" w:space="0" w:color="auto"/>
              <w:bottom w:val="single" w:sz="4" w:space="0" w:color="auto"/>
              <w:right w:val="single" w:sz="4" w:space="0" w:color="auto"/>
            </w:tcBorders>
          </w:tcPr>
          <w:p w14:paraId="1182FC69" w14:textId="77777777" w:rsidR="006C20A6" w:rsidRPr="00EB04F1" w:rsidRDefault="006C20A6" w:rsidP="006C20A6">
            <w:pPr>
              <w:spacing w:before="120" w:after="120"/>
              <w:rPr>
                <w:strike/>
                <w:noProof/>
                <w:szCs w:val="24"/>
              </w:rPr>
            </w:pPr>
          </w:p>
        </w:tc>
        <w:tc>
          <w:tcPr>
            <w:tcW w:w="2026" w:type="dxa"/>
            <w:tcBorders>
              <w:top w:val="single" w:sz="4" w:space="0" w:color="auto"/>
              <w:left w:val="single" w:sz="4" w:space="0" w:color="auto"/>
              <w:bottom w:val="single" w:sz="4" w:space="0" w:color="auto"/>
              <w:right w:val="single" w:sz="4" w:space="0" w:color="auto"/>
            </w:tcBorders>
            <w:hideMark/>
          </w:tcPr>
          <w:p w14:paraId="691A0C2D" w14:textId="77777777" w:rsidR="006C20A6" w:rsidRPr="00EB04F1" w:rsidRDefault="006C20A6" w:rsidP="006C20A6">
            <w:pPr>
              <w:spacing w:before="120" w:after="120"/>
              <w:rPr>
                <w:strike/>
                <w:noProof/>
                <w:szCs w:val="24"/>
              </w:rPr>
            </w:pPr>
            <w:r w:rsidRPr="00EB04F1">
              <w:rPr>
                <w:strike/>
                <w:szCs w:val="24"/>
              </w:rPr>
              <w:t>JĀ</w:t>
            </w:r>
          </w:p>
        </w:tc>
      </w:tr>
      <w:tr w:rsidR="006C20A6" w:rsidRPr="00EB04F1" w14:paraId="1688CC26"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1369E98E" w14:textId="77777777" w:rsidR="006C20A6" w:rsidRPr="00EB04F1" w:rsidRDefault="006C20A6" w:rsidP="006C20A6">
            <w:pPr>
              <w:spacing w:before="120" w:after="120"/>
              <w:rPr>
                <w:bCs/>
                <w:strike/>
                <w:noProof/>
                <w:szCs w:val="24"/>
              </w:rPr>
            </w:pPr>
            <w:r w:rsidRPr="00EB04F1">
              <w:rPr>
                <w:strike/>
                <w:szCs w:val="24"/>
              </w:rPr>
              <w:t>Augsnes erozijas rādītājs</w:t>
            </w:r>
          </w:p>
        </w:tc>
        <w:tc>
          <w:tcPr>
            <w:tcW w:w="2377" w:type="dxa"/>
            <w:tcBorders>
              <w:top w:val="single" w:sz="4" w:space="0" w:color="auto"/>
              <w:left w:val="single" w:sz="4" w:space="0" w:color="auto"/>
              <w:bottom w:val="single" w:sz="4" w:space="0" w:color="auto"/>
              <w:right w:val="single" w:sz="4" w:space="0" w:color="auto"/>
            </w:tcBorders>
          </w:tcPr>
          <w:p w14:paraId="61319A84" w14:textId="77777777" w:rsidR="006C20A6" w:rsidRPr="00EB04F1" w:rsidRDefault="006C20A6" w:rsidP="006C20A6">
            <w:pPr>
              <w:spacing w:before="120" w:after="120"/>
              <w:rPr>
                <w:strike/>
                <w:noProof/>
                <w:szCs w:val="24"/>
              </w:rPr>
            </w:pPr>
          </w:p>
        </w:tc>
        <w:tc>
          <w:tcPr>
            <w:tcW w:w="2945" w:type="dxa"/>
            <w:gridSpan w:val="2"/>
            <w:tcBorders>
              <w:top w:val="single" w:sz="4" w:space="0" w:color="auto"/>
              <w:left w:val="single" w:sz="4" w:space="0" w:color="auto"/>
              <w:bottom w:val="single" w:sz="4" w:space="0" w:color="auto"/>
              <w:right w:val="single" w:sz="4" w:space="0" w:color="auto"/>
            </w:tcBorders>
            <w:hideMark/>
          </w:tcPr>
          <w:p w14:paraId="4701A10E" w14:textId="77777777" w:rsidR="006C20A6" w:rsidRPr="00EB04F1" w:rsidRDefault="006C20A6" w:rsidP="006C20A6">
            <w:pPr>
              <w:spacing w:before="120" w:after="120"/>
              <w:rPr>
                <w:strike/>
                <w:noProof/>
                <w:szCs w:val="24"/>
              </w:rPr>
            </w:pPr>
            <w:r w:rsidRPr="00EB04F1">
              <w:rPr>
                <w:strike/>
                <w:szCs w:val="24"/>
              </w:rPr>
              <w:t>Nosakot augsnes erozijas rādītāju, ņem vērā visas darbības, kas veiktas, lai mazinātu vai kompensētu erozijas risku, arī pēc ugunsgrēka veiktos mitigācijas pasākumus.</w:t>
            </w:r>
          </w:p>
          <w:p w14:paraId="248C6D87" w14:textId="77777777" w:rsidR="006C20A6" w:rsidRPr="00EB04F1" w:rsidRDefault="006C20A6" w:rsidP="006C20A6">
            <w:pPr>
              <w:spacing w:before="120" w:after="120"/>
              <w:rPr>
                <w:strike/>
                <w:noProof/>
                <w:szCs w:val="24"/>
              </w:rPr>
            </w:pPr>
            <w:r w:rsidRPr="00EB04F1">
              <w:rPr>
                <w:strike/>
                <w:szCs w:val="24"/>
              </w:rPr>
              <w:t>Augsnes erozijas rādītāja aplēsē iekļauj visus relevantos erozijas procesus, piemēram, ūdens, vēja, ražas novākšanas un augsnes apstrādes izraisīto eroziju.</w:t>
            </w:r>
          </w:p>
          <w:p w14:paraId="3A52ACE9" w14:textId="77777777" w:rsidR="006C20A6" w:rsidRPr="00EB04F1" w:rsidRDefault="006C20A6" w:rsidP="006C20A6">
            <w:pPr>
              <w:spacing w:before="120" w:after="120"/>
              <w:rPr>
                <w:strike/>
                <w:noProof/>
                <w:szCs w:val="24"/>
              </w:rPr>
            </w:pPr>
            <w:r w:rsidRPr="00EB04F1">
              <w:rPr>
                <w:strike/>
                <w:szCs w:val="24"/>
              </w:rPr>
              <w:t xml:space="preserve">Ūdens izraisīto augsnes eroziju novērtē, ņemot vērā šādus faktorus: </w:t>
            </w:r>
          </w:p>
          <w:p w14:paraId="10C02A75"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augsnes īpašības (piemēram, erodējamība, augsnes garozas veidošanās, augsnes nelīdzenums),</w:t>
            </w:r>
          </w:p>
          <w:p w14:paraId="37298CBE"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klimats (piemēram, nokrišņu erozivitāte — intensitāte un ilgums, ņemot vērā attiecīgās klimata pārmaiņu prognozes konkrētajam apgabalam),</w:t>
            </w:r>
          </w:p>
          <w:p w14:paraId="50091E61"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topogrāfija (piemēram, nogāzes stāvums un garums),</w:t>
            </w:r>
          </w:p>
          <w:p w14:paraId="08DF426A" w14:textId="77777777" w:rsidR="006C20A6" w:rsidRPr="00EB04F1" w:rsidRDefault="006C20A6" w:rsidP="006C20A6">
            <w:pPr>
              <w:spacing w:before="120" w:after="120"/>
              <w:ind w:left="538" w:hanging="538"/>
              <w:rPr>
                <w:strike/>
                <w:noProof/>
                <w:szCs w:val="24"/>
              </w:rPr>
            </w:pPr>
            <w:r w:rsidRPr="00EB04F1">
              <w:rPr>
                <w:strike/>
                <w:szCs w:val="24"/>
              </w:rPr>
              <w:lastRenderedPageBreak/>
              <w:t xml:space="preserve"> -</w:t>
            </w:r>
            <w:r w:rsidRPr="00EB04F1">
              <w:rPr>
                <w:strike/>
                <w:szCs w:val="24"/>
              </w:rPr>
              <w:tab/>
              <w:t>augu sega, kultūraugu veids, zemes izmantojums un apsaimniekošanas prakse erozijas ierobežošanai vai mazināšanai,</w:t>
            </w:r>
          </w:p>
          <w:p w14:paraId="78038172"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apsaimniekošanas prakse (piemēram, sedzējaugi, samazināta augsnes apstrāde, mulčēšana u. c.),</w:t>
            </w:r>
          </w:p>
          <w:p w14:paraId="3989E14F"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izdegušās platības.</w:t>
            </w:r>
          </w:p>
          <w:p w14:paraId="799566F1" w14:textId="77777777" w:rsidR="006C20A6" w:rsidRPr="00EB04F1" w:rsidRDefault="006C20A6" w:rsidP="006C20A6">
            <w:pPr>
              <w:spacing w:before="120" w:after="120"/>
              <w:rPr>
                <w:strike/>
                <w:noProof/>
                <w:szCs w:val="24"/>
              </w:rPr>
            </w:pPr>
            <w:r w:rsidRPr="00EB04F1">
              <w:rPr>
                <w:strike/>
                <w:szCs w:val="24"/>
              </w:rPr>
              <w:t>Vēja izraisīto augsnes eroziju novērtē, ņemot vērā šādus faktorus:</w:t>
            </w:r>
          </w:p>
          <w:p w14:paraId="739B242F" w14:textId="77777777" w:rsidR="006C20A6" w:rsidRPr="00EB04F1" w:rsidRDefault="006C20A6" w:rsidP="006C20A6">
            <w:pPr>
              <w:spacing w:before="120" w:after="120"/>
              <w:ind w:left="538" w:hanging="538"/>
              <w:rPr>
                <w:strike/>
                <w:noProof/>
                <w:szCs w:val="24"/>
              </w:rPr>
            </w:pPr>
            <w:r w:rsidRPr="00EB04F1">
              <w:rPr>
                <w:strike/>
                <w:szCs w:val="24"/>
              </w:rPr>
              <w:t xml:space="preserve"> -</w:t>
            </w:r>
            <w:r w:rsidRPr="00EB04F1">
              <w:rPr>
                <w:strike/>
                <w:szCs w:val="24"/>
              </w:rPr>
              <w:tab/>
              <w:t>augsnes īpašības (piemēram, erodējamība),</w:t>
            </w:r>
          </w:p>
          <w:p w14:paraId="21C80A00"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klimats (piemēram, augsnes mitrums, vēja ātrums, iztvaikošana),</w:t>
            </w:r>
          </w:p>
          <w:p w14:paraId="12345D45"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veģetācija (piemēram, kultūraugu veids),</w:t>
            </w:r>
          </w:p>
          <w:p w14:paraId="7DEAED8A"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apsaimniekošanas prakse erozijas ierobežošanai vai mazināšanai (piemēram, vējlauži).</w:t>
            </w:r>
          </w:p>
        </w:tc>
        <w:tc>
          <w:tcPr>
            <w:tcW w:w="2026" w:type="dxa"/>
            <w:tcBorders>
              <w:top w:val="single" w:sz="4" w:space="0" w:color="auto"/>
              <w:left w:val="single" w:sz="4" w:space="0" w:color="auto"/>
              <w:bottom w:val="single" w:sz="4" w:space="0" w:color="auto"/>
              <w:right w:val="single" w:sz="4" w:space="0" w:color="auto"/>
            </w:tcBorders>
            <w:hideMark/>
          </w:tcPr>
          <w:p w14:paraId="38A7C04B" w14:textId="77777777" w:rsidR="006C20A6" w:rsidRPr="00EB04F1" w:rsidRDefault="006C20A6" w:rsidP="006C20A6">
            <w:pPr>
              <w:spacing w:before="120" w:after="120"/>
              <w:rPr>
                <w:strike/>
                <w:noProof/>
                <w:szCs w:val="24"/>
              </w:rPr>
            </w:pPr>
            <w:r w:rsidRPr="00EB04F1">
              <w:rPr>
                <w:strike/>
                <w:szCs w:val="24"/>
              </w:rPr>
              <w:lastRenderedPageBreak/>
              <w:t>Neattiecas</w:t>
            </w:r>
          </w:p>
        </w:tc>
      </w:tr>
      <w:tr w:rsidR="006C20A6" w:rsidRPr="00EB04F1" w14:paraId="34A11408" w14:textId="77777777" w:rsidTr="001C7579">
        <w:trPr>
          <w:trHeight w:val="662"/>
        </w:trPr>
        <w:tc>
          <w:tcPr>
            <w:tcW w:w="2003" w:type="dxa"/>
            <w:tcBorders>
              <w:top w:val="single" w:sz="4" w:space="0" w:color="auto"/>
              <w:left w:val="single" w:sz="4" w:space="0" w:color="auto"/>
              <w:bottom w:val="single" w:sz="4" w:space="0" w:color="auto"/>
              <w:right w:val="single" w:sz="4" w:space="0" w:color="auto"/>
            </w:tcBorders>
            <w:hideMark/>
          </w:tcPr>
          <w:p w14:paraId="190C8B8C" w14:textId="77777777" w:rsidR="006C20A6" w:rsidRPr="00EB04F1" w:rsidRDefault="006C20A6" w:rsidP="006C20A6">
            <w:pPr>
              <w:spacing w:before="120" w:after="120"/>
              <w:rPr>
                <w:strike/>
                <w:noProof/>
                <w:szCs w:val="24"/>
              </w:rPr>
            </w:pPr>
            <w:r w:rsidRPr="00EB04F1">
              <w:rPr>
                <w:strike/>
                <w:szCs w:val="24"/>
              </w:rPr>
              <w:t>Augsnes organiskais ogleklis (AOO)</w:t>
            </w:r>
          </w:p>
        </w:tc>
        <w:tc>
          <w:tcPr>
            <w:tcW w:w="2377" w:type="dxa"/>
            <w:tcBorders>
              <w:top w:val="single" w:sz="4" w:space="0" w:color="auto"/>
              <w:left w:val="single" w:sz="4" w:space="0" w:color="auto"/>
              <w:bottom w:val="single" w:sz="4" w:space="0" w:color="auto"/>
              <w:right w:val="single" w:sz="4" w:space="0" w:color="auto"/>
            </w:tcBorders>
            <w:hideMark/>
          </w:tcPr>
          <w:p w14:paraId="1152471D" w14:textId="77777777" w:rsidR="006C20A6" w:rsidRPr="00EB04F1" w:rsidRDefault="006C20A6" w:rsidP="006C20A6">
            <w:pPr>
              <w:spacing w:before="120" w:after="120"/>
              <w:rPr>
                <w:strike/>
                <w:noProof/>
                <w:szCs w:val="24"/>
              </w:rPr>
            </w:pPr>
            <w:r w:rsidRPr="00EB04F1">
              <w:rPr>
                <w:strike/>
                <w:szCs w:val="24"/>
              </w:rPr>
              <w:t>ISO 10694:1995. Organiskā un kopējā oglekļa daudzuma noteikšana pēc sausās sadedzināšanas</w:t>
            </w:r>
          </w:p>
        </w:tc>
        <w:tc>
          <w:tcPr>
            <w:tcW w:w="2945" w:type="dxa"/>
            <w:gridSpan w:val="2"/>
            <w:tcBorders>
              <w:top w:val="single" w:sz="4" w:space="0" w:color="auto"/>
              <w:left w:val="single" w:sz="4" w:space="0" w:color="auto"/>
              <w:bottom w:val="single" w:sz="4" w:space="0" w:color="auto"/>
              <w:right w:val="single" w:sz="4" w:space="0" w:color="auto"/>
            </w:tcBorders>
          </w:tcPr>
          <w:p w14:paraId="1C7EE16E" w14:textId="77777777" w:rsidR="006C20A6" w:rsidRPr="00EB04F1" w:rsidRDefault="006C20A6" w:rsidP="006C20A6">
            <w:pPr>
              <w:spacing w:before="120" w:after="120"/>
              <w:rPr>
                <w:strike/>
                <w:noProof/>
                <w:szCs w:val="24"/>
              </w:rPr>
            </w:pPr>
          </w:p>
        </w:tc>
        <w:tc>
          <w:tcPr>
            <w:tcW w:w="2026" w:type="dxa"/>
            <w:tcBorders>
              <w:top w:val="single" w:sz="4" w:space="0" w:color="auto"/>
              <w:left w:val="single" w:sz="4" w:space="0" w:color="auto"/>
              <w:bottom w:val="single" w:sz="4" w:space="0" w:color="auto"/>
              <w:right w:val="single" w:sz="4" w:space="0" w:color="auto"/>
            </w:tcBorders>
            <w:hideMark/>
          </w:tcPr>
          <w:p w14:paraId="4A9AEDC9" w14:textId="77777777" w:rsidR="006C20A6" w:rsidRPr="00EB04F1" w:rsidRDefault="006C20A6" w:rsidP="006C20A6">
            <w:pPr>
              <w:spacing w:before="120" w:after="120"/>
              <w:rPr>
                <w:strike/>
                <w:noProof/>
                <w:szCs w:val="24"/>
              </w:rPr>
            </w:pPr>
            <w:r w:rsidRPr="00EB04F1">
              <w:rPr>
                <w:strike/>
                <w:szCs w:val="24"/>
              </w:rPr>
              <w:t>JĀ</w:t>
            </w:r>
          </w:p>
        </w:tc>
      </w:tr>
      <w:tr w:rsidR="006C20A6" w:rsidRPr="00EB04F1" w14:paraId="12B4A1F7"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228A52D8" w14:textId="019414CB" w:rsidR="006C20A6" w:rsidRPr="00EB04F1" w:rsidRDefault="006C20A6" w:rsidP="00907A80">
            <w:pPr>
              <w:spacing w:before="120" w:after="120"/>
              <w:rPr>
                <w:strike/>
                <w:noProof/>
                <w:szCs w:val="24"/>
              </w:rPr>
            </w:pPr>
            <w:r w:rsidRPr="00EB04F1">
              <w:rPr>
                <w:strike/>
                <w:szCs w:val="24"/>
              </w:rPr>
              <w:t>Augsnes apakškārtas tilpummasa (B horizonts</w:t>
            </w:r>
            <w:r w:rsidR="00907A80" w:rsidRPr="00EB04F1">
              <w:rPr>
                <w:rStyle w:val="FootnoteReference"/>
                <w:strike/>
                <w:szCs w:val="24"/>
              </w:rPr>
              <w:footnoteReference w:id="66"/>
            </w:r>
            <w:r w:rsidRPr="00EB04F1">
              <w:rPr>
                <w:strike/>
                <w:szCs w:val="24"/>
              </w:rPr>
              <w:t>) vai pielīdzināms</w:t>
            </w:r>
            <w:r w:rsidR="00907A80" w:rsidRPr="00EB04F1">
              <w:rPr>
                <w:rStyle w:val="FootnoteReference"/>
                <w:strike/>
                <w:szCs w:val="24"/>
              </w:rPr>
              <w:footnoteReference w:id="67"/>
            </w:r>
            <w:r w:rsidRPr="00EB04F1">
              <w:rPr>
                <w:strike/>
                <w:szCs w:val="24"/>
              </w:rPr>
              <w:t xml:space="preserve"> parametrs, ko </w:t>
            </w:r>
            <w:r w:rsidRPr="00EB04F1">
              <w:rPr>
                <w:strike/>
                <w:szCs w:val="24"/>
              </w:rPr>
              <w:lastRenderedPageBreak/>
              <w:t>izraudzījušās dalībvalstis</w:t>
            </w:r>
          </w:p>
        </w:tc>
        <w:tc>
          <w:tcPr>
            <w:tcW w:w="2377" w:type="dxa"/>
            <w:tcBorders>
              <w:top w:val="single" w:sz="4" w:space="0" w:color="auto"/>
              <w:left w:val="single" w:sz="4" w:space="0" w:color="auto"/>
              <w:bottom w:val="single" w:sz="4" w:space="0" w:color="auto"/>
              <w:right w:val="single" w:sz="4" w:space="0" w:color="auto"/>
            </w:tcBorders>
            <w:hideMark/>
          </w:tcPr>
          <w:p w14:paraId="2F98FD70" w14:textId="77777777" w:rsidR="006C20A6" w:rsidRPr="00EB04F1" w:rsidRDefault="006C20A6" w:rsidP="006C20A6">
            <w:pPr>
              <w:spacing w:before="120" w:after="120"/>
              <w:rPr>
                <w:strike/>
                <w:noProof/>
                <w:szCs w:val="24"/>
              </w:rPr>
            </w:pPr>
            <w:r w:rsidRPr="00EB04F1">
              <w:rPr>
                <w:strike/>
                <w:szCs w:val="24"/>
              </w:rPr>
              <w:lastRenderedPageBreak/>
              <w:t>ISO 11272:2017. Sausa augsnes parauga blīvuma noteikšana</w:t>
            </w:r>
            <w:r w:rsidRPr="00EB04F1">
              <w:rPr>
                <w:strike/>
                <w:szCs w:val="24"/>
              </w:rPr>
              <w:cr/>
            </w:r>
            <w:r w:rsidRPr="00EB04F1">
              <w:rPr>
                <w:strike/>
                <w:szCs w:val="24"/>
              </w:rPr>
              <w:br/>
            </w:r>
            <w:r w:rsidRPr="00EB04F1">
              <w:rPr>
                <w:strike/>
                <w:szCs w:val="24"/>
              </w:rPr>
              <w:cr/>
            </w:r>
            <w:r w:rsidRPr="00EB04F1">
              <w:rPr>
                <w:strike/>
                <w:szCs w:val="24"/>
              </w:rPr>
              <w:br/>
              <w:t xml:space="preserve">Ja izraudzīts </w:t>
            </w:r>
            <w:r w:rsidRPr="00EB04F1">
              <w:rPr>
                <w:strike/>
                <w:szCs w:val="24"/>
              </w:rPr>
              <w:lastRenderedPageBreak/>
              <w:t xml:space="preserve">pielīdzināms parametrs, metodika ir vai nu Eiropas, vai starptautisks standarts, ja tāds ir pieejams; ja šādu standartu nav, izraudzītā metodika ir vai nu pieejama zinātniskajā literatūrā, vai publiski pieejama. </w:t>
            </w:r>
          </w:p>
        </w:tc>
        <w:tc>
          <w:tcPr>
            <w:tcW w:w="2945" w:type="dxa"/>
            <w:gridSpan w:val="2"/>
            <w:tcBorders>
              <w:top w:val="single" w:sz="4" w:space="0" w:color="auto"/>
              <w:left w:val="single" w:sz="4" w:space="0" w:color="auto"/>
              <w:bottom w:val="single" w:sz="4" w:space="0" w:color="auto"/>
              <w:right w:val="single" w:sz="4" w:space="0" w:color="auto"/>
            </w:tcBorders>
          </w:tcPr>
          <w:p w14:paraId="1B3F8AC8" w14:textId="77777777" w:rsidR="006C20A6" w:rsidRPr="00EB04F1" w:rsidRDefault="006C20A6" w:rsidP="006C20A6">
            <w:pPr>
              <w:spacing w:before="120" w:after="120"/>
              <w:rPr>
                <w:strike/>
                <w:noProof/>
                <w:szCs w:val="24"/>
              </w:rPr>
            </w:pPr>
          </w:p>
        </w:tc>
        <w:tc>
          <w:tcPr>
            <w:tcW w:w="2026" w:type="dxa"/>
            <w:tcBorders>
              <w:top w:val="single" w:sz="4" w:space="0" w:color="auto"/>
              <w:left w:val="single" w:sz="4" w:space="0" w:color="auto"/>
              <w:bottom w:val="single" w:sz="4" w:space="0" w:color="auto"/>
              <w:right w:val="single" w:sz="4" w:space="0" w:color="auto"/>
            </w:tcBorders>
            <w:hideMark/>
          </w:tcPr>
          <w:p w14:paraId="6FBBCD01" w14:textId="77777777" w:rsidR="006C20A6" w:rsidRPr="00EB04F1" w:rsidRDefault="006C20A6" w:rsidP="006C20A6">
            <w:pPr>
              <w:spacing w:before="120" w:after="120"/>
              <w:rPr>
                <w:strike/>
                <w:noProof/>
                <w:szCs w:val="24"/>
              </w:rPr>
            </w:pPr>
            <w:r w:rsidRPr="00EB04F1">
              <w:rPr>
                <w:strike/>
                <w:szCs w:val="24"/>
              </w:rPr>
              <w:t>JĀ</w:t>
            </w:r>
          </w:p>
        </w:tc>
      </w:tr>
      <w:tr w:rsidR="006C20A6" w:rsidRPr="00EB04F1" w14:paraId="2CB95E9F"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36B64B49" w14:textId="77777777" w:rsidR="006C20A6" w:rsidRPr="00EB04F1" w:rsidRDefault="006C20A6" w:rsidP="006C20A6">
            <w:pPr>
              <w:spacing w:before="120" w:after="120"/>
              <w:rPr>
                <w:strike/>
                <w:noProof/>
                <w:szCs w:val="24"/>
              </w:rPr>
            </w:pPr>
            <w:r w:rsidRPr="00EB04F1">
              <w:rPr>
                <w:strike/>
                <w:szCs w:val="24"/>
              </w:rPr>
              <w:t>Ekstrahējamais fosfors</w:t>
            </w:r>
          </w:p>
        </w:tc>
        <w:tc>
          <w:tcPr>
            <w:tcW w:w="2377" w:type="dxa"/>
            <w:tcBorders>
              <w:top w:val="single" w:sz="4" w:space="0" w:color="auto"/>
              <w:left w:val="single" w:sz="4" w:space="0" w:color="auto"/>
              <w:bottom w:val="single" w:sz="4" w:space="0" w:color="auto"/>
              <w:right w:val="single" w:sz="4" w:space="0" w:color="auto"/>
            </w:tcBorders>
            <w:hideMark/>
          </w:tcPr>
          <w:p w14:paraId="0A72FF19" w14:textId="77777777" w:rsidR="006C20A6" w:rsidRPr="00EB04F1" w:rsidRDefault="006C20A6" w:rsidP="006C20A6">
            <w:pPr>
              <w:spacing w:before="120" w:after="120"/>
              <w:rPr>
                <w:strike/>
                <w:noProof/>
                <w:szCs w:val="24"/>
              </w:rPr>
            </w:pPr>
            <w:r w:rsidRPr="00EB04F1">
              <w:rPr>
                <w:strike/>
                <w:szCs w:val="24"/>
              </w:rPr>
              <w:t>ISO 11263:1994. Nātrija hidrokarbonāta šķīdumā šķīstoša fosfora spektrometriskā noteikšana (P-Olsen)</w:t>
            </w:r>
          </w:p>
        </w:tc>
        <w:tc>
          <w:tcPr>
            <w:tcW w:w="2945" w:type="dxa"/>
            <w:gridSpan w:val="2"/>
            <w:tcBorders>
              <w:top w:val="single" w:sz="4" w:space="0" w:color="auto"/>
              <w:left w:val="single" w:sz="4" w:space="0" w:color="auto"/>
              <w:bottom w:val="single" w:sz="4" w:space="0" w:color="auto"/>
              <w:right w:val="single" w:sz="4" w:space="0" w:color="auto"/>
            </w:tcBorders>
          </w:tcPr>
          <w:p w14:paraId="78B111CF" w14:textId="77777777" w:rsidR="006C20A6" w:rsidRPr="00EB04F1" w:rsidRDefault="006C20A6" w:rsidP="006C20A6">
            <w:pPr>
              <w:spacing w:before="120" w:after="120"/>
              <w:rPr>
                <w:strike/>
                <w:noProof/>
                <w:szCs w:val="24"/>
              </w:rPr>
            </w:pPr>
          </w:p>
        </w:tc>
        <w:tc>
          <w:tcPr>
            <w:tcW w:w="2026" w:type="dxa"/>
            <w:tcBorders>
              <w:top w:val="single" w:sz="4" w:space="0" w:color="auto"/>
              <w:left w:val="single" w:sz="4" w:space="0" w:color="auto"/>
              <w:bottom w:val="single" w:sz="4" w:space="0" w:color="auto"/>
              <w:right w:val="single" w:sz="4" w:space="0" w:color="auto"/>
            </w:tcBorders>
            <w:hideMark/>
          </w:tcPr>
          <w:p w14:paraId="3C052717" w14:textId="77777777" w:rsidR="006C20A6" w:rsidRPr="00EB04F1" w:rsidRDefault="006C20A6" w:rsidP="006C20A6">
            <w:pPr>
              <w:spacing w:before="120" w:after="120"/>
              <w:rPr>
                <w:strike/>
                <w:noProof/>
                <w:szCs w:val="24"/>
              </w:rPr>
            </w:pPr>
            <w:r w:rsidRPr="00EB04F1">
              <w:rPr>
                <w:strike/>
                <w:szCs w:val="24"/>
              </w:rPr>
              <w:t>JĀ</w:t>
            </w:r>
          </w:p>
        </w:tc>
      </w:tr>
      <w:tr w:rsidR="006C20A6" w:rsidRPr="00EB04F1" w14:paraId="6B8E4D0E"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5E6FB541" w14:textId="77777777" w:rsidR="006C20A6" w:rsidRPr="00EB04F1" w:rsidRDefault="006C20A6" w:rsidP="006C20A6">
            <w:pPr>
              <w:spacing w:before="120" w:after="120"/>
              <w:rPr>
                <w:strike/>
                <w:noProof/>
                <w:szCs w:val="24"/>
              </w:rPr>
            </w:pPr>
            <w:r w:rsidRPr="00EB04F1">
              <w:rPr>
                <w:strike/>
                <w:szCs w:val="24"/>
              </w:rPr>
              <w:t>- Smago metālu koncentrācija augsnē: As, Sb, Cd, Co, Cr (total), Cr (VI), Cu, Hg, Pb, Ni, Tl, V, Zn</w:t>
            </w:r>
            <w:r w:rsidRPr="00EB04F1">
              <w:rPr>
                <w:strike/>
                <w:szCs w:val="24"/>
              </w:rPr>
              <w:cr/>
            </w:r>
            <w:r w:rsidRPr="00EB04F1">
              <w:rPr>
                <w:strike/>
                <w:szCs w:val="24"/>
              </w:rPr>
              <w:br/>
              <w:t xml:space="preserve"> – Dalībvalstu atlasīto organisko kontaminantu koncentrācija, ņemot vērā līdzšinējos Savienības tiesību aktus (piemēram, attiecībā uz ūdens kvalitāti vai pesticīdiem)</w:t>
            </w:r>
          </w:p>
        </w:tc>
        <w:tc>
          <w:tcPr>
            <w:tcW w:w="2377" w:type="dxa"/>
            <w:tcBorders>
              <w:top w:val="single" w:sz="4" w:space="0" w:color="auto"/>
              <w:left w:val="single" w:sz="4" w:space="0" w:color="auto"/>
              <w:bottom w:val="single" w:sz="4" w:space="0" w:color="auto"/>
              <w:right w:val="single" w:sz="4" w:space="0" w:color="auto"/>
            </w:tcBorders>
            <w:hideMark/>
          </w:tcPr>
          <w:p w14:paraId="7E8960FE" w14:textId="77777777" w:rsidR="006C20A6" w:rsidRPr="00EB04F1" w:rsidRDefault="006C20A6" w:rsidP="006C20A6">
            <w:pPr>
              <w:spacing w:before="120" w:after="120"/>
              <w:rPr>
                <w:strike/>
                <w:noProof/>
                <w:szCs w:val="24"/>
              </w:rPr>
            </w:pPr>
            <w:r w:rsidRPr="00EB04F1">
              <w:rPr>
                <w:strike/>
                <w:szCs w:val="24"/>
              </w:rPr>
              <w:t xml:space="preserve">Potenciālais vidē pieejamais smago metālu saturs augsnēs pēc ISO 17586:2016, noteikts, izmantojot atšķaidītu slāpekļskābi. </w:t>
            </w:r>
          </w:p>
        </w:tc>
        <w:tc>
          <w:tcPr>
            <w:tcW w:w="2945" w:type="dxa"/>
            <w:gridSpan w:val="2"/>
            <w:tcBorders>
              <w:top w:val="single" w:sz="4" w:space="0" w:color="auto"/>
              <w:left w:val="single" w:sz="4" w:space="0" w:color="auto"/>
              <w:bottom w:val="single" w:sz="4" w:space="0" w:color="auto"/>
              <w:right w:val="single" w:sz="4" w:space="0" w:color="auto"/>
            </w:tcBorders>
            <w:hideMark/>
          </w:tcPr>
          <w:p w14:paraId="775ADD11" w14:textId="77777777" w:rsidR="006C20A6" w:rsidRPr="00EB04F1" w:rsidRDefault="006C20A6" w:rsidP="006C20A6">
            <w:pPr>
              <w:spacing w:before="120" w:after="120"/>
              <w:rPr>
                <w:strike/>
                <w:noProof/>
                <w:szCs w:val="24"/>
              </w:rPr>
            </w:pPr>
            <w:r w:rsidRPr="00EB04F1">
              <w:rPr>
                <w:strike/>
                <w:szCs w:val="24"/>
              </w:rPr>
              <w:t>Izmanto Eiropas vai starptautiskos standartus, ja tādi ir pieejami; ja šādu standartu nav, izraudzītā metodika ir vai nu pieejama zinātniskajā literatūrā, vai publiski pieejama.</w:t>
            </w:r>
          </w:p>
        </w:tc>
        <w:tc>
          <w:tcPr>
            <w:tcW w:w="2026" w:type="dxa"/>
            <w:tcBorders>
              <w:top w:val="single" w:sz="4" w:space="0" w:color="auto"/>
              <w:left w:val="single" w:sz="4" w:space="0" w:color="auto"/>
              <w:bottom w:val="single" w:sz="4" w:space="0" w:color="auto"/>
              <w:right w:val="single" w:sz="4" w:space="0" w:color="auto"/>
            </w:tcBorders>
            <w:hideMark/>
          </w:tcPr>
          <w:p w14:paraId="73DFCB7C" w14:textId="77777777" w:rsidR="006C20A6" w:rsidRPr="00EB04F1" w:rsidRDefault="006C20A6" w:rsidP="006C20A6">
            <w:pPr>
              <w:spacing w:before="120" w:after="120"/>
              <w:rPr>
                <w:strike/>
                <w:noProof/>
                <w:szCs w:val="24"/>
              </w:rPr>
            </w:pPr>
            <w:r w:rsidRPr="00EB04F1">
              <w:rPr>
                <w:strike/>
                <w:szCs w:val="24"/>
              </w:rPr>
              <w:t>JĀ</w:t>
            </w:r>
            <w:r w:rsidRPr="00EB04F1">
              <w:rPr>
                <w:strike/>
                <w:szCs w:val="24"/>
              </w:rPr>
              <w:cr/>
            </w:r>
            <w:r w:rsidRPr="00EB04F1">
              <w:rPr>
                <w:strike/>
                <w:szCs w:val="24"/>
              </w:rPr>
              <w:br/>
              <w:t>Neattiecas</w:t>
            </w:r>
          </w:p>
        </w:tc>
      </w:tr>
      <w:tr w:rsidR="006C20A6" w:rsidRPr="00EB04F1" w14:paraId="57320129"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4D2EF969" w14:textId="77777777" w:rsidR="006C20A6" w:rsidRPr="00EB04F1" w:rsidRDefault="006C20A6" w:rsidP="006C20A6">
            <w:pPr>
              <w:spacing w:before="120" w:after="120"/>
              <w:rPr>
                <w:strike/>
                <w:noProof/>
                <w:szCs w:val="24"/>
              </w:rPr>
            </w:pPr>
            <w:r w:rsidRPr="00EB04F1">
              <w:rPr>
                <w:strike/>
                <w:szCs w:val="24"/>
              </w:rPr>
              <w:t>Augsnes ūdensietilpība</w:t>
            </w:r>
          </w:p>
        </w:tc>
        <w:tc>
          <w:tcPr>
            <w:tcW w:w="2377" w:type="dxa"/>
            <w:tcBorders>
              <w:top w:val="single" w:sz="4" w:space="0" w:color="auto"/>
              <w:left w:val="single" w:sz="4" w:space="0" w:color="auto"/>
              <w:bottom w:val="single" w:sz="4" w:space="0" w:color="auto"/>
              <w:right w:val="single" w:sz="4" w:space="0" w:color="auto"/>
            </w:tcBorders>
            <w:hideMark/>
          </w:tcPr>
          <w:p w14:paraId="1E231D91" w14:textId="77777777" w:rsidR="006C20A6" w:rsidRPr="00EB04F1" w:rsidRDefault="006C20A6" w:rsidP="006C20A6">
            <w:pPr>
              <w:spacing w:before="120" w:after="120"/>
              <w:rPr>
                <w:strike/>
                <w:noProof/>
                <w:szCs w:val="24"/>
              </w:rPr>
            </w:pPr>
            <w:r w:rsidRPr="00EB04F1">
              <w:rPr>
                <w:strike/>
                <w:szCs w:val="24"/>
              </w:rPr>
              <w:t>Viena paraugošanas punkta vērtības noteikšanas metodika:1. variants. LABORATORIJA: ISO 11274:2019. Ūdensietilpības noteikšana</w:t>
            </w:r>
          </w:p>
          <w:p w14:paraId="44321725" w14:textId="77777777" w:rsidR="006C20A6" w:rsidRPr="00EB04F1" w:rsidRDefault="006C20A6" w:rsidP="006C20A6">
            <w:pPr>
              <w:spacing w:before="120" w:after="120"/>
              <w:rPr>
                <w:strike/>
                <w:noProof/>
                <w:szCs w:val="24"/>
              </w:rPr>
            </w:pPr>
            <w:r w:rsidRPr="00EB04F1">
              <w:rPr>
                <w:strike/>
                <w:szCs w:val="24"/>
              </w:rPr>
              <w:t xml:space="preserve">2. variants. APLĒSE: piemēro zinātniskajā rakstā New generation of hydraulic </w:t>
            </w:r>
            <w:r w:rsidRPr="00EB04F1">
              <w:rPr>
                <w:strike/>
                <w:szCs w:val="24"/>
              </w:rPr>
              <w:lastRenderedPageBreak/>
              <w:t>pedotransfer functions for Europe</w:t>
            </w:r>
            <w:r w:rsidRPr="00EB04F1">
              <w:rPr>
                <w:strike/>
                <w:szCs w:val="24"/>
                <w:vertAlign w:val="superscript"/>
              </w:rPr>
              <w:t>10</w:t>
            </w:r>
            <w:r w:rsidRPr="00EB04F1">
              <w:rPr>
                <w:strike/>
                <w:szCs w:val="24"/>
              </w:rPr>
              <w:t xml:space="preserve"> aprakstīto metodiku, kuras pamatā ir granulometriskais sastāvs un augsnes organiskais ogleklis.</w:t>
            </w:r>
          </w:p>
        </w:tc>
        <w:tc>
          <w:tcPr>
            <w:tcW w:w="2945" w:type="dxa"/>
            <w:gridSpan w:val="2"/>
            <w:tcBorders>
              <w:top w:val="single" w:sz="4" w:space="0" w:color="auto"/>
              <w:left w:val="single" w:sz="4" w:space="0" w:color="auto"/>
              <w:bottom w:val="single" w:sz="4" w:space="0" w:color="auto"/>
              <w:right w:val="single" w:sz="4" w:space="0" w:color="auto"/>
            </w:tcBorders>
            <w:hideMark/>
          </w:tcPr>
          <w:p w14:paraId="50AECD9E" w14:textId="77777777" w:rsidR="006C20A6" w:rsidRPr="00EB04F1" w:rsidRDefault="006C20A6" w:rsidP="006C20A6">
            <w:pPr>
              <w:spacing w:before="120" w:after="120"/>
              <w:rPr>
                <w:strike/>
                <w:noProof/>
                <w:szCs w:val="24"/>
              </w:rPr>
            </w:pPr>
            <w:r w:rsidRPr="00EB04F1">
              <w:rPr>
                <w:strike/>
                <w:szCs w:val="24"/>
              </w:rPr>
              <w:lastRenderedPageBreak/>
              <w:t>Minimālie kritēriji, pēc kuriem aplēš augsnes rajona kopējo ūdensietilpību upes baseina vai apakšbaseina mērogā:</w:t>
            </w:r>
          </w:p>
          <w:p w14:paraId="5D1304CE"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aplēš neaizņemtās zemes kopējo augsnes ūdensietilpību;</w:t>
            </w:r>
          </w:p>
          <w:p w14:paraId="3DAC4DF2" w14:textId="77777777" w:rsidR="006C20A6" w:rsidRPr="00EB04F1" w:rsidRDefault="006C20A6" w:rsidP="006C20A6">
            <w:pPr>
              <w:spacing w:before="120" w:after="120"/>
              <w:ind w:left="538" w:hanging="538"/>
              <w:rPr>
                <w:strike/>
                <w:noProof/>
                <w:szCs w:val="24"/>
              </w:rPr>
            </w:pPr>
            <w:r w:rsidRPr="00EB04F1">
              <w:rPr>
                <w:strike/>
                <w:szCs w:val="24"/>
              </w:rPr>
              <w:t>-</w:t>
            </w:r>
            <w:r w:rsidRPr="00EB04F1">
              <w:rPr>
                <w:strike/>
                <w:szCs w:val="24"/>
              </w:rPr>
              <w:tab/>
              <w:t xml:space="preserve">attiecībā uz aizņemto zemi apsver iespēju noteikt, ka necaurlaidīgo </w:t>
            </w:r>
            <w:r w:rsidRPr="00EB04F1">
              <w:rPr>
                <w:strike/>
                <w:szCs w:val="24"/>
              </w:rPr>
              <w:lastRenderedPageBreak/>
              <w:t>apgabalu ūdensietilpība ir nulle, daļēji necaurlaidīgiem un citiem mākslīgiem apgabaliem piešķirot samērīgas starpvērtības.</w:t>
            </w:r>
          </w:p>
        </w:tc>
        <w:tc>
          <w:tcPr>
            <w:tcW w:w="2026" w:type="dxa"/>
            <w:tcBorders>
              <w:top w:val="single" w:sz="4" w:space="0" w:color="auto"/>
              <w:left w:val="single" w:sz="4" w:space="0" w:color="auto"/>
              <w:bottom w:val="single" w:sz="4" w:space="0" w:color="auto"/>
              <w:right w:val="single" w:sz="4" w:space="0" w:color="auto"/>
            </w:tcBorders>
            <w:hideMark/>
          </w:tcPr>
          <w:p w14:paraId="1637011A" w14:textId="77777777" w:rsidR="006C20A6" w:rsidRPr="00EB04F1" w:rsidRDefault="006C20A6" w:rsidP="006C20A6">
            <w:pPr>
              <w:spacing w:before="120" w:after="120"/>
              <w:rPr>
                <w:strike/>
                <w:noProof/>
                <w:szCs w:val="24"/>
              </w:rPr>
            </w:pPr>
            <w:r w:rsidRPr="00EB04F1">
              <w:rPr>
                <w:strike/>
                <w:szCs w:val="24"/>
              </w:rPr>
              <w:lastRenderedPageBreak/>
              <w:t>JĀ (vērtībai paraugošanas punktā)</w:t>
            </w:r>
          </w:p>
        </w:tc>
      </w:tr>
      <w:tr w:rsidR="006C20A6" w:rsidRPr="00EB04F1" w14:paraId="45892475"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34635D02" w14:textId="77777777" w:rsidR="006C20A6" w:rsidRPr="00EB04F1" w:rsidRDefault="006C20A6" w:rsidP="006C20A6">
            <w:pPr>
              <w:spacing w:before="120" w:after="120"/>
              <w:rPr>
                <w:strike/>
                <w:noProof/>
                <w:szCs w:val="24"/>
              </w:rPr>
            </w:pPr>
            <w:r w:rsidRPr="00EB04F1">
              <w:rPr>
                <w:strike/>
                <w:szCs w:val="24"/>
              </w:rPr>
              <w:t xml:space="preserve">Augsnes slāpeklis </w:t>
            </w:r>
          </w:p>
        </w:tc>
        <w:tc>
          <w:tcPr>
            <w:tcW w:w="2377" w:type="dxa"/>
            <w:tcBorders>
              <w:top w:val="single" w:sz="4" w:space="0" w:color="auto"/>
              <w:left w:val="single" w:sz="4" w:space="0" w:color="auto"/>
              <w:bottom w:val="single" w:sz="4" w:space="0" w:color="auto"/>
              <w:right w:val="single" w:sz="4" w:space="0" w:color="auto"/>
            </w:tcBorders>
            <w:hideMark/>
          </w:tcPr>
          <w:p w14:paraId="62F3EAC5" w14:textId="77777777" w:rsidR="006C20A6" w:rsidRPr="00EB04F1" w:rsidRDefault="006C20A6" w:rsidP="006C20A6">
            <w:pPr>
              <w:spacing w:before="120" w:after="120"/>
              <w:rPr>
                <w:strike/>
                <w:noProof/>
                <w:szCs w:val="24"/>
              </w:rPr>
            </w:pPr>
            <w:r w:rsidRPr="00EB04F1">
              <w:rPr>
                <w:strike/>
                <w:szCs w:val="24"/>
              </w:rPr>
              <w:t>ISO 11261:1995. Kopējā slāpekļa daudzuma noteikšana.</w:t>
            </w:r>
          </w:p>
        </w:tc>
        <w:tc>
          <w:tcPr>
            <w:tcW w:w="2945" w:type="dxa"/>
            <w:gridSpan w:val="2"/>
            <w:tcBorders>
              <w:top w:val="single" w:sz="4" w:space="0" w:color="auto"/>
              <w:left w:val="single" w:sz="4" w:space="0" w:color="auto"/>
              <w:bottom w:val="single" w:sz="4" w:space="0" w:color="auto"/>
              <w:right w:val="single" w:sz="4" w:space="0" w:color="auto"/>
            </w:tcBorders>
          </w:tcPr>
          <w:p w14:paraId="428267A0" w14:textId="77777777" w:rsidR="006C20A6" w:rsidRPr="00EB04F1" w:rsidRDefault="006C20A6" w:rsidP="006C20A6">
            <w:pPr>
              <w:spacing w:before="120" w:after="120"/>
              <w:rPr>
                <w:strike/>
                <w:noProof/>
                <w:szCs w:val="24"/>
              </w:rPr>
            </w:pPr>
          </w:p>
        </w:tc>
        <w:tc>
          <w:tcPr>
            <w:tcW w:w="2026" w:type="dxa"/>
            <w:tcBorders>
              <w:top w:val="single" w:sz="4" w:space="0" w:color="auto"/>
              <w:left w:val="single" w:sz="4" w:space="0" w:color="auto"/>
              <w:bottom w:val="single" w:sz="4" w:space="0" w:color="auto"/>
              <w:right w:val="single" w:sz="4" w:space="0" w:color="auto"/>
            </w:tcBorders>
            <w:hideMark/>
          </w:tcPr>
          <w:p w14:paraId="1FCE39B9" w14:textId="77777777" w:rsidR="006C20A6" w:rsidRPr="00EB04F1" w:rsidRDefault="006C20A6" w:rsidP="006C20A6">
            <w:pPr>
              <w:spacing w:before="120" w:after="120"/>
              <w:rPr>
                <w:strike/>
                <w:noProof/>
                <w:szCs w:val="24"/>
              </w:rPr>
            </w:pPr>
            <w:r w:rsidRPr="00EB04F1">
              <w:rPr>
                <w:strike/>
                <w:szCs w:val="24"/>
              </w:rPr>
              <w:t>JĀ</w:t>
            </w:r>
          </w:p>
        </w:tc>
      </w:tr>
      <w:tr w:rsidR="006C20A6" w:rsidRPr="00EB04F1" w14:paraId="3CC6538E"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39486376" w14:textId="77777777" w:rsidR="006C20A6" w:rsidRPr="00EB04F1" w:rsidRDefault="006C20A6" w:rsidP="006C20A6">
            <w:pPr>
              <w:spacing w:before="120" w:after="120"/>
              <w:rPr>
                <w:strike/>
                <w:noProof/>
                <w:szCs w:val="24"/>
              </w:rPr>
            </w:pPr>
            <w:r w:rsidRPr="00EB04F1">
              <w:rPr>
                <w:strike/>
                <w:szCs w:val="24"/>
              </w:rPr>
              <w:t>Augsnes skābums</w:t>
            </w:r>
          </w:p>
        </w:tc>
        <w:tc>
          <w:tcPr>
            <w:tcW w:w="2377" w:type="dxa"/>
            <w:tcBorders>
              <w:top w:val="single" w:sz="4" w:space="0" w:color="auto"/>
              <w:left w:val="single" w:sz="4" w:space="0" w:color="auto"/>
              <w:bottom w:val="single" w:sz="4" w:space="0" w:color="auto"/>
              <w:right w:val="single" w:sz="4" w:space="0" w:color="auto"/>
            </w:tcBorders>
            <w:hideMark/>
          </w:tcPr>
          <w:p w14:paraId="291C803C" w14:textId="77777777" w:rsidR="006C20A6" w:rsidRPr="00EB04F1" w:rsidRDefault="006C20A6" w:rsidP="006C20A6">
            <w:pPr>
              <w:spacing w:before="120" w:after="120"/>
              <w:rPr>
                <w:strike/>
                <w:noProof/>
                <w:szCs w:val="24"/>
              </w:rPr>
            </w:pPr>
            <w:r w:rsidRPr="00EB04F1">
              <w:rPr>
                <w:strike/>
                <w:szCs w:val="24"/>
              </w:rPr>
              <w:t>ISO 10390:2005. pH noteikšana H2O un CaCl2 izvilkumā (H2O pH un CaCl2 pH)</w:t>
            </w:r>
          </w:p>
        </w:tc>
        <w:tc>
          <w:tcPr>
            <w:tcW w:w="2945" w:type="dxa"/>
            <w:gridSpan w:val="2"/>
            <w:tcBorders>
              <w:top w:val="single" w:sz="4" w:space="0" w:color="auto"/>
              <w:left w:val="single" w:sz="4" w:space="0" w:color="auto"/>
              <w:bottom w:val="single" w:sz="4" w:space="0" w:color="auto"/>
              <w:right w:val="single" w:sz="4" w:space="0" w:color="auto"/>
            </w:tcBorders>
          </w:tcPr>
          <w:p w14:paraId="45703385" w14:textId="77777777" w:rsidR="006C20A6" w:rsidRPr="00EB04F1" w:rsidRDefault="006C20A6" w:rsidP="006C20A6">
            <w:pPr>
              <w:spacing w:before="120" w:after="120"/>
              <w:rPr>
                <w:strike/>
                <w:noProof/>
                <w:szCs w:val="24"/>
              </w:rPr>
            </w:pPr>
          </w:p>
        </w:tc>
        <w:tc>
          <w:tcPr>
            <w:tcW w:w="2026" w:type="dxa"/>
            <w:tcBorders>
              <w:top w:val="single" w:sz="4" w:space="0" w:color="auto"/>
              <w:left w:val="single" w:sz="4" w:space="0" w:color="auto"/>
              <w:bottom w:val="single" w:sz="4" w:space="0" w:color="auto"/>
              <w:right w:val="single" w:sz="4" w:space="0" w:color="auto"/>
            </w:tcBorders>
            <w:hideMark/>
          </w:tcPr>
          <w:p w14:paraId="7C755838" w14:textId="77777777" w:rsidR="006C20A6" w:rsidRPr="00EB04F1" w:rsidRDefault="006C20A6" w:rsidP="006C20A6">
            <w:pPr>
              <w:spacing w:before="120" w:after="120"/>
              <w:rPr>
                <w:strike/>
                <w:noProof/>
                <w:szCs w:val="24"/>
              </w:rPr>
            </w:pPr>
            <w:r w:rsidRPr="00EB04F1">
              <w:rPr>
                <w:strike/>
                <w:szCs w:val="24"/>
              </w:rPr>
              <w:t>JĀ</w:t>
            </w:r>
          </w:p>
        </w:tc>
      </w:tr>
      <w:tr w:rsidR="006C20A6" w:rsidRPr="00EB04F1" w14:paraId="56CFED36"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1F804821" w14:textId="77777777" w:rsidR="006C20A6" w:rsidRPr="00EB04F1" w:rsidRDefault="006C20A6" w:rsidP="006C20A6">
            <w:pPr>
              <w:spacing w:before="120" w:after="120"/>
              <w:rPr>
                <w:strike/>
                <w:noProof/>
                <w:szCs w:val="24"/>
              </w:rPr>
            </w:pPr>
            <w:r w:rsidRPr="00EB04F1">
              <w:rPr>
                <w:strike/>
                <w:szCs w:val="24"/>
              </w:rPr>
              <w:t>Augsnes virskārtas tilpummasa (A horizonts</w:t>
            </w:r>
            <w:r w:rsidRPr="00EB04F1">
              <w:rPr>
                <w:strike/>
                <w:szCs w:val="24"/>
                <w:vertAlign w:val="superscript"/>
              </w:rPr>
              <w:t>11</w:t>
            </w:r>
            <w:r w:rsidRPr="00EB04F1">
              <w:rPr>
                <w:strike/>
                <w:szCs w:val="24"/>
                <w:vertAlign w:val="superscript"/>
              </w:rPr>
              <w:footnoteReference w:id="68"/>
            </w:r>
            <w:r w:rsidRPr="00EB04F1">
              <w:rPr>
                <w:strike/>
                <w:szCs w:val="24"/>
              </w:rPr>
              <w:t>)</w:t>
            </w:r>
          </w:p>
        </w:tc>
        <w:tc>
          <w:tcPr>
            <w:tcW w:w="2377" w:type="dxa"/>
            <w:tcBorders>
              <w:top w:val="single" w:sz="4" w:space="0" w:color="auto"/>
              <w:left w:val="single" w:sz="4" w:space="0" w:color="auto"/>
              <w:bottom w:val="single" w:sz="4" w:space="0" w:color="auto"/>
              <w:right w:val="single" w:sz="4" w:space="0" w:color="auto"/>
            </w:tcBorders>
            <w:hideMark/>
          </w:tcPr>
          <w:p w14:paraId="175BCFCA" w14:textId="77777777" w:rsidR="006C20A6" w:rsidRPr="00EB04F1" w:rsidRDefault="006C20A6" w:rsidP="006C20A6">
            <w:pPr>
              <w:spacing w:before="120" w:after="120"/>
              <w:rPr>
                <w:strike/>
                <w:noProof/>
                <w:szCs w:val="24"/>
              </w:rPr>
            </w:pPr>
            <w:r w:rsidRPr="00EB04F1">
              <w:rPr>
                <w:strike/>
                <w:szCs w:val="24"/>
              </w:rPr>
              <w:t xml:space="preserve">ISO 11272:2017. Sausās masas blīvuma noteikšana </w:t>
            </w:r>
          </w:p>
        </w:tc>
        <w:tc>
          <w:tcPr>
            <w:tcW w:w="2945" w:type="dxa"/>
            <w:gridSpan w:val="2"/>
            <w:tcBorders>
              <w:top w:val="single" w:sz="4" w:space="0" w:color="auto"/>
              <w:left w:val="single" w:sz="4" w:space="0" w:color="auto"/>
              <w:bottom w:val="single" w:sz="4" w:space="0" w:color="auto"/>
              <w:right w:val="single" w:sz="4" w:space="0" w:color="auto"/>
            </w:tcBorders>
          </w:tcPr>
          <w:p w14:paraId="383F3BE5" w14:textId="77777777" w:rsidR="006C20A6" w:rsidRPr="00EB04F1" w:rsidRDefault="006C20A6" w:rsidP="006C20A6">
            <w:pPr>
              <w:spacing w:before="120" w:after="120"/>
              <w:rPr>
                <w:strike/>
                <w:noProof/>
                <w:szCs w:val="24"/>
              </w:rPr>
            </w:pPr>
          </w:p>
        </w:tc>
        <w:tc>
          <w:tcPr>
            <w:tcW w:w="2026" w:type="dxa"/>
            <w:tcBorders>
              <w:top w:val="single" w:sz="4" w:space="0" w:color="auto"/>
              <w:left w:val="single" w:sz="4" w:space="0" w:color="auto"/>
              <w:bottom w:val="single" w:sz="4" w:space="0" w:color="auto"/>
              <w:right w:val="single" w:sz="4" w:space="0" w:color="auto"/>
            </w:tcBorders>
            <w:hideMark/>
          </w:tcPr>
          <w:p w14:paraId="6CE98CEA" w14:textId="77777777" w:rsidR="006C20A6" w:rsidRPr="00EB04F1" w:rsidRDefault="006C20A6" w:rsidP="006C20A6">
            <w:pPr>
              <w:spacing w:before="120" w:after="120"/>
              <w:rPr>
                <w:strike/>
                <w:noProof/>
                <w:szCs w:val="24"/>
              </w:rPr>
            </w:pPr>
            <w:r w:rsidRPr="00EB04F1">
              <w:rPr>
                <w:strike/>
                <w:szCs w:val="24"/>
              </w:rPr>
              <w:t>JĀ</w:t>
            </w:r>
          </w:p>
        </w:tc>
      </w:tr>
      <w:tr w:rsidR="001C7579" w:rsidRPr="00EB04F1" w14:paraId="68D52BB9" w14:textId="77777777" w:rsidTr="001C7579">
        <w:tc>
          <w:tcPr>
            <w:tcW w:w="2003" w:type="dxa"/>
            <w:tcBorders>
              <w:top w:val="single" w:sz="4" w:space="0" w:color="auto"/>
              <w:left w:val="single" w:sz="4" w:space="0" w:color="auto"/>
              <w:bottom w:val="single" w:sz="4" w:space="0" w:color="auto"/>
              <w:right w:val="single" w:sz="4" w:space="0" w:color="auto"/>
            </w:tcBorders>
            <w:hideMark/>
          </w:tcPr>
          <w:p w14:paraId="01CC025E" w14:textId="23446DB2" w:rsidR="006C20A6" w:rsidRPr="00EB04F1" w:rsidRDefault="006C20A6" w:rsidP="006E4E88">
            <w:pPr>
              <w:spacing w:before="120" w:after="120"/>
              <w:rPr>
                <w:strike/>
                <w:noProof/>
                <w:szCs w:val="24"/>
              </w:rPr>
            </w:pPr>
            <w:r w:rsidRPr="00EB04F1">
              <w:rPr>
                <w:strike/>
                <w:szCs w:val="24"/>
              </w:rPr>
              <w:t>Augsnes bazālā elpošana</w:t>
            </w:r>
            <w:r w:rsidRPr="00EB04F1">
              <w:rPr>
                <w:strike/>
                <w:szCs w:val="24"/>
              </w:rPr>
              <w:cr/>
            </w:r>
            <w:r w:rsidRPr="00EB04F1">
              <w:rPr>
                <w:strike/>
                <w:szCs w:val="24"/>
              </w:rPr>
              <w:br/>
              <w:t>Dalībvalstis var izvēlēties arī fakultatīvus biodaudzveidības deskriptorus, piemēram, šādus:baktēriju, sēņu, protistu un dzīvnieku metataksonomiskā sekvencēšana</w:t>
            </w:r>
            <w:r w:rsidR="006E4E88" w:rsidRPr="00EB04F1">
              <w:rPr>
                <w:rStyle w:val="FootnoteReference"/>
                <w:strike/>
                <w:szCs w:val="24"/>
              </w:rPr>
              <w:footnoteReference w:id="69"/>
            </w:r>
            <w:r w:rsidRPr="00EB04F1">
              <w:rPr>
                <w:strike/>
                <w:szCs w:val="24"/>
              </w:rPr>
              <w:t>;</w:t>
            </w:r>
            <w:r w:rsidRPr="00EB04F1">
              <w:rPr>
                <w:strike/>
                <w:szCs w:val="24"/>
              </w:rPr>
              <w:cr/>
            </w:r>
            <w:r w:rsidRPr="00EB04F1">
              <w:rPr>
                <w:strike/>
                <w:szCs w:val="24"/>
              </w:rPr>
              <w:br/>
              <w:t xml:space="preserve"> - nematožu skaitliskums un daudzveidība;</w:t>
            </w:r>
            <w:r w:rsidRPr="00EB04F1">
              <w:rPr>
                <w:strike/>
                <w:szCs w:val="24"/>
              </w:rPr>
              <w:cr/>
            </w:r>
            <w:r w:rsidRPr="00EB04F1">
              <w:rPr>
                <w:strike/>
                <w:szCs w:val="24"/>
              </w:rPr>
              <w:br/>
              <w:t xml:space="preserve"> - mikroorganismu biomasa;</w:t>
            </w:r>
            <w:r w:rsidRPr="00EB04F1">
              <w:rPr>
                <w:strike/>
                <w:szCs w:val="24"/>
              </w:rPr>
              <w:cr/>
            </w:r>
            <w:r w:rsidRPr="00EB04F1">
              <w:rPr>
                <w:strike/>
                <w:szCs w:val="24"/>
              </w:rPr>
              <w:br/>
              <w:t xml:space="preserve"> - slieku skaitliskums un daudzveidība </w:t>
            </w:r>
            <w:r w:rsidRPr="00EB04F1">
              <w:rPr>
                <w:strike/>
                <w:szCs w:val="24"/>
              </w:rPr>
              <w:lastRenderedPageBreak/>
              <w:t>(aramzemē);</w:t>
            </w:r>
          </w:p>
        </w:tc>
        <w:tc>
          <w:tcPr>
            <w:tcW w:w="2377" w:type="dxa"/>
            <w:tcBorders>
              <w:top w:val="single" w:sz="4" w:space="0" w:color="auto"/>
              <w:left w:val="single" w:sz="4" w:space="0" w:color="auto"/>
              <w:bottom w:val="single" w:sz="4" w:space="0" w:color="auto"/>
              <w:right w:val="single" w:sz="4" w:space="0" w:color="auto"/>
            </w:tcBorders>
            <w:hideMark/>
          </w:tcPr>
          <w:p w14:paraId="0A838A26" w14:textId="74394077" w:rsidR="006C20A6" w:rsidRPr="00EB04F1" w:rsidRDefault="006C20A6" w:rsidP="006E4E88">
            <w:pPr>
              <w:spacing w:before="120" w:after="120"/>
              <w:rPr>
                <w:strike/>
                <w:noProof/>
                <w:szCs w:val="24"/>
              </w:rPr>
            </w:pPr>
            <w:r w:rsidRPr="00EB04F1">
              <w:rPr>
                <w:strike/>
                <w:szCs w:val="24"/>
              </w:rPr>
              <w:lastRenderedPageBreak/>
              <w:t xml:space="preserve"> Ievērot norādes, kas sniegtas zinātniskajā rakstā Microbial biomass and activities in soil as affected by frozen and cold storage</w:t>
            </w:r>
            <w:r w:rsidR="006E4E88" w:rsidRPr="00EB04F1">
              <w:rPr>
                <w:rStyle w:val="FootnoteReference"/>
                <w:strike/>
                <w:szCs w:val="24"/>
              </w:rPr>
              <w:footnoteReference w:id="70"/>
            </w:r>
          </w:p>
        </w:tc>
        <w:tc>
          <w:tcPr>
            <w:tcW w:w="2845" w:type="dxa"/>
            <w:tcBorders>
              <w:top w:val="single" w:sz="4" w:space="0" w:color="auto"/>
              <w:left w:val="single" w:sz="4" w:space="0" w:color="auto"/>
              <w:bottom w:val="single" w:sz="4" w:space="0" w:color="auto"/>
              <w:right w:val="single" w:sz="4" w:space="0" w:color="auto"/>
            </w:tcBorders>
            <w:hideMark/>
          </w:tcPr>
          <w:p w14:paraId="7357778C" w14:textId="77777777" w:rsidR="006C20A6" w:rsidRPr="00EB04F1" w:rsidRDefault="006C20A6" w:rsidP="006C20A6">
            <w:pPr>
              <w:spacing w:before="120" w:after="120"/>
              <w:rPr>
                <w:strike/>
                <w:noProof/>
                <w:szCs w:val="24"/>
              </w:rPr>
            </w:pPr>
            <w:r w:rsidRPr="00EB04F1">
              <w:rPr>
                <w:strike/>
                <w:szCs w:val="24"/>
              </w:rPr>
              <w:t>Izmanto Eiropas vai starptautiskos standartus, ja tādi ir pieejami; ja šādu standartu nav, izraudzītā metodika ir vai nu pieejama zinātniskajā literatūrā, vai publiski pieejama.</w:t>
            </w:r>
          </w:p>
        </w:tc>
        <w:tc>
          <w:tcPr>
            <w:tcW w:w="2126" w:type="dxa"/>
            <w:gridSpan w:val="2"/>
            <w:tcBorders>
              <w:top w:val="single" w:sz="4" w:space="0" w:color="auto"/>
              <w:left w:val="single" w:sz="4" w:space="0" w:color="auto"/>
              <w:bottom w:val="single" w:sz="4" w:space="0" w:color="auto"/>
              <w:right w:val="single" w:sz="4" w:space="0" w:color="auto"/>
            </w:tcBorders>
            <w:hideMark/>
          </w:tcPr>
          <w:p w14:paraId="7D9218FA" w14:textId="77777777" w:rsidR="006C20A6" w:rsidRPr="00EB04F1" w:rsidRDefault="006C20A6" w:rsidP="006C20A6">
            <w:pPr>
              <w:spacing w:before="120" w:after="120"/>
              <w:rPr>
                <w:strike/>
                <w:noProof/>
                <w:szCs w:val="24"/>
              </w:rPr>
            </w:pPr>
            <w:r w:rsidRPr="00EB04F1">
              <w:rPr>
                <w:strike/>
                <w:szCs w:val="24"/>
              </w:rPr>
              <w:t>JĀ</w:t>
            </w:r>
            <w:r w:rsidRPr="00EB04F1">
              <w:rPr>
                <w:strike/>
                <w:szCs w:val="24"/>
              </w:rPr>
              <w:cr/>
            </w:r>
            <w:r w:rsidRPr="00EB04F1">
              <w:rPr>
                <w:strike/>
                <w:szCs w:val="24"/>
              </w:rPr>
              <w:br/>
            </w:r>
            <w:r w:rsidRPr="00EB04F1">
              <w:rPr>
                <w:strike/>
                <w:szCs w:val="24"/>
              </w:rPr>
              <w:cr/>
            </w:r>
            <w:r w:rsidRPr="00EB04F1">
              <w:rPr>
                <w:strike/>
                <w:szCs w:val="24"/>
              </w:rPr>
              <w:br/>
            </w:r>
            <w:r w:rsidRPr="00EB04F1">
              <w:rPr>
                <w:strike/>
                <w:szCs w:val="24"/>
              </w:rPr>
              <w:cr/>
            </w:r>
            <w:r w:rsidRPr="00EB04F1">
              <w:rPr>
                <w:strike/>
                <w:szCs w:val="24"/>
              </w:rPr>
              <w:br/>
            </w:r>
            <w:r w:rsidRPr="00EB04F1">
              <w:rPr>
                <w:strike/>
                <w:szCs w:val="24"/>
              </w:rPr>
              <w:cr/>
            </w:r>
            <w:r w:rsidRPr="00EB04F1">
              <w:rPr>
                <w:strike/>
                <w:szCs w:val="24"/>
              </w:rPr>
              <w:br/>
            </w:r>
            <w:r w:rsidRPr="00EB04F1">
              <w:rPr>
                <w:strike/>
                <w:szCs w:val="24"/>
              </w:rPr>
              <w:cr/>
            </w:r>
            <w:r w:rsidRPr="00EB04F1">
              <w:rPr>
                <w:strike/>
                <w:szCs w:val="24"/>
              </w:rPr>
              <w:br/>
              <w:t>Citiem augsnes biodaudzveidības deskriptoriem: Neattiecas</w:t>
            </w:r>
          </w:p>
        </w:tc>
      </w:tr>
    </w:tbl>
    <w:tbl>
      <w:tblPr>
        <w:tblStyle w:v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2410"/>
        <w:gridCol w:w="2835"/>
        <w:gridCol w:w="2130"/>
      </w:tblGrid>
      <w:tr w:rsidR="00282872" w:rsidRPr="00EB04F1" w14:paraId="4D1A1768"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2D4D5E4C" w14:textId="77777777" w:rsidR="00282872" w:rsidRPr="00EB04F1" w:rsidRDefault="00282872" w:rsidP="003050E9">
            <w:pPr>
              <w:rPr>
                <w:b/>
                <w:i/>
                <w:sz w:val="22"/>
                <w:szCs w:val="22"/>
              </w:rPr>
            </w:pPr>
            <w:r w:rsidRPr="00EB04F1">
              <w:rPr>
                <w:b/>
                <w:i/>
                <w:sz w:val="22"/>
              </w:rPr>
              <w:t>Augsnes deskriptors</w:t>
            </w:r>
          </w:p>
        </w:tc>
        <w:tc>
          <w:tcPr>
            <w:tcW w:w="2410" w:type="dxa"/>
            <w:tcBorders>
              <w:top w:val="single" w:sz="4" w:space="0" w:color="000000"/>
              <w:left w:val="single" w:sz="4" w:space="0" w:color="000000"/>
              <w:bottom w:val="single" w:sz="4" w:space="0" w:color="000000"/>
              <w:right w:val="single" w:sz="4" w:space="0" w:color="000000"/>
            </w:tcBorders>
            <w:hideMark/>
          </w:tcPr>
          <w:p w14:paraId="0C274CC0" w14:textId="77777777" w:rsidR="00282872" w:rsidRPr="00EB04F1" w:rsidRDefault="00282872" w:rsidP="003050E9">
            <w:pPr>
              <w:rPr>
                <w:b/>
                <w:i/>
                <w:sz w:val="22"/>
                <w:szCs w:val="22"/>
              </w:rPr>
            </w:pPr>
            <w:r w:rsidRPr="00EB04F1">
              <w:rPr>
                <w:b/>
                <w:i/>
                <w:sz w:val="22"/>
              </w:rPr>
              <w:t>Atsauces metodika</w:t>
            </w:r>
          </w:p>
        </w:tc>
        <w:tc>
          <w:tcPr>
            <w:tcW w:w="2835" w:type="dxa"/>
            <w:tcBorders>
              <w:top w:val="single" w:sz="4" w:space="0" w:color="000000"/>
              <w:left w:val="single" w:sz="4" w:space="0" w:color="000000"/>
              <w:bottom w:val="single" w:sz="4" w:space="0" w:color="000000"/>
              <w:right w:val="single" w:sz="4" w:space="0" w:color="000000"/>
            </w:tcBorders>
            <w:hideMark/>
          </w:tcPr>
          <w:p w14:paraId="5AB80BA2" w14:textId="77777777" w:rsidR="00282872" w:rsidRPr="00EB04F1" w:rsidRDefault="00282872" w:rsidP="003050E9">
            <w:pPr>
              <w:jc w:val="left"/>
              <w:rPr>
                <w:b/>
                <w:i/>
                <w:sz w:val="22"/>
                <w:szCs w:val="22"/>
              </w:rPr>
            </w:pPr>
            <w:r w:rsidRPr="00EB04F1">
              <w:rPr>
                <w:b/>
                <w:i/>
                <w:sz w:val="22"/>
              </w:rPr>
              <w:t>Metodisko kritēriju minimums</w:t>
            </w:r>
          </w:p>
        </w:tc>
        <w:tc>
          <w:tcPr>
            <w:tcW w:w="2130" w:type="dxa"/>
            <w:tcBorders>
              <w:top w:val="single" w:sz="4" w:space="0" w:color="000000"/>
              <w:left w:val="single" w:sz="4" w:space="0" w:color="000000"/>
              <w:bottom w:val="single" w:sz="4" w:space="0" w:color="000000"/>
              <w:right w:val="single" w:sz="4" w:space="0" w:color="000000"/>
            </w:tcBorders>
            <w:hideMark/>
          </w:tcPr>
          <w:p w14:paraId="61A3344B" w14:textId="77777777" w:rsidR="00282872" w:rsidRPr="00EB04F1" w:rsidRDefault="00282872" w:rsidP="003050E9">
            <w:pPr>
              <w:rPr>
                <w:b/>
                <w:i/>
                <w:sz w:val="22"/>
                <w:szCs w:val="22"/>
              </w:rPr>
            </w:pPr>
            <w:r w:rsidRPr="00EB04F1">
              <w:rPr>
                <w:b/>
                <w:i/>
                <w:sz w:val="22"/>
              </w:rPr>
              <w:t>Vai vajadzīga validēta pārneses funkcija (ja izmanto metodiku, kas atšķiras no atsauces metodikas)?</w:t>
            </w:r>
          </w:p>
        </w:tc>
      </w:tr>
      <w:tr w:rsidR="00282872" w:rsidRPr="00EB04F1" w14:paraId="09C237BA"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7D00DBC7" w14:textId="77777777" w:rsidR="00282872" w:rsidRPr="00EB04F1" w:rsidRDefault="00282872" w:rsidP="003050E9">
            <w:pPr>
              <w:rPr>
                <w:b/>
                <w:i/>
                <w:sz w:val="22"/>
                <w:szCs w:val="22"/>
              </w:rPr>
            </w:pPr>
            <w:r w:rsidRPr="00EB04F1">
              <w:rPr>
                <w:b/>
                <w:i/>
                <w:sz w:val="22"/>
              </w:rPr>
              <w:t>Augsnes granulometriskais sastāvs (māla, putekļu un smilts saturs, kas vajadzīgs, lai noteiktu citus deskriptorus un saistītos diapazonus)</w:t>
            </w:r>
          </w:p>
        </w:tc>
        <w:tc>
          <w:tcPr>
            <w:tcW w:w="2410" w:type="dxa"/>
            <w:tcBorders>
              <w:top w:val="single" w:sz="4" w:space="0" w:color="000000"/>
              <w:left w:val="single" w:sz="4" w:space="0" w:color="000000"/>
              <w:bottom w:val="single" w:sz="4" w:space="0" w:color="000000"/>
              <w:right w:val="single" w:sz="4" w:space="0" w:color="000000"/>
            </w:tcBorders>
            <w:hideMark/>
          </w:tcPr>
          <w:p w14:paraId="24FC49D2" w14:textId="77777777" w:rsidR="00282872" w:rsidRPr="00EB04F1" w:rsidRDefault="00282872" w:rsidP="003050E9">
            <w:pPr>
              <w:rPr>
                <w:b/>
                <w:i/>
                <w:sz w:val="22"/>
                <w:szCs w:val="22"/>
              </w:rPr>
            </w:pPr>
            <w:r w:rsidRPr="00EB04F1">
              <w:rPr>
                <w:b/>
                <w:i/>
                <w:sz w:val="22"/>
              </w:rPr>
              <w:t>Vēlamā metode: ISO 11277:1998. Augsnes minerālmateriāla granulometriskā sastāva noteikšana.</w:t>
            </w:r>
          </w:p>
          <w:p w14:paraId="7DA8BFBF" w14:textId="77777777" w:rsidR="00282872" w:rsidRPr="00EB04F1" w:rsidRDefault="00282872" w:rsidP="003050E9">
            <w:pPr>
              <w:rPr>
                <w:b/>
                <w:i/>
                <w:sz w:val="22"/>
                <w:szCs w:val="22"/>
              </w:rPr>
            </w:pPr>
            <w:r w:rsidRPr="00EB04F1">
              <w:rPr>
                <w:b/>
                <w:i/>
                <w:sz w:val="22"/>
              </w:rPr>
              <w:t>Sijāšanas un nostādināšanas metode Alternatīva metode: ISO 13320:2009. Daļiņu lieluma analīze. Lāzerdifrakcijas metodes</w:t>
            </w:r>
          </w:p>
        </w:tc>
        <w:tc>
          <w:tcPr>
            <w:tcW w:w="2835" w:type="dxa"/>
            <w:tcBorders>
              <w:top w:val="single" w:sz="4" w:space="0" w:color="000000"/>
              <w:left w:val="single" w:sz="4" w:space="0" w:color="000000"/>
              <w:bottom w:val="single" w:sz="4" w:space="0" w:color="000000"/>
              <w:right w:val="single" w:sz="4" w:space="0" w:color="000000"/>
            </w:tcBorders>
          </w:tcPr>
          <w:p w14:paraId="4DD10702"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6706C50B" w14:textId="77777777" w:rsidR="00282872" w:rsidRPr="00EB04F1" w:rsidRDefault="00282872" w:rsidP="003050E9">
            <w:pPr>
              <w:rPr>
                <w:b/>
                <w:i/>
                <w:sz w:val="22"/>
                <w:szCs w:val="22"/>
              </w:rPr>
            </w:pPr>
            <w:r w:rsidRPr="00EB04F1">
              <w:rPr>
                <w:b/>
                <w:i/>
                <w:sz w:val="22"/>
              </w:rPr>
              <w:t>JĀ</w:t>
            </w:r>
          </w:p>
        </w:tc>
      </w:tr>
      <w:tr w:rsidR="00282872" w:rsidRPr="00EB04F1" w14:paraId="1BB41D4F"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7AE0904A" w14:textId="77777777" w:rsidR="00282872" w:rsidRPr="00EB04F1" w:rsidRDefault="00282872" w:rsidP="003050E9">
            <w:pPr>
              <w:rPr>
                <w:b/>
                <w:i/>
                <w:sz w:val="22"/>
                <w:szCs w:val="22"/>
              </w:rPr>
            </w:pPr>
            <w:r w:rsidRPr="00EB04F1">
              <w:rPr>
                <w:b/>
                <w:i/>
                <w:sz w:val="22"/>
              </w:rPr>
              <w:t>Elektrovadītspēja</w:t>
            </w:r>
          </w:p>
        </w:tc>
        <w:tc>
          <w:tcPr>
            <w:tcW w:w="2410" w:type="dxa"/>
            <w:tcBorders>
              <w:top w:val="single" w:sz="4" w:space="0" w:color="000000"/>
              <w:left w:val="single" w:sz="4" w:space="0" w:color="000000"/>
              <w:bottom w:val="single" w:sz="4" w:space="0" w:color="000000"/>
              <w:right w:val="single" w:sz="4" w:space="0" w:color="000000"/>
            </w:tcBorders>
            <w:hideMark/>
          </w:tcPr>
          <w:p w14:paraId="140C7028" w14:textId="2E7AD2FE" w:rsidR="00282872" w:rsidRPr="00EB04F1" w:rsidRDefault="00282872" w:rsidP="003050E9">
            <w:pPr>
              <w:rPr>
                <w:b/>
                <w:i/>
                <w:sz w:val="22"/>
                <w:szCs w:val="22"/>
              </w:rPr>
            </w:pPr>
            <w:r w:rsidRPr="00EB04F1">
              <w:rPr>
                <w:b/>
                <w:i/>
                <w:sz w:val="22"/>
              </w:rPr>
              <w:t>1. variants. piesātinātās augsnes pastas izvilkuma mērīšanas metode (FAO standarta operāciju procedūra  GLOSOLAN-SOP-08</w:t>
            </w:r>
            <w:r w:rsidR="001F6A70" w:rsidRPr="00EB04F1">
              <w:rPr>
                <w:rStyle w:val="FootnoteReference"/>
                <w:b/>
                <w:i/>
                <w:sz w:val="22"/>
              </w:rPr>
              <w:footnoteReference w:id="71"/>
            </w:r>
            <w:r w:rsidRPr="00EB04F1">
              <w:rPr>
                <w:b/>
                <w:i/>
                <w:sz w:val="22"/>
              </w:rPr>
              <w:t>)</w:t>
            </w:r>
          </w:p>
          <w:p w14:paraId="3C375904" w14:textId="77777777" w:rsidR="00282872" w:rsidRPr="00EB04F1" w:rsidRDefault="00282872" w:rsidP="003050E9">
            <w:pPr>
              <w:rPr>
                <w:b/>
                <w:i/>
                <w:sz w:val="22"/>
                <w:szCs w:val="22"/>
              </w:rPr>
            </w:pPr>
            <w:r w:rsidRPr="00EB04F1">
              <w:rPr>
                <w:b/>
                <w:i/>
                <w:sz w:val="22"/>
              </w:rPr>
              <w:t xml:space="preserve">2. variants. ISO 11265:1994. Īpatnējās elektrovadītspējas noteikšana  </w:t>
            </w:r>
          </w:p>
        </w:tc>
        <w:tc>
          <w:tcPr>
            <w:tcW w:w="2835" w:type="dxa"/>
            <w:tcBorders>
              <w:top w:val="single" w:sz="4" w:space="0" w:color="000000"/>
              <w:left w:val="single" w:sz="4" w:space="0" w:color="000000"/>
              <w:bottom w:val="single" w:sz="4" w:space="0" w:color="000000"/>
              <w:right w:val="single" w:sz="4" w:space="0" w:color="000000"/>
            </w:tcBorders>
          </w:tcPr>
          <w:p w14:paraId="325EC7EB"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79285790" w14:textId="77777777" w:rsidR="00282872" w:rsidRPr="00EB04F1" w:rsidRDefault="00282872" w:rsidP="003050E9">
            <w:pPr>
              <w:rPr>
                <w:b/>
                <w:i/>
                <w:sz w:val="22"/>
                <w:szCs w:val="22"/>
              </w:rPr>
            </w:pPr>
            <w:r w:rsidRPr="00EB04F1">
              <w:rPr>
                <w:b/>
                <w:i/>
                <w:sz w:val="22"/>
              </w:rPr>
              <w:t>JĀ</w:t>
            </w:r>
          </w:p>
        </w:tc>
      </w:tr>
      <w:tr w:rsidR="00282872" w:rsidRPr="00EB04F1" w14:paraId="67529FD2"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67D52C0D" w14:textId="77777777" w:rsidR="00282872" w:rsidRPr="00EB04F1" w:rsidRDefault="00282872" w:rsidP="003050E9">
            <w:pPr>
              <w:rPr>
                <w:b/>
                <w:i/>
                <w:sz w:val="22"/>
                <w:szCs w:val="22"/>
              </w:rPr>
            </w:pPr>
            <w:r w:rsidRPr="00EB04F1">
              <w:rPr>
                <w:b/>
                <w:i/>
                <w:sz w:val="22"/>
              </w:rPr>
              <w:t>Augsnes erozijas rādītājs</w:t>
            </w:r>
          </w:p>
        </w:tc>
        <w:tc>
          <w:tcPr>
            <w:tcW w:w="2410" w:type="dxa"/>
            <w:tcBorders>
              <w:top w:val="single" w:sz="4" w:space="0" w:color="000000"/>
              <w:left w:val="single" w:sz="4" w:space="0" w:color="000000"/>
              <w:bottom w:val="single" w:sz="4" w:space="0" w:color="000000"/>
              <w:right w:val="single" w:sz="4" w:space="0" w:color="000000"/>
            </w:tcBorders>
          </w:tcPr>
          <w:p w14:paraId="7807CC15" w14:textId="77777777" w:rsidR="00282872" w:rsidRPr="00EB04F1" w:rsidRDefault="00282872" w:rsidP="003050E9">
            <w:pPr>
              <w:rPr>
                <w:b/>
                <w:i/>
                <w:sz w:val="22"/>
                <w:szCs w:val="22"/>
              </w:rPr>
            </w:pPr>
          </w:p>
        </w:tc>
        <w:tc>
          <w:tcPr>
            <w:tcW w:w="2835" w:type="dxa"/>
            <w:tcBorders>
              <w:top w:val="single" w:sz="4" w:space="0" w:color="000000"/>
              <w:left w:val="single" w:sz="4" w:space="0" w:color="000000"/>
              <w:bottom w:val="single" w:sz="4" w:space="0" w:color="000000"/>
              <w:right w:val="single" w:sz="4" w:space="0" w:color="000000"/>
            </w:tcBorders>
            <w:hideMark/>
          </w:tcPr>
          <w:p w14:paraId="5E2D27E8" w14:textId="77777777" w:rsidR="00282872" w:rsidRPr="00EB04F1" w:rsidRDefault="00282872" w:rsidP="003050E9">
            <w:pPr>
              <w:rPr>
                <w:b/>
                <w:i/>
                <w:sz w:val="22"/>
                <w:szCs w:val="22"/>
              </w:rPr>
            </w:pPr>
            <w:r w:rsidRPr="00EB04F1">
              <w:rPr>
                <w:b/>
                <w:i/>
                <w:sz w:val="22"/>
              </w:rPr>
              <w:t>Nosakot augsnes erozijas rādītāju, ņem vērā visas darbības, kas veiktas, lai mazinātu vai kompensētu erozijas risku, arī pēc ugunsgrēka veiktos mitigācijas pasākumus.</w:t>
            </w:r>
          </w:p>
          <w:p w14:paraId="0560C6E0" w14:textId="77777777" w:rsidR="00282872" w:rsidRPr="00EB04F1" w:rsidRDefault="00282872" w:rsidP="003050E9">
            <w:pPr>
              <w:rPr>
                <w:b/>
                <w:i/>
                <w:sz w:val="22"/>
                <w:szCs w:val="22"/>
              </w:rPr>
            </w:pPr>
            <w:r w:rsidRPr="00EB04F1">
              <w:rPr>
                <w:b/>
                <w:i/>
                <w:sz w:val="22"/>
              </w:rPr>
              <w:t>Augsnes erozijas rādītāja aplēsē iekļauj visus relevantos erozijas procesus, piemēram, ūdens, vēja, ražas novākšanas un augsnes apstrādes izraisīto eroziju.</w:t>
            </w:r>
          </w:p>
          <w:p w14:paraId="6CBA3FD0" w14:textId="77777777" w:rsidR="00282872" w:rsidRPr="00EB04F1" w:rsidRDefault="00282872" w:rsidP="003050E9">
            <w:pPr>
              <w:rPr>
                <w:b/>
                <w:i/>
                <w:sz w:val="22"/>
                <w:szCs w:val="22"/>
              </w:rPr>
            </w:pPr>
            <w:r w:rsidRPr="00EB04F1">
              <w:rPr>
                <w:b/>
                <w:i/>
                <w:sz w:val="22"/>
              </w:rPr>
              <w:t xml:space="preserve">Ūdens izraisīto augsnes eroziju novērtē, ņemot vērā šādus faktorus: </w:t>
            </w:r>
          </w:p>
          <w:p w14:paraId="402EF07E"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 xml:space="preserve">augsnes īpašības (piemēram, erodējamība, augsnes </w:t>
            </w:r>
            <w:r w:rsidRPr="00EB04F1">
              <w:rPr>
                <w:b/>
                <w:i/>
                <w:sz w:val="22"/>
              </w:rPr>
              <w:lastRenderedPageBreak/>
              <w:t xml:space="preserve">garozas veidošanās, augsnes nelīdzenums), </w:t>
            </w:r>
          </w:p>
          <w:p w14:paraId="63CCFB32"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 xml:space="preserve">klimats (piemēram, nokrišņu erozivitāte — intensitāte un ilgums, ņemot vērā attiecīgās klimata pārmaiņu prognozes konkrētajam apgabalam), </w:t>
            </w:r>
          </w:p>
          <w:p w14:paraId="49CD9CCF"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 xml:space="preserve">topogrāfija (piemēram, nogāzes stāvums un garums), </w:t>
            </w:r>
          </w:p>
          <w:p w14:paraId="70057D66"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augu sega, kultūraugu un meža veids, zemes izmantojums un apsaimniekošanas prakse erozijas ierobežošanai vai mazināšanai,</w:t>
            </w:r>
          </w:p>
          <w:p w14:paraId="1DA8A7D8"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apsaimniekošanas prakse (piemēram, sedzējaugi, samazināta augsnes apstrāde, mulčēšana u. c.),</w:t>
            </w:r>
          </w:p>
          <w:p w14:paraId="6A3BD19F"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izdegušās platības.</w:t>
            </w:r>
          </w:p>
          <w:p w14:paraId="13E5BDE5" w14:textId="77777777" w:rsidR="00282872" w:rsidRPr="00EB04F1" w:rsidRDefault="00282872" w:rsidP="003050E9">
            <w:pPr>
              <w:rPr>
                <w:b/>
                <w:i/>
                <w:sz w:val="22"/>
                <w:szCs w:val="22"/>
              </w:rPr>
            </w:pPr>
            <w:r w:rsidRPr="00EB04F1">
              <w:rPr>
                <w:b/>
                <w:i/>
                <w:sz w:val="22"/>
              </w:rPr>
              <w:t xml:space="preserve">Vēja izraisīto augsnes eroziju novērtē, ņemot vērā šādus faktorus: </w:t>
            </w:r>
          </w:p>
          <w:p w14:paraId="6FB2BAB4"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 xml:space="preserve">augsnes īpašības (piemēram, erodējamība), </w:t>
            </w:r>
          </w:p>
          <w:p w14:paraId="36B1744B"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 xml:space="preserve">klimats (piemēram, augsnes mitrums, vēja ātrums, iztvaikošana), </w:t>
            </w:r>
          </w:p>
          <w:p w14:paraId="50C7201C"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veģetācija (piemēram, kultūraugu veids),</w:t>
            </w:r>
          </w:p>
          <w:p w14:paraId="0227BB3A"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apsaimniekošanas prakse erozijas ierobežošanai vai mazināšanai (piemēram, vējlauži),</w:t>
            </w:r>
          </w:p>
          <w:p w14:paraId="49464682" w14:textId="77777777" w:rsidR="00282872" w:rsidRPr="00EB04F1" w:rsidRDefault="00282872" w:rsidP="003050E9">
            <w:pPr>
              <w:widowControl/>
              <w:ind w:left="492" w:hanging="360"/>
              <w:rPr>
                <w:b/>
                <w:i/>
                <w:sz w:val="22"/>
                <w:szCs w:val="22"/>
              </w:rPr>
            </w:pPr>
            <w:r w:rsidRPr="00EB04F1">
              <w:rPr>
                <w:rFonts w:ascii="Calibri" w:hAnsi="Calibri"/>
                <w:sz w:val="22"/>
              </w:rPr>
              <w:t>-</w:t>
            </w:r>
            <w:r w:rsidRPr="00EB04F1">
              <w:rPr>
                <w:rFonts w:ascii="Calibri" w:hAnsi="Calibri"/>
                <w:sz w:val="22"/>
              </w:rPr>
              <w:tab/>
            </w:r>
            <w:r w:rsidRPr="00EB04F1">
              <w:rPr>
                <w:b/>
                <w:i/>
                <w:sz w:val="22"/>
              </w:rPr>
              <w:t>izdegušās platības.</w:t>
            </w:r>
          </w:p>
        </w:tc>
        <w:tc>
          <w:tcPr>
            <w:tcW w:w="2130" w:type="dxa"/>
            <w:tcBorders>
              <w:top w:val="single" w:sz="4" w:space="0" w:color="000000"/>
              <w:left w:val="single" w:sz="4" w:space="0" w:color="000000"/>
              <w:bottom w:val="single" w:sz="4" w:space="0" w:color="000000"/>
              <w:right w:val="single" w:sz="4" w:space="0" w:color="000000"/>
            </w:tcBorders>
            <w:hideMark/>
          </w:tcPr>
          <w:p w14:paraId="280BCA0A" w14:textId="77777777" w:rsidR="00282872" w:rsidRPr="00EB04F1" w:rsidRDefault="00282872" w:rsidP="003050E9">
            <w:pPr>
              <w:rPr>
                <w:b/>
                <w:i/>
                <w:sz w:val="22"/>
                <w:szCs w:val="22"/>
              </w:rPr>
            </w:pPr>
            <w:r w:rsidRPr="00EB04F1">
              <w:rPr>
                <w:b/>
                <w:i/>
                <w:sz w:val="22"/>
              </w:rPr>
              <w:lastRenderedPageBreak/>
              <w:t>Neattiecas</w:t>
            </w:r>
          </w:p>
        </w:tc>
      </w:tr>
      <w:tr w:rsidR="00282872" w:rsidRPr="00EB04F1" w14:paraId="1077EFB3" w14:textId="77777777" w:rsidTr="001C7579">
        <w:trPr>
          <w:trHeight w:val="662"/>
        </w:trPr>
        <w:tc>
          <w:tcPr>
            <w:tcW w:w="1985" w:type="dxa"/>
            <w:tcBorders>
              <w:top w:val="single" w:sz="4" w:space="0" w:color="000000"/>
              <w:left w:val="single" w:sz="4" w:space="0" w:color="000000"/>
              <w:bottom w:val="single" w:sz="4" w:space="0" w:color="000000"/>
              <w:right w:val="single" w:sz="4" w:space="0" w:color="000000"/>
            </w:tcBorders>
            <w:hideMark/>
          </w:tcPr>
          <w:p w14:paraId="67CA3259" w14:textId="77777777" w:rsidR="00282872" w:rsidRPr="00EB04F1" w:rsidRDefault="00282872" w:rsidP="003050E9">
            <w:pPr>
              <w:rPr>
                <w:b/>
                <w:i/>
                <w:sz w:val="22"/>
                <w:szCs w:val="22"/>
              </w:rPr>
            </w:pPr>
            <w:r w:rsidRPr="00EB04F1">
              <w:rPr>
                <w:b/>
                <w:i/>
                <w:sz w:val="22"/>
              </w:rPr>
              <w:t>Augsnes organiskais ogleklis (AOO)</w:t>
            </w:r>
          </w:p>
        </w:tc>
        <w:tc>
          <w:tcPr>
            <w:tcW w:w="2410" w:type="dxa"/>
            <w:tcBorders>
              <w:top w:val="single" w:sz="4" w:space="0" w:color="000000"/>
              <w:left w:val="single" w:sz="4" w:space="0" w:color="000000"/>
              <w:bottom w:val="single" w:sz="4" w:space="0" w:color="000000"/>
              <w:right w:val="single" w:sz="4" w:space="0" w:color="000000"/>
            </w:tcBorders>
            <w:hideMark/>
          </w:tcPr>
          <w:p w14:paraId="52FA7239" w14:textId="77777777" w:rsidR="00282872" w:rsidRPr="00EB04F1" w:rsidRDefault="00282872" w:rsidP="003050E9">
            <w:pPr>
              <w:rPr>
                <w:b/>
                <w:i/>
                <w:sz w:val="22"/>
                <w:szCs w:val="22"/>
              </w:rPr>
            </w:pPr>
            <w:r w:rsidRPr="00EB04F1">
              <w:rPr>
                <w:b/>
                <w:i/>
                <w:sz w:val="22"/>
              </w:rPr>
              <w:t>ISO 10694:1995. Organiskā un kopējā oglekļa daudzuma noteikšana pēc sausās sadedzināšanas</w:t>
            </w:r>
          </w:p>
        </w:tc>
        <w:tc>
          <w:tcPr>
            <w:tcW w:w="2835" w:type="dxa"/>
            <w:tcBorders>
              <w:top w:val="single" w:sz="4" w:space="0" w:color="000000"/>
              <w:left w:val="single" w:sz="4" w:space="0" w:color="000000"/>
              <w:bottom w:val="single" w:sz="4" w:space="0" w:color="000000"/>
              <w:right w:val="single" w:sz="4" w:space="0" w:color="000000"/>
            </w:tcBorders>
          </w:tcPr>
          <w:p w14:paraId="6CFCD224"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3A169C53" w14:textId="77777777" w:rsidR="00282872" w:rsidRPr="00EB04F1" w:rsidRDefault="00282872" w:rsidP="003050E9">
            <w:pPr>
              <w:rPr>
                <w:b/>
                <w:i/>
                <w:sz w:val="22"/>
                <w:szCs w:val="22"/>
              </w:rPr>
            </w:pPr>
            <w:r w:rsidRPr="00EB04F1">
              <w:rPr>
                <w:b/>
                <w:i/>
                <w:sz w:val="22"/>
              </w:rPr>
              <w:t>JĀ</w:t>
            </w:r>
          </w:p>
        </w:tc>
      </w:tr>
      <w:tr w:rsidR="00282872" w:rsidRPr="00EB04F1" w14:paraId="32D26998"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64336DCF" w14:textId="7AC59293" w:rsidR="00282872" w:rsidRPr="00EB04F1" w:rsidRDefault="00282872" w:rsidP="001F6A70">
            <w:pPr>
              <w:rPr>
                <w:b/>
                <w:i/>
                <w:sz w:val="22"/>
                <w:szCs w:val="22"/>
              </w:rPr>
            </w:pPr>
            <w:r w:rsidRPr="00EB04F1">
              <w:rPr>
                <w:b/>
                <w:i/>
                <w:sz w:val="22"/>
              </w:rPr>
              <w:t xml:space="preserve">Augsnes apakškārtas </w:t>
            </w:r>
            <w:r w:rsidRPr="00EB04F1">
              <w:rPr>
                <w:b/>
                <w:i/>
                <w:sz w:val="22"/>
              </w:rPr>
              <w:lastRenderedPageBreak/>
              <w:t>tilpummasa vai pielīdzināms</w:t>
            </w:r>
            <w:r w:rsidR="001F6A70" w:rsidRPr="00EB04F1">
              <w:rPr>
                <w:rStyle w:val="FootnoteReference"/>
                <w:b/>
                <w:i/>
                <w:sz w:val="22"/>
              </w:rPr>
              <w:footnoteReference w:id="72"/>
            </w:r>
            <w:r w:rsidRPr="00EB04F1">
              <w:rPr>
                <w:b/>
                <w:i/>
                <w:sz w:val="22"/>
              </w:rPr>
              <w:t xml:space="preserve"> parametrs, ko izraudzījušās dalībvalstis</w:t>
            </w:r>
          </w:p>
        </w:tc>
        <w:tc>
          <w:tcPr>
            <w:tcW w:w="2410" w:type="dxa"/>
            <w:tcBorders>
              <w:top w:val="single" w:sz="4" w:space="0" w:color="000000"/>
              <w:left w:val="single" w:sz="4" w:space="0" w:color="000000"/>
              <w:bottom w:val="single" w:sz="4" w:space="0" w:color="000000"/>
              <w:right w:val="single" w:sz="4" w:space="0" w:color="000000"/>
            </w:tcBorders>
          </w:tcPr>
          <w:p w14:paraId="2408787D" w14:textId="77777777" w:rsidR="00282872" w:rsidRPr="00EB04F1" w:rsidRDefault="00282872" w:rsidP="003050E9">
            <w:pPr>
              <w:rPr>
                <w:b/>
                <w:i/>
                <w:sz w:val="22"/>
                <w:szCs w:val="22"/>
              </w:rPr>
            </w:pPr>
            <w:r w:rsidRPr="00EB04F1">
              <w:rPr>
                <w:b/>
                <w:i/>
                <w:sz w:val="22"/>
              </w:rPr>
              <w:lastRenderedPageBreak/>
              <w:t xml:space="preserve">ISO 11272:2017. Sausās masas blīvuma </w:t>
            </w:r>
            <w:r w:rsidRPr="00EB04F1">
              <w:rPr>
                <w:b/>
                <w:i/>
                <w:sz w:val="22"/>
              </w:rPr>
              <w:lastRenderedPageBreak/>
              <w:t xml:space="preserve">noteikšana </w:t>
            </w:r>
          </w:p>
          <w:p w14:paraId="74032887" w14:textId="77777777" w:rsidR="00282872" w:rsidRPr="00EB04F1" w:rsidRDefault="00282872" w:rsidP="003050E9">
            <w:pPr>
              <w:rPr>
                <w:b/>
                <w:i/>
                <w:sz w:val="22"/>
                <w:szCs w:val="22"/>
              </w:rPr>
            </w:pPr>
          </w:p>
          <w:p w14:paraId="3836AA12" w14:textId="77777777" w:rsidR="00282872" w:rsidRPr="00EB04F1" w:rsidRDefault="00282872" w:rsidP="003050E9">
            <w:pPr>
              <w:rPr>
                <w:b/>
                <w:i/>
                <w:sz w:val="22"/>
                <w:szCs w:val="22"/>
              </w:rPr>
            </w:pPr>
            <w:r w:rsidRPr="00EB04F1">
              <w:rPr>
                <w:b/>
                <w:i/>
                <w:sz w:val="22"/>
              </w:rPr>
              <w:t xml:space="preserve">Ja izraudzīts pielīdzināms parametrs, metodika ir vai nu Eiropas, vai starptautisks standarts, ja tāds ir pieejams; ja šādu standartu nav, izraudzītā metodika ir vai nu pieejama zinātniskajā literatūrā, vai publiski pieejama. </w:t>
            </w:r>
          </w:p>
        </w:tc>
        <w:tc>
          <w:tcPr>
            <w:tcW w:w="2835" w:type="dxa"/>
            <w:tcBorders>
              <w:top w:val="single" w:sz="4" w:space="0" w:color="000000"/>
              <w:left w:val="single" w:sz="4" w:space="0" w:color="000000"/>
              <w:bottom w:val="single" w:sz="4" w:space="0" w:color="000000"/>
              <w:right w:val="single" w:sz="4" w:space="0" w:color="000000"/>
            </w:tcBorders>
          </w:tcPr>
          <w:p w14:paraId="24274517"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119240F3" w14:textId="77777777" w:rsidR="00282872" w:rsidRPr="00EB04F1" w:rsidRDefault="00282872" w:rsidP="003050E9">
            <w:pPr>
              <w:rPr>
                <w:b/>
                <w:i/>
                <w:sz w:val="22"/>
                <w:szCs w:val="22"/>
              </w:rPr>
            </w:pPr>
            <w:r w:rsidRPr="00EB04F1">
              <w:rPr>
                <w:b/>
                <w:i/>
                <w:sz w:val="22"/>
              </w:rPr>
              <w:t>JĀ</w:t>
            </w:r>
          </w:p>
        </w:tc>
      </w:tr>
      <w:tr w:rsidR="00282872" w:rsidRPr="00EB04F1" w14:paraId="5041C7E6"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4D29B25A" w14:textId="77777777" w:rsidR="00282872" w:rsidRPr="00EB04F1" w:rsidRDefault="00282872" w:rsidP="003050E9">
            <w:pPr>
              <w:rPr>
                <w:b/>
                <w:i/>
                <w:sz w:val="22"/>
                <w:szCs w:val="22"/>
              </w:rPr>
            </w:pPr>
            <w:r w:rsidRPr="00EB04F1">
              <w:rPr>
                <w:b/>
                <w:i/>
                <w:sz w:val="22"/>
              </w:rPr>
              <w:t>Ekstrahējamais fosfors</w:t>
            </w:r>
          </w:p>
        </w:tc>
        <w:tc>
          <w:tcPr>
            <w:tcW w:w="2410" w:type="dxa"/>
            <w:tcBorders>
              <w:top w:val="single" w:sz="4" w:space="0" w:color="000000"/>
              <w:left w:val="single" w:sz="4" w:space="0" w:color="000000"/>
              <w:bottom w:val="single" w:sz="4" w:space="0" w:color="000000"/>
              <w:right w:val="single" w:sz="4" w:space="0" w:color="000000"/>
            </w:tcBorders>
            <w:hideMark/>
          </w:tcPr>
          <w:p w14:paraId="53AC0122" w14:textId="77777777" w:rsidR="00282872" w:rsidRPr="00EB04F1" w:rsidRDefault="00282872" w:rsidP="003050E9">
            <w:pPr>
              <w:rPr>
                <w:b/>
                <w:i/>
                <w:sz w:val="22"/>
                <w:szCs w:val="22"/>
              </w:rPr>
            </w:pPr>
            <w:r w:rsidRPr="00EB04F1">
              <w:rPr>
                <w:b/>
                <w:i/>
                <w:sz w:val="22"/>
              </w:rPr>
              <w:t>ISO 11263:1994. Nātrija hidrokarbonāta šķīdumā šķīstoša fosfora spektrometriskā noteikšana (P-Olsen)</w:t>
            </w:r>
          </w:p>
        </w:tc>
        <w:tc>
          <w:tcPr>
            <w:tcW w:w="2835" w:type="dxa"/>
            <w:tcBorders>
              <w:top w:val="single" w:sz="4" w:space="0" w:color="000000"/>
              <w:left w:val="single" w:sz="4" w:space="0" w:color="000000"/>
              <w:bottom w:val="single" w:sz="4" w:space="0" w:color="000000"/>
              <w:right w:val="single" w:sz="4" w:space="0" w:color="000000"/>
            </w:tcBorders>
          </w:tcPr>
          <w:p w14:paraId="08B45869"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09B06C92" w14:textId="77777777" w:rsidR="00282872" w:rsidRPr="00EB04F1" w:rsidRDefault="00282872" w:rsidP="003050E9">
            <w:pPr>
              <w:rPr>
                <w:b/>
                <w:i/>
                <w:sz w:val="22"/>
                <w:szCs w:val="22"/>
              </w:rPr>
            </w:pPr>
            <w:r w:rsidRPr="00EB04F1">
              <w:rPr>
                <w:b/>
                <w:i/>
                <w:sz w:val="22"/>
              </w:rPr>
              <w:t>JĀ</w:t>
            </w:r>
          </w:p>
        </w:tc>
      </w:tr>
      <w:tr w:rsidR="00282872" w:rsidRPr="00EB04F1" w14:paraId="75CA480E"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069E9880" w14:textId="77777777" w:rsidR="00282872" w:rsidRPr="00EB04F1" w:rsidRDefault="00282872" w:rsidP="003050E9">
            <w:pPr>
              <w:rPr>
                <w:b/>
                <w:i/>
                <w:sz w:val="22"/>
                <w:szCs w:val="22"/>
              </w:rPr>
            </w:pPr>
            <w:r w:rsidRPr="00EB04F1">
              <w:rPr>
                <w:b/>
                <w:i/>
                <w:sz w:val="22"/>
              </w:rPr>
              <w:t>- Smago metālu koncentrācija augsnē: As, Sb, Cd, Co, Cr (total), Cr (VI), Cu, Hg, Pb, Ni, Tl, V, Zn</w:t>
            </w:r>
            <w:r w:rsidRPr="00EB04F1">
              <w:rPr>
                <w:b/>
                <w:i/>
                <w:sz w:val="22"/>
              </w:rPr>
              <w:cr/>
            </w:r>
            <w:r w:rsidRPr="00EB04F1">
              <w:rPr>
                <w:b/>
                <w:i/>
                <w:sz w:val="22"/>
              </w:rPr>
              <w:br/>
              <w:t xml:space="preserve"> – Dalībvalstu atlasīto organisko kontaminantu koncentrācija, ņemot vērā līdzšinējos Savienības tiesību aktus (piemēram, attiecībā uz ūdens kvalitāti vai pesticīdiem)</w:t>
            </w:r>
          </w:p>
          <w:p w14:paraId="0D4D2717" w14:textId="77777777" w:rsidR="00282872" w:rsidRPr="00EB04F1" w:rsidRDefault="00282872" w:rsidP="003050E9">
            <w:pPr>
              <w:rPr>
                <w:b/>
                <w:i/>
                <w:sz w:val="22"/>
                <w:szCs w:val="22"/>
              </w:rPr>
            </w:pPr>
            <w:r w:rsidRPr="00EB04F1">
              <w:rPr>
                <w:b/>
                <w:i/>
                <w:sz w:val="22"/>
              </w:rPr>
              <w:t>Pesticīdu un biocīdu atliekas, veterinārie produkti</w:t>
            </w:r>
          </w:p>
          <w:p w14:paraId="63E166DC" w14:textId="77777777" w:rsidR="00282872" w:rsidRPr="00EB04F1" w:rsidRDefault="00282872" w:rsidP="003050E9">
            <w:pPr>
              <w:rPr>
                <w:b/>
                <w:i/>
                <w:sz w:val="22"/>
                <w:szCs w:val="22"/>
              </w:rPr>
            </w:pPr>
            <w:r w:rsidRPr="00EB04F1">
              <w:rPr>
                <w:b/>
                <w:i/>
                <w:sz w:val="22"/>
              </w:rPr>
              <w:t>- PFAS</w:t>
            </w:r>
          </w:p>
        </w:tc>
        <w:tc>
          <w:tcPr>
            <w:tcW w:w="2410" w:type="dxa"/>
            <w:tcBorders>
              <w:top w:val="single" w:sz="4" w:space="0" w:color="000000"/>
              <w:left w:val="single" w:sz="4" w:space="0" w:color="000000"/>
              <w:bottom w:val="single" w:sz="4" w:space="0" w:color="000000"/>
              <w:right w:val="single" w:sz="4" w:space="0" w:color="000000"/>
            </w:tcBorders>
            <w:hideMark/>
          </w:tcPr>
          <w:p w14:paraId="5933E707" w14:textId="77777777" w:rsidR="00282872" w:rsidRPr="00EB04F1" w:rsidRDefault="00282872" w:rsidP="003050E9">
            <w:pPr>
              <w:rPr>
                <w:b/>
                <w:i/>
                <w:sz w:val="22"/>
                <w:szCs w:val="22"/>
              </w:rPr>
            </w:pPr>
            <w:r w:rsidRPr="00EB04F1">
              <w:rPr>
                <w:b/>
                <w:i/>
                <w:sz w:val="22"/>
              </w:rPr>
              <w:t>Potenciālais vidē pieejamais smago metālu saturs augsnēs pēc ISO 17586:2016, noteikts, izmantojot atšķaidītu slāpekļskābi.</w:t>
            </w:r>
          </w:p>
          <w:p w14:paraId="3732E0F8" w14:textId="77777777" w:rsidR="00282872" w:rsidRPr="00EB04F1" w:rsidRDefault="00282872" w:rsidP="003050E9">
            <w:pPr>
              <w:rPr>
                <w:b/>
                <w:i/>
                <w:sz w:val="22"/>
                <w:szCs w:val="22"/>
              </w:rPr>
            </w:pPr>
            <w:r w:rsidRPr="00EB04F1">
              <w:rPr>
                <w:b/>
                <w:i/>
                <w:sz w:val="22"/>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5ED5360" w14:textId="77777777" w:rsidR="00282872" w:rsidRPr="00EB04F1" w:rsidRDefault="00282872" w:rsidP="003050E9">
            <w:pPr>
              <w:rPr>
                <w:b/>
                <w:i/>
                <w:sz w:val="22"/>
                <w:szCs w:val="22"/>
              </w:rPr>
            </w:pPr>
          </w:p>
          <w:p w14:paraId="6CA45613" w14:textId="77777777" w:rsidR="00282872" w:rsidRPr="00EB04F1" w:rsidRDefault="00282872" w:rsidP="003050E9">
            <w:pPr>
              <w:rPr>
                <w:b/>
                <w:i/>
                <w:sz w:val="22"/>
                <w:szCs w:val="22"/>
              </w:rPr>
            </w:pPr>
          </w:p>
          <w:p w14:paraId="77870CB0" w14:textId="77777777" w:rsidR="00282872" w:rsidRPr="00EB04F1" w:rsidRDefault="00282872" w:rsidP="003050E9">
            <w:pPr>
              <w:rPr>
                <w:b/>
                <w:i/>
                <w:sz w:val="22"/>
                <w:szCs w:val="22"/>
              </w:rPr>
            </w:pPr>
          </w:p>
          <w:p w14:paraId="12FEAA76" w14:textId="77777777" w:rsidR="00282872" w:rsidRPr="00EB04F1" w:rsidRDefault="00282872" w:rsidP="003050E9">
            <w:pPr>
              <w:rPr>
                <w:b/>
                <w:i/>
                <w:sz w:val="22"/>
                <w:szCs w:val="22"/>
              </w:rPr>
            </w:pPr>
          </w:p>
          <w:p w14:paraId="4EDE2158" w14:textId="77777777" w:rsidR="00282872" w:rsidRPr="00EB04F1" w:rsidRDefault="00282872" w:rsidP="003050E9">
            <w:pPr>
              <w:rPr>
                <w:b/>
                <w:i/>
                <w:sz w:val="22"/>
                <w:szCs w:val="22"/>
              </w:rPr>
            </w:pPr>
            <w:r w:rsidRPr="00EB04F1">
              <w:rPr>
                <w:b/>
                <w:i/>
                <w:sz w:val="22"/>
              </w:rPr>
              <w:t>Izmanto Eiropas vai starptautiskos standartus, ja tādi ir pieejami; ja šādu standartu nav, izraudzītā metodika ir vai nu pieejama zinātniskajā literatūrā, vai publiski pieejama.</w:t>
            </w:r>
          </w:p>
        </w:tc>
        <w:tc>
          <w:tcPr>
            <w:tcW w:w="2130" w:type="dxa"/>
            <w:tcBorders>
              <w:top w:val="single" w:sz="4" w:space="0" w:color="000000"/>
              <w:left w:val="single" w:sz="4" w:space="0" w:color="000000"/>
              <w:bottom w:val="single" w:sz="4" w:space="0" w:color="000000"/>
              <w:right w:val="single" w:sz="4" w:space="0" w:color="000000"/>
            </w:tcBorders>
          </w:tcPr>
          <w:p w14:paraId="3AB21AD0" w14:textId="77777777" w:rsidR="00282872" w:rsidRPr="00EB04F1" w:rsidRDefault="00282872" w:rsidP="003050E9">
            <w:pPr>
              <w:rPr>
                <w:b/>
                <w:i/>
                <w:sz w:val="22"/>
                <w:szCs w:val="22"/>
              </w:rPr>
            </w:pPr>
            <w:r w:rsidRPr="00EB04F1">
              <w:rPr>
                <w:b/>
                <w:i/>
                <w:sz w:val="22"/>
              </w:rPr>
              <w:t>JĀ</w:t>
            </w:r>
          </w:p>
          <w:p w14:paraId="5DBB8257" w14:textId="77777777" w:rsidR="00282872" w:rsidRPr="00EB04F1" w:rsidRDefault="00282872" w:rsidP="003050E9">
            <w:pPr>
              <w:rPr>
                <w:b/>
                <w:i/>
                <w:sz w:val="22"/>
                <w:szCs w:val="22"/>
              </w:rPr>
            </w:pPr>
          </w:p>
          <w:p w14:paraId="7D842934" w14:textId="77777777" w:rsidR="00282872" w:rsidRPr="00EB04F1" w:rsidRDefault="00282872" w:rsidP="003050E9">
            <w:pPr>
              <w:rPr>
                <w:b/>
                <w:i/>
                <w:sz w:val="22"/>
                <w:szCs w:val="22"/>
              </w:rPr>
            </w:pPr>
          </w:p>
          <w:p w14:paraId="522DBBC8" w14:textId="77777777" w:rsidR="00282872" w:rsidRPr="00EB04F1" w:rsidRDefault="00282872" w:rsidP="003050E9">
            <w:pPr>
              <w:rPr>
                <w:b/>
                <w:i/>
                <w:sz w:val="22"/>
                <w:szCs w:val="22"/>
              </w:rPr>
            </w:pPr>
          </w:p>
          <w:p w14:paraId="3F89C64B" w14:textId="77777777" w:rsidR="00282872" w:rsidRPr="00EB04F1" w:rsidRDefault="00282872" w:rsidP="003050E9">
            <w:pPr>
              <w:rPr>
                <w:b/>
                <w:i/>
                <w:sz w:val="22"/>
                <w:szCs w:val="22"/>
              </w:rPr>
            </w:pPr>
          </w:p>
          <w:p w14:paraId="2388EE89" w14:textId="77777777" w:rsidR="00282872" w:rsidRPr="00EB04F1" w:rsidRDefault="00282872" w:rsidP="003050E9">
            <w:pPr>
              <w:rPr>
                <w:b/>
                <w:i/>
                <w:sz w:val="22"/>
                <w:szCs w:val="22"/>
              </w:rPr>
            </w:pPr>
          </w:p>
          <w:p w14:paraId="5733B597" w14:textId="77777777" w:rsidR="00282872" w:rsidRPr="00EB04F1" w:rsidRDefault="00282872" w:rsidP="003050E9">
            <w:pPr>
              <w:rPr>
                <w:b/>
                <w:i/>
                <w:sz w:val="22"/>
                <w:szCs w:val="22"/>
              </w:rPr>
            </w:pPr>
            <w:r w:rsidRPr="00EB04F1">
              <w:rPr>
                <w:b/>
                <w:i/>
                <w:sz w:val="22"/>
              </w:rPr>
              <w:t>Neattiecas</w:t>
            </w:r>
          </w:p>
        </w:tc>
      </w:tr>
      <w:tr w:rsidR="00282872" w:rsidRPr="00EB04F1" w14:paraId="20446243"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6C3B37FF" w14:textId="77777777" w:rsidR="00282872" w:rsidRPr="00EB04F1" w:rsidRDefault="00282872" w:rsidP="003050E9">
            <w:pPr>
              <w:rPr>
                <w:b/>
                <w:i/>
                <w:sz w:val="22"/>
                <w:szCs w:val="22"/>
              </w:rPr>
            </w:pPr>
            <w:r w:rsidRPr="00EB04F1">
              <w:rPr>
                <w:b/>
                <w:i/>
                <w:sz w:val="22"/>
              </w:rPr>
              <w:t>Augsnes ūdensietilpība</w:t>
            </w:r>
          </w:p>
        </w:tc>
        <w:tc>
          <w:tcPr>
            <w:tcW w:w="2410" w:type="dxa"/>
            <w:tcBorders>
              <w:top w:val="single" w:sz="4" w:space="0" w:color="000000"/>
              <w:left w:val="single" w:sz="4" w:space="0" w:color="000000"/>
              <w:bottom w:val="single" w:sz="4" w:space="0" w:color="000000"/>
              <w:right w:val="single" w:sz="4" w:space="0" w:color="000000"/>
            </w:tcBorders>
            <w:hideMark/>
          </w:tcPr>
          <w:p w14:paraId="36E015AB" w14:textId="77777777" w:rsidR="00282872" w:rsidRPr="00EB04F1" w:rsidRDefault="00282872" w:rsidP="003050E9">
            <w:pPr>
              <w:rPr>
                <w:b/>
                <w:i/>
                <w:sz w:val="22"/>
                <w:szCs w:val="22"/>
              </w:rPr>
            </w:pPr>
            <w:r w:rsidRPr="00EB04F1">
              <w:rPr>
                <w:b/>
                <w:i/>
                <w:sz w:val="22"/>
              </w:rPr>
              <w:t>Viena paraugošanas punkta vērtības noteikšanas metodika:</w:t>
            </w:r>
          </w:p>
          <w:p w14:paraId="4DAC077A" w14:textId="77777777" w:rsidR="00282872" w:rsidRPr="00EB04F1" w:rsidRDefault="00282872" w:rsidP="003050E9">
            <w:pPr>
              <w:rPr>
                <w:b/>
                <w:i/>
                <w:sz w:val="22"/>
                <w:szCs w:val="22"/>
              </w:rPr>
            </w:pPr>
            <w:r w:rsidRPr="00EB04F1">
              <w:rPr>
                <w:b/>
                <w:i/>
                <w:sz w:val="22"/>
              </w:rPr>
              <w:t xml:space="preserve">1. variants. LABORATORIJA: ISO 11274:2019. Ūdensietilpības noteikšana                    </w:t>
            </w:r>
          </w:p>
          <w:p w14:paraId="5BA7C2AA" w14:textId="77777777" w:rsidR="00282872" w:rsidRPr="00EB04F1" w:rsidRDefault="00282872" w:rsidP="003050E9">
            <w:pPr>
              <w:rPr>
                <w:b/>
                <w:i/>
                <w:sz w:val="22"/>
                <w:szCs w:val="22"/>
              </w:rPr>
            </w:pPr>
            <w:r w:rsidRPr="00EB04F1">
              <w:rPr>
                <w:b/>
                <w:i/>
                <w:sz w:val="22"/>
              </w:rPr>
              <w:lastRenderedPageBreak/>
              <w:t>2. variants. APLĒSE: piemēro zinātniskajā rakstā New generation of hydraulic pedotransfer functions for Europe aprakstīto metodiku, kuras pamatā ir granulometriskais sastāvs un augsnes organiskais ogleklis.</w:t>
            </w:r>
          </w:p>
        </w:tc>
        <w:tc>
          <w:tcPr>
            <w:tcW w:w="2835" w:type="dxa"/>
            <w:tcBorders>
              <w:top w:val="single" w:sz="4" w:space="0" w:color="000000"/>
              <w:left w:val="single" w:sz="4" w:space="0" w:color="000000"/>
              <w:bottom w:val="single" w:sz="4" w:space="0" w:color="000000"/>
              <w:right w:val="single" w:sz="4" w:space="0" w:color="000000"/>
            </w:tcBorders>
            <w:hideMark/>
          </w:tcPr>
          <w:p w14:paraId="4DE3CA73" w14:textId="77777777" w:rsidR="00282872" w:rsidRPr="00EB04F1" w:rsidRDefault="00282872" w:rsidP="003050E9">
            <w:pPr>
              <w:rPr>
                <w:b/>
                <w:i/>
                <w:sz w:val="22"/>
                <w:szCs w:val="22"/>
              </w:rPr>
            </w:pPr>
            <w:r w:rsidRPr="00EB04F1">
              <w:rPr>
                <w:b/>
                <w:i/>
                <w:sz w:val="22"/>
              </w:rPr>
              <w:lastRenderedPageBreak/>
              <w:t>Minimālie kritēriji, pēc kuriem aplēš augsnes rajona kopējo ūdensietilpību upes baseina vai apakšbaseina mērogā:</w:t>
            </w:r>
          </w:p>
          <w:p w14:paraId="36DA7DB0" w14:textId="77777777" w:rsidR="00282872" w:rsidRPr="00EB04F1" w:rsidRDefault="00282872" w:rsidP="003050E9">
            <w:pPr>
              <w:widowControl/>
              <w:ind w:left="720" w:hanging="360"/>
              <w:rPr>
                <w:b/>
                <w:i/>
                <w:sz w:val="22"/>
                <w:szCs w:val="22"/>
              </w:rPr>
            </w:pPr>
            <w:r w:rsidRPr="00EB04F1">
              <w:rPr>
                <w:rFonts w:ascii="Calibri" w:hAnsi="Calibri"/>
                <w:sz w:val="22"/>
              </w:rPr>
              <w:t>-</w:t>
            </w:r>
            <w:r w:rsidRPr="00EB04F1">
              <w:rPr>
                <w:rFonts w:ascii="Calibri" w:hAnsi="Calibri"/>
                <w:sz w:val="22"/>
              </w:rPr>
              <w:tab/>
            </w:r>
            <w:r w:rsidRPr="00EB04F1">
              <w:rPr>
                <w:b/>
                <w:i/>
                <w:sz w:val="22"/>
              </w:rPr>
              <w:t xml:space="preserve">aplēš neaizņemtās zemes kopējo </w:t>
            </w:r>
            <w:r w:rsidRPr="00EB04F1">
              <w:rPr>
                <w:b/>
                <w:i/>
                <w:sz w:val="22"/>
              </w:rPr>
              <w:lastRenderedPageBreak/>
              <w:t xml:space="preserve">augsnes ūdensietilpību; </w:t>
            </w:r>
          </w:p>
          <w:p w14:paraId="77148F98" w14:textId="77777777" w:rsidR="00282872" w:rsidRPr="00EB04F1" w:rsidRDefault="00282872" w:rsidP="003050E9">
            <w:pPr>
              <w:widowControl/>
              <w:ind w:left="720" w:hanging="360"/>
              <w:rPr>
                <w:b/>
                <w:i/>
                <w:sz w:val="22"/>
                <w:szCs w:val="22"/>
              </w:rPr>
            </w:pPr>
            <w:r w:rsidRPr="00EB04F1">
              <w:rPr>
                <w:rFonts w:ascii="Calibri" w:hAnsi="Calibri"/>
                <w:sz w:val="22"/>
              </w:rPr>
              <w:t>-</w:t>
            </w:r>
            <w:r w:rsidRPr="00EB04F1">
              <w:rPr>
                <w:rFonts w:ascii="Calibri" w:hAnsi="Calibri"/>
                <w:sz w:val="22"/>
              </w:rPr>
              <w:tab/>
            </w:r>
            <w:r w:rsidRPr="00EB04F1">
              <w:rPr>
                <w:b/>
                <w:i/>
                <w:sz w:val="22"/>
              </w:rPr>
              <w:t>attiecībā uz aizņemto zemi apsver iespēju noteikt, ka necaurlaidīgo apgabalu ūdensietilpība ir nulle, daļēji necaurlaidīgiem un citiem mākslīgiem apgabaliem piešķirot samērīgas starpvērtības.</w:t>
            </w:r>
          </w:p>
        </w:tc>
        <w:tc>
          <w:tcPr>
            <w:tcW w:w="2130" w:type="dxa"/>
            <w:tcBorders>
              <w:top w:val="single" w:sz="4" w:space="0" w:color="000000"/>
              <w:left w:val="single" w:sz="4" w:space="0" w:color="000000"/>
              <w:bottom w:val="single" w:sz="4" w:space="0" w:color="000000"/>
              <w:right w:val="single" w:sz="4" w:space="0" w:color="000000"/>
            </w:tcBorders>
            <w:hideMark/>
          </w:tcPr>
          <w:p w14:paraId="6AD59F12" w14:textId="77777777" w:rsidR="00282872" w:rsidRPr="00EB04F1" w:rsidRDefault="00282872" w:rsidP="003050E9">
            <w:pPr>
              <w:rPr>
                <w:b/>
                <w:i/>
                <w:sz w:val="22"/>
                <w:szCs w:val="22"/>
              </w:rPr>
            </w:pPr>
            <w:r w:rsidRPr="00EB04F1">
              <w:rPr>
                <w:b/>
                <w:i/>
                <w:sz w:val="22"/>
              </w:rPr>
              <w:lastRenderedPageBreak/>
              <w:t>JĀ</w:t>
            </w:r>
          </w:p>
        </w:tc>
      </w:tr>
      <w:tr w:rsidR="00282872" w:rsidRPr="00EB04F1" w14:paraId="23AA3588"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7A7A6D64" w14:textId="77777777" w:rsidR="00282872" w:rsidRPr="00EB04F1" w:rsidRDefault="00282872" w:rsidP="003050E9">
            <w:pPr>
              <w:rPr>
                <w:b/>
                <w:i/>
                <w:sz w:val="22"/>
                <w:szCs w:val="22"/>
              </w:rPr>
            </w:pPr>
            <w:r w:rsidRPr="00EB04F1">
              <w:rPr>
                <w:b/>
                <w:i/>
                <w:sz w:val="22"/>
              </w:rPr>
              <w:t xml:space="preserve">Augsnes slāpeklis </w:t>
            </w:r>
          </w:p>
        </w:tc>
        <w:tc>
          <w:tcPr>
            <w:tcW w:w="2410" w:type="dxa"/>
            <w:tcBorders>
              <w:top w:val="single" w:sz="4" w:space="0" w:color="000000"/>
              <w:left w:val="single" w:sz="4" w:space="0" w:color="000000"/>
              <w:bottom w:val="single" w:sz="4" w:space="0" w:color="000000"/>
              <w:right w:val="single" w:sz="4" w:space="0" w:color="000000"/>
            </w:tcBorders>
            <w:hideMark/>
          </w:tcPr>
          <w:p w14:paraId="45C3995A" w14:textId="77777777" w:rsidR="00282872" w:rsidRPr="00EB04F1" w:rsidRDefault="00282872" w:rsidP="003050E9">
            <w:pPr>
              <w:rPr>
                <w:b/>
                <w:i/>
                <w:sz w:val="22"/>
                <w:szCs w:val="22"/>
              </w:rPr>
            </w:pPr>
            <w:r w:rsidRPr="00EB04F1">
              <w:rPr>
                <w:b/>
                <w:i/>
                <w:sz w:val="22"/>
              </w:rPr>
              <w:t>ISO 11261:1995. Kopējā slāpekļa daudzuma noteikšana.</w:t>
            </w:r>
          </w:p>
        </w:tc>
        <w:tc>
          <w:tcPr>
            <w:tcW w:w="2835" w:type="dxa"/>
            <w:tcBorders>
              <w:top w:val="single" w:sz="4" w:space="0" w:color="000000"/>
              <w:left w:val="single" w:sz="4" w:space="0" w:color="000000"/>
              <w:bottom w:val="single" w:sz="4" w:space="0" w:color="000000"/>
              <w:right w:val="single" w:sz="4" w:space="0" w:color="000000"/>
            </w:tcBorders>
          </w:tcPr>
          <w:p w14:paraId="7BDEEDA1"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324F34D2" w14:textId="77777777" w:rsidR="00282872" w:rsidRPr="00EB04F1" w:rsidRDefault="00282872" w:rsidP="003050E9">
            <w:pPr>
              <w:rPr>
                <w:b/>
                <w:i/>
                <w:sz w:val="22"/>
                <w:szCs w:val="22"/>
              </w:rPr>
            </w:pPr>
            <w:r w:rsidRPr="00EB04F1">
              <w:rPr>
                <w:b/>
                <w:i/>
                <w:sz w:val="22"/>
              </w:rPr>
              <w:t>JĀ</w:t>
            </w:r>
          </w:p>
        </w:tc>
      </w:tr>
      <w:tr w:rsidR="00282872" w:rsidRPr="00EB04F1" w14:paraId="49EC364E"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53D462B2" w14:textId="77777777" w:rsidR="00282872" w:rsidRPr="00EB04F1" w:rsidRDefault="00282872" w:rsidP="003050E9">
            <w:pPr>
              <w:rPr>
                <w:b/>
                <w:i/>
                <w:sz w:val="22"/>
                <w:szCs w:val="22"/>
              </w:rPr>
            </w:pPr>
            <w:r w:rsidRPr="00EB04F1">
              <w:rPr>
                <w:b/>
                <w:i/>
                <w:sz w:val="22"/>
              </w:rPr>
              <w:t>Augsnes skābums</w:t>
            </w:r>
          </w:p>
        </w:tc>
        <w:tc>
          <w:tcPr>
            <w:tcW w:w="2410" w:type="dxa"/>
            <w:tcBorders>
              <w:top w:val="single" w:sz="4" w:space="0" w:color="000000"/>
              <w:left w:val="single" w:sz="4" w:space="0" w:color="000000"/>
              <w:bottom w:val="single" w:sz="4" w:space="0" w:color="000000"/>
              <w:right w:val="single" w:sz="4" w:space="0" w:color="000000"/>
            </w:tcBorders>
            <w:hideMark/>
          </w:tcPr>
          <w:p w14:paraId="15DB1AA9" w14:textId="77777777" w:rsidR="00282872" w:rsidRPr="00EB04F1" w:rsidRDefault="00282872" w:rsidP="003050E9">
            <w:pPr>
              <w:rPr>
                <w:b/>
                <w:i/>
                <w:sz w:val="22"/>
                <w:szCs w:val="22"/>
              </w:rPr>
            </w:pPr>
            <w:r w:rsidRPr="00EB04F1">
              <w:rPr>
                <w:b/>
                <w:i/>
                <w:sz w:val="22"/>
              </w:rPr>
              <w:t>ISO 10390:2005. pH noteikšana H2O un CaCl2 izvilkumā (H2O pH un CaCl2 pH)</w:t>
            </w:r>
          </w:p>
        </w:tc>
        <w:tc>
          <w:tcPr>
            <w:tcW w:w="2835" w:type="dxa"/>
            <w:tcBorders>
              <w:top w:val="single" w:sz="4" w:space="0" w:color="000000"/>
              <w:left w:val="single" w:sz="4" w:space="0" w:color="000000"/>
              <w:bottom w:val="single" w:sz="4" w:space="0" w:color="000000"/>
              <w:right w:val="single" w:sz="4" w:space="0" w:color="000000"/>
            </w:tcBorders>
          </w:tcPr>
          <w:p w14:paraId="119A90A0"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71AB0BAF" w14:textId="77777777" w:rsidR="00282872" w:rsidRPr="00EB04F1" w:rsidRDefault="00282872" w:rsidP="003050E9">
            <w:pPr>
              <w:rPr>
                <w:b/>
                <w:i/>
                <w:sz w:val="22"/>
                <w:szCs w:val="22"/>
              </w:rPr>
            </w:pPr>
            <w:r w:rsidRPr="00EB04F1">
              <w:rPr>
                <w:b/>
                <w:i/>
                <w:sz w:val="22"/>
              </w:rPr>
              <w:t>JĀ</w:t>
            </w:r>
          </w:p>
        </w:tc>
      </w:tr>
      <w:tr w:rsidR="00282872" w:rsidRPr="00EB04F1" w14:paraId="18890466"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05EC2063" w14:textId="77777777" w:rsidR="00282872" w:rsidRPr="00EB04F1" w:rsidRDefault="00282872" w:rsidP="003050E9">
            <w:pPr>
              <w:rPr>
                <w:b/>
                <w:i/>
                <w:sz w:val="22"/>
                <w:szCs w:val="22"/>
              </w:rPr>
            </w:pPr>
            <w:r w:rsidRPr="00EB04F1">
              <w:rPr>
                <w:b/>
                <w:i/>
                <w:sz w:val="22"/>
              </w:rPr>
              <w:t>Augsnes virskārtas tilpummasa</w:t>
            </w:r>
          </w:p>
        </w:tc>
        <w:tc>
          <w:tcPr>
            <w:tcW w:w="2410" w:type="dxa"/>
            <w:tcBorders>
              <w:top w:val="single" w:sz="4" w:space="0" w:color="000000"/>
              <w:left w:val="single" w:sz="4" w:space="0" w:color="000000"/>
              <w:bottom w:val="single" w:sz="4" w:space="0" w:color="000000"/>
              <w:right w:val="single" w:sz="4" w:space="0" w:color="000000"/>
            </w:tcBorders>
          </w:tcPr>
          <w:p w14:paraId="4EA32578" w14:textId="77777777" w:rsidR="00282872" w:rsidRPr="00EB04F1" w:rsidRDefault="00282872" w:rsidP="003050E9">
            <w:pPr>
              <w:rPr>
                <w:b/>
                <w:i/>
                <w:sz w:val="22"/>
                <w:szCs w:val="22"/>
              </w:rPr>
            </w:pPr>
            <w:r w:rsidRPr="00EB04F1">
              <w:rPr>
                <w:b/>
                <w:i/>
                <w:sz w:val="22"/>
              </w:rPr>
              <w:t xml:space="preserve">ISO 11272:2017. Sausās masas blīvuma noteikšana </w:t>
            </w:r>
          </w:p>
          <w:p w14:paraId="63E14C93" w14:textId="77777777" w:rsidR="00282872" w:rsidRPr="00EB04F1" w:rsidRDefault="00282872" w:rsidP="003050E9">
            <w:pPr>
              <w:rPr>
                <w:b/>
                <w: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14:paraId="55439764"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1D13B810" w14:textId="77777777" w:rsidR="00282872" w:rsidRPr="00EB04F1" w:rsidRDefault="00282872" w:rsidP="003050E9">
            <w:pPr>
              <w:rPr>
                <w:b/>
                <w:i/>
                <w:sz w:val="22"/>
                <w:szCs w:val="22"/>
              </w:rPr>
            </w:pPr>
            <w:r w:rsidRPr="00EB04F1">
              <w:rPr>
                <w:b/>
                <w:i/>
                <w:sz w:val="22"/>
              </w:rPr>
              <w:t>JĀ</w:t>
            </w:r>
          </w:p>
        </w:tc>
      </w:tr>
      <w:tr w:rsidR="00282872" w:rsidRPr="00EB04F1" w14:paraId="0D7E53CF"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5B7A7493" w14:textId="77777777" w:rsidR="00282872" w:rsidRPr="00EB04F1" w:rsidRDefault="00282872" w:rsidP="003050E9">
            <w:pPr>
              <w:rPr>
                <w:b/>
                <w:i/>
                <w:sz w:val="22"/>
                <w:szCs w:val="22"/>
              </w:rPr>
            </w:pPr>
            <w:r w:rsidRPr="00EB04F1">
              <w:rPr>
                <w:b/>
                <w:i/>
                <w:sz w:val="22"/>
              </w:rPr>
              <w:t>Barības vielu aprite</w:t>
            </w:r>
          </w:p>
        </w:tc>
        <w:tc>
          <w:tcPr>
            <w:tcW w:w="2410" w:type="dxa"/>
            <w:tcBorders>
              <w:top w:val="single" w:sz="4" w:space="0" w:color="000000"/>
              <w:left w:val="single" w:sz="4" w:space="0" w:color="000000"/>
              <w:bottom w:val="single" w:sz="4" w:space="0" w:color="000000"/>
              <w:right w:val="single" w:sz="4" w:space="0" w:color="000000"/>
            </w:tcBorders>
            <w:hideMark/>
          </w:tcPr>
          <w:p w14:paraId="03D71C19" w14:textId="77777777" w:rsidR="00282872" w:rsidRPr="00EB04F1" w:rsidRDefault="00282872" w:rsidP="003050E9">
            <w:pPr>
              <w:rPr>
                <w:b/>
                <w:i/>
                <w:sz w:val="22"/>
                <w:szCs w:val="22"/>
              </w:rPr>
            </w:pPr>
            <w:r w:rsidRPr="00EB04F1">
              <w:rPr>
                <w:b/>
                <w:i/>
                <w:sz w:val="22"/>
              </w:rPr>
              <w:t>Slāpekļa mineralizācijai gaissausus augsnes paraugus atkārtoti samitrina, lai sasniegtu 80 % no to ūdens ūdensietilpības, un 14 dienas inkubē laboratorijā 30 ºC temperatūrā. Iespējamo N neto mineralizācijas ātrumu aprēķina kā sākotnējā un galīgā neorganiskā N starpību. Augsnes barības vielu pieejamību aprēķina, izmantojot sakņu simulatorus, pieejamo N un P nosaka, izmantojot kolorimetrisko metodi, kuras pamatā ir reakcija ar amonija molibdātu.</w:t>
            </w:r>
          </w:p>
        </w:tc>
        <w:tc>
          <w:tcPr>
            <w:tcW w:w="2835" w:type="dxa"/>
            <w:tcBorders>
              <w:top w:val="single" w:sz="4" w:space="0" w:color="000000"/>
              <w:left w:val="single" w:sz="4" w:space="0" w:color="000000"/>
              <w:bottom w:val="single" w:sz="4" w:space="0" w:color="000000"/>
              <w:right w:val="single" w:sz="4" w:space="0" w:color="000000"/>
            </w:tcBorders>
          </w:tcPr>
          <w:p w14:paraId="6E5DA5C0"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19AC9935" w14:textId="77777777" w:rsidR="00282872" w:rsidRPr="00EB04F1" w:rsidRDefault="00282872" w:rsidP="003050E9">
            <w:pPr>
              <w:rPr>
                <w:b/>
                <w:i/>
                <w:sz w:val="22"/>
                <w:szCs w:val="22"/>
              </w:rPr>
            </w:pPr>
            <w:r w:rsidRPr="00EB04F1">
              <w:rPr>
                <w:b/>
                <w:i/>
                <w:sz w:val="22"/>
              </w:rPr>
              <w:t>JĀ</w:t>
            </w:r>
          </w:p>
        </w:tc>
      </w:tr>
      <w:tr w:rsidR="00282872" w:rsidRPr="00EB04F1" w14:paraId="5E6AD142"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4261DF9A" w14:textId="77777777" w:rsidR="00282872" w:rsidRPr="00EB04F1" w:rsidRDefault="00282872" w:rsidP="003050E9">
            <w:pPr>
              <w:rPr>
                <w:b/>
                <w:i/>
                <w:sz w:val="22"/>
                <w:szCs w:val="22"/>
              </w:rPr>
            </w:pPr>
            <w:r w:rsidRPr="00EB04F1">
              <w:rPr>
                <w:b/>
                <w:i/>
                <w:sz w:val="22"/>
              </w:rPr>
              <w:t>Augsnes agregāts</w:t>
            </w:r>
          </w:p>
        </w:tc>
        <w:tc>
          <w:tcPr>
            <w:tcW w:w="2410" w:type="dxa"/>
            <w:tcBorders>
              <w:top w:val="single" w:sz="4" w:space="0" w:color="000000"/>
              <w:left w:val="single" w:sz="4" w:space="0" w:color="000000"/>
              <w:bottom w:val="single" w:sz="4" w:space="0" w:color="000000"/>
              <w:right w:val="single" w:sz="4" w:space="0" w:color="000000"/>
            </w:tcBorders>
            <w:hideMark/>
          </w:tcPr>
          <w:p w14:paraId="3FCBE1A6" w14:textId="77777777" w:rsidR="00282872" w:rsidRPr="00EB04F1" w:rsidRDefault="00282872" w:rsidP="003050E9">
            <w:pPr>
              <w:rPr>
                <w:b/>
                <w:i/>
                <w:sz w:val="22"/>
                <w:szCs w:val="22"/>
              </w:rPr>
            </w:pPr>
            <w:r w:rsidRPr="00EB04F1">
              <w:rPr>
                <w:b/>
                <w:i/>
                <w:sz w:val="22"/>
              </w:rPr>
              <w:t xml:space="preserve">Šos augsnes deskriptorus norāda kā ūdenī noturīgus augsnes agregātus, ko novērtē, nosakot augsnes agregātu </w:t>
            </w:r>
            <w:r w:rsidRPr="00EB04F1">
              <w:rPr>
                <w:b/>
                <w:i/>
                <w:sz w:val="22"/>
              </w:rPr>
              <w:lastRenderedPageBreak/>
              <w:t>noturību pret ūdeni kā sairšanu veicinošu spēku, piemērojot pieeju, kas pielāgota no Kemper un Rosenau (1986). Iegūtais indekss atspoguļo to ūdenī noturīgo agregātu procentuālo daļu,</w:t>
            </w:r>
          </w:p>
          <w:p w14:paraId="0B9C7AD2" w14:textId="77777777" w:rsidR="00282872" w:rsidRPr="00EB04F1" w:rsidRDefault="00282872" w:rsidP="003050E9">
            <w:pPr>
              <w:rPr>
                <w:b/>
                <w:i/>
                <w:sz w:val="22"/>
                <w:szCs w:val="22"/>
              </w:rPr>
            </w:pPr>
            <w:r w:rsidRPr="00EB04F1">
              <w:rPr>
                <w:b/>
                <w:i/>
                <w:sz w:val="22"/>
              </w:rPr>
              <w:t>kuru diametrs ir mazāks par 4 mm. Turklāt gruži (t. i., rupjā matērija) tiks atdalīti no ūdenī noturīgās frakcijas, lai frakciju paraugā pareizi noteiktu ūdenī noturīgos agregātus (WSA): %WSA = (ūdenī noturīga rupjo frakciju matērija)/(4 g rupjā matērija).</w:t>
            </w:r>
          </w:p>
        </w:tc>
        <w:tc>
          <w:tcPr>
            <w:tcW w:w="2835" w:type="dxa"/>
            <w:tcBorders>
              <w:top w:val="single" w:sz="4" w:space="0" w:color="000000"/>
              <w:left w:val="single" w:sz="4" w:space="0" w:color="000000"/>
              <w:bottom w:val="single" w:sz="4" w:space="0" w:color="000000"/>
              <w:right w:val="single" w:sz="4" w:space="0" w:color="000000"/>
            </w:tcBorders>
          </w:tcPr>
          <w:p w14:paraId="0D2071C8"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30B9AE92" w14:textId="77777777" w:rsidR="00282872" w:rsidRPr="00EB04F1" w:rsidRDefault="00282872" w:rsidP="003050E9">
            <w:pPr>
              <w:rPr>
                <w:b/>
                <w:i/>
                <w:sz w:val="22"/>
                <w:szCs w:val="22"/>
              </w:rPr>
            </w:pPr>
            <w:r w:rsidRPr="00EB04F1">
              <w:rPr>
                <w:b/>
                <w:i/>
                <w:sz w:val="22"/>
              </w:rPr>
              <w:t>JĀ</w:t>
            </w:r>
          </w:p>
        </w:tc>
      </w:tr>
      <w:tr w:rsidR="00282872" w:rsidRPr="00EB04F1" w14:paraId="509DE6C9"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42EAAFFC" w14:textId="77777777" w:rsidR="00282872" w:rsidRPr="00EB04F1" w:rsidRDefault="00282872" w:rsidP="003050E9">
            <w:pPr>
              <w:rPr>
                <w:b/>
                <w:i/>
                <w:sz w:val="22"/>
                <w:szCs w:val="22"/>
              </w:rPr>
            </w:pPr>
            <w:r w:rsidRPr="00EB04F1">
              <w:rPr>
                <w:b/>
                <w:i/>
                <w:sz w:val="22"/>
              </w:rPr>
              <w:t>Fermentatīvā aktivitāte</w:t>
            </w:r>
          </w:p>
        </w:tc>
        <w:tc>
          <w:tcPr>
            <w:tcW w:w="2410" w:type="dxa"/>
            <w:tcBorders>
              <w:top w:val="single" w:sz="4" w:space="0" w:color="000000"/>
              <w:left w:val="single" w:sz="4" w:space="0" w:color="000000"/>
              <w:bottom w:val="single" w:sz="4" w:space="0" w:color="000000"/>
              <w:right w:val="single" w:sz="4" w:space="0" w:color="000000"/>
            </w:tcBorders>
            <w:hideMark/>
          </w:tcPr>
          <w:p w14:paraId="406E3CAD" w14:textId="77777777" w:rsidR="00282872" w:rsidRPr="00EB04F1" w:rsidRDefault="00282872" w:rsidP="003050E9">
            <w:pPr>
              <w:rPr>
                <w:b/>
                <w:i/>
                <w:sz w:val="22"/>
                <w:szCs w:val="22"/>
              </w:rPr>
            </w:pPr>
            <w:r w:rsidRPr="00EB04F1">
              <w:rPr>
                <w:b/>
                <w:i/>
                <w:sz w:val="22"/>
              </w:rPr>
              <w:t>Izmantojot norādes, kas aprakstītas Zeiss et al., 2022</w:t>
            </w:r>
          </w:p>
        </w:tc>
        <w:tc>
          <w:tcPr>
            <w:tcW w:w="2835" w:type="dxa"/>
            <w:tcBorders>
              <w:top w:val="single" w:sz="4" w:space="0" w:color="000000"/>
              <w:left w:val="single" w:sz="4" w:space="0" w:color="000000"/>
              <w:bottom w:val="single" w:sz="4" w:space="0" w:color="000000"/>
              <w:right w:val="single" w:sz="4" w:space="0" w:color="000000"/>
            </w:tcBorders>
          </w:tcPr>
          <w:p w14:paraId="601A826D"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740A77AC" w14:textId="77777777" w:rsidR="00282872" w:rsidRPr="00EB04F1" w:rsidRDefault="00282872" w:rsidP="003050E9">
            <w:pPr>
              <w:rPr>
                <w:b/>
                <w:i/>
                <w:sz w:val="22"/>
                <w:szCs w:val="22"/>
              </w:rPr>
            </w:pPr>
            <w:r w:rsidRPr="00EB04F1">
              <w:rPr>
                <w:b/>
                <w:i/>
                <w:sz w:val="22"/>
              </w:rPr>
              <w:t>JĀ</w:t>
            </w:r>
          </w:p>
        </w:tc>
      </w:tr>
      <w:tr w:rsidR="00282872" w:rsidRPr="00EB04F1" w14:paraId="5718F187"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54AB9D09" w14:textId="77777777" w:rsidR="00282872" w:rsidRPr="00EB04F1" w:rsidRDefault="00282872" w:rsidP="003050E9">
            <w:pPr>
              <w:rPr>
                <w:b/>
                <w:i/>
                <w:sz w:val="22"/>
                <w:szCs w:val="22"/>
              </w:rPr>
            </w:pPr>
            <w:r w:rsidRPr="00EB04F1">
              <w:rPr>
                <w:b/>
                <w:i/>
                <w:sz w:val="22"/>
              </w:rPr>
              <w:t>Augsnes elpošana</w:t>
            </w:r>
          </w:p>
        </w:tc>
        <w:tc>
          <w:tcPr>
            <w:tcW w:w="2410" w:type="dxa"/>
            <w:tcBorders>
              <w:top w:val="single" w:sz="4" w:space="0" w:color="000000"/>
              <w:left w:val="single" w:sz="4" w:space="0" w:color="000000"/>
              <w:bottom w:val="single" w:sz="4" w:space="0" w:color="000000"/>
              <w:right w:val="single" w:sz="4" w:space="0" w:color="000000"/>
            </w:tcBorders>
            <w:hideMark/>
          </w:tcPr>
          <w:p w14:paraId="56B45150" w14:textId="0D1E79C0" w:rsidR="00282872" w:rsidRPr="00EB04F1" w:rsidRDefault="00282872" w:rsidP="00E2699F">
            <w:pPr>
              <w:rPr>
                <w:b/>
                <w:i/>
                <w:sz w:val="22"/>
                <w:szCs w:val="22"/>
              </w:rPr>
            </w:pPr>
            <w:r w:rsidRPr="00EB04F1">
              <w:rPr>
                <w:b/>
                <w:i/>
                <w:sz w:val="22"/>
              </w:rPr>
              <w:t>Ievērot norādes, kas sniegtas zinātniskajā rakstā Microbial biomass and activities in soil as affected by frozen and cold storage</w:t>
            </w:r>
            <w:r w:rsidR="00E2699F" w:rsidRPr="00EB04F1">
              <w:rPr>
                <w:rStyle w:val="FootnoteReference"/>
                <w:b/>
                <w:i/>
                <w:sz w:val="22"/>
              </w:rPr>
              <w:footnoteReference w:id="73"/>
            </w:r>
          </w:p>
        </w:tc>
        <w:tc>
          <w:tcPr>
            <w:tcW w:w="2835" w:type="dxa"/>
            <w:tcBorders>
              <w:top w:val="single" w:sz="4" w:space="0" w:color="000000"/>
              <w:left w:val="single" w:sz="4" w:space="0" w:color="000000"/>
              <w:bottom w:val="single" w:sz="4" w:space="0" w:color="000000"/>
              <w:right w:val="single" w:sz="4" w:space="0" w:color="000000"/>
            </w:tcBorders>
          </w:tcPr>
          <w:p w14:paraId="5EA04B3E"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467379EA" w14:textId="77777777" w:rsidR="00282872" w:rsidRPr="00EB04F1" w:rsidRDefault="00282872" w:rsidP="003050E9">
            <w:pPr>
              <w:rPr>
                <w:b/>
                <w:i/>
                <w:sz w:val="22"/>
                <w:szCs w:val="22"/>
              </w:rPr>
            </w:pPr>
            <w:r w:rsidRPr="00EB04F1">
              <w:rPr>
                <w:b/>
                <w:i/>
                <w:sz w:val="22"/>
              </w:rPr>
              <w:t>JĀ</w:t>
            </w:r>
          </w:p>
        </w:tc>
      </w:tr>
      <w:tr w:rsidR="00282872" w:rsidRPr="00EB04F1" w14:paraId="2ED38495"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72F6BAFB" w14:textId="77777777" w:rsidR="00282872" w:rsidRPr="00EB04F1" w:rsidRDefault="00282872" w:rsidP="003050E9">
            <w:pPr>
              <w:rPr>
                <w:b/>
                <w:i/>
                <w:sz w:val="22"/>
                <w:szCs w:val="22"/>
              </w:rPr>
            </w:pPr>
            <w:r w:rsidRPr="00EB04F1">
              <w:rPr>
                <w:b/>
                <w:i/>
                <w:sz w:val="22"/>
              </w:rPr>
              <w:t>Nobiru satrunēšana</w:t>
            </w:r>
          </w:p>
        </w:tc>
        <w:tc>
          <w:tcPr>
            <w:tcW w:w="2410" w:type="dxa"/>
            <w:tcBorders>
              <w:top w:val="single" w:sz="4" w:space="0" w:color="000000"/>
              <w:left w:val="single" w:sz="4" w:space="0" w:color="000000"/>
              <w:bottom w:val="single" w:sz="4" w:space="0" w:color="000000"/>
              <w:right w:val="single" w:sz="4" w:space="0" w:color="000000"/>
            </w:tcBorders>
          </w:tcPr>
          <w:p w14:paraId="7E702172" w14:textId="77777777" w:rsidR="00282872" w:rsidRPr="00EB04F1" w:rsidRDefault="00282872" w:rsidP="003050E9">
            <w:pPr>
              <w:rPr>
                <w:b/>
                <w:i/>
                <w:sz w:val="22"/>
                <w:szCs w:val="22"/>
              </w:rPr>
            </w:pPr>
          </w:p>
        </w:tc>
        <w:tc>
          <w:tcPr>
            <w:tcW w:w="2835" w:type="dxa"/>
            <w:tcBorders>
              <w:top w:val="single" w:sz="4" w:space="0" w:color="000000"/>
              <w:left w:val="single" w:sz="4" w:space="0" w:color="000000"/>
              <w:bottom w:val="single" w:sz="4" w:space="0" w:color="000000"/>
              <w:right w:val="single" w:sz="4" w:space="0" w:color="000000"/>
            </w:tcBorders>
            <w:hideMark/>
          </w:tcPr>
          <w:p w14:paraId="2EC012C5" w14:textId="77777777" w:rsidR="00282872" w:rsidRPr="00EB04F1" w:rsidRDefault="00282872" w:rsidP="003050E9">
            <w:pPr>
              <w:rPr>
                <w:b/>
                <w:i/>
                <w:sz w:val="22"/>
                <w:szCs w:val="22"/>
              </w:rPr>
            </w:pPr>
            <w:r w:rsidRPr="00EB04F1">
              <w:rPr>
                <w:b/>
                <w:i/>
                <w:sz w:val="22"/>
              </w:rPr>
              <w:t>Izmanto Eiropas vai starptautiskos standartus, ja tādi ir pieejami; ja šādu standartu nav, izraudzītā metodika ir vai nu pieejama zinātniskajā literatūrā, vai publiski pieejama.</w:t>
            </w:r>
          </w:p>
        </w:tc>
        <w:tc>
          <w:tcPr>
            <w:tcW w:w="2130" w:type="dxa"/>
            <w:tcBorders>
              <w:top w:val="single" w:sz="4" w:space="0" w:color="000000"/>
              <w:left w:val="single" w:sz="4" w:space="0" w:color="000000"/>
              <w:bottom w:val="single" w:sz="4" w:space="0" w:color="000000"/>
              <w:right w:val="single" w:sz="4" w:space="0" w:color="000000"/>
            </w:tcBorders>
            <w:hideMark/>
          </w:tcPr>
          <w:p w14:paraId="199CC8E4" w14:textId="77777777" w:rsidR="00282872" w:rsidRPr="00EB04F1" w:rsidRDefault="00282872" w:rsidP="003050E9">
            <w:pPr>
              <w:rPr>
                <w:b/>
                <w:i/>
                <w:sz w:val="22"/>
                <w:szCs w:val="22"/>
              </w:rPr>
            </w:pPr>
            <w:r w:rsidRPr="00EB04F1">
              <w:rPr>
                <w:b/>
                <w:i/>
                <w:sz w:val="22"/>
              </w:rPr>
              <w:t>Neattiecas</w:t>
            </w:r>
          </w:p>
        </w:tc>
      </w:tr>
      <w:tr w:rsidR="00282872" w:rsidRPr="00EB04F1" w14:paraId="23A4905F"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039212FC" w14:textId="77777777" w:rsidR="00282872" w:rsidRPr="00EB04F1" w:rsidRDefault="00282872" w:rsidP="003050E9">
            <w:pPr>
              <w:rPr>
                <w:b/>
                <w:i/>
                <w:sz w:val="22"/>
                <w:szCs w:val="22"/>
              </w:rPr>
            </w:pPr>
            <w:r w:rsidRPr="00EB04F1">
              <w:rPr>
                <w:b/>
                <w:i/>
                <w:sz w:val="22"/>
              </w:rPr>
              <w:t>Augsnes biomasa</w:t>
            </w:r>
          </w:p>
        </w:tc>
        <w:tc>
          <w:tcPr>
            <w:tcW w:w="2410" w:type="dxa"/>
            <w:tcBorders>
              <w:top w:val="single" w:sz="4" w:space="0" w:color="000000"/>
              <w:left w:val="single" w:sz="4" w:space="0" w:color="000000"/>
              <w:bottom w:val="single" w:sz="4" w:space="0" w:color="000000"/>
              <w:right w:val="single" w:sz="4" w:space="0" w:color="000000"/>
            </w:tcBorders>
            <w:hideMark/>
          </w:tcPr>
          <w:p w14:paraId="15EF12A2" w14:textId="77777777" w:rsidR="00282872" w:rsidRPr="00EB04F1" w:rsidRDefault="00282872" w:rsidP="003050E9">
            <w:pPr>
              <w:rPr>
                <w:b/>
                <w:i/>
                <w:sz w:val="22"/>
                <w:szCs w:val="22"/>
              </w:rPr>
            </w:pPr>
            <w:r w:rsidRPr="00EB04F1">
              <w:rPr>
                <w:b/>
                <w:i/>
                <w:sz w:val="22"/>
              </w:rPr>
              <w:t xml:space="preserve">Izmantojot norādes, kas aprakstītas Guerra et al., 2021, Briones et al. 2020, un Potapov et al. 2022 </w:t>
            </w:r>
          </w:p>
        </w:tc>
        <w:tc>
          <w:tcPr>
            <w:tcW w:w="2835" w:type="dxa"/>
            <w:tcBorders>
              <w:top w:val="single" w:sz="4" w:space="0" w:color="000000"/>
              <w:left w:val="single" w:sz="4" w:space="0" w:color="000000"/>
              <w:bottom w:val="single" w:sz="4" w:space="0" w:color="000000"/>
              <w:right w:val="single" w:sz="4" w:space="0" w:color="000000"/>
            </w:tcBorders>
          </w:tcPr>
          <w:p w14:paraId="0FAA9677"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1E5AFCE5" w14:textId="77777777" w:rsidR="00282872" w:rsidRPr="00EB04F1" w:rsidRDefault="00282872" w:rsidP="003050E9">
            <w:pPr>
              <w:rPr>
                <w:b/>
                <w:i/>
                <w:sz w:val="22"/>
                <w:szCs w:val="22"/>
              </w:rPr>
            </w:pPr>
            <w:r w:rsidRPr="00EB04F1">
              <w:rPr>
                <w:b/>
                <w:i/>
                <w:sz w:val="22"/>
              </w:rPr>
              <w:t>JĀ</w:t>
            </w:r>
          </w:p>
        </w:tc>
      </w:tr>
      <w:tr w:rsidR="00282872" w:rsidRPr="00EB04F1" w14:paraId="42DAD594"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7B43424F" w14:textId="77777777" w:rsidR="00282872" w:rsidRPr="00EB04F1" w:rsidRDefault="00282872" w:rsidP="003050E9">
            <w:pPr>
              <w:rPr>
                <w:b/>
                <w:i/>
                <w:sz w:val="22"/>
                <w:szCs w:val="22"/>
              </w:rPr>
            </w:pPr>
            <w:r w:rsidRPr="00EB04F1">
              <w:rPr>
                <w:b/>
                <w:i/>
                <w:sz w:val="22"/>
              </w:rPr>
              <w:t>Sakņu kopu iezīmes</w:t>
            </w:r>
          </w:p>
        </w:tc>
        <w:tc>
          <w:tcPr>
            <w:tcW w:w="2410" w:type="dxa"/>
            <w:tcBorders>
              <w:top w:val="single" w:sz="4" w:space="0" w:color="000000"/>
              <w:left w:val="single" w:sz="4" w:space="0" w:color="000000"/>
              <w:bottom w:val="single" w:sz="4" w:space="0" w:color="000000"/>
              <w:right w:val="single" w:sz="4" w:space="0" w:color="000000"/>
            </w:tcBorders>
            <w:hideMark/>
          </w:tcPr>
          <w:p w14:paraId="5E53BA92" w14:textId="77777777" w:rsidR="00282872" w:rsidRPr="00EB04F1" w:rsidRDefault="00282872" w:rsidP="003050E9">
            <w:pPr>
              <w:rPr>
                <w:b/>
                <w:i/>
                <w:sz w:val="22"/>
                <w:szCs w:val="22"/>
              </w:rPr>
            </w:pPr>
            <w:r w:rsidRPr="00EB04F1">
              <w:rPr>
                <w:b/>
                <w:i/>
                <w:sz w:val="22"/>
              </w:rPr>
              <w:t>Izmantojot norādes, kas aprakstītas Guerra et al., 2021</w:t>
            </w:r>
          </w:p>
        </w:tc>
        <w:tc>
          <w:tcPr>
            <w:tcW w:w="2835" w:type="dxa"/>
            <w:tcBorders>
              <w:top w:val="single" w:sz="4" w:space="0" w:color="000000"/>
              <w:left w:val="single" w:sz="4" w:space="0" w:color="000000"/>
              <w:bottom w:val="single" w:sz="4" w:space="0" w:color="000000"/>
              <w:right w:val="single" w:sz="4" w:space="0" w:color="000000"/>
            </w:tcBorders>
          </w:tcPr>
          <w:p w14:paraId="4D296634"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4842B9B3" w14:textId="77777777" w:rsidR="00282872" w:rsidRPr="00EB04F1" w:rsidRDefault="00282872" w:rsidP="003050E9">
            <w:pPr>
              <w:rPr>
                <w:b/>
                <w:i/>
                <w:sz w:val="22"/>
                <w:szCs w:val="22"/>
              </w:rPr>
            </w:pPr>
            <w:r w:rsidRPr="00EB04F1">
              <w:rPr>
                <w:b/>
                <w:i/>
                <w:sz w:val="22"/>
              </w:rPr>
              <w:t>JĀ</w:t>
            </w:r>
          </w:p>
        </w:tc>
      </w:tr>
      <w:tr w:rsidR="00282872" w:rsidRPr="00EB04F1" w14:paraId="013F3AE0"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60406887" w14:textId="77777777" w:rsidR="00282872" w:rsidRPr="00EB04F1" w:rsidRDefault="00282872" w:rsidP="003050E9">
            <w:pPr>
              <w:rPr>
                <w:b/>
                <w:i/>
                <w:sz w:val="22"/>
                <w:szCs w:val="22"/>
              </w:rPr>
            </w:pPr>
            <w:r w:rsidRPr="00EB04F1">
              <w:rPr>
                <w:b/>
                <w:i/>
                <w:sz w:val="22"/>
              </w:rPr>
              <w:t>Taksonomiskā daudzveidība</w:t>
            </w:r>
          </w:p>
        </w:tc>
        <w:tc>
          <w:tcPr>
            <w:tcW w:w="2410" w:type="dxa"/>
            <w:tcBorders>
              <w:top w:val="single" w:sz="4" w:space="0" w:color="000000"/>
              <w:left w:val="single" w:sz="4" w:space="0" w:color="000000"/>
              <w:bottom w:val="single" w:sz="4" w:space="0" w:color="000000"/>
              <w:right w:val="single" w:sz="4" w:space="0" w:color="000000"/>
            </w:tcBorders>
            <w:hideMark/>
          </w:tcPr>
          <w:p w14:paraId="21F6F41D" w14:textId="77777777" w:rsidR="00282872" w:rsidRPr="00EB04F1" w:rsidRDefault="00282872" w:rsidP="003050E9">
            <w:pPr>
              <w:rPr>
                <w:b/>
                <w:i/>
                <w:sz w:val="22"/>
                <w:szCs w:val="22"/>
              </w:rPr>
            </w:pPr>
            <w:r w:rsidRPr="00EB04F1">
              <w:rPr>
                <w:b/>
                <w:i/>
                <w:sz w:val="22"/>
              </w:rPr>
              <w:t>Izmantojot norādes, kas aprakstītas Guerra et al., 2021</w:t>
            </w:r>
          </w:p>
        </w:tc>
        <w:tc>
          <w:tcPr>
            <w:tcW w:w="2835" w:type="dxa"/>
            <w:tcBorders>
              <w:top w:val="single" w:sz="4" w:space="0" w:color="000000"/>
              <w:left w:val="single" w:sz="4" w:space="0" w:color="000000"/>
              <w:bottom w:val="single" w:sz="4" w:space="0" w:color="000000"/>
              <w:right w:val="single" w:sz="4" w:space="0" w:color="000000"/>
            </w:tcBorders>
          </w:tcPr>
          <w:p w14:paraId="19FFB3AF"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019D0E6E" w14:textId="77777777" w:rsidR="00282872" w:rsidRPr="00EB04F1" w:rsidRDefault="00282872" w:rsidP="003050E9">
            <w:pPr>
              <w:rPr>
                <w:b/>
                <w:i/>
                <w:sz w:val="22"/>
                <w:szCs w:val="22"/>
              </w:rPr>
            </w:pPr>
            <w:r w:rsidRPr="00EB04F1">
              <w:rPr>
                <w:b/>
                <w:i/>
                <w:sz w:val="22"/>
              </w:rPr>
              <w:t>JĀ</w:t>
            </w:r>
          </w:p>
        </w:tc>
      </w:tr>
      <w:tr w:rsidR="00282872" w:rsidRPr="00EB04F1" w14:paraId="5EF55D69"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71C25D98" w14:textId="77777777" w:rsidR="00282872" w:rsidRPr="00EB04F1" w:rsidRDefault="00282872" w:rsidP="003050E9">
            <w:pPr>
              <w:rPr>
                <w:b/>
                <w:i/>
                <w:sz w:val="22"/>
                <w:szCs w:val="22"/>
              </w:rPr>
            </w:pPr>
            <w:r w:rsidRPr="00EB04F1">
              <w:rPr>
                <w:b/>
                <w:i/>
                <w:sz w:val="22"/>
              </w:rPr>
              <w:t>Populācijas skaitliskums</w:t>
            </w:r>
          </w:p>
        </w:tc>
        <w:tc>
          <w:tcPr>
            <w:tcW w:w="2410" w:type="dxa"/>
            <w:tcBorders>
              <w:top w:val="single" w:sz="4" w:space="0" w:color="000000"/>
              <w:left w:val="single" w:sz="4" w:space="0" w:color="000000"/>
              <w:bottom w:val="single" w:sz="4" w:space="0" w:color="000000"/>
              <w:right w:val="single" w:sz="4" w:space="0" w:color="000000"/>
            </w:tcBorders>
            <w:hideMark/>
          </w:tcPr>
          <w:p w14:paraId="488D7ABA" w14:textId="77777777" w:rsidR="00282872" w:rsidRPr="00EB04F1" w:rsidRDefault="00282872" w:rsidP="003050E9">
            <w:pPr>
              <w:rPr>
                <w:b/>
                <w:i/>
                <w:sz w:val="22"/>
                <w:szCs w:val="22"/>
              </w:rPr>
            </w:pPr>
            <w:r w:rsidRPr="00EB04F1">
              <w:rPr>
                <w:b/>
                <w:i/>
                <w:sz w:val="22"/>
              </w:rPr>
              <w:t xml:space="preserve">Izmantojot norādes, kas aprakstītas Guerra et </w:t>
            </w:r>
            <w:r w:rsidRPr="00EB04F1">
              <w:rPr>
                <w:b/>
                <w:i/>
                <w:sz w:val="22"/>
              </w:rPr>
              <w:lastRenderedPageBreak/>
              <w:t>al., 2021</w:t>
            </w:r>
          </w:p>
        </w:tc>
        <w:tc>
          <w:tcPr>
            <w:tcW w:w="2835" w:type="dxa"/>
            <w:tcBorders>
              <w:top w:val="single" w:sz="4" w:space="0" w:color="000000"/>
              <w:left w:val="single" w:sz="4" w:space="0" w:color="000000"/>
              <w:bottom w:val="single" w:sz="4" w:space="0" w:color="000000"/>
              <w:right w:val="single" w:sz="4" w:space="0" w:color="000000"/>
            </w:tcBorders>
          </w:tcPr>
          <w:p w14:paraId="76AA0F74"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751FC5D4" w14:textId="77777777" w:rsidR="00282872" w:rsidRPr="00EB04F1" w:rsidRDefault="00282872" w:rsidP="003050E9">
            <w:pPr>
              <w:rPr>
                <w:b/>
                <w:i/>
                <w:sz w:val="22"/>
                <w:szCs w:val="22"/>
              </w:rPr>
            </w:pPr>
            <w:r w:rsidRPr="00EB04F1">
              <w:rPr>
                <w:b/>
                <w:i/>
                <w:sz w:val="22"/>
              </w:rPr>
              <w:t>JĀ</w:t>
            </w:r>
          </w:p>
        </w:tc>
      </w:tr>
      <w:tr w:rsidR="00282872" w:rsidRPr="00EB04F1" w14:paraId="70D7D53C"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060D67AE" w14:textId="77777777" w:rsidR="00282872" w:rsidRPr="00EB04F1" w:rsidRDefault="00282872" w:rsidP="003050E9">
            <w:pPr>
              <w:rPr>
                <w:b/>
                <w:i/>
                <w:sz w:val="22"/>
                <w:szCs w:val="22"/>
              </w:rPr>
            </w:pPr>
            <w:r w:rsidRPr="00EB04F1">
              <w:rPr>
                <w:b/>
                <w:i/>
                <w:sz w:val="22"/>
              </w:rPr>
              <w:t>Iekšsugas ģenētiskā daudzveidība</w:t>
            </w:r>
          </w:p>
        </w:tc>
        <w:tc>
          <w:tcPr>
            <w:tcW w:w="2410" w:type="dxa"/>
            <w:tcBorders>
              <w:top w:val="single" w:sz="4" w:space="0" w:color="000000"/>
              <w:left w:val="single" w:sz="4" w:space="0" w:color="000000"/>
              <w:bottom w:val="single" w:sz="4" w:space="0" w:color="000000"/>
              <w:right w:val="single" w:sz="4" w:space="0" w:color="000000"/>
            </w:tcBorders>
            <w:hideMark/>
          </w:tcPr>
          <w:p w14:paraId="4B4F2C37" w14:textId="77777777" w:rsidR="00282872" w:rsidRPr="00EB04F1" w:rsidRDefault="00282872" w:rsidP="003050E9">
            <w:pPr>
              <w:rPr>
                <w:b/>
                <w:i/>
                <w:sz w:val="22"/>
                <w:szCs w:val="22"/>
              </w:rPr>
            </w:pPr>
            <w:r w:rsidRPr="00EB04F1">
              <w:rPr>
                <w:b/>
                <w:i/>
                <w:sz w:val="22"/>
              </w:rPr>
              <w:t>Izmantojot norādes, kas aprakstītas Guerra et al., 2021</w:t>
            </w:r>
          </w:p>
        </w:tc>
        <w:tc>
          <w:tcPr>
            <w:tcW w:w="2835" w:type="dxa"/>
            <w:tcBorders>
              <w:top w:val="single" w:sz="4" w:space="0" w:color="000000"/>
              <w:left w:val="single" w:sz="4" w:space="0" w:color="000000"/>
              <w:bottom w:val="single" w:sz="4" w:space="0" w:color="000000"/>
              <w:right w:val="single" w:sz="4" w:space="0" w:color="000000"/>
            </w:tcBorders>
          </w:tcPr>
          <w:p w14:paraId="3760280D"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7EED4E0A" w14:textId="77777777" w:rsidR="00282872" w:rsidRPr="00EB04F1" w:rsidRDefault="00282872" w:rsidP="003050E9">
            <w:pPr>
              <w:rPr>
                <w:b/>
                <w:i/>
                <w:sz w:val="22"/>
                <w:szCs w:val="22"/>
              </w:rPr>
            </w:pPr>
            <w:r w:rsidRPr="00EB04F1">
              <w:rPr>
                <w:b/>
                <w:i/>
                <w:sz w:val="22"/>
              </w:rPr>
              <w:t>JĀ</w:t>
            </w:r>
          </w:p>
        </w:tc>
      </w:tr>
      <w:tr w:rsidR="00282872" w:rsidRPr="00EB04F1" w14:paraId="4A652471" w14:textId="77777777" w:rsidTr="001C7579">
        <w:tc>
          <w:tcPr>
            <w:tcW w:w="1985" w:type="dxa"/>
            <w:tcBorders>
              <w:top w:val="single" w:sz="4" w:space="0" w:color="000000"/>
              <w:left w:val="single" w:sz="4" w:space="0" w:color="000000"/>
              <w:bottom w:val="single" w:sz="4" w:space="0" w:color="000000"/>
              <w:right w:val="single" w:sz="4" w:space="0" w:color="000000"/>
            </w:tcBorders>
            <w:hideMark/>
          </w:tcPr>
          <w:p w14:paraId="231C4587" w14:textId="77777777" w:rsidR="00282872" w:rsidRPr="00EB04F1" w:rsidRDefault="00282872" w:rsidP="003050E9">
            <w:pPr>
              <w:rPr>
                <w:b/>
                <w:i/>
                <w:sz w:val="22"/>
                <w:szCs w:val="22"/>
              </w:rPr>
            </w:pPr>
            <w:r w:rsidRPr="00EB04F1">
              <w:rPr>
                <w:b/>
                <w:i/>
                <w:sz w:val="22"/>
              </w:rPr>
              <w:t>Augsnes struktūra</w:t>
            </w:r>
          </w:p>
        </w:tc>
        <w:tc>
          <w:tcPr>
            <w:tcW w:w="2410" w:type="dxa"/>
            <w:tcBorders>
              <w:top w:val="single" w:sz="4" w:space="0" w:color="000000"/>
              <w:left w:val="single" w:sz="4" w:space="0" w:color="000000"/>
              <w:bottom w:val="single" w:sz="4" w:space="0" w:color="000000"/>
              <w:right w:val="single" w:sz="4" w:space="0" w:color="000000"/>
            </w:tcBorders>
            <w:hideMark/>
          </w:tcPr>
          <w:p w14:paraId="0EA400B9" w14:textId="77777777" w:rsidR="00282872" w:rsidRPr="00EB04F1" w:rsidRDefault="00282872" w:rsidP="003050E9">
            <w:pPr>
              <w:rPr>
                <w:b/>
                <w:i/>
                <w:sz w:val="22"/>
                <w:szCs w:val="22"/>
              </w:rPr>
            </w:pPr>
            <w:r w:rsidRPr="00EB04F1">
              <w:rPr>
                <w:b/>
                <w:i/>
                <w:sz w:val="22"/>
              </w:rPr>
              <w:t>Granulometrisko analīzi veic izsijātā augsnē (Ø &lt; 2 mm) pēc organiskās matērijas sagraušanas ar H2O2. Dispersiju veic ar heksametafosfāta/nātrija karbonāta šķīdumu un maisa 16 stundas. Analizētās granulometriskās frakcijas ir Starptautiskās Augsnes zinātņu savienības ieteiktās (Atterberga skala), kas ir rupja smilts (2 &gt; Ø &gt; 0,2 mm), smalka smilts (0,2 &gt; Ø &gt; 0,02 mm), putekļi (0,02 &gt; Ø &gt; 0,002 mm) un māls (Ø &lt; 0,002 mm). Rupjās smilts frakciju nosaka sijājot, putekļu un māla frakcijas nosaka ar sedimentāciju un pipetēšanu, izmantojot Robinsona pipeti, bet smalko smilti — ar sedimentāciju un dekantēšanu. Sedimentācijas ilgumu aprēķina, izmantojot Stoksa likumu.</w:t>
            </w:r>
          </w:p>
        </w:tc>
        <w:tc>
          <w:tcPr>
            <w:tcW w:w="2835" w:type="dxa"/>
            <w:tcBorders>
              <w:top w:val="single" w:sz="4" w:space="0" w:color="000000"/>
              <w:left w:val="single" w:sz="4" w:space="0" w:color="000000"/>
              <w:bottom w:val="single" w:sz="4" w:space="0" w:color="000000"/>
              <w:right w:val="single" w:sz="4" w:space="0" w:color="000000"/>
            </w:tcBorders>
          </w:tcPr>
          <w:p w14:paraId="44BC60EB" w14:textId="77777777" w:rsidR="00282872" w:rsidRPr="00EB04F1" w:rsidRDefault="00282872" w:rsidP="003050E9">
            <w:pPr>
              <w:rPr>
                <w:b/>
                <w:i/>
                <w:sz w:val="22"/>
                <w:szCs w:val="22"/>
              </w:rPr>
            </w:pPr>
          </w:p>
        </w:tc>
        <w:tc>
          <w:tcPr>
            <w:tcW w:w="2130" w:type="dxa"/>
            <w:tcBorders>
              <w:top w:val="single" w:sz="4" w:space="0" w:color="000000"/>
              <w:left w:val="single" w:sz="4" w:space="0" w:color="000000"/>
              <w:bottom w:val="single" w:sz="4" w:space="0" w:color="000000"/>
              <w:right w:val="single" w:sz="4" w:space="0" w:color="000000"/>
            </w:tcBorders>
            <w:hideMark/>
          </w:tcPr>
          <w:p w14:paraId="09DEFB8E" w14:textId="77777777" w:rsidR="00282872" w:rsidRPr="00EB04F1" w:rsidRDefault="00282872" w:rsidP="003050E9">
            <w:pPr>
              <w:rPr>
                <w:b/>
                <w:i/>
                <w:sz w:val="22"/>
                <w:szCs w:val="22"/>
              </w:rPr>
            </w:pPr>
            <w:r w:rsidRPr="00EB04F1">
              <w:rPr>
                <w:b/>
                <w:i/>
                <w:sz w:val="22"/>
              </w:rPr>
              <w:t>JĀ</w:t>
            </w:r>
          </w:p>
        </w:tc>
      </w:tr>
    </w:tbl>
    <w:p w14:paraId="65D194BF" w14:textId="44A8B8FB" w:rsidR="006C20A6" w:rsidRPr="00EB04F1" w:rsidRDefault="00282872" w:rsidP="00282872">
      <w:pPr>
        <w:spacing w:before="120" w:after="120" w:line="360" w:lineRule="auto"/>
        <w:jc w:val="right"/>
        <w:rPr>
          <w:b/>
          <w:szCs w:val="24"/>
          <w:lang w:eastAsia="en-US"/>
        </w:rPr>
      </w:pPr>
      <w:r w:rsidRPr="00EB04F1">
        <w:rPr>
          <w:b/>
          <w:szCs w:val="24"/>
          <w:lang w:eastAsia="en-US"/>
        </w:rPr>
        <w:t xml:space="preserve"> [Gr. 202]</w:t>
      </w:r>
    </w:p>
    <w:p w14:paraId="57B516FE" w14:textId="7A7F7F9F" w:rsidR="00A95837" w:rsidRPr="00EB04F1" w:rsidRDefault="00A95837" w:rsidP="00DA4F3E">
      <w:pPr>
        <w:spacing w:before="120" w:after="120" w:line="360" w:lineRule="auto"/>
        <w:jc w:val="center"/>
        <w:rPr>
          <w:szCs w:val="24"/>
          <w:lang w:val="pl-PL" w:eastAsia="en-US"/>
        </w:rPr>
      </w:pPr>
    </w:p>
    <w:p w14:paraId="7E691768" w14:textId="369166CA" w:rsidR="00A95837" w:rsidRPr="00EB04F1" w:rsidRDefault="00A95837" w:rsidP="00A95837">
      <w:pPr>
        <w:spacing w:before="120" w:after="120" w:line="360" w:lineRule="auto"/>
        <w:rPr>
          <w:b/>
          <w:szCs w:val="24"/>
          <w:lang w:val="pl-PL" w:eastAsia="en-US"/>
        </w:rPr>
      </w:pPr>
      <w:r w:rsidRPr="00EB04F1">
        <w:rPr>
          <w:b/>
          <w:szCs w:val="24"/>
          <w:lang w:val="pl-PL" w:eastAsia="en-US"/>
        </w:rPr>
        <w:t>III daļa C daļa.</w:t>
      </w:r>
    </w:p>
    <w:p w14:paraId="20B3FD33" w14:textId="77777777" w:rsidR="00A95837" w:rsidRPr="00EB04F1" w:rsidRDefault="00A95837" w:rsidP="00A95837">
      <w:pPr>
        <w:spacing w:before="120" w:after="120" w:line="360" w:lineRule="auto"/>
        <w:rPr>
          <w:b/>
          <w:szCs w:val="24"/>
          <w:lang w:val="pl-PL" w:eastAsia="en-US"/>
        </w:rPr>
      </w:pPr>
      <w:r w:rsidRPr="00EB04F1">
        <w:rPr>
          <w:b/>
          <w:szCs w:val="24"/>
          <w:lang w:val="pl-PL" w:eastAsia="en-US"/>
        </w:rPr>
        <w:t>Zemes aizņemšanas un augsnes noslēgšanas indikatoru vērtību noteikšanas metodisko kritēriju minimums</w:t>
      </w:r>
    </w:p>
    <w:p w14:paraId="3405504A" w14:textId="77777777" w:rsidR="00A95837" w:rsidRPr="00EB04F1" w:rsidRDefault="00A95837" w:rsidP="00A95837">
      <w:pPr>
        <w:spacing w:before="120" w:after="120" w:line="360" w:lineRule="auto"/>
        <w:ind w:left="850" w:hanging="850"/>
        <w:rPr>
          <w:szCs w:val="24"/>
          <w:lang w:val="pl-PL" w:eastAsia="en-US"/>
        </w:rPr>
      </w:pPr>
      <w:r w:rsidRPr="00EB04F1">
        <w:rPr>
          <w:szCs w:val="24"/>
          <w:lang w:val="pl-PL" w:eastAsia="en-US"/>
        </w:rPr>
        <w:t>-</w:t>
      </w:r>
      <w:r w:rsidRPr="00EB04F1">
        <w:rPr>
          <w:szCs w:val="24"/>
          <w:lang w:val="pl-PL" w:eastAsia="en-US"/>
        </w:rPr>
        <w:tab/>
        <w:t>Attiecībā uz zemes aizņemšanu, zemes atbrīvošanu un neto aizņemto zemi izmantotajai metodikai būtu jāatbilst 3. pantā un I pielikumā noteiktajām definīcijām.</w:t>
      </w:r>
    </w:p>
    <w:p w14:paraId="4AE5FAA7" w14:textId="77777777" w:rsidR="00A95837" w:rsidRPr="00EB04F1" w:rsidRDefault="00A95837" w:rsidP="00A95837">
      <w:pPr>
        <w:spacing w:before="120" w:after="120" w:line="360" w:lineRule="auto"/>
        <w:ind w:left="850" w:hanging="850"/>
        <w:rPr>
          <w:szCs w:val="24"/>
          <w:lang w:val="pl-PL" w:eastAsia="en-US"/>
        </w:rPr>
      </w:pPr>
      <w:r w:rsidRPr="00EB04F1">
        <w:rPr>
          <w:szCs w:val="24"/>
          <w:lang w:val="pl-PL" w:eastAsia="en-US"/>
        </w:rPr>
        <w:t>-</w:t>
      </w:r>
      <w:r w:rsidRPr="00EB04F1">
        <w:rPr>
          <w:szCs w:val="24"/>
          <w:lang w:val="pl-PL" w:eastAsia="en-US"/>
        </w:rPr>
        <w:tab/>
        <w:t>Augsnes noslēgšanu izsaka kā noslēgtās platības procentuālo daļu no kopējās platības.</w:t>
      </w:r>
    </w:p>
    <w:p w14:paraId="1B4332E2" w14:textId="376B9DCE" w:rsidR="00DA4F3E" w:rsidRPr="00EB04F1" w:rsidRDefault="00A95837" w:rsidP="00A95837">
      <w:pPr>
        <w:spacing w:before="120" w:after="120" w:line="360" w:lineRule="auto"/>
        <w:ind w:left="850" w:hanging="850"/>
        <w:rPr>
          <w:szCs w:val="24"/>
          <w:lang w:val="pl-PL" w:eastAsia="en-US"/>
        </w:rPr>
      </w:pPr>
      <w:r w:rsidRPr="00EB04F1">
        <w:rPr>
          <w:szCs w:val="24"/>
          <w:lang w:val="pl-PL" w:eastAsia="en-US"/>
        </w:rPr>
        <w:lastRenderedPageBreak/>
        <w:t>-</w:t>
      </w:r>
      <w:r w:rsidRPr="00EB04F1">
        <w:rPr>
          <w:szCs w:val="24"/>
          <w:lang w:val="pl-PL" w:eastAsia="en-US"/>
        </w:rPr>
        <w:tab/>
        <w:t>Izraudzītā metodika ir vai nu pieejama zinātniskajā literatūrā, vai publiski pieejama.</w:t>
      </w:r>
    </w:p>
    <w:p w14:paraId="0EAC1373" w14:textId="77777777" w:rsidR="00A95837" w:rsidRPr="00EB04F1" w:rsidRDefault="00A95837" w:rsidP="00DA4F3E">
      <w:pPr>
        <w:spacing w:before="120" w:after="120" w:line="360" w:lineRule="auto"/>
        <w:jc w:val="center"/>
        <w:rPr>
          <w:strike/>
          <w:lang w:val="pl-PL" w:eastAsia="en-US"/>
        </w:rPr>
        <w:sectPr w:rsidR="00A95837" w:rsidRPr="00EB04F1">
          <w:footnotePr>
            <w:numRestart w:val="eachSect"/>
          </w:footnotePr>
          <w:pgSz w:w="11909" w:h="16834"/>
          <w:pgMar w:top="1134" w:right="1417" w:bottom="1417" w:left="1417" w:header="1134" w:footer="567" w:gutter="0"/>
          <w:cols w:space="720"/>
        </w:sectPr>
      </w:pPr>
    </w:p>
    <w:p w14:paraId="7C03D37A" w14:textId="3691B3D0" w:rsidR="00DA4F3E" w:rsidRPr="00EB04F1" w:rsidRDefault="00DA4F3E" w:rsidP="00DA4F3E">
      <w:pPr>
        <w:spacing w:before="120" w:after="120" w:line="360" w:lineRule="auto"/>
        <w:jc w:val="center"/>
        <w:rPr>
          <w:lang w:val="pl-PL" w:eastAsia="en-US"/>
        </w:rPr>
      </w:pPr>
      <w:r w:rsidRPr="00EB04F1">
        <w:rPr>
          <w:strike/>
          <w:lang w:val="pl-PL" w:eastAsia="en-US"/>
        </w:rPr>
        <w:lastRenderedPageBreak/>
        <w:t>III PIELIKUMS</w:t>
      </w:r>
      <w:r w:rsidRPr="00EB04F1">
        <w:rPr>
          <w:lang w:val="pl-PL" w:eastAsia="en-US"/>
        </w:rPr>
        <w:br/>
      </w:r>
    </w:p>
    <w:p w14:paraId="39D4E52F" w14:textId="77777777" w:rsidR="00DA4F3E" w:rsidRPr="00EB04F1" w:rsidRDefault="00DA4F3E" w:rsidP="00DA4F3E">
      <w:pPr>
        <w:spacing w:before="120" w:after="120" w:line="360" w:lineRule="auto"/>
        <w:rPr>
          <w:szCs w:val="24"/>
          <w:lang w:val="pl-PL" w:eastAsia="en-US"/>
        </w:rPr>
      </w:pPr>
      <w:r w:rsidRPr="00EB04F1">
        <w:rPr>
          <w:strike/>
          <w:szCs w:val="24"/>
          <w:lang w:val="pl-PL" w:eastAsia="en-US"/>
        </w:rPr>
        <w:t xml:space="preserve">ILGTSPĒJĪGAS AUGSNES APSAIMNIEKOŠANAS PRINCIPI </w:t>
      </w:r>
    </w:p>
    <w:p w14:paraId="37690B46" w14:textId="77777777" w:rsidR="00DA4F3E" w:rsidRPr="00EB04F1" w:rsidRDefault="00DA4F3E" w:rsidP="00DA4F3E">
      <w:pPr>
        <w:spacing w:before="120" w:after="120" w:line="360" w:lineRule="auto"/>
        <w:rPr>
          <w:szCs w:val="24"/>
          <w:lang w:val="en-GB" w:eastAsia="en-US"/>
        </w:rPr>
      </w:pPr>
      <w:r w:rsidRPr="00EB04F1">
        <w:rPr>
          <w:strike/>
          <w:szCs w:val="24"/>
          <w:lang w:val="en-GB" w:eastAsia="en-US"/>
        </w:rPr>
        <w:t>Ievēro šādus principus:</w:t>
      </w:r>
    </w:p>
    <w:p w14:paraId="53E2560B"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(a)</w:t>
      </w:r>
      <w:r w:rsidRPr="00EB04F1">
        <w:rPr>
          <w:szCs w:val="24"/>
          <w:lang w:val="en-GB" w:eastAsia="en-US"/>
        </w:rPr>
        <w:tab/>
      </w:r>
      <w:proofErr w:type="gramStart"/>
      <w:r w:rsidRPr="00EB04F1">
        <w:rPr>
          <w:strike/>
          <w:szCs w:val="24"/>
          <w:lang w:val="en-GB" w:eastAsia="en-US"/>
        </w:rPr>
        <w:t>izvairīties</w:t>
      </w:r>
      <w:proofErr w:type="gramEnd"/>
      <w:r w:rsidRPr="00EB04F1">
        <w:rPr>
          <w:strike/>
          <w:szCs w:val="24"/>
          <w:lang w:val="en-GB" w:eastAsia="en-US"/>
        </w:rPr>
        <w:t xml:space="preserve"> augsni atstāt kailu, izveidojot un uzturot augu segu, it sevišķi vidiski jutīgos periodos;</w:t>
      </w:r>
    </w:p>
    <w:p w14:paraId="2D0BC721"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(b)</w:t>
      </w:r>
      <w:r w:rsidRPr="00EB04F1">
        <w:rPr>
          <w:szCs w:val="24"/>
          <w:lang w:val="en-GB" w:eastAsia="en-US"/>
        </w:rPr>
        <w:tab/>
      </w:r>
      <w:proofErr w:type="gramStart"/>
      <w:r w:rsidRPr="00EB04F1">
        <w:rPr>
          <w:strike/>
          <w:szCs w:val="24"/>
          <w:lang w:val="en-GB" w:eastAsia="en-US"/>
        </w:rPr>
        <w:t>minimalizēt</w:t>
      </w:r>
      <w:proofErr w:type="gramEnd"/>
      <w:r w:rsidRPr="00EB04F1">
        <w:rPr>
          <w:strike/>
          <w:szCs w:val="24"/>
          <w:lang w:val="en-GB" w:eastAsia="en-US"/>
        </w:rPr>
        <w:t xml:space="preserve"> augsnes fizisku sajaukšanu;</w:t>
      </w:r>
    </w:p>
    <w:p w14:paraId="37E2FC61"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(c)</w:t>
      </w:r>
      <w:r w:rsidRPr="00EB04F1">
        <w:rPr>
          <w:szCs w:val="24"/>
          <w:lang w:val="en-GB" w:eastAsia="en-US"/>
        </w:rPr>
        <w:tab/>
      </w:r>
      <w:proofErr w:type="gramStart"/>
      <w:r w:rsidRPr="00EB04F1">
        <w:rPr>
          <w:strike/>
          <w:szCs w:val="24"/>
          <w:lang w:val="en-GB" w:eastAsia="en-US"/>
        </w:rPr>
        <w:t>izvairīties</w:t>
      </w:r>
      <w:proofErr w:type="gramEnd"/>
      <w:r w:rsidRPr="00EB04F1">
        <w:rPr>
          <w:strike/>
          <w:szCs w:val="24"/>
          <w:lang w:val="en-GB" w:eastAsia="en-US"/>
        </w:rPr>
        <w:t xml:space="preserve"> augsnē ienest — vai pieļaut, ka tajā nonāk — vielas, kas var kaitēt cilvēka veselībai vai videi vai pasliktināt augsnes veselību;</w:t>
      </w:r>
    </w:p>
    <w:p w14:paraId="19F8E258"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(d)</w:t>
      </w:r>
      <w:r w:rsidRPr="00EB04F1">
        <w:rPr>
          <w:szCs w:val="24"/>
          <w:lang w:val="en-GB" w:eastAsia="en-US"/>
        </w:rPr>
        <w:tab/>
      </w:r>
      <w:proofErr w:type="gramStart"/>
      <w:r w:rsidRPr="00EB04F1">
        <w:rPr>
          <w:strike/>
          <w:szCs w:val="24"/>
          <w:lang w:val="en-GB" w:eastAsia="en-US"/>
        </w:rPr>
        <w:t>rūpēties</w:t>
      </w:r>
      <w:proofErr w:type="gramEnd"/>
      <w:r w:rsidRPr="00EB04F1">
        <w:rPr>
          <w:strike/>
          <w:szCs w:val="24"/>
          <w:lang w:val="en-GB" w:eastAsia="en-US"/>
        </w:rPr>
        <w:t>, lai tehnikas izmantošana būtu pielāgota augsnes izturībai un ka augsnes apstrādes darbību skaits un biežums augsnē ir ierobežots tā, lai neapdraudētu augsnes veselību;</w:t>
      </w:r>
    </w:p>
    <w:p w14:paraId="7C0FF9EB"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(e)</w:t>
      </w:r>
      <w:r w:rsidRPr="00EB04F1">
        <w:rPr>
          <w:szCs w:val="24"/>
          <w:lang w:val="en-GB" w:eastAsia="en-US"/>
        </w:rPr>
        <w:tab/>
      </w:r>
      <w:proofErr w:type="gramStart"/>
      <w:r w:rsidRPr="00EB04F1">
        <w:rPr>
          <w:strike/>
          <w:szCs w:val="24"/>
          <w:lang w:val="en-GB" w:eastAsia="en-US"/>
        </w:rPr>
        <w:t>mēslošanu</w:t>
      </w:r>
      <w:proofErr w:type="gramEnd"/>
      <w:r w:rsidRPr="00EB04F1">
        <w:rPr>
          <w:strike/>
          <w:szCs w:val="24"/>
          <w:lang w:val="en-GB" w:eastAsia="en-US"/>
        </w:rPr>
        <w:t xml:space="preserve"> pielāgot augu un koku vajadzībām konkrētajā vietā un attiecīgajā periodā, kā arī augsnes stāvoklim un par prioritāti noteikt apritīgus risinājumus, kas bagātina organisko vielu saturu;</w:t>
      </w:r>
    </w:p>
    <w:p w14:paraId="0BF3B62B"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(f)</w:t>
      </w:r>
      <w:r w:rsidRPr="00EB04F1">
        <w:rPr>
          <w:szCs w:val="24"/>
          <w:lang w:val="en-GB" w:eastAsia="en-US"/>
        </w:rPr>
        <w:tab/>
      </w:r>
      <w:proofErr w:type="gramStart"/>
      <w:r w:rsidRPr="00EB04F1">
        <w:rPr>
          <w:strike/>
          <w:szCs w:val="24"/>
          <w:lang w:val="en-GB" w:eastAsia="en-US"/>
        </w:rPr>
        <w:t>apūdeņošanas</w:t>
      </w:r>
      <w:proofErr w:type="gramEnd"/>
      <w:r w:rsidRPr="00EB04F1">
        <w:rPr>
          <w:strike/>
          <w:szCs w:val="24"/>
          <w:lang w:val="en-GB" w:eastAsia="en-US"/>
        </w:rPr>
        <w:t xml:space="preserve"> gadījumā maksimalizēt apūdeņošanas sistēmu un apūdeņošanas pārvaldības efektivitāti un gādāt, lai reciklēto notekūdeņu kvalitāte, ja tādus izmanto, atbilstu Eiropas Parlamenta un Padomes Regulas (ES) 2020/741</w:t>
      </w:r>
      <w:r w:rsidRPr="00EB04F1">
        <w:rPr>
          <w:szCs w:val="24"/>
          <w:vertAlign w:val="superscript"/>
          <w:lang w:val="en-GB" w:eastAsia="en-US"/>
        </w:rPr>
        <w:footnoteReference w:customMarkFollows="1" w:id="74"/>
        <w:t>1</w:t>
      </w:r>
      <w:r w:rsidRPr="00EB04F1">
        <w:rPr>
          <w:strike/>
          <w:szCs w:val="24"/>
          <w:lang w:val="en-GB" w:eastAsia="en-US"/>
        </w:rPr>
        <w:t xml:space="preserve"> I pielikumā noteiktajām prasībām, savukārt ūdens no citiem avotiem nepasliktinātu augsnes veselību;</w:t>
      </w:r>
    </w:p>
    <w:p w14:paraId="1FA04499"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(g)</w:t>
      </w:r>
      <w:r w:rsidRPr="00EB04F1">
        <w:rPr>
          <w:szCs w:val="24"/>
          <w:lang w:val="en-GB" w:eastAsia="en-US"/>
        </w:rPr>
        <w:tab/>
      </w:r>
      <w:proofErr w:type="gramStart"/>
      <w:r w:rsidRPr="00EB04F1">
        <w:rPr>
          <w:strike/>
          <w:szCs w:val="24"/>
          <w:lang w:val="en-GB" w:eastAsia="en-US"/>
        </w:rPr>
        <w:t>nodrošināt</w:t>
      </w:r>
      <w:proofErr w:type="gramEnd"/>
      <w:r w:rsidRPr="00EB04F1">
        <w:rPr>
          <w:strike/>
          <w:szCs w:val="24"/>
          <w:lang w:val="en-GB" w:eastAsia="en-US"/>
        </w:rPr>
        <w:t xml:space="preserve"> augsnes aizsardzību, izveidojot un uzturot piemērotus ainavas elementus ainavas līmenī</w:t>
      </w:r>
      <w:r w:rsidRPr="00EB04F1">
        <w:rPr>
          <w:szCs w:val="24"/>
          <w:vertAlign w:val="superscript"/>
          <w:lang w:val="en-GB" w:eastAsia="en-US"/>
        </w:rPr>
        <w:footnoteReference w:customMarkFollows="1" w:id="75"/>
        <w:t>2</w:t>
      </w:r>
      <w:r w:rsidRPr="00EB04F1">
        <w:rPr>
          <w:strike/>
          <w:szCs w:val="24"/>
          <w:lang w:val="en-GB" w:eastAsia="en-US"/>
        </w:rPr>
        <w:t>;</w:t>
      </w:r>
    </w:p>
    <w:p w14:paraId="6274652A"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(h)</w:t>
      </w:r>
      <w:r w:rsidRPr="00EB04F1">
        <w:rPr>
          <w:szCs w:val="24"/>
          <w:lang w:val="en-GB" w:eastAsia="en-US"/>
        </w:rPr>
        <w:tab/>
      </w:r>
      <w:proofErr w:type="gramStart"/>
      <w:r w:rsidRPr="00EB04F1">
        <w:rPr>
          <w:strike/>
          <w:szCs w:val="24"/>
          <w:lang w:val="en-GB" w:eastAsia="en-US"/>
        </w:rPr>
        <w:t>kultūraugu</w:t>
      </w:r>
      <w:proofErr w:type="gramEnd"/>
      <w:r w:rsidRPr="00EB04F1">
        <w:rPr>
          <w:strike/>
          <w:szCs w:val="24"/>
          <w:lang w:val="en-GB" w:eastAsia="en-US"/>
        </w:rPr>
        <w:t>, augu vai koku audzēšanā izmantot konkrētajai vietai pielāgotas sugas, ja tā var novērst augsnes degradāciju vai palīdzēt uzlabot augsnes veselību, ņemot vērā arī pielāgošanos klimata pārmaiņām;</w:t>
      </w:r>
    </w:p>
    <w:p w14:paraId="2659F651"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(i)</w:t>
      </w:r>
      <w:r w:rsidRPr="00EB04F1">
        <w:rPr>
          <w:szCs w:val="24"/>
          <w:lang w:val="en-GB" w:eastAsia="en-US"/>
        </w:rPr>
        <w:tab/>
      </w:r>
      <w:proofErr w:type="gramStart"/>
      <w:r w:rsidRPr="00EB04F1">
        <w:rPr>
          <w:strike/>
          <w:szCs w:val="24"/>
          <w:lang w:val="en-GB" w:eastAsia="en-US"/>
        </w:rPr>
        <w:t>nodrošināt</w:t>
      </w:r>
      <w:proofErr w:type="gramEnd"/>
      <w:r w:rsidRPr="00EB04F1">
        <w:rPr>
          <w:strike/>
          <w:szCs w:val="24"/>
          <w:lang w:val="en-GB" w:eastAsia="en-US"/>
        </w:rPr>
        <w:t xml:space="preserve"> optimālu ūdens līmeni organiskās augsnēs tā, lai netiktu negatīvi ietekmēta šādu augšņu struktūra un sastāvs</w:t>
      </w:r>
      <w:r w:rsidRPr="00EB04F1">
        <w:rPr>
          <w:szCs w:val="24"/>
          <w:vertAlign w:val="superscript"/>
          <w:lang w:val="en-GB" w:eastAsia="en-US"/>
        </w:rPr>
        <w:footnoteReference w:customMarkFollows="1" w:id="76"/>
        <w:t>3</w:t>
      </w:r>
      <w:r w:rsidRPr="00EB04F1">
        <w:rPr>
          <w:strike/>
          <w:szCs w:val="24"/>
          <w:lang w:val="en-GB" w:eastAsia="en-US"/>
        </w:rPr>
        <w:t>;</w:t>
      </w:r>
    </w:p>
    <w:p w14:paraId="644B5724"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lastRenderedPageBreak/>
        <w:t>(j)</w:t>
      </w:r>
      <w:r w:rsidRPr="00EB04F1">
        <w:rPr>
          <w:szCs w:val="24"/>
          <w:lang w:val="en-GB" w:eastAsia="en-US"/>
        </w:rPr>
        <w:tab/>
      </w:r>
      <w:proofErr w:type="gramStart"/>
      <w:r w:rsidRPr="00EB04F1">
        <w:rPr>
          <w:strike/>
          <w:szCs w:val="24"/>
          <w:lang w:val="en-GB" w:eastAsia="en-US"/>
        </w:rPr>
        <w:t>kultūraugu</w:t>
      </w:r>
      <w:proofErr w:type="gramEnd"/>
      <w:r w:rsidRPr="00EB04F1">
        <w:rPr>
          <w:strike/>
          <w:szCs w:val="24"/>
          <w:lang w:val="en-GB" w:eastAsia="en-US"/>
        </w:rPr>
        <w:t xml:space="preserve"> audzēšanas gadījumā nodrošināt augseku un kultūru daudzveidību, ņemot vērā dažādas kultūraugu dzimtas, sakņu sistēmas, ūdens un barības vielu vajadzības un integrēto augu aizsardzību;</w:t>
      </w:r>
    </w:p>
    <w:p w14:paraId="395AF87D" w14:textId="77777777" w:rsidR="00DA4F3E" w:rsidRPr="00EB04F1" w:rsidRDefault="00DA4F3E" w:rsidP="00DA4F3E">
      <w:pPr>
        <w:spacing w:before="120" w:after="120" w:line="360" w:lineRule="auto"/>
        <w:ind w:left="850" w:hanging="850"/>
        <w:rPr>
          <w:szCs w:val="24"/>
          <w:lang w:val="en-GB" w:eastAsia="en-US"/>
        </w:rPr>
      </w:pPr>
      <w:r w:rsidRPr="00EB04F1">
        <w:rPr>
          <w:strike/>
          <w:szCs w:val="24"/>
          <w:lang w:val="en-GB" w:eastAsia="en-US"/>
        </w:rPr>
        <w:t>(k)</w:t>
      </w:r>
      <w:r w:rsidRPr="00EB04F1">
        <w:rPr>
          <w:szCs w:val="24"/>
          <w:lang w:val="en-GB" w:eastAsia="en-US"/>
        </w:rPr>
        <w:tab/>
      </w:r>
      <w:proofErr w:type="gramStart"/>
      <w:r w:rsidRPr="00EB04F1">
        <w:rPr>
          <w:strike/>
          <w:szCs w:val="24"/>
          <w:lang w:val="en-GB" w:eastAsia="en-US"/>
        </w:rPr>
        <w:t>ņemot</w:t>
      </w:r>
      <w:proofErr w:type="gramEnd"/>
      <w:r w:rsidRPr="00EB04F1">
        <w:rPr>
          <w:strike/>
          <w:szCs w:val="24"/>
          <w:lang w:val="en-GB" w:eastAsia="en-US"/>
        </w:rPr>
        <w:t xml:space="preserve"> vērā dzīvnieku veidu un ganāmpulka blīvumu, lauksaimniecības dzīvnieku kustību un ganīšanās laiku pielāgot tā, lai netiktu apdraudēta augsnes veselība un netiktu samazināta augsnes spēja nodrošināt rupjo lopbarību;</w:t>
      </w:r>
    </w:p>
    <w:p w14:paraId="5E99E8C6" w14:textId="1E0289E7" w:rsidR="00DA4F3E" w:rsidRPr="00EB04F1" w:rsidRDefault="00DA4F3E" w:rsidP="00A95837">
      <w:pPr>
        <w:spacing w:before="120" w:after="120" w:line="360" w:lineRule="auto"/>
        <w:ind w:left="850" w:hanging="850"/>
        <w:rPr>
          <w:b/>
          <w:szCs w:val="24"/>
          <w:lang w:val="en-GB" w:eastAsia="en-US"/>
        </w:rPr>
      </w:pPr>
      <w:r w:rsidRPr="00EB04F1">
        <w:rPr>
          <w:strike/>
          <w:szCs w:val="24"/>
          <w:lang w:val="en-GB" w:eastAsia="en-US"/>
        </w:rPr>
        <w:t>(l)</w:t>
      </w:r>
      <w:r w:rsidRPr="00EB04F1">
        <w:rPr>
          <w:szCs w:val="24"/>
          <w:lang w:val="en-GB" w:eastAsia="en-US"/>
        </w:rPr>
        <w:tab/>
      </w:r>
      <w:proofErr w:type="gramStart"/>
      <w:r w:rsidRPr="00EB04F1">
        <w:rPr>
          <w:strike/>
          <w:szCs w:val="24"/>
          <w:lang w:val="en-GB" w:eastAsia="en-US"/>
        </w:rPr>
        <w:t>ja</w:t>
      </w:r>
      <w:proofErr w:type="gramEnd"/>
      <w:r w:rsidRPr="00EB04F1">
        <w:rPr>
          <w:strike/>
          <w:szCs w:val="24"/>
          <w:lang w:val="en-GB" w:eastAsia="en-US"/>
        </w:rPr>
        <w:t xml:space="preserve"> ir zināms, ka tiek nesamērīgi zaudēta viena vai vairākas funkcijas, kas ievērojami samazina augsnes spēju nodrošināt ekosistēmu pakalpojumus, veic mērķorientētus pasākumus šo augsnes funkciju atjaunošanai.</w:t>
      </w:r>
      <w:r w:rsidR="00A95837" w:rsidRPr="00EB04F1">
        <w:rPr>
          <w:b/>
          <w:szCs w:val="24"/>
          <w:lang w:val="en-GB" w:eastAsia="en-US"/>
        </w:rPr>
        <w:t xml:space="preserve"> [Gr. 260]</w:t>
      </w:r>
    </w:p>
    <w:p w14:paraId="62711305" w14:textId="26F3982F" w:rsidR="00A95837" w:rsidRPr="00EB04F1" w:rsidRDefault="00A95837" w:rsidP="00A95837">
      <w:pPr>
        <w:spacing w:before="120" w:after="120" w:line="360" w:lineRule="auto"/>
        <w:ind w:left="850" w:hanging="850"/>
        <w:rPr>
          <w:b/>
          <w:szCs w:val="24"/>
          <w:lang w:val="en-GB" w:eastAsia="en-US"/>
        </w:rPr>
      </w:pPr>
    </w:p>
    <w:p w14:paraId="6A221618" w14:textId="77777777" w:rsidR="00A95837" w:rsidRPr="00EB04F1" w:rsidRDefault="00A95837" w:rsidP="00A95837">
      <w:pPr>
        <w:spacing w:before="120" w:after="120" w:line="360" w:lineRule="auto"/>
        <w:ind w:left="850" w:hanging="850"/>
        <w:rPr>
          <w:b/>
          <w:szCs w:val="24"/>
          <w:lang w:val="en-GB" w:eastAsia="en-US"/>
        </w:rPr>
        <w:sectPr w:rsidR="00A95837" w:rsidRPr="00EB04F1">
          <w:footnotePr>
            <w:numRestart w:val="eachSect"/>
          </w:footnotePr>
          <w:pgSz w:w="11909" w:h="16834"/>
          <w:pgMar w:top="1134" w:right="1417" w:bottom="1417" w:left="1417" w:header="1134" w:footer="567" w:gutter="0"/>
          <w:cols w:space="720"/>
        </w:sectPr>
      </w:pPr>
    </w:p>
    <w:p w14:paraId="5183E7FE" w14:textId="77777777" w:rsidR="00DA4F3E" w:rsidRPr="00EB04F1" w:rsidRDefault="00DA4F3E" w:rsidP="00DA4F3E">
      <w:pPr>
        <w:spacing w:before="120" w:after="120" w:line="360" w:lineRule="auto"/>
        <w:rPr>
          <w:szCs w:val="24"/>
          <w:lang w:val="en-GB" w:eastAsia="en-US"/>
        </w:rPr>
      </w:pPr>
    </w:p>
    <w:p w14:paraId="4C67E2F9" w14:textId="77777777" w:rsidR="00DA4F3E" w:rsidRPr="00EB04F1" w:rsidRDefault="00DA4F3E" w:rsidP="00DA4F3E">
      <w:pPr>
        <w:spacing w:before="120" w:after="120" w:line="360" w:lineRule="auto"/>
        <w:jc w:val="center"/>
        <w:rPr>
          <w:lang w:val="en-GB" w:eastAsia="en-US"/>
        </w:rPr>
      </w:pPr>
      <w:r w:rsidRPr="00EB04F1">
        <w:rPr>
          <w:lang w:val="en-GB" w:eastAsia="en-US"/>
        </w:rPr>
        <w:t>IV PIELIKUMS</w:t>
      </w:r>
    </w:p>
    <w:p w14:paraId="487B5348" w14:textId="38B67A73" w:rsidR="00DA4F3E" w:rsidRPr="00EB04F1" w:rsidRDefault="00DA4F3E" w:rsidP="00DA4F3E">
      <w:pPr>
        <w:spacing w:before="120" w:after="120" w:line="360" w:lineRule="auto"/>
        <w:jc w:val="center"/>
        <w:rPr>
          <w:szCs w:val="24"/>
          <w:lang w:val="en-GB" w:eastAsia="en-US"/>
        </w:rPr>
      </w:pPr>
      <w:r w:rsidRPr="00EB04F1">
        <w:rPr>
          <w:szCs w:val="24"/>
          <w:lang w:val="en-GB" w:eastAsia="en-US"/>
        </w:rPr>
        <w:t xml:space="preserve">PROGRAMMAS, PLĀNI, MĒRĶRĀDĪTĀJI UN PASĀKUMI, KAS MINĒTI 10. PANTĀ </w:t>
      </w:r>
    </w:p>
    <w:p w14:paraId="3E36CF6B" w14:textId="7DD7AD0A" w:rsidR="00DA4F3E" w:rsidRPr="00EB04F1" w:rsidRDefault="00DA4F3E" w:rsidP="00DA4F3E">
      <w:pPr>
        <w:spacing w:before="120" w:after="120" w:line="360" w:lineRule="auto"/>
        <w:rPr>
          <w:b/>
          <w:szCs w:val="24"/>
          <w:lang w:val="en-GB" w:eastAsia="en-US"/>
        </w:rPr>
      </w:pPr>
      <w:r w:rsidRPr="00EB04F1">
        <w:rPr>
          <w:b/>
          <w:i/>
          <w:szCs w:val="24"/>
          <w:lang w:val="en-GB" w:eastAsia="en-US"/>
        </w:rPr>
        <w:t xml:space="preserve">Ņem </w:t>
      </w:r>
      <w:proofErr w:type="gramStart"/>
      <w:r w:rsidRPr="00EB04F1">
        <w:rPr>
          <w:b/>
          <w:i/>
          <w:szCs w:val="24"/>
          <w:lang w:val="en-GB" w:eastAsia="en-US"/>
        </w:rPr>
        <w:t>vērā</w:t>
      </w:r>
      <w:proofErr w:type="gramEnd"/>
      <w:r w:rsidRPr="00EB04F1">
        <w:rPr>
          <w:b/>
          <w:i/>
          <w:szCs w:val="24"/>
          <w:lang w:val="en-GB" w:eastAsia="en-US"/>
        </w:rPr>
        <w:t xml:space="preserve"> šādu indikatīvu sarakstu, kurā norādītas programmas, plāni, ērķrādītāji un pasākumi:</w:t>
      </w:r>
      <w:r w:rsidR="00A95837" w:rsidRPr="00EB04F1">
        <w:rPr>
          <w:b/>
          <w:szCs w:val="24"/>
          <w:lang w:val="en-GB" w:eastAsia="en-US"/>
        </w:rPr>
        <w:t xml:space="preserve"> [Gr. 214]</w:t>
      </w:r>
    </w:p>
    <w:p w14:paraId="57C002AD"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(1)</w:t>
      </w:r>
      <w:r w:rsidRPr="00EB04F1">
        <w:rPr>
          <w:szCs w:val="24"/>
          <w:lang w:val="en-GB" w:eastAsia="en-US"/>
        </w:rPr>
        <w:tab/>
        <w:t>Nacionālie atjaunošanas plāni, kas sagatavoti saskaņā ar Regulu …/…</w:t>
      </w:r>
      <w:r w:rsidRPr="00EB04F1">
        <w:rPr>
          <w:szCs w:val="24"/>
          <w:vertAlign w:val="superscript"/>
          <w:lang w:val="en-GB" w:eastAsia="en-US"/>
        </w:rPr>
        <w:footnoteReference w:customMarkFollows="1" w:id="77"/>
        <w:t>1</w:t>
      </w:r>
      <w:r w:rsidRPr="00EB04F1">
        <w:rPr>
          <w:szCs w:val="24"/>
          <w:lang w:val="en-GB" w:eastAsia="en-US"/>
        </w:rPr>
        <w:t>+.</w:t>
      </w:r>
    </w:p>
    <w:p w14:paraId="7C3399A2"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(2)</w:t>
      </w:r>
      <w:r w:rsidRPr="00EB04F1">
        <w:rPr>
          <w:szCs w:val="24"/>
          <w:lang w:val="en-GB" w:eastAsia="en-US"/>
        </w:rPr>
        <w:tab/>
        <w:t>Stratēģiskie plāni, kas dalībvalstīm jāizstrādā kopējās lauksaimniecības politikas ietvaros saskaņā ar Regulu (ES) 2021/2115.</w:t>
      </w:r>
    </w:p>
    <w:p w14:paraId="6299E68B"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(3)</w:t>
      </w:r>
      <w:r w:rsidRPr="00EB04F1">
        <w:rPr>
          <w:szCs w:val="24"/>
          <w:lang w:val="en-GB" w:eastAsia="en-US"/>
        </w:rPr>
        <w:tab/>
        <w:t xml:space="preserve">Labas lauksaimniecības prakses kodekss </w:t>
      </w:r>
      <w:proofErr w:type="gramStart"/>
      <w:r w:rsidRPr="00EB04F1">
        <w:rPr>
          <w:szCs w:val="24"/>
          <w:lang w:val="en-GB" w:eastAsia="en-US"/>
        </w:rPr>
        <w:t>un</w:t>
      </w:r>
      <w:proofErr w:type="gramEnd"/>
      <w:r w:rsidRPr="00EB04F1">
        <w:rPr>
          <w:szCs w:val="24"/>
          <w:lang w:val="en-GB" w:eastAsia="en-US"/>
        </w:rPr>
        <w:t xml:space="preserve"> īpaši jutīgu zonu rīcības programmas, kas pieņemtas saskaņā ar Direktīvu 91/676/EEK.</w:t>
      </w:r>
    </w:p>
    <w:p w14:paraId="452E44BA"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(4)</w:t>
      </w:r>
      <w:r w:rsidRPr="00EB04F1">
        <w:rPr>
          <w:szCs w:val="24"/>
          <w:lang w:val="en-GB" w:eastAsia="en-US"/>
        </w:rPr>
        <w:tab/>
        <w:t xml:space="preserve">Aizsardzības pasākumi </w:t>
      </w:r>
      <w:proofErr w:type="gramStart"/>
      <w:r w:rsidRPr="00EB04F1">
        <w:rPr>
          <w:szCs w:val="24"/>
          <w:lang w:val="en-GB" w:eastAsia="en-US"/>
        </w:rPr>
        <w:t>un</w:t>
      </w:r>
      <w:proofErr w:type="gramEnd"/>
      <w:r w:rsidRPr="00EB04F1">
        <w:rPr>
          <w:szCs w:val="24"/>
          <w:lang w:val="en-GB" w:eastAsia="en-US"/>
        </w:rPr>
        <w:t xml:space="preserve"> prioritārās rīcības plāns, kas Natura 2000 teritorijām izveidots saskaņā ar Direktīvu 92/43/EEK.</w:t>
      </w:r>
    </w:p>
    <w:p w14:paraId="1B0F726F"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(5)</w:t>
      </w:r>
      <w:r w:rsidRPr="00EB04F1">
        <w:rPr>
          <w:szCs w:val="24"/>
          <w:lang w:val="en-GB" w:eastAsia="en-US"/>
        </w:rPr>
        <w:tab/>
        <w:t xml:space="preserve">Pasākumi ar mērķi panākt labu virszemes ūdensobjektu ekoloģisko stāvokli </w:t>
      </w:r>
      <w:proofErr w:type="gramStart"/>
      <w:r w:rsidRPr="00EB04F1">
        <w:rPr>
          <w:szCs w:val="24"/>
          <w:lang w:val="en-GB" w:eastAsia="en-US"/>
        </w:rPr>
        <w:t>un</w:t>
      </w:r>
      <w:proofErr w:type="gramEnd"/>
      <w:r w:rsidRPr="00EB04F1">
        <w:rPr>
          <w:szCs w:val="24"/>
          <w:lang w:val="en-GB" w:eastAsia="en-US"/>
        </w:rPr>
        <w:t xml:space="preserve"> ķīmiskās kvalitātes rādītājus un labus pazemes ūdensobjektu ķīmiskos un kvantitatīvos rādītājus, kas iekļauti upju baseinu apsaimniekošanas plānos, kuri sagatavoti saskaņā ar Direktīvu 2000/60/EK.</w:t>
      </w:r>
    </w:p>
    <w:p w14:paraId="3AA5BE27"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(6)</w:t>
      </w:r>
      <w:r w:rsidRPr="00EB04F1">
        <w:rPr>
          <w:szCs w:val="24"/>
          <w:lang w:val="en-GB" w:eastAsia="en-US"/>
        </w:rPr>
        <w:tab/>
        <w:t>Plūdu riska pārvaldības pasākumi, kas iekļauti plūdu riska pārvaldības plānos, kuri sagatavoti saskaņā ar Direktīvu 2007/60/EK.</w:t>
      </w:r>
    </w:p>
    <w:p w14:paraId="037CAFFE"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(7)</w:t>
      </w:r>
      <w:r w:rsidRPr="00EB04F1">
        <w:rPr>
          <w:szCs w:val="24"/>
          <w:lang w:val="en-GB" w:eastAsia="en-US"/>
        </w:rPr>
        <w:tab/>
        <w:t>Sausuma pārvaldības plāni, kas minēti Savienības Klimatadaptācijas stratēģijā.</w:t>
      </w:r>
    </w:p>
    <w:p w14:paraId="6178643C"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(8)</w:t>
      </w:r>
      <w:r w:rsidRPr="00EB04F1">
        <w:rPr>
          <w:szCs w:val="24"/>
          <w:lang w:val="en-GB" w:eastAsia="en-US"/>
        </w:rPr>
        <w:tab/>
        <w:t>Nacionālās rīcības programmas, kas izveidotas saskaņā ar Apvienoto Nāciju Organizācijas Konvenciju par cīņu pret pārtuksnešošanos.</w:t>
      </w:r>
    </w:p>
    <w:p w14:paraId="62AA3E24" w14:textId="1704183F" w:rsidR="00DA4F3E" w:rsidRPr="00EB04F1" w:rsidRDefault="00A95837" w:rsidP="00A95837">
      <w:pPr>
        <w:spacing w:before="120" w:after="120" w:line="360" w:lineRule="auto"/>
        <w:ind w:left="850" w:hanging="850"/>
        <w:rPr>
          <w:b/>
          <w:szCs w:val="24"/>
          <w:lang w:val="en-GB" w:eastAsia="en-US"/>
        </w:rPr>
      </w:pPr>
      <w:r w:rsidRPr="00EB04F1">
        <w:rPr>
          <w:b/>
          <w:i/>
          <w:szCs w:val="24"/>
          <w:lang w:eastAsia="en-US"/>
        </w:rPr>
        <w:t>(8a)</w:t>
      </w:r>
      <w:r w:rsidRPr="00EB04F1">
        <w:rPr>
          <w:szCs w:val="24"/>
          <w:lang w:eastAsia="en-US"/>
        </w:rPr>
        <w:tab/>
      </w:r>
      <w:r w:rsidR="00DA4F3E" w:rsidRPr="00EB04F1">
        <w:rPr>
          <w:b/>
          <w:i/>
          <w:szCs w:val="24"/>
          <w:lang w:val="en-GB" w:eastAsia="en-US"/>
        </w:rPr>
        <w:t xml:space="preserve">Nacionālās biodaudzveidības stratēģijas un rīcības plāni, kas izstrādāti saskaņā ar Apvienoto Nāciju Organizācijas Biodaudzveidības konvencijas 6. </w:t>
      </w:r>
      <w:proofErr w:type="gramStart"/>
      <w:r w:rsidR="00DA4F3E" w:rsidRPr="00EB04F1">
        <w:rPr>
          <w:b/>
          <w:i/>
          <w:szCs w:val="24"/>
          <w:lang w:val="en-GB" w:eastAsia="en-US"/>
        </w:rPr>
        <w:t>pantu</w:t>
      </w:r>
      <w:proofErr w:type="gramEnd"/>
      <w:r w:rsidR="00DA4F3E" w:rsidRPr="00EB04F1">
        <w:rPr>
          <w:b/>
          <w:i/>
          <w:szCs w:val="24"/>
          <w:lang w:val="en-GB" w:eastAsia="en-US"/>
        </w:rPr>
        <w:t>.</w:t>
      </w:r>
      <w:r w:rsidRPr="00EB04F1">
        <w:rPr>
          <w:b/>
          <w:szCs w:val="24"/>
          <w:lang w:val="en-GB" w:eastAsia="en-US"/>
        </w:rPr>
        <w:t xml:space="preserve"> [Gr. 215]</w:t>
      </w:r>
    </w:p>
    <w:p w14:paraId="381EDDF2"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(9)</w:t>
      </w:r>
      <w:r w:rsidRPr="00EB04F1">
        <w:rPr>
          <w:szCs w:val="24"/>
          <w:lang w:val="en-GB" w:eastAsia="en-US"/>
        </w:rPr>
        <w:tab/>
        <w:t>Regulā (ES) 2018/841 noteiktie mērķrādītāji.</w:t>
      </w:r>
    </w:p>
    <w:p w14:paraId="133551DA"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(10)</w:t>
      </w:r>
      <w:r w:rsidRPr="00EB04F1">
        <w:rPr>
          <w:szCs w:val="24"/>
          <w:lang w:val="en-GB" w:eastAsia="en-US"/>
        </w:rPr>
        <w:tab/>
        <w:t>Regulā (ES) 2018/842 noteiktie mērķrādītāji.</w:t>
      </w:r>
    </w:p>
    <w:p w14:paraId="7F91CFDD"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(11)</w:t>
      </w:r>
      <w:r w:rsidRPr="00EB04F1">
        <w:rPr>
          <w:szCs w:val="24"/>
          <w:lang w:val="en-GB" w:eastAsia="en-US"/>
        </w:rPr>
        <w:tab/>
        <w:t xml:space="preserve">Valsts gaisa piesārņojuma ierobežošanas programmas, kas sagatavotas saskaņā ar Direktīvu (ES) 2016/2284, </w:t>
      </w:r>
      <w:proofErr w:type="gramStart"/>
      <w:r w:rsidRPr="00EB04F1">
        <w:rPr>
          <w:szCs w:val="24"/>
          <w:lang w:val="en-GB" w:eastAsia="en-US"/>
        </w:rPr>
        <w:t>un</w:t>
      </w:r>
      <w:proofErr w:type="gramEnd"/>
      <w:r w:rsidRPr="00EB04F1">
        <w:rPr>
          <w:szCs w:val="24"/>
          <w:lang w:val="en-GB" w:eastAsia="en-US"/>
        </w:rPr>
        <w:t xml:space="preserve"> monitoringa dati par gaisa piesārņojuma ietekmi uz </w:t>
      </w:r>
      <w:r w:rsidRPr="00EB04F1">
        <w:rPr>
          <w:szCs w:val="24"/>
          <w:lang w:val="en-GB" w:eastAsia="en-US"/>
        </w:rPr>
        <w:lastRenderedPageBreak/>
        <w:t>ekosistēmām, kas ziņoti saskaņā ar minēto direktīvu.</w:t>
      </w:r>
    </w:p>
    <w:p w14:paraId="17E04FEB"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(12)</w:t>
      </w:r>
      <w:r w:rsidRPr="00EB04F1">
        <w:rPr>
          <w:szCs w:val="24"/>
          <w:lang w:val="en-GB" w:eastAsia="en-US"/>
        </w:rPr>
        <w:tab/>
        <w:t xml:space="preserve">Integrētais nacionālais enerģētikas </w:t>
      </w:r>
      <w:proofErr w:type="gramStart"/>
      <w:r w:rsidRPr="00EB04F1">
        <w:rPr>
          <w:szCs w:val="24"/>
          <w:lang w:val="en-GB" w:eastAsia="en-US"/>
        </w:rPr>
        <w:t>un</w:t>
      </w:r>
      <w:proofErr w:type="gramEnd"/>
      <w:r w:rsidRPr="00EB04F1">
        <w:rPr>
          <w:szCs w:val="24"/>
          <w:lang w:val="en-GB" w:eastAsia="en-US"/>
        </w:rPr>
        <w:t xml:space="preserve"> klimata plāns, kas izveidots saskaņā ar Regulu (ES) 2018/1999.</w:t>
      </w:r>
    </w:p>
    <w:p w14:paraId="13669CF3"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(13)</w:t>
      </w:r>
      <w:r w:rsidRPr="00EB04F1">
        <w:rPr>
          <w:szCs w:val="24"/>
          <w:lang w:val="en-GB" w:eastAsia="en-US"/>
        </w:rPr>
        <w:tab/>
        <w:t xml:space="preserve">Riska novērtējumi </w:t>
      </w:r>
      <w:proofErr w:type="gramStart"/>
      <w:r w:rsidRPr="00EB04F1">
        <w:rPr>
          <w:szCs w:val="24"/>
          <w:lang w:val="en-GB" w:eastAsia="en-US"/>
        </w:rPr>
        <w:t>un</w:t>
      </w:r>
      <w:proofErr w:type="gramEnd"/>
      <w:r w:rsidRPr="00EB04F1">
        <w:rPr>
          <w:szCs w:val="24"/>
          <w:lang w:val="en-GB" w:eastAsia="en-US"/>
        </w:rPr>
        <w:t xml:space="preserve"> katastrofu riska pārvaldības plānošana saskaņā ar Lēmumu Nr. 1313/2013/ES.</w:t>
      </w:r>
    </w:p>
    <w:p w14:paraId="629FE10E" w14:textId="37185E0F" w:rsidR="00DA4F3E" w:rsidRPr="00EB04F1" w:rsidRDefault="00DA4F3E" w:rsidP="00DA4F3E">
      <w:pPr>
        <w:spacing w:before="120" w:after="120" w:line="360" w:lineRule="auto"/>
        <w:ind w:left="850" w:hanging="850"/>
        <w:rPr>
          <w:b/>
          <w:szCs w:val="24"/>
          <w:lang w:val="en-GB" w:eastAsia="en-US"/>
        </w:rPr>
      </w:pPr>
      <w:r w:rsidRPr="00EB04F1">
        <w:rPr>
          <w:szCs w:val="24"/>
          <w:lang w:val="en-GB" w:eastAsia="en-US"/>
        </w:rPr>
        <w:t>(14)</w:t>
      </w:r>
      <w:r w:rsidRPr="00EB04F1">
        <w:rPr>
          <w:szCs w:val="24"/>
          <w:lang w:val="en-GB" w:eastAsia="en-US"/>
        </w:rPr>
        <w:tab/>
        <w:t xml:space="preserve">Valsts rīcības plāni, kas sagatavoti saskaņā ar </w:t>
      </w:r>
      <w:r w:rsidRPr="00EB04F1">
        <w:rPr>
          <w:strike/>
          <w:szCs w:val="24"/>
          <w:lang w:val="en-GB" w:eastAsia="en-US"/>
        </w:rPr>
        <w:t>Regulas …/…</w:t>
      </w:r>
      <w:r w:rsidRPr="00EB04F1">
        <w:rPr>
          <w:szCs w:val="24"/>
          <w:vertAlign w:val="superscript"/>
          <w:lang w:val="en-GB" w:eastAsia="en-US"/>
        </w:rPr>
        <w:footnoteReference w:customMarkFollows="1" w:id="78"/>
        <w:t>2</w:t>
      </w:r>
      <w:r w:rsidRPr="00EB04F1">
        <w:rPr>
          <w:strike/>
          <w:szCs w:val="24"/>
          <w:lang w:val="en-GB" w:eastAsia="en-US"/>
        </w:rPr>
        <w:t>+ 8</w:t>
      </w:r>
      <w:r w:rsidRPr="00EB04F1">
        <w:rPr>
          <w:b/>
          <w:i/>
          <w:szCs w:val="24"/>
          <w:lang w:val="en-GB" w:eastAsia="en-US"/>
        </w:rPr>
        <w:t>Direktīvas 2009/128/EK 4</w:t>
      </w:r>
      <w:r w:rsidRPr="00EB04F1">
        <w:rPr>
          <w:szCs w:val="24"/>
          <w:lang w:val="en-GB" w:eastAsia="en-US"/>
        </w:rPr>
        <w:t xml:space="preserve">. </w:t>
      </w:r>
      <w:proofErr w:type="gramStart"/>
      <w:r w:rsidRPr="00EB04F1">
        <w:rPr>
          <w:szCs w:val="24"/>
          <w:lang w:val="en-GB" w:eastAsia="en-US"/>
        </w:rPr>
        <w:t>pantu</w:t>
      </w:r>
      <w:proofErr w:type="gramEnd"/>
      <w:r w:rsidRPr="00EB04F1">
        <w:rPr>
          <w:szCs w:val="24"/>
          <w:lang w:val="en-GB" w:eastAsia="en-US"/>
        </w:rPr>
        <w:t>.</w:t>
      </w:r>
      <w:r w:rsidR="00A95837" w:rsidRPr="00EB04F1">
        <w:rPr>
          <w:b/>
          <w:szCs w:val="24"/>
          <w:lang w:val="en-GB" w:eastAsia="en-US"/>
        </w:rPr>
        <w:t xml:space="preserve"> [Gr. 216]</w:t>
      </w:r>
    </w:p>
    <w:p w14:paraId="2A89BA91" w14:textId="77777777" w:rsidR="00DA4F3E" w:rsidRPr="00EB04F1" w:rsidRDefault="00DA4F3E" w:rsidP="00DA4F3E">
      <w:pPr>
        <w:spacing w:before="120" w:after="120" w:line="360" w:lineRule="auto"/>
        <w:rPr>
          <w:szCs w:val="24"/>
          <w:lang w:val="en-GB" w:eastAsia="en-US"/>
        </w:rPr>
        <w:sectPr w:rsidR="00DA4F3E" w:rsidRPr="00EB04F1">
          <w:footnotePr>
            <w:numRestart w:val="eachSect"/>
          </w:footnotePr>
          <w:pgSz w:w="11909" w:h="16834"/>
          <w:pgMar w:top="1134" w:right="1417" w:bottom="1417" w:left="1417" w:header="1134" w:footer="567" w:gutter="0"/>
          <w:cols w:space="720"/>
        </w:sectPr>
      </w:pPr>
    </w:p>
    <w:p w14:paraId="00C71669" w14:textId="77777777" w:rsidR="00DA4F3E" w:rsidRPr="00EB04F1" w:rsidRDefault="00DA4F3E" w:rsidP="00DA4F3E">
      <w:pPr>
        <w:spacing w:before="120" w:after="120" w:line="360" w:lineRule="auto"/>
        <w:rPr>
          <w:szCs w:val="24"/>
          <w:lang w:val="en-GB" w:eastAsia="en-US"/>
        </w:rPr>
      </w:pPr>
    </w:p>
    <w:p w14:paraId="70B3636D" w14:textId="77777777" w:rsidR="00DA4F3E" w:rsidRPr="00EB04F1" w:rsidRDefault="00DA4F3E" w:rsidP="00DA4F3E">
      <w:pPr>
        <w:spacing w:before="120" w:after="120" w:line="360" w:lineRule="auto"/>
        <w:jc w:val="center"/>
        <w:rPr>
          <w:lang w:val="en-GB" w:eastAsia="en-US"/>
        </w:rPr>
      </w:pPr>
      <w:r w:rsidRPr="00EB04F1">
        <w:rPr>
          <w:lang w:val="en-GB" w:eastAsia="en-US"/>
        </w:rPr>
        <w:t>V PIELIKUMS</w:t>
      </w:r>
    </w:p>
    <w:p w14:paraId="2CFA5006" w14:textId="0AE0D8F4" w:rsidR="00DA4F3E" w:rsidRPr="00EB04F1" w:rsidRDefault="00DA4F3E" w:rsidP="00DA4F3E">
      <w:pPr>
        <w:spacing w:before="120" w:after="120" w:line="360" w:lineRule="auto"/>
        <w:jc w:val="center"/>
        <w:rPr>
          <w:szCs w:val="24"/>
          <w:lang w:val="en-GB" w:eastAsia="en-US"/>
        </w:rPr>
      </w:pPr>
      <w:r w:rsidRPr="00EB04F1">
        <w:rPr>
          <w:szCs w:val="24"/>
          <w:lang w:val="en-GB" w:eastAsia="en-US"/>
        </w:rPr>
        <w:t>ORIENTĒJOŠS RISKA MAZINĀŠANAS PASĀKUMU SARAKSTS</w:t>
      </w:r>
    </w:p>
    <w:p w14:paraId="19DCCC20" w14:textId="77777777" w:rsidR="00DA4F3E" w:rsidRPr="00EB04F1" w:rsidRDefault="00DA4F3E" w:rsidP="00DA4F3E">
      <w:pPr>
        <w:spacing w:before="120" w:after="120" w:line="360" w:lineRule="auto"/>
        <w:ind w:left="850" w:hanging="850"/>
        <w:rPr>
          <w:szCs w:val="24"/>
          <w:lang w:val="en-GB" w:eastAsia="en-US"/>
        </w:rPr>
      </w:pPr>
      <w:r w:rsidRPr="00EB04F1">
        <w:rPr>
          <w:szCs w:val="24"/>
          <w:lang w:val="en-GB" w:eastAsia="en-US"/>
        </w:rPr>
        <w:t>(1)</w:t>
      </w:r>
      <w:r w:rsidRPr="00EB04F1">
        <w:rPr>
          <w:szCs w:val="24"/>
          <w:lang w:val="en-GB" w:eastAsia="en-US"/>
        </w:rPr>
        <w:tab/>
        <w:t>In situ vai ex situ remediācijas paņēmieni:</w:t>
      </w:r>
    </w:p>
    <w:p w14:paraId="468FA837" w14:textId="6EEFB05A" w:rsidR="00DA4F3E" w:rsidRPr="00EB04F1" w:rsidRDefault="00DA4F3E" w:rsidP="00DA4F3E">
      <w:pPr>
        <w:spacing w:before="120" w:after="120" w:line="360" w:lineRule="auto"/>
        <w:ind w:left="1416" w:hanging="566"/>
        <w:rPr>
          <w:szCs w:val="24"/>
          <w:lang w:val="en-GB" w:eastAsia="en-US"/>
        </w:rPr>
      </w:pPr>
      <w:r w:rsidRPr="00EB04F1">
        <w:rPr>
          <w:szCs w:val="24"/>
          <w:lang w:val="en-GB" w:eastAsia="en-US"/>
        </w:rPr>
        <w:t>a)</w:t>
      </w:r>
      <w:r w:rsidRPr="00EB04F1">
        <w:rPr>
          <w:szCs w:val="24"/>
          <w:lang w:val="en-GB" w:eastAsia="en-US"/>
        </w:rPr>
        <w:tab/>
      </w:r>
      <w:proofErr w:type="gramStart"/>
      <w:r w:rsidRPr="00EB04F1">
        <w:rPr>
          <w:szCs w:val="24"/>
          <w:lang w:val="en-GB" w:eastAsia="en-US"/>
        </w:rPr>
        <w:t>fiziskās</w:t>
      </w:r>
      <w:proofErr w:type="gramEnd"/>
      <w:r w:rsidRPr="00EB04F1">
        <w:rPr>
          <w:szCs w:val="24"/>
          <w:lang w:val="en-GB" w:eastAsia="en-US"/>
        </w:rPr>
        <w:t xml:space="preserve"> remediācijas paņēmieni:</w:t>
      </w:r>
    </w:p>
    <w:p w14:paraId="10350F7D" w14:textId="56C9C588" w:rsidR="00DA4F3E" w:rsidRPr="00EB04F1" w:rsidRDefault="00DA4F3E" w:rsidP="00DA4F3E">
      <w:pPr>
        <w:spacing w:before="120" w:after="120" w:line="360" w:lineRule="auto"/>
        <w:ind w:left="1982" w:hanging="566"/>
        <w:rPr>
          <w:szCs w:val="24"/>
          <w:lang w:val="en-GB" w:eastAsia="en-US"/>
        </w:rPr>
      </w:pPr>
      <w:r w:rsidRPr="00EB04F1">
        <w:rPr>
          <w:szCs w:val="24"/>
          <w:lang w:val="en-GB" w:eastAsia="en-US"/>
        </w:rPr>
        <w:t>a)</w:t>
      </w:r>
      <w:r w:rsidRPr="00EB04F1">
        <w:rPr>
          <w:szCs w:val="24"/>
          <w:lang w:val="en-GB" w:eastAsia="en-US"/>
        </w:rPr>
        <w:tab/>
      </w:r>
      <w:proofErr w:type="gramStart"/>
      <w:r w:rsidRPr="00EB04F1">
        <w:rPr>
          <w:szCs w:val="24"/>
          <w:lang w:val="en-GB" w:eastAsia="en-US"/>
        </w:rPr>
        <w:t>izgarojumu</w:t>
      </w:r>
      <w:proofErr w:type="gramEnd"/>
      <w:r w:rsidRPr="00EB04F1">
        <w:rPr>
          <w:szCs w:val="24"/>
          <w:lang w:val="en-GB" w:eastAsia="en-US"/>
        </w:rPr>
        <w:t xml:space="preserve"> ekstrahēšana, attīrīšana ar gaisu;</w:t>
      </w:r>
    </w:p>
    <w:p w14:paraId="5E9FE927" w14:textId="79A964B9" w:rsidR="00DA4F3E" w:rsidRPr="00EB04F1" w:rsidRDefault="00DA4F3E" w:rsidP="00DA4F3E">
      <w:pPr>
        <w:spacing w:before="120" w:after="120" w:line="360" w:lineRule="auto"/>
        <w:ind w:left="1982" w:hanging="566"/>
        <w:rPr>
          <w:szCs w:val="24"/>
          <w:lang w:val="en-GB" w:eastAsia="en-US"/>
        </w:rPr>
      </w:pPr>
      <w:r w:rsidRPr="00EB04F1">
        <w:rPr>
          <w:szCs w:val="24"/>
          <w:lang w:val="en-GB" w:eastAsia="en-US"/>
        </w:rPr>
        <w:t>b)</w:t>
      </w:r>
      <w:r w:rsidRPr="00EB04F1">
        <w:rPr>
          <w:szCs w:val="24"/>
          <w:lang w:val="en-GB" w:eastAsia="en-US"/>
        </w:rPr>
        <w:tab/>
      </w:r>
      <w:proofErr w:type="gramStart"/>
      <w:r w:rsidRPr="00EB04F1">
        <w:rPr>
          <w:szCs w:val="24"/>
          <w:lang w:val="en-GB" w:eastAsia="en-US"/>
        </w:rPr>
        <w:t>termiskā</w:t>
      </w:r>
      <w:proofErr w:type="gramEnd"/>
      <w:r w:rsidRPr="00EB04F1">
        <w:rPr>
          <w:szCs w:val="24"/>
          <w:lang w:val="en-GB" w:eastAsia="en-US"/>
        </w:rPr>
        <w:t xml:space="preserve"> apstrāde, tvaika inžekcija, termiskā desorbcija, vitrifikācija;</w:t>
      </w:r>
    </w:p>
    <w:p w14:paraId="37C06698" w14:textId="1499B0DA"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c)</w:t>
      </w:r>
      <w:r w:rsidRPr="00EB04F1">
        <w:rPr>
          <w:szCs w:val="24"/>
          <w:lang w:val="it-IT" w:eastAsia="en-US"/>
        </w:rPr>
        <w:tab/>
        <w:t>augsnes mazgāšana (ex situ) un skalošana (in situ);</w:t>
      </w:r>
    </w:p>
    <w:p w14:paraId="6B2C9E7F" w14:textId="33C7C598"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d)</w:t>
      </w:r>
      <w:r w:rsidRPr="00EB04F1">
        <w:rPr>
          <w:szCs w:val="24"/>
          <w:lang w:val="it-IT" w:eastAsia="en-US"/>
        </w:rPr>
        <w:tab/>
        <w:t>elektrokinētiskā ekstrakcija;</w:t>
      </w:r>
    </w:p>
    <w:p w14:paraId="29C960B4" w14:textId="4ABA5CCE"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e)</w:t>
      </w:r>
      <w:r w:rsidRPr="00EB04F1">
        <w:rPr>
          <w:szCs w:val="24"/>
          <w:lang w:val="it-IT" w:eastAsia="en-US"/>
        </w:rPr>
        <w:tab/>
        <w:t>šķidruma slāņa noņemšana;</w:t>
      </w:r>
    </w:p>
    <w:p w14:paraId="2D8FA8E4" w14:textId="6E95C2D4"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f)</w:t>
      </w:r>
      <w:r w:rsidRPr="00EB04F1">
        <w:rPr>
          <w:szCs w:val="24"/>
          <w:lang w:val="it-IT" w:eastAsia="en-US"/>
        </w:rPr>
        <w:tab/>
        <w:t>izrakšana un izgāšana;</w:t>
      </w:r>
    </w:p>
    <w:p w14:paraId="7B4F01F3" w14:textId="04A0942C"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b)</w:t>
      </w:r>
      <w:r w:rsidRPr="00EB04F1">
        <w:rPr>
          <w:szCs w:val="24"/>
          <w:lang w:val="it-IT" w:eastAsia="en-US"/>
        </w:rPr>
        <w:tab/>
        <w:t>bioloģiskās remediācijas paņēmieni:</w:t>
      </w:r>
    </w:p>
    <w:p w14:paraId="210AC04A" w14:textId="3B69E328"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a)</w:t>
      </w:r>
      <w:r w:rsidRPr="00EB04F1">
        <w:rPr>
          <w:szCs w:val="24"/>
          <w:lang w:val="it-IT" w:eastAsia="en-US"/>
        </w:rPr>
        <w:tab/>
        <w:t>aerobiskās vai anaerobiskās noārdīšanās stimulēšana: bioremediācija, biostimulācija, bioaugmentācija, bioventilēšana, bioiesmidzināšana;</w:t>
      </w:r>
    </w:p>
    <w:p w14:paraId="347F97D9" w14:textId="4D0DC63B"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b)</w:t>
      </w:r>
      <w:r w:rsidRPr="00EB04F1">
        <w:rPr>
          <w:szCs w:val="24"/>
          <w:lang w:val="it-IT" w:eastAsia="en-US"/>
        </w:rPr>
        <w:tab/>
        <w:t>fitoekstrakcija, fitovolatilizācija, fitodegradācija;</w:t>
      </w:r>
    </w:p>
    <w:p w14:paraId="1DF125D1" w14:textId="6868C663"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c)</w:t>
      </w:r>
      <w:r w:rsidRPr="00EB04F1">
        <w:rPr>
          <w:szCs w:val="24"/>
          <w:lang w:val="it-IT" w:eastAsia="en-US"/>
        </w:rPr>
        <w:tab/>
        <w:t>kompostēšana, augsnes ielabošana, dekontaminējoša iestrāde zemē (landfarming) un bioreaktoru sistēmas;</w:t>
      </w:r>
    </w:p>
    <w:p w14:paraId="47448F6D" w14:textId="1C41A900"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d)</w:t>
      </w:r>
      <w:r w:rsidRPr="00EB04F1">
        <w:rPr>
          <w:szCs w:val="24"/>
          <w:lang w:val="it-IT" w:eastAsia="en-US"/>
        </w:rPr>
        <w:tab/>
        <w:t>biofiltrācija, bioattīrīšanas mitrāji un biobedres;</w:t>
      </w:r>
    </w:p>
    <w:p w14:paraId="2C3F33E6" w14:textId="1DFD2BCF"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e)</w:t>
      </w:r>
      <w:r w:rsidRPr="00EB04F1">
        <w:rPr>
          <w:szCs w:val="24"/>
          <w:lang w:val="it-IT" w:eastAsia="en-US"/>
        </w:rPr>
        <w:tab/>
        <w:t>dabiska attīrīšanās;</w:t>
      </w:r>
    </w:p>
    <w:p w14:paraId="0FB6B63B" w14:textId="734B5671"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c)</w:t>
      </w:r>
      <w:r w:rsidR="00A95837" w:rsidRPr="00EB04F1">
        <w:rPr>
          <w:b/>
          <w:i/>
          <w:szCs w:val="24"/>
          <w:lang w:val="it-IT" w:eastAsia="en-US"/>
        </w:rPr>
        <w:tab/>
      </w:r>
      <w:r w:rsidRPr="00EB04F1">
        <w:rPr>
          <w:szCs w:val="24"/>
          <w:lang w:val="it-IT" w:eastAsia="en-US"/>
        </w:rPr>
        <w:t>ķīmiskās remediācijas paņēmieni:</w:t>
      </w:r>
    </w:p>
    <w:p w14:paraId="6F79A755" w14:textId="21CE6A3A"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a)</w:t>
      </w:r>
      <w:r w:rsidRPr="00EB04F1">
        <w:rPr>
          <w:szCs w:val="24"/>
          <w:lang w:val="it-IT" w:eastAsia="en-US"/>
        </w:rPr>
        <w:tab/>
        <w:t>ķīmiskās oksidēšanās reakcijas;</w:t>
      </w:r>
    </w:p>
    <w:p w14:paraId="29156709" w14:textId="06CE02A6"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b)</w:t>
      </w:r>
      <w:r w:rsidRPr="00EB04F1">
        <w:rPr>
          <w:szCs w:val="24"/>
          <w:lang w:val="it-IT" w:eastAsia="en-US"/>
        </w:rPr>
        <w:tab/>
        <w:t>ķīmiskās reducēšanās un reducēšanās–oksidēšanās reakcijas;</w:t>
      </w:r>
    </w:p>
    <w:p w14:paraId="351E8130" w14:textId="28484A09"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c)</w:t>
      </w:r>
      <w:r w:rsidR="00A95837" w:rsidRPr="00EB04F1">
        <w:rPr>
          <w:b/>
          <w:i/>
          <w:szCs w:val="24"/>
          <w:lang w:val="it-IT" w:eastAsia="en-US"/>
        </w:rPr>
        <w:tab/>
      </w:r>
      <w:r w:rsidRPr="00EB04F1">
        <w:rPr>
          <w:szCs w:val="24"/>
          <w:lang w:val="it-IT" w:eastAsia="en-US"/>
        </w:rPr>
        <w:t>pazemes ūdeņu izsūknēšana un attīrīšana;</w:t>
      </w:r>
    </w:p>
    <w:p w14:paraId="6E4EDBC3" w14:textId="70DA0E3C"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d)</w:t>
      </w:r>
      <w:r w:rsidRPr="00EB04F1">
        <w:rPr>
          <w:szCs w:val="24"/>
          <w:lang w:val="it-IT" w:eastAsia="en-US"/>
        </w:rPr>
        <w:tab/>
        <w:t>remediācijas paņēmieni, kas vērsti uz izolēšanu, ierobežošanu un monitoringu:</w:t>
      </w:r>
    </w:p>
    <w:p w14:paraId="6251B30F" w14:textId="54F16928"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a)</w:t>
      </w:r>
      <w:r w:rsidRPr="00EB04F1">
        <w:rPr>
          <w:szCs w:val="24"/>
          <w:lang w:val="it-IT" w:eastAsia="en-US"/>
        </w:rPr>
        <w:tab/>
        <w:t>virsmas pārklāšana, reaktīvās barjeras, iekapsulēšana;</w:t>
      </w:r>
    </w:p>
    <w:p w14:paraId="734F43F4" w14:textId="5D57F583"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b)</w:t>
      </w:r>
      <w:r w:rsidRPr="00EB04F1">
        <w:rPr>
          <w:szCs w:val="24"/>
          <w:lang w:val="it-IT" w:eastAsia="en-US"/>
        </w:rPr>
        <w:tab/>
        <w:t>ķīmiskā stabilizācija, sacietināšana un imobilizācija;</w:t>
      </w:r>
    </w:p>
    <w:p w14:paraId="42EECAFF" w14:textId="132EA5E2"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c)</w:t>
      </w:r>
      <w:r w:rsidRPr="00EB04F1">
        <w:rPr>
          <w:szCs w:val="24"/>
          <w:lang w:val="it-IT" w:eastAsia="en-US"/>
        </w:rPr>
        <w:tab/>
        <w:t>ģeohidroloģiskā izolēšana un ierobežošana;</w:t>
      </w:r>
    </w:p>
    <w:p w14:paraId="5DEE6D14" w14:textId="0B2A7EBE" w:rsidR="00DA4F3E" w:rsidRPr="00EB04F1" w:rsidRDefault="00345349" w:rsidP="00345349">
      <w:pPr>
        <w:spacing w:before="120" w:after="120" w:line="360" w:lineRule="auto"/>
        <w:ind w:left="1982" w:hanging="566"/>
        <w:rPr>
          <w:szCs w:val="24"/>
          <w:lang w:val="it-IT" w:eastAsia="en-US"/>
        </w:rPr>
      </w:pPr>
      <w:r>
        <w:rPr>
          <w:szCs w:val="24"/>
          <w:lang w:val="it-IT" w:eastAsia="en-US"/>
        </w:rPr>
        <w:lastRenderedPageBreak/>
        <w:t>d)</w:t>
      </w:r>
      <w:r>
        <w:rPr>
          <w:szCs w:val="24"/>
          <w:lang w:val="it-IT" w:eastAsia="en-US"/>
        </w:rPr>
        <w:tab/>
      </w:r>
      <w:bookmarkStart w:id="8" w:name="_GoBack"/>
      <w:bookmarkEnd w:id="8"/>
      <w:r w:rsidR="00DA4F3E" w:rsidRPr="00EB04F1">
        <w:rPr>
          <w:szCs w:val="24"/>
          <w:lang w:val="it-IT" w:eastAsia="en-US"/>
        </w:rPr>
        <w:t>fitostabilizācija;</w:t>
      </w:r>
    </w:p>
    <w:p w14:paraId="1EDB8D4E" w14:textId="5E0D6C17" w:rsidR="00DA4F3E" w:rsidRPr="00EB04F1" w:rsidRDefault="00DA4F3E" w:rsidP="00DA4F3E">
      <w:pPr>
        <w:spacing w:before="120" w:after="120" w:line="360" w:lineRule="auto"/>
        <w:ind w:left="1982" w:hanging="566"/>
        <w:rPr>
          <w:szCs w:val="24"/>
          <w:lang w:val="it-IT" w:eastAsia="en-US"/>
        </w:rPr>
      </w:pPr>
      <w:r w:rsidRPr="00EB04F1">
        <w:rPr>
          <w:szCs w:val="24"/>
          <w:lang w:val="it-IT" w:eastAsia="en-US"/>
        </w:rPr>
        <w:t>e)</w:t>
      </w:r>
      <w:r w:rsidRPr="00EB04F1">
        <w:rPr>
          <w:szCs w:val="24"/>
          <w:lang w:val="it-IT" w:eastAsia="en-US"/>
        </w:rPr>
        <w:tab/>
        <w:t>kontrole un pēcaprūpe, kurā izmanto monitoringa akas;</w:t>
      </w:r>
    </w:p>
    <w:p w14:paraId="67C8B888"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(2)</w:t>
      </w:r>
      <w:r w:rsidRPr="00EB04F1">
        <w:rPr>
          <w:szCs w:val="24"/>
          <w:lang w:val="it-IT" w:eastAsia="en-US"/>
        </w:rPr>
        <w:tab/>
        <w:t>riska mazināšanas pasākumi, kas nav remediācija:</w:t>
      </w:r>
    </w:p>
    <w:p w14:paraId="1A5C3963" w14:textId="148670A1"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a)</w:t>
      </w:r>
      <w:r w:rsidRPr="00EB04F1">
        <w:rPr>
          <w:szCs w:val="24"/>
          <w:lang w:val="it-IT" w:eastAsia="en-US"/>
        </w:rPr>
        <w:tab/>
        <w:t>kultūraugu un dārzeņu audzēšanas un patēriņa ierobežojumi;</w:t>
      </w:r>
    </w:p>
    <w:p w14:paraId="5F1247BB" w14:textId="049B8E75"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b)</w:t>
      </w:r>
      <w:r w:rsidRPr="00EB04F1">
        <w:rPr>
          <w:szCs w:val="24"/>
          <w:lang w:val="it-IT" w:eastAsia="en-US"/>
        </w:rPr>
        <w:tab/>
        <w:t>olu patēriņa ierobežojumi;</w:t>
      </w:r>
    </w:p>
    <w:p w14:paraId="5B56B6AF" w14:textId="5EB4DA4C"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c)</w:t>
      </w:r>
      <w:r w:rsidRPr="00EB04F1">
        <w:rPr>
          <w:szCs w:val="24"/>
          <w:lang w:val="it-IT" w:eastAsia="en-US"/>
        </w:rPr>
        <w:tab/>
        <w:t>lolojumdzīvnieku vai lauksaimniecības dzīvnieku piekļuves ierobežojumi;</w:t>
      </w:r>
    </w:p>
    <w:p w14:paraId="28AB4B0A" w14:textId="5B276D80"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d)</w:t>
      </w:r>
      <w:r w:rsidRPr="00EB04F1">
        <w:rPr>
          <w:szCs w:val="24"/>
          <w:lang w:val="it-IT" w:eastAsia="en-US"/>
        </w:rPr>
        <w:tab/>
        <w:t>ierobežota pazemes ūdeņu ieguve vai izmantošana dzeršanas, personīgās higiēnas vai rūpnieciskām vajadzībām;</w:t>
      </w:r>
    </w:p>
    <w:p w14:paraId="4E6A94F3" w14:textId="12A0A3D1"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e)</w:t>
      </w:r>
      <w:r w:rsidRPr="00EB04F1">
        <w:rPr>
          <w:szCs w:val="24"/>
          <w:lang w:val="it-IT" w:eastAsia="en-US"/>
        </w:rPr>
        <w:tab/>
        <w:t>nojaukšanas, pārklājuma noņemšanas vai būvniecības ierobežojumi objektā;</w:t>
      </w:r>
    </w:p>
    <w:p w14:paraId="69E111B4" w14:textId="37B93403"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f)</w:t>
      </w:r>
      <w:r w:rsidRPr="00EB04F1">
        <w:rPr>
          <w:szCs w:val="24"/>
          <w:lang w:val="it-IT" w:eastAsia="en-US"/>
        </w:rPr>
        <w:tab/>
        <w:t>ierobežota piekļuve objektam vai tā apkaimei (piemēram, izmantojot nožogojumu);</w:t>
      </w:r>
    </w:p>
    <w:p w14:paraId="7A712803" w14:textId="570D1B93"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g)</w:t>
      </w:r>
      <w:r w:rsidRPr="00EB04F1">
        <w:rPr>
          <w:szCs w:val="24"/>
          <w:lang w:val="it-IT" w:eastAsia="en-US"/>
        </w:rPr>
        <w:tab/>
        <w:t>zemes izmantojuma vai zemes izmantojuma maiņas ierobežojumi;</w:t>
      </w:r>
    </w:p>
    <w:p w14:paraId="6219046F" w14:textId="2CE7B0FE"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h)</w:t>
      </w:r>
      <w:r w:rsidRPr="00EB04F1">
        <w:rPr>
          <w:szCs w:val="24"/>
          <w:lang w:val="it-IT" w:eastAsia="en-US"/>
        </w:rPr>
        <w:tab/>
        <w:t>rakšanas, urbšanas vai ekskavācijas ierobežojumi;</w:t>
      </w:r>
    </w:p>
    <w:p w14:paraId="74CBEE36" w14:textId="4F7DCAE7" w:rsidR="00DA4F3E" w:rsidRPr="00EB04F1" w:rsidRDefault="00DA4F3E" w:rsidP="00DA4F3E">
      <w:pPr>
        <w:spacing w:before="120" w:after="120" w:line="360" w:lineRule="auto"/>
        <w:ind w:left="1416" w:hanging="566"/>
        <w:rPr>
          <w:szCs w:val="24"/>
          <w:lang w:val="it-IT" w:eastAsia="en-US"/>
        </w:rPr>
      </w:pPr>
      <w:r w:rsidRPr="00EB04F1">
        <w:rPr>
          <w:szCs w:val="24"/>
          <w:lang w:val="it-IT" w:eastAsia="en-US"/>
        </w:rPr>
        <w:t>i)</w:t>
      </w:r>
      <w:r w:rsidRPr="00EB04F1">
        <w:rPr>
          <w:szCs w:val="24"/>
          <w:lang w:val="it-IT" w:eastAsia="en-US"/>
        </w:rPr>
        <w:tab/>
        <w:t>ierobežota saskare ar augsni, putekļiem vai iekštelpu gaisu un piesardzības pasākumi cilvēka veselības aizsardzībai (piemēram, respiratori, cimdi, slapjā tīrīšana utt.);</w:t>
      </w:r>
    </w:p>
    <w:p w14:paraId="4E7E904B"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(3)</w:t>
      </w:r>
      <w:r w:rsidRPr="00EB04F1">
        <w:rPr>
          <w:szCs w:val="24"/>
          <w:lang w:val="it-IT" w:eastAsia="en-US"/>
        </w:rPr>
        <w:tab/>
        <w:t>labākie pieejamie tehniskie paņēmieni, kas minēti Direktīvā 2010/75/ES;</w:t>
      </w:r>
    </w:p>
    <w:p w14:paraId="68725EB1"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(4)</w:t>
      </w:r>
      <w:r w:rsidRPr="00EB04F1">
        <w:rPr>
          <w:szCs w:val="24"/>
          <w:lang w:val="it-IT" w:eastAsia="en-US"/>
        </w:rPr>
        <w:tab/>
        <w:t>pasākumi, ko kompetentās iestādes un industriālie operatori veic pēc lielas avārijas saskaņā ar Direktīvu 2012/18/ES.</w:t>
      </w:r>
    </w:p>
    <w:p w14:paraId="06A79727" w14:textId="77777777" w:rsidR="00DA4F3E" w:rsidRPr="00EB04F1" w:rsidRDefault="00DA4F3E" w:rsidP="00DA4F3E">
      <w:pPr>
        <w:spacing w:before="120" w:after="120" w:line="360" w:lineRule="auto"/>
        <w:rPr>
          <w:szCs w:val="24"/>
          <w:lang w:val="it-IT" w:eastAsia="en-US"/>
        </w:rPr>
        <w:sectPr w:rsidR="00DA4F3E" w:rsidRPr="00EB04F1">
          <w:pgSz w:w="11909" w:h="16834"/>
          <w:pgMar w:top="1134" w:right="1417" w:bottom="1417" w:left="1417" w:header="1134" w:footer="567" w:gutter="0"/>
          <w:cols w:space="720"/>
        </w:sectPr>
      </w:pPr>
    </w:p>
    <w:p w14:paraId="665E6764" w14:textId="77777777" w:rsidR="00DA4F3E" w:rsidRPr="00EB04F1" w:rsidRDefault="00DA4F3E" w:rsidP="00DA4F3E">
      <w:pPr>
        <w:spacing w:before="120" w:after="120" w:line="360" w:lineRule="auto"/>
        <w:rPr>
          <w:szCs w:val="24"/>
          <w:lang w:val="it-IT" w:eastAsia="en-US"/>
        </w:rPr>
      </w:pPr>
    </w:p>
    <w:p w14:paraId="4EB15852" w14:textId="77777777" w:rsidR="00DA4F3E" w:rsidRPr="00EB04F1" w:rsidRDefault="00DA4F3E" w:rsidP="00DA4F3E">
      <w:pPr>
        <w:spacing w:before="120" w:after="120" w:line="360" w:lineRule="auto"/>
        <w:jc w:val="center"/>
        <w:rPr>
          <w:lang w:val="it-IT" w:eastAsia="en-US"/>
        </w:rPr>
      </w:pPr>
      <w:r w:rsidRPr="00EB04F1">
        <w:rPr>
          <w:lang w:val="it-IT" w:eastAsia="en-US"/>
        </w:rPr>
        <w:t>VI PIELIKUMS</w:t>
      </w:r>
    </w:p>
    <w:p w14:paraId="04961856" w14:textId="77777777" w:rsidR="00DA4F3E" w:rsidRPr="00EB04F1" w:rsidRDefault="00DA4F3E" w:rsidP="00DA4F3E">
      <w:pPr>
        <w:spacing w:before="120" w:after="120" w:line="360" w:lineRule="auto"/>
        <w:rPr>
          <w:szCs w:val="24"/>
          <w:lang w:val="it-IT" w:eastAsia="en-US"/>
        </w:rPr>
      </w:pPr>
      <w:r w:rsidRPr="00EB04F1">
        <w:rPr>
          <w:szCs w:val="24"/>
          <w:lang w:val="it-IT" w:eastAsia="en-US"/>
        </w:rPr>
        <w:t>OBJEKTAM RAKSTURĪGĀ RISKA NOVĒRTĒŠANAS POSMI UN PRASĪBAS</w:t>
      </w:r>
    </w:p>
    <w:p w14:paraId="0D3046DB"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1.</w:t>
      </w:r>
      <w:r w:rsidRPr="00EB04F1">
        <w:rPr>
          <w:szCs w:val="24"/>
          <w:lang w:val="it-IT" w:eastAsia="en-US"/>
        </w:rPr>
        <w:tab/>
        <w:t>Lai kontamināciju raksturotu, ir jāidentificē objektā esošie kontaminanti un jānosaka to avots, koncentrācija, ķīmiskā forma un izplatība augsnē un pazemes ūdeņos. Kontaminantu klātbūtni un koncentrāciju nosaka, veicot augsnes paraugošanu un izpēti.</w:t>
      </w:r>
    </w:p>
    <w:p w14:paraId="101AE819"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2.</w:t>
      </w:r>
      <w:r w:rsidRPr="00EB04F1">
        <w:rPr>
          <w:szCs w:val="24"/>
          <w:lang w:val="it-IT" w:eastAsia="en-US"/>
        </w:rPr>
        <w:tab/>
        <w:t>Ekspozīcijas novērtējumā nosaka, kādā ceļā augsnes kontaminanti var sasniegt subjektus. Ekspozīcijas ceļi var ietvert ieelpošanu, norīšanu, saskari ar ādu, uzņemšanu augos, migrāciju uz pazemes ūdeņiem vai citus ceļus. Lai aplēstu kontaminantu uzņemšanu, šo informāciju apvieno ar ekspozīcijas biežumu un ilgumu un tādām subjektu pazīmēm kā vecums, dzimums un veselības stāvoklis. Avota, ceļa un subjekta saites apkopo grafiskā, shematiskā un vienkāršotā attēlojumā — teorētiskajā objekta modelī.</w:t>
      </w:r>
    </w:p>
    <w:p w14:paraId="7346C4D2"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3.</w:t>
      </w:r>
      <w:r w:rsidRPr="00EB04F1">
        <w:rPr>
          <w:szCs w:val="24"/>
          <w:lang w:val="it-IT" w:eastAsia="en-US"/>
        </w:rPr>
        <w:tab/>
        <w:t>Toksiskuma vai bīstamības novērtējumā, balstoties uz devu un ekspozīcijas ilgumu, izvērtē kontaminantu potenciālo ietekmi uz veselību un vidi. Toksikoloģiskajā novērtējumā vai bīstamības novērtējumā ņem vērā kontaminantu iedabisko toksiskumu un dažādu populāciju — piemēram, dzīvnieku, mikroorganismu, augu, bērnu, grūtnieču, vecu cilvēku utt. — uzņēmību pret tiem. Toksikoloģisko informāciju izmanto, lai aplēstu atsauces devas vai koncentrācijas, ko izmanto riska raksturošanai.</w:t>
      </w:r>
    </w:p>
    <w:p w14:paraId="7CF99FE6" w14:textId="777777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4.</w:t>
      </w:r>
      <w:r w:rsidRPr="00EB04F1">
        <w:rPr>
          <w:szCs w:val="24"/>
          <w:lang w:val="it-IT" w:eastAsia="en-US"/>
        </w:rPr>
        <w:tab/>
        <w:t>Lai, raksturojot risku, novērtētu kontaminētā objekta nelabvēlīgās ietekmes apmēru un varbūtīgumu, ka tam būs šāda ietekme uz cilvēka veselību un vidi, arī sakarā ar kontaminācijas migrāciju uz citiem vides segmentiem, ir jāintegrē informācija no iepriekšējiem posmiem. Riska raksturošana palīdz riska mazināšanas un remediācijas pasākumus sakārtot pēc prioritātes. Tas var arī palīdzēt noteikt objekta remediācijas vai apsaimniekošanas mērķus, piemēram, sasniegt maksimālās pieņemamās robežvērtības vai konkrētajam objektam specifiskas uz riska izvērtēšanu balstītas skrīninga vērtības.</w:t>
      </w:r>
    </w:p>
    <w:p w14:paraId="0F784540" w14:textId="77777777" w:rsidR="00DA4F3E" w:rsidRPr="00EB04F1" w:rsidRDefault="00DA4F3E" w:rsidP="00DA4F3E">
      <w:pPr>
        <w:spacing w:before="120" w:after="120" w:line="360" w:lineRule="auto"/>
        <w:rPr>
          <w:szCs w:val="24"/>
          <w:lang w:val="it-IT" w:eastAsia="en-US"/>
        </w:rPr>
        <w:sectPr w:rsidR="00DA4F3E" w:rsidRPr="00EB04F1">
          <w:pgSz w:w="11909" w:h="16834"/>
          <w:pgMar w:top="1134" w:right="1417" w:bottom="1417" w:left="1417" w:header="1134" w:footer="567" w:gutter="0"/>
          <w:cols w:space="720"/>
        </w:sectPr>
      </w:pPr>
    </w:p>
    <w:p w14:paraId="1405641F" w14:textId="77777777" w:rsidR="00DA4F3E" w:rsidRPr="00EB04F1" w:rsidRDefault="00DA4F3E" w:rsidP="00DA4F3E">
      <w:pPr>
        <w:spacing w:before="120" w:after="120" w:line="360" w:lineRule="auto"/>
        <w:rPr>
          <w:szCs w:val="24"/>
          <w:lang w:val="it-IT" w:eastAsia="en-US"/>
        </w:rPr>
      </w:pPr>
    </w:p>
    <w:p w14:paraId="2DDEB1C2" w14:textId="77777777" w:rsidR="00DA4F3E" w:rsidRPr="00EB04F1" w:rsidRDefault="00DA4F3E" w:rsidP="00DA4F3E">
      <w:pPr>
        <w:spacing w:before="120" w:after="120" w:line="360" w:lineRule="auto"/>
        <w:jc w:val="center"/>
        <w:rPr>
          <w:lang w:val="it-IT" w:eastAsia="en-US"/>
        </w:rPr>
      </w:pPr>
      <w:r w:rsidRPr="00EB04F1">
        <w:rPr>
          <w:lang w:val="it-IT" w:eastAsia="en-US"/>
        </w:rPr>
        <w:t>VII PIELIKUMS</w:t>
      </w:r>
    </w:p>
    <w:p w14:paraId="535637AB" w14:textId="77777777" w:rsidR="00DA4F3E" w:rsidRPr="00EB04F1" w:rsidRDefault="00DA4F3E" w:rsidP="00DA4F3E">
      <w:pPr>
        <w:spacing w:before="120" w:after="120" w:line="360" w:lineRule="auto"/>
        <w:rPr>
          <w:szCs w:val="24"/>
          <w:lang w:val="it-IT" w:eastAsia="en-US"/>
        </w:rPr>
      </w:pPr>
      <w:r w:rsidRPr="00EB04F1">
        <w:rPr>
          <w:szCs w:val="24"/>
          <w:lang w:val="it-IT" w:eastAsia="en-US"/>
        </w:rPr>
        <w:t xml:space="preserve">POTENCIĀLI KONTAMINĒTU OBJEKTU UN KONTAMINĒTU OBJEKTU REĢISTRA SATURS </w:t>
      </w:r>
    </w:p>
    <w:p w14:paraId="2DA26CF2" w14:textId="77777777" w:rsidR="00DA4F3E" w:rsidRPr="00EB04F1" w:rsidRDefault="00DA4F3E" w:rsidP="00DA4F3E">
      <w:pPr>
        <w:spacing w:before="120" w:after="120" w:line="360" w:lineRule="auto"/>
        <w:rPr>
          <w:szCs w:val="24"/>
          <w:lang w:val="it-IT" w:eastAsia="en-US"/>
        </w:rPr>
      </w:pPr>
      <w:r w:rsidRPr="00EB04F1">
        <w:rPr>
          <w:szCs w:val="24"/>
          <w:lang w:val="it-IT" w:eastAsia="en-US"/>
        </w:rPr>
        <w:t>Reģistra datu sagatavošana un noformēšana sabiedrībai dos iespēju sekot līdzi potenciāli kontaminētu objektu un kontaminētu objektu apsaimniekošanai. Reģistrā iekļauj un sniedz šādu objekta līmeņa informāciju par zināmiem potenciāli kontaminētiem objektiem, kontaminētiem objektiem, kontaminētiem objektiem, kuros veicami tālāki pasākumi, un kontaminētiem objektiem, kuros pasākumi ir veikti vai tiek veikti:</w:t>
      </w:r>
    </w:p>
    <w:p w14:paraId="4B3A40E0" w14:textId="27DDD676"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a)</w:t>
      </w:r>
      <w:r w:rsidRPr="00EB04F1">
        <w:rPr>
          <w:szCs w:val="24"/>
          <w:lang w:val="it-IT" w:eastAsia="en-US"/>
        </w:rPr>
        <w:tab/>
        <w:t>objekta koordinātas, adrese vai kadastrālais zemesgabals vai zemesgabali saskaņā ar Direktīvu (ES) 2019/1024 un Direktīvu 2007/2/EK;</w:t>
      </w:r>
    </w:p>
    <w:p w14:paraId="14D7BDB9" w14:textId="04793ED8"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b)</w:t>
      </w:r>
      <w:r w:rsidRPr="00EB04F1">
        <w:rPr>
          <w:szCs w:val="24"/>
          <w:lang w:val="it-IT" w:eastAsia="en-US"/>
        </w:rPr>
        <w:tab/>
        <w:t>gads, kurā objekts iekļauts reģistrā;</w:t>
      </w:r>
    </w:p>
    <w:p w14:paraId="33962EB6" w14:textId="3A6C8D01"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c)</w:t>
      </w:r>
      <w:r w:rsidRPr="00EB04F1">
        <w:rPr>
          <w:szCs w:val="24"/>
          <w:lang w:val="it-IT" w:eastAsia="en-US"/>
        </w:rPr>
        <w:tab/>
        <w:t>kontaminējošas vai potenciāli kontaminējošas darbības, kas objektā ir notikušas vai notiek;</w:t>
      </w:r>
    </w:p>
    <w:p w14:paraId="238AC10E" w14:textId="716A4377"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d)</w:t>
      </w:r>
      <w:r w:rsidRPr="00EB04F1">
        <w:rPr>
          <w:szCs w:val="24"/>
          <w:lang w:val="it-IT" w:eastAsia="en-US"/>
        </w:rPr>
        <w:tab/>
        <w:t>objekta apsaimniekošanas statuss;</w:t>
      </w:r>
    </w:p>
    <w:p w14:paraId="1D1CEDC3" w14:textId="14AB1FD9"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e)</w:t>
      </w:r>
      <w:r w:rsidRPr="00EB04F1">
        <w:rPr>
          <w:szCs w:val="24"/>
          <w:lang w:val="it-IT" w:eastAsia="en-US"/>
        </w:rPr>
        <w:tab/>
        <w:t>secinājums par kontaminācijas (vai pēc remediācijas atlikušās kontaminācijas) esību vai neesību, koncentrāciju, veidu un risku, ja informācija par šiem elementiem jau ir pieejama no 14. un 15. pantā minētās augsnes izpētes un riska novērtējuma;</w:t>
      </w:r>
    </w:p>
    <w:p w14:paraId="79DA03BD" w14:textId="03F185CD"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f)</w:t>
      </w:r>
      <w:r w:rsidRPr="00EB04F1">
        <w:rPr>
          <w:szCs w:val="24"/>
          <w:lang w:val="it-IT" w:eastAsia="en-US"/>
        </w:rPr>
        <w:tab/>
        <w:t>nākamās darbības un pārvaldības pasākumi, kas prasīti un minēti 14. un 15. pantā, arī to veikšanas grafiks.</w:t>
      </w:r>
    </w:p>
    <w:p w14:paraId="3BCE68D0" w14:textId="77777777" w:rsidR="00DA4F3E" w:rsidRPr="00EB04F1" w:rsidRDefault="00DA4F3E" w:rsidP="00DA4F3E">
      <w:pPr>
        <w:spacing w:before="120" w:after="120" w:line="360" w:lineRule="auto"/>
        <w:rPr>
          <w:szCs w:val="24"/>
          <w:lang w:val="it-IT" w:eastAsia="en-US"/>
        </w:rPr>
      </w:pPr>
      <w:r w:rsidRPr="00EB04F1">
        <w:rPr>
          <w:szCs w:val="24"/>
          <w:lang w:val="it-IT" w:eastAsia="en-US"/>
        </w:rPr>
        <w:t>Ja šāda informācija ir pieejama, reģistrā var iekļaut arī šādu objekta līmeņa informāciju par zināmiem potenciāli kontaminētiem objektiem, kontaminētiem objektiem, kontaminētiem objektiem, kuros veicami tālāki pasākumi, un kontaminētiem objektiem, kuros pasākumi ir veikti vai tiek veikti:</w:t>
      </w:r>
    </w:p>
    <w:p w14:paraId="7897D6D7" w14:textId="63A6C543"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a)</w:t>
      </w:r>
      <w:r w:rsidRPr="00EB04F1">
        <w:rPr>
          <w:szCs w:val="24"/>
          <w:lang w:val="it-IT" w:eastAsia="en-US"/>
        </w:rPr>
        <w:tab/>
        <w:t>informācija par objektam izdotajām vidiskajām atļaujām, arī darbības sākuma un beigu gads;</w:t>
      </w:r>
    </w:p>
    <w:p w14:paraId="7419E9CB" w14:textId="0FEA9999" w:rsidR="00DA4F3E" w:rsidRPr="00EB04F1" w:rsidRDefault="00DA4F3E" w:rsidP="00DA4F3E">
      <w:pPr>
        <w:spacing w:before="120" w:after="120" w:line="360" w:lineRule="auto"/>
        <w:ind w:left="850" w:hanging="850"/>
        <w:rPr>
          <w:szCs w:val="24"/>
          <w:lang w:val="it-IT" w:eastAsia="en-US"/>
        </w:rPr>
      </w:pPr>
      <w:r w:rsidRPr="00EB04F1">
        <w:rPr>
          <w:szCs w:val="24"/>
          <w:lang w:val="it-IT" w:eastAsia="en-US"/>
        </w:rPr>
        <w:t>b)</w:t>
      </w:r>
      <w:r w:rsidRPr="00EB04F1">
        <w:rPr>
          <w:szCs w:val="24"/>
          <w:lang w:val="it-IT" w:eastAsia="en-US"/>
        </w:rPr>
        <w:tab/>
        <w:t>pašreizējais un plānotais zemes izmantojums;</w:t>
      </w:r>
    </w:p>
    <w:p w14:paraId="589F7E5E" w14:textId="1A6C8ADB" w:rsidR="007073DA" w:rsidRPr="00616115" w:rsidRDefault="00DA4F3E" w:rsidP="00A95837">
      <w:pPr>
        <w:spacing w:before="120" w:after="120" w:line="360" w:lineRule="auto"/>
        <w:ind w:left="850" w:hanging="850"/>
        <w:rPr>
          <w:lang w:val="it-IT"/>
        </w:rPr>
      </w:pPr>
      <w:r w:rsidRPr="00EB04F1">
        <w:rPr>
          <w:szCs w:val="24"/>
          <w:lang w:val="it-IT" w:eastAsia="en-US"/>
        </w:rPr>
        <w:t>c)</w:t>
      </w:r>
      <w:r w:rsidRPr="00EB04F1">
        <w:rPr>
          <w:szCs w:val="24"/>
          <w:lang w:val="it-IT" w:eastAsia="en-US"/>
        </w:rPr>
        <w:tab/>
        <w:t>augsnes izpētes un remediācijas ziņojumu rezultāti, piemēram, kontaminācijas koncentrācija un kontūras, teorētiskais objekta modelis, riska novērtēšanas metodika, izmantotie vai plānotie paņēmieni, riska mazināšanas pasākumu iedarbīgums un izmaksu aplēses.</w:t>
      </w:r>
    </w:p>
    <w:sectPr w:rsidR="007073DA" w:rsidRPr="00616115" w:rsidSect="006C0D3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F173C" w14:textId="77777777" w:rsidR="00857D1A" w:rsidRPr="006C0D30" w:rsidRDefault="00857D1A">
      <w:r w:rsidRPr="006C0D30">
        <w:separator/>
      </w:r>
    </w:p>
  </w:endnote>
  <w:endnote w:type="continuationSeparator" w:id="0">
    <w:p w14:paraId="60233622" w14:textId="77777777" w:rsidR="00857D1A" w:rsidRPr="006C0D30" w:rsidRDefault="00857D1A">
      <w:r w:rsidRPr="006C0D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AAC5E" w14:textId="77777777" w:rsidR="00857D1A" w:rsidRDefault="00857D1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CF18B" w14:textId="72F9CA78" w:rsidR="00857D1A" w:rsidRDefault="00857D1A">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1D95E" w14:textId="77777777" w:rsidR="00857D1A" w:rsidRDefault="00857D1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5DE8E" w14:textId="77777777" w:rsidR="00857D1A" w:rsidRPr="006C0D30" w:rsidRDefault="00857D1A">
      <w:r w:rsidRPr="006C0D30">
        <w:separator/>
      </w:r>
    </w:p>
  </w:footnote>
  <w:footnote w:type="continuationSeparator" w:id="0">
    <w:p w14:paraId="29E9FC0B" w14:textId="77777777" w:rsidR="00857D1A" w:rsidRPr="006C0D30" w:rsidRDefault="00857D1A">
      <w:r w:rsidRPr="006C0D30">
        <w:continuationSeparator/>
      </w:r>
    </w:p>
  </w:footnote>
  <w:footnote w:id="1">
    <w:p w14:paraId="2DD169AA" w14:textId="77777777" w:rsidR="00857D1A" w:rsidRPr="00DF6B37" w:rsidRDefault="00857D1A" w:rsidP="00DF6B37">
      <w:pPr>
        <w:pStyle w:val="FootnoteTextForceStyle"/>
        <w:rPr>
          <w:szCs w:val="24"/>
          <w:lang w:val="lv-LV"/>
        </w:rPr>
      </w:pPr>
      <w:r w:rsidRPr="00DF6B37">
        <w:rPr>
          <w:rStyle w:val="FootnoteReference"/>
          <w:szCs w:val="24"/>
          <w:lang w:val="lv-LV"/>
        </w:rPr>
        <w:footnoteRef/>
      </w:r>
      <w:r w:rsidRPr="00DF6B37">
        <w:rPr>
          <w:szCs w:val="24"/>
          <w:lang w:val="lv-LV"/>
        </w:rPr>
        <w:t xml:space="preserve"> </w:t>
      </w:r>
      <w:r w:rsidRPr="00DF6B37">
        <w:rPr>
          <w:szCs w:val="24"/>
          <w:lang w:val="lv-LV"/>
        </w:rPr>
        <w:tab/>
        <w:t>OV C, C/2024/887, 6.2.2024., ELI: http://data.europa.eu/eli/C/2024/887/oj.</w:t>
      </w:r>
    </w:p>
  </w:footnote>
  <w:footnote w:id="2">
    <w:p w14:paraId="0911303D"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OV C [...], [...]., [...]. lpp.</w:t>
      </w:r>
    </w:p>
  </w:footnote>
  <w:footnote w:id="3">
    <w:p w14:paraId="73745126"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OV C [...], [...]., [...]. lpp.</w:t>
      </w:r>
    </w:p>
  </w:footnote>
  <w:footnote w:id="4">
    <w:p w14:paraId="505A1976"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Komisijas paziņojums Eiropas Parlamentam, Eiropadomei, Padomei, Eiropas Ekonomikas un sociālo lietu komitejai un Reģionu komitejai “Eiropas zaļais kurss” (COM(2019) 640 final).</w:t>
      </w:r>
    </w:p>
  </w:footnote>
  <w:footnote w:id="5">
    <w:p w14:paraId="2B8FAB0C"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Komisijas paziņojums Eiropas Parlamentam, Padomei, Eiropas Ekonomikas un sociālo lietu komitejai un Reģionu komitejai “ES Biodaudzveidības stratēģija 2030. gadam. Atgriezīsim savā dzīvē dabu” (COM(2020) 380 final).</w:t>
      </w:r>
    </w:p>
  </w:footnote>
  <w:footnote w:id="6">
    <w:p w14:paraId="41A1A368"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Komisijas paziņojums Eiropas Parlamentam, Padomei, Eiropas Ekonomikas un sociālo lietu komitejai un Reģionu komitejai “Stratēģija “No lauka līdz galdam”. Taisnīgas, veselīgas un videi draudzīgas pārtikas sistēmas vārdā” (COM(2020) 381 final).</w:t>
      </w:r>
    </w:p>
  </w:footnote>
  <w:footnote w:id="7">
    <w:p w14:paraId="7106A186"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Komisijas paziņojums Eiropas Parlamentam, Padomei, Eiropas Ekonomikas un sociālo lietu komitejai un Reģionu komitejai “Ceļš uz veselīgu planētu itin visiem. ES Gaisa, ūdens un augsnes nulles piesārņojuma rīcības plāns” (COM(2021) 400 final).</w:t>
      </w:r>
    </w:p>
  </w:footnote>
  <w:footnote w:id="8">
    <w:p w14:paraId="266F7C3B"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Komisijas paziņojums Eiropas Parlamentam, Padomei, Eiropas Ekonomikas un sociālo lietu komitejai un Reģionu komitejai “Ceļā uz klimatnoturīgu Eiropu: jaunā ES Klimatadaptācijas stratēģija” (COM(2021) 82 final).</w:t>
      </w:r>
    </w:p>
  </w:footnote>
  <w:footnote w:id="9">
    <w:p w14:paraId="1DFDA24D"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Komisijas paziņojums Eiropas Parlamentam, Padomei, Eiropas Ekonomikas un sociālo lietu komitejai un Reģionu komitejai “ES Augsnes stratēģija 2030. gadam. Veselīgas augsnes cilvēku, pārtikas, dabas un klimata labā” (COM(2021) 699 final).</w:t>
      </w:r>
    </w:p>
  </w:footnote>
  <w:footnote w:id="10">
    <w:p w14:paraId="264826A9"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https://sdgs.un.org/goals.</w:t>
      </w:r>
    </w:p>
  </w:footnote>
  <w:footnote w:id="11">
    <w:p w14:paraId="38FFEE32"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Padomes Lēmums 93/626/EEK (1993. gada 25. oktobris), kas attiecas uz Konvencijas par bioloģisko daudzveidību noslēgšanu (OV L 309, 13.12.1993., 1. lpp.).</w:t>
      </w:r>
    </w:p>
  </w:footnote>
  <w:footnote w:id="12">
    <w:p w14:paraId="4D61D4F9"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Lēmums, ko Biodaudzveidības konvencijas Pušu konference pieņēmusi 2022. gada 19. decembrī: 15/4. Kuņminas–Monreālas globālais biodaudzveidības satvars.</w:t>
      </w:r>
    </w:p>
  </w:footnote>
  <w:footnote w:id="13">
    <w:p w14:paraId="3D342202"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Padomes Lēmums (1998. gada 9. marts) par Apvienoto Nāciju Organizācijas Konvencijas cīņai ar pārtuksnešošanos valstīs, kuras nopietni skāris sausums un/vai pārtuksnešošanās, īpaši Āfrikā, noslēgšanu Eiropas Kopienas vārdā (OV L 83, 19.3.1998., 1. lpp.).</w:t>
      </w:r>
    </w:p>
  </w:footnote>
  <w:footnote w:id="14">
    <w:p w14:paraId="1409807E"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Bulgārija, Grieķija, Horvātija, Itālija, Kipra, Latvija, Malta, Portugāle, Rumānija, Slovākija, Slovēnija, Spānija, Ungārija.</w:t>
      </w:r>
    </w:p>
  </w:footnote>
  <w:footnote w:id="15">
    <w:p w14:paraId="4B932C7A"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2021. gada 28. aprīļa rezolūcija par augsnes aizsardzību (2021/2548(RSP)).</w:t>
      </w:r>
    </w:p>
  </w:footnote>
  <w:footnote w:id="16">
    <w:p w14:paraId="681E21D4"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Padomes secinājumi “Biodaudzveidība — nepieciešama steidzama rīcība”, 12210/20.</w:t>
      </w:r>
    </w:p>
  </w:footnote>
  <w:footnote w:id="17">
    <w:p w14:paraId="6704B63A"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Regula (ES) 2021/1119 (2021. gada 30. jūnijs), ar ko izveido klimatneitralitātes panākšanas satvaru un groza Regulas (EK) Nr. 401/2009 un (ES) 2018/1999 (“Eiropas Klimata akts”) (OV L 243, 9.7.2021., 1. lpp.).</w:t>
      </w:r>
    </w:p>
  </w:footnote>
  <w:footnote w:id="18">
    <w:p w14:paraId="3ACFC4B5"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Komisijas paziņojums Eiropas Parlamentam un Padomei “Ilgtspējīgi oglekļa aprites cikli” (COM(2021) 800).</w:t>
      </w:r>
    </w:p>
  </w:footnote>
  <w:footnote w:id="19">
    <w:p w14:paraId="4FBA3456"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Komisijas paziņojums Eiropas Parlamentam, Padomei, Eiropas Ekonomikas un sociālo lietu komitejai un Reģionu komitejai “Ceļā uz klimatnoturīgu Eiropu: jaunā ES Klimatadaptācijas stratēģija” (COM(2021) 82 final).</w:t>
      </w:r>
    </w:p>
  </w:footnote>
  <w:footnote w:id="20">
    <w:p w14:paraId="3576A641"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Komisijas paziņojums Eiropas Parlamentam, Padomei, Eiropas Ekonomikas un sociālo lietu komitejai un Reģionu komitejai “Pārtikas nodrošinājuma garantēšana un pārtikas sistēmu noturības stiprināšana” (COM(2022) 133 final).</w:t>
      </w:r>
    </w:p>
  </w:footnote>
  <w:footnote w:id="21">
    <w:p w14:paraId="6290B54E" w14:textId="0E6DDEBA" w:rsidR="00857D1A" w:rsidRPr="00DF6B37" w:rsidRDefault="00857D1A" w:rsidP="008A1D52">
      <w:pPr>
        <w:pStyle w:val="FootnoteTextForceStyle"/>
        <w:ind w:left="851" w:hanging="851"/>
        <w:rPr>
          <w:szCs w:val="24"/>
          <w:lang w:val="sv-SE"/>
        </w:rPr>
      </w:pPr>
      <w:r w:rsidRPr="00DF6B37">
        <w:rPr>
          <w:strike/>
          <w:szCs w:val="24"/>
          <w:vertAlign w:val="superscript"/>
          <w:lang w:val="sv-SE"/>
        </w:rPr>
        <w:t>+</w:t>
      </w:r>
      <w:r w:rsidRPr="00DF6B37">
        <w:rPr>
          <w:szCs w:val="24"/>
          <w:lang w:val="sv-SE"/>
        </w:rPr>
        <w:tab/>
      </w:r>
      <w:r w:rsidRPr="00DF6B37">
        <w:rPr>
          <w:strike/>
          <w:szCs w:val="24"/>
          <w:lang w:val="sv-SE"/>
        </w:rPr>
        <w:t>PB: tekstā ievietot dokumentā COM(2022) 672 ietvertās Oglekļa piesaistījumu sertifikācijas regulas numuru un zemsvītras piezīmē ievietot minētās direktīvas numuru, datumu, nosaukumu un OV atsauci.</w:t>
      </w:r>
    </w:p>
  </w:footnote>
  <w:footnote w:id="22">
    <w:p w14:paraId="358B11D2"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Regula (EK) Nr. 1059/2003 (2003. gada 26. maijs) par kopējas statistiski teritoriālo vienību klasifikācijas (NUTS) izveidi (OV L 154, 21.6.2003., 1. lpp.).</w:t>
      </w:r>
    </w:p>
  </w:footnote>
  <w:footnote w:id="23">
    <w:p w14:paraId="6F77504D" w14:textId="77777777" w:rsidR="00857D1A" w:rsidRPr="00DF6B37" w:rsidRDefault="00857D1A" w:rsidP="00DA4F3E">
      <w:pPr>
        <w:pStyle w:val="FootnoteTextForceStyle"/>
        <w:rPr>
          <w:szCs w:val="24"/>
          <w:lang w:val="sv-SE"/>
        </w:rPr>
      </w:pPr>
      <w:r w:rsidRPr="00DF6B37">
        <w:rPr>
          <w:strike/>
          <w:szCs w:val="24"/>
          <w:vertAlign w:val="superscript"/>
        </w:rPr>
        <w:footnoteRef/>
      </w:r>
      <w:r w:rsidRPr="00DF6B37">
        <w:rPr>
          <w:szCs w:val="24"/>
          <w:lang w:val="sv-SE"/>
        </w:rPr>
        <w:tab/>
      </w:r>
      <w:r w:rsidRPr="00DF6B37">
        <w:rPr>
          <w:strike/>
          <w:szCs w:val="24"/>
          <w:lang w:val="sv-SE"/>
        </w:rPr>
        <w:t>Eiropas Parlamenta un Padomes Direktīva (ES) 2018/2001 (2018. gada 11. decembris) par no atjaunojamajiem energoresursiem iegūtas enerģijas izmantošanas veicināšanu (pārstrādāta redakcija) (OV L 328, 21.12.2018., 82. lpp.).</w:t>
      </w:r>
    </w:p>
  </w:footnote>
  <w:footnote w:id="24">
    <w:p w14:paraId="4F5089FD"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Komisijas paziņojums Eiropas Parlamentam, Padomei, Eiropas Ekonomikas un sociālo lietu komitejai un Reģionu komitejai “Eiropas Datu stratēģija” (COM(2020) 66 final).</w:t>
      </w:r>
    </w:p>
  </w:footnote>
  <w:footnote w:id="25">
    <w:p w14:paraId="5FCA9E07"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Regula (ES) 2021/2115 (2021. gada 2. decembris),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(OV L 435, 6.12.2021., 1. lpp.).</w:t>
      </w:r>
    </w:p>
  </w:footnote>
  <w:footnote w:id="26">
    <w:p w14:paraId="7B1D5AB1"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PB: tekstā ievietot dokumentā COM(2022) 304 ietvertās Dabas atjaunošanas regulas numuru un zemsvītras piezīmē ievietot minētās Eiropas Parlamenta un Padomes Regulas (ES) …/… par dabas atjaunošanu numuru, datumu, nosaukumu un OV atsauci.</w:t>
      </w:r>
    </w:p>
  </w:footnote>
  <w:footnote w:id="27">
    <w:p w14:paraId="302D2493"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Padomes Direktīva 91/676/EEK (1991. gada 12. decembris) attiecībā uz ūdeņu aizsardzību pret piesārņojumu, ko rada lauksaimnieciskas izcelsmes nitrāti (OV L 375, 31.12.1991., 1. lpp.).</w:t>
      </w:r>
    </w:p>
  </w:footnote>
  <w:footnote w:id="28">
    <w:p w14:paraId="4EE0E103"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Padomes Direktīva 92/43/EEK (1992. gada 21. maijs) par dabisko dzīvotņu, savvaļas faunas un floras aizsardzību (OV L 206, 22.7.1992., 7. lpp.).</w:t>
      </w:r>
    </w:p>
  </w:footnote>
  <w:footnote w:id="29">
    <w:p w14:paraId="2425001E"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Direktīva 2000/60/EK (2000. gada 23. oktobris), ar ko izveido sistēmu Kopienas rīcībai ūdens resursu politikas jomā (OV L 327, 22.12.2000., 1.–73. lpp.).</w:t>
      </w:r>
    </w:p>
  </w:footnote>
  <w:footnote w:id="30">
    <w:p w14:paraId="3A823213"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Direktīva 2007/60/EK (2007. gada 23. oktobris) par plūdu riska novērtējumu un pārvaldību (OV L 288, 6.11.2007., 27. lpp.).</w:t>
      </w:r>
    </w:p>
  </w:footnote>
  <w:footnote w:id="31">
    <w:p w14:paraId="2FC7DF11"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Komisijas paziņojums Eiropas Parlamentam, Padomei, Eiropas Ekonomikas un sociālo lietu komitejai un Reģionu komitejai “Ceļā uz klimatnoturīgu Eiropu: jaunā ES Klimatadaptācijas stratēģija” (COM(2021) 82 final).</w:t>
      </w:r>
    </w:p>
  </w:footnote>
  <w:footnote w:id="32">
    <w:p w14:paraId="21C552B0"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Regula (ES) 2018/841 (2018. gada 30. maijs) par zemes izmantošanā, zemes izmantošanas maiņā un mežsaimniecībā radušos siltumnīcefekta gāzu emisiju un piesaistes iekļaušanu klimata un enerģētikas politikas satvarā laikposmam līdz 2030. gadam un ar ko groza Regulu (ES) Nr. 525/2013 un Lēmumu Nr. 529/2013/ES (OV L 156, 19.6.2018., 1. lpp.).</w:t>
      </w:r>
    </w:p>
  </w:footnote>
  <w:footnote w:id="33">
    <w:p w14:paraId="2A01F6AA"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Regula (ES) 2018/842 (2018. gada 30. maijs) par saistošiem ikgadējiem siltumnīcefekta gāzu emisiju samazinājumiem, kas dalībvalstīm jāpanāk no 2021. līdz 2030. gadam un kas dod ieguldījumu rīcībā klimata politikas jomā, lai izpildītu Parīzes nolīgumā paredzētās saistības, un ar ko groza Regulu (ES) Nr. 525/2013 (OV L 156, 19.6.2018., 26. lpp.).</w:t>
      </w:r>
    </w:p>
  </w:footnote>
  <w:footnote w:id="34">
    <w:p w14:paraId="2860B199"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Regula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(OV L 328, 21.12.2018., 1. lpp.).</w:t>
      </w:r>
    </w:p>
  </w:footnote>
  <w:footnote w:id="35">
    <w:p w14:paraId="208A0C42"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Direktīva (ES) 2016/2284 (2016. gada 14. decembris) par dažu gaisu piesārņojošo vielu valstu emisiju samazināšanu un ar ko groza Direktīvu 2003/35/EK un atceļ Direktīvu 2001/81/EK (OV L 344, 17.12.2016., 1. lpp.).</w:t>
      </w:r>
    </w:p>
  </w:footnote>
  <w:footnote w:id="36">
    <w:p w14:paraId="6B04F300"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Lēmums Nr. 1313/2013/ES (2013. gada 17. decembris) par Savienības civilās aizsardzības mehānismu (OV L 347, 20.12.2013., 924. lpp.).</w:t>
      </w:r>
    </w:p>
  </w:footnote>
  <w:footnote w:id="37">
    <w:p w14:paraId="37EB3B97" w14:textId="77777777" w:rsidR="00857D1A" w:rsidRPr="00DF6B37" w:rsidRDefault="00857D1A" w:rsidP="00DA4F3E">
      <w:pPr>
        <w:pStyle w:val="FootnoteTextForceStyle"/>
        <w:rPr>
          <w:szCs w:val="24"/>
          <w:lang w:val="sv-SE"/>
        </w:rPr>
      </w:pPr>
      <w:r w:rsidRPr="00DF6B37">
        <w:rPr>
          <w:strike/>
          <w:szCs w:val="24"/>
          <w:vertAlign w:val="superscript"/>
        </w:rPr>
        <w:footnoteRef/>
      </w:r>
      <w:r w:rsidRPr="00DF6B37">
        <w:rPr>
          <w:szCs w:val="24"/>
          <w:lang w:val="sv-SE"/>
        </w:rPr>
        <w:tab/>
      </w:r>
      <w:r w:rsidRPr="00DF6B37">
        <w:rPr>
          <w:strike/>
          <w:szCs w:val="24"/>
          <w:lang w:val="sv-SE"/>
        </w:rPr>
        <w:t>+ PB: tekstā ievietot dokumentā COM(2022) 305 ietvertās regulas (Regula par augu aizsardzības līdzekļu ilgtspējīgu lietošanu un ar ko groza Regulu (ES) 2021/2115) numuru un zemsvītras piezīmē ievietot minētās direktīvas numuru, datumu, nosaukumu un OV atsauci.</w:t>
      </w:r>
    </w:p>
  </w:footnote>
  <w:footnote w:id="38">
    <w:p w14:paraId="5659DB9B"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Regula (ES) 2022/2379 par statistiku par lauksaimniecības ielaidi un izlaidi.</w:t>
      </w:r>
    </w:p>
  </w:footnote>
  <w:footnote w:id="39">
    <w:p w14:paraId="504ABBA6"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(2010. gada 24. novembris) Direktīva 2010/75/ES par rūpnieciskajām emisijām (OV L 334, 17.12.2010., 17. lpp.).</w:t>
      </w:r>
    </w:p>
  </w:footnote>
  <w:footnote w:id="40">
    <w:p w14:paraId="5E0DB02F"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 PB: tekstā ievietot dokumentā COM(2023) 160 ietvertās regulas (Regula, ar ko izveido satvaru, kā nodrošināt drošu un ilgtspējīgu apgādi ar kritiski svarīgām izejvielām, un groza Regulu (ES) 168/2013, (ES) 2018/858, 2018/1724 un (ES) 2019/1020) numuru un zemsvītras piezīmē ievietot minētās direktīvas numuru, datumu, nosaukumu un OV atsauci.</w:t>
      </w:r>
    </w:p>
  </w:footnote>
  <w:footnote w:id="41">
    <w:p w14:paraId="4E2CF5F5"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Konvencija par pieeju informācijai, sabiedrības dalību lēmumu pieņemšanā un iespēju griezties tiesu iestādēs saistībā ar vides jautājumiem — deklarācija (OV L 124, 17.5.2005.).</w:t>
      </w:r>
    </w:p>
  </w:footnote>
  <w:footnote w:id="42">
    <w:p w14:paraId="2DE48DA6"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Direktīva (ES) 2019/1024 (2019. gada 20. jūnijs) par atvērtajiem datiem un publiskā sektora informācijas atkalizmantošanu (OV L 172, 26.6.2019., 56. lpp.).</w:t>
      </w:r>
    </w:p>
  </w:footnote>
  <w:footnote w:id="43">
    <w:p w14:paraId="341AE462"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Direktīva 2003/4/EK (2003. ada 28. janvāris) par vides informācijas pieejamību sabiedrībai un par Padomes Direktīvas 90/313/EEK atcelšanu (OV L 41, 14.2.2003., 26. lpp.).</w:t>
      </w:r>
    </w:p>
  </w:footnote>
  <w:footnote w:id="44">
    <w:p w14:paraId="06B85D98"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Direktīva 2007/2/EK (2007. gada 14. marts), ar ko izveido Telpiskās informācijas infrastruktūru Eiropas Kopienā (INSPIRE) (OV L 108, 25.4.2007., 1. lpp.).</w:t>
      </w:r>
    </w:p>
  </w:footnote>
  <w:footnote w:id="45">
    <w:p w14:paraId="69EB4976"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Iestāžu nolīgums (2016. gada 13. aprīlis) starp Eiropas Parlamentu, Eiropas Savienības Padomi un Eiropas Komisiju par labāku likumdošanas procesu (OV L 123, 12.5.2016., 1. lpp.).</w:t>
      </w:r>
    </w:p>
  </w:footnote>
  <w:footnote w:id="46">
    <w:p w14:paraId="026E2B62" w14:textId="77777777" w:rsidR="00857D1A" w:rsidRPr="00DF6B37" w:rsidRDefault="00857D1A" w:rsidP="00DA4F3E">
      <w:pPr>
        <w:pStyle w:val="FootnoteTextForceStyle"/>
        <w:rPr>
          <w:szCs w:val="24"/>
          <w:lang w:val="sv-SE"/>
        </w:rPr>
      </w:pPr>
      <w:r w:rsidRPr="00DF6B37">
        <w:rPr>
          <w:szCs w:val="24"/>
          <w:vertAlign w:val="superscript"/>
        </w:rPr>
        <w:footnoteRef/>
      </w:r>
      <w:r w:rsidRPr="00DF6B37">
        <w:rPr>
          <w:szCs w:val="24"/>
          <w:lang w:val="sv-SE"/>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47">
    <w:p w14:paraId="5782F736"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t>OV C 369, 17.12.2011., 14. lpp.</w:t>
      </w:r>
    </w:p>
  </w:footnote>
  <w:footnote w:id="48">
    <w:p w14:paraId="5652BDB1"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t>https://www.fao.org/soils-portal/data-hub/soil-classification/world-reference-base/en/.</w:t>
      </w:r>
    </w:p>
  </w:footnote>
  <w:footnote w:id="49">
    <w:p w14:paraId="3F440F6F"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t>M.J. Metzger, A.D. Shkaruba, R.H.G. Jongman and R.G.H. Bunce, Descriptions of the European Environmental Zones and Strata, Alterra Report 2281 ISSN 1566-7197.</w:t>
      </w:r>
    </w:p>
  </w:footnote>
  <w:footnote w:id="50">
    <w:p w14:paraId="3110F0E3"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r>
      <w:r w:rsidRPr="00DF6B37">
        <w:rPr>
          <w:b/>
          <w:i/>
          <w:szCs w:val="24"/>
          <w:lang w:val="da-DK"/>
        </w:rPr>
        <w:t>Eiropas Parlamenta un Padomes Regula (EK) Nr. 223/2009 (2009. gada 11. marts) par Eiropas statistiku un ar ko atceļ Eiropas Parlamenta un Padomes Regulu (EK, Euratom) Nr. 1101/2008 par tādas statistikas informācijas nosūtīšanu Eiropas Kopienu Statistikas birojam, uz kuru attiecas konfidencialitāte, Padomes Regulu (EK) Nr. 322/97 par Kopienas statistiku un Padomes Lēmumu 89/382/EEK, Euratom, ar ko nodibina Eiropas Kopienu Statistikas programmu komiteju (OV L 087, 31.3.2009., 164. lpp.).</w:t>
      </w:r>
    </w:p>
  </w:footnote>
  <w:footnote w:id="51">
    <w:p w14:paraId="71F60CF4"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t>Eiropas Parlamenta un Padomes Direktīva 2012/18/ES (2012. gada 4. jūlijs) par lielu ar bīstamām vielām saistītu avāriju risku pārvaldību, ar kuru groza un vēlāk atceļ Padomes Direktīvu 96/82/EK (OV L 197, 24.7.2012., 1. lpp.).</w:t>
      </w:r>
    </w:p>
  </w:footnote>
  <w:footnote w:id="52">
    <w:p w14:paraId="075BDA57" w14:textId="77777777" w:rsidR="00857D1A" w:rsidRPr="00DF6B37" w:rsidRDefault="00857D1A" w:rsidP="00DA4F3E">
      <w:pPr>
        <w:pStyle w:val="FootnoteTextForceStyle"/>
        <w:rPr>
          <w:szCs w:val="24"/>
          <w:lang w:val="da-DK"/>
        </w:rPr>
      </w:pPr>
      <w:r w:rsidRPr="00DF6B37">
        <w:rPr>
          <w:strike/>
          <w:szCs w:val="24"/>
          <w:vertAlign w:val="superscript"/>
        </w:rPr>
        <w:footnoteRef/>
      </w:r>
      <w:r w:rsidRPr="00DF6B37">
        <w:rPr>
          <w:szCs w:val="24"/>
          <w:lang w:val="da-DK"/>
        </w:rPr>
        <w:tab/>
      </w:r>
      <w:r w:rsidRPr="00DF6B37">
        <w:rPr>
          <w:strike/>
          <w:szCs w:val="24"/>
          <w:lang w:val="da-DK"/>
        </w:rPr>
        <w:t>Eiropas Parlamenta un Padomes Direktīva 2004/35/EK (2004. gada 21. aprīlis) par atbildību vides jomā attiecībā uz videi nodarītā kaitējuma novēršanu un atlīdzināšanu (OV L 143, 30.4.2004., 56. lpp.).</w:t>
      </w:r>
    </w:p>
  </w:footnote>
  <w:footnote w:id="53">
    <w:p w14:paraId="69D3EC15"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t>Eiropas Parlamenta un Padomes Direktīva 2003/4/EK (2003. gada 28. janvāris) par vides informācijas pieejamību sabiedrībai un par Padomes Direktīvas 90/313/EEK atcelšanu (OV L 41, 14.2.2003., 26. lpp.).</w:t>
      </w:r>
    </w:p>
  </w:footnote>
  <w:footnote w:id="54">
    <w:p w14:paraId="0214CF7A"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t>Eiropas Parlamenta un Padomes Direktīva 2007/2/EK (2007. gada 14. marts), ar ko izveido Telpiskās informācijas infrastruktūru Eiropas Kopienā (INSPIRE) (OV L 108, 25.4.2007., 1. lpp.).</w:t>
      </w:r>
    </w:p>
  </w:footnote>
  <w:footnote w:id="55">
    <w:p w14:paraId="736839BC"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56">
    <w:p w14:paraId="007BC6E8"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t>Eiropas Parlamenta un Padomes Regula (EK) Nr. 1367/2006 (2006. gada 6. septembris) par to, kā Kopienas iestādēm un struktūrām piemērot Orhūsas Konvenciju par pieeju informācijai, sabiedrības dalību lēmumu pieņemšanā un iespēju griezties tiesu iestādēs saistībā ar vides jautājumiem (OV L 264, 25.9.2006., 13. lpp.).</w:t>
      </w:r>
    </w:p>
  </w:footnote>
  <w:footnote w:id="57">
    <w:p w14:paraId="278A622A" w14:textId="77777777" w:rsidR="00857D1A" w:rsidRPr="00DF6B37" w:rsidRDefault="00857D1A" w:rsidP="00DA4F3E">
      <w:pPr>
        <w:pStyle w:val="FootnoteTextForceStyle"/>
        <w:rPr>
          <w:szCs w:val="24"/>
          <w:lang w:val="da-DK"/>
        </w:rPr>
      </w:pPr>
      <w:r w:rsidRPr="00DF6B37">
        <w:rPr>
          <w:szCs w:val="24"/>
          <w:vertAlign w:val="superscript"/>
        </w:rPr>
        <w:footnoteRef/>
      </w:r>
      <w:r w:rsidRPr="00DF6B37">
        <w:rPr>
          <w:szCs w:val="24"/>
          <w:lang w:val="da-DK"/>
        </w:rPr>
        <w:tab/>
        <w:t>Eiropas Parlamenta un Padomes Direktīva (ES) 2019/1024 (2019. gada 20. jūnijs) par atvērtajiem datiem un publiskā sektora informācijas atkalizmantošanu (OV L 172, 26.6.2019., 56. lpp.).</w:t>
      </w:r>
    </w:p>
  </w:footnote>
  <w:footnote w:id="58">
    <w:p w14:paraId="49CE75D1" w14:textId="79C4C9FD" w:rsidR="006D71D8" w:rsidRPr="00DF6B37" w:rsidRDefault="006D71D8" w:rsidP="00DF6B37">
      <w:pPr>
        <w:pStyle w:val="FootnoteTextForceStyle"/>
        <w:rPr>
          <w:strike/>
          <w:szCs w:val="24"/>
          <w:lang w:val="da-DK"/>
        </w:rPr>
      </w:pPr>
      <w:r w:rsidRPr="00DF6B37">
        <w:rPr>
          <w:rStyle w:val="FootnoteReference"/>
          <w:strike/>
          <w:szCs w:val="24"/>
        </w:rPr>
        <w:sym w:font="Symbol" w:char="F02B"/>
      </w:r>
      <w:r w:rsidRPr="00DF6B37">
        <w:rPr>
          <w:strike/>
          <w:szCs w:val="24"/>
          <w:lang w:val="da-DK"/>
        </w:rPr>
        <w:t xml:space="preserve"> </w:t>
      </w:r>
      <w:r w:rsidRPr="00DF6B37">
        <w:rPr>
          <w:strike/>
          <w:szCs w:val="24"/>
          <w:lang w:val="da-DK"/>
        </w:rPr>
        <w:tab/>
        <w:t xml:space="preserve">Publikāciju birojam: tekstā ievietot dokumentā </w:t>
      </w:r>
      <w:proofErr w:type="gramStart"/>
      <w:r w:rsidRPr="00DF6B37">
        <w:rPr>
          <w:strike/>
          <w:szCs w:val="24"/>
          <w:lang w:val="da-DK"/>
        </w:rPr>
        <w:t>COM(</w:t>
      </w:r>
      <w:proofErr w:type="gramEnd"/>
      <w:r w:rsidRPr="00DF6B37">
        <w:rPr>
          <w:strike/>
          <w:szCs w:val="24"/>
          <w:lang w:val="da-DK"/>
        </w:rPr>
        <w:t>2022) 304 ietvertās Dabas atjaunošanas regulas numuru.</w:t>
      </w:r>
    </w:p>
  </w:footnote>
  <w:footnote w:id="59">
    <w:p w14:paraId="40FF928F" w14:textId="5F145F7D" w:rsidR="00857D1A" w:rsidRPr="00DF6B37" w:rsidRDefault="00857D1A" w:rsidP="00DF6B37">
      <w:pPr>
        <w:pStyle w:val="FootnoteTextForceStyle"/>
        <w:rPr>
          <w:strike/>
          <w:szCs w:val="24"/>
          <w:lang w:val="da-DK"/>
        </w:rPr>
      </w:pPr>
      <w:r w:rsidRPr="00DF6B37">
        <w:rPr>
          <w:rStyle w:val="FootnoteReference"/>
          <w:strike/>
          <w:szCs w:val="24"/>
        </w:rPr>
        <w:footnoteRef/>
      </w:r>
      <w:r w:rsidRPr="00DF6B37">
        <w:rPr>
          <w:strike/>
          <w:szCs w:val="24"/>
          <w:lang w:val="da-DK"/>
        </w:rPr>
        <w:t xml:space="preserve"> </w:t>
      </w:r>
      <w:r w:rsidRPr="00DF6B37">
        <w:rPr>
          <w:strike/>
          <w:szCs w:val="24"/>
          <w:lang w:val="da-DK"/>
        </w:rPr>
        <w:tab/>
      </w:r>
      <w:r w:rsidRPr="00DF6B37">
        <w:rPr>
          <w:b/>
          <w:i/>
          <w:strike/>
          <w:szCs w:val="24"/>
          <w:lang w:val="da-DK"/>
        </w:rPr>
        <w:t>Definēts FAO Augsnes raksturošanas vadlīniju 5. nodaļā (</w:t>
      </w:r>
      <w:hyperlink r:id="rId1" w:history="1">
        <w:r w:rsidRPr="00DF6B37">
          <w:rPr>
            <w:rStyle w:val="Hyperlink"/>
            <w:b/>
            <w:i/>
            <w:strike/>
            <w:color w:val="auto"/>
            <w:szCs w:val="24"/>
            <w:u w:val="none"/>
            <w:lang w:val="da-DK"/>
          </w:rPr>
          <w:t>https://www.fao.org/3/a0541e/a0541e.pdf</w:t>
        </w:r>
      </w:hyperlink>
      <w:r w:rsidRPr="00DF6B37">
        <w:rPr>
          <w:b/>
          <w:i/>
          <w:strike/>
          <w:szCs w:val="24"/>
          <w:lang w:val="da-DK"/>
        </w:rPr>
        <w:t>).</w:t>
      </w:r>
    </w:p>
  </w:footnote>
  <w:footnote w:id="60">
    <w:p w14:paraId="3E6A0F8E" w14:textId="77777777" w:rsidR="00857D1A" w:rsidRPr="00DF6B37" w:rsidRDefault="00857D1A" w:rsidP="00DF6B37">
      <w:pPr>
        <w:pStyle w:val="FootnoteTextForceStyle"/>
        <w:rPr>
          <w:strike/>
          <w:szCs w:val="24"/>
          <w:lang w:val="lv-LV"/>
        </w:rPr>
      </w:pPr>
      <w:r w:rsidRPr="00DF6B37">
        <w:rPr>
          <w:rStyle w:val="FootnoteReference"/>
          <w:strike/>
          <w:szCs w:val="24"/>
          <w:lang w:val="lv-LV"/>
        </w:rPr>
        <w:footnoteRef/>
      </w:r>
      <w:r w:rsidRPr="00DF6B37">
        <w:rPr>
          <w:strike/>
          <w:szCs w:val="24"/>
          <w:lang w:val="lv-LV"/>
        </w:rPr>
        <w:t xml:space="preserve"> </w:t>
      </w:r>
      <w:r w:rsidRPr="00DF6B37">
        <w:rPr>
          <w:strike/>
          <w:szCs w:val="24"/>
          <w:lang w:val="lv-LV"/>
        </w:rPr>
        <w:tab/>
        <w:t>Definēts Arshad, M.A., B. Lowery, and B. Grossman. 1996. Physical tests for monitoring soil quality. p.123-142. Publicēts: J.W. Doran and A.J. Jones (eds.) Methods for assessing soil quality. Soil Sci. Soc. Am. Spec. Publ. 49. SSSA, Madison, WI.</w:t>
      </w:r>
    </w:p>
  </w:footnote>
  <w:footnote w:id="61">
    <w:p w14:paraId="4192A397" w14:textId="77777777" w:rsidR="00857D1A" w:rsidRPr="00DF6B37" w:rsidRDefault="00857D1A" w:rsidP="00DA4F3E">
      <w:pPr>
        <w:pStyle w:val="FootnoteTextForceStyle"/>
        <w:rPr>
          <w:strike/>
          <w:szCs w:val="24"/>
          <w:lang w:val="lv-LV"/>
        </w:rPr>
      </w:pPr>
      <w:r w:rsidRPr="00DF6B37">
        <w:rPr>
          <w:strike/>
          <w:szCs w:val="24"/>
          <w:vertAlign w:val="superscript"/>
          <w:lang w:val="lv-LV"/>
        </w:rPr>
        <w:t>4</w:t>
      </w:r>
      <w:r w:rsidRPr="00DF6B37">
        <w:rPr>
          <w:strike/>
          <w:szCs w:val="24"/>
          <w:lang w:val="lv-LV"/>
        </w:rPr>
        <w:tab/>
        <w:t>Padomes Direktīva 92/43/EEK (1992. gada 21. maijs) par dabisko dzīvotņu, savvaļas faunas un floras aizsardzību (OV L 206, 22.7.1992., 7. lpp.).</w:t>
      </w:r>
    </w:p>
  </w:footnote>
  <w:footnote w:id="62">
    <w:p w14:paraId="537D1611" w14:textId="1690AA40" w:rsidR="004060C8" w:rsidRPr="00DF6B37" w:rsidRDefault="004060C8" w:rsidP="00DF6B37">
      <w:pPr>
        <w:pStyle w:val="FootnoteTextForceStyle"/>
        <w:rPr>
          <w:szCs w:val="24"/>
          <w:lang w:val="lv-LV"/>
        </w:rPr>
      </w:pPr>
      <w:r w:rsidRPr="00DF6B37">
        <w:rPr>
          <w:rStyle w:val="FootnoteReference"/>
          <w:strike/>
          <w:szCs w:val="24"/>
        </w:rPr>
        <w:footnoteRef/>
      </w:r>
      <w:r w:rsidRPr="00DF6B37">
        <w:rPr>
          <w:strike/>
          <w:szCs w:val="24"/>
          <w:lang w:val="lv-LV"/>
        </w:rPr>
        <w:t xml:space="preserve"> </w:t>
      </w:r>
      <w:r w:rsidRPr="00DF6B37">
        <w:rPr>
          <w:szCs w:val="24"/>
          <w:lang w:val="lv-LV"/>
        </w:rPr>
        <w:tab/>
      </w:r>
      <w:r w:rsidRPr="00DF6B37">
        <w:rPr>
          <w:strike/>
          <w:szCs w:val="24"/>
          <w:lang w:val="lv-LV"/>
        </w:rPr>
        <w:t>Definēti FAO Augsnes raksturošanas vadlīniju 5. </w:t>
      </w:r>
      <w:r w:rsidRPr="00DF6B37">
        <w:rPr>
          <w:strike/>
          <w:szCs w:val="24"/>
          <w:lang w:val="lv-LV"/>
        </w:rPr>
        <w:t>nodaļā (</w:t>
      </w:r>
      <w:hyperlink r:id="rId2" w:history="1">
        <w:r w:rsidRPr="00DF6B37">
          <w:rPr>
            <w:rStyle w:val="Hyperlink"/>
            <w:strike/>
            <w:color w:val="auto"/>
            <w:szCs w:val="24"/>
            <w:u w:val="none"/>
            <w:lang w:val="lv-LV"/>
          </w:rPr>
          <w:t>https://www.fao.org/3/a0541e/a0541e.pdf</w:t>
        </w:r>
      </w:hyperlink>
      <w:r w:rsidRPr="00DF6B37">
        <w:rPr>
          <w:strike/>
          <w:szCs w:val="24"/>
          <w:lang w:val="lv-LV"/>
        </w:rPr>
        <w:t>).</w:t>
      </w:r>
    </w:p>
  </w:footnote>
  <w:footnote w:id="63">
    <w:p w14:paraId="55D3EF85" w14:textId="74B283FA" w:rsidR="004111BE" w:rsidRPr="00DF6B37" w:rsidRDefault="004111BE" w:rsidP="00DF6B37">
      <w:pPr>
        <w:pStyle w:val="FootnoteTextForceStyle"/>
        <w:rPr>
          <w:szCs w:val="24"/>
        </w:rPr>
      </w:pPr>
      <w:r w:rsidRPr="00DF6B37">
        <w:rPr>
          <w:rStyle w:val="FootnoteReference"/>
          <w:strike/>
          <w:szCs w:val="24"/>
        </w:rPr>
        <w:footnoteRef/>
      </w:r>
      <w:r w:rsidRPr="00DF6B37">
        <w:rPr>
          <w:strike/>
          <w:szCs w:val="24"/>
        </w:rPr>
        <w:t xml:space="preserve"> </w:t>
      </w:r>
      <w:r w:rsidRPr="00DF6B37">
        <w:rPr>
          <w:szCs w:val="24"/>
          <w:lang w:val="lv-LV"/>
        </w:rPr>
        <w:tab/>
      </w:r>
      <w:r w:rsidRPr="00DF6B37">
        <w:rPr>
          <w:strike/>
          <w:szCs w:val="24"/>
        </w:rPr>
        <w:t>Bethel, J. 1989. “Sample Allocation in Multivariate Surveys.” Survey Methodology 15: 47–57.</w:t>
      </w:r>
    </w:p>
  </w:footnote>
  <w:footnote w:id="64">
    <w:p w14:paraId="3D3DB38A" w14:textId="5D887E51" w:rsidR="00907A80" w:rsidRPr="00DF6B37" w:rsidRDefault="00907A80" w:rsidP="00DF6B37">
      <w:pPr>
        <w:pStyle w:val="FootnoteTextForceStyle"/>
        <w:rPr>
          <w:strike/>
          <w:szCs w:val="24"/>
        </w:rPr>
      </w:pPr>
      <w:r w:rsidRPr="00DF6B37">
        <w:rPr>
          <w:rStyle w:val="FootnoteReference"/>
          <w:strike/>
          <w:szCs w:val="24"/>
        </w:rPr>
        <w:footnoteRef/>
      </w:r>
      <w:r w:rsidRPr="00DF6B37">
        <w:rPr>
          <w:strike/>
          <w:szCs w:val="24"/>
        </w:rPr>
        <w:t xml:space="preserve"> </w:t>
      </w:r>
      <w:r w:rsidRPr="00DF6B37">
        <w:rPr>
          <w:strike/>
          <w:szCs w:val="24"/>
        </w:rPr>
        <w:tab/>
        <w:t xml:space="preserve">Metodikas, kas atšķiras no atsauces metodikas, ir vai nu pieejamas zinātniskajā literatūrā, </w:t>
      </w:r>
      <w:r w:rsidRPr="00DF6B37">
        <w:rPr>
          <w:b/>
          <w:i/>
          <w:strike/>
          <w:szCs w:val="24"/>
        </w:rPr>
        <w:t>vai publiski pieejamas.</w:t>
      </w:r>
      <w:r w:rsidRPr="00DF6B37">
        <w:rPr>
          <w:strike/>
          <w:szCs w:val="24"/>
        </w:rPr>
        <w:t xml:space="preserve"> </w:t>
      </w:r>
    </w:p>
  </w:footnote>
  <w:footnote w:id="65">
    <w:p w14:paraId="522A22DA" w14:textId="283A97D9" w:rsidR="00907A80" w:rsidRPr="00DF6B37" w:rsidRDefault="00907A80" w:rsidP="00DF6B37">
      <w:pPr>
        <w:pStyle w:val="FootnoteTextForceStyle"/>
        <w:rPr>
          <w:szCs w:val="24"/>
        </w:rPr>
      </w:pPr>
      <w:r w:rsidRPr="00DF6B37">
        <w:rPr>
          <w:rStyle w:val="FootnoteReference"/>
          <w:strike/>
          <w:szCs w:val="24"/>
        </w:rPr>
        <w:footnoteRef/>
      </w:r>
      <w:r w:rsidRPr="00DF6B37">
        <w:rPr>
          <w:strike/>
          <w:szCs w:val="24"/>
        </w:rPr>
        <w:t xml:space="preserve"> </w:t>
      </w:r>
      <w:r w:rsidRPr="00DF6B37">
        <w:rPr>
          <w:szCs w:val="24"/>
        </w:rPr>
        <w:tab/>
      </w:r>
      <w:hyperlink r:id="rId3" w:history="1">
        <w:r w:rsidRPr="00DF6B37">
          <w:rPr>
            <w:rStyle w:val="Hyperlink1"/>
            <w:strike/>
            <w:szCs w:val="24"/>
            <w:u w:val="none"/>
            <w:lang w:val="en-IE"/>
          </w:rPr>
          <w:t>https://www.fao.org/3/cb3355en/cb3355en.pdf</w:t>
        </w:r>
      </w:hyperlink>
    </w:p>
  </w:footnote>
  <w:footnote w:id="66">
    <w:p w14:paraId="19725F39" w14:textId="7CFA28C8" w:rsidR="00907A80" w:rsidRPr="00DF6B37" w:rsidRDefault="00907A80" w:rsidP="00DF6B37">
      <w:pPr>
        <w:pStyle w:val="FootnoteTextForceStyle"/>
        <w:rPr>
          <w:strike/>
          <w:szCs w:val="24"/>
        </w:rPr>
      </w:pPr>
      <w:r w:rsidRPr="00DF6B37">
        <w:rPr>
          <w:rStyle w:val="FootnoteReference"/>
          <w:strike/>
          <w:szCs w:val="24"/>
        </w:rPr>
        <w:footnoteRef/>
      </w:r>
      <w:r w:rsidRPr="00DF6B37">
        <w:rPr>
          <w:strike/>
          <w:szCs w:val="24"/>
        </w:rPr>
        <w:t xml:space="preserve"> </w:t>
      </w:r>
      <w:r w:rsidRPr="00DF6B37">
        <w:rPr>
          <w:strike/>
          <w:szCs w:val="24"/>
        </w:rPr>
        <w:tab/>
      </w:r>
      <w:r w:rsidRPr="00DF6B37">
        <w:rPr>
          <w:b/>
          <w:i/>
          <w:strike/>
          <w:szCs w:val="24"/>
        </w:rPr>
        <w:t>Definēts FAO Augsnes raksturošanas vadlīniju 5. </w:t>
      </w:r>
      <w:proofErr w:type="gramStart"/>
      <w:r w:rsidRPr="00DF6B37">
        <w:rPr>
          <w:b/>
          <w:i/>
          <w:strike/>
          <w:szCs w:val="24"/>
        </w:rPr>
        <w:t>nodaļā</w:t>
      </w:r>
      <w:proofErr w:type="gramEnd"/>
      <w:r w:rsidRPr="00DF6B37">
        <w:rPr>
          <w:b/>
          <w:i/>
          <w:strike/>
          <w:szCs w:val="24"/>
        </w:rPr>
        <w:t xml:space="preserve"> (</w:t>
      </w:r>
      <w:hyperlink r:id="rId4" w:history="1">
        <w:r w:rsidRPr="00DF6B37">
          <w:rPr>
            <w:rStyle w:val="Hyperlink"/>
            <w:b/>
            <w:i/>
            <w:strike/>
            <w:color w:val="auto"/>
            <w:szCs w:val="24"/>
            <w:u w:val="none"/>
          </w:rPr>
          <w:t>https://www.fao.org/3/a0541e/a0541e.pdf</w:t>
        </w:r>
      </w:hyperlink>
      <w:r w:rsidRPr="00DF6B37">
        <w:rPr>
          <w:b/>
          <w:i/>
          <w:strike/>
          <w:szCs w:val="24"/>
        </w:rPr>
        <w:t>).</w:t>
      </w:r>
    </w:p>
  </w:footnote>
  <w:footnote w:id="67">
    <w:p w14:paraId="28EE72E2" w14:textId="0811E423" w:rsidR="00907A80" w:rsidRPr="00DF6B37" w:rsidRDefault="00907A80" w:rsidP="00DF6B37">
      <w:pPr>
        <w:pStyle w:val="FootnoteTextForceStyle"/>
        <w:rPr>
          <w:strike/>
          <w:szCs w:val="24"/>
        </w:rPr>
      </w:pPr>
      <w:r w:rsidRPr="00DF6B37">
        <w:rPr>
          <w:rStyle w:val="FootnoteReference"/>
          <w:strike/>
          <w:szCs w:val="24"/>
        </w:rPr>
        <w:footnoteRef/>
      </w:r>
      <w:r w:rsidRPr="00DF6B37">
        <w:rPr>
          <w:strike/>
          <w:szCs w:val="24"/>
        </w:rPr>
        <w:t xml:space="preserve"> </w:t>
      </w:r>
      <w:r w:rsidRPr="00DF6B37">
        <w:rPr>
          <w:strike/>
          <w:szCs w:val="24"/>
        </w:rPr>
        <w:tab/>
      </w:r>
      <w:r w:rsidRPr="00DF6B37">
        <w:rPr>
          <w:b/>
          <w:i/>
          <w:strike/>
          <w:szCs w:val="24"/>
        </w:rPr>
        <w:t xml:space="preserve">Pielīdzināms saskaņā ar EVA ziņojumu </w:t>
      </w:r>
      <w:hyperlink r:id="rId5" w:history="1">
        <w:r w:rsidRPr="00DF6B37">
          <w:rPr>
            <w:rStyle w:val="Hyperlink"/>
            <w:b/>
            <w:i/>
            <w:strike/>
            <w:color w:val="auto"/>
            <w:szCs w:val="24"/>
            <w:u w:val="none"/>
          </w:rPr>
          <w:t>Soil monitoring in Europe – Indicators and thresholds for soil health assessments — Eiropas Vides aģentūra (europa.eu).</w:t>
        </w:r>
      </w:hyperlink>
    </w:p>
  </w:footnote>
  <w:footnote w:id="68">
    <w:p w14:paraId="130118FE" w14:textId="77777777" w:rsidR="006C20A6" w:rsidRPr="00DF6B37" w:rsidRDefault="006C20A6" w:rsidP="00DF6B37">
      <w:pPr>
        <w:pStyle w:val="FootnoteTextForceStyle"/>
        <w:rPr>
          <w:strike/>
          <w:szCs w:val="24"/>
          <w:lang w:val="lv-LV"/>
        </w:rPr>
      </w:pPr>
      <w:r w:rsidRPr="00DF6B37">
        <w:rPr>
          <w:rStyle w:val="FootnoteReference"/>
          <w:strike/>
          <w:szCs w:val="24"/>
          <w:lang w:val="lv-LV"/>
        </w:rPr>
        <w:footnoteRef/>
      </w:r>
      <w:r w:rsidRPr="00DF6B37">
        <w:rPr>
          <w:strike/>
          <w:szCs w:val="24"/>
          <w:lang w:val="lv-LV"/>
        </w:rPr>
        <w:t xml:space="preserve"> </w:t>
      </w:r>
      <w:r w:rsidRPr="00DF6B37">
        <w:rPr>
          <w:strike/>
          <w:szCs w:val="24"/>
          <w:lang w:val="lv-LV"/>
        </w:rPr>
        <w:tab/>
        <w:t>Definēti FAO Augsnes raksturošanas vadlīniju 5. nodaļā (</w:t>
      </w:r>
      <w:hyperlink r:id="rId6" w:history="1">
        <w:r w:rsidRPr="00DF6B37">
          <w:rPr>
            <w:rStyle w:val="Hyperlink"/>
            <w:strike/>
            <w:szCs w:val="24"/>
            <w:u w:val="none"/>
            <w:lang w:val="lv-LV"/>
          </w:rPr>
          <w:t>https://www.fao.org/3/a0541e/a0541e.pdf</w:t>
        </w:r>
      </w:hyperlink>
      <w:r w:rsidRPr="00DF6B37">
        <w:rPr>
          <w:strike/>
          <w:szCs w:val="24"/>
          <w:lang w:val="lv-LV"/>
        </w:rPr>
        <w:t xml:space="preserve">). </w:t>
      </w:r>
    </w:p>
  </w:footnote>
  <w:footnote w:id="69">
    <w:p w14:paraId="133116F7" w14:textId="641C05F2" w:rsidR="006E4E88" w:rsidRPr="00DF6B37" w:rsidRDefault="006E4E88" w:rsidP="00DF6B37">
      <w:pPr>
        <w:pStyle w:val="FootnoteTextForceStyle"/>
        <w:rPr>
          <w:strike/>
          <w:szCs w:val="24"/>
          <w:lang w:val="lv-LV"/>
        </w:rPr>
      </w:pPr>
      <w:r w:rsidRPr="00DF6B37">
        <w:rPr>
          <w:rStyle w:val="FootnoteReference"/>
          <w:strike/>
          <w:szCs w:val="24"/>
        </w:rPr>
        <w:footnoteRef/>
      </w:r>
      <w:r w:rsidRPr="00DF6B37">
        <w:rPr>
          <w:strike/>
          <w:szCs w:val="24"/>
          <w:lang w:val="lv-LV"/>
        </w:rPr>
        <w:t xml:space="preserve"> </w:t>
      </w:r>
      <w:r w:rsidRPr="00DF6B37">
        <w:rPr>
          <w:strike/>
          <w:szCs w:val="24"/>
          <w:lang w:val="lv-LV"/>
        </w:rPr>
        <w:tab/>
      </w:r>
      <w:r w:rsidRPr="00DF6B37">
        <w:rPr>
          <w:b/>
          <w:i/>
          <w:strike/>
          <w:szCs w:val="24"/>
          <w:lang w:val="lv-LV"/>
        </w:rPr>
        <w:t xml:space="preserve">DNS svītrkodu sekvencēšana arheju, baktēriju, sēņu un citu eikariotu taksonomiskās un funkcionālās daudzveidības mērīšanai, kā darīts LUCAS augsnes biodaudzveidības noteikšanai, saskaņā ar </w:t>
      </w:r>
      <w:hyperlink r:id="rId7" w:history="1">
        <w:r w:rsidRPr="00DF6B37">
          <w:rPr>
            <w:rStyle w:val="Hyperlink"/>
            <w:b/>
            <w:i/>
            <w:strike/>
            <w:color w:val="auto"/>
            <w:szCs w:val="24"/>
            <w:u w:val="none"/>
            <w:lang w:val="lv-LV"/>
          </w:rPr>
          <w:t>https://doi.org/10.1111/ejss.13299</w:t>
        </w:r>
      </w:hyperlink>
      <w:r w:rsidRPr="00DF6B37">
        <w:rPr>
          <w:strike/>
          <w:szCs w:val="24"/>
          <w:lang w:val="lv-LV"/>
        </w:rPr>
        <w:t>.</w:t>
      </w:r>
    </w:p>
  </w:footnote>
  <w:footnote w:id="70">
    <w:p w14:paraId="536B070C" w14:textId="286B40AD" w:rsidR="006E4E88" w:rsidRPr="00DF6B37" w:rsidRDefault="006E4E88" w:rsidP="00DF6B37">
      <w:pPr>
        <w:pStyle w:val="FootnoteTextForceStyle"/>
        <w:rPr>
          <w:strike/>
          <w:szCs w:val="24"/>
          <w:lang w:val="lv-LV"/>
        </w:rPr>
      </w:pPr>
      <w:r w:rsidRPr="00DF6B37">
        <w:rPr>
          <w:rStyle w:val="FootnoteReference"/>
          <w:strike/>
          <w:szCs w:val="24"/>
        </w:rPr>
        <w:footnoteRef/>
      </w:r>
      <w:r w:rsidRPr="00DF6B37">
        <w:rPr>
          <w:strike/>
          <w:szCs w:val="24"/>
          <w:lang w:val="lv-LV"/>
        </w:rPr>
        <w:t xml:space="preserve"> </w:t>
      </w:r>
      <w:r w:rsidRPr="00DF6B37">
        <w:rPr>
          <w:strike/>
          <w:szCs w:val="24"/>
          <w:lang w:val="lv-LV"/>
        </w:rPr>
        <w:tab/>
      </w:r>
      <w:hyperlink r:id="rId8" w:history="1">
        <w:r w:rsidRPr="00DF6B37">
          <w:rPr>
            <w:rStyle w:val="Hyperlink"/>
            <w:b/>
            <w:i/>
            <w:strike/>
            <w:color w:val="auto"/>
            <w:szCs w:val="24"/>
            <w:u w:val="none"/>
            <w:lang w:val="lv-LV"/>
          </w:rPr>
          <w:t>https://www.sciencedirect.com/science/article/abs/pii/S0038071797001259</w:t>
        </w:r>
      </w:hyperlink>
      <w:r w:rsidRPr="00DF6B37">
        <w:rPr>
          <w:strike/>
          <w:szCs w:val="24"/>
          <w:lang w:val="lv-LV"/>
        </w:rPr>
        <w:t>.</w:t>
      </w:r>
    </w:p>
  </w:footnote>
  <w:footnote w:id="71">
    <w:p w14:paraId="38FD322A" w14:textId="10E6BA4F" w:rsidR="001F6A70" w:rsidRPr="00DF6B37" w:rsidRDefault="001F6A70" w:rsidP="00DF6B37">
      <w:pPr>
        <w:pStyle w:val="FootnoteTextForceStyle"/>
        <w:rPr>
          <w:szCs w:val="24"/>
          <w:lang w:val="lv-LV"/>
        </w:rPr>
      </w:pPr>
      <w:r w:rsidRPr="00DF6B37">
        <w:rPr>
          <w:rStyle w:val="FootnoteReference"/>
          <w:szCs w:val="24"/>
        </w:rPr>
        <w:footnoteRef/>
      </w:r>
      <w:r w:rsidRPr="00DF6B37">
        <w:rPr>
          <w:szCs w:val="24"/>
          <w:lang w:val="lv-LV"/>
        </w:rPr>
        <w:t xml:space="preserve"> </w:t>
      </w:r>
      <w:r w:rsidRPr="00DF6B37">
        <w:rPr>
          <w:szCs w:val="24"/>
          <w:lang w:val="lv-LV"/>
        </w:rPr>
        <w:tab/>
      </w:r>
      <w:r w:rsidRPr="00DF6B37">
        <w:rPr>
          <w:b/>
          <w:i/>
          <w:szCs w:val="24"/>
          <w:lang w:val="lv-LV"/>
        </w:rPr>
        <w:t>https://www.fao.org/3/cb3355en/cb3355en.pdf</w:t>
      </w:r>
    </w:p>
  </w:footnote>
  <w:footnote w:id="72">
    <w:p w14:paraId="0895174E" w14:textId="1CC5FF08" w:rsidR="001F6A70" w:rsidRPr="00DF6B37" w:rsidRDefault="001F6A70" w:rsidP="00DF6B37">
      <w:pPr>
        <w:pStyle w:val="FootnoteTextForceStyle"/>
        <w:rPr>
          <w:szCs w:val="24"/>
          <w:lang w:val="lv-LV"/>
        </w:rPr>
      </w:pPr>
      <w:r w:rsidRPr="00DF6B37">
        <w:rPr>
          <w:rStyle w:val="FootnoteReference"/>
          <w:szCs w:val="24"/>
        </w:rPr>
        <w:footnoteRef/>
      </w:r>
      <w:r w:rsidRPr="00DF6B37">
        <w:rPr>
          <w:szCs w:val="24"/>
          <w:lang w:val="lv-LV"/>
        </w:rPr>
        <w:t xml:space="preserve"> </w:t>
      </w:r>
      <w:r w:rsidRPr="00DF6B37">
        <w:rPr>
          <w:szCs w:val="24"/>
          <w:lang w:val="lv-LV"/>
        </w:rPr>
        <w:tab/>
      </w:r>
      <w:r w:rsidRPr="00DF6B37">
        <w:rPr>
          <w:rStyle w:val="Hyperlink"/>
          <w:b/>
          <w:i/>
          <w:color w:val="auto"/>
          <w:szCs w:val="24"/>
          <w:u w:val="none"/>
          <w:lang w:val="lv-LV"/>
        </w:rPr>
        <w:t xml:space="preserve">Pielīdzināms saskaņā ar EVA ziņojumu </w:t>
      </w:r>
      <w:hyperlink r:id="rId9" w:history="1">
        <w:r w:rsidRPr="00DF6B37">
          <w:rPr>
            <w:rStyle w:val="Hyperlink"/>
            <w:b/>
            <w:i/>
            <w:color w:val="auto"/>
            <w:szCs w:val="24"/>
            <w:u w:val="none"/>
            <w:lang w:val="lv-LV"/>
          </w:rPr>
          <w:t>Soil monitoring in Europe – Indicators and thresholds for soil health assessments — Eiropas Vides aģentūra (europa.eu).</w:t>
        </w:r>
      </w:hyperlink>
    </w:p>
  </w:footnote>
  <w:footnote w:id="73">
    <w:p w14:paraId="65317EEF" w14:textId="3B643D56" w:rsidR="00E2699F" w:rsidRPr="00DF6B37" w:rsidRDefault="00E2699F" w:rsidP="00DF6B37">
      <w:pPr>
        <w:pStyle w:val="FootnoteTextForceStyle"/>
        <w:rPr>
          <w:szCs w:val="24"/>
          <w:lang w:val="lv-LV"/>
        </w:rPr>
      </w:pPr>
      <w:r w:rsidRPr="00DF6B37">
        <w:rPr>
          <w:rStyle w:val="FootnoteReference"/>
          <w:szCs w:val="24"/>
        </w:rPr>
        <w:footnoteRef/>
      </w:r>
      <w:r w:rsidRPr="00DF6B37">
        <w:rPr>
          <w:szCs w:val="24"/>
          <w:lang w:val="lv-LV"/>
        </w:rPr>
        <w:t xml:space="preserve"> </w:t>
      </w:r>
      <w:r w:rsidRPr="00DF6B37">
        <w:rPr>
          <w:szCs w:val="24"/>
          <w:lang w:val="lv-LV"/>
        </w:rPr>
        <w:tab/>
      </w:r>
      <w:hyperlink r:id="rId10" w:history="1">
        <w:r w:rsidRPr="00DF6B37">
          <w:rPr>
            <w:rStyle w:val="Hyperlink"/>
            <w:b/>
            <w:i/>
            <w:color w:val="auto"/>
            <w:szCs w:val="24"/>
            <w:u w:val="none"/>
            <w:lang w:val="lv-LV"/>
          </w:rPr>
          <w:t>https://www.sciencedirect.com/science/article/abs/pii/S0038071797001259</w:t>
        </w:r>
      </w:hyperlink>
    </w:p>
  </w:footnote>
  <w:footnote w:id="74">
    <w:p w14:paraId="41BE5A20" w14:textId="77777777" w:rsidR="00857D1A" w:rsidRPr="00DF6B37" w:rsidRDefault="00857D1A" w:rsidP="00DA4F3E">
      <w:pPr>
        <w:pStyle w:val="FootnoteTextForceStyle"/>
        <w:rPr>
          <w:szCs w:val="24"/>
          <w:lang w:val="lv-LV"/>
        </w:rPr>
      </w:pPr>
      <w:r w:rsidRPr="00DF6B37">
        <w:rPr>
          <w:szCs w:val="24"/>
          <w:vertAlign w:val="superscript"/>
          <w:lang w:val="lv-LV"/>
        </w:rPr>
        <w:t>1</w:t>
      </w:r>
      <w:r w:rsidRPr="00DF6B37">
        <w:rPr>
          <w:szCs w:val="24"/>
          <w:lang w:val="lv-LV"/>
        </w:rPr>
        <w:tab/>
      </w:r>
      <w:r w:rsidRPr="00DF6B37">
        <w:rPr>
          <w:strike/>
          <w:szCs w:val="24"/>
          <w:lang w:val="lv-LV"/>
        </w:rPr>
        <w:t>Eiropas Parlamenta un Padomes Regula (ES) 2020/741 (2020. gada 25. maijs) par ūdens atkalizmantošanas minimālajām prasībām (OV L 177, 5.6.2020, 32. lpp.).</w:t>
      </w:r>
    </w:p>
  </w:footnote>
  <w:footnote w:id="75">
    <w:p w14:paraId="3E9459CA" w14:textId="77777777" w:rsidR="00857D1A" w:rsidRPr="00EB04F1" w:rsidRDefault="00857D1A" w:rsidP="00DA4F3E">
      <w:pPr>
        <w:pStyle w:val="FootnoteTextForceStyle"/>
        <w:rPr>
          <w:szCs w:val="24"/>
          <w:lang w:val="lv-LV"/>
        </w:rPr>
      </w:pPr>
      <w:r w:rsidRPr="00EB04F1">
        <w:rPr>
          <w:szCs w:val="24"/>
          <w:vertAlign w:val="superscript"/>
          <w:lang w:val="lv-LV"/>
        </w:rPr>
        <w:t>2</w:t>
      </w:r>
      <w:r w:rsidRPr="00EB04F1">
        <w:rPr>
          <w:szCs w:val="24"/>
          <w:lang w:val="lv-LV"/>
        </w:rPr>
        <w:tab/>
      </w:r>
      <w:r w:rsidRPr="00EB04F1">
        <w:rPr>
          <w:strike/>
          <w:szCs w:val="24"/>
          <w:lang w:val="lv-LV"/>
        </w:rPr>
        <w:t>Šis princips neattiecas uz meža augsnēm.</w:t>
      </w:r>
    </w:p>
  </w:footnote>
  <w:footnote w:id="76">
    <w:p w14:paraId="5C455DE4" w14:textId="77777777" w:rsidR="00857D1A" w:rsidRPr="00EB04F1" w:rsidRDefault="00857D1A" w:rsidP="00DA4F3E">
      <w:pPr>
        <w:pStyle w:val="FootnoteTextForceStyle"/>
        <w:rPr>
          <w:szCs w:val="24"/>
          <w:lang w:val="lv-LV"/>
        </w:rPr>
      </w:pPr>
      <w:r w:rsidRPr="00EB04F1">
        <w:rPr>
          <w:szCs w:val="24"/>
          <w:vertAlign w:val="superscript"/>
          <w:lang w:val="lv-LV"/>
        </w:rPr>
        <w:t>3</w:t>
      </w:r>
      <w:r w:rsidRPr="00EB04F1">
        <w:rPr>
          <w:szCs w:val="24"/>
          <w:lang w:val="lv-LV"/>
        </w:rPr>
        <w:tab/>
      </w:r>
      <w:r w:rsidRPr="00EB04F1">
        <w:rPr>
          <w:strike/>
          <w:szCs w:val="24"/>
          <w:lang w:val="lv-LV"/>
        </w:rPr>
        <w:t>Šis princips neattiecas uz urbānajām augsnēm.</w:t>
      </w:r>
    </w:p>
  </w:footnote>
  <w:footnote w:id="77">
    <w:p w14:paraId="6C2FE6EA" w14:textId="77777777" w:rsidR="00857D1A" w:rsidRPr="00EB04F1" w:rsidRDefault="00857D1A" w:rsidP="00DA4F3E">
      <w:pPr>
        <w:pStyle w:val="FootnoteTextForceStyle"/>
        <w:rPr>
          <w:szCs w:val="24"/>
          <w:lang w:val="lv-LV"/>
        </w:rPr>
      </w:pPr>
      <w:r w:rsidRPr="00EB04F1">
        <w:rPr>
          <w:szCs w:val="24"/>
          <w:vertAlign w:val="superscript"/>
          <w:lang w:val="lv-LV"/>
        </w:rPr>
        <w:t>1</w:t>
      </w:r>
      <w:r w:rsidRPr="00EB04F1">
        <w:rPr>
          <w:szCs w:val="24"/>
          <w:lang w:val="lv-LV"/>
        </w:rPr>
        <w:tab/>
        <w:t>+ Publikāciju birojam: tekstā ievietot dokumentā COM(2022) 304 ietvertās Dabas atjaunošanas regulas numuru.</w:t>
      </w:r>
    </w:p>
  </w:footnote>
  <w:footnote w:id="78">
    <w:p w14:paraId="04BA9F37" w14:textId="77777777" w:rsidR="00857D1A" w:rsidRPr="00EB04F1" w:rsidRDefault="00857D1A" w:rsidP="00DA4F3E">
      <w:pPr>
        <w:pStyle w:val="FootnoteTextForceStyle"/>
        <w:rPr>
          <w:szCs w:val="24"/>
          <w:lang w:val="lv-LV"/>
        </w:rPr>
      </w:pPr>
      <w:r w:rsidRPr="00EB04F1">
        <w:rPr>
          <w:szCs w:val="24"/>
          <w:vertAlign w:val="superscript"/>
          <w:lang w:val="lv-LV"/>
        </w:rPr>
        <w:t>2</w:t>
      </w:r>
      <w:r w:rsidRPr="00EB04F1">
        <w:rPr>
          <w:szCs w:val="24"/>
          <w:lang w:val="lv-LV"/>
        </w:rPr>
        <w:tab/>
      </w:r>
      <w:r w:rsidRPr="00EB04F1">
        <w:rPr>
          <w:strike/>
          <w:szCs w:val="24"/>
          <w:lang w:val="lv-LV"/>
        </w:rPr>
        <w:t>+ Publikāciju birojam: tekstā ievietot dokumentā COM(2022) 305 ietvertās regulas (Eiropas Parlamenta un Padomes Regula par augu aizsardzības līdzekļu ilgtspējīgu lietošanu un ar ko groza Regulu (ES) 2021/2115) numuru.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LV"/>
    <w:docVar w:name="dvnumam" w:val="350"/>
    <w:docVar w:name="dvpe" w:val="754.698"/>
    <w:docVar w:name="dvrapporteur" w:val="Referents: "/>
    <w:docVar w:name="dvstar" w:val="***I"/>
    <w:docVar w:name="dvtitre" w:val="Eiropas Parlamenta 2024. gada XX. XXX normatīvā rezolūcija par priekšlikumu Eiropas Parlamenta un Padomes direktīvai par augsnes monitoringu un noturību (Augsnes monitoringa akts)(COM(2023)0416 – C9-0234/2023 – 2023/0232(COD))"/>
  </w:docVars>
  <w:rsids>
    <w:rsidRoot w:val="008562D6"/>
    <w:rsid w:val="00002272"/>
    <w:rsid w:val="00017E95"/>
    <w:rsid w:val="00064002"/>
    <w:rsid w:val="000677B9"/>
    <w:rsid w:val="00070750"/>
    <w:rsid w:val="0007559D"/>
    <w:rsid w:val="000831BA"/>
    <w:rsid w:val="0008779A"/>
    <w:rsid w:val="000A42CC"/>
    <w:rsid w:val="000E7DD9"/>
    <w:rsid w:val="000F6C2E"/>
    <w:rsid w:val="0010095E"/>
    <w:rsid w:val="00125B37"/>
    <w:rsid w:val="00132248"/>
    <w:rsid w:val="00187494"/>
    <w:rsid w:val="001C7579"/>
    <w:rsid w:val="001E45DA"/>
    <w:rsid w:val="001F32AE"/>
    <w:rsid w:val="001F6A70"/>
    <w:rsid w:val="00213DF3"/>
    <w:rsid w:val="002767FF"/>
    <w:rsid w:val="00282872"/>
    <w:rsid w:val="002B18FE"/>
    <w:rsid w:val="002B5493"/>
    <w:rsid w:val="00343214"/>
    <w:rsid w:val="00345349"/>
    <w:rsid w:val="00361C00"/>
    <w:rsid w:val="00395FA1"/>
    <w:rsid w:val="003E15D4"/>
    <w:rsid w:val="004060C8"/>
    <w:rsid w:val="00410E01"/>
    <w:rsid w:val="004111BE"/>
    <w:rsid w:val="00411CCE"/>
    <w:rsid w:val="0041666E"/>
    <w:rsid w:val="00421060"/>
    <w:rsid w:val="00454F19"/>
    <w:rsid w:val="00455113"/>
    <w:rsid w:val="00471C19"/>
    <w:rsid w:val="00475836"/>
    <w:rsid w:val="004867E3"/>
    <w:rsid w:val="00494A28"/>
    <w:rsid w:val="004954EA"/>
    <w:rsid w:val="004A6AFC"/>
    <w:rsid w:val="004C0004"/>
    <w:rsid w:val="004C5D52"/>
    <w:rsid w:val="004D657D"/>
    <w:rsid w:val="0050519A"/>
    <w:rsid w:val="005072A1"/>
    <w:rsid w:val="00514517"/>
    <w:rsid w:val="00545827"/>
    <w:rsid w:val="00560270"/>
    <w:rsid w:val="005C2568"/>
    <w:rsid w:val="005D02DE"/>
    <w:rsid w:val="006037C0"/>
    <w:rsid w:val="00616115"/>
    <w:rsid w:val="00630E74"/>
    <w:rsid w:val="006631B6"/>
    <w:rsid w:val="00671C39"/>
    <w:rsid w:val="00680577"/>
    <w:rsid w:val="006C0D30"/>
    <w:rsid w:val="006C20A6"/>
    <w:rsid w:val="006D71D8"/>
    <w:rsid w:val="006E4E88"/>
    <w:rsid w:val="006F74FA"/>
    <w:rsid w:val="00700AAC"/>
    <w:rsid w:val="007073DA"/>
    <w:rsid w:val="00731ADD"/>
    <w:rsid w:val="00734777"/>
    <w:rsid w:val="00747932"/>
    <w:rsid w:val="00751A4A"/>
    <w:rsid w:val="00756632"/>
    <w:rsid w:val="00762C74"/>
    <w:rsid w:val="00786EC0"/>
    <w:rsid w:val="00791203"/>
    <w:rsid w:val="007D1690"/>
    <w:rsid w:val="007E22AD"/>
    <w:rsid w:val="00817416"/>
    <w:rsid w:val="00842779"/>
    <w:rsid w:val="008562D6"/>
    <w:rsid w:val="00857D1A"/>
    <w:rsid w:val="00865F67"/>
    <w:rsid w:val="00881A7B"/>
    <w:rsid w:val="00882B4A"/>
    <w:rsid w:val="008840E5"/>
    <w:rsid w:val="00887B3E"/>
    <w:rsid w:val="008A1D52"/>
    <w:rsid w:val="008C2AC6"/>
    <w:rsid w:val="00907A80"/>
    <w:rsid w:val="00924F47"/>
    <w:rsid w:val="0092524A"/>
    <w:rsid w:val="00930C23"/>
    <w:rsid w:val="0093193B"/>
    <w:rsid w:val="009341C6"/>
    <w:rsid w:val="00947753"/>
    <w:rsid w:val="009509D8"/>
    <w:rsid w:val="00950B64"/>
    <w:rsid w:val="00981893"/>
    <w:rsid w:val="009B7DA2"/>
    <w:rsid w:val="009E6FB9"/>
    <w:rsid w:val="00A1687D"/>
    <w:rsid w:val="00A43E52"/>
    <w:rsid w:val="00A4678D"/>
    <w:rsid w:val="00A778C7"/>
    <w:rsid w:val="00A95837"/>
    <w:rsid w:val="00AB441E"/>
    <w:rsid w:val="00AB6293"/>
    <w:rsid w:val="00AE0928"/>
    <w:rsid w:val="00AF3B82"/>
    <w:rsid w:val="00B00ED1"/>
    <w:rsid w:val="00B12E95"/>
    <w:rsid w:val="00B22876"/>
    <w:rsid w:val="00B558F0"/>
    <w:rsid w:val="00B754B3"/>
    <w:rsid w:val="00BA6990"/>
    <w:rsid w:val="00BD48FE"/>
    <w:rsid w:val="00BD7BD8"/>
    <w:rsid w:val="00BE6ADC"/>
    <w:rsid w:val="00C05BFE"/>
    <w:rsid w:val="00C23CD4"/>
    <w:rsid w:val="00C32731"/>
    <w:rsid w:val="00C61C0C"/>
    <w:rsid w:val="00C941CB"/>
    <w:rsid w:val="00CC2357"/>
    <w:rsid w:val="00CC256C"/>
    <w:rsid w:val="00CF071A"/>
    <w:rsid w:val="00D058B8"/>
    <w:rsid w:val="00D56C11"/>
    <w:rsid w:val="00D60908"/>
    <w:rsid w:val="00D834A0"/>
    <w:rsid w:val="00D872DF"/>
    <w:rsid w:val="00D91E21"/>
    <w:rsid w:val="00DA4A11"/>
    <w:rsid w:val="00DA4F3E"/>
    <w:rsid w:val="00DA7FCD"/>
    <w:rsid w:val="00DC05AB"/>
    <w:rsid w:val="00DD3DD5"/>
    <w:rsid w:val="00DF66DF"/>
    <w:rsid w:val="00DF6B37"/>
    <w:rsid w:val="00DF7EB4"/>
    <w:rsid w:val="00E10C46"/>
    <w:rsid w:val="00E2699F"/>
    <w:rsid w:val="00E365E1"/>
    <w:rsid w:val="00E820A4"/>
    <w:rsid w:val="00EB006A"/>
    <w:rsid w:val="00EB04F1"/>
    <w:rsid w:val="00EB4772"/>
    <w:rsid w:val="00ED169E"/>
    <w:rsid w:val="00ED4235"/>
    <w:rsid w:val="00F04346"/>
    <w:rsid w:val="00F051F4"/>
    <w:rsid w:val="00F075DC"/>
    <w:rsid w:val="00F1302B"/>
    <w:rsid w:val="00F149E9"/>
    <w:rsid w:val="00F5134D"/>
    <w:rsid w:val="00F74202"/>
    <w:rsid w:val="00F864D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29E11"/>
  <w15:chartTrackingRefBased/>
  <w15:docId w15:val="{431D5756-D038-4597-B9BE-DFD167EB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073DA"/>
    <w:rPr>
      <w:b/>
      <w:kern w:val="28"/>
      <w:sz w:val="28"/>
      <w:lang w:val="fr-FR" w:eastAsia="fr-FR"/>
    </w:rPr>
  </w:style>
  <w:style w:type="character" w:customStyle="1" w:styleId="Heading2Char">
    <w:name w:val="Heading 2 Char"/>
    <w:basedOn w:val="DefaultParagraphFont"/>
    <w:link w:val="Heading2"/>
    <w:rsid w:val="007073DA"/>
    <w:rPr>
      <w:sz w:val="24"/>
      <w:lang w:val="fr-FR" w:eastAsia="fr-FR"/>
    </w:rPr>
  </w:style>
  <w:style w:type="character" w:customStyle="1" w:styleId="Heading3Char">
    <w:name w:val="Heading 3 Char"/>
    <w:basedOn w:val="DefaultParagraphFont"/>
    <w:link w:val="Heading3"/>
    <w:rsid w:val="007073DA"/>
    <w:rPr>
      <w:rFonts w:ascii="Arial" w:hAnsi="Arial"/>
      <w:sz w:val="24"/>
      <w:lang w:val="fr-FR" w:eastAsia="fr-FR"/>
    </w:rPr>
  </w:style>
  <w:style w:type="character" w:customStyle="1" w:styleId="Heading4Char">
    <w:name w:val="Heading 4 Char"/>
    <w:basedOn w:val="DefaultParagraphFont"/>
    <w:link w:val="Heading4"/>
    <w:rsid w:val="007073DA"/>
    <w:rPr>
      <w:sz w:val="24"/>
      <w:lang w:val="en-US" w:eastAsia="fr-FR"/>
    </w:rPr>
  </w:style>
  <w:style w:type="character" w:customStyle="1" w:styleId="Heading5Char">
    <w:name w:val="Heading 5 Char"/>
    <w:basedOn w:val="DefaultParagraphFont"/>
    <w:link w:val="Heading5"/>
    <w:semiHidden/>
    <w:rsid w:val="007073DA"/>
    <w:rPr>
      <w:sz w:val="24"/>
      <w:lang w:val="en-US" w:eastAsia="fr-FR"/>
    </w:rPr>
  </w:style>
  <w:style w:type="character" w:customStyle="1" w:styleId="Heading6Char">
    <w:name w:val="Heading 6 Char"/>
    <w:basedOn w:val="DefaultParagraphFont"/>
    <w:link w:val="Heading6"/>
    <w:semiHidden/>
    <w:rsid w:val="007073DA"/>
    <w:rPr>
      <w:i/>
      <w:sz w:val="22"/>
      <w:lang w:val="lv-LV"/>
    </w:rPr>
  </w:style>
  <w:style w:type="character" w:customStyle="1" w:styleId="Heading7Char">
    <w:name w:val="Heading 7 Char"/>
    <w:basedOn w:val="DefaultParagraphFont"/>
    <w:link w:val="Heading7"/>
    <w:semiHidden/>
    <w:rsid w:val="007073DA"/>
    <w:rPr>
      <w:rFonts w:ascii="Arial" w:hAnsi="Arial"/>
      <w:sz w:val="24"/>
      <w:lang w:val="lv-LV"/>
    </w:rPr>
  </w:style>
  <w:style w:type="character" w:customStyle="1" w:styleId="Heading8Char">
    <w:name w:val="Heading 8 Char"/>
    <w:basedOn w:val="DefaultParagraphFont"/>
    <w:link w:val="Heading8"/>
    <w:semiHidden/>
    <w:rsid w:val="007073DA"/>
    <w:rPr>
      <w:rFonts w:ascii="Arial" w:hAnsi="Arial"/>
      <w:i/>
      <w:sz w:val="24"/>
      <w:lang w:val="lv-LV"/>
    </w:rPr>
  </w:style>
  <w:style w:type="character" w:customStyle="1" w:styleId="Heading9Char">
    <w:name w:val="Heading 9 Char"/>
    <w:basedOn w:val="DefaultParagraphFont"/>
    <w:link w:val="Heading9"/>
    <w:semiHidden/>
    <w:rsid w:val="007073DA"/>
    <w:rPr>
      <w:rFonts w:ascii="Arial" w:hAnsi="Arial"/>
      <w:b/>
      <w:i/>
      <w:sz w:val="18"/>
      <w:lang w:val="lv-LV"/>
    </w:rPr>
  </w:style>
  <w:style w:type="paragraph" w:styleId="TOCHeading">
    <w:name w:val="TOC Heading"/>
    <w:basedOn w:val="Normal"/>
    <w:next w:val="Normal"/>
    <w:uiPriority w:val="39"/>
    <w:unhideWhenUsed/>
    <w:qFormat/>
    <w:rsid w:val="007073DA"/>
    <w:pPr>
      <w:widowControl/>
      <w:spacing w:after="240"/>
    </w:pPr>
    <w:rPr>
      <w:lang w:val="en-GB"/>
    </w:rPr>
  </w:style>
  <w:style w:type="paragraph" w:customStyle="1" w:styleId="EPFooter2">
    <w:name w:val="EPFooter2"/>
    <w:basedOn w:val="Normal"/>
    <w:next w:val="Normal"/>
    <w:rsid w:val="007073D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073DA"/>
    <w:pPr>
      <w:keepNext/>
      <w:spacing w:after="240"/>
      <w:jc w:val="right"/>
    </w:pPr>
    <w:rPr>
      <w:rFonts w:ascii="Arial" w:hAnsi="Arial"/>
      <w:b/>
    </w:rPr>
  </w:style>
  <w:style w:type="paragraph" w:customStyle="1" w:styleId="Normal6a">
    <w:name w:val="Normal6a"/>
    <w:basedOn w:val="Normal"/>
    <w:rsid w:val="007073DA"/>
    <w:pPr>
      <w:spacing w:after="120"/>
    </w:pPr>
  </w:style>
  <w:style w:type="paragraph" w:customStyle="1" w:styleId="PageHeading">
    <w:name w:val="PageHeading"/>
    <w:basedOn w:val="Normal"/>
    <w:rsid w:val="007073DA"/>
    <w:pPr>
      <w:keepNext/>
      <w:spacing w:after="480"/>
      <w:jc w:val="center"/>
    </w:pPr>
    <w:rPr>
      <w:rFonts w:ascii="Arial" w:hAnsi="Arial" w:cs="Arial"/>
      <w:b/>
    </w:rPr>
  </w:style>
  <w:style w:type="paragraph" w:customStyle="1" w:styleId="NormalBold">
    <w:name w:val="NormalBold"/>
    <w:basedOn w:val="Normal"/>
    <w:link w:val="NormalBoldChar"/>
    <w:rsid w:val="007073DA"/>
    <w:rPr>
      <w:b/>
    </w:rPr>
  </w:style>
  <w:style w:type="character" w:customStyle="1" w:styleId="NormalBoldChar">
    <w:name w:val="NormalBold Char"/>
    <w:basedOn w:val="DefaultParagraphFont"/>
    <w:link w:val="NormalBold"/>
    <w:locked/>
    <w:rsid w:val="007073DA"/>
    <w:rPr>
      <w:b/>
      <w:sz w:val="24"/>
      <w:lang w:val="lv-LV"/>
    </w:rPr>
  </w:style>
  <w:style w:type="paragraph" w:customStyle="1" w:styleId="NormalBold12a">
    <w:name w:val="NormalBold12a"/>
    <w:basedOn w:val="Normal"/>
    <w:rsid w:val="007073DA"/>
    <w:pPr>
      <w:spacing w:after="240"/>
    </w:pPr>
    <w:rPr>
      <w:b/>
    </w:rPr>
  </w:style>
  <w:style w:type="paragraph" w:customStyle="1" w:styleId="AmJustText">
    <w:name w:val="AmJustText"/>
    <w:basedOn w:val="Normal"/>
    <w:rsid w:val="007073DA"/>
    <w:pPr>
      <w:spacing w:after="240"/>
    </w:pPr>
    <w:rPr>
      <w:i/>
    </w:rPr>
  </w:style>
  <w:style w:type="paragraph" w:customStyle="1" w:styleId="NormalHanging12a">
    <w:name w:val="NormalHanging12a"/>
    <w:basedOn w:val="Normal"/>
    <w:rsid w:val="007073DA"/>
    <w:pPr>
      <w:spacing w:after="240"/>
      <w:ind w:left="567" w:hanging="567"/>
    </w:pPr>
  </w:style>
  <w:style w:type="paragraph" w:customStyle="1" w:styleId="CoverNormal24a">
    <w:name w:val="CoverNormal24a"/>
    <w:basedOn w:val="Normal"/>
    <w:rsid w:val="007073DA"/>
    <w:pPr>
      <w:spacing w:after="480"/>
      <w:ind w:left="1417"/>
    </w:pPr>
  </w:style>
  <w:style w:type="paragraph" w:customStyle="1" w:styleId="CoverNormal">
    <w:name w:val="CoverNormal"/>
    <w:basedOn w:val="Normal"/>
    <w:rsid w:val="007073DA"/>
    <w:pPr>
      <w:ind w:left="1418"/>
    </w:pPr>
  </w:style>
  <w:style w:type="paragraph" w:customStyle="1" w:styleId="AmCrossRef">
    <w:name w:val="AmCrossRef"/>
    <w:basedOn w:val="Normal"/>
    <w:rsid w:val="007073DA"/>
    <w:pPr>
      <w:spacing w:before="240" w:after="240"/>
      <w:jc w:val="center"/>
    </w:pPr>
    <w:rPr>
      <w:i/>
    </w:rPr>
  </w:style>
  <w:style w:type="paragraph" w:customStyle="1" w:styleId="AmJustTitle">
    <w:name w:val="AmJustTitle"/>
    <w:basedOn w:val="Normal"/>
    <w:next w:val="AmJustText"/>
    <w:rsid w:val="007073DA"/>
    <w:pPr>
      <w:keepNext/>
      <w:spacing w:before="240" w:after="240"/>
      <w:jc w:val="center"/>
    </w:pPr>
    <w:rPr>
      <w:i/>
    </w:rPr>
  </w:style>
  <w:style w:type="paragraph" w:customStyle="1" w:styleId="CoverReference">
    <w:name w:val="CoverReference"/>
    <w:basedOn w:val="Normal"/>
    <w:rsid w:val="007073DA"/>
    <w:pPr>
      <w:spacing w:before="1080"/>
      <w:jc w:val="right"/>
    </w:pPr>
    <w:rPr>
      <w:rFonts w:ascii="Arial" w:hAnsi="Arial" w:cs="Arial"/>
      <w:b/>
    </w:rPr>
  </w:style>
  <w:style w:type="paragraph" w:customStyle="1" w:styleId="CoverDocType">
    <w:name w:val="CoverDocType"/>
    <w:basedOn w:val="Normal"/>
    <w:rsid w:val="007073DA"/>
    <w:pPr>
      <w:ind w:left="1418"/>
    </w:pPr>
    <w:rPr>
      <w:rFonts w:ascii="Arial" w:hAnsi="Arial"/>
      <w:b/>
      <w:sz w:val="48"/>
    </w:rPr>
  </w:style>
  <w:style w:type="paragraph" w:customStyle="1" w:styleId="CoverDocType24a">
    <w:name w:val="CoverDocType24a"/>
    <w:basedOn w:val="Normal"/>
    <w:rsid w:val="007073DA"/>
    <w:pPr>
      <w:spacing w:after="480"/>
      <w:ind w:left="1418"/>
    </w:pPr>
    <w:rPr>
      <w:rFonts w:ascii="Arial" w:hAnsi="Arial"/>
      <w:b/>
      <w:sz w:val="48"/>
    </w:rPr>
  </w:style>
  <w:style w:type="paragraph" w:customStyle="1" w:styleId="CoverDate">
    <w:name w:val="CoverDate"/>
    <w:basedOn w:val="Normal"/>
    <w:rsid w:val="007073DA"/>
    <w:pPr>
      <w:spacing w:before="240" w:after="1200"/>
    </w:pPr>
  </w:style>
  <w:style w:type="paragraph" w:styleId="Header">
    <w:name w:val="header"/>
    <w:basedOn w:val="Normal"/>
    <w:link w:val="HeaderChar"/>
    <w:rsid w:val="007073DA"/>
    <w:pPr>
      <w:tabs>
        <w:tab w:val="center" w:pos="4513"/>
        <w:tab w:val="right" w:pos="9026"/>
      </w:tabs>
    </w:pPr>
  </w:style>
  <w:style w:type="character" w:customStyle="1" w:styleId="HeaderChar">
    <w:name w:val="Header Char"/>
    <w:basedOn w:val="DefaultParagraphFont"/>
    <w:link w:val="Header"/>
    <w:rsid w:val="007073DA"/>
    <w:rPr>
      <w:sz w:val="24"/>
      <w:lang w:val="lv-LV"/>
    </w:rPr>
  </w:style>
  <w:style w:type="paragraph" w:customStyle="1" w:styleId="AmOrLang">
    <w:name w:val="AmOrLang"/>
    <w:basedOn w:val="Normal"/>
    <w:rsid w:val="007073DA"/>
    <w:pPr>
      <w:spacing w:before="240" w:after="240"/>
      <w:jc w:val="right"/>
    </w:pPr>
  </w:style>
  <w:style w:type="paragraph" w:customStyle="1" w:styleId="AmColumnHeading">
    <w:name w:val="AmColumnHeading"/>
    <w:basedOn w:val="Normal"/>
    <w:rsid w:val="007073DA"/>
    <w:pPr>
      <w:spacing w:after="240"/>
      <w:jc w:val="center"/>
    </w:pPr>
    <w:rPr>
      <w:i/>
    </w:rPr>
  </w:style>
  <w:style w:type="paragraph" w:customStyle="1" w:styleId="AmNumberTabs">
    <w:name w:val="AmNumberTabs"/>
    <w:basedOn w:val="Normal"/>
    <w:link w:val="AmNumberTabsChar"/>
    <w:rsid w:val="007073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073DA"/>
    <w:rPr>
      <w:b/>
      <w:sz w:val="24"/>
      <w:lang w:val="lv-LV"/>
    </w:rPr>
  </w:style>
  <w:style w:type="paragraph" w:customStyle="1" w:styleId="NormalBold12b">
    <w:name w:val="NormalBold12b"/>
    <w:basedOn w:val="Normal"/>
    <w:link w:val="NormalBold12bChar"/>
    <w:rsid w:val="007073DA"/>
    <w:pPr>
      <w:spacing w:before="240"/>
    </w:pPr>
    <w:rPr>
      <w:b/>
    </w:rPr>
  </w:style>
  <w:style w:type="paragraph" w:customStyle="1" w:styleId="EPBody">
    <w:name w:val="EPBody"/>
    <w:basedOn w:val="Normal"/>
    <w:rsid w:val="007073DA"/>
    <w:pPr>
      <w:jc w:val="center"/>
    </w:pPr>
    <w:rPr>
      <w:rFonts w:ascii="Arial" w:hAnsi="Arial" w:cs="Arial"/>
      <w:i/>
      <w:sz w:val="22"/>
      <w:szCs w:val="22"/>
    </w:rPr>
  </w:style>
  <w:style w:type="paragraph" w:customStyle="1" w:styleId="EPFooter">
    <w:name w:val="EPFooter"/>
    <w:basedOn w:val="Normal"/>
    <w:rsid w:val="007073DA"/>
    <w:pPr>
      <w:tabs>
        <w:tab w:val="center" w:pos="4535"/>
        <w:tab w:val="right" w:pos="9071"/>
      </w:tabs>
      <w:spacing w:before="240" w:after="240"/>
    </w:pPr>
    <w:rPr>
      <w:color w:val="010000"/>
      <w:sz w:val="22"/>
    </w:rPr>
  </w:style>
  <w:style w:type="paragraph" w:customStyle="1" w:styleId="EPComma">
    <w:name w:val="EPComma"/>
    <w:basedOn w:val="Normal"/>
    <w:rsid w:val="007073DA"/>
    <w:pPr>
      <w:spacing w:before="480" w:after="240"/>
    </w:pPr>
  </w:style>
  <w:style w:type="paragraph" w:customStyle="1" w:styleId="Lgendesigne">
    <w:name w:val="Légende signe"/>
    <w:basedOn w:val="Normal"/>
    <w:rsid w:val="007073DA"/>
    <w:pPr>
      <w:tabs>
        <w:tab w:val="right" w:pos="454"/>
        <w:tab w:val="left" w:pos="737"/>
      </w:tabs>
      <w:ind w:left="737" w:hanging="737"/>
    </w:pPr>
    <w:rPr>
      <w:snapToGrid w:val="0"/>
      <w:sz w:val="18"/>
      <w:lang w:eastAsia="en-US"/>
    </w:rPr>
  </w:style>
  <w:style w:type="paragraph" w:customStyle="1" w:styleId="Lgendetitre">
    <w:name w:val="Légende titre"/>
    <w:basedOn w:val="Normal"/>
    <w:rsid w:val="007073DA"/>
    <w:pPr>
      <w:spacing w:before="240" w:after="240"/>
    </w:pPr>
    <w:rPr>
      <w:b/>
      <w:i/>
      <w:snapToGrid w:val="0"/>
      <w:lang w:eastAsia="en-US"/>
    </w:rPr>
  </w:style>
  <w:style w:type="paragraph" w:customStyle="1" w:styleId="Lgendestandard">
    <w:name w:val="Légende standard"/>
    <w:basedOn w:val="Normal"/>
    <w:rsid w:val="007073DA"/>
    <w:rPr>
      <w:sz w:val="18"/>
    </w:rPr>
  </w:style>
  <w:style w:type="character" w:styleId="Hyperlink">
    <w:name w:val="Hyperlink"/>
    <w:basedOn w:val="DefaultParagraphFont"/>
    <w:uiPriority w:val="99"/>
    <w:unhideWhenUsed/>
    <w:rsid w:val="007073DA"/>
    <w:rPr>
      <w:color w:val="0000FF"/>
      <w:u w:val="single"/>
    </w:rPr>
  </w:style>
  <w:style w:type="character" w:customStyle="1" w:styleId="Normal12Char">
    <w:name w:val="Normal12 Char"/>
    <w:basedOn w:val="DefaultParagraphFont"/>
    <w:link w:val="Normal12"/>
    <w:locked/>
    <w:rsid w:val="007073DA"/>
    <w:rPr>
      <w:noProof/>
      <w:sz w:val="24"/>
    </w:rPr>
  </w:style>
  <w:style w:type="paragraph" w:customStyle="1" w:styleId="Normal12">
    <w:name w:val="Normal12"/>
    <w:basedOn w:val="Normal"/>
    <w:link w:val="Normal12Char"/>
    <w:rsid w:val="007073DA"/>
    <w:pPr>
      <w:spacing w:after="240"/>
    </w:pPr>
    <w:rPr>
      <w:noProof/>
      <w:lang w:val="en-GB"/>
    </w:rPr>
  </w:style>
  <w:style w:type="character" w:customStyle="1" w:styleId="Normal6Char">
    <w:name w:val="Normal6 Char"/>
    <w:basedOn w:val="DefaultParagraphFont"/>
    <w:link w:val="Normal6"/>
    <w:locked/>
    <w:rsid w:val="007073DA"/>
    <w:rPr>
      <w:sz w:val="24"/>
      <w:lang w:val="lv-LV"/>
    </w:rPr>
  </w:style>
  <w:style w:type="paragraph" w:customStyle="1" w:styleId="Normal6">
    <w:name w:val="Normal6"/>
    <w:basedOn w:val="Normal"/>
    <w:link w:val="Normal6Char"/>
    <w:rsid w:val="007073DA"/>
    <w:pPr>
      <w:spacing w:after="120"/>
    </w:pPr>
  </w:style>
  <w:style w:type="paragraph" w:customStyle="1" w:styleId="Normal12Italic">
    <w:name w:val="Normal12Italic"/>
    <w:basedOn w:val="Normal12"/>
    <w:rsid w:val="007073DA"/>
    <w:rPr>
      <w:i/>
    </w:rPr>
  </w:style>
  <w:style w:type="paragraph" w:customStyle="1" w:styleId="EntPE">
    <w:name w:val="EntPE"/>
    <w:basedOn w:val="Normal12"/>
    <w:rsid w:val="007073DA"/>
    <w:pPr>
      <w:jc w:val="center"/>
    </w:pPr>
    <w:rPr>
      <w:noProof w:val="0"/>
      <w:sz w:val="56"/>
    </w:rPr>
  </w:style>
  <w:style w:type="paragraph" w:customStyle="1" w:styleId="AMNumberTabs0">
    <w:name w:val="AMNumberTabs"/>
    <w:basedOn w:val="Normal"/>
    <w:rsid w:val="007073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073DA"/>
    <w:pPr>
      <w:spacing w:after="240"/>
      <w:jc w:val="center"/>
    </w:pPr>
    <w:rPr>
      <w:i/>
    </w:rPr>
  </w:style>
  <w:style w:type="paragraph" w:customStyle="1" w:styleId="Olang">
    <w:name w:val="Olang"/>
    <w:basedOn w:val="Normal"/>
    <w:rsid w:val="007073DA"/>
    <w:pPr>
      <w:spacing w:before="240" w:after="240"/>
      <w:jc w:val="right"/>
    </w:pPr>
    <w:rPr>
      <w:noProof/>
      <w:szCs w:val="24"/>
    </w:rPr>
  </w:style>
  <w:style w:type="paragraph" w:customStyle="1" w:styleId="JustificationTitle">
    <w:name w:val="JustificationTitle"/>
    <w:basedOn w:val="Normal"/>
    <w:next w:val="Normal12"/>
    <w:rsid w:val="007073DA"/>
    <w:pPr>
      <w:keepNext/>
      <w:spacing w:before="240" w:after="240"/>
      <w:jc w:val="center"/>
    </w:pPr>
    <w:rPr>
      <w:i/>
      <w:noProof/>
    </w:rPr>
  </w:style>
  <w:style w:type="character" w:customStyle="1" w:styleId="ui-provider">
    <w:name w:val="ui-provider"/>
    <w:basedOn w:val="DefaultParagraphFont"/>
    <w:rsid w:val="007073DA"/>
  </w:style>
  <w:style w:type="table" w:customStyle="1" w:styleId="3">
    <w:name w:val="3"/>
    <w:basedOn w:val="TableNormal"/>
    <w:rsid w:val="007073DA"/>
    <w:pPr>
      <w:spacing w:before="120"/>
      <w:jc w:val="both"/>
    </w:pPr>
    <w:rPr>
      <w:sz w:val="24"/>
      <w:szCs w:val="24"/>
      <w:lang w:val="lv-LV" w:eastAsia="en-US"/>
    </w:rPr>
    <w:tblPr>
      <w:tblStyleRowBandSize w:val="1"/>
      <w:tblStyleColBandSize w:val="1"/>
    </w:tblPr>
  </w:style>
  <w:style w:type="paragraph" w:styleId="CommentText">
    <w:name w:val="annotation text"/>
    <w:basedOn w:val="Normal"/>
    <w:link w:val="CommentTextChar"/>
    <w:unhideWhenUsed/>
    <w:rsid w:val="007073DA"/>
    <w:pPr>
      <w:widowControl/>
      <w:spacing w:before="120" w:after="120"/>
      <w:jc w:val="both"/>
    </w:pPr>
    <w:rPr>
      <w:sz w:val="20"/>
      <w:lang w:eastAsia="en-US"/>
    </w:rPr>
  </w:style>
  <w:style w:type="character" w:customStyle="1" w:styleId="CommentTextChar">
    <w:name w:val="Comment Text Char"/>
    <w:basedOn w:val="DefaultParagraphFont"/>
    <w:link w:val="CommentText"/>
    <w:rsid w:val="007073DA"/>
    <w:rPr>
      <w:lang w:val="lv-LV" w:eastAsia="en-US"/>
    </w:rPr>
  </w:style>
  <w:style w:type="table" w:customStyle="1" w:styleId="2">
    <w:name w:val="2"/>
    <w:basedOn w:val="TableNormal"/>
    <w:rsid w:val="007073DA"/>
    <w:pPr>
      <w:spacing w:before="120"/>
      <w:jc w:val="both"/>
    </w:pPr>
    <w:rPr>
      <w:sz w:val="24"/>
      <w:szCs w:val="24"/>
      <w:lang w:val="lv-LV" w:eastAsia="en-US"/>
    </w:rPr>
    <w:tblPr>
      <w:tblStyleRowBandSize w:val="1"/>
      <w:tblStyleColBandSize w:val="1"/>
    </w:tblPr>
  </w:style>
  <w:style w:type="table" w:customStyle="1" w:styleId="1">
    <w:name w:val="1"/>
    <w:basedOn w:val="TableNormal"/>
    <w:rsid w:val="007073DA"/>
    <w:pPr>
      <w:spacing w:before="120"/>
      <w:jc w:val="both"/>
    </w:pPr>
    <w:rPr>
      <w:sz w:val="24"/>
      <w:szCs w:val="24"/>
      <w:lang w:val="lv-LV" w:eastAsia="en-US"/>
    </w:rPr>
    <w:tblPr>
      <w:tblStyleRowBandSize w:val="1"/>
      <w:tblStyleColBandSize w:val="1"/>
    </w:tblPr>
  </w:style>
  <w:style w:type="character" w:styleId="CommentReference">
    <w:name w:val="annotation reference"/>
    <w:basedOn w:val="DefaultParagraphFont"/>
    <w:rsid w:val="007073DA"/>
    <w:rPr>
      <w:sz w:val="16"/>
      <w:szCs w:val="16"/>
    </w:rPr>
  </w:style>
  <w:style w:type="paragraph" w:styleId="CommentSubject">
    <w:name w:val="annotation subject"/>
    <w:basedOn w:val="CommentText"/>
    <w:next w:val="CommentText"/>
    <w:link w:val="CommentSubjectChar"/>
    <w:unhideWhenUsed/>
    <w:rsid w:val="007073DA"/>
    <w:pPr>
      <w:widowControl w:val="0"/>
      <w:spacing w:before="0" w:after="0"/>
      <w:jc w:val="left"/>
    </w:pPr>
    <w:rPr>
      <w:b/>
      <w:bCs/>
      <w:lang w:eastAsia="en-GB"/>
    </w:rPr>
  </w:style>
  <w:style w:type="character" w:customStyle="1" w:styleId="CommentSubjectChar">
    <w:name w:val="Comment Subject Char"/>
    <w:basedOn w:val="CommentTextChar"/>
    <w:link w:val="CommentSubject"/>
    <w:rsid w:val="007073DA"/>
    <w:rPr>
      <w:b/>
      <w:bCs/>
      <w:lang w:val="lv-LV" w:eastAsia="en-US"/>
    </w:rPr>
  </w:style>
  <w:style w:type="paragraph" w:styleId="BalloonText">
    <w:name w:val="Balloon Text"/>
    <w:basedOn w:val="Normal"/>
    <w:link w:val="BalloonTextChar"/>
    <w:unhideWhenUsed/>
    <w:rsid w:val="007073DA"/>
    <w:rPr>
      <w:rFonts w:ascii="Segoe UI" w:hAnsi="Segoe UI" w:cs="Segoe UI"/>
      <w:sz w:val="18"/>
      <w:szCs w:val="18"/>
    </w:rPr>
  </w:style>
  <w:style w:type="character" w:customStyle="1" w:styleId="BalloonTextChar">
    <w:name w:val="Balloon Text Char"/>
    <w:basedOn w:val="DefaultParagraphFont"/>
    <w:link w:val="BalloonText"/>
    <w:rsid w:val="007073DA"/>
    <w:rPr>
      <w:rFonts w:ascii="Segoe UI" w:hAnsi="Segoe UI" w:cs="Segoe UI"/>
      <w:sz w:val="18"/>
      <w:szCs w:val="18"/>
      <w:lang w:val="lv-LV"/>
    </w:rPr>
  </w:style>
  <w:style w:type="paragraph" w:styleId="ListParagraph">
    <w:name w:val="List Paragraph"/>
    <w:basedOn w:val="Normal"/>
    <w:uiPriority w:val="34"/>
    <w:qFormat/>
    <w:rsid w:val="007073DA"/>
    <w:pPr>
      <w:ind w:left="720"/>
      <w:contextualSpacing/>
    </w:pPr>
  </w:style>
  <w:style w:type="paragraph" w:styleId="Revision">
    <w:name w:val="Revision"/>
    <w:hidden/>
    <w:uiPriority w:val="99"/>
    <w:semiHidden/>
    <w:rsid w:val="007073DA"/>
    <w:rPr>
      <w:sz w:val="24"/>
      <w:lang w:val="lv-LV"/>
    </w:rPr>
  </w:style>
  <w:style w:type="character" w:styleId="FollowedHyperlink">
    <w:name w:val="FollowedHyperlink"/>
    <w:basedOn w:val="DefaultParagraphFont"/>
    <w:rsid w:val="007073DA"/>
    <w:rPr>
      <w:color w:val="954F72" w:themeColor="followedHyperlink"/>
      <w:u w:val="single"/>
    </w:rPr>
  </w:style>
  <w:style w:type="paragraph" w:customStyle="1" w:styleId="Normal12a">
    <w:name w:val="Normal12a"/>
    <w:basedOn w:val="Normal"/>
    <w:rsid w:val="007073DA"/>
    <w:pPr>
      <w:spacing w:after="240"/>
    </w:pPr>
  </w:style>
  <w:style w:type="paragraph" w:customStyle="1" w:styleId="RollCallVotes">
    <w:name w:val="RollCallVotes"/>
    <w:basedOn w:val="Normal"/>
    <w:rsid w:val="007073DA"/>
    <w:pPr>
      <w:spacing w:before="120" w:after="120"/>
      <w:jc w:val="center"/>
    </w:pPr>
    <w:rPr>
      <w:b/>
      <w:bCs/>
      <w:snapToGrid w:val="0"/>
      <w:sz w:val="16"/>
      <w:lang w:eastAsia="en-US"/>
    </w:rPr>
  </w:style>
  <w:style w:type="paragraph" w:customStyle="1" w:styleId="RollCallTabs">
    <w:name w:val="RollCallTabs"/>
    <w:basedOn w:val="Normal"/>
    <w:qFormat/>
    <w:rsid w:val="007073DA"/>
    <w:pPr>
      <w:tabs>
        <w:tab w:val="center" w:pos="284"/>
        <w:tab w:val="left" w:pos="426"/>
      </w:tabs>
    </w:pPr>
    <w:rPr>
      <w:snapToGrid w:val="0"/>
      <w:lang w:eastAsia="en-US"/>
    </w:rPr>
  </w:style>
  <w:style w:type="paragraph" w:customStyle="1" w:styleId="RollCallSymbols14pt">
    <w:name w:val="RollCallSymbols14pt"/>
    <w:basedOn w:val="Normal"/>
    <w:rsid w:val="007073DA"/>
    <w:pPr>
      <w:spacing w:before="120" w:after="120"/>
      <w:jc w:val="center"/>
    </w:pPr>
    <w:rPr>
      <w:rFonts w:ascii="Arial" w:hAnsi="Arial"/>
      <w:b/>
      <w:bCs/>
      <w:snapToGrid w:val="0"/>
      <w:sz w:val="28"/>
      <w:lang w:eastAsia="en-US"/>
    </w:rPr>
  </w:style>
  <w:style w:type="paragraph" w:customStyle="1" w:styleId="RollCallTable">
    <w:name w:val="RollCallTable"/>
    <w:basedOn w:val="Normal"/>
    <w:rsid w:val="007073DA"/>
    <w:pPr>
      <w:spacing w:before="120" w:after="120"/>
    </w:pPr>
    <w:rPr>
      <w:snapToGrid w:val="0"/>
      <w:sz w:val="16"/>
      <w:lang w:eastAsia="en-US"/>
    </w:rPr>
  </w:style>
  <w:style w:type="paragraph" w:customStyle="1" w:styleId="PageHeadingNotTOC">
    <w:name w:val="PageHeadingNotTOC"/>
    <w:basedOn w:val="Normal"/>
    <w:rsid w:val="007073DA"/>
    <w:pPr>
      <w:keepNext/>
      <w:spacing w:after="480"/>
      <w:jc w:val="center"/>
    </w:pPr>
    <w:rPr>
      <w:rFonts w:ascii="Arial" w:hAnsi="Arial" w:cs="Arial"/>
      <w:b/>
    </w:rPr>
  </w:style>
  <w:style w:type="paragraph" w:customStyle="1" w:styleId="AmHeadingPA">
    <w:name w:val="AmHeadingPA"/>
    <w:basedOn w:val="Normal"/>
    <w:next w:val="Normal"/>
    <w:rsid w:val="007073DA"/>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7073DA"/>
    <w:pPr>
      <w:widowControl w:val="0"/>
      <w:ind w:left="107"/>
    </w:pPr>
    <w:rPr>
      <w:rFonts w:eastAsia="Arial Unicode MS" w:cs="Arial Unicode MS"/>
      <w:color w:val="000000"/>
      <w:sz w:val="22"/>
      <w:szCs w:val="22"/>
      <w:u w:color="000000"/>
      <w:lang w:val="lv-LV" w:eastAsia="de-DE"/>
    </w:rPr>
  </w:style>
  <w:style w:type="character" w:customStyle="1" w:styleId="Ohne">
    <w:name w:val="Ohne"/>
    <w:rsid w:val="007073DA"/>
  </w:style>
  <w:style w:type="paragraph" w:customStyle="1" w:styleId="CommitteeAM">
    <w:name w:val="CommitteeAM"/>
    <w:basedOn w:val="Normal"/>
    <w:rsid w:val="007073DA"/>
    <w:pPr>
      <w:spacing w:before="240" w:after="600"/>
      <w:jc w:val="center"/>
    </w:pPr>
    <w:rPr>
      <w:i/>
    </w:rPr>
  </w:style>
  <w:style w:type="paragraph" w:customStyle="1" w:styleId="ZDateAM">
    <w:name w:val="ZDateAM"/>
    <w:basedOn w:val="Normal"/>
    <w:rsid w:val="007073DA"/>
    <w:pPr>
      <w:tabs>
        <w:tab w:val="right" w:pos="9356"/>
      </w:tabs>
      <w:spacing w:after="480"/>
    </w:pPr>
    <w:rPr>
      <w:noProof/>
    </w:rPr>
  </w:style>
  <w:style w:type="paragraph" w:customStyle="1" w:styleId="ProjRap">
    <w:name w:val="ProjRap"/>
    <w:basedOn w:val="Normal"/>
    <w:rsid w:val="007073DA"/>
    <w:pPr>
      <w:tabs>
        <w:tab w:val="right" w:pos="9356"/>
      </w:tabs>
    </w:pPr>
    <w:rPr>
      <w:b/>
      <w:noProof/>
    </w:rPr>
  </w:style>
  <w:style w:type="paragraph" w:customStyle="1" w:styleId="PELeft">
    <w:name w:val="PELeft"/>
    <w:basedOn w:val="Normal"/>
    <w:rsid w:val="007073DA"/>
    <w:pPr>
      <w:spacing w:before="40" w:after="40"/>
    </w:pPr>
    <w:rPr>
      <w:rFonts w:ascii="Arial" w:hAnsi="Arial" w:cs="Arial"/>
      <w:sz w:val="22"/>
      <w:szCs w:val="22"/>
    </w:rPr>
  </w:style>
  <w:style w:type="paragraph" w:customStyle="1" w:styleId="PERight">
    <w:name w:val="PERight"/>
    <w:basedOn w:val="Normal"/>
    <w:next w:val="Normal"/>
    <w:rsid w:val="007073DA"/>
    <w:pPr>
      <w:jc w:val="right"/>
    </w:pPr>
    <w:rPr>
      <w:rFonts w:ascii="Arial" w:hAnsi="Arial" w:cs="Arial"/>
      <w:sz w:val="22"/>
      <w:szCs w:val="22"/>
    </w:rPr>
  </w:style>
  <w:style w:type="paragraph" w:customStyle="1" w:styleId="CrossRef">
    <w:name w:val="CrossRef"/>
    <w:basedOn w:val="Normal"/>
    <w:rsid w:val="007073DA"/>
    <w:pPr>
      <w:spacing w:before="240"/>
      <w:jc w:val="center"/>
    </w:pPr>
    <w:rPr>
      <w:i/>
    </w:rPr>
  </w:style>
  <w:style w:type="character" w:customStyle="1" w:styleId="Footer2Middle">
    <w:name w:val="Footer2Middle"/>
    <w:rsid w:val="007073DA"/>
    <w:rPr>
      <w:rFonts w:ascii="Arial" w:cs="Arial"/>
      <w:b w:val="0"/>
      <w:i/>
      <w:color w:val="C0C0C0"/>
      <w:sz w:val="22"/>
    </w:rPr>
  </w:style>
  <w:style w:type="paragraph" w:customStyle="1" w:styleId="Text1">
    <w:name w:val="Text 1"/>
    <w:basedOn w:val="Normal"/>
    <w:rsid w:val="007073DA"/>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7073DA"/>
    <w:pPr>
      <w:spacing w:after="480"/>
    </w:pPr>
  </w:style>
  <w:style w:type="character" w:customStyle="1" w:styleId="Normal24aChar">
    <w:name w:val="Normal24a Char"/>
    <w:basedOn w:val="DefaultParagraphFont"/>
    <w:link w:val="Normal24a"/>
    <w:rsid w:val="007073DA"/>
    <w:rPr>
      <w:sz w:val="24"/>
      <w:lang w:val="lv-LV"/>
    </w:rPr>
  </w:style>
  <w:style w:type="paragraph" w:styleId="EndnoteText">
    <w:name w:val="endnote text"/>
    <w:basedOn w:val="Normal"/>
    <w:link w:val="EndnoteTextChar"/>
    <w:rsid w:val="007073DA"/>
    <w:rPr>
      <w:sz w:val="20"/>
    </w:rPr>
  </w:style>
  <w:style w:type="character" w:customStyle="1" w:styleId="EndnoteTextChar">
    <w:name w:val="Endnote Text Char"/>
    <w:basedOn w:val="DefaultParagraphFont"/>
    <w:link w:val="EndnoteText"/>
    <w:rsid w:val="007073DA"/>
    <w:rPr>
      <w:lang w:val="lv-LV"/>
    </w:rPr>
  </w:style>
  <w:style w:type="character" w:styleId="EndnoteReference">
    <w:name w:val="endnote reference"/>
    <w:basedOn w:val="DefaultParagraphFont"/>
    <w:rsid w:val="007073DA"/>
    <w:rPr>
      <w:vertAlign w:val="superscript"/>
    </w:rPr>
  </w:style>
  <w:style w:type="paragraph" w:customStyle="1" w:styleId="HideTWBExtn">
    <w:name w:val="HideTWBExtn"/>
    <w:basedOn w:val="NormalBold"/>
    <w:rsid w:val="007073DA"/>
  </w:style>
  <w:style w:type="paragraph" w:customStyle="1" w:styleId="msonormal0">
    <w:name w:val="msonormal"/>
    <w:basedOn w:val="Normal"/>
    <w:rsid w:val="007073DA"/>
    <w:pPr>
      <w:widowControl/>
      <w:spacing w:before="100" w:beforeAutospacing="1" w:after="100" w:afterAutospacing="1"/>
    </w:pPr>
    <w:rPr>
      <w:szCs w:val="24"/>
    </w:rPr>
  </w:style>
  <w:style w:type="paragraph" w:styleId="Footer">
    <w:name w:val="footer"/>
    <w:basedOn w:val="Normal"/>
    <w:link w:val="FooterChar"/>
    <w:rsid w:val="007073DA"/>
    <w:pPr>
      <w:tabs>
        <w:tab w:val="center" w:pos="4513"/>
        <w:tab w:val="right" w:pos="9026"/>
      </w:tabs>
    </w:pPr>
  </w:style>
  <w:style w:type="character" w:customStyle="1" w:styleId="FooterChar">
    <w:name w:val="Footer Char"/>
    <w:basedOn w:val="DefaultParagraphFont"/>
    <w:link w:val="Footer"/>
    <w:rsid w:val="007073DA"/>
    <w:rPr>
      <w:sz w:val="24"/>
      <w:lang w:val="lv-LV"/>
    </w:rPr>
  </w:style>
  <w:style w:type="paragraph" w:customStyle="1" w:styleId="Default">
    <w:name w:val="Default"/>
    <w:rsid w:val="007073DA"/>
    <w:pPr>
      <w:autoSpaceDE w:val="0"/>
      <w:autoSpaceDN w:val="0"/>
      <w:adjustRightInd w:val="0"/>
    </w:pPr>
    <w:rPr>
      <w:color w:val="000000"/>
      <w:sz w:val="24"/>
      <w:szCs w:val="24"/>
      <w:lang w:val="lv-LV"/>
    </w:rPr>
  </w:style>
  <w:style w:type="character" w:customStyle="1" w:styleId="NormalBold12bChar">
    <w:name w:val="NormalBold12b Char"/>
    <w:basedOn w:val="DefaultParagraphFont"/>
    <w:link w:val="NormalBold12b"/>
    <w:rsid w:val="001E45DA"/>
    <w:rPr>
      <w:b/>
      <w:sz w:val="24"/>
      <w:lang w:val="lv-LV"/>
    </w:rPr>
  </w:style>
  <w:style w:type="paragraph" w:customStyle="1" w:styleId="Normal12Hanging">
    <w:name w:val="Normal12Hanging"/>
    <w:basedOn w:val="Normal"/>
    <w:link w:val="Normal12HangingChar"/>
    <w:rsid w:val="00DA4F3E"/>
    <w:pPr>
      <w:spacing w:after="240"/>
      <w:ind w:left="357" w:hanging="357"/>
    </w:pPr>
  </w:style>
  <w:style w:type="character" w:customStyle="1" w:styleId="Normal12HangingChar">
    <w:name w:val="Normal12Hanging Char"/>
    <w:basedOn w:val="DefaultParagraphFont"/>
    <w:link w:val="Normal12Hanging"/>
    <w:rsid w:val="00DA4F3E"/>
    <w:rPr>
      <w:sz w:val="24"/>
      <w:lang w:val="lv-LV"/>
    </w:rPr>
  </w:style>
  <w:style w:type="numbering" w:customStyle="1" w:styleId="NoList1">
    <w:name w:val="No List1"/>
    <w:next w:val="NoList"/>
    <w:uiPriority w:val="99"/>
    <w:semiHidden/>
    <w:unhideWhenUsed/>
    <w:rsid w:val="00DA4F3E"/>
  </w:style>
  <w:style w:type="paragraph" w:customStyle="1" w:styleId="SignaturePersonne">
    <w:name w:val="Signature Personne"/>
    <w:basedOn w:val="Normal"/>
    <w:rsid w:val="00DA4F3E"/>
    <w:pPr>
      <w:widowControl/>
      <w:tabs>
        <w:tab w:val="left" w:pos="4252"/>
      </w:tabs>
      <w:spacing w:line="360" w:lineRule="auto"/>
    </w:pPr>
    <w:rPr>
      <w:i/>
      <w:szCs w:val="24"/>
      <w:lang w:val="en-GB" w:eastAsia="en-US"/>
    </w:rPr>
  </w:style>
  <w:style w:type="paragraph" w:customStyle="1" w:styleId="Considrant">
    <w:name w:val="Considérant"/>
    <w:basedOn w:val="Normal"/>
    <w:rsid w:val="00DA4F3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A4F3E"/>
    <w:pPr>
      <w:keepNext/>
      <w:spacing w:before="600" w:after="120" w:line="360" w:lineRule="auto"/>
    </w:pPr>
    <w:rPr>
      <w:szCs w:val="24"/>
      <w:lang w:val="en-GB" w:eastAsia="en-US"/>
    </w:rPr>
  </w:style>
  <w:style w:type="paragraph" w:customStyle="1" w:styleId="Institutionquisigne">
    <w:name w:val="Institution qui signe"/>
    <w:basedOn w:val="Normal"/>
    <w:next w:val="Normal"/>
    <w:rsid w:val="00DA4F3E"/>
    <w:pPr>
      <w:keepNext/>
      <w:tabs>
        <w:tab w:val="left" w:pos="4252"/>
      </w:tabs>
      <w:spacing w:before="720" w:line="360" w:lineRule="auto"/>
    </w:pPr>
    <w:rPr>
      <w:i/>
      <w:szCs w:val="24"/>
      <w:lang w:val="en-GB" w:eastAsia="en-US"/>
    </w:rPr>
  </w:style>
  <w:style w:type="paragraph" w:customStyle="1" w:styleId="Fait">
    <w:name w:val="Fait à"/>
    <w:basedOn w:val="Normal"/>
    <w:rsid w:val="00DA4F3E"/>
    <w:pPr>
      <w:keepNext/>
      <w:widowControl/>
      <w:spacing w:before="120" w:line="360" w:lineRule="auto"/>
    </w:pPr>
    <w:rPr>
      <w:szCs w:val="24"/>
      <w:lang w:val="en-GB" w:eastAsia="en-US"/>
    </w:rPr>
  </w:style>
  <w:style w:type="paragraph" w:customStyle="1" w:styleId="FootnoteTextForceStyle">
    <w:name w:val="Footnote Text ForceStyle"/>
    <w:rsid w:val="00DA4F3E"/>
    <w:pPr>
      <w:keepLines/>
      <w:widowControl w:val="0"/>
      <w:ind w:left="850" w:hanging="850"/>
    </w:pPr>
    <w:rPr>
      <w:sz w:val="24"/>
      <w:lang w:eastAsia="en-US"/>
    </w:rPr>
  </w:style>
  <w:style w:type="character" w:customStyle="1" w:styleId="Footer2">
    <w:name w:val="Footer2"/>
    <w:rsid w:val="00DA4F3E"/>
    <w:rPr>
      <w:rFonts w:ascii="Arial" w:hAnsi="Arial"/>
      <w:b/>
      <w:sz w:val="48"/>
    </w:rPr>
  </w:style>
  <w:style w:type="paragraph" w:customStyle="1" w:styleId="Applicationdirecte">
    <w:name w:val="Application directe"/>
    <w:basedOn w:val="Normal"/>
    <w:next w:val="Normal"/>
    <w:rsid w:val="00DA4F3E"/>
    <w:pPr>
      <w:spacing w:before="120" w:after="120" w:line="360" w:lineRule="auto"/>
    </w:pPr>
    <w:rPr>
      <w:szCs w:val="24"/>
      <w:lang w:val="en-GB" w:eastAsia="en-US"/>
    </w:rPr>
  </w:style>
  <w:style w:type="paragraph" w:customStyle="1" w:styleId="Normale">
    <w:name w:val="Normale"/>
    <w:rsid w:val="00DA4F3E"/>
    <w:pPr>
      <w:widowControl w:val="0"/>
      <w:spacing w:before="120" w:after="120" w:line="360" w:lineRule="auto"/>
    </w:pPr>
    <w:rPr>
      <w:sz w:val="24"/>
      <w:lang w:eastAsia="en-US"/>
    </w:rPr>
  </w:style>
  <w:style w:type="paragraph" w:customStyle="1" w:styleId="Formuledadoption">
    <w:name w:val="Formule d'adoption"/>
    <w:basedOn w:val="Normal"/>
    <w:next w:val="Normal"/>
    <w:rsid w:val="00DA4F3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A4F3E"/>
    <w:pPr>
      <w:widowControl/>
      <w:spacing w:after="240" w:line="360" w:lineRule="auto"/>
      <w:ind w:left="5102"/>
    </w:pPr>
    <w:rPr>
      <w:szCs w:val="24"/>
      <w:lang w:val="en-GB" w:eastAsia="en-US"/>
    </w:rPr>
  </w:style>
  <w:style w:type="paragraph" w:customStyle="1" w:styleId="Footer1">
    <w:name w:val="Footer1"/>
    <w:basedOn w:val="Normal"/>
    <w:rsid w:val="00DA4F3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A4F3E"/>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A4F3E"/>
    <w:pPr>
      <w:widowControl/>
      <w:spacing w:before="840" w:line="360" w:lineRule="auto"/>
      <w:jc w:val="center"/>
    </w:pPr>
    <w:rPr>
      <w:szCs w:val="24"/>
      <w:lang w:val="en-GB" w:eastAsia="en-US"/>
    </w:rPr>
  </w:style>
  <w:style w:type="paragraph" w:customStyle="1" w:styleId="Typedudocument">
    <w:name w:val="Type du document"/>
    <w:basedOn w:val="Normal"/>
    <w:next w:val="Normal"/>
    <w:rsid w:val="00DA4F3E"/>
    <w:pPr>
      <w:widowControl/>
      <w:spacing w:before="360" w:line="360" w:lineRule="auto"/>
      <w:jc w:val="center"/>
    </w:pPr>
    <w:rPr>
      <w:b/>
      <w:szCs w:val="24"/>
      <w:lang w:val="en-GB" w:eastAsia="en-US"/>
    </w:rPr>
  </w:style>
  <w:style w:type="paragraph" w:customStyle="1" w:styleId="Titreobjet">
    <w:name w:val="Titre objet"/>
    <w:basedOn w:val="Normal"/>
    <w:next w:val="Normal"/>
    <w:rsid w:val="00DA4F3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A4F3E"/>
    <w:pPr>
      <w:widowControl/>
      <w:spacing w:before="360" w:after="240" w:line="360" w:lineRule="auto"/>
      <w:jc w:val="center"/>
    </w:pPr>
    <w:rPr>
      <w:szCs w:val="24"/>
      <w:lang w:val="en-GB" w:eastAsia="en-US"/>
    </w:rPr>
  </w:style>
  <w:style w:type="character" w:customStyle="1" w:styleId="CMissingStyle">
    <w:name w:val="C_MissingStyle"/>
    <w:rsid w:val="00DA4F3E"/>
    <w:rPr>
      <w:color w:val="FFFFFF"/>
      <w:sz w:val="22"/>
      <w:shd w:val="clear" w:color="000000" w:fill="000000"/>
    </w:rPr>
  </w:style>
  <w:style w:type="paragraph" w:customStyle="1" w:styleId="PMissingStyle">
    <w:name w:val="P_MissingStyle"/>
    <w:basedOn w:val="Normal"/>
    <w:rsid w:val="00DA4F3E"/>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DC05AB"/>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07A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abs/pii/S0038071797001259" TargetMode="External"/><Relationship Id="rId3" Type="http://schemas.openxmlformats.org/officeDocument/2006/relationships/hyperlink" Target="https://www.fao.org/3/cb3355en/cb3355en.pdf" TargetMode="External"/><Relationship Id="rId7" Type="http://schemas.openxmlformats.org/officeDocument/2006/relationships/hyperlink" Target="https://doi.org/10.1111/ejss.13299" TargetMode="External"/><Relationship Id="rId2" Type="http://schemas.openxmlformats.org/officeDocument/2006/relationships/hyperlink" Target="https://www.fao.org/3/a0541e/a0541e.pdf" TargetMode="External"/><Relationship Id="rId1" Type="http://schemas.openxmlformats.org/officeDocument/2006/relationships/hyperlink" Target="https://www.fao.org/3/a0541e/a0541e.pdf" TargetMode="External"/><Relationship Id="rId6" Type="http://schemas.openxmlformats.org/officeDocument/2006/relationships/hyperlink" Target="https://www.fao.org/3/a0541e/a0541e.pdf" TargetMode="External"/><Relationship Id="rId5" Type="http://schemas.openxmlformats.org/officeDocument/2006/relationships/hyperlink" Target="https://www.eea.europa.eu/publications/soil-monitoring-in-europe" TargetMode="External"/><Relationship Id="rId10" Type="http://schemas.openxmlformats.org/officeDocument/2006/relationships/hyperlink" Target="https://www.sciencedirect.com/science/article/abs/pii/S0038071797001259" TargetMode="External"/><Relationship Id="rId4" Type="http://schemas.openxmlformats.org/officeDocument/2006/relationships/hyperlink" Target="https://www.fao.org/3/a0541e/a0541e.pdf" TargetMode="External"/><Relationship Id="rId9" Type="http://schemas.openxmlformats.org/officeDocument/2006/relationships/hyperlink" Target="https://www.eea.europa.eu/publications/soil-monitoring-in-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380AF-54F9-4FF5-A91B-0914EE2A6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146</Pages>
  <Words>19653</Words>
  <Characters>133634</Characters>
  <Application>Microsoft Office Word</Application>
  <DocSecurity>0</DocSecurity>
  <Lines>1113</Lines>
  <Paragraphs>305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dc:description/>
  <cp:lastModifiedBy>Karina Pesa</cp:lastModifiedBy>
  <cp:revision>3</cp:revision>
  <cp:lastPrinted>2004-11-19T15:42:00Z</cp:lastPrinted>
  <dcterms:created xsi:type="dcterms:W3CDTF">2024-10-08T14:15:00Z</dcterms:created>
  <dcterms:modified xsi:type="dcterms:W3CDTF">2024-11-20T10:39:00Z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P9_TA(2024)0204_</vt:lpwstr>
  </property>
  <property fmtid="{D5CDD505-2E9C-101B-9397-08002B2CF9AE}" pid="4" name="&lt;Type&gt;">
    <vt:lpwstr>RR</vt:lpwstr>
  </property>
  <property fmtid="{D5CDD505-2E9C-101B-9397-08002B2CF9AE}" pid="5" name="&lt;Model&gt;">
    <vt:lpwstr/>
  </property>
</Properties>
</file>