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277A" w:rsidTr="0010095E">
        <w:trPr>
          <w:trHeight w:hRule="exact" w:val="1418"/>
        </w:trPr>
        <w:tc>
          <w:tcPr>
            <w:tcW w:w="6804" w:type="dxa"/>
            <w:shd w:val="clear" w:color="auto" w:fill="auto"/>
            <w:vAlign w:val="center"/>
          </w:tcPr>
          <w:p w:rsidR="00751A4A" w:rsidRPr="004B277A" w:rsidRDefault="00593173" w:rsidP="0010095E">
            <w:pPr>
              <w:pStyle w:val="EPName"/>
            </w:pPr>
            <w:r w:rsidRPr="004B277A">
              <w:t>Parlament Europejski</w:t>
            </w:r>
          </w:p>
          <w:p w:rsidR="00751A4A" w:rsidRPr="004B277A" w:rsidRDefault="00817416" w:rsidP="00756632">
            <w:pPr>
              <w:pStyle w:val="EPTerm"/>
              <w:rPr>
                <w:rStyle w:val="HideTWBExt"/>
                <w:noProof w:val="0"/>
                <w:vanish w:val="0"/>
                <w:color w:val="auto"/>
              </w:rPr>
            </w:pPr>
            <w:r w:rsidRPr="004B277A">
              <w:t>2019-2024</w:t>
            </w:r>
          </w:p>
        </w:tc>
        <w:tc>
          <w:tcPr>
            <w:tcW w:w="2268" w:type="dxa"/>
            <w:shd w:val="clear" w:color="auto" w:fill="auto"/>
          </w:tcPr>
          <w:p w:rsidR="00751A4A" w:rsidRPr="004B277A" w:rsidRDefault="00187494" w:rsidP="0010095E">
            <w:pPr>
              <w:pStyle w:val="EPLogo"/>
            </w:pPr>
            <w:r w:rsidRPr="004B27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277A" w:rsidRDefault="00D058B8" w:rsidP="004C5D52">
      <w:pPr>
        <w:pStyle w:val="LineTop"/>
      </w:pPr>
    </w:p>
    <w:p w:rsidR="008E1614" w:rsidRDefault="00593173" w:rsidP="00680577">
      <w:pPr>
        <w:pStyle w:val="EPBodyTA1"/>
      </w:pPr>
      <w:r w:rsidRPr="004B277A">
        <w:t>TEKSTY PRZYJĘTE</w:t>
      </w:r>
    </w:p>
    <w:p w:rsidR="00593173" w:rsidRPr="004B277A" w:rsidRDefault="00593173" w:rsidP="00593173">
      <w:pPr>
        <w:pStyle w:val="ATHeading1"/>
      </w:pPr>
      <w:bookmarkStart w:id="0" w:name="TANumber"/>
      <w:r w:rsidRPr="004B277A">
        <w:t>P9_TA(2024)0</w:t>
      </w:r>
      <w:bookmarkEnd w:id="0"/>
      <w:r w:rsidR="00FB6E1F">
        <w:t>204</w:t>
      </w:r>
    </w:p>
    <w:p w:rsidR="00593173" w:rsidRPr="004B277A" w:rsidRDefault="00593173" w:rsidP="00593173">
      <w:pPr>
        <w:pStyle w:val="ATHeading2"/>
      </w:pPr>
      <w:bookmarkStart w:id="1" w:name="title"/>
      <w:r w:rsidRPr="004B277A">
        <w:t>Monitorowanie i odporność gleb (prawo o monitorowaniu gleb)</w:t>
      </w:r>
      <w:bookmarkEnd w:id="1"/>
    </w:p>
    <w:p w:rsidR="00593173" w:rsidRPr="004B277A" w:rsidRDefault="00593173" w:rsidP="00593173">
      <w:pPr>
        <w:rPr>
          <w:i/>
          <w:vanish/>
        </w:rPr>
      </w:pPr>
      <w:r w:rsidRPr="004B277A">
        <w:rPr>
          <w:i/>
        </w:rPr>
        <w:fldChar w:fldCharType="begin"/>
      </w:r>
      <w:r w:rsidRPr="004B277A">
        <w:rPr>
          <w:i/>
        </w:rPr>
        <w:instrText xml:space="preserve"> TC"(</w:instrText>
      </w:r>
      <w:bookmarkStart w:id="2" w:name="DocNumber"/>
      <w:r w:rsidRPr="004B277A">
        <w:rPr>
          <w:i/>
        </w:rPr>
        <w:instrText>A9-0138/2024</w:instrText>
      </w:r>
      <w:bookmarkEnd w:id="2"/>
      <w:r w:rsidRPr="004B277A">
        <w:rPr>
          <w:i/>
        </w:rPr>
        <w:instrText xml:space="preserve"> - Sprawozdawca: Martin </w:instrText>
      </w:r>
      <w:proofErr w:type="spellStart"/>
      <w:r w:rsidRPr="004B277A">
        <w:rPr>
          <w:i/>
        </w:rPr>
        <w:instrText>Hojsík</w:instrText>
      </w:r>
      <w:proofErr w:type="spellEnd"/>
      <w:proofErr w:type="gramStart"/>
      <w:r w:rsidRPr="004B277A">
        <w:rPr>
          <w:i/>
        </w:rPr>
        <w:instrText>)"\</w:instrText>
      </w:r>
      <w:proofErr w:type="spellStart"/>
      <w:r w:rsidRPr="004B277A">
        <w:rPr>
          <w:i/>
        </w:rPr>
        <w:instrText>l</w:instrText>
      </w:r>
      <w:proofErr w:type="gramEnd"/>
      <w:r w:rsidRPr="004B277A">
        <w:rPr>
          <w:i/>
        </w:rPr>
        <w:instrText>3</w:instrText>
      </w:r>
      <w:proofErr w:type="spellEnd"/>
      <w:r w:rsidRPr="004B277A">
        <w:rPr>
          <w:i/>
        </w:rPr>
        <w:instrText xml:space="preserve"> \n&gt; \* MERGEFORMAT </w:instrText>
      </w:r>
      <w:r w:rsidRPr="004B277A">
        <w:rPr>
          <w:i/>
        </w:rPr>
        <w:fldChar w:fldCharType="end"/>
      </w:r>
    </w:p>
    <w:p w:rsidR="00593173" w:rsidRPr="004B277A" w:rsidRDefault="00593173" w:rsidP="00593173">
      <w:pPr>
        <w:rPr>
          <w:vanish/>
        </w:rPr>
      </w:pPr>
      <w:bookmarkStart w:id="3" w:name="Commission"/>
      <w:r w:rsidRPr="004B277A">
        <w:rPr>
          <w:vanish/>
        </w:rPr>
        <w:t>Komisja Ochrony Środowiska Naturalnego, Zdrowia Publicznego i Bezpieczeństwa Żywności</w:t>
      </w:r>
      <w:bookmarkEnd w:id="3"/>
    </w:p>
    <w:p w:rsidR="00593173" w:rsidRPr="004B277A" w:rsidRDefault="00593173" w:rsidP="00593173">
      <w:pPr>
        <w:rPr>
          <w:vanish/>
        </w:rPr>
      </w:pPr>
      <w:bookmarkStart w:id="4" w:name="PE"/>
      <w:r w:rsidRPr="004B277A">
        <w:rPr>
          <w:vanish/>
        </w:rPr>
        <w:t>PE754.698</w:t>
      </w:r>
      <w:bookmarkEnd w:id="4"/>
    </w:p>
    <w:p w:rsidR="008E1614" w:rsidRDefault="00593173" w:rsidP="00593173">
      <w:pPr>
        <w:pStyle w:val="ATHeading3"/>
      </w:pPr>
      <w:bookmarkStart w:id="5" w:name="Sujet"/>
      <w:r w:rsidRPr="004B277A">
        <w:t xml:space="preserve">Rezolucja ustawodawcza Parlamentu Europejskiego z dnia </w:t>
      </w:r>
      <w:r w:rsidR="00906B79">
        <w:t>10 kwietnia</w:t>
      </w:r>
      <w:r w:rsidRPr="004B277A">
        <w:t xml:space="preserve"> 2024 r. w sprawie wniosku dotyczącego dyrektywy Parlamentu Europejskiego i Rady w sprawie monitorowania i odporności gleb (prawo o monitorowaniu gleb)</w:t>
      </w:r>
      <w:bookmarkEnd w:id="5"/>
      <w:r w:rsidRPr="004B277A">
        <w:t xml:space="preserve"> </w:t>
      </w:r>
      <w:bookmarkStart w:id="6" w:name="References"/>
      <w:r w:rsidRPr="004B277A">
        <w:t>(COM</w:t>
      </w:r>
      <w:proofErr w:type="gramStart"/>
      <w:r w:rsidRPr="004B277A">
        <w:t>(2023)0416 – C</w:t>
      </w:r>
      <w:proofErr w:type="gramEnd"/>
      <w:r w:rsidRPr="004B277A">
        <w:t>9-0234/2023 – 2023/0232(COD))</w:t>
      </w:r>
      <w:bookmarkEnd w:id="6"/>
    </w:p>
    <w:p w:rsidR="002C7C68" w:rsidRPr="004B277A" w:rsidRDefault="002C7C68" w:rsidP="002C7C68">
      <w:pPr>
        <w:pStyle w:val="NormalBold"/>
      </w:pPr>
      <w:bookmarkStart w:id="7" w:name="TextBodyBegin"/>
      <w:bookmarkEnd w:id="7"/>
      <w:r w:rsidRPr="004B277A">
        <w:t>(Zwykła procedura ustawodawcza: pierwsze czytanie)</w:t>
      </w:r>
    </w:p>
    <w:p w:rsidR="002C7C68" w:rsidRPr="004B277A" w:rsidRDefault="002C7C68" w:rsidP="002C7C68">
      <w:pPr>
        <w:pStyle w:val="EPComma"/>
      </w:pPr>
      <w:r w:rsidRPr="004B277A">
        <w:rPr>
          <w:i/>
        </w:rPr>
        <w:t>Parlament Europejski</w:t>
      </w:r>
      <w:r w:rsidRPr="004B277A">
        <w:t>,</w:t>
      </w:r>
    </w:p>
    <w:p w:rsidR="002C7C68" w:rsidRPr="004B277A" w:rsidRDefault="002C7C68" w:rsidP="002C7C68">
      <w:pPr>
        <w:pStyle w:val="NormalHanging12a"/>
      </w:pPr>
      <w:r w:rsidRPr="004B277A">
        <w:t>–</w:t>
      </w:r>
      <w:r w:rsidRPr="004B277A">
        <w:tab/>
        <w:t>uwzględniając wniosek Komisji przedstawiony Parlamentowi Europejskiemu i Radzie (COM(2023)0416),</w:t>
      </w:r>
    </w:p>
    <w:p w:rsidR="002C7C68" w:rsidRPr="004B277A" w:rsidRDefault="002C7C68" w:rsidP="002C7C68">
      <w:pPr>
        <w:pStyle w:val="NormalHanging12a"/>
      </w:pPr>
      <w:r w:rsidRPr="004B277A">
        <w:t>–</w:t>
      </w:r>
      <w:r w:rsidRPr="004B277A">
        <w:tab/>
        <w:t>uwzględniając art. 294 ust. 2 i art. 192 ust. 1 Traktatu o funkcjonowaniu Unii Europejskiej, zgodnie z którymi wniosek został przedstawiony Parlamentowi przez Komisję (C9</w:t>
      </w:r>
      <w:r w:rsidRPr="004B277A">
        <w:noBreakHyphen/>
        <w:t>0234/2023),</w:t>
      </w:r>
    </w:p>
    <w:p w:rsidR="002C7C68" w:rsidRPr="004B277A" w:rsidRDefault="002C7C68" w:rsidP="002C7C68">
      <w:pPr>
        <w:pStyle w:val="NormalHanging12a"/>
      </w:pPr>
      <w:r w:rsidRPr="004B277A">
        <w:t>–</w:t>
      </w:r>
      <w:r w:rsidRPr="004B277A">
        <w:tab/>
        <w:t>uwzględniając art. 294 ust. 3 Traktatu o funkcjonowaniu Unii Europejskiej,</w:t>
      </w:r>
    </w:p>
    <w:p w:rsidR="002C7C68" w:rsidRPr="004B277A" w:rsidRDefault="002C7C68" w:rsidP="002C7C68">
      <w:pPr>
        <w:pStyle w:val="NormalHanging12a"/>
      </w:pPr>
      <w:r w:rsidRPr="004B277A">
        <w:t>–</w:t>
      </w:r>
      <w:r w:rsidRPr="004B277A">
        <w:tab/>
        <w:t>uwzględniając uzasadnioną opinię przedstawioną – na mocy protokołu nr 2 w sprawie stosowania zasad pomocniczości i proporcjo</w:t>
      </w:r>
      <w:r w:rsidR="00741F29">
        <w:t>nalności – przez Pierwszą Izbę P</w:t>
      </w:r>
      <w:r w:rsidRPr="004B277A">
        <w:t>arlamentu Niderland</w:t>
      </w:r>
      <w:r w:rsidR="00906B79">
        <w:t>zkiego</w:t>
      </w:r>
      <w:r w:rsidR="00741F29">
        <w:t xml:space="preserve"> i Drugą Izbę P</w:t>
      </w:r>
      <w:r w:rsidRPr="004B277A">
        <w:t xml:space="preserve">arlamentu </w:t>
      </w:r>
      <w:r w:rsidR="00906B79" w:rsidRPr="004B277A">
        <w:t>Niderland</w:t>
      </w:r>
      <w:r w:rsidR="00906B79">
        <w:t>zkiego</w:t>
      </w:r>
      <w:r w:rsidRPr="004B277A">
        <w:t>, w której stwierdzono, że projekt aktu ustawodawczego nie jest zgodny z zasadą pomocniczości,</w:t>
      </w:r>
    </w:p>
    <w:p w:rsidR="002C7C68" w:rsidRPr="004B277A" w:rsidRDefault="002C7C68" w:rsidP="002C7C68">
      <w:pPr>
        <w:pStyle w:val="NormalHanging12a"/>
      </w:pPr>
      <w:r w:rsidRPr="004B277A">
        <w:t>–</w:t>
      </w:r>
      <w:r w:rsidRPr="004B277A">
        <w:tab/>
        <w:t>uwzględniając opinię Europejskiego Komitetu Ekonomiczno-Społecznego</w:t>
      </w:r>
      <w:r w:rsidR="00906B79">
        <w:t xml:space="preserve"> z dnia 25 października 2023 r.</w:t>
      </w:r>
      <w:r w:rsidRPr="004B277A">
        <w:rPr>
          <w:rStyle w:val="FootnoteReference"/>
        </w:rPr>
        <w:footnoteReference w:id="1"/>
      </w:r>
      <w:r w:rsidRPr="004B277A">
        <w:t>,</w:t>
      </w:r>
    </w:p>
    <w:p w:rsidR="002C7C68" w:rsidRPr="004B277A" w:rsidRDefault="002C7C68" w:rsidP="002C7C68">
      <w:pPr>
        <w:pStyle w:val="NormalHanging12a"/>
      </w:pPr>
      <w:r w:rsidRPr="004B277A">
        <w:t>–</w:t>
      </w:r>
      <w:r w:rsidRPr="004B277A">
        <w:tab/>
        <w:t>po konsultacji z Komitetem Regionów,</w:t>
      </w:r>
    </w:p>
    <w:p w:rsidR="002C7C68" w:rsidRPr="004B277A" w:rsidRDefault="002C7C68" w:rsidP="002C7C68">
      <w:pPr>
        <w:pStyle w:val="NormalHanging12a"/>
      </w:pPr>
      <w:r w:rsidRPr="004B277A">
        <w:t>–</w:t>
      </w:r>
      <w:r w:rsidRPr="004B277A">
        <w:tab/>
        <w:t>uwzględniając art. 59 Regulaminu,</w:t>
      </w:r>
    </w:p>
    <w:p w:rsidR="002C7C68" w:rsidRPr="004B277A" w:rsidRDefault="002C7C68" w:rsidP="002C7C68">
      <w:pPr>
        <w:pStyle w:val="NormalHanging12a"/>
      </w:pPr>
      <w:r w:rsidRPr="004B277A">
        <w:t>–</w:t>
      </w:r>
      <w:r w:rsidRPr="004B277A">
        <w:tab/>
        <w:t>uwzględniając opinię Komisji Rolnictwa i Rozwoju Wsi,</w:t>
      </w:r>
    </w:p>
    <w:p w:rsidR="002C7C68" w:rsidRPr="004B277A" w:rsidRDefault="002C7C68" w:rsidP="002C7C68">
      <w:pPr>
        <w:pStyle w:val="NormalHanging12a"/>
      </w:pPr>
      <w:r w:rsidRPr="004B277A">
        <w:t>–</w:t>
      </w:r>
      <w:r w:rsidRPr="004B277A">
        <w:tab/>
        <w:t>uwzględniając sprawozdanie Komisji Ochrony Środowiska Naturalnego, Zdrowia Publicznego i Bezpieczeństwa Żywności (A9-0138/2024),</w:t>
      </w:r>
    </w:p>
    <w:p w:rsidR="002C7C68" w:rsidRPr="004B277A" w:rsidRDefault="002C7C68" w:rsidP="002C7C68">
      <w:pPr>
        <w:pStyle w:val="NormalHanging12a"/>
      </w:pPr>
      <w:r w:rsidRPr="004B277A">
        <w:lastRenderedPageBreak/>
        <w:t>1.</w:t>
      </w:r>
      <w:r w:rsidRPr="004B277A">
        <w:tab/>
      </w:r>
      <w:proofErr w:type="gramStart"/>
      <w:r w:rsidRPr="004B277A">
        <w:t>przyjmuje</w:t>
      </w:r>
      <w:proofErr w:type="gramEnd"/>
      <w:r w:rsidRPr="004B277A">
        <w:t xml:space="preserve"> poniższe stanowisko w pierwszym czytaniu;</w:t>
      </w:r>
    </w:p>
    <w:p w:rsidR="002C7C68" w:rsidRPr="004B277A" w:rsidRDefault="002C7C68" w:rsidP="002C7C68">
      <w:pPr>
        <w:pStyle w:val="NormalHanging12a"/>
      </w:pPr>
      <w:r w:rsidRPr="004B277A">
        <w:t>2.</w:t>
      </w:r>
      <w:r w:rsidRPr="004B277A">
        <w:tab/>
      </w:r>
      <w:proofErr w:type="gramStart"/>
      <w:r w:rsidRPr="004B277A">
        <w:t>zwraca</w:t>
      </w:r>
      <w:proofErr w:type="gramEnd"/>
      <w:r w:rsidRPr="004B277A">
        <w:t xml:space="preserve"> się do Komisji o ponowne przekazanie mu sprawy, jeśli zastąpi ona pierwotny wniosek, wprowadzi w nim istotne zmiany lub planuje ich wprowadzenie;</w:t>
      </w:r>
    </w:p>
    <w:p w:rsidR="002C7C68" w:rsidRPr="004B277A" w:rsidRDefault="002C7C68" w:rsidP="002C7C68">
      <w:pPr>
        <w:pStyle w:val="NormalHanging12a"/>
      </w:pPr>
      <w:r w:rsidRPr="004B277A">
        <w:t>3.</w:t>
      </w:r>
      <w:r w:rsidRPr="004B277A">
        <w:tab/>
      </w:r>
      <w:proofErr w:type="gramStart"/>
      <w:r w:rsidRPr="004B277A">
        <w:t>zobowiązuje</w:t>
      </w:r>
      <w:proofErr w:type="gramEnd"/>
      <w:r w:rsidRPr="004B277A">
        <w:t xml:space="preserve"> swoją przewodniczącą do przekazania stanowiska Parlamentu Radzie i Komisji, a także parlamentom narodowym.</w:t>
      </w:r>
    </w:p>
    <w:p w:rsidR="003A0DC0" w:rsidRDefault="003A0DC0" w:rsidP="002C7C68">
      <w:pPr>
        <w:pStyle w:val="TOC1"/>
        <w:tabs>
          <w:tab w:val="right" w:leader="dot" w:pos="9060"/>
        </w:tabs>
        <w:rPr>
          <w:lang w:val="pl-PL"/>
        </w:rPr>
        <w:sectPr w:rsidR="003A0DC0" w:rsidSect="00524971">
          <w:footnotePr>
            <w:numRestart w:val="eachSect"/>
          </w:footnotePr>
          <w:pgSz w:w="11906" w:h="16838" w:code="9"/>
          <w:pgMar w:top="1134" w:right="1134" w:bottom="1134" w:left="1134" w:header="1134" w:footer="567" w:gutter="0"/>
          <w:cols w:space="720"/>
          <w:noEndnote/>
          <w:docGrid w:linePitch="326"/>
        </w:sect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p>
    <w:p w:rsidR="003A0DC0" w:rsidRPr="00524971" w:rsidRDefault="003A0DC0" w:rsidP="003A0DC0">
      <w:pPr>
        <w:spacing w:after="240" w:line="259" w:lineRule="auto"/>
        <w:rPr>
          <w:b/>
          <w:bCs/>
          <w:lang w:eastAsia="en-US"/>
        </w:rPr>
      </w:pPr>
      <w:r w:rsidRPr="00524971">
        <w:rPr>
          <w:b/>
          <w:bCs/>
          <w:lang w:eastAsia="en-US"/>
        </w:rPr>
        <w:lastRenderedPageBreak/>
        <w:t>P9_TC1-COD(2023)0232</w:t>
      </w:r>
    </w:p>
    <w:p w:rsidR="003A0DC0" w:rsidRPr="00524971" w:rsidRDefault="00524971" w:rsidP="003A0DC0">
      <w:pPr>
        <w:spacing w:after="240" w:line="259" w:lineRule="auto"/>
        <w:rPr>
          <w:lang w:eastAsia="en-US"/>
        </w:rPr>
      </w:pPr>
      <w:r>
        <w:rPr>
          <w:b/>
        </w:rPr>
        <w:t xml:space="preserve">Stanowisko Parlamentu Europejskiego </w:t>
      </w:r>
      <w:r w:rsidRPr="00291A00">
        <w:rPr>
          <w:b/>
        </w:rPr>
        <w:t xml:space="preserve">przyjęte w pierwszym czytaniu w dniu </w:t>
      </w:r>
      <w:r>
        <w:rPr>
          <w:b/>
        </w:rPr>
        <w:t>10 kwietnia 2024 r.</w:t>
      </w:r>
      <w:r w:rsidRPr="00291A00">
        <w:rPr>
          <w:b/>
        </w:rPr>
        <w:t xml:space="preserve"> w celu przyjęcia dyrektywy Parlamentu Europejskiego i Rady </w:t>
      </w:r>
      <w:r>
        <w:rPr>
          <w:b/>
        </w:rPr>
        <w:t xml:space="preserve">(UE) 2024/... </w:t>
      </w:r>
      <w:proofErr w:type="gramStart"/>
      <w:r w:rsidRPr="00524971">
        <w:rPr>
          <w:b/>
        </w:rPr>
        <w:t>w</w:t>
      </w:r>
      <w:proofErr w:type="gramEnd"/>
      <w:r w:rsidRPr="00524971">
        <w:rPr>
          <w:b/>
        </w:rPr>
        <w:t xml:space="preserve"> sprawie monitorowania i odporności gleb (prawo o monitorowaniu gleb)</w:t>
      </w:r>
    </w:p>
    <w:bookmarkEnd w:id="8"/>
    <w:bookmarkEnd w:id="9"/>
    <w:bookmarkEnd w:id="10"/>
    <w:bookmarkEnd w:id="11"/>
    <w:bookmarkEnd w:id="12"/>
    <w:bookmarkEnd w:id="13"/>
    <w:bookmarkEnd w:id="14"/>
    <w:p w:rsidR="00524971" w:rsidRPr="00524971" w:rsidRDefault="00524971" w:rsidP="00524971">
      <w:pPr>
        <w:keepNext/>
        <w:spacing w:before="600" w:after="120" w:line="360" w:lineRule="auto"/>
        <w:rPr>
          <w:szCs w:val="24"/>
          <w:lang w:eastAsia="en-US"/>
        </w:rPr>
      </w:pPr>
      <w:r w:rsidRPr="00524971">
        <w:rPr>
          <w:szCs w:val="24"/>
          <w:lang w:eastAsia="en-US"/>
        </w:rPr>
        <w:t>PARLAMENT EUROPEJSKI I RADA UNII EUROPEJSKIEJ,</w:t>
      </w:r>
    </w:p>
    <w:p w:rsidR="00524971" w:rsidRPr="00524971" w:rsidRDefault="00524971" w:rsidP="00524971">
      <w:pPr>
        <w:spacing w:before="120" w:after="120" w:line="360" w:lineRule="auto"/>
        <w:rPr>
          <w:lang w:eastAsia="en-US"/>
        </w:rPr>
      </w:pPr>
      <w:proofErr w:type="gramStart"/>
      <w:r w:rsidRPr="00524971">
        <w:rPr>
          <w:lang w:eastAsia="en-US"/>
        </w:rPr>
        <w:t>uwzględniając</w:t>
      </w:r>
      <w:proofErr w:type="gramEnd"/>
      <w:r w:rsidRPr="00524971">
        <w:rPr>
          <w:lang w:eastAsia="en-US"/>
        </w:rPr>
        <w:t xml:space="preserve"> Traktat o funkcjonowaniu Unii Europejskiej, w szczególności jego art. 192 ust. 1,</w:t>
      </w:r>
    </w:p>
    <w:p w:rsidR="00524971" w:rsidRPr="00524971" w:rsidRDefault="00524971" w:rsidP="00524971">
      <w:pPr>
        <w:spacing w:before="120" w:after="120" w:line="360" w:lineRule="auto"/>
        <w:rPr>
          <w:lang w:eastAsia="en-US"/>
        </w:rPr>
      </w:pPr>
      <w:proofErr w:type="gramStart"/>
      <w:r w:rsidRPr="00524971">
        <w:rPr>
          <w:lang w:eastAsia="en-US"/>
        </w:rPr>
        <w:t>uwzględniając</w:t>
      </w:r>
      <w:proofErr w:type="gramEnd"/>
      <w:r w:rsidRPr="00524971">
        <w:rPr>
          <w:lang w:eastAsia="en-US"/>
        </w:rPr>
        <w:t xml:space="preserve"> wniosek Komisji Europejskiej,</w:t>
      </w:r>
    </w:p>
    <w:p w:rsidR="00524971" w:rsidRPr="00524971" w:rsidRDefault="00524971" w:rsidP="00524971">
      <w:pPr>
        <w:spacing w:before="120" w:after="120" w:line="360" w:lineRule="auto"/>
        <w:rPr>
          <w:lang w:eastAsia="en-US"/>
        </w:rPr>
      </w:pPr>
      <w:proofErr w:type="gramStart"/>
      <w:r w:rsidRPr="00524971">
        <w:rPr>
          <w:lang w:eastAsia="en-US"/>
        </w:rPr>
        <w:t>po</w:t>
      </w:r>
      <w:proofErr w:type="gramEnd"/>
      <w:r w:rsidRPr="00524971">
        <w:rPr>
          <w:lang w:eastAsia="en-US"/>
        </w:rPr>
        <w:t xml:space="preserve"> przekazaniu projektu aktu ustawodawczego parlamentom narodowym,</w:t>
      </w:r>
    </w:p>
    <w:p w:rsidR="00524971" w:rsidRPr="00524971" w:rsidRDefault="00524971" w:rsidP="00524971">
      <w:pPr>
        <w:spacing w:before="120" w:after="120" w:line="360" w:lineRule="auto"/>
        <w:rPr>
          <w:lang w:eastAsia="en-US"/>
        </w:rPr>
      </w:pPr>
      <w:proofErr w:type="gramStart"/>
      <w:r w:rsidRPr="00524971">
        <w:rPr>
          <w:lang w:eastAsia="en-US"/>
        </w:rPr>
        <w:t>uwzględniając</w:t>
      </w:r>
      <w:proofErr w:type="gramEnd"/>
      <w:r w:rsidRPr="00524971">
        <w:rPr>
          <w:lang w:eastAsia="en-US"/>
        </w:rPr>
        <w:t xml:space="preserve"> opinię Europejskiego Komitetu Ekonomiczno-Społecznego</w:t>
      </w:r>
      <w:r w:rsidRPr="00524971">
        <w:rPr>
          <w:vertAlign w:val="superscript"/>
          <w:lang w:val="en-GB" w:eastAsia="en-US"/>
        </w:rPr>
        <w:footnoteReference w:id="2"/>
      </w:r>
      <w:r w:rsidRPr="00524971">
        <w:rPr>
          <w:lang w:eastAsia="en-US"/>
        </w:rPr>
        <w:t>,</w:t>
      </w:r>
    </w:p>
    <w:p w:rsidR="00524971" w:rsidRPr="00524971" w:rsidRDefault="00524971" w:rsidP="00524971">
      <w:pPr>
        <w:spacing w:before="120" w:after="120" w:line="360" w:lineRule="auto"/>
        <w:rPr>
          <w:lang w:eastAsia="en-US"/>
        </w:rPr>
      </w:pPr>
      <w:proofErr w:type="gramStart"/>
      <w:r w:rsidRPr="00524971">
        <w:rPr>
          <w:lang w:eastAsia="en-US"/>
        </w:rPr>
        <w:t>uwzględniając</w:t>
      </w:r>
      <w:proofErr w:type="gramEnd"/>
      <w:r w:rsidRPr="00524971">
        <w:rPr>
          <w:lang w:eastAsia="en-US"/>
        </w:rPr>
        <w:t xml:space="preserve"> opinię Komitetu Regionów</w:t>
      </w:r>
      <w:r w:rsidRPr="00524971">
        <w:rPr>
          <w:vertAlign w:val="superscript"/>
          <w:lang w:val="en-GB" w:eastAsia="en-US"/>
        </w:rPr>
        <w:footnoteReference w:id="3"/>
      </w:r>
      <w:r w:rsidRPr="00524971">
        <w:rPr>
          <w:lang w:eastAsia="en-US"/>
        </w:rPr>
        <w:t>,</w:t>
      </w:r>
    </w:p>
    <w:p w:rsidR="00524971" w:rsidRPr="00524971" w:rsidRDefault="00524971" w:rsidP="00524971">
      <w:pPr>
        <w:spacing w:before="120" w:after="120" w:line="360" w:lineRule="auto"/>
        <w:rPr>
          <w:lang w:eastAsia="en-US"/>
        </w:rPr>
      </w:pPr>
      <w:proofErr w:type="gramStart"/>
      <w:r w:rsidRPr="00524971">
        <w:rPr>
          <w:lang w:eastAsia="en-US"/>
        </w:rPr>
        <w:t>stanowiąc</w:t>
      </w:r>
      <w:proofErr w:type="gramEnd"/>
      <w:r w:rsidRPr="00524971">
        <w:rPr>
          <w:lang w:eastAsia="en-US"/>
        </w:rPr>
        <w:t xml:space="preserve"> zgodnie ze zwykłą procedurą ustawodawczą,</w:t>
      </w:r>
    </w:p>
    <w:p w:rsidR="00524971" w:rsidRDefault="00524971">
      <w:pPr>
        <w:widowControl/>
        <w:rPr>
          <w:lang w:eastAsia="en-US"/>
        </w:rPr>
      </w:pPr>
      <w:r>
        <w:rPr>
          <w:lang w:eastAsia="en-US"/>
        </w:rPr>
        <w:br w:type="page"/>
      </w:r>
    </w:p>
    <w:p w:rsidR="00524971" w:rsidRPr="00524971" w:rsidRDefault="00524971" w:rsidP="00524971">
      <w:pPr>
        <w:spacing w:before="120" w:after="120" w:line="360" w:lineRule="auto"/>
        <w:rPr>
          <w:lang w:eastAsia="en-US"/>
        </w:rPr>
      </w:pPr>
      <w:proofErr w:type="gramStart"/>
      <w:r w:rsidRPr="00524971">
        <w:rPr>
          <w:lang w:eastAsia="en-US"/>
        </w:rPr>
        <w:lastRenderedPageBreak/>
        <w:t>a</w:t>
      </w:r>
      <w:proofErr w:type="gramEnd"/>
      <w:r w:rsidRPr="00524971">
        <w:rPr>
          <w:lang w:eastAsia="en-US"/>
        </w:rPr>
        <w:t xml:space="preserve"> także mając na uwadze, co następuje:</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w:t>
      </w:r>
      <w:r w:rsidRPr="00524971">
        <w:rPr>
          <w:szCs w:val="24"/>
          <w:lang w:eastAsia="en-US"/>
        </w:rPr>
        <w:tab/>
        <w:t>Gleba</w:t>
      </w:r>
      <w:proofErr w:type="gramEnd"/>
      <w:r w:rsidRPr="00524971">
        <w:rPr>
          <w:szCs w:val="24"/>
          <w:lang w:eastAsia="en-US"/>
        </w:rPr>
        <w:t xml:space="preserve"> jest podstawowym, ograniczonym, nieodnawialnym i niezastąpionym zasobem, który ma kluczowe znaczenie dla gospodarki, środowiska i społeczeństwa.</w:t>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t>(2)</w:t>
      </w:r>
      <w:r w:rsidRPr="00524971">
        <w:rPr>
          <w:szCs w:val="24"/>
          <w:lang w:eastAsia="en-US"/>
        </w:rPr>
        <w:tab/>
        <w:t>Zdrowe</w:t>
      </w:r>
      <w:proofErr w:type="gramEnd"/>
      <w:r w:rsidRPr="00524971">
        <w:rPr>
          <w:szCs w:val="24"/>
          <w:lang w:eastAsia="en-US"/>
        </w:rPr>
        <w:t xml:space="preserve"> gleby są w dobrym stanie chemicznym, biologicznym i fizycznym, tak że mogą zapewniać usługi ekosystemowe, które są niezbędne dla ludzi i środowiska, takie jak bezpieczna, bogata w składniki odżywcze żywność w wystarczającej ilości, biomasa, czysta woda, obieg składników odżywczych, składowanie dwutlenku węgla i siedliska na potrzeby różnorodności biologicznej. </w:t>
      </w:r>
      <w:r w:rsidRPr="00524971">
        <w:rPr>
          <w:b/>
          <w:i/>
          <w:szCs w:val="24"/>
          <w:lang w:eastAsia="en-US"/>
        </w:rPr>
        <w:t xml:space="preserve">Gleba ma zasadnicze znaczenie dla zapewnienia bezpieczeństwa żywnościowego. Jednak według szacunków </w:t>
      </w:r>
      <w:r w:rsidRPr="00524971">
        <w:rPr>
          <w:szCs w:val="24"/>
          <w:lang w:eastAsia="en-US"/>
        </w:rPr>
        <w:t>60–70 % gleb w Unii znajduje się</w:t>
      </w:r>
      <w:r w:rsidRPr="00524971">
        <w:rPr>
          <w:strike/>
          <w:szCs w:val="24"/>
          <w:lang w:eastAsia="en-US"/>
        </w:rPr>
        <w:t xml:space="preserve"> jednak</w:t>
      </w:r>
      <w:r w:rsidRPr="00524971">
        <w:rPr>
          <w:szCs w:val="24"/>
          <w:lang w:eastAsia="en-US"/>
        </w:rPr>
        <w:t xml:space="preserve"> w stanie pogorszonym i nadal ulega degradacji.</w:t>
      </w:r>
      <w:r>
        <w:rPr>
          <w:b/>
          <w:szCs w:val="24"/>
          <w:lang w:eastAsia="en-US"/>
        </w:rPr>
        <w:t xml:space="preserve"> [Popr. 1]</w:t>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t>(3)</w:t>
      </w:r>
      <w:r w:rsidRPr="00524971">
        <w:rPr>
          <w:szCs w:val="24"/>
          <w:lang w:eastAsia="en-US"/>
        </w:rPr>
        <w:tab/>
        <w:t>Degradacja</w:t>
      </w:r>
      <w:proofErr w:type="gramEnd"/>
      <w:r w:rsidRPr="00524971">
        <w:rPr>
          <w:szCs w:val="24"/>
          <w:lang w:eastAsia="en-US"/>
        </w:rPr>
        <w:t xml:space="preserve"> gleby kosztuje Unię dziesiątki miliardów euro rocznie. Zdrowie gleb wpływa na zapewnianie usług ekosystemowych, które przynoszą istotne korzyści gospodarcze. </w:t>
      </w:r>
      <w:r w:rsidRPr="00524971">
        <w:rPr>
          <w:strike/>
          <w:szCs w:val="24"/>
          <w:lang w:eastAsia="en-US"/>
        </w:rPr>
        <w:t xml:space="preserve">Zrównoważone gospodarowanie glebami i ich regeneracja </w:t>
      </w:r>
      <w:proofErr w:type="spellStart"/>
      <w:r w:rsidRPr="00524971">
        <w:rPr>
          <w:strike/>
          <w:szCs w:val="24"/>
          <w:lang w:eastAsia="en-US"/>
        </w:rPr>
        <w:t>mają</w:t>
      </w:r>
      <w:r w:rsidRPr="00524971">
        <w:rPr>
          <w:b/>
          <w:i/>
          <w:szCs w:val="24"/>
          <w:lang w:eastAsia="en-US"/>
        </w:rPr>
        <w:t>Poprawa</w:t>
      </w:r>
      <w:proofErr w:type="spellEnd"/>
      <w:r w:rsidRPr="00524971">
        <w:rPr>
          <w:b/>
          <w:i/>
          <w:szCs w:val="24"/>
          <w:lang w:eastAsia="en-US"/>
        </w:rPr>
        <w:t xml:space="preserve"> stanu gleby ma</w:t>
      </w:r>
      <w:r w:rsidRPr="00524971">
        <w:rPr>
          <w:szCs w:val="24"/>
          <w:lang w:eastAsia="en-US"/>
        </w:rPr>
        <w:t xml:space="preserve"> zatem sens ekonomiczny i </w:t>
      </w:r>
      <w:proofErr w:type="spellStart"/>
      <w:r w:rsidRPr="00524971">
        <w:rPr>
          <w:strike/>
          <w:szCs w:val="24"/>
          <w:lang w:eastAsia="en-US"/>
        </w:rPr>
        <w:t>mogą</w:t>
      </w:r>
      <w:r w:rsidRPr="00524971">
        <w:rPr>
          <w:b/>
          <w:i/>
          <w:szCs w:val="24"/>
          <w:lang w:eastAsia="en-US"/>
        </w:rPr>
        <w:t>może</w:t>
      </w:r>
      <w:proofErr w:type="spellEnd"/>
      <w:r w:rsidRPr="00524971">
        <w:rPr>
          <w:szCs w:val="24"/>
          <w:lang w:eastAsia="en-US"/>
        </w:rPr>
        <w:t xml:space="preserve"> znacznie podnieść cenę i wartość gruntów w Unii.</w:t>
      </w:r>
      <w:r w:rsidRPr="00524971">
        <w:rPr>
          <w:b/>
          <w:i/>
          <w:szCs w:val="24"/>
          <w:lang w:eastAsia="en-US"/>
        </w:rPr>
        <w:t xml:space="preserve"> Ponadto powstanie zaledwie 1 cm wierzchniej warstwy gleby może zająć nawet 1000 lat, podczas gdy proces degradacji i całkowita dewastacja gleby może nastąpić szybko.</w:t>
      </w:r>
      <w:r>
        <w:rPr>
          <w:b/>
          <w:szCs w:val="24"/>
          <w:lang w:eastAsia="en-US"/>
        </w:rPr>
        <w:t xml:space="preserve"> [Popr. 2]</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(4)</w:t>
      </w:r>
      <w:r w:rsidRPr="00524971">
        <w:rPr>
          <w:szCs w:val="24"/>
          <w:lang w:eastAsia="en-US"/>
        </w:rPr>
        <w:tab/>
        <w:t>W</w:t>
      </w:r>
      <w:proofErr w:type="gramEnd"/>
      <w:r w:rsidRPr="00524971">
        <w:rPr>
          <w:szCs w:val="24"/>
          <w:lang w:eastAsia="en-US"/>
        </w:rPr>
        <w:t xml:space="preserve"> ramach Europejskiego Zielonego Ładu</w:t>
      </w:r>
      <w:r w:rsidRPr="00524971">
        <w:rPr>
          <w:szCs w:val="24"/>
          <w:vertAlign w:val="superscript"/>
          <w:lang w:val="en-GB" w:eastAsia="en-US"/>
        </w:rPr>
        <w:footnoteReference w:id="4"/>
      </w:r>
      <w:r w:rsidRPr="00524971">
        <w:rPr>
          <w:szCs w:val="24"/>
          <w:lang w:eastAsia="en-US"/>
        </w:rPr>
        <w:t xml:space="preserve"> określono ambitny plan działania zmierzający do przekształcenia Unii w sprawiedliwe i dostatnie społeczeństwo żyjące w nowoczesnej, </w:t>
      </w:r>
      <w:proofErr w:type="spellStart"/>
      <w:r w:rsidRPr="00524971">
        <w:rPr>
          <w:szCs w:val="24"/>
          <w:lang w:eastAsia="en-US"/>
        </w:rPr>
        <w:t>zasobooszczędnej</w:t>
      </w:r>
      <w:proofErr w:type="spellEnd"/>
      <w:r w:rsidRPr="00524971">
        <w:rPr>
          <w:szCs w:val="24"/>
          <w:lang w:eastAsia="en-US"/>
        </w:rPr>
        <w:t xml:space="preserve"> i konkurencyjnej gospodarce, mający na celu ochronę, zachowanie i poprawę kapitału naturalnego Unii oraz ochronę zdrowia i dobrostanu obywateli. W ramach Europejskiego Zielonego Ładu Komisja przyjęła unijną strategię na rzecz bioróżnorodności 2030</w:t>
      </w:r>
      <w:r w:rsidRPr="00524971">
        <w:rPr>
          <w:szCs w:val="24"/>
          <w:vertAlign w:val="superscript"/>
          <w:lang w:val="en-GB" w:eastAsia="en-US"/>
        </w:rPr>
        <w:footnoteReference w:id="5"/>
      </w:r>
      <w:r w:rsidRPr="00524971">
        <w:rPr>
          <w:szCs w:val="24"/>
          <w:lang w:eastAsia="en-US"/>
        </w:rPr>
        <w:t>, strategię „Od pola do stołu”</w:t>
      </w:r>
      <w:r w:rsidRPr="00524971">
        <w:rPr>
          <w:szCs w:val="24"/>
          <w:vertAlign w:val="superscript"/>
          <w:lang w:val="en-GB" w:eastAsia="en-US"/>
        </w:rPr>
        <w:footnoteReference w:id="6"/>
      </w:r>
      <w:r w:rsidRPr="00524971">
        <w:rPr>
          <w:szCs w:val="24"/>
          <w:lang w:eastAsia="en-US"/>
        </w:rPr>
        <w:t>, plan działania na rzecz eliminacji zanieczyszczeń</w:t>
      </w:r>
      <w:r w:rsidRPr="00524971">
        <w:rPr>
          <w:szCs w:val="24"/>
          <w:vertAlign w:val="superscript"/>
          <w:lang w:val="en-GB" w:eastAsia="en-US"/>
        </w:rPr>
        <w:footnoteReference w:id="7"/>
      </w:r>
      <w:r w:rsidRPr="00524971">
        <w:rPr>
          <w:szCs w:val="24"/>
          <w:lang w:eastAsia="en-US"/>
        </w:rPr>
        <w:t>, strategię UE w zakresie przystosowania się do zmiany klimatu</w:t>
      </w:r>
      <w:r w:rsidRPr="00524971">
        <w:rPr>
          <w:szCs w:val="24"/>
          <w:vertAlign w:val="superscript"/>
          <w:lang w:val="en-GB" w:eastAsia="en-US"/>
        </w:rPr>
        <w:footnoteReference w:id="8"/>
      </w:r>
      <w:r w:rsidRPr="00524971">
        <w:rPr>
          <w:szCs w:val="24"/>
          <w:lang w:eastAsia="en-US"/>
        </w:rPr>
        <w:t xml:space="preserve"> oraz Strategię UE na rzecz ochrony gleb 2030</w:t>
      </w:r>
      <w:r w:rsidRPr="00524971">
        <w:rPr>
          <w:szCs w:val="24"/>
          <w:vertAlign w:val="superscript"/>
          <w:lang w:val="en-GB" w:eastAsia="en-US"/>
        </w:rPr>
        <w:footnoteReference w:id="9"/>
      </w:r>
      <w:r w:rsidRPr="00524971">
        <w:rPr>
          <w:szCs w:val="24"/>
          <w:lang w:eastAsia="en-US"/>
        </w:rPr>
        <w:t>.</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(5)</w:t>
      </w:r>
      <w:r w:rsidRPr="00524971">
        <w:rPr>
          <w:szCs w:val="24"/>
          <w:lang w:eastAsia="en-US"/>
        </w:rPr>
        <w:tab/>
        <w:t>Unia</w:t>
      </w:r>
      <w:proofErr w:type="gramEnd"/>
      <w:r w:rsidRPr="00524971">
        <w:rPr>
          <w:szCs w:val="24"/>
          <w:lang w:eastAsia="en-US"/>
        </w:rPr>
        <w:t xml:space="preserve"> jest zaangażowana ponadto w realizację Agendy na rzecz zrównoważonego rozwoju 2030 oraz określonych w niej celów zrównoważonego rozwoju</w:t>
      </w:r>
      <w:r w:rsidRPr="00524971">
        <w:rPr>
          <w:szCs w:val="24"/>
          <w:vertAlign w:val="superscript"/>
          <w:lang w:val="en-GB" w:eastAsia="en-US"/>
        </w:rPr>
        <w:footnoteReference w:id="10"/>
      </w:r>
      <w:r w:rsidRPr="00524971">
        <w:rPr>
          <w:szCs w:val="24"/>
          <w:lang w:eastAsia="en-US"/>
        </w:rPr>
        <w:t xml:space="preserve">. Zdrowe gleby przyczyniają się bezpośrednio do osiągnięcia kilku celów zrównoważonego rozwoju, w szczególności celu zrównoważonego rozwoju nr 2 (zero głodu), celu zrównoważonego rozwoju nr 3 (dobre zdrowie i jakość życia), celu zrównoważonego rozwoju nr 6 (czysta woda i warunki sanitarne), celu zrównoważonego rozwoju nr 11 (zrównoważone miasta i społeczności), celu zrównoważonego rozwoju nr 12 (odpowiedzialna konsumpcja i produkcja), celu zrównoważonego rozwoju nr 13 </w:t>
      </w:r>
      <w:r w:rsidRPr="00524971">
        <w:rPr>
          <w:szCs w:val="24"/>
          <w:lang w:eastAsia="en-US"/>
        </w:rPr>
        <w:lastRenderedPageBreak/>
        <w:t xml:space="preserve">(działania w dziedzinie klimatu) oraz celu zrównoważonego rozwoju nr 15 (życie na lądzie). Cel zrównoważonego rozwoju 15.3 </w:t>
      </w:r>
      <w:proofErr w:type="gramStart"/>
      <w:r w:rsidRPr="00524971">
        <w:rPr>
          <w:szCs w:val="24"/>
          <w:lang w:eastAsia="en-US"/>
        </w:rPr>
        <w:t>polega</w:t>
      </w:r>
      <w:proofErr w:type="gramEnd"/>
      <w:r w:rsidRPr="00524971">
        <w:rPr>
          <w:szCs w:val="24"/>
          <w:lang w:eastAsia="en-US"/>
        </w:rPr>
        <w:t xml:space="preserve"> na zwalczaniu pustynnienia, rekultywacji zdegradowanych gruntów i gleb, w tym dotkniętych pustynnieniem, suszami i powodziami oraz dążeniu do budowy świata, w którym do 2030 r. nie będzie występować proces degradacji gleb.</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(6)</w:t>
      </w:r>
      <w:r w:rsidRPr="00524971">
        <w:rPr>
          <w:szCs w:val="24"/>
          <w:lang w:eastAsia="en-US"/>
        </w:rPr>
        <w:tab/>
        <w:t>Unia</w:t>
      </w:r>
      <w:proofErr w:type="gramEnd"/>
      <w:r w:rsidRPr="00524971">
        <w:rPr>
          <w:szCs w:val="24"/>
          <w:lang w:eastAsia="en-US"/>
        </w:rPr>
        <w:t xml:space="preserve"> i jej państwa członkowskie, jako strony Konwencji o różnorodności biologicznej, zatwierdzonej decyzją Rady 93/626/EWG</w:t>
      </w:r>
      <w:r w:rsidRPr="00524971">
        <w:rPr>
          <w:szCs w:val="24"/>
          <w:vertAlign w:val="superscript"/>
          <w:lang w:val="en-GB" w:eastAsia="en-US"/>
        </w:rPr>
        <w:footnoteReference w:id="11"/>
      </w:r>
      <w:r w:rsidRPr="00524971">
        <w:rPr>
          <w:szCs w:val="24"/>
          <w:lang w:eastAsia="en-US"/>
        </w:rPr>
        <w:t>, uzgodniły na 15.</w:t>
      </w:r>
      <w:r w:rsidRPr="00524971">
        <w:rPr>
          <w:szCs w:val="24"/>
          <w:vertAlign w:val="superscript"/>
          <w:lang w:eastAsia="en-US"/>
        </w:rPr>
        <w:t>.</w:t>
      </w:r>
      <w:r w:rsidRPr="00524971">
        <w:rPr>
          <w:szCs w:val="24"/>
          <w:lang w:eastAsia="en-US"/>
        </w:rPr>
        <w:t xml:space="preserve"> Konferencji Stron „globalne ramy różnorodności biologicznej z Kunmingu/Montrealu”</w:t>
      </w:r>
      <w:r w:rsidRPr="00524971">
        <w:rPr>
          <w:szCs w:val="24"/>
          <w:vertAlign w:val="superscript"/>
          <w:lang w:val="en-GB" w:eastAsia="en-US"/>
        </w:rPr>
        <w:footnoteReference w:id="12"/>
      </w:r>
      <w:r w:rsidRPr="00524971">
        <w:rPr>
          <w:szCs w:val="24"/>
          <w:lang w:eastAsia="en-US"/>
        </w:rPr>
        <w:t>, które obejmują szereg ukierunkowanych na działania globalnych celów do 2030 r., mających znaczenie dla zdrowia gleb. Wkład przyrody na rzecz ludzi, w tym zdrowie gleb, należy rekultywować, utrzymać i powiększyć.</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(7)</w:t>
      </w:r>
      <w:r w:rsidRPr="00524971">
        <w:rPr>
          <w:szCs w:val="24"/>
          <w:lang w:eastAsia="en-US"/>
        </w:rPr>
        <w:tab/>
        <w:t>Unia</w:t>
      </w:r>
      <w:proofErr w:type="gramEnd"/>
      <w:r w:rsidRPr="00524971">
        <w:rPr>
          <w:szCs w:val="24"/>
          <w:lang w:eastAsia="en-US"/>
        </w:rPr>
        <w:t xml:space="preserve"> i jej państwa członkowskie, jako strony Konwencji ONZ w sprawie zwalczania pustynnienia (UNCCD), zatwierdzonej decyzją Rady 98/216/WE</w:t>
      </w:r>
      <w:r w:rsidRPr="00524971">
        <w:rPr>
          <w:szCs w:val="24"/>
          <w:vertAlign w:val="superscript"/>
          <w:lang w:val="en-GB" w:eastAsia="en-US"/>
        </w:rPr>
        <w:footnoteReference w:id="13"/>
      </w:r>
      <w:r w:rsidRPr="00524971">
        <w:rPr>
          <w:szCs w:val="24"/>
          <w:lang w:eastAsia="en-US"/>
        </w:rPr>
        <w:t>, zobowiązały się do zwalczania pustynnienia i do łagodzenia skutków suszy w dotkniętych nimi państwach. Trzynaście państw członkowskich</w:t>
      </w:r>
      <w:r w:rsidRPr="00524971">
        <w:rPr>
          <w:szCs w:val="24"/>
          <w:vertAlign w:val="superscript"/>
          <w:lang w:val="en-GB" w:eastAsia="en-US"/>
        </w:rPr>
        <w:footnoteReference w:id="14"/>
      </w:r>
      <w:r w:rsidRPr="00524971">
        <w:rPr>
          <w:szCs w:val="24"/>
          <w:lang w:eastAsia="en-US"/>
        </w:rPr>
        <w:t xml:space="preserve"> zadeklarowało się jako „strony dotknięte” na mocy konwencji ONZ w sprawie zwalczania pustynnienia.</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(8)</w:t>
      </w:r>
      <w:r w:rsidRPr="00524971">
        <w:rPr>
          <w:szCs w:val="24"/>
          <w:lang w:eastAsia="en-US"/>
        </w:rPr>
        <w:tab/>
        <w:t>W</w:t>
      </w:r>
      <w:proofErr w:type="gramEnd"/>
      <w:r w:rsidRPr="00524971">
        <w:rPr>
          <w:szCs w:val="24"/>
          <w:lang w:eastAsia="en-US"/>
        </w:rPr>
        <w:t xml:space="preserve"> kontekście Ramowej konwencji Narodów Zjednoczonych w sprawie zmian klimatu (UNFCCC) grunty i glebę uznaje się jednocześnie za źródło i pochłaniacze dwutlenku węgla. Unia i państwa członkowskie jako strony zobowiązały się do promowania zrównoważonego zarządzania pochłaniaczami i rezerwuarami dwutlenku węgla, do ich ochrony i rozszerzania.</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(9)</w:t>
      </w:r>
      <w:r w:rsidRPr="00524971">
        <w:rPr>
          <w:szCs w:val="24"/>
          <w:lang w:eastAsia="en-US"/>
        </w:rPr>
        <w:tab/>
        <w:t>Unijna</w:t>
      </w:r>
      <w:proofErr w:type="gramEnd"/>
      <w:r w:rsidRPr="00524971">
        <w:rPr>
          <w:szCs w:val="24"/>
          <w:lang w:eastAsia="en-US"/>
        </w:rPr>
        <w:t xml:space="preserve"> strategia na rzecz bioróżnorodności 2030 stanowi, że istotne jest, aby wzmóc wysiłki na rzecz ochrony żyzności gleb, ograniczenia erozji gleb i zwiększenia w nich zawartości materii organicznej przez przyjmowanie praktyk zrównoważonego gospodarowania glebami. Stanowi również, że konieczne jest poczynienie znacznych postępów w zakresie identyfikacji miejsc z zanieczyszczoną glebą, rekultywacji zdegradowanych gleb, określania warunków ich dobrego stanu ekologicznego, wprowadzania celów w zakresie rekultywacji oraz poprawy monitorowania zdrowia gleb.</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(10)</w:t>
      </w:r>
      <w:r w:rsidRPr="00524971">
        <w:rPr>
          <w:szCs w:val="24"/>
          <w:lang w:eastAsia="en-US"/>
        </w:rPr>
        <w:tab/>
        <w:t>Strategia</w:t>
      </w:r>
      <w:proofErr w:type="gramEnd"/>
      <w:r w:rsidRPr="00524971">
        <w:rPr>
          <w:szCs w:val="24"/>
          <w:lang w:eastAsia="en-US"/>
        </w:rPr>
        <w:t xml:space="preserve"> UE na rzecz ochrony gleb 2030 określa długoterminową wizję, zgodnie z którą do 2050 r. wszystkie ekosystemy glebowe w UE będą w dobrym stanie, a tym samym będą bardziej odporne. Mające kluczowe znaczenie zdrowe gleby przyczyniają się do realizacji celów UE polegających na osiągnięciu neutralności klimatycznej, rozwoju czystej (</w:t>
      </w:r>
      <w:proofErr w:type="spellStart"/>
      <w:r w:rsidRPr="00524971">
        <w:rPr>
          <w:szCs w:val="24"/>
          <w:lang w:eastAsia="en-US"/>
        </w:rPr>
        <w:t>bio</w:t>
      </w:r>
      <w:proofErr w:type="spellEnd"/>
      <w:proofErr w:type="gramStart"/>
      <w:r w:rsidRPr="00524971">
        <w:rPr>
          <w:szCs w:val="24"/>
          <w:lang w:eastAsia="en-US"/>
        </w:rPr>
        <w:t>)gospodarki</w:t>
      </w:r>
      <w:proofErr w:type="gramEnd"/>
      <w:r w:rsidRPr="00524971">
        <w:rPr>
          <w:szCs w:val="24"/>
          <w:lang w:eastAsia="en-US"/>
        </w:rPr>
        <w:t xml:space="preserve"> o obiegu zamkniętym, odwróceniu procesu utraty różnorodności biologicznej, ochronie zdrowia ludzi, powstrzymaniu pustynnienia i odwróceniu procesu degradacji gleby.</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(11)</w:t>
      </w:r>
      <w:r w:rsidRPr="00524971">
        <w:rPr>
          <w:szCs w:val="24"/>
          <w:lang w:eastAsia="en-US"/>
        </w:rPr>
        <w:tab/>
        <w:t>Finansowanie</w:t>
      </w:r>
      <w:proofErr w:type="gramEnd"/>
      <w:r w:rsidRPr="00524971">
        <w:rPr>
          <w:szCs w:val="24"/>
          <w:lang w:eastAsia="en-US"/>
        </w:rPr>
        <w:t xml:space="preserve"> ma zasadnicze znaczenie dla umożliwienia przejścia na zdrowe gleby. Wieloletnie ramy finansowe zapewniają szereg możliwości finansowania ochrony gleb, zrównoważonego gospodarowania nimi i ich regeneracji. „Pakt na rzecz zdrowych gleb w Europie” to jedna z pięciu misji UE w ramach programu „Horyzont Europa”; jest on poświęcony w szczególności promowaniu zdrowia gleb. Misja „Gleby” jest kluczowym instrumentem wdrażania niniejszej dyrektywy. Jego celem jest przewodzenie transformacji w kierunku zdrowych gleb poprzez finansowanie ambitnego programu badań naukowych i innowacji, utworzenie sieci 100 żywych laboratoriów i sztandarowych projektów na obszarach wiejskich i miejskich, przyspieszenie opracowania zharmonizowanych ram monitorowania gleb oraz zwiększenie świadomości na temat znaczenia gleb. Inne programy unijne, które uwzględniają cele przyczyniające się do tworzenia zdrowych gleb, to wspólna polityka rolna, fundusze polityki spójności, program działań na rzecz środowiska i klimatu, program prac „Horyzont Europa”, Instrument Wsparcia Technicznego, Instrument na rzecz Odbudowy i Zwiększania Odporności oraz </w:t>
      </w:r>
      <w:proofErr w:type="spellStart"/>
      <w:r w:rsidRPr="00524971">
        <w:rPr>
          <w:szCs w:val="24"/>
          <w:lang w:eastAsia="en-US"/>
        </w:rPr>
        <w:t>InvestEU</w:t>
      </w:r>
      <w:proofErr w:type="spellEnd"/>
      <w:r w:rsidRPr="00524971">
        <w:rPr>
          <w:szCs w:val="24"/>
          <w:lang w:eastAsia="en-US"/>
        </w:rPr>
        <w:t>.</w:t>
      </w:r>
      <w:r w:rsidRPr="00524971">
        <w:rPr>
          <w:b/>
          <w:i/>
          <w:szCs w:val="24"/>
          <w:lang w:eastAsia="en-US"/>
        </w:rPr>
        <w:t xml:space="preserve"> Ponieważ realizacja celu, jakim jest zdrowie wszystkich gleb w Unii, leży w interesie ogólnym, konieczne jest uruchomienie większej ilości zasobów, aby wspierać upowszechnianie praktyk zrównoważonego gospodarowania glebami i ich regeneracji, w tym przez zapewnienie pomocy z Europejskiego Banku Inwestycyjnego za pośrednictwem mechanizmów zmniejszających ryzyko. Komisja powinna ocenić ogólne potrzeby i luki finansowe oraz w razie potrzeby wprowadzić w wieloletnich ramach finansowych dodatkowe zasoby finansowe na okres po 2027 r. i przyjąć środki zapewniające spójność polityki w odniesieniu do celów niniejszej dyrektywy.</w:t>
      </w:r>
      <w:r>
        <w:rPr>
          <w:b/>
          <w:szCs w:val="24"/>
          <w:lang w:eastAsia="en-US"/>
        </w:rPr>
        <w:t xml:space="preserve"> [Popr. 3]</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(12)</w:t>
      </w:r>
      <w:r w:rsidRPr="00524971">
        <w:rPr>
          <w:szCs w:val="24"/>
          <w:lang w:eastAsia="en-US"/>
        </w:rPr>
        <w:tab/>
        <w:t>W</w:t>
      </w:r>
      <w:proofErr w:type="gramEnd"/>
      <w:r w:rsidRPr="00524971">
        <w:rPr>
          <w:szCs w:val="24"/>
          <w:lang w:eastAsia="en-US"/>
        </w:rPr>
        <w:t xml:space="preserve"> Strategii UE na rzecz ochrony gleb 2030 zapowiedziano, że Komisja przedstawi wniosek ustawodawczy w sprawie zdrowia gleb, który pozwoli zrealizować cele strategii na rzecz ochrony gleb i osiągnąć zdrowy stan gleb w całej UE do 2050 r. W rezolucji z dnia 28 kwietnia 2021 r. w sprawie ochrony gleb</w:t>
      </w:r>
      <w:r w:rsidRPr="00524971">
        <w:rPr>
          <w:szCs w:val="24"/>
          <w:vertAlign w:val="superscript"/>
          <w:lang w:val="en-GB" w:eastAsia="en-US"/>
        </w:rPr>
        <w:footnoteReference w:id="15"/>
      </w:r>
      <w:r w:rsidRPr="00524971">
        <w:rPr>
          <w:szCs w:val="24"/>
          <w:lang w:eastAsia="en-US"/>
        </w:rPr>
        <w:t xml:space="preserve"> Parlament Europejski podkreślił znaczenie ochrony gleb i promowania zdrowych gleb w Unii, nie zapominając, że degradacja trwa pomimo ograniczonych i nierównomiernych działań w niektórych państwach członkowskich. Parlament Europejski wezwał Komisję, aby z pełnym poszanowaniem zasady pomocniczości opracowała </w:t>
      </w:r>
      <w:proofErr w:type="spellStart"/>
      <w:r w:rsidRPr="00524971">
        <w:rPr>
          <w:szCs w:val="24"/>
          <w:lang w:eastAsia="en-US"/>
        </w:rPr>
        <w:t>ogólnounijne</w:t>
      </w:r>
      <w:proofErr w:type="spellEnd"/>
      <w:r w:rsidRPr="00524971">
        <w:rPr>
          <w:szCs w:val="24"/>
          <w:lang w:eastAsia="en-US"/>
        </w:rPr>
        <w:t xml:space="preserve"> wspólne ramy prawne dotyczące ochrony i zrównoważonego użytkowania gleby, uwzględniające wszystkie główne zagrożenia dla gleb.</w:t>
      </w:r>
      <w:r w:rsidRPr="00524971">
        <w:rPr>
          <w:b/>
          <w:i/>
          <w:szCs w:val="24"/>
          <w:lang w:eastAsia="en-US"/>
        </w:rPr>
        <w:t xml:space="preserve"> Co ważne, Parlament Europejski zwrócił uwagę na ryzyko, jakie wynika z braku równych warunków działania w państwach członkowskich i z ich różnych systemów ochrony gleby dla funkcjonowania rynku wewnętrznego, oraz na duże możliwości stymulowania uczciwej konkurencji w sektorze prywatnym, rozwoju innowacyjnych rozwiązań i wiedzy eksperckiej oraz zwiększenia eksportu technologii poza Unię.</w:t>
      </w:r>
      <w:r>
        <w:rPr>
          <w:b/>
          <w:szCs w:val="24"/>
          <w:lang w:eastAsia="en-US"/>
        </w:rPr>
        <w:t xml:space="preserve"> [Popr. 4]</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(13)</w:t>
      </w:r>
      <w:r w:rsidRPr="00524971">
        <w:rPr>
          <w:szCs w:val="24"/>
          <w:lang w:eastAsia="en-US"/>
        </w:rPr>
        <w:tab/>
        <w:t>W</w:t>
      </w:r>
      <w:proofErr w:type="gramEnd"/>
      <w:r w:rsidRPr="00524971">
        <w:rPr>
          <w:szCs w:val="24"/>
          <w:lang w:eastAsia="en-US"/>
        </w:rPr>
        <w:t xml:space="preserve"> konkluzjach z dnia 23 października 2020 r.</w:t>
      </w:r>
      <w:r w:rsidRPr="00524971">
        <w:rPr>
          <w:szCs w:val="24"/>
          <w:vertAlign w:val="superscript"/>
          <w:lang w:val="en-GB" w:eastAsia="en-US"/>
        </w:rPr>
        <w:footnoteReference w:id="16"/>
      </w:r>
      <w:r w:rsidRPr="00524971">
        <w:rPr>
          <w:szCs w:val="24"/>
          <w:lang w:eastAsia="en-US"/>
        </w:rPr>
        <w:t xml:space="preserve"> Rada poparła Komisję w zintensyfikowaniu wysiłków na rzecz lepszej ochrony gleb i różnorodności biologicznej gleb jako nieodnawialnego zasobu o zasadniczym znaczeniu.</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(14)</w:t>
      </w:r>
      <w:r w:rsidRPr="00524971">
        <w:rPr>
          <w:szCs w:val="24"/>
          <w:lang w:eastAsia="en-US"/>
        </w:rPr>
        <w:tab/>
        <w:t>W</w:t>
      </w:r>
      <w:proofErr w:type="gramEnd"/>
      <w:r w:rsidRPr="00524971">
        <w:rPr>
          <w:szCs w:val="24"/>
          <w:lang w:eastAsia="en-US"/>
        </w:rPr>
        <w:t xml:space="preserve"> rozporządzeniu Parlamentu Europejskiego i Rady (UE) 2021/1119</w:t>
      </w:r>
      <w:r w:rsidRPr="00524971">
        <w:rPr>
          <w:szCs w:val="24"/>
          <w:vertAlign w:val="superscript"/>
          <w:lang w:val="en-GB" w:eastAsia="en-US"/>
        </w:rPr>
        <w:footnoteReference w:id="17"/>
      </w:r>
      <w:r w:rsidRPr="00524971">
        <w:rPr>
          <w:szCs w:val="24"/>
          <w:lang w:eastAsia="en-US"/>
        </w:rPr>
        <w:t xml:space="preserve"> określono wiążący cel polegający na osiągnięciu neutralności klimatycznej w Unii do 2050 r., a co za tym idzie ujemnego bilansu emisyjnego oraz na priorytetowym traktowaniu szybkich i przewidywalnych redukcji emisji, przy jednoczesnym zwiększaniu pochłaniania przez naturalne pochłaniacze. Zrównoważone gospodarowanie glebami prowadzi do większej sekwestracji dwutlenku węgla, a w większości przypadków przynosi dodatkowe korzyści ekosystemom i różnorodności biologicznej. W komunikacie Komisji w sprawie zrównoważonego obiegu węgla</w:t>
      </w:r>
      <w:r w:rsidRPr="00524971">
        <w:rPr>
          <w:szCs w:val="24"/>
          <w:vertAlign w:val="superscript"/>
          <w:lang w:val="en-GB" w:eastAsia="en-US"/>
        </w:rPr>
        <w:footnoteReference w:id="18"/>
      </w:r>
      <w:r w:rsidRPr="00524971">
        <w:rPr>
          <w:szCs w:val="24"/>
          <w:lang w:eastAsia="en-US"/>
        </w:rPr>
        <w:t xml:space="preserve"> podkreślono potrzebę jasnej i przejrzystej identyfikacji działań, które w sposób jednoznaczny przyczyniają się do usuwania dwutlenku węgla z atmosfery, jak unijne ramy certyfikacji usuwania dwutlenku węgla z naturalnych ekosystemów, w tym z gleb. Co więcej, zmienione rozporządzenie w sprawie użytkowania gruntów, zmiany użytkowania gruntów i leśnictwa nie tylko wskazuje węgiel w glebie jako mający kluczowe znaczenie w osiągnięciu celów na drodze do Europy neutralnej dla klimatu, ale również wzywa państwa członkowskie do przygotowania systemu monitorowania zasobów węgla w glebie, z wykorzystaniem m.in. zbioru danych ramowych dotyczących użytkowania gruntów i pokrycia terenu (LUCAS).</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(15)</w:t>
      </w:r>
      <w:r w:rsidRPr="00524971">
        <w:rPr>
          <w:szCs w:val="24"/>
          <w:lang w:eastAsia="en-US"/>
        </w:rPr>
        <w:tab/>
        <w:t>W</w:t>
      </w:r>
      <w:proofErr w:type="gramEnd"/>
      <w:r w:rsidRPr="00524971">
        <w:rPr>
          <w:szCs w:val="24"/>
          <w:lang w:eastAsia="en-US"/>
        </w:rPr>
        <w:t xml:space="preserve"> komunikacie Komisji w sprawie przystosowania się do zmiany klimatu</w:t>
      </w:r>
      <w:r w:rsidRPr="00524971">
        <w:rPr>
          <w:szCs w:val="24"/>
          <w:vertAlign w:val="superscript"/>
          <w:lang w:val="en-GB" w:eastAsia="en-US"/>
        </w:rPr>
        <w:footnoteReference w:id="19"/>
      </w:r>
      <w:r w:rsidRPr="00524971">
        <w:rPr>
          <w:szCs w:val="24"/>
          <w:lang w:eastAsia="en-US"/>
        </w:rPr>
        <w:t xml:space="preserve"> podkreślono, że zastosowanie rozwiązań opartych na zasobach przyrody na lądzie, w tym przywrócenie gąbczastych właściwości gleby, pozwoli poprawić zaopatrzenie w czystą wodę słodką, zmniejszy ryzyko powodzi i złagodzi skutki susz. Należy również zmaksymalizować zdolność gleb do zatrzymywania i oczyszczania wody oraz do ograniczania zanieczyszczeń.</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(16)</w:t>
      </w:r>
      <w:r w:rsidRPr="00524971">
        <w:rPr>
          <w:szCs w:val="24"/>
          <w:lang w:eastAsia="en-US"/>
        </w:rPr>
        <w:tab/>
        <w:t>Przyjęty</w:t>
      </w:r>
      <w:proofErr w:type="gramEnd"/>
      <w:r w:rsidRPr="00524971">
        <w:rPr>
          <w:szCs w:val="24"/>
          <w:lang w:eastAsia="en-US"/>
        </w:rPr>
        <w:t xml:space="preserve"> przez Komisję plan działania na rzecz eliminacji zanieczyszczeń określa wizję na 2050 r., kiedy to zanieczyszczenie powietrza, wody i gleby zostanie ograniczone do poziomów nieuznawanych już za szkodliwe dla zdrowia i ekosystemów naturalnych, z poszanowaniem ograniczeń naszej planety, a w efekcie doprowadzi do zbudowania nietoksycznego środowiska.</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(17)</w:t>
      </w:r>
      <w:r w:rsidRPr="00524971">
        <w:rPr>
          <w:szCs w:val="24"/>
          <w:lang w:eastAsia="en-US"/>
        </w:rPr>
        <w:tab/>
        <w:t>W</w:t>
      </w:r>
      <w:proofErr w:type="gramEnd"/>
      <w:r w:rsidRPr="00524971">
        <w:rPr>
          <w:szCs w:val="24"/>
          <w:lang w:eastAsia="en-US"/>
        </w:rPr>
        <w:t xml:space="preserve"> komunikacie Komisji w sprawie zapewnienia bezpieczeństwa żywnościowego i zwiększenia odporności systemów żywnościowych</w:t>
      </w:r>
      <w:r w:rsidRPr="00524971">
        <w:rPr>
          <w:szCs w:val="24"/>
          <w:vertAlign w:val="superscript"/>
          <w:lang w:val="en-GB" w:eastAsia="en-US"/>
        </w:rPr>
        <w:footnoteReference w:id="20"/>
      </w:r>
      <w:r w:rsidRPr="00524971">
        <w:rPr>
          <w:szCs w:val="24"/>
          <w:lang w:eastAsia="en-US"/>
        </w:rPr>
        <w:t xml:space="preserve"> podkreślono, że zrównoważona gospodarka żywnościowa ma zasadnicze znaczenie dla bezpieczeństwa żywnościowego. Zdrowe gleby sprawiają, że unijny system żywnościowy jest bardziej odporny poprzez zagwarantowanie podstawy dla bogatej w składniki odżywcze i zapewnianej w wystarczającej ilości żywności.</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(18)</w:t>
      </w:r>
      <w:r w:rsidRPr="00524971">
        <w:rPr>
          <w:szCs w:val="24"/>
          <w:lang w:eastAsia="en-US"/>
        </w:rPr>
        <w:tab/>
      </w:r>
      <w:proofErr w:type="spellStart"/>
      <w:r w:rsidRPr="00524971">
        <w:rPr>
          <w:strike/>
          <w:szCs w:val="24"/>
          <w:lang w:eastAsia="en-US"/>
        </w:rPr>
        <w:t>Konieczne</w:t>
      </w:r>
      <w:r w:rsidRPr="00524971">
        <w:rPr>
          <w:b/>
          <w:i/>
          <w:szCs w:val="24"/>
          <w:lang w:eastAsia="en-US"/>
        </w:rPr>
        <w:t>Niezbędne</w:t>
      </w:r>
      <w:proofErr w:type="spellEnd"/>
      <w:proofErr w:type="gramEnd"/>
      <w:r w:rsidRPr="00524971">
        <w:rPr>
          <w:szCs w:val="24"/>
          <w:lang w:eastAsia="en-US"/>
        </w:rPr>
        <w:t xml:space="preserve"> jest ustanowienie </w:t>
      </w:r>
      <w:r w:rsidRPr="00524971">
        <w:rPr>
          <w:b/>
          <w:i/>
          <w:szCs w:val="24"/>
          <w:lang w:eastAsia="en-US"/>
        </w:rPr>
        <w:t xml:space="preserve">odpowiednich </w:t>
      </w:r>
      <w:r w:rsidRPr="00524971">
        <w:rPr>
          <w:szCs w:val="24"/>
          <w:lang w:eastAsia="en-US"/>
        </w:rPr>
        <w:t>środków</w:t>
      </w:r>
      <w:r w:rsidRPr="00524971">
        <w:rPr>
          <w:b/>
          <w:i/>
          <w:szCs w:val="24"/>
          <w:lang w:eastAsia="en-US"/>
        </w:rPr>
        <w:t xml:space="preserve"> </w:t>
      </w:r>
      <w:proofErr w:type="spellStart"/>
      <w:r w:rsidRPr="00524971">
        <w:rPr>
          <w:b/>
          <w:i/>
          <w:szCs w:val="24"/>
          <w:lang w:eastAsia="en-US"/>
        </w:rPr>
        <w:t>ogólnounijnego</w:t>
      </w:r>
      <w:proofErr w:type="spellEnd"/>
      <w:r w:rsidRPr="00524971">
        <w:rPr>
          <w:b/>
          <w:i/>
          <w:szCs w:val="24"/>
          <w:lang w:eastAsia="en-US"/>
        </w:rPr>
        <w:t xml:space="preserve"> zharmonizowanego</w:t>
      </w:r>
      <w:r w:rsidRPr="00524971">
        <w:rPr>
          <w:szCs w:val="24"/>
          <w:lang w:eastAsia="en-US"/>
        </w:rPr>
        <w:t xml:space="preserve"> monitorowania i </w:t>
      </w:r>
      <w:proofErr w:type="spellStart"/>
      <w:r w:rsidRPr="00524971">
        <w:rPr>
          <w:strike/>
          <w:szCs w:val="24"/>
          <w:lang w:eastAsia="en-US"/>
        </w:rPr>
        <w:t>oceny</w:t>
      </w:r>
      <w:r w:rsidRPr="00524971">
        <w:rPr>
          <w:b/>
          <w:i/>
          <w:szCs w:val="24"/>
          <w:lang w:eastAsia="en-US"/>
        </w:rPr>
        <w:t>oceniania</w:t>
      </w:r>
      <w:proofErr w:type="spellEnd"/>
      <w:r w:rsidRPr="00524971">
        <w:rPr>
          <w:szCs w:val="24"/>
          <w:lang w:eastAsia="en-US"/>
        </w:rPr>
        <w:t xml:space="preserve"> zdrowia gleb, zrównoważonego gospodarowania glebami oraz rozwiązania problemu zanieczyszczonych terenów w celu osiągnięcia zdrowych gleb do 2050 r., utrzymania ich w dobrym stanie i osiągnięcia celów Unii w zakresie klimatu i różnorodności biologicznej, zapobiegania suszom i klęskom żywiołowym oraz reagowania na nie, ochrony zdrowia ludzkiego oraz zapewnienia bezpieczeństwa żywnościowego i żywności.</w:t>
      </w:r>
      <w:r>
        <w:rPr>
          <w:b/>
          <w:szCs w:val="24"/>
          <w:lang w:eastAsia="en-US"/>
        </w:rPr>
        <w:t xml:space="preserve"> [Popr. 5]</w:t>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t>(19)</w:t>
      </w:r>
      <w:r w:rsidRPr="00524971">
        <w:rPr>
          <w:szCs w:val="24"/>
          <w:lang w:eastAsia="en-US"/>
        </w:rPr>
        <w:tab/>
        <w:t>W</w:t>
      </w:r>
      <w:proofErr w:type="gramEnd"/>
      <w:r w:rsidRPr="00524971">
        <w:rPr>
          <w:szCs w:val="24"/>
          <w:lang w:eastAsia="en-US"/>
        </w:rPr>
        <w:t xml:space="preserve"> glebach kryje się ponad 25 % zasobów całej różnorodności biologicznej i stanowią one drugi pod względem wielkości rezerwuar węgla na naszej planecie. Ze względu na swoją zdolność do wychwytywania i składowania dwutlenku węgla zdrowe gleby przyczyniają się do osiągnięcia celów Unii w zakresie zmiany klimatu</w:t>
      </w:r>
      <w:r w:rsidRPr="00524971">
        <w:rPr>
          <w:b/>
          <w:i/>
          <w:szCs w:val="24"/>
          <w:lang w:eastAsia="en-US"/>
        </w:rPr>
        <w:t>. Różnorodność biologiczna gleb obejmuje mikroorganizmy, w tym bakterie, grzyby, pierwotniaki i nicienie, a także większe organizmy, takie jak dżdżownice, owady i korzenie roślin, które wspólnie przyczyniają się do ekologicznej i funkcjonalnej różnorodności ekosystemów glebowych</w:t>
      </w:r>
      <w:r w:rsidRPr="00524971">
        <w:rPr>
          <w:szCs w:val="24"/>
          <w:lang w:eastAsia="en-US"/>
        </w:rPr>
        <w:t xml:space="preserve">. Zdrowe gleby stanowią również siedlisko sprzyjające rozwojowi organizmów oraz mają kluczowe znaczenie dla zwiększenia różnorodności biologicznej i stabilności ekosystemów. Różnorodność biologiczna pod ziemią i na ziemi jest ściśle powiązana i współdziała ze sobą poprzez wzajemne relacje (np. grzyby </w:t>
      </w:r>
      <w:proofErr w:type="spellStart"/>
      <w:r w:rsidRPr="00524971">
        <w:rPr>
          <w:szCs w:val="24"/>
          <w:lang w:eastAsia="en-US"/>
        </w:rPr>
        <w:t>mikoryzowe</w:t>
      </w:r>
      <w:proofErr w:type="spellEnd"/>
      <w:r w:rsidRPr="00524971">
        <w:rPr>
          <w:szCs w:val="24"/>
          <w:lang w:eastAsia="en-US"/>
        </w:rPr>
        <w:t>, które łączą korzenie roślin).</w:t>
      </w:r>
      <w:r>
        <w:rPr>
          <w:b/>
          <w:szCs w:val="24"/>
          <w:lang w:eastAsia="en-US"/>
        </w:rPr>
        <w:t xml:space="preserve"> [Popr. 6]</w:t>
      </w:r>
    </w:p>
    <w:p w:rsidR="00524971" w:rsidRDefault="00524971">
      <w:pPr>
        <w:widowControl/>
        <w:rPr>
          <w:b/>
          <w:i/>
          <w:szCs w:val="24"/>
          <w:lang w:eastAsia="en-US"/>
        </w:rPr>
      </w:pPr>
      <w:r>
        <w:rPr>
          <w:b/>
          <w:i/>
          <w:szCs w:val="24"/>
          <w:lang w:eastAsia="en-US"/>
        </w:rPr>
        <w:br w:type="page"/>
      </w:r>
    </w:p>
    <w:p w:rsidR="00524971" w:rsidRPr="00524971" w:rsidRDefault="00524971" w:rsidP="00524971">
      <w:pPr>
        <w:spacing w:before="120" w:after="120" w:line="360" w:lineRule="auto"/>
        <w:ind w:left="850" w:hanging="850"/>
        <w:rPr>
          <w:b/>
          <w:szCs w:val="24"/>
          <w:lang w:eastAsia="en-US"/>
        </w:rPr>
      </w:pPr>
      <w:r w:rsidRPr="00524971">
        <w:rPr>
          <w:b/>
          <w:i/>
          <w:szCs w:val="24"/>
          <w:lang w:eastAsia="en-US"/>
        </w:rPr>
        <w:lastRenderedPageBreak/>
        <w:t>(19a</w:t>
      </w:r>
      <w:proofErr w:type="gramStart"/>
      <w:r w:rsidRPr="00524971">
        <w:rPr>
          <w:b/>
          <w:i/>
          <w:szCs w:val="24"/>
          <w:lang w:eastAsia="en-US"/>
        </w:rPr>
        <w:t>)</w:t>
      </w:r>
      <w:r w:rsidRPr="00524971">
        <w:rPr>
          <w:szCs w:val="24"/>
          <w:lang w:eastAsia="en-US"/>
        </w:rPr>
        <w:tab/>
      </w:r>
      <w:r w:rsidRPr="00524971">
        <w:rPr>
          <w:b/>
          <w:i/>
          <w:szCs w:val="24"/>
          <w:lang w:eastAsia="en-US"/>
        </w:rPr>
        <w:t>Materia</w:t>
      </w:r>
      <w:proofErr w:type="gramEnd"/>
      <w:r w:rsidRPr="00524971">
        <w:rPr>
          <w:b/>
          <w:i/>
          <w:szCs w:val="24"/>
          <w:lang w:eastAsia="en-US"/>
        </w:rPr>
        <w:t xml:space="preserve"> organiczna gleby ma zasadnicze znaczenie dla świadczenia usług i funkcji ekosystemowych gleby, ponieważ ogranicza degradację, erozję i kompakcję gleby, a jednocześnie zwiększa zdolność gleby i węgla organicznego w glebie do buforowania, zatrzymywania wody i wymiany kationów, co ostatecznie może zwiększać plony. Ponadto materia organiczna gleby pozytywnie wpływa na jej różnorodność biologiczną i może zwiększać sekwestrację dwutlenku węgla w glebie, a zatem pomagać w łagodzeniu zmiany klimatu.</w:t>
      </w:r>
      <w:r>
        <w:rPr>
          <w:b/>
          <w:szCs w:val="24"/>
          <w:lang w:eastAsia="en-US"/>
        </w:rPr>
        <w:t xml:space="preserve"> [Popr. 7]</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(20)</w:t>
      </w:r>
      <w:r w:rsidRPr="00524971">
        <w:rPr>
          <w:szCs w:val="24"/>
          <w:lang w:eastAsia="en-US"/>
        </w:rPr>
        <w:tab/>
        <w:t>Powodzie</w:t>
      </w:r>
      <w:proofErr w:type="gramEnd"/>
      <w:r w:rsidRPr="00524971">
        <w:rPr>
          <w:szCs w:val="24"/>
          <w:lang w:eastAsia="en-US"/>
        </w:rPr>
        <w:t>, pożary roślinności i ekstremalne zdarzenia pogodowe stanowią ryzyko klęsk żywiołowych budzące największe zaniepokojenie w całej Europie. Obawy związane z suszami i niedoborem wody w całej Unii szybko rosną. W 2020 r. 24 państwa członkowskie uznały susze i niedobór wody za najważniejsze nowe lub związane z klimatem ryzyko wystąpienia klęsk żywiołowych, w porównaniu z zaledwie 11 państwami członkowskimi, które tak uważały w 2015 r. Zdrowe gleby mają zasadnicze znaczenie dla odporności na susze i katastrofy naturalne. Praktyki, które zwiększają retencję wody i dostępność składników odżywczych w glebach, poprawiają strukturę gleb, różnorodność biologiczną gleb i sekwestrację dwutlenku węgla, zwiększają odporność ekosystemów, roślin i upraw, tak aby mogły one przetrwać susze, katastrofy naturalne, fale upałów i ekstremalne zdarzenia pogodowe, które w przyszłości staną się coraz częstsze ze względu na zmianę klimatu, i odbudować się po nich. Z kolei bez właściwego gospodarowania glebami susze i katastrofy naturalne powodują degradację gleby i sprawiają, iż stan gleb się pogarsza. Poprawa zdrowia gleb pomaga w łagodzeniu strat w gospodarce i zmniejsza liczbę ofiar śmiertelnych spowodowanych ekstremalnymi zjawiskami klimatycznymi, które wygenerowały straty w latach 1980–2021 wynoszące około 560 mld EUR i spowodowały ponad 182 000 ofiar śmiertelnych w Unii.</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(21)</w:t>
      </w:r>
      <w:r w:rsidRPr="00524971">
        <w:rPr>
          <w:szCs w:val="24"/>
          <w:lang w:eastAsia="en-US"/>
        </w:rPr>
        <w:tab/>
        <w:t>Zdrowe</w:t>
      </w:r>
      <w:proofErr w:type="gramEnd"/>
      <w:r w:rsidRPr="00524971">
        <w:rPr>
          <w:szCs w:val="24"/>
          <w:lang w:eastAsia="en-US"/>
        </w:rPr>
        <w:t xml:space="preserve"> gleby bezpośrednio przyczyniają się do poprawy zdrowia i dobrostanu ludzi. Zdrowe gleby dostarczają bezpiecznej i bogatej w składniki odżywcze żywności oraz są w stanie filtrować zanieczyszczenia, a tym samym zachować jakość wody pitnej. Zanieczyszczenie gleb może szkodzić zdrowiu ludzkiemu poprzez połknięcie, wdychanie lub kontakt ze skórą. Narażenie ludzi na zdrową florę drobnoustrojów glebowych jest korzystne dla rozwoju układu odpornościowego oraz odporności na niektóre choroby i alergie. Zdrowe gleby wspomagają wzrost drzew, kwiatów i traw oraz tworzą zieloną infrastrukturę, która zapewnia wartość estetyczną, dobrostan i jakość życia.</w:t>
      </w:r>
    </w:p>
    <w:p w:rsidR="00524971" w:rsidRPr="00524971" w:rsidRDefault="00524971" w:rsidP="00524971">
      <w:pPr>
        <w:spacing w:before="120" w:after="120" w:line="360" w:lineRule="auto"/>
        <w:ind w:left="850" w:hanging="850"/>
        <w:rPr>
          <w:b/>
          <w:szCs w:val="24"/>
          <w:lang w:eastAsia="en-US"/>
        </w:rPr>
      </w:pPr>
      <w:r w:rsidRPr="00524971">
        <w:rPr>
          <w:b/>
          <w:i/>
          <w:szCs w:val="24"/>
          <w:lang w:eastAsia="en-US"/>
        </w:rPr>
        <w:t>(21a</w:t>
      </w:r>
      <w:proofErr w:type="gramStart"/>
      <w:r w:rsidRPr="00524971">
        <w:rPr>
          <w:b/>
          <w:i/>
          <w:szCs w:val="24"/>
          <w:lang w:eastAsia="en-US"/>
        </w:rPr>
        <w:t>)</w:t>
      </w:r>
      <w:r w:rsidRPr="00524971">
        <w:rPr>
          <w:szCs w:val="24"/>
          <w:lang w:eastAsia="en-US"/>
        </w:rPr>
        <w:tab/>
      </w:r>
      <w:r w:rsidRPr="00524971">
        <w:rPr>
          <w:b/>
          <w:i/>
          <w:szCs w:val="24"/>
          <w:lang w:eastAsia="en-US"/>
        </w:rPr>
        <w:t>Zaobserwowano</w:t>
      </w:r>
      <w:proofErr w:type="gramEnd"/>
      <w:r w:rsidRPr="00524971">
        <w:rPr>
          <w:b/>
          <w:i/>
          <w:szCs w:val="24"/>
          <w:lang w:eastAsia="en-US"/>
        </w:rPr>
        <w:t xml:space="preserve">, że substancje per- i </w:t>
      </w:r>
      <w:proofErr w:type="spellStart"/>
      <w:r w:rsidRPr="00524971">
        <w:rPr>
          <w:b/>
          <w:i/>
          <w:szCs w:val="24"/>
          <w:lang w:eastAsia="en-US"/>
        </w:rPr>
        <w:t>polifluoroalkilowe</w:t>
      </w:r>
      <w:proofErr w:type="spellEnd"/>
      <w:r w:rsidRPr="00524971">
        <w:rPr>
          <w:b/>
          <w:i/>
          <w:szCs w:val="24"/>
          <w:lang w:eastAsia="en-US"/>
        </w:rPr>
        <w:t xml:space="preserve"> (</w:t>
      </w:r>
      <w:proofErr w:type="spellStart"/>
      <w:r w:rsidRPr="00524971">
        <w:rPr>
          <w:b/>
          <w:i/>
          <w:szCs w:val="24"/>
          <w:lang w:eastAsia="en-US"/>
        </w:rPr>
        <w:t>PFAS</w:t>
      </w:r>
      <w:proofErr w:type="spellEnd"/>
      <w:r w:rsidRPr="00524971">
        <w:rPr>
          <w:b/>
          <w:i/>
          <w:szCs w:val="24"/>
          <w:lang w:eastAsia="en-US"/>
        </w:rPr>
        <w:t xml:space="preserve">) często zanieczyszczają wody gruntowe, wody powierzchniowe i gleby. Mogą one zmieniać właściwości i strukturę gleby, przy czym stwierdzono m.in. takie skutki jak zmniejszenie intensywności oddychania gleby i ubytek stabilnych </w:t>
      </w:r>
      <w:proofErr w:type="spellStart"/>
      <w:r w:rsidRPr="00524971">
        <w:rPr>
          <w:b/>
          <w:i/>
          <w:szCs w:val="24"/>
          <w:lang w:eastAsia="en-US"/>
        </w:rPr>
        <w:t>asocjatów</w:t>
      </w:r>
      <w:proofErr w:type="spellEnd"/>
      <w:r w:rsidRPr="00524971">
        <w:rPr>
          <w:b/>
          <w:i/>
          <w:szCs w:val="24"/>
          <w:lang w:eastAsia="en-US"/>
        </w:rPr>
        <w:t xml:space="preserve"> w wodzie oraz wzrost </w:t>
      </w:r>
      <w:proofErr w:type="spellStart"/>
      <w:r w:rsidRPr="00524971">
        <w:rPr>
          <w:b/>
          <w:i/>
          <w:szCs w:val="24"/>
          <w:lang w:eastAsia="en-US"/>
        </w:rPr>
        <w:t>pH</w:t>
      </w:r>
      <w:proofErr w:type="spellEnd"/>
      <w:r w:rsidRPr="00524971">
        <w:rPr>
          <w:b/>
          <w:i/>
          <w:szCs w:val="24"/>
          <w:lang w:eastAsia="en-US"/>
        </w:rPr>
        <w:t xml:space="preserve"> gleby.</w:t>
      </w:r>
      <w:r>
        <w:rPr>
          <w:b/>
          <w:szCs w:val="24"/>
          <w:lang w:eastAsia="en-US"/>
        </w:rPr>
        <w:t xml:space="preserve"> [Popr. 8]</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(22)</w:t>
      </w:r>
      <w:r w:rsidRPr="00524971">
        <w:rPr>
          <w:szCs w:val="24"/>
          <w:lang w:eastAsia="en-US"/>
        </w:rPr>
        <w:tab/>
        <w:t>Degradacja</w:t>
      </w:r>
      <w:proofErr w:type="gramEnd"/>
      <w:r w:rsidRPr="00524971">
        <w:rPr>
          <w:szCs w:val="24"/>
          <w:lang w:eastAsia="en-US"/>
        </w:rPr>
        <w:t xml:space="preserve"> gleb wpływa na żyzność, plony, odporność na szkodniki i odżywczą jakość żywności. Ponieważ 95 % naszej żywności produkowanej jest bezpośrednio lub pośrednio na glebach, a liczba ludności na świecie stale rośnie, kluczowe znaczenie ma utrzymanie dobrego stanu tych ograniczonych zasobów naturalnych, aby zapewnić bezpieczeństwo żywnościowe w perspektywie długoterminowej oraz zabezpieczyć produktywność i rentowność unijnego rolnictwa. Praktyki zrównoważonego gospodarowania glebami</w:t>
      </w:r>
      <w:r w:rsidRPr="00524971">
        <w:rPr>
          <w:b/>
          <w:i/>
          <w:szCs w:val="24"/>
          <w:lang w:eastAsia="en-US"/>
        </w:rPr>
        <w:t>, w tym praktyki ustanowione we wspólnej polityce rolnej,</w:t>
      </w:r>
      <w:r w:rsidRPr="00524971">
        <w:rPr>
          <w:szCs w:val="24"/>
          <w:lang w:eastAsia="en-US"/>
        </w:rPr>
        <w:t xml:space="preserve"> utrzymują lub poprawiają zdrowie gleb i przyczyniają się do </w:t>
      </w:r>
      <w:proofErr w:type="spellStart"/>
      <w:r w:rsidRPr="00524971">
        <w:rPr>
          <w:szCs w:val="24"/>
          <w:lang w:eastAsia="en-US"/>
        </w:rPr>
        <w:t>zrównoważoności</w:t>
      </w:r>
      <w:proofErr w:type="spellEnd"/>
      <w:r w:rsidRPr="00524971">
        <w:rPr>
          <w:szCs w:val="24"/>
          <w:lang w:eastAsia="en-US"/>
        </w:rPr>
        <w:t xml:space="preserve"> i odporności systemu żywnościowego.</w:t>
      </w:r>
      <w:r w:rsidRPr="00524971">
        <w:rPr>
          <w:b/>
          <w:i/>
          <w:szCs w:val="24"/>
          <w:lang w:eastAsia="en-US"/>
        </w:rPr>
        <w:t xml:space="preserve"> Pod tym względem istotne jest ograniczenie utraty składników odżywczych i zmniejszenie pozostałości pestycydów.</w:t>
      </w:r>
      <w:r>
        <w:rPr>
          <w:b/>
          <w:szCs w:val="24"/>
          <w:lang w:eastAsia="en-US"/>
        </w:rPr>
        <w:t xml:space="preserve"> [Popr. 9]</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(23)</w:t>
      </w:r>
      <w:r w:rsidRPr="00524971">
        <w:rPr>
          <w:szCs w:val="24"/>
          <w:lang w:eastAsia="en-US"/>
        </w:rPr>
        <w:tab/>
        <w:t>Długoterminowym</w:t>
      </w:r>
      <w:proofErr w:type="gramEnd"/>
      <w:r w:rsidRPr="00524971">
        <w:rPr>
          <w:szCs w:val="24"/>
          <w:lang w:eastAsia="en-US"/>
        </w:rPr>
        <w:t xml:space="preserve"> celem dyrektywy jest osiągnięcie zdrowych gleb</w:t>
      </w:r>
      <w:r w:rsidRPr="00524971">
        <w:rPr>
          <w:b/>
          <w:i/>
          <w:szCs w:val="24"/>
          <w:lang w:eastAsia="en-US"/>
        </w:rPr>
        <w:t xml:space="preserve"> w całej Unii</w:t>
      </w:r>
      <w:r w:rsidRPr="00524971">
        <w:rPr>
          <w:szCs w:val="24"/>
          <w:lang w:eastAsia="en-US"/>
        </w:rPr>
        <w:t xml:space="preserve"> do 2050 r. Jako etap pośredni, biorąc pod uwagę ograniczoną wiedzę na temat stanu gleb oraz skuteczności i kosztów działań mających na celu regenerację ich zdrowia, w dyrektywie przyjmuje się podejście etapowe. Na pierwszym etapie nacisk zostanie położony na ustanowienie ram monitorowania gleb i ocenę sytuacji gleb w całej UE. </w:t>
      </w:r>
      <w:r w:rsidRPr="00524971">
        <w:rPr>
          <w:strike/>
          <w:szCs w:val="24"/>
          <w:lang w:eastAsia="en-US"/>
        </w:rPr>
        <w:t xml:space="preserve">Obejmie on również wymogi dotyczące ustanowienia środków mających na celu zrównoważone </w:t>
      </w:r>
      <w:proofErr w:type="spellStart"/>
      <w:r w:rsidRPr="00524971">
        <w:rPr>
          <w:strike/>
          <w:szCs w:val="24"/>
          <w:lang w:eastAsia="en-US"/>
        </w:rPr>
        <w:t>gospodarowanie</w:t>
      </w:r>
      <w:r w:rsidRPr="00524971">
        <w:rPr>
          <w:b/>
          <w:i/>
          <w:szCs w:val="24"/>
          <w:lang w:eastAsia="en-US"/>
        </w:rPr>
        <w:t>Państwa</w:t>
      </w:r>
      <w:proofErr w:type="spellEnd"/>
      <w:r w:rsidRPr="00524971">
        <w:rPr>
          <w:b/>
          <w:i/>
          <w:szCs w:val="24"/>
          <w:lang w:eastAsia="en-US"/>
        </w:rPr>
        <w:t xml:space="preserve"> członkowskie, uwzględniając niewiążące zasady określone w załączniku III do niniejszej dyrektywy, powinny określić praktyki zrównoważonego gospodarowania</w:t>
      </w:r>
      <w:r w:rsidRPr="00524971">
        <w:rPr>
          <w:szCs w:val="24"/>
          <w:lang w:eastAsia="en-US"/>
        </w:rPr>
        <w:t xml:space="preserve"> glebami</w:t>
      </w:r>
      <w:r w:rsidRPr="00524971">
        <w:rPr>
          <w:b/>
          <w:i/>
          <w:szCs w:val="24"/>
          <w:lang w:eastAsia="en-US"/>
        </w:rPr>
        <w:t>. Państwa członkowskie mają swobodę decydowania o konkretnych praktykach, które należy wprowadzić, w stosownych przypadkach z uwzględnieniem warunków lokalnych i wykonalności, aby ułatwić osiągnięcie</w:t>
      </w:r>
      <w:r w:rsidRPr="00524971">
        <w:rPr>
          <w:strike/>
          <w:szCs w:val="24"/>
          <w:lang w:eastAsia="en-US"/>
        </w:rPr>
        <w:t xml:space="preserve"> i rekultywację zdegradowanych gleb po ustaleniu ich stanu, ale bez nakładania obowiązku osiągnięcia</w:t>
      </w:r>
      <w:r w:rsidRPr="00524971">
        <w:rPr>
          <w:szCs w:val="24"/>
          <w:lang w:eastAsia="en-US"/>
        </w:rPr>
        <w:t xml:space="preserve"> zdrowych gleb do 2050 r</w:t>
      </w:r>
      <w:r w:rsidRPr="00524971">
        <w:rPr>
          <w:strike/>
          <w:szCs w:val="24"/>
          <w:lang w:eastAsia="en-US"/>
        </w:rPr>
        <w:t>. ani celów pośrednich</w:t>
      </w:r>
      <w:r w:rsidRPr="00524971">
        <w:rPr>
          <w:szCs w:val="24"/>
          <w:lang w:eastAsia="en-US"/>
        </w:rPr>
        <w:t xml:space="preserve">. To proporcjonalne podejście umożliwi odpowiednie przygotowanie, zachęty i uruchomienie zrównoważonego gospodarowania glebami oraz rekultywację </w:t>
      </w:r>
      <w:r w:rsidRPr="00524971">
        <w:rPr>
          <w:strike/>
          <w:szCs w:val="24"/>
          <w:lang w:eastAsia="en-US"/>
        </w:rPr>
        <w:t xml:space="preserve">niezdrowych </w:t>
      </w:r>
      <w:r w:rsidRPr="00524971">
        <w:rPr>
          <w:szCs w:val="24"/>
          <w:lang w:eastAsia="en-US"/>
        </w:rPr>
        <w:t>gleb</w:t>
      </w:r>
      <w:r w:rsidRPr="00524971">
        <w:rPr>
          <w:b/>
          <w:i/>
          <w:szCs w:val="24"/>
          <w:lang w:eastAsia="en-US"/>
        </w:rPr>
        <w:t>, które nie są zdrowe</w:t>
      </w:r>
      <w:r w:rsidRPr="00524971">
        <w:rPr>
          <w:szCs w:val="24"/>
          <w:lang w:eastAsia="en-US"/>
        </w:rPr>
        <w:t>. Na drugim etapie, gdy tylko dostępne będą wyniki pierwszej oceny analizy gleb i tendencji, Komisja podsumuje postępy w realizacji celu na 2050 r. i związane z nimi doświadczenia, a w razie potrzeby zaproponuje przegląd dyrektywy</w:t>
      </w:r>
      <w:r w:rsidRPr="00524971">
        <w:rPr>
          <w:strike/>
          <w:szCs w:val="24"/>
          <w:lang w:eastAsia="en-US"/>
        </w:rPr>
        <w:t xml:space="preserve"> w celu przyspieszenia postępów do</w:t>
      </w:r>
      <w:r w:rsidRPr="00524971">
        <w:rPr>
          <w:b/>
          <w:i/>
          <w:szCs w:val="24"/>
          <w:lang w:eastAsia="en-US"/>
        </w:rPr>
        <w:t>, aby osiągnąć cel wyznaczony na</w:t>
      </w:r>
      <w:r w:rsidRPr="00524971">
        <w:rPr>
          <w:szCs w:val="24"/>
          <w:lang w:eastAsia="en-US"/>
        </w:rPr>
        <w:t xml:space="preserve"> 2050 r.</w:t>
      </w:r>
      <w:r>
        <w:rPr>
          <w:b/>
          <w:szCs w:val="24"/>
          <w:lang w:eastAsia="en-US"/>
        </w:rPr>
        <w:t xml:space="preserve"> [Popr. 10]</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(24)</w:t>
      </w:r>
      <w:r w:rsidRPr="00524971">
        <w:rPr>
          <w:szCs w:val="24"/>
          <w:lang w:eastAsia="en-US"/>
        </w:rPr>
        <w:tab/>
        <w:t>Przeciwdziałanie</w:t>
      </w:r>
      <w:proofErr w:type="gramEnd"/>
      <w:r w:rsidRPr="00524971">
        <w:rPr>
          <w:szCs w:val="24"/>
          <w:lang w:eastAsia="en-US"/>
        </w:rPr>
        <w:t xml:space="preserve"> presji wywieranej na gleby i określenie odpowiednich środków mających na celu utrzymanie zdrowia gleb lub regenerację ich zdrowia wymaga uwzględnienia różnorodności typów gleb, szczególnych warunków lokalnych i klimatycznych oraz użytkowania gruntów lub pokrycia terenu. Właściwe jest zatem, aby państwa członkowskie ustanowiły okręgi glebowe</w:t>
      </w:r>
      <w:r w:rsidRPr="00524971">
        <w:rPr>
          <w:b/>
          <w:i/>
          <w:szCs w:val="24"/>
          <w:lang w:eastAsia="en-US"/>
        </w:rPr>
        <w:t>, które będą w stanie odpowiednio odzwierciedlić warunki glebowo-klimatyczne i różnorodność gleb na całym swoim terytorium</w:t>
      </w:r>
      <w:r w:rsidRPr="00524971">
        <w:rPr>
          <w:szCs w:val="24"/>
          <w:lang w:eastAsia="en-US"/>
        </w:rPr>
        <w:t>. Okręgi glebowe powinny stanowić podstawowe jednostki zarządzania na potrzeby gospodarowania glebami oraz wprowadzania środków w celu spełnienia wymogów określonych w niniejszej dyrektywie, w szczególności w odniesieniu do monitorowania i oceny zdrowia gleb</w:t>
      </w:r>
      <w:r w:rsidRPr="00524971">
        <w:rPr>
          <w:strike/>
          <w:szCs w:val="24"/>
          <w:lang w:eastAsia="en-US"/>
        </w:rPr>
        <w:t>. Należy określić liczbę, zasięg geograficzny i granice okręgów glebowych dla każdego państwa członkowskiego, aby ułatwić wdrożenie rozporządzenia Parlamentu Europejskiego i Rady (UE) .../...</w:t>
      </w:r>
      <w:r>
        <w:rPr>
          <w:rStyle w:val="FootnoteReference"/>
          <w:strike/>
          <w:szCs w:val="24"/>
          <w:lang w:eastAsia="en-US"/>
        </w:rPr>
        <w:footnoteReference w:customMarkFollows="1" w:id="21"/>
        <w:t>+</w:t>
      </w:r>
      <w:r w:rsidRPr="00524971">
        <w:rPr>
          <w:szCs w:val="24"/>
          <w:lang w:eastAsia="en-US"/>
        </w:rPr>
        <w:t>. W każdym państwie członkowskim powinna istnieć minimalna liczba okręgów glebowych, z uwzględnieniem wielkości danego państwa członkowskiego. Ta minimalna liczba okręgów glebowych dla każdego państwa członkowskiego powinna odpowiadać liczbie jednostek terytorialnych NUTS 1 ustanowionej w rozporządzeniu (WE) nr 1059/2003 Parlamentu Europejskiego i Rady</w:t>
      </w:r>
      <w:r w:rsidRPr="00524971">
        <w:rPr>
          <w:szCs w:val="24"/>
          <w:vertAlign w:val="superscript"/>
          <w:lang w:val="en-GB" w:eastAsia="en-US"/>
        </w:rPr>
        <w:footnoteReference w:id="22"/>
      </w:r>
      <w:r w:rsidRPr="00524971">
        <w:rPr>
          <w:szCs w:val="24"/>
          <w:lang w:eastAsia="en-US"/>
        </w:rPr>
        <w:t>.</w:t>
      </w:r>
      <w:r w:rsidRPr="00524971">
        <w:rPr>
          <w:b/>
          <w:i/>
          <w:szCs w:val="24"/>
          <w:lang w:eastAsia="en-US"/>
        </w:rPr>
        <w:t xml:space="preserve"> Państwa członkowskie mogą zadecydować o wyznaczeniu okręgów glebowych według liczby jednostek terytorialnych NUTS 2, aby lepiej odzwierciedlić warunki lokalne i kompetencje organów krajowych.</w:t>
      </w:r>
      <w:r>
        <w:rPr>
          <w:b/>
          <w:szCs w:val="24"/>
          <w:lang w:eastAsia="en-US"/>
        </w:rPr>
        <w:t xml:space="preserve"> [Popr. 11]</w:t>
      </w:r>
    </w:p>
    <w:p w:rsidR="00524971" w:rsidRDefault="00524971">
      <w:pPr>
        <w:widowControl/>
        <w:rPr>
          <w:b/>
          <w:i/>
          <w:szCs w:val="24"/>
          <w:lang w:eastAsia="en-US"/>
        </w:rPr>
      </w:pPr>
      <w:r>
        <w:rPr>
          <w:b/>
          <w:i/>
          <w:szCs w:val="24"/>
          <w:lang w:eastAsia="en-US"/>
        </w:rPr>
        <w:br w:type="page"/>
      </w:r>
    </w:p>
    <w:p w:rsidR="00524971" w:rsidRPr="00524971" w:rsidRDefault="00524971" w:rsidP="00524971">
      <w:pPr>
        <w:spacing w:before="120" w:after="120" w:line="360" w:lineRule="auto"/>
        <w:ind w:left="850" w:hanging="850"/>
        <w:rPr>
          <w:b/>
          <w:szCs w:val="24"/>
          <w:lang w:eastAsia="en-US"/>
        </w:rPr>
      </w:pPr>
      <w:r w:rsidRPr="00524971">
        <w:rPr>
          <w:b/>
          <w:i/>
          <w:szCs w:val="24"/>
          <w:lang w:eastAsia="en-US"/>
        </w:rPr>
        <w:lastRenderedPageBreak/>
        <w:t>(24a</w:t>
      </w:r>
      <w:proofErr w:type="gramStart"/>
      <w:r w:rsidRPr="00524971">
        <w:rPr>
          <w:b/>
          <w:i/>
          <w:szCs w:val="24"/>
          <w:lang w:eastAsia="en-US"/>
        </w:rPr>
        <w:t>)</w:t>
      </w:r>
      <w:r w:rsidRPr="00524971">
        <w:rPr>
          <w:szCs w:val="24"/>
          <w:lang w:eastAsia="en-US"/>
        </w:rPr>
        <w:tab/>
      </w:r>
      <w:r w:rsidRPr="00524971">
        <w:rPr>
          <w:b/>
          <w:i/>
          <w:szCs w:val="24"/>
          <w:lang w:eastAsia="en-US"/>
        </w:rPr>
        <w:t>Okręgi</w:t>
      </w:r>
      <w:proofErr w:type="gramEnd"/>
      <w:r w:rsidRPr="00524971">
        <w:rPr>
          <w:b/>
          <w:i/>
          <w:szCs w:val="24"/>
          <w:lang w:eastAsia="en-US"/>
        </w:rPr>
        <w:t xml:space="preserve"> glebowe stanowią najbardziej odpowiedni poziom do przyjęcia programów zawierających środki i, w stosownych przypadkach, cele pośrednie, w tym z wykorzystaniem lokalnych planów okręgów glebowych, uwzględniających lokalne warunki i opinie lokalnych zainteresowanych stron, aby zapewnić podwyższenie klasy odnośnych gleb. Ponieważ rekultywacja gleb zdegradowanych w stopniu krytycznym zajmuje więcej czasu, należy wyznaczyć wystarczający termin wynoszący do 10 lat, aby zapewnić poprawę ich klasyfikacji ekologicznej. Do gleb zarejestrowanych jako zanieczyszczone, objętych konkretnymi planami gospodarowania i łagodzenia, mogą odnosić się inne terminy.</w:t>
      </w:r>
      <w:r>
        <w:rPr>
          <w:b/>
          <w:szCs w:val="24"/>
          <w:lang w:eastAsia="en-US"/>
        </w:rPr>
        <w:t xml:space="preserve"> [Popr. 12]</w:t>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t>(25)</w:t>
      </w:r>
      <w:r w:rsidRPr="00524971">
        <w:rPr>
          <w:szCs w:val="24"/>
          <w:lang w:eastAsia="en-US"/>
        </w:rPr>
        <w:tab/>
        <w:t>Aby</w:t>
      </w:r>
      <w:proofErr w:type="gramEnd"/>
      <w:r w:rsidRPr="00524971">
        <w:rPr>
          <w:szCs w:val="24"/>
          <w:lang w:eastAsia="en-US"/>
        </w:rPr>
        <w:t xml:space="preserve"> zapewnić odpowiednie zarządzanie glebami, państwa członkowskie powinny być zobowiązane do wyznaczenia właściwego organu dla każdego okręgu glebowego. Państwa członkowskie powinny mieć możliwość wyznaczenia wszelkich dodatkowych właściwych organów na odpowiednim szczeblu, w tym na szczeblu krajowym lub regionalnym</w:t>
      </w:r>
      <w:r w:rsidRPr="00524971">
        <w:rPr>
          <w:b/>
          <w:i/>
          <w:szCs w:val="24"/>
          <w:lang w:eastAsia="en-US"/>
        </w:rPr>
        <w:t>, i obejmującym całe terytoria państw członkowskich</w:t>
      </w:r>
      <w:r w:rsidRPr="00524971">
        <w:rPr>
          <w:szCs w:val="24"/>
          <w:lang w:eastAsia="en-US"/>
        </w:rPr>
        <w:t>.</w:t>
      </w:r>
      <w:r w:rsidRPr="00524971">
        <w:rPr>
          <w:b/>
          <w:i/>
          <w:szCs w:val="24"/>
          <w:lang w:eastAsia="en-US"/>
        </w:rPr>
        <w:t xml:space="preserve"> Aby zminimalizować koszty, państwa członkowskie powinny w pierwszej kolejności wyznaczyć organy już powołane. Jeden organ mógłby być odpowiedzialny za kilka obszarów, co mogłoby poprawić spójność wdrażania niniejszej dyrektywy. W przypadku gdy państwa członkowskie zmienią podział kompetencji między właściwymi organami, powinny powiadomić o tych zmianach Komisję w celu zapewnienia aktualności informacji.</w:t>
      </w:r>
      <w:r>
        <w:rPr>
          <w:b/>
          <w:szCs w:val="24"/>
          <w:lang w:eastAsia="en-US"/>
        </w:rPr>
        <w:t xml:space="preserve"> [Popr. 13]</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(26)</w:t>
      </w:r>
      <w:r w:rsidRPr="00524971">
        <w:rPr>
          <w:szCs w:val="24"/>
          <w:lang w:eastAsia="en-US"/>
        </w:rPr>
        <w:tab/>
        <w:t>Aby</w:t>
      </w:r>
      <w:proofErr w:type="gramEnd"/>
      <w:r w:rsidRPr="00524971">
        <w:rPr>
          <w:szCs w:val="24"/>
          <w:lang w:eastAsia="en-US"/>
        </w:rPr>
        <w:t xml:space="preserve"> dysponować wspólną definicją zdrowia gleb, konieczne jest określenie minimalnego wspólnego zestawu mierzalnych kryteriów, które w przypadku ich nieprzestrzegania prowadzą do krytycznej utraty zdolności gleb do funkcjonowania jako niezbędnego systemu życia i do świadczenia usług ekosystemowych. Kryteria te powinny odzwierciedlać istniejący poziom gleboznawstwa i się na nim opierać.</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(27)</w:t>
      </w:r>
      <w:r w:rsidRPr="00524971">
        <w:rPr>
          <w:szCs w:val="24"/>
          <w:lang w:eastAsia="en-US"/>
        </w:rPr>
        <w:tab/>
      </w:r>
      <w:r w:rsidRPr="00524971">
        <w:rPr>
          <w:b/>
          <w:i/>
          <w:szCs w:val="24"/>
          <w:lang w:eastAsia="en-US"/>
        </w:rPr>
        <w:t>Aby</w:t>
      </w:r>
      <w:proofErr w:type="gramEnd"/>
      <w:r w:rsidRPr="00524971">
        <w:rPr>
          <w:b/>
          <w:i/>
          <w:szCs w:val="24"/>
          <w:lang w:eastAsia="en-US"/>
        </w:rPr>
        <w:t xml:space="preserve"> zapewnić wspólne ramy i umożliwić porównywalność danych, Komisja powinna przyjąć w drodze aktów delegowanych metodykę określania wartości progowych </w:t>
      </w:r>
      <w:proofErr w:type="spellStart"/>
      <w:r w:rsidRPr="00524971">
        <w:rPr>
          <w:b/>
          <w:i/>
          <w:szCs w:val="24"/>
          <w:lang w:eastAsia="en-US"/>
        </w:rPr>
        <w:t>dla</w:t>
      </w:r>
      <w:r w:rsidRPr="00524971">
        <w:rPr>
          <w:strike/>
          <w:szCs w:val="24"/>
          <w:lang w:eastAsia="en-US"/>
        </w:rPr>
        <w:t>W</w:t>
      </w:r>
      <w:proofErr w:type="spellEnd"/>
      <w:r w:rsidRPr="00524971">
        <w:rPr>
          <w:strike/>
          <w:szCs w:val="24"/>
          <w:lang w:eastAsia="en-US"/>
        </w:rPr>
        <w:t xml:space="preserve"> celu opisania degradacji gleb konieczne jest określenie</w:t>
      </w:r>
      <w:r w:rsidRPr="00524971">
        <w:rPr>
          <w:szCs w:val="24"/>
          <w:lang w:eastAsia="en-US"/>
        </w:rPr>
        <w:t xml:space="preserve"> wskaźników glebowych</w:t>
      </w:r>
      <w:r w:rsidRPr="00524971">
        <w:rPr>
          <w:strike/>
          <w:szCs w:val="24"/>
          <w:lang w:eastAsia="en-US"/>
        </w:rPr>
        <w:t>, które można zmierzyć lub oszacować. Nawet jeżeli istnieje znaczna zróżnicowanie typów gleb,</w:t>
      </w:r>
      <w:r w:rsidRPr="00524971">
        <w:rPr>
          <w:b/>
          <w:i/>
          <w:szCs w:val="24"/>
          <w:lang w:eastAsia="en-US"/>
        </w:rPr>
        <w:t xml:space="preserve"> w odniesieniu do każdego stanu ekologicznego gleby. Ważne jest, aby w metodyce tej uwzględnić najnowsze dowody naukowe i przewidzieć środki umożliwiające uwzględnienie różnych</w:t>
      </w:r>
      <w:r w:rsidRPr="00524971">
        <w:rPr>
          <w:szCs w:val="24"/>
          <w:lang w:eastAsia="en-US"/>
        </w:rPr>
        <w:t xml:space="preserve"> warunków klimatycznych i </w:t>
      </w:r>
      <w:r w:rsidRPr="00524971">
        <w:rPr>
          <w:strike/>
          <w:szCs w:val="24"/>
          <w:lang w:eastAsia="en-US"/>
        </w:rPr>
        <w:t xml:space="preserve">użytkowania gruntów, obecna wiedza naukowa pozwala na określenie kryteriów na szczeblu Unii w odniesieniu do niektórych z tych wskaźników </w:t>
      </w:r>
      <w:proofErr w:type="spellStart"/>
      <w:r w:rsidRPr="00524971">
        <w:rPr>
          <w:strike/>
          <w:szCs w:val="24"/>
          <w:lang w:eastAsia="en-US"/>
        </w:rPr>
        <w:t>glebowych.</w:t>
      </w:r>
      <w:proofErr w:type="gramStart"/>
      <w:r w:rsidRPr="00524971">
        <w:rPr>
          <w:b/>
          <w:i/>
          <w:szCs w:val="24"/>
          <w:lang w:eastAsia="en-US"/>
        </w:rPr>
        <w:t>rodzajów</w:t>
      </w:r>
      <w:proofErr w:type="spellEnd"/>
      <w:proofErr w:type="gramEnd"/>
      <w:r w:rsidRPr="00524971">
        <w:rPr>
          <w:b/>
          <w:i/>
          <w:szCs w:val="24"/>
          <w:lang w:eastAsia="en-US"/>
        </w:rPr>
        <w:t xml:space="preserve"> gleby. Stosując tę metodykę,</w:t>
      </w:r>
      <w:r w:rsidRPr="00524971">
        <w:rPr>
          <w:szCs w:val="24"/>
          <w:lang w:eastAsia="en-US"/>
        </w:rPr>
        <w:t xml:space="preserve"> państwa członkowskie powinny </w:t>
      </w:r>
      <w:r w:rsidRPr="00524971">
        <w:rPr>
          <w:strike/>
          <w:szCs w:val="24"/>
          <w:lang w:eastAsia="en-US"/>
        </w:rPr>
        <w:t xml:space="preserve">jednak mieć możliwość dostosowania kryteriów w przypadku niektórych z </w:t>
      </w:r>
      <w:proofErr w:type="spellStart"/>
      <w:r w:rsidRPr="00524971">
        <w:rPr>
          <w:strike/>
          <w:szCs w:val="24"/>
          <w:lang w:eastAsia="en-US"/>
        </w:rPr>
        <w:t>tych</w:t>
      </w:r>
      <w:r w:rsidRPr="00524971">
        <w:rPr>
          <w:b/>
          <w:i/>
          <w:szCs w:val="24"/>
          <w:lang w:eastAsia="en-US"/>
        </w:rPr>
        <w:t>zaproponować</w:t>
      </w:r>
      <w:proofErr w:type="spellEnd"/>
      <w:r w:rsidRPr="00524971">
        <w:rPr>
          <w:b/>
          <w:i/>
          <w:szCs w:val="24"/>
          <w:lang w:eastAsia="en-US"/>
        </w:rPr>
        <w:t xml:space="preserve"> wartości progowe dla</w:t>
      </w:r>
      <w:r w:rsidRPr="00524971">
        <w:rPr>
          <w:szCs w:val="24"/>
          <w:lang w:eastAsia="en-US"/>
        </w:rPr>
        <w:t xml:space="preserve"> wskaźników glebowych w </w:t>
      </w:r>
      <w:r w:rsidRPr="00524971">
        <w:rPr>
          <w:strike/>
          <w:szCs w:val="24"/>
          <w:lang w:eastAsia="en-US"/>
        </w:rPr>
        <w:t xml:space="preserve">oparciu o </w:t>
      </w:r>
      <w:proofErr w:type="spellStart"/>
      <w:r w:rsidRPr="00524971">
        <w:rPr>
          <w:strike/>
          <w:szCs w:val="24"/>
          <w:lang w:eastAsia="en-US"/>
        </w:rPr>
        <w:t>szczególne</w:t>
      </w:r>
      <w:r w:rsidRPr="00524971">
        <w:rPr>
          <w:b/>
          <w:i/>
          <w:szCs w:val="24"/>
          <w:lang w:eastAsia="en-US"/>
        </w:rPr>
        <w:t>odniesieniu</w:t>
      </w:r>
      <w:proofErr w:type="spellEnd"/>
      <w:r w:rsidRPr="00524971">
        <w:rPr>
          <w:b/>
          <w:i/>
          <w:szCs w:val="24"/>
          <w:lang w:eastAsia="en-US"/>
        </w:rPr>
        <w:t xml:space="preserve"> do każdego stanu ekologicznego gleby, z uwzględnieniem warunków klimatycznych, rodzaju gleby, rodzaju powierzchni gruntów i dowodów naukowych, oraz przedłożyć je Komisji. Aby zapewnić państwom członkowskim równe</w:t>
      </w:r>
      <w:r w:rsidRPr="00524971">
        <w:rPr>
          <w:szCs w:val="24"/>
          <w:lang w:eastAsia="en-US"/>
        </w:rPr>
        <w:t xml:space="preserve"> warunki </w:t>
      </w:r>
      <w:r w:rsidRPr="00524971">
        <w:rPr>
          <w:strike/>
          <w:szCs w:val="24"/>
          <w:lang w:eastAsia="en-US"/>
        </w:rPr>
        <w:t xml:space="preserve">krajowe lub lokalne oraz możliwość określenia kryteriów dla innych wskaźników glebowych, dla których na tym etapie nie można ustanowić wspólnych kryteriów na szczeblu UE. W przypadku tych wskaźników, dla których nie można obecnie określić jasnych </w:t>
      </w:r>
      <w:proofErr w:type="spellStart"/>
      <w:r w:rsidRPr="00524971">
        <w:rPr>
          <w:strike/>
          <w:szCs w:val="24"/>
          <w:lang w:eastAsia="en-US"/>
        </w:rPr>
        <w:t>kryteriów</w:t>
      </w:r>
      <w:r w:rsidRPr="00524971">
        <w:rPr>
          <w:b/>
          <w:i/>
          <w:szCs w:val="24"/>
          <w:lang w:eastAsia="en-US"/>
        </w:rPr>
        <w:t>działania</w:t>
      </w:r>
      <w:proofErr w:type="spellEnd"/>
      <w:r w:rsidRPr="00524971">
        <w:rPr>
          <w:b/>
          <w:i/>
          <w:szCs w:val="24"/>
          <w:lang w:eastAsia="en-US"/>
        </w:rPr>
        <w:t xml:space="preserve"> i uniknąć przyjmowania przez państwa członkowskie wartości progowych</w:t>
      </w:r>
      <w:r w:rsidRPr="00524971">
        <w:rPr>
          <w:szCs w:val="24"/>
          <w:lang w:eastAsia="en-US"/>
        </w:rPr>
        <w:t xml:space="preserve">, które </w:t>
      </w:r>
      <w:r w:rsidRPr="00524971">
        <w:rPr>
          <w:strike/>
          <w:szCs w:val="24"/>
          <w:lang w:eastAsia="en-US"/>
        </w:rPr>
        <w:t xml:space="preserve">rozróżniałyby stan dobry i </w:t>
      </w:r>
      <w:proofErr w:type="spellStart"/>
      <w:r w:rsidRPr="00524971">
        <w:rPr>
          <w:strike/>
          <w:szCs w:val="24"/>
          <w:lang w:eastAsia="en-US"/>
        </w:rPr>
        <w:t>zły</w:t>
      </w:r>
      <w:r w:rsidRPr="00524971">
        <w:rPr>
          <w:b/>
          <w:i/>
          <w:szCs w:val="24"/>
          <w:lang w:eastAsia="en-US"/>
        </w:rPr>
        <w:t>pozwalają</w:t>
      </w:r>
      <w:proofErr w:type="spellEnd"/>
      <w:r w:rsidRPr="00524971">
        <w:rPr>
          <w:b/>
          <w:i/>
          <w:szCs w:val="24"/>
          <w:lang w:eastAsia="en-US"/>
        </w:rPr>
        <w:t xml:space="preserve"> na bardzo zróżnicowaną klasyfikację podobnych gleb</w:t>
      </w:r>
      <w:r w:rsidRPr="00524971">
        <w:rPr>
          <w:szCs w:val="24"/>
          <w:lang w:eastAsia="en-US"/>
        </w:rPr>
        <w:t>,</w:t>
      </w:r>
      <w:r w:rsidRPr="00524971">
        <w:rPr>
          <w:b/>
          <w:i/>
          <w:szCs w:val="24"/>
          <w:lang w:eastAsia="en-US"/>
        </w:rPr>
        <w:t xml:space="preserve"> co wpłynęłoby na wysiłki</w:t>
      </w:r>
      <w:r w:rsidRPr="00524971">
        <w:rPr>
          <w:szCs w:val="24"/>
          <w:lang w:eastAsia="en-US"/>
        </w:rPr>
        <w:t xml:space="preserve"> wymagane </w:t>
      </w:r>
      <w:r w:rsidRPr="00524971">
        <w:rPr>
          <w:strike/>
          <w:szCs w:val="24"/>
          <w:lang w:eastAsia="en-US"/>
        </w:rPr>
        <w:t xml:space="preserve">są jedynie monitorowanie i ocena. Ułatwi to opracowanie takich kryteriów w </w:t>
      </w:r>
      <w:proofErr w:type="spellStart"/>
      <w:r w:rsidRPr="00524971">
        <w:rPr>
          <w:strike/>
          <w:szCs w:val="24"/>
          <w:lang w:eastAsia="en-US"/>
        </w:rPr>
        <w:t>przyszłości</w:t>
      </w:r>
      <w:r w:rsidRPr="00524971">
        <w:rPr>
          <w:b/>
          <w:i/>
          <w:szCs w:val="24"/>
          <w:lang w:eastAsia="en-US"/>
        </w:rPr>
        <w:t>do</w:t>
      </w:r>
      <w:proofErr w:type="spellEnd"/>
      <w:r w:rsidRPr="00524971">
        <w:rPr>
          <w:b/>
          <w:i/>
          <w:szCs w:val="24"/>
          <w:lang w:eastAsia="en-US"/>
        </w:rPr>
        <w:t xml:space="preserve"> poprawy ich stanu ekologicznego, Komisja powinna ocenić proponowane wartości progowe i ich uzasadnienie naukowe. Komisja powinna móc zwrócić się do państw członkowskich o dodatkowe informacje lub zmianę proponowanych przez nie wartości progowych</w:t>
      </w:r>
      <w:r w:rsidRPr="00524971">
        <w:rPr>
          <w:szCs w:val="24"/>
          <w:lang w:eastAsia="en-US"/>
        </w:rPr>
        <w:t>.</w:t>
      </w:r>
      <w:r w:rsidRPr="00524971">
        <w:rPr>
          <w:b/>
          <w:i/>
          <w:szCs w:val="24"/>
          <w:lang w:eastAsia="en-US"/>
        </w:rPr>
        <w:t xml:space="preserve"> Komisja powinna zatwierdzić wartości progowe, pod warunkiem że jej uwagi zostały odpowiednio uwzględnione.</w:t>
      </w:r>
      <w:r>
        <w:rPr>
          <w:b/>
          <w:szCs w:val="24"/>
          <w:lang w:eastAsia="en-US"/>
        </w:rPr>
        <w:t xml:space="preserve"> [Popr. 14]</w:t>
      </w:r>
    </w:p>
    <w:p w:rsidR="00524971" w:rsidRDefault="00524971">
      <w:pPr>
        <w:widowControl/>
        <w:rPr>
          <w:b/>
          <w:i/>
          <w:szCs w:val="24"/>
          <w:lang w:eastAsia="en-US"/>
        </w:rPr>
      </w:pPr>
      <w:r>
        <w:rPr>
          <w:b/>
          <w:i/>
          <w:szCs w:val="24"/>
          <w:lang w:eastAsia="en-US"/>
        </w:rPr>
        <w:br w:type="page"/>
      </w:r>
    </w:p>
    <w:p w:rsidR="00524971" w:rsidRPr="00524971" w:rsidRDefault="00524971" w:rsidP="00524971">
      <w:pPr>
        <w:spacing w:before="120" w:after="120" w:line="360" w:lineRule="auto"/>
        <w:ind w:left="850" w:hanging="850"/>
        <w:rPr>
          <w:b/>
          <w:szCs w:val="24"/>
          <w:lang w:eastAsia="en-US"/>
        </w:rPr>
      </w:pPr>
      <w:r w:rsidRPr="00524971">
        <w:rPr>
          <w:b/>
          <w:i/>
          <w:szCs w:val="24"/>
          <w:lang w:eastAsia="en-US"/>
        </w:rPr>
        <w:lastRenderedPageBreak/>
        <w:t>(27a</w:t>
      </w:r>
      <w:proofErr w:type="gramStart"/>
      <w:r w:rsidRPr="00524971">
        <w:rPr>
          <w:b/>
          <w:i/>
          <w:szCs w:val="24"/>
          <w:lang w:eastAsia="en-US"/>
        </w:rPr>
        <w:t>)</w:t>
      </w:r>
      <w:r w:rsidRPr="00524971">
        <w:rPr>
          <w:szCs w:val="24"/>
          <w:lang w:eastAsia="en-US"/>
        </w:rPr>
        <w:tab/>
      </w:r>
      <w:r w:rsidRPr="00524971">
        <w:rPr>
          <w:b/>
          <w:i/>
          <w:szCs w:val="24"/>
          <w:lang w:eastAsia="en-US"/>
        </w:rPr>
        <w:t>Konieczne</w:t>
      </w:r>
      <w:proofErr w:type="gramEnd"/>
      <w:r w:rsidRPr="00524971">
        <w:rPr>
          <w:b/>
          <w:i/>
          <w:szCs w:val="24"/>
          <w:lang w:eastAsia="en-US"/>
        </w:rPr>
        <w:t xml:space="preserve"> jest zintegrowane spojrzenie na ocenę zdrowia gleby, które wykracza poza analizę wyłącznie czynników degradacji i wyznacza jasną drogę do poprawy stanu gleby. Ogólna ocena stanu ekologicznego gleb powinna zatem dzielić się na pięć klas: „bardzo dobry stan ekologiczny gleb”, „dobry stan ekologiczny”, „umiarkowany stan ekologiczny”, „gleby zdegradowane” i „gleby zdegradowane w stopniu krytycznym”, z uwzględnieniem między innymi występowania czynników degradacji i funkcji gleby.</w:t>
      </w:r>
      <w:r>
        <w:rPr>
          <w:b/>
          <w:szCs w:val="24"/>
          <w:lang w:eastAsia="en-US"/>
        </w:rPr>
        <w:t xml:space="preserve"> [Popr. 15]</w:t>
      </w:r>
    </w:p>
    <w:p w:rsidR="00524971" w:rsidRDefault="00524971">
      <w:pPr>
        <w:widowControl/>
        <w:rPr>
          <w:b/>
          <w:i/>
          <w:szCs w:val="24"/>
          <w:lang w:eastAsia="en-US"/>
        </w:rPr>
      </w:pPr>
      <w:r>
        <w:rPr>
          <w:b/>
          <w:i/>
          <w:szCs w:val="24"/>
          <w:lang w:eastAsia="en-US"/>
        </w:rPr>
        <w:br w:type="page"/>
      </w:r>
    </w:p>
    <w:p w:rsidR="00524971" w:rsidRPr="00524971" w:rsidRDefault="00524971" w:rsidP="00524971">
      <w:pPr>
        <w:spacing w:before="120" w:after="120" w:line="360" w:lineRule="auto"/>
        <w:ind w:left="850" w:hanging="850"/>
        <w:rPr>
          <w:b/>
          <w:szCs w:val="24"/>
          <w:lang w:eastAsia="en-US"/>
        </w:rPr>
      </w:pPr>
      <w:r w:rsidRPr="00524971">
        <w:rPr>
          <w:b/>
          <w:i/>
          <w:szCs w:val="24"/>
          <w:lang w:eastAsia="en-US"/>
        </w:rPr>
        <w:lastRenderedPageBreak/>
        <w:t>(27b</w:t>
      </w:r>
      <w:proofErr w:type="gramStart"/>
      <w:r w:rsidRPr="00524971">
        <w:rPr>
          <w:b/>
          <w:i/>
          <w:szCs w:val="24"/>
          <w:lang w:eastAsia="en-US"/>
        </w:rPr>
        <w:t>)</w:t>
      </w:r>
      <w:r w:rsidRPr="00524971">
        <w:rPr>
          <w:szCs w:val="24"/>
          <w:lang w:eastAsia="en-US"/>
        </w:rPr>
        <w:tab/>
      </w:r>
      <w:r w:rsidRPr="00524971">
        <w:rPr>
          <w:b/>
          <w:i/>
          <w:szCs w:val="24"/>
          <w:lang w:eastAsia="en-US"/>
        </w:rPr>
        <w:t>Z</w:t>
      </w:r>
      <w:proofErr w:type="gramEnd"/>
      <w:r w:rsidRPr="00524971">
        <w:rPr>
          <w:b/>
          <w:i/>
          <w:szCs w:val="24"/>
          <w:lang w:eastAsia="en-US"/>
        </w:rPr>
        <w:t xml:space="preserve"> myślą o poszanowaniu autonomii państw członkowskich, które chcą wdrożyć bardziej kompleksowe systemy monitorowania, należy dać państwom członkowskim możliwość wyboru spośród trzech poziomów monitorowania. Poziom 1 przewiduje minimalny zestaw wskaźników glebowych. Na poziomie 2 20 % punktów pobierania próbek określa się zgodnie z programem LUCAS i pobiera się podwójną próbę do celów stałego monitorowania i ustanowienia funkcji przejścia, natomiast pozostałe 80 % punktów pobierania próbek określa państwo członkowskie, również do celów stałego monitorowania i zgodnie z kryteriami określonymi w załącznikach do niniejszej dyrektywy. Na poziomach 1 i 2 20 % punktów pobierania próbek służy do ukierunkowanego monitorowania, co pozwala państwom członkowskim rozszerzyć oceny oparte na analizie ryzyka, prowadzić dochodzenia lub wyznaczyć obszary docelowe o szczególnym znaczeniu. Ustanowienie podejścia wielopoziomowego podwyższa liczbę ocenianych wskaźników glebowych, ale także zwiększa poziom autonomii państw członkowskich w określaniu progów związanych ze stanem ekologicznym gleb. Takie wielopoziomowe podejście ma głównie umożliwić wszystkim państwom członkowskim wdrożenie ich systemów monitorowania i wykorzystanie wszelkich obecnych systemów krajowych, które już służą do monitorowania gleby. Poziom 2 umożliwi wypełnienie luk, jeśli chodzi o zakres i zasięg rozpatrywanych wskaźników glebowych. Na poziomie 3 dodatkowo zwiększa się liczbę wskaźników glebowych w celu uszczegółowienia poszczególnych aspektów systemów monitorowania gleby.</w:t>
      </w:r>
      <w:r>
        <w:rPr>
          <w:b/>
          <w:szCs w:val="24"/>
          <w:lang w:eastAsia="en-US"/>
        </w:rPr>
        <w:t xml:space="preserve"> [Popr. 16]</w:t>
      </w:r>
    </w:p>
    <w:p w:rsidR="00524971" w:rsidRDefault="00524971">
      <w:pPr>
        <w:widowControl/>
        <w:rPr>
          <w:strike/>
          <w:szCs w:val="24"/>
          <w:lang w:eastAsia="en-US"/>
        </w:rPr>
      </w:pPr>
      <w:r>
        <w:rPr>
          <w:strike/>
          <w:szCs w:val="24"/>
          <w:lang w:eastAsia="en-US"/>
        </w:rPr>
        <w:br w:type="page"/>
      </w:r>
    </w:p>
    <w:p w:rsidR="00524971" w:rsidRPr="00524971" w:rsidRDefault="00524971" w:rsidP="00524971">
      <w:pPr>
        <w:spacing w:before="120" w:after="120" w:line="360" w:lineRule="auto"/>
        <w:ind w:left="850" w:hanging="850"/>
        <w:rPr>
          <w:b/>
          <w:szCs w:val="24"/>
          <w:lang w:eastAsia="en-US"/>
        </w:rPr>
      </w:pPr>
      <w:proofErr w:type="gramStart"/>
      <w:r w:rsidRPr="00524971">
        <w:rPr>
          <w:strike/>
          <w:szCs w:val="24"/>
          <w:lang w:eastAsia="en-US"/>
        </w:rPr>
        <w:lastRenderedPageBreak/>
        <w:t>(28)</w:t>
      </w:r>
      <w:r w:rsidRPr="00524971">
        <w:rPr>
          <w:szCs w:val="24"/>
          <w:lang w:eastAsia="en-US"/>
        </w:rPr>
        <w:tab/>
      </w:r>
      <w:r w:rsidRPr="00524971">
        <w:rPr>
          <w:strike/>
          <w:szCs w:val="24"/>
          <w:lang w:eastAsia="en-US"/>
        </w:rPr>
        <w:t>Aby</w:t>
      </w:r>
      <w:proofErr w:type="gramEnd"/>
      <w:r w:rsidRPr="00524971">
        <w:rPr>
          <w:strike/>
          <w:szCs w:val="24"/>
          <w:lang w:eastAsia="en-US"/>
        </w:rPr>
        <w:t xml:space="preserve"> stworzyć zachęty, państwa członkowskie powinny ustanowić mechanizmy uznawania wysiłków podejmowanych przez właścicieli gruntów i zarządców gruntów na rzecz utrzymania gleby w dobrym stanie, w tym w formie certyfikacji zdrowia gleb, która by uzupełniała unijne ramy regulacyjne dotyczące usuwania dwutlenku węgla oraz wspierała wdrażanie kryteriów zrównoważonego rozwoju energii ze źródeł odnawialnych określone w art. 29 dyrektywy Parlamentu Europejskiego i Rady (UE) 2018/2001</w:t>
      </w:r>
      <w:r w:rsidRPr="00524971">
        <w:rPr>
          <w:szCs w:val="24"/>
          <w:vertAlign w:val="superscript"/>
          <w:lang w:val="en-GB" w:eastAsia="en-US"/>
        </w:rPr>
        <w:footnoteReference w:id="23"/>
      </w:r>
      <w:r w:rsidRPr="00524971">
        <w:rPr>
          <w:strike/>
          <w:szCs w:val="24"/>
          <w:lang w:eastAsia="en-US"/>
        </w:rPr>
        <w:t>. Komisja powinna ułatwiać certyfikację zdrowia gleb między innymi poprzez wymianę informacji i promowanie najlepszych praktyk, podnoszenie świadomości i ocenę wykonalności rozbudowywania systemów certyfikacji na szczeblu Unii. Należy w jak największym stopniu wykorzystać synergie między różnymi systemami certyfikacji w celu zmniejszenia obciążeń administracyjnych dla podmiotów ubiegających się o odpowiednie certyfikaty.</w:t>
      </w:r>
      <w:r w:rsidRPr="00524971">
        <w:rPr>
          <w:b/>
          <w:szCs w:val="24"/>
          <w:lang w:eastAsia="en-US"/>
        </w:rPr>
        <w:t xml:space="preserve"> [Popr. 17]</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(29)</w:t>
      </w:r>
      <w:r w:rsidRPr="00524971">
        <w:rPr>
          <w:szCs w:val="24"/>
          <w:lang w:eastAsia="en-US"/>
        </w:rPr>
        <w:tab/>
        <w:t>Niektóre</w:t>
      </w:r>
      <w:proofErr w:type="gramEnd"/>
      <w:r w:rsidRPr="00524971">
        <w:rPr>
          <w:szCs w:val="24"/>
          <w:lang w:eastAsia="en-US"/>
        </w:rPr>
        <w:t xml:space="preserve"> gleby mają szczególne cechy charakterystyczne, ponieważ są z natury nietypowe i stanowią rzadkie siedliska dla różnorodności biologicznej lub unikalnych krajobrazów, albo dlatego, że zostały znacznie zmienione przez człowieka. Cechy te należy uwzględnić w kontekście definicji zdrowych gleb i wymogów dotyczących osiągnięcia dobrego stanu gleb.</w:t>
      </w:r>
    </w:p>
    <w:p w:rsidR="00524971" w:rsidRDefault="00524971">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(30)</w:t>
      </w:r>
      <w:r w:rsidRPr="00524971">
        <w:rPr>
          <w:szCs w:val="24"/>
          <w:lang w:eastAsia="en-US"/>
        </w:rPr>
        <w:tab/>
        <w:t>Gleby</w:t>
      </w:r>
      <w:proofErr w:type="gramEnd"/>
      <w:r w:rsidRPr="00524971">
        <w:rPr>
          <w:szCs w:val="24"/>
          <w:lang w:eastAsia="en-US"/>
        </w:rPr>
        <w:t xml:space="preserve"> są ograniczonym zasobem podlegającym stale rosnącej konkurencji do różnych zastosowań. Przejmowanie gruntów jest procesem często napędzanym potrzebami związanymi z rozwojem gospodarczym, przekształcającymi obszary naturalne i półnaturalne (w tym grunty rolne i leśne, ogrody i parki) w sztuczne zagospodarowanie terenu, przy wykorzystaniu gleby jako platformy do budowy budynków i infrastruktury, jako bezpośredniego źródła surowców lub jako archiwum dziedzictwa historycznego. Transformacja ta może spowodować utratę, często nieodwracalną, zdolności gleb do świadczenia innych usług ekosystemowych (dostarczanie żywności i biomasy, obieg wody i składników odżywczych, podstawa różnorodności biologicznej i składowania dwutlenku węgla). W szczególności przejmowanie gruntów często wywiera skutki na najbardziej żyzne gleby rolne, co zagraża bezpieczeństwu żywnościowemu. Uszczelniona gleba naraża również osiedla ludzkie na większe fale powodziowe i bardziej dotkliwe skutki występowania wysp ciepła. W związku z tym konieczne jest monitorowanie przejmowania gruntów i uszczelniania gleb oraz ich wpływu na zdolność gleb do świadczenia usług ekosystemowych. Należy również ustanowić pewne zasady łagodzenia skutków przejmowania gruntów</w:t>
      </w:r>
      <w:r w:rsidRPr="00524971">
        <w:rPr>
          <w:strike/>
          <w:szCs w:val="24"/>
          <w:lang w:eastAsia="en-US"/>
        </w:rPr>
        <w:t xml:space="preserve"> w ramach zrównoważonego gospodarowania</w:t>
      </w:r>
      <w:r w:rsidRPr="00524971">
        <w:rPr>
          <w:b/>
          <w:i/>
          <w:szCs w:val="24"/>
          <w:lang w:eastAsia="en-US"/>
        </w:rPr>
        <w:t>, uzupełniające zrównoważone gospodarowanie</w:t>
      </w:r>
      <w:r w:rsidRPr="00524971">
        <w:rPr>
          <w:szCs w:val="24"/>
          <w:lang w:eastAsia="en-US"/>
        </w:rPr>
        <w:t xml:space="preserve"> glebami.</w:t>
      </w:r>
      <w:r>
        <w:rPr>
          <w:b/>
          <w:szCs w:val="24"/>
          <w:lang w:eastAsia="en-US"/>
        </w:rPr>
        <w:t xml:space="preserve"> [Popr. 18]</w:t>
      </w:r>
    </w:p>
    <w:p w:rsidR="00524971" w:rsidRDefault="00524971">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(31)</w:t>
      </w:r>
      <w:r w:rsidRPr="00524971">
        <w:rPr>
          <w:szCs w:val="24"/>
          <w:lang w:eastAsia="en-US"/>
        </w:rPr>
        <w:tab/>
        <w:t>Ocena</w:t>
      </w:r>
      <w:proofErr w:type="gramEnd"/>
      <w:r w:rsidRPr="00524971">
        <w:rPr>
          <w:szCs w:val="24"/>
          <w:lang w:eastAsia="en-US"/>
        </w:rPr>
        <w:t xml:space="preserve"> zdrowia gleb w oparciu o sieć monitorowania powinna być dokładna, przy jednoczesnym utrzymaniu kosztów takiego monitorowania na rozsądnym poziomie. Należy zatem ustanowić kryteria dla punktów pomiarowych reprezentatywnych dla warunków glebowych w różnych typach gleb, warunkach klimatycznych i przeznaczeniach gruntów. Siatkę punktów pomiarowych należy określić za pomocą metod </w:t>
      </w:r>
      <w:proofErr w:type="spellStart"/>
      <w:r w:rsidRPr="00524971">
        <w:rPr>
          <w:szCs w:val="24"/>
          <w:lang w:eastAsia="en-US"/>
        </w:rPr>
        <w:t>geostatystycznych</w:t>
      </w:r>
      <w:proofErr w:type="spellEnd"/>
      <w:r w:rsidRPr="00524971">
        <w:rPr>
          <w:szCs w:val="24"/>
          <w:lang w:eastAsia="en-US"/>
        </w:rPr>
        <w:t xml:space="preserve"> i musi ona być wystarczająco gęsta, aby zapewnić oszacowanie obszaru zdrowych gleb na poziomie krajowym, przy niepewności nieprzekraczającej 5 %. Uznaje się powszechnie, iż wartość ta zapewnia rzetelne statystycznie oszacowanie oraz wystarczającą pewność, że cel został osiągnięty.</w:t>
      </w:r>
      <w:r w:rsidRPr="00524971">
        <w:rPr>
          <w:b/>
          <w:i/>
          <w:szCs w:val="24"/>
          <w:lang w:eastAsia="en-US"/>
        </w:rPr>
        <w:t xml:space="preserve"> Ważne jest, aby metodyka i ramy monitorowania gleby obejmowały zharmonizowane kryteria pobierania próbek, w tym głębokość pobierania próbek.</w:t>
      </w:r>
      <w:r w:rsidR="003430F6">
        <w:rPr>
          <w:b/>
          <w:szCs w:val="24"/>
          <w:lang w:eastAsia="en-US"/>
        </w:rPr>
        <w:t xml:space="preserve"> [Popr. 19]</w:t>
      </w:r>
    </w:p>
    <w:p w:rsidR="003430F6" w:rsidRDefault="003430F6">
      <w:pPr>
        <w:widowControl/>
        <w:rPr>
          <w:b/>
          <w:i/>
          <w:szCs w:val="24"/>
          <w:lang w:eastAsia="en-US"/>
        </w:rPr>
      </w:pPr>
      <w:r>
        <w:rPr>
          <w:b/>
          <w:i/>
          <w:szCs w:val="24"/>
          <w:lang w:eastAsia="en-US"/>
        </w:rPr>
        <w:br w:type="page"/>
      </w:r>
    </w:p>
    <w:p w:rsidR="00524971" w:rsidRPr="003430F6" w:rsidRDefault="00524971" w:rsidP="00524971">
      <w:pPr>
        <w:spacing w:before="120" w:after="120" w:line="360" w:lineRule="auto"/>
        <w:ind w:left="850" w:hanging="850"/>
        <w:rPr>
          <w:b/>
          <w:szCs w:val="24"/>
          <w:lang w:eastAsia="en-US"/>
        </w:rPr>
      </w:pPr>
      <w:r w:rsidRPr="00524971">
        <w:rPr>
          <w:b/>
          <w:i/>
          <w:szCs w:val="24"/>
          <w:lang w:eastAsia="en-US"/>
        </w:rPr>
        <w:lastRenderedPageBreak/>
        <w:t>(31a</w:t>
      </w:r>
      <w:proofErr w:type="gramStart"/>
      <w:r w:rsidRPr="00524971">
        <w:rPr>
          <w:b/>
          <w:i/>
          <w:szCs w:val="24"/>
          <w:lang w:eastAsia="en-US"/>
        </w:rPr>
        <w:t>)</w:t>
      </w:r>
      <w:r w:rsidRPr="00524971">
        <w:rPr>
          <w:szCs w:val="24"/>
          <w:lang w:eastAsia="en-US"/>
        </w:rPr>
        <w:tab/>
      </w:r>
      <w:r w:rsidRPr="00524971">
        <w:rPr>
          <w:b/>
          <w:i/>
          <w:szCs w:val="24"/>
          <w:lang w:eastAsia="en-US"/>
        </w:rPr>
        <w:t>Archiwa</w:t>
      </w:r>
      <w:proofErr w:type="gramEnd"/>
      <w:r w:rsidRPr="00524971">
        <w:rPr>
          <w:b/>
          <w:i/>
          <w:szCs w:val="24"/>
          <w:lang w:eastAsia="en-US"/>
        </w:rPr>
        <w:t xml:space="preserve"> gleb pozwalają przechowywać próbki gleb z określonego czasu i miejsca, umożliwiając państwom członkowskim wykorzystanie jednej próbki do różnych celów i usprawnienie działań związanych z pobieraniem próbek w terenie, co zmniejsza długoterminowe koszty monitorowania in situ. Ponadto archiwa gleb umożliwiają naukowcom ponowną ocenę gleb z przeszłości w kontekście teraźniejszości w celu lepszego zrozumienia długoterminowych zmian gleb lub do innych celów badawczych, w tym badań medycznych. W związku z tym konieczne jest, aby Komisja, w tym jednostki takie jak Wspólne Centrum Badawcze (JRC), wraz z państwami członkowskimi i Obserwatorium UE ds. Gleb, </w:t>
      </w:r>
      <w:proofErr w:type="gramStart"/>
      <w:r w:rsidRPr="00524971">
        <w:rPr>
          <w:b/>
          <w:i/>
          <w:szCs w:val="24"/>
          <w:lang w:eastAsia="en-US"/>
        </w:rPr>
        <w:t>zapewniła, by</w:t>
      </w:r>
      <w:proofErr w:type="gramEnd"/>
      <w:r w:rsidRPr="00524971">
        <w:rPr>
          <w:b/>
          <w:i/>
          <w:szCs w:val="24"/>
          <w:lang w:eastAsia="en-US"/>
        </w:rPr>
        <w:t xml:space="preserve"> próbki, ekstrakty DNA i surowe dane pobrane na potrzeby zachowania zgodności z unijnym i krajowym prawem ochrony środowiska były właściwie przechowywane w fizycznych archiwach, a próbki i surowe dane pozostały dostępne do dalszych badań naukowych i innowacji.</w:t>
      </w:r>
      <w:r w:rsidR="003430F6">
        <w:rPr>
          <w:b/>
          <w:szCs w:val="24"/>
          <w:lang w:eastAsia="en-US"/>
        </w:rPr>
        <w:t xml:space="preserve"> [Popr. 20]</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(32)</w:t>
      </w:r>
      <w:r w:rsidRPr="00524971">
        <w:rPr>
          <w:szCs w:val="24"/>
          <w:lang w:eastAsia="en-US"/>
        </w:rPr>
        <w:tab/>
      </w:r>
      <w:r w:rsidRPr="00524971">
        <w:rPr>
          <w:b/>
          <w:i/>
          <w:szCs w:val="24"/>
          <w:lang w:eastAsia="en-US"/>
        </w:rPr>
        <w:t>W</w:t>
      </w:r>
      <w:proofErr w:type="gramEnd"/>
      <w:r w:rsidRPr="00524971">
        <w:rPr>
          <w:b/>
          <w:i/>
          <w:szCs w:val="24"/>
          <w:lang w:eastAsia="en-US"/>
        </w:rPr>
        <w:t xml:space="preserve"> uzupełnieniu do istniejących wykazów krajowych </w:t>
      </w:r>
      <w:r w:rsidRPr="00524971">
        <w:rPr>
          <w:szCs w:val="24"/>
          <w:lang w:eastAsia="en-US"/>
        </w:rPr>
        <w:t xml:space="preserve">Komisja powinna pomagać </w:t>
      </w:r>
      <w:r w:rsidRPr="00524971">
        <w:rPr>
          <w:b/>
          <w:i/>
          <w:szCs w:val="24"/>
          <w:lang w:eastAsia="en-US"/>
        </w:rPr>
        <w:t xml:space="preserve">państwom członkowskim </w:t>
      </w:r>
      <w:r w:rsidRPr="00524971">
        <w:rPr>
          <w:szCs w:val="24"/>
          <w:lang w:eastAsia="en-US"/>
        </w:rPr>
        <w:t xml:space="preserve">i wspierać </w:t>
      </w:r>
      <w:r w:rsidRPr="00524971">
        <w:rPr>
          <w:strike/>
          <w:szCs w:val="24"/>
          <w:lang w:eastAsia="en-US"/>
        </w:rPr>
        <w:t xml:space="preserve">państwa </w:t>
      </w:r>
      <w:proofErr w:type="spellStart"/>
      <w:r w:rsidRPr="00524971">
        <w:rPr>
          <w:strike/>
          <w:szCs w:val="24"/>
          <w:lang w:eastAsia="en-US"/>
        </w:rPr>
        <w:t>członkowskie</w:t>
      </w:r>
      <w:r w:rsidRPr="00524971">
        <w:rPr>
          <w:b/>
          <w:i/>
          <w:szCs w:val="24"/>
          <w:lang w:eastAsia="en-US"/>
        </w:rPr>
        <w:t>je</w:t>
      </w:r>
      <w:proofErr w:type="spellEnd"/>
      <w:r w:rsidRPr="00524971">
        <w:rPr>
          <w:szCs w:val="24"/>
          <w:lang w:eastAsia="en-US"/>
        </w:rPr>
        <w:t xml:space="preserve"> w monitorowaniu zdrowia gleb, kontynuując i usprawniając regularne pobieranie próbek gleb in situ oraz powiązane pomiary gleby (LUCAS) w ramach badania terenowego użytkowania gruntów i pokrycia terenu (LUCAS). W tym celu program LUCAS </w:t>
      </w:r>
      <w:proofErr w:type="spellStart"/>
      <w:r w:rsidRPr="00524971">
        <w:rPr>
          <w:strike/>
          <w:szCs w:val="24"/>
          <w:lang w:eastAsia="en-US"/>
        </w:rPr>
        <w:t>zostanie</w:t>
      </w:r>
      <w:r w:rsidRPr="00524971">
        <w:rPr>
          <w:b/>
          <w:i/>
          <w:szCs w:val="24"/>
          <w:lang w:eastAsia="en-US"/>
        </w:rPr>
        <w:t>powinien</w:t>
      </w:r>
      <w:proofErr w:type="spellEnd"/>
      <w:r w:rsidRPr="00524971">
        <w:rPr>
          <w:b/>
          <w:i/>
          <w:szCs w:val="24"/>
          <w:lang w:eastAsia="en-US"/>
        </w:rPr>
        <w:t xml:space="preserve"> zostać</w:t>
      </w:r>
      <w:r w:rsidRPr="00524971">
        <w:rPr>
          <w:szCs w:val="24"/>
          <w:lang w:eastAsia="en-US"/>
        </w:rPr>
        <w:t xml:space="preserve"> rozszerzony i zmodernizowany, aby w pełni dostosować go do szczególnych wymogów jakościowych</w:t>
      </w:r>
      <w:r w:rsidRPr="00524971">
        <w:rPr>
          <w:b/>
          <w:i/>
          <w:szCs w:val="24"/>
          <w:lang w:eastAsia="en-US"/>
        </w:rPr>
        <w:t xml:space="preserve"> i wszystkich wskaźników</w:t>
      </w:r>
      <w:r w:rsidRPr="00524971">
        <w:rPr>
          <w:szCs w:val="24"/>
          <w:lang w:eastAsia="en-US"/>
        </w:rPr>
        <w:t xml:space="preserve">, które należy spełnić do celów niniejszej dyrektywy. Aby zmniejszyć obciążenia, państwa członkowskie powinny mieć możliwość uwzględnienia danych dotyczących zdrowia gleb objętych badaniem w ramach rozszerzonego badania gleb LUCAS. </w:t>
      </w:r>
      <w:r w:rsidRPr="00524971">
        <w:rPr>
          <w:b/>
          <w:i/>
          <w:szCs w:val="24"/>
          <w:lang w:eastAsia="en-US"/>
        </w:rPr>
        <w:t xml:space="preserve">W toku badania gleb LUCAS pobierane będą próbki i analizowane będzie co najmniej 20 % wielkości próbek krajowych, co wniesie wkład w monitorowanie prowadzone przez państwa członkowskie. Analiza objęta badaniem LUCAS ma zasadnicze znaczenie, jeśli chodzi o umożliwienie państwom członkowskim obliczenia i kalibracji ważnych funkcji przejścia, aby państwa te mogły dalej stosować alternatywny model monitorowania zgodnie z poziomem 2. Na wniosek państwa członkowskiego Komisja powinna udzielić mu dodatkowej pomocy przy pobieraniu do 50 % próbek podczas pierwszej krajowej rundy monitorowania. </w:t>
      </w:r>
      <w:r w:rsidRPr="00524971">
        <w:rPr>
          <w:szCs w:val="24"/>
          <w:lang w:eastAsia="en-US"/>
        </w:rPr>
        <w:t>Wspierane w ten sposób państwa członkowskie powinny przyjąć niezbędne rozwiązania prawne w celu zapewnienia, by Komisja mogła przeprowadzać takie pobieranie próbek gleb in situ, w tym na polach prywatnych</w:t>
      </w:r>
      <w:r w:rsidRPr="00524971">
        <w:rPr>
          <w:b/>
          <w:i/>
          <w:szCs w:val="24"/>
          <w:lang w:eastAsia="en-US"/>
        </w:rPr>
        <w:t xml:space="preserve"> za zgodą właścicieli</w:t>
      </w:r>
      <w:r w:rsidRPr="00524971">
        <w:rPr>
          <w:szCs w:val="24"/>
          <w:lang w:eastAsia="en-US"/>
        </w:rPr>
        <w:t>, zgodnie z mającymi zastosowanie przepisami krajowymi lub unijnymi.</w:t>
      </w:r>
      <w:r w:rsidR="003430F6">
        <w:rPr>
          <w:b/>
          <w:szCs w:val="24"/>
          <w:lang w:eastAsia="en-US"/>
        </w:rPr>
        <w:t xml:space="preserve"> [Popr. 21]</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(33)</w:t>
      </w:r>
      <w:r w:rsidRPr="00524971">
        <w:rPr>
          <w:szCs w:val="24"/>
          <w:lang w:eastAsia="en-US"/>
        </w:rPr>
        <w:tab/>
        <w:t>Komisja</w:t>
      </w:r>
      <w:proofErr w:type="gramEnd"/>
      <w:r w:rsidRPr="00524971">
        <w:rPr>
          <w:szCs w:val="24"/>
          <w:lang w:eastAsia="en-US"/>
        </w:rPr>
        <w:t xml:space="preserve"> opracowuje usługi teledetekcji w kontekście programu Copernicus jako programu zorientowanego na użytkowników, wspierając tym samym również państwa członkowskie. W celu poprawy terminowości i skuteczności monitorowania zdrowia gleb, a także – w stosownych przypadkach – państwa członkowskie powinny wykorzystywać dane z teledetekcji, w tym wyniki z usług programu Copernicus, do monitorowania odpowiednich wskaźników glebowych i do oceny zdrowia gleb. Komisja i Europejska Agencja Środowiska powinny wspierać badania i opracowywanie produktów teledetekcji gleb, aby pomóc państwom członkowskim w monitorowaniu odpowiednich wskaźników glebowych.</w:t>
      </w:r>
      <w:r w:rsidRPr="00524971">
        <w:rPr>
          <w:b/>
          <w:i/>
          <w:szCs w:val="24"/>
          <w:lang w:eastAsia="en-US"/>
        </w:rPr>
        <w:t xml:space="preserve"> Komisja i państwa członkowskie powinny w dalszym ciągu wspierać stosowanie rzetelnych i dostępnych technologii cyfrowych, takich jak elektroniczne bazy danych, systemy informacji geograficznej, zautomatyzowana identyfikacja obrazów lub cyfrowe DNA, aby poprawić wymianę wiedzy i przejrzystość w odniesieniu do zdrowia gleb oraz zmniejszyć koszty pomiarów i monitorowania gleb.</w:t>
      </w:r>
      <w:r w:rsidR="003430F6">
        <w:rPr>
          <w:b/>
          <w:szCs w:val="24"/>
          <w:lang w:eastAsia="en-US"/>
        </w:rPr>
        <w:t xml:space="preserve"> [Popr. 22]</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(34)</w:t>
      </w:r>
      <w:r w:rsidRPr="00524971">
        <w:rPr>
          <w:szCs w:val="24"/>
          <w:lang w:eastAsia="en-US"/>
        </w:rPr>
        <w:tab/>
        <w:t>W</w:t>
      </w:r>
      <w:proofErr w:type="gramEnd"/>
      <w:r w:rsidRPr="00524971">
        <w:rPr>
          <w:szCs w:val="24"/>
          <w:lang w:eastAsia="en-US"/>
        </w:rPr>
        <w:t xml:space="preserve"> oparciu o istniejące unijne obserwatorium gleb i jego modernizację Komisja powinna utworzyć cyfrowy portal danych dotyczących zdrowia gleb, który powinien być zgodny z europejską strategią w zakresie danych</w:t>
      </w:r>
      <w:r w:rsidRPr="00524971">
        <w:rPr>
          <w:szCs w:val="24"/>
          <w:vertAlign w:val="superscript"/>
          <w:lang w:val="en-GB" w:eastAsia="en-US"/>
        </w:rPr>
        <w:footnoteReference w:id="24"/>
      </w:r>
      <w:r w:rsidRPr="00524971">
        <w:rPr>
          <w:szCs w:val="24"/>
          <w:lang w:eastAsia="en-US"/>
        </w:rPr>
        <w:t xml:space="preserve"> i z przestrzeniami danych UE, a który powinien być ośrodkiem zapewniającym dostęp do danych dotyczących gleb pochodzących z różnych źródeł. </w:t>
      </w:r>
      <w:r w:rsidRPr="00524971">
        <w:rPr>
          <w:b/>
          <w:i/>
          <w:szCs w:val="24"/>
          <w:lang w:eastAsia="en-US"/>
        </w:rPr>
        <w:t xml:space="preserve">Dane dotyczące zdrowia gleb powinny być udostępniane publicznie w formacie, którego mogą używać: środowisko naukowe, właściciele i zarządcy gruntów, doradcy pracujący w systemie doradztwa rolniczego oraz opinia publiczna, przy zapewnieniu zgodności z prawem Unii dotyczącym ochrony danych osobowych. </w:t>
      </w:r>
      <w:r w:rsidRPr="00524971">
        <w:rPr>
          <w:szCs w:val="24"/>
          <w:lang w:eastAsia="en-US"/>
        </w:rPr>
        <w:t xml:space="preserve">Portal ten powinien przede wszystkim zawierać </w:t>
      </w:r>
      <w:proofErr w:type="spellStart"/>
      <w:r w:rsidRPr="00524971">
        <w:rPr>
          <w:strike/>
          <w:szCs w:val="24"/>
          <w:lang w:eastAsia="en-US"/>
        </w:rPr>
        <w:t>wszystkie</w:t>
      </w:r>
      <w:r w:rsidRPr="00524971">
        <w:rPr>
          <w:b/>
          <w:i/>
          <w:szCs w:val="24"/>
          <w:lang w:eastAsia="en-US"/>
        </w:rPr>
        <w:t>istotne</w:t>
      </w:r>
      <w:proofErr w:type="spellEnd"/>
      <w:r w:rsidRPr="00524971">
        <w:rPr>
          <w:szCs w:val="24"/>
          <w:lang w:eastAsia="en-US"/>
        </w:rPr>
        <w:t xml:space="preserve"> dane zgromadzone przez państwa członkowskie i Komisję zgodnie z wymogami niniejszej dyrektywy</w:t>
      </w:r>
      <w:r w:rsidRPr="00524971">
        <w:rPr>
          <w:b/>
          <w:i/>
          <w:szCs w:val="24"/>
          <w:lang w:eastAsia="en-US"/>
        </w:rPr>
        <w:t xml:space="preserve"> i służyć jako platforma do stworzenia zestawu narzędzi do zrównoważonego gospodarowania glebami, który zapewni aktualne, odpowiednie dla danego kontekstu informacje na temat praktyk zrównoważonego gospodarowania glebami w zależności od typu gleby, sposobu użytkowania gruntów i warunków klimatycznych</w:t>
      </w:r>
      <w:r w:rsidRPr="00524971">
        <w:rPr>
          <w:szCs w:val="24"/>
          <w:lang w:eastAsia="en-US"/>
        </w:rPr>
        <w:t>. Powinna być również możliwa dobrowolna integracja z portalem innych istotnych danych dotyczących gleb, zgromadzonych przez państwa członkowskie lub jakąkolwiek inną stronę (w szczególności danych wynikających z projektów w ramach programu „Horyzont Europa” i misji „Pakt na rzecz zdrowych gleb w Europie”), pod warunkiem że dane te spełniają określone wymogi dotyczące formatu i specyfikacji. Komisja powinna określić te wymogi w drodze aktów wykonawczych.</w:t>
      </w:r>
      <w:r w:rsidRPr="00524971">
        <w:rPr>
          <w:b/>
          <w:i/>
          <w:szCs w:val="24"/>
          <w:lang w:eastAsia="en-US"/>
        </w:rPr>
        <w:t xml:space="preserve"> Państwa członkowskie i Komisja powinny zapewnić instytucjom badawczym – na ich wniosek – łatwy i bezpłatny dostęp do wszystkich danych. </w:t>
      </w:r>
      <w:r w:rsidR="003430F6">
        <w:rPr>
          <w:b/>
          <w:szCs w:val="24"/>
          <w:lang w:eastAsia="en-US"/>
        </w:rPr>
        <w:t>[Popr. 23]</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(35)</w:t>
      </w:r>
      <w:r w:rsidRPr="00524971">
        <w:rPr>
          <w:szCs w:val="24"/>
          <w:lang w:eastAsia="en-US"/>
        </w:rPr>
        <w:tab/>
        <w:t>Konieczna</w:t>
      </w:r>
      <w:proofErr w:type="gramEnd"/>
      <w:r w:rsidRPr="00524971">
        <w:rPr>
          <w:szCs w:val="24"/>
          <w:lang w:eastAsia="en-US"/>
        </w:rPr>
        <w:t xml:space="preserve"> jest również poprawa harmonizacji systemów monitorowania gleb stosowanych w państwach członkowskich oraz wykorzystanie synergii między unijnymi i krajowymi systemami monitorowania</w:t>
      </w:r>
      <w:r w:rsidRPr="00524971">
        <w:rPr>
          <w:b/>
          <w:i/>
          <w:szCs w:val="24"/>
          <w:lang w:eastAsia="en-US"/>
        </w:rPr>
        <w:t>, a także pełne wykorzystanie już istniejących zharmonizowanych narzędzi monitorowania, takich jak LUCAS,</w:t>
      </w:r>
      <w:r w:rsidRPr="00524971">
        <w:rPr>
          <w:szCs w:val="24"/>
          <w:lang w:eastAsia="en-US"/>
        </w:rPr>
        <w:t xml:space="preserve"> w celu uzyskania bardziej porównywalnych danych w całej Unii.</w:t>
      </w:r>
      <w:r w:rsidRPr="00524971">
        <w:rPr>
          <w:b/>
          <w:i/>
          <w:szCs w:val="24"/>
          <w:lang w:eastAsia="en-US"/>
        </w:rPr>
        <w:t xml:space="preserve"> Ponadto harmonizacja systemów monitorowania w państwach członkowskich pomogłaby zwiększyć inwestycje w zaawansowane techniki i technologie monitorowania gleb.</w:t>
      </w:r>
      <w:r w:rsidR="003430F6">
        <w:rPr>
          <w:b/>
          <w:szCs w:val="24"/>
          <w:lang w:eastAsia="en-US"/>
        </w:rPr>
        <w:t xml:space="preserve"> [Popr. 24]</w:t>
      </w:r>
    </w:p>
    <w:p w:rsidR="00524971" w:rsidRPr="003430F6" w:rsidRDefault="00524971" w:rsidP="00524971">
      <w:pPr>
        <w:spacing w:before="120" w:after="120" w:line="360" w:lineRule="auto"/>
        <w:ind w:left="850" w:hanging="850"/>
        <w:rPr>
          <w:b/>
          <w:szCs w:val="24"/>
          <w:lang w:eastAsia="en-US"/>
        </w:rPr>
      </w:pPr>
      <w:proofErr w:type="gramStart"/>
      <w:r w:rsidRPr="00524971">
        <w:rPr>
          <w:strike/>
          <w:szCs w:val="24"/>
          <w:lang w:eastAsia="en-US"/>
        </w:rPr>
        <w:t>(36)</w:t>
      </w:r>
      <w:r w:rsidRPr="00524971">
        <w:rPr>
          <w:szCs w:val="24"/>
          <w:lang w:eastAsia="en-US"/>
        </w:rPr>
        <w:tab/>
      </w:r>
      <w:r w:rsidRPr="00524971">
        <w:rPr>
          <w:strike/>
          <w:szCs w:val="24"/>
          <w:lang w:eastAsia="en-US"/>
        </w:rPr>
        <w:t>W</w:t>
      </w:r>
      <w:proofErr w:type="gramEnd"/>
      <w:r w:rsidRPr="00524971">
        <w:rPr>
          <w:strike/>
          <w:szCs w:val="24"/>
          <w:lang w:eastAsia="en-US"/>
        </w:rPr>
        <w:t xml:space="preserve"> celu jak najszerszego możliwego wykorzystania danych dotyczących zdrowia gleb, uzyskanych w wyniku monitorowania prowadzonego na podstawie niniejszej dyrektywy, państwa członkowskie powinny być zobowiązane do ułatwiania dostępu do takich danych odpowiednim zainteresowanym stronom, takim jak rolnicy, leśnicy, właściciele gruntów i władze lokalne.</w:t>
      </w:r>
      <w:r w:rsidR="003430F6">
        <w:rPr>
          <w:b/>
          <w:szCs w:val="24"/>
          <w:lang w:eastAsia="en-US"/>
        </w:rPr>
        <w:t xml:space="preserve"> [Popr. 25]</w:t>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t>(37)</w:t>
      </w:r>
      <w:r w:rsidRPr="00524971">
        <w:rPr>
          <w:szCs w:val="24"/>
          <w:lang w:eastAsia="en-US"/>
        </w:rPr>
        <w:tab/>
        <w:t>Aby</w:t>
      </w:r>
      <w:proofErr w:type="gramEnd"/>
      <w:r w:rsidRPr="00524971">
        <w:rPr>
          <w:szCs w:val="24"/>
          <w:lang w:eastAsia="en-US"/>
        </w:rPr>
        <w:t xml:space="preserve"> utrzymać lub poprawić zdrowie gleb, należy nimi gospodarować w sposób zrównoważony. Zrównoważone gospodarowanie glebami umożliwi długoterminowe świadczenie usług związanych z glebami, w tym poprawę jakości powietrza i wody oraz bezpieczeństwa żywnościowego. Należy zatem ustanowić </w:t>
      </w:r>
      <w:r w:rsidRPr="00524971">
        <w:rPr>
          <w:b/>
          <w:i/>
          <w:szCs w:val="24"/>
          <w:lang w:eastAsia="en-US"/>
        </w:rPr>
        <w:t xml:space="preserve">niewiążące </w:t>
      </w:r>
      <w:r w:rsidRPr="00524971">
        <w:rPr>
          <w:szCs w:val="24"/>
          <w:lang w:eastAsia="en-US"/>
        </w:rPr>
        <w:t>zasady zrównoważonego gospodarowania glebami w celu ukierunkowania praktyk gospodarowania glebami.</w:t>
      </w:r>
      <w:r w:rsidR="003430F6">
        <w:rPr>
          <w:b/>
          <w:szCs w:val="24"/>
          <w:lang w:eastAsia="en-US"/>
        </w:rPr>
        <w:t xml:space="preserve"> [Popr. 26]</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(38)</w:t>
      </w:r>
      <w:r w:rsidRPr="00524971">
        <w:rPr>
          <w:szCs w:val="24"/>
          <w:lang w:eastAsia="en-US"/>
        </w:rPr>
        <w:tab/>
        <w:t>Instrumenty</w:t>
      </w:r>
      <w:proofErr w:type="gramEnd"/>
      <w:r w:rsidRPr="00524971">
        <w:rPr>
          <w:szCs w:val="24"/>
          <w:lang w:eastAsia="en-US"/>
        </w:rPr>
        <w:t xml:space="preserve"> gospodarcze, w tym instrumenty w ramach wspólnej polityki rolnej (WPR), które zapewniają wsparcie rolnikom, odgrywają kluczową rolę w przechodzeniu na zrównoważone gospodarowanie glebami rolnymi oraz, w mniejszym stopniu, glebami leśnymi. WPR ma na celu wspieranie zdrowia gleb poprzez wdrażanie warunkowości, </w:t>
      </w:r>
      <w:proofErr w:type="spellStart"/>
      <w:r w:rsidRPr="00524971">
        <w:rPr>
          <w:szCs w:val="24"/>
          <w:lang w:eastAsia="en-US"/>
        </w:rPr>
        <w:t>ekoprogramów</w:t>
      </w:r>
      <w:proofErr w:type="spellEnd"/>
      <w:r w:rsidRPr="00524971">
        <w:rPr>
          <w:szCs w:val="24"/>
          <w:lang w:eastAsia="en-US"/>
        </w:rPr>
        <w:t xml:space="preserve"> i działań dotyczących rozwoju obszarów wiejskich. Wsparcie finansowe dla rolników i leśników stosujących praktyki zrównoważonego gospodarowania glebami może być również generowane przez sektor prywatny. Dobrowolne etykiety dotyczące zrównoważonego charakteru w przemyśle spożywczym, drzewnym, </w:t>
      </w:r>
      <w:proofErr w:type="spellStart"/>
      <w:r w:rsidRPr="00524971">
        <w:rPr>
          <w:szCs w:val="24"/>
          <w:lang w:eastAsia="en-US"/>
        </w:rPr>
        <w:t>biopochodnym</w:t>
      </w:r>
      <w:proofErr w:type="spellEnd"/>
      <w:r w:rsidRPr="00524971">
        <w:rPr>
          <w:szCs w:val="24"/>
          <w:lang w:eastAsia="en-US"/>
        </w:rPr>
        <w:t xml:space="preserve"> i energetycznym, ustanowione na przykład przez prywatne zainteresowane strony, mogą uwzględniać </w:t>
      </w:r>
      <w:r w:rsidRPr="00524971">
        <w:rPr>
          <w:strike/>
          <w:szCs w:val="24"/>
          <w:lang w:eastAsia="en-US"/>
        </w:rPr>
        <w:t xml:space="preserve">zasady zrównoważonego gospodarowania glebami określone w niniejszej </w:t>
      </w:r>
      <w:proofErr w:type="spellStart"/>
      <w:r w:rsidRPr="00524971">
        <w:rPr>
          <w:strike/>
          <w:szCs w:val="24"/>
          <w:lang w:eastAsia="en-US"/>
        </w:rPr>
        <w:t>dyrektywie</w:t>
      </w:r>
      <w:r w:rsidRPr="00524971">
        <w:rPr>
          <w:b/>
          <w:i/>
          <w:szCs w:val="24"/>
          <w:lang w:eastAsia="en-US"/>
        </w:rPr>
        <w:t>wkład</w:t>
      </w:r>
      <w:proofErr w:type="spellEnd"/>
      <w:r w:rsidRPr="00524971">
        <w:rPr>
          <w:b/>
          <w:i/>
          <w:szCs w:val="24"/>
          <w:lang w:eastAsia="en-US"/>
        </w:rPr>
        <w:t xml:space="preserve"> w poprawę zdrowia gleby zgodnie z niniejszą dyrektywą</w:t>
      </w:r>
      <w:r w:rsidRPr="00524971">
        <w:rPr>
          <w:szCs w:val="24"/>
          <w:lang w:eastAsia="en-US"/>
        </w:rPr>
        <w:t xml:space="preserve">. Może to umożliwić producentom żywności, drewna i innym producentom biomasy, którzy przestrzegają tych zasad w swojej produkcji, uwzględnienie ich w wartości swoich produktów. Za pośrednictwem żywych laboratoriów i sztandarowych projektów misji „Gleby” zapewnione zostaną dodatkowe środki finansowe na sieć rzeczywistych miejsc do testowania, prezentowania i zwiększania skali rozwiązań, w tym w zakresie agrotechnik </w:t>
      </w:r>
      <w:proofErr w:type="spellStart"/>
      <w:r w:rsidRPr="00524971">
        <w:rPr>
          <w:szCs w:val="24"/>
          <w:lang w:eastAsia="en-US"/>
        </w:rPr>
        <w:t>węglochłonnych</w:t>
      </w:r>
      <w:proofErr w:type="spellEnd"/>
      <w:r w:rsidRPr="00524971">
        <w:rPr>
          <w:szCs w:val="24"/>
          <w:lang w:eastAsia="en-US"/>
        </w:rPr>
        <w:t>. Bez uszczerbku dla zasady „zanieczyszczający płaci” państwa członkowskie powinny udzielać wsparcia i doradzać, aby pomóc właścicielom gruntów i użytkownikom gruntów, których dotyczą działania podejmowane na podstawie niniejszej dyrektywy, uwzględniając w szczególności potrzeby i ograniczone możliwości małych i średnich przedsiębiorstw.</w:t>
      </w:r>
      <w:r w:rsidR="003430F6">
        <w:rPr>
          <w:b/>
          <w:szCs w:val="24"/>
          <w:lang w:eastAsia="en-US"/>
        </w:rPr>
        <w:t xml:space="preserve"> [Popr. 27]</w:t>
      </w:r>
    </w:p>
    <w:p w:rsidR="003430F6" w:rsidRDefault="003430F6">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(39)</w:t>
      </w:r>
      <w:r w:rsidRPr="00524971">
        <w:rPr>
          <w:szCs w:val="24"/>
          <w:lang w:eastAsia="en-US"/>
        </w:rPr>
        <w:tab/>
        <w:t>Zgodnie</w:t>
      </w:r>
      <w:proofErr w:type="gramEnd"/>
      <w:r w:rsidRPr="00524971">
        <w:rPr>
          <w:szCs w:val="24"/>
          <w:lang w:eastAsia="en-US"/>
        </w:rPr>
        <w:t xml:space="preserve"> z rozporządzeniem Parlamentu Europejskiego i Rady (UE) 2021/2115</w:t>
      </w:r>
      <w:r w:rsidRPr="00524971">
        <w:rPr>
          <w:szCs w:val="24"/>
          <w:vertAlign w:val="superscript"/>
          <w:lang w:val="en-GB" w:eastAsia="en-US"/>
        </w:rPr>
        <w:footnoteReference w:id="25"/>
      </w:r>
      <w:r w:rsidRPr="00524971">
        <w:rPr>
          <w:szCs w:val="24"/>
          <w:lang w:eastAsia="en-US"/>
        </w:rPr>
        <w:t xml:space="preserve"> państwa członkowskie muszą opisać w swoich planach strategicznych WPR sposób, w jaki struktura środowiskowa i klimatyczna tych planów ma przyczyniać się do realizacji już ustalonych długoterminowych celów krajowych określonych w aktach prawnych, wymienionych w załączniku XIII, lub wynikających z nich, oraz w jaki sposób ma być z nimi spójna.</w:t>
      </w:r>
    </w:p>
    <w:p w:rsidR="00524971" w:rsidRPr="003430F6" w:rsidRDefault="00524971" w:rsidP="00524971">
      <w:pPr>
        <w:spacing w:before="120" w:after="120" w:line="360" w:lineRule="auto"/>
        <w:ind w:left="850" w:hanging="850"/>
        <w:rPr>
          <w:b/>
          <w:szCs w:val="24"/>
          <w:lang w:eastAsia="en-US"/>
        </w:rPr>
      </w:pPr>
      <w:r w:rsidRPr="00524971">
        <w:rPr>
          <w:b/>
          <w:i/>
          <w:szCs w:val="24"/>
          <w:lang w:eastAsia="en-US"/>
        </w:rPr>
        <w:t>(39a</w:t>
      </w:r>
      <w:proofErr w:type="gramStart"/>
      <w:r w:rsidRPr="00524971">
        <w:rPr>
          <w:b/>
          <w:i/>
          <w:szCs w:val="24"/>
          <w:lang w:eastAsia="en-US"/>
        </w:rPr>
        <w:t>)</w:t>
      </w:r>
      <w:r w:rsidRPr="00524971">
        <w:rPr>
          <w:szCs w:val="24"/>
          <w:lang w:eastAsia="en-US"/>
        </w:rPr>
        <w:tab/>
      </w:r>
      <w:r w:rsidRPr="00524971">
        <w:rPr>
          <w:b/>
          <w:i/>
          <w:szCs w:val="24"/>
          <w:lang w:eastAsia="en-US"/>
        </w:rPr>
        <w:t>Normy</w:t>
      </w:r>
      <w:proofErr w:type="gramEnd"/>
      <w:r w:rsidRPr="00524971">
        <w:rPr>
          <w:b/>
          <w:i/>
          <w:szCs w:val="24"/>
          <w:lang w:eastAsia="en-US"/>
        </w:rPr>
        <w:t xml:space="preserve"> dobrej kultury rolnej zgodnej z ochroną środowiska nr 5, 6 i 7 określone w rozporządzeniu (UE) 2021/2115 obejmują normy dotyczące poprawy zarządzania orką, aby zmniejszyć ryzyko degradacji i erozji gleby, w tym poprzez uwzględnienie nachylenia terenu i dostosowane do warunków danego miejsca minimalne gospodarowanie gruntami w celu ograniczenia erozji, minimalną pokrywę glebową, aby uniknąć gleby niepokrytej roślinnością, ochronę gleb w najbardziej wrażliwych okresach, a także zmianowanie upraw na gruntach ornych. Ponadto dla ochrony gleb znaczenie mają norma dobrej kultury rolnej nr 1 dotycząca ochrony pastwisk trwałych oraz norma dobrej kultury rolnej nr 2 dotycząca ochrony terenów podmokłych i torfowisk oraz gleb o wysokiej zawartości materii organicznej.</w:t>
      </w:r>
      <w:r w:rsidR="003430F6">
        <w:rPr>
          <w:b/>
          <w:szCs w:val="24"/>
          <w:lang w:eastAsia="en-US"/>
        </w:rPr>
        <w:t xml:space="preserve"> [Popr. 28]</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(40)</w:t>
      </w:r>
      <w:r w:rsidRPr="00524971">
        <w:rPr>
          <w:szCs w:val="24"/>
          <w:lang w:eastAsia="en-US"/>
        </w:rPr>
        <w:tab/>
      </w:r>
      <w:r w:rsidRPr="00524971">
        <w:rPr>
          <w:strike/>
          <w:szCs w:val="24"/>
          <w:lang w:eastAsia="en-US"/>
        </w:rPr>
        <w:t>Aby</w:t>
      </w:r>
      <w:proofErr w:type="gramEnd"/>
      <w:r w:rsidRPr="00524971">
        <w:rPr>
          <w:strike/>
          <w:szCs w:val="24"/>
          <w:lang w:eastAsia="en-US"/>
        </w:rPr>
        <w:t xml:space="preserve"> zapewnić wdrożenie najlepszych praktyk zrównoważonego gospodarowania glebami, </w:t>
      </w:r>
      <w:r w:rsidRPr="00524971">
        <w:rPr>
          <w:szCs w:val="24"/>
          <w:lang w:eastAsia="en-US"/>
        </w:rPr>
        <w:t>Państwa członkowskie powinny być zobowiązane do ścisłego monitorowania wpływu praktyk gospodarowania glebami oraz do dostosowania w razie potrzeby praktyk i zaleceń, uwzględniając nową wiedzę wynikającą z badań naukowych i innowacji. W tym względzie oczekuje się cennego wkładu misji programu „Horyzont Europa” „Pakt na rzecz zdrowych gleb w Europie”, a w szczególności jej żywych laboratoriów i działań wspierających monitorowanie gleb, edukację o glebach i zaangażowanie obywateli.</w:t>
      </w:r>
      <w:r w:rsidR="003430F6">
        <w:rPr>
          <w:b/>
          <w:szCs w:val="24"/>
          <w:lang w:eastAsia="en-US"/>
        </w:rPr>
        <w:t xml:space="preserve"> [Popr. 29]</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(41)</w:t>
      </w:r>
      <w:r w:rsidRPr="00524971">
        <w:rPr>
          <w:szCs w:val="24"/>
          <w:lang w:eastAsia="en-US"/>
        </w:rPr>
        <w:tab/>
        <w:t>Regeneracja</w:t>
      </w:r>
      <w:proofErr w:type="gramEnd"/>
      <w:r w:rsidRPr="00524971">
        <w:rPr>
          <w:szCs w:val="24"/>
          <w:lang w:eastAsia="en-US"/>
        </w:rPr>
        <w:t xml:space="preserve"> przywraca zdegradowane tereny do zdrowego stanu. Przy określaniu środków regeneracji gleb państwa członkowskie powinny być zobowiązane do uwzględnienia wyników oceny zdrowia gleb oraz do dostosowania tych środków do specyfiki sytuacji, rodzaju, użytkowania i stanu gleb oraz do warunków lokalnych, klimatycznych i środowiskowych.</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(42)</w:t>
      </w:r>
      <w:r w:rsidRPr="00524971">
        <w:rPr>
          <w:szCs w:val="24"/>
          <w:lang w:eastAsia="en-US"/>
        </w:rPr>
        <w:tab/>
        <w:t>Aby</w:t>
      </w:r>
      <w:proofErr w:type="gramEnd"/>
      <w:r w:rsidRPr="00524971">
        <w:rPr>
          <w:szCs w:val="24"/>
          <w:lang w:eastAsia="en-US"/>
        </w:rPr>
        <w:t xml:space="preserve"> zapewnić synergię między różnymi środkami przyjętymi na podstawie innych przepisów Unii, które mogą mieć wpływ na zdrowie gleb, a środkami, które mają zostać wprowadzone w celu zrównoważonego gospodarowania glebami i ich regeneracji w Unii, państwa członkowskie powinny zapewnić spójność zrównoważonych praktyk gospodarowania glebami i ich regeneracji z krajowymi planami odbudowy przyjętymi zgodnie z rozporządzeniem Parlamentu Europejskiego i Rady (UE).../...+</w:t>
      </w:r>
      <w:r w:rsidRPr="00524971">
        <w:rPr>
          <w:szCs w:val="24"/>
          <w:vertAlign w:val="superscript"/>
          <w:lang w:val="en-GB" w:eastAsia="en-US"/>
        </w:rPr>
        <w:footnoteReference w:id="26"/>
      </w:r>
      <w:r w:rsidRPr="00524971">
        <w:rPr>
          <w:szCs w:val="24"/>
          <w:lang w:eastAsia="en-US"/>
        </w:rPr>
        <w:t>;</w:t>
      </w:r>
      <w:r w:rsidRPr="00524971">
        <w:rPr>
          <w:b/>
          <w:i/>
          <w:szCs w:val="24"/>
          <w:lang w:eastAsia="en-US"/>
        </w:rPr>
        <w:t xml:space="preserve"> </w:t>
      </w:r>
      <w:proofErr w:type="gramStart"/>
      <w:r w:rsidRPr="00524971">
        <w:rPr>
          <w:b/>
          <w:i/>
          <w:szCs w:val="24"/>
          <w:lang w:eastAsia="en-US"/>
        </w:rPr>
        <w:t>krajowymi</w:t>
      </w:r>
      <w:proofErr w:type="gramEnd"/>
      <w:r w:rsidRPr="00524971">
        <w:rPr>
          <w:b/>
          <w:i/>
          <w:szCs w:val="24"/>
          <w:lang w:eastAsia="en-US"/>
        </w:rPr>
        <w:t xml:space="preserve"> strategiami i planami działania na rzecz różnorodności biologicznej ustanowionymi zgodnie z art. 6 Konwencji Narodów Zjednoczonych o różnorodności biologicznej,</w:t>
      </w:r>
      <w:r w:rsidRPr="00524971">
        <w:rPr>
          <w:szCs w:val="24"/>
          <w:lang w:eastAsia="en-US"/>
        </w:rPr>
        <w:t xml:space="preserve"> planami strategicznymi, które mają zostać sporządzone przez państwa członkowskie w ramach wspólnej polityki rolnej zgodnie z rozporządzeniem (UE) 2021/2115, kodeksami dobrych praktyk rolniczych i programami działania dla wyznaczonych stref zagrożenia przyjętych zgodnie z dyrektywą Rady 91/676/EWG</w:t>
      </w:r>
      <w:r w:rsidRPr="00524971">
        <w:rPr>
          <w:szCs w:val="24"/>
          <w:vertAlign w:val="superscript"/>
          <w:lang w:val="en-GB" w:eastAsia="en-US"/>
        </w:rPr>
        <w:footnoteReference w:id="27"/>
      </w:r>
      <w:r w:rsidRPr="00524971">
        <w:rPr>
          <w:szCs w:val="24"/>
          <w:lang w:eastAsia="en-US"/>
        </w:rPr>
        <w:t>, środkami ochronnymi i priorytetowymi ramami działania ustanowionymi dla obszarów Natura 2000 zgodnie z dyrektywą Rady 92/43/EWG</w:t>
      </w:r>
      <w:r w:rsidRPr="00524971">
        <w:rPr>
          <w:szCs w:val="24"/>
          <w:vertAlign w:val="superscript"/>
          <w:lang w:val="en-GB" w:eastAsia="en-US"/>
        </w:rPr>
        <w:footnoteReference w:id="28"/>
      </w:r>
      <w:r w:rsidRPr="00524971">
        <w:rPr>
          <w:szCs w:val="24"/>
          <w:lang w:eastAsia="en-US"/>
        </w:rPr>
        <w:t>, środkami służącymi osiągnięciu dobrego stanu ekologicznego i chemicznego jednolitych części wód uwzględnionymi w planach gospodarowania wodami w dorzeczu przygotowanych zgodnie z dyrektywą 2000/60/WE Parlamentu Europejskiego i Rady</w:t>
      </w:r>
      <w:r w:rsidRPr="00524971">
        <w:rPr>
          <w:szCs w:val="24"/>
          <w:vertAlign w:val="superscript"/>
          <w:lang w:val="en-GB" w:eastAsia="en-US"/>
        </w:rPr>
        <w:footnoteReference w:id="29"/>
      </w:r>
      <w:r w:rsidRPr="00524971">
        <w:rPr>
          <w:szCs w:val="24"/>
          <w:lang w:eastAsia="en-US"/>
        </w:rPr>
        <w:t xml:space="preserve">, środkami zarządzania ryzykiem powodziowym </w:t>
      </w:r>
      <w:proofErr w:type="gramStart"/>
      <w:r w:rsidRPr="00524971">
        <w:rPr>
          <w:szCs w:val="24"/>
          <w:lang w:eastAsia="en-US"/>
        </w:rPr>
        <w:t>ustanowionymi</w:t>
      </w:r>
      <w:proofErr w:type="gramEnd"/>
      <w:r w:rsidRPr="00524971">
        <w:rPr>
          <w:szCs w:val="24"/>
          <w:lang w:eastAsia="en-US"/>
        </w:rPr>
        <w:t xml:space="preserve"> zgodnie z dyrektywą 2007/60/WE Parlamentu Europejskiego i Rady</w:t>
      </w:r>
      <w:r w:rsidRPr="00524971">
        <w:rPr>
          <w:szCs w:val="24"/>
          <w:vertAlign w:val="superscript"/>
          <w:lang w:val="en-GB" w:eastAsia="en-US"/>
        </w:rPr>
        <w:footnoteReference w:id="30"/>
      </w:r>
      <w:r w:rsidRPr="00524971">
        <w:rPr>
          <w:szCs w:val="24"/>
          <w:lang w:eastAsia="en-US"/>
        </w:rPr>
        <w:t xml:space="preserve">, planami postępowania w przypadku suszy promowanymi w </w:t>
      </w:r>
      <w:r w:rsidRPr="00524971">
        <w:rPr>
          <w:szCs w:val="24"/>
          <w:lang w:eastAsia="en-US"/>
        </w:rPr>
        <w:lastRenderedPageBreak/>
        <w:t>strategii UE w zakresie przystosowania się do zmiany klimatu</w:t>
      </w:r>
      <w:r w:rsidRPr="00524971">
        <w:rPr>
          <w:szCs w:val="24"/>
          <w:vertAlign w:val="superscript"/>
          <w:lang w:val="en-GB" w:eastAsia="en-US"/>
        </w:rPr>
        <w:footnoteReference w:id="31"/>
      </w:r>
      <w:r w:rsidRPr="00524971">
        <w:rPr>
          <w:szCs w:val="24"/>
          <w:lang w:eastAsia="en-US"/>
        </w:rPr>
        <w:t>, krajowymi programami działania ustanowionymi zgodnie z art. 10 Konwencji Narodów Zjednoczonych w sprawie zwalczania pustynnienia, celami określonymi w rozporządzeniu Parlamentu Europejskiego i Rady (UE) 2018/841</w:t>
      </w:r>
      <w:r w:rsidRPr="00524971">
        <w:rPr>
          <w:szCs w:val="24"/>
          <w:vertAlign w:val="superscript"/>
          <w:lang w:val="en-GB" w:eastAsia="en-US"/>
        </w:rPr>
        <w:footnoteReference w:id="32"/>
      </w:r>
      <w:r w:rsidRPr="00524971">
        <w:rPr>
          <w:szCs w:val="24"/>
          <w:lang w:eastAsia="en-US"/>
        </w:rPr>
        <w:t xml:space="preserve"> i rozporządzeniu Parlamentu Europejskiego i Rady (UE) 2018/842</w:t>
      </w:r>
      <w:r w:rsidRPr="00524971">
        <w:rPr>
          <w:szCs w:val="24"/>
          <w:vertAlign w:val="superscript"/>
          <w:lang w:val="en-GB" w:eastAsia="en-US"/>
        </w:rPr>
        <w:footnoteReference w:id="33"/>
      </w:r>
      <w:r w:rsidRPr="00524971">
        <w:rPr>
          <w:szCs w:val="24"/>
          <w:lang w:eastAsia="en-US"/>
        </w:rPr>
        <w:t>, zintegrowanymi krajowymi planami w dziedzinie energii i klimatu ustanowiony zgodnie z rozporządzeniem Parlamentu Europejskiego i Rady (UE) 2018/1999</w:t>
      </w:r>
      <w:r w:rsidRPr="00524971">
        <w:rPr>
          <w:szCs w:val="24"/>
          <w:vertAlign w:val="superscript"/>
          <w:lang w:val="en-GB" w:eastAsia="en-US"/>
        </w:rPr>
        <w:footnoteReference w:id="34"/>
      </w:r>
      <w:r w:rsidRPr="00524971">
        <w:rPr>
          <w:szCs w:val="24"/>
          <w:lang w:eastAsia="en-US"/>
        </w:rPr>
        <w:t>, krajowymi programami ograniczania zanieczyszczenia powietrza przygotowanymi na podstawie dyrektywy Parlamentu Europejskiego i Rady (UE) 2016/2284</w:t>
      </w:r>
      <w:r w:rsidRPr="00524971">
        <w:rPr>
          <w:szCs w:val="24"/>
          <w:vertAlign w:val="superscript"/>
          <w:lang w:val="en-GB" w:eastAsia="en-US"/>
        </w:rPr>
        <w:footnoteReference w:id="35"/>
      </w:r>
      <w:r w:rsidRPr="00524971">
        <w:rPr>
          <w:szCs w:val="24"/>
          <w:lang w:eastAsia="en-US"/>
        </w:rPr>
        <w:t xml:space="preserve">, ocenami ryzyka i planowaniem zarządzania ryzykiem związanym z klęskami lub katastrofami zgodnie z decyzją </w:t>
      </w:r>
      <w:r w:rsidRPr="00524971">
        <w:rPr>
          <w:b/>
          <w:i/>
          <w:szCs w:val="24"/>
          <w:lang w:eastAsia="en-US"/>
        </w:rPr>
        <w:t xml:space="preserve">Parlamentu Europejskiego i Rady </w:t>
      </w:r>
      <w:r w:rsidRPr="00524971">
        <w:rPr>
          <w:szCs w:val="24"/>
          <w:lang w:eastAsia="en-US"/>
        </w:rPr>
        <w:t>nr 1313/2013/UE</w:t>
      </w:r>
      <w:r w:rsidRPr="00524971">
        <w:rPr>
          <w:szCs w:val="24"/>
          <w:vertAlign w:val="superscript"/>
          <w:lang w:val="en-GB" w:eastAsia="en-US"/>
        </w:rPr>
        <w:footnoteReference w:id="36"/>
      </w:r>
      <w:r w:rsidRPr="00524971">
        <w:rPr>
          <w:szCs w:val="24"/>
          <w:lang w:eastAsia="en-US"/>
        </w:rPr>
        <w:t xml:space="preserve"> oraz z krajowymi planami działania ustanowionymi zgodnie z </w:t>
      </w:r>
      <w:r w:rsidRPr="00524971">
        <w:rPr>
          <w:strike/>
          <w:szCs w:val="24"/>
          <w:lang w:eastAsia="en-US"/>
        </w:rPr>
        <w:t xml:space="preserve">rozporządzeniem </w:t>
      </w:r>
      <w:r w:rsidR="003430F6">
        <w:rPr>
          <w:b/>
          <w:i/>
          <w:szCs w:val="24"/>
          <w:lang w:eastAsia="en-US"/>
        </w:rPr>
        <w:t>dyrektywą</w:t>
      </w:r>
      <w:r w:rsidRPr="00524971">
        <w:rPr>
          <w:b/>
          <w:i/>
          <w:szCs w:val="24"/>
          <w:lang w:eastAsia="en-US"/>
        </w:rPr>
        <w:t xml:space="preserve"> </w:t>
      </w:r>
      <w:r w:rsidRPr="00524971">
        <w:rPr>
          <w:szCs w:val="24"/>
          <w:lang w:eastAsia="en-US"/>
        </w:rPr>
        <w:t xml:space="preserve">Parlamentu </w:t>
      </w:r>
      <w:r w:rsidRPr="00524971">
        <w:rPr>
          <w:szCs w:val="24"/>
          <w:lang w:eastAsia="en-US"/>
        </w:rPr>
        <w:lastRenderedPageBreak/>
        <w:t xml:space="preserve">Europejskiego i Rady </w:t>
      </w:r>
      <w:r w:rsidRPr="00524971">
        <w:rPr>
          <w:strike/>
          <w:szCs w:val="24"/>
          <w:lang w:eastAsia="en-US"/>
        </w:rPr>
        <w:t>(UE).../...</w:t>
      </w:r>
      <w:r w:rsidRPr="003430F6">
        <w:rPr>
          <w:strike/>
          <w:szCs w:val="24"/>
          <w:vertAlign w:val="superscript"/>
          <w:lang w:val="en-GB" w:eastAsia="en-US"/>
        </w:rPr>
        <w:footnoteReference w:id="37"/>
      </w:r>
      <w:r w:rsidRPr="00524971">
        <w:rPr>
          <w:strike/>
          <w:szCs w:val="24"/>
          <w:lang w:eastAsia="en-US"/>
        </w:rPr>
        <w:t>+</w:t>
      </w:r>
      <w:r w:rsidRPr="00524971">
        <w:rPr>
          <w:b/>
          <w:i/>
          <w:szCs w:val="24"/>
          <w:lang w:eastAsia="en-US"/>
        </w:rPr>
        <w:t>2009/128/WE</w:t>
      </w:r>
      <w:r w:rsidRPr="00524971">
        <w:rPr>
          <w:szCs w:val="24"/>
          <w:lang w:eastAsia="en-US"/>
        </w:rPr>
        <w:t>. Zrównoważone praktyki gospodarowania glebami i ich regeneracji powinny być w miarę możliwości zintegrowane z tymi programami, planami i środkami w zakresie, w jakim przyczyniają się one do osiągnięcia ich celów. W związku z tym odpowiednie wskaźniki i dane, takie jak wskaźniki rezultatu związane z glebami na podstawie rozporządzenia w sprawie WPR oraz dane statystyczne dotyczące nakładów i produktów rolnych zgłaszane na podstawie rozporządzenia Parlamentu Europejskiego i Rady (UE) 2022/2379</w:t>
      </w:r>
      <w:r w:rsidRPr="00524971">
        <w:rPr>
          <w:szCs w:val="24"/>
          <w:vertAlign w:val="superscript"/>
          <w:lang w:val="en-GB" w:eastAsia="en-US"/>
        </w:rPr>
        <w:footnoteReference w:id="38"/>
      </w:r>
      <w:r w:rsidRPr="00524971">
        <w:rPr>
          <w:szCs w:val="24"/>
          <w:lang w:eastAsia="en-US"/>
        </w:rPr>
        <w:t>, powinny być dostępne dla właściwych organów odpowiedzialnych za zrównoważone praktyki gospodarowania glebami i regenerację gleb oraz za ocenę zdrowia gleb w celu wzajemnego powiązania tych danych i wskaźników, a tym samym umożliwienia jak najdokładniejszej oceny skuteczności wybranych środków.</w:t>
      </w:r>
      <w:r w:rsidR="003430F6">
        <w:rPr>
          <w:b/>
          <w:szCs w:val="24"/>
          <w:lang w:eastAsia="en-US"/>
        </w:rPr>
        <w:t xml:space="preserve"> [Popr. 30]</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(43)</w:t>
      </w:r>
      <w:r w:rsidRPr="00524971">
        <w:rPr>
          <w:szCs w:val="24"/>
          <w:lang w:eastAsia="en-US"/>
        </w:rPr>
        <w:tab/>
        <w:t>Zanieczyszczone</w:t>
      </w:r>
      <w:proofErr w:type="gramEnd"/>
      <w:r w:rsidRPr="00524971">
        <w:rPr>
          <w:szCs w:val="24"/>
          <w:lang w:eastAsia="en-US"/>
        </w:rPr>
        <w:t xml:space="preserve"> tereny są spuścizną dziesięcioleci działalności przemysłowej w UE i mogą prowadzić do zagrożeń dla zdrowia </w:t>
      </w:r>
      <w:r w:rsidRPr="00524971">
        <w:rPr>
          <w:strike/>
          <w:szCs w:val="24"/>
          <w:lang w:eastAsia="en-US"/>
        </w:rPr>
        <w:t xml:space="preserve">ludzkiego </w:t>
      </w:r>
      <w:proofErr w:type="spellStart"/>
      <w:r w:rsidRPr="00524971">
        <w:rPr>
          <w:strike/>
          <w:szCs w:val="24"/>
          <w:lang w:eastAsia="en-US"/>
        </w:rPr>
        <w:t>i</w:t>
      </w:r>
      <w:r w:rsidRPr="00524971">
        <w:rPr>
          <w:b/>
          <w:i/>
          <w:szCs w:val="24"/>
          <w:lang w:eastAsia="en-US"/>
        </w:rPr>
        <w:t>ludzi</w:t>
      </w:r>
      <w:proofErr w:type="spellEnd"/>
      <w:r w:rsidRPr="00524971">
        <w:rPr>
          <w:b/>
          <w:i/>
          <w:szCs w:val="24"/>
          <w:lang w:eastAsia="en-US"/>
        </w:rPr>
        <w:t xml:space="preserve"> i zwierząt oraz</w:t>
      </w:r>
      <w:r w:rsidRPr="00524971">
        <w:rPr>
          <w:szCs w:val="24"/>
          <w:lang w:eastAsia="en-US"/>
        </w:rPr>
        <w:t xml:space="preserve"> środowiska obecnie i w przyszłości. W </w:t>
      </w:r>
      <w:r w:rsidRPr="00524971">
        <w:rPr>
          <w:strike/>
          <w:szCs w:val="24"/>
          <w:lang w:eastAsia="en-US"/>
        </w:rPr>
        <w:t xml:space="preserve">związku z </w:t>
      </w:r>
      <w:proofErr w:type="spellStart"/>
      <w:r w:rsidRPr="00524971">
        <w:rPr>
          <w:strike/>
          <w:szCs w:val="24"/>
          <w:lang w:eastAsia="en-US"/>
        </w:rPr>
        <w:t>tym</w:t>
      </w:r>
      <w:r w:rsidRPr="00524971">
        <w:rPr>
          <w:b/>
          <w:i/>
          <w:szCs w:val="24"/>
          <w:lang w:eastAsia="en-US"/>
        </w:rPr>
        <w:t>oparciu</w:t>
      </w:r>
      <w:proofErr w:type="spellEnd"/>
      <w:r w:rsidRPr="00524971">
        <w:rPr>
          <w:b/>
          <w:i/>
          <w:szCs w:val="24"/>
          <w:lang w:eastAsia="en-US"/>
        </w:rPr>
        <w:t xml:space="preserve"> o istniejącą wiedzę</w:t>
      </w:r>
      <w:r w:rsidRPr="00524971">
        <w:rPr>
          <w:szCs w:val="24"/>
          <w:lang w:eastAsia="en-US"/>
        </w:rPr>
        <w:t xml:space="preserve"> należy </w:t>
      </w:r>
      <w:proofErr w:type="spellStart"/>
      <w:r w:rsidRPr="00524971">
        <w:rPr>
          <w:strike/>
          <w:szCs w:val="24"/>
          <w:lang w:eastAsia="en-US"/>
        </w:rPr>
        <w:t>najpierw</w:t>
      </w:r>
      <w:r w:rsidRPr="00524971">
        <w:rPr>
          <w:b/>
          <w:i/>
          <w:szCs w:val="24"/>
          <w:lang w:eastAsia="en-US"/>
        </w:rPr>
        <w:t>zatem</w:t>
      </w:r>
      <w:proofErr w:type="spellEnd"/>
      <w:r w:rsidRPr="00524971">
        <w:rPr>
          <w:szCs w:val="24"/>
          <w:lang w:eastAsia="en-US"/>
        </w:rPr>
        <w:t xml:space="preserve"> zidentyfikować i zbadać potencjalnie zanieczyszczone tereny, a następnie, w przypadku potwierdzonego zanieczyszczenia, ocenić ryzyko i wprowadzić środki w celu wyeliminowania </w:t>
      </w:r>
      <w:r w:rsidRPr="00524971">
        <w:rPr>
          <w:strike/>
          <w:szCs w:val="24"/>
          <w:lang w:eastAsia="en-US"/>
        </w:rPr>
        <w:t xml:space="preserve">niedopuszczalnego </w:t>
      </w:r>
      <w:proofErr w:type="spellStart"/>
      <w:r w:rsidRPr="00524971">
        <w:rPr>
          <w:strike/>
          <w:szCs w:val="24"/>
          <w:lang w:eastAsia="en-US"/>
        </w:rPr>
        <w:t>ryzyka</w:t>
      </w:r>
      <w:r w:rsidRPr="00524971">
        <w:rPr>
          <w:b/>
          <w:i/>
          <w:szCs w:val="24"/>
          <w:lang w:eastAsia="en-US"/>
        </w:rPr>
        <w:t>go</w:t>
      </w:r>
      <w:proofErr w:type="spellEnd"/>
      <w:r w:rsidRPr="00524971">
        <w:rPr>
          <w:szCs w:val="24"/>
          <w:lang w:eastAsia="en-US"/>
        </w:rPr>
        <w:t>. Badanie gleb może udowodnić, że potencjalnie zanieczyszczony teren w rzeczywistości nie jest zanieczyszczony. W takim przypadku dany teren nie powinien być już oznaczany przez państwo członkowskie jako potencjalnie zanieczyszczony, chyba że istnieje podejrzenie zanieczyszczenia na podstawie nowych dowodów.</w:t>
      </w:r>
      <w:r w:rsidR="003430F6">
        <w:rPr>
          <w:b/>
          <w:szCs w:val="24"/>
          <w:lang w:eastAsia="en-US"/>
        </w:rPr>
        <w:t xml:space="preserve"> [Popr. 31]</w:t>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t>(44)</w:t>
      </w:r>
      <w:r w:rsidRPr="00524971">
        <w:rPr>
          <w:szCs w:val="24"/>
          <w:lang w:eastAsia="en-US"/>
        </w:rPr>
        <w:tab/>
        <w:t>W</w:t>
      </w:r>
      <w:proofErr w:type="gramEnd"/>
      <w:r w:rsidRPr="00524971">
        <w:rPr>
          <w:szCs w:val="24"/>
          <w:lang w:eastAsia="en-US"/>
        </w:rPr>
        <w:t xml:space="preserve"> celu zidentyfikowania potencjalnie zanieczyszczonych terenów państwa członkowskie powinny gromadzić dowody m.in. poprzez badania historyczne, wcześniejsze incydenty i wypadki przemysłowe, pozwolenia środowiskowe</w:t>
      </w:r>
      <w:r w:rsidRPr="00524971">
        <w:rPr>
          <w:b/>
          <w:i/>
          <w:szCs w:val="24"/>
          <w:lang w:eastAsia="en-US"/>
        </w:rPr>
        <w:t>, badania stanu zdrowia</w:t>
      </w:r>
      <w:r w:rsidRPr="00524971">
        <w:rPr>
          <w:szCs w:val="24"/>
          <w:lang w:eastAsia="en-US"/>
        </w:rPr>
        <w:t xml:space="preserve"> i zgłoszenia dokonywane przez społeczeństwo lub organy.</w:t>
      </w:r>
      <w:r w:rsidR="003430F6">
        <w:rPr>
          <w:b/>
          <w:szCs w:val="24"/>
          <w:lang w:eastAsia="en-US"/>
        </w:rPr>
        <w:t xml:space="preserve"> [Popr. 32]</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(45)</w:t>
      </w:r>
      <w:r w:rsidRPr="00524971">
        <w:rPr>
          <w:szCs w:val="24"/>
          <w:lang w:eastAsia="en-US"/>
        </w:rPr>
        <w:tab/>
        <w:t>Aby</w:t>
      </w:r>
      <w:proofErr w:type="gramEnd"/>
      <w:r w:rsidRPr="00524971">
        <w:rPr>
          <w:szCs w:val="24"/>
          <w:lang w:eastAsia="en-US"/>
        </w:rPr>
        <w:t xml:space="preserve"> zapewnić terminowe i skuteczne przeprowadzanie badań gleb na potencjalnie zanieczyszczonych terenach</w:t>
      </w:r>
      <w:r w:rsidRPr="00524971">
        <w:rPr>
          <w:b/>
          <w:i/>
          <w:szCs w:val="24"/>
          <w:lang w:eastAsia="en-US"/>
        </w:rPr>
        <w:t>, co postulował Parlament Europejski w rezolucji z 28 kwietnia 2021 r. w sprawie ochrony gleb</w:t>
      </w:r>
      <w:r w:rsidRPr="00524971">
        <w:rPr>
          <w:szCs w:val="24"/>
          <w:lang w:eastAsia="en-US"/>
        </w:rPr>
        <w:t>, państwa członkowskie powinny, oprócz obowiązku określenia terminu, w którym badania te powinny być prowadzone, powinny być zobowiązane do określenia konkretnych zdarzeń, które również powodują wszczęcie takiego dochodzenia. Takie zdarzenia inicjujące mogą obejmować wniosek o wydanie lub przegląd pozwolenia środowiskowego lub budowlanego, lub zezwolenia wymaganego zgodnie z przepisami Unii lub przepisami krajowymi, działania związane z wydobywaniem gleby, zmiany użytkowania gruntów lub transakcje dotyczące gruntów lub nieruchomości. Badania gleby mogą odbywać się na różnych etapach, takich jak badanie dokumentacji, wizyta na miejscu, badanie wstępne lub rozpoznawcze, bardziej szczegółowe lub opisowe badanie oraz badania terenowe lub laboratoryjne. W stosownych przypadkach sprawozdania bazowe i środki monitorowania wdrożone zgodnie z dyrektywą Parlamentu Europejskiego i Rady 2010/75/UE</w:t>
      </w:r>
      <w:r w:rsidRPr="00524971">
        <w:rPr>
          <w:szCs w:val="24"/>
          <w:vertAlign w:val="superscript"/>
          <w:lang w:val="en-GB" w:eastAsia="en-US"/>
        </w:rPr>
        <w:footnoteReference w:id="39"/>
      </w:r>
      <w:r w:rsidRPr="00524971">
        <w:rPr>
          <w:szCs w:val="24"/>
          <w:lang w:eastAsia="en-US"/>
        </w:rPr>
        <w:t xml:space="preserve"> mogą również kwalifikować się jako badania gleby.</w:t>
      </w:r>
      <w:r w:rsidR="003430F6">
        <w:rPr>
          <w:b/>
          <w:szCs w:val="24"/>
          <w:lang w:eastAsia="en-US"/>
        </w:rPr>
        <w:t xml:space="preserve"> [Popr. 33]</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(46)</w:t>
      </w:r>
      <w:r w:rsidRPr="00524971">
        <w:rPr>
          <w:szCs w:val="24"/>
          <w:lang w:eastAsia="en-US"/>
        </w:rPr>
        <w:tab/>
        <w:t>Aby</w:t>
      </w:r>
      <w:proofErr w:type="gramEnd"/>
      <w:r w:rsidRPr="00524971">
        <w:rPr>
          <w:szCs w:val="24"/>
          <w:lang w:eastAsia="en-US"/>
        </w:rPr>
        <w:t xml:space="preserve"> uwzględnić koszty, korzyści i specyfikę lokalną, potrzebna jest elastyczność w zakresie zarządzania potencjalnie zanieczyszczonymi terenami i zanieczyszczonymi terenami. Państwa członkowskie powinny zatem</w:t>
      </w:r>
      <w:r w:rsidRPr="00524971">
        <w:rPr>
          <w:strike/>
          <w:szCs w:val="24"/>
          <w:lang w:eastAsia="en-US"/>
        </w:rPr>
        <w:t xml:space="preserve"> przynajmniej</w:t>
      </w:r>
      <w:r w:rsidRPr="00524971">
        <w:rPr>
          <w:szCs w:val="24"/>
          <w:lang w:eastAsia="en-US"/>
        </w:rPr>
        <w:t xml:space="preserve"> przyjąć podejście oparte na analizie ryzyka w odniesieniu do zarządzania potencjalnie zanieczyszczonymi terenami i terenami zanieczyszczonymi, z uwzględnieniem różnic między tymi dwiema kategoriami, i które umożliwiałoby przydział środków z uwzględnieniem szczególnego kontekstu środowiskowego, gospodarczego i społecznego. Decyzje należy podejmować </w:t>
      </w:r>
      <w:r w:rsidRPr="00524971">
        <w:rPr>
          <w:b/>
          <w:i/>
          <w:szCs w:val="24"/>
          <w:lang w:eastAsia="en-US"/>
        </w:rPr>
        <w:t xml:space="preserve">we współpracy z lokalnymi lekarzami, organami ochrony zdrowia i środowiskiem naukowym </w:t>
      </w:r>
      <w:r w:rsidRPr="00524971">
        <w:rPr>
          <w:szCs w:val="24"/>
          <w:lang w:eastAsia="en-US"/>
        </w:rPr>
        <w:t>w oparciu o charakter i zakres potencjalnych zagrożeń dla zdrowia ludzkiego i środowiska wynikających z narażenia na zanieczyszczenia gleb (np. narażenie grup szczególnie wrażliwych, takich jak kobiety w ciąży, osoby z niepełnosprawnościami, osoby starsze i dzieci)</w:t>
      </w:r>
      <w:r w:rsidRPr="00524971">
        <w:rPr>
          <w:b/>
          <w:i/>
          <w:szCs w:val="24"/>
          <w:lang w:eastAsia="en-US"/>
        </w:rPr>
        <w:t>, z uwzględnieniem ekspozycji oraz skumulowanych skutków dla zdrowia ludzkiego, ekosystemów glebowych i powiązanych usług ekosystemowych</w:t>
      </w:r>
      <w:r w:rsidRPr="00524971">
        <w:rPr>
          <w:szCs w:val="24"/>
          <w:lang w:eastAsia="en-US"/>
        </w:rPr>
        <w:t xml:space="preserve">. Ocena kosztów i korzyści podjęcia środków </w:t>
      </w:r>
      <w:proofErr w:type="spellStart"/>
      <w:r w:rsidRPr="00524971">
        <w:rPr>
          <w:szCs w:val="24"/>
          <w:lang w:eastAsia="en-US"/>
        </w:rPr>
        <w:t>remediacji</w:t>
      </w:r>
      <w:proofErr w:type="spellEnd"/>
      <w:r w:rsidRPr="00524971">
        <w:rPr>
          <w:szCs w:val="24"/>
          <w:lang w:eastAsia="en-US"/>
        </w:rPr>
        <w:t xml:space="preserve"> powinna być </w:t>
      </w:r>
      <w:proofErr w:type="spellStart"/>
      <w:r w:rsidRPr="00524971">
        <w:rPr>
          <w:strike/>
          <w:szCs w:val="24"/>
          <w:lang w:eastAsia="en-US"/>
        </w:rPr>
        <w:t>dodatnia</w:t>
      </w:r>
      <w:r w:rsidRPr="00524971">
        <w:rPr>
          <w:b/>
          <w:i/>
          <w:szCs w:val="24"/>
          <w:lang w:eastAsia="en-US"/>
        </w:rPr>
        <w:t>zrównoważona</w:t>
      </w:r>
      <w:proofErr w:type="spellEnd"/>
      <w:r w:rsidRPr="00524971">
        <w:rPr>
          <w:b/>
          <w:i/>
          <w:szCs w:val="24"/>
          <w:lang w:eastAsia="en-US"/>
        </w:rPr>
        <w:t>, przy czym należy uwzględniać korzyści dla przyszłych pokoleń</w:t>
      </w:r>
      <w:r w:rsidRPr="00524971">
        <w:rPr>
          <w:szCs w:val="24"/>
          <w:lang w:eastAsia="en-US"/>
        </w:rPr>
        <w:t xml:space="preserve">. Optymalne rozwiązanie w zakresie środków </w:t>
      </w:r>
      <w:proofErr w:type="spellStart"/>
      <w:r w:rsidRPr="00524971">
        <w:rPr>
          <w:szCs w:val="24"/>
          <w:lang w:eastAsia="en-US"/>
        </w:rPr>
        <w:t>remediacji</w:t>
      </w:r>
      <w:proofErr w:type="spellEnd"/>
      <w:r w:rsidRPr="00524971">
        <w:rPr>
          <w:szCs w:val="24"/>
          <w:lang w:eastAsia="en-US"/>
        </w:rPr>
        <w:t xml:space="preserve"> powinno być zrównoważone i wybrane w ramach zrównoważonego procesu decyzyjnego uwzględniającego skutki środowiskowe, gospodarcze i społeczne. Zarządzanie potencjalnie zanieczyszczonymi i zanieczyszczonymi terenami powinno być zgodne z zasadami „zanieczyszczający płaci”, ostrożności i proporcjonalności. Państwa członkowskie powinny określić szczegółową metodykę ustalania ryzyka związanego z zanieczyszczonymi terenami. Państwa członkowskie powinny również określić, co jest niedopuszczalnym zagrożeniem ze strony zanieczyszczonego terenu w oparciu o wiedzę naukową, zasadę ostrożności, </w:t>
      </w:r>
      <w:r w:rsidRPr="00524971">
        <w:rPr>
          <w:strike/>
          <w:szCs w:val="24"/>
          <w:lang w:eastAsia="en-US"/>
        </w:rPr>
        <w:t xml:space="preserve">specyfikę </w:t>
      </w:r>
      <w:proofErr w:type="spellStart"/>
      <w:r w:rsidRPr="00524971">
        <w:rPr>
          <w:strike/>
          <w:szCs w:val="24"/>
          <w:lang w:eastAsia="en-US"/>
        </w:rPr>
        <w:t>lokalną</w:t>
      </w:r>
      <w:r w:rsidRPr="00524971">
        <w:rPr>
          <w:b/>
          <w:i/>
          <w:szCs w:val="24"/>
          <w:lang w:eastAsia="en-US"/>
        </w:rPr>
        <w:t>opinię</w:t>
      </w:r>
      <w:proofErr w:type="spellEnd"/>
      <w:r w:rsidRPr="00524971">
        <w:rPr>
          <w:b/>
          <w:i/>
          <w:szCs w:val="24"/>
          <w:lang w:eastAsia="en-US"/>
        </w:rPr>
        <w:t xml:space="preserve"> organów ochrony zdrowia i lekarzy</w:t>
      </w:r>
      <w:r w:rsidRPr="00524971">
        <w:rPr>
          <w:szCs w:val="24"/>
          <w:lang w:eastAsia="en-US"/>
        </w:rPr>
        <w:t xml:space="preserve"> oraz obecne i przyszłe użytkowanie gruntów. W celu ograniczenia </w:t>
      </w:r>
      <w:r w:rsidRPr="00524971">
        <w:rPr>
          <w:strike/>
          <w:szCs w:val="24"/>
          <w:lang w:eastAsia="en-US"/>
        </w:rPr>
        <w:t xml:space="preserve">do poziomu dopuszczalnego dla zdrowia ludzkiego i środowiska </w:t>
      </w:r>
      <w:r w:rsidRPr="00524971">
        <w:rPr>
          <w:szCs w:val="24"/>
          <w:lang w:eastAsia="en-US"/>
        </w:rPr>
        <w:t>zagrożenia, jakie stwarzają zanieczyszczone tereny,</w:t>
      </w:r>
      <w:r w:rsidRPr="00524971">
        <w:rPr>
          <w:b/>
          <w:i/>
          <w:szCs w:val="24"/>
          <w:lang w:eastAsia="en-US"/>
        </w:rPr>
        <w:t xml:space="preserve"> do poziomu dopuszczalnego dla zdrowia ludzi i zwierząt oraz środowiska</w:t>
      </w:r>
      <w:r w:rsidRPr="00524971">
        <w:rPr>
          <w:szCs w:val="24"/>
          <w:lang w:eastAsia="en-US"/>
        </w:rPr>
        <w:t xml:space="preserve"> państwa członkowskie powinny wprowadzić odpowiednie środki zmniejszające ryzyko, </w:t>
      </w:r>
      <w:r w:rsidRPr="00524971">
        <w:rPr>
          <w:strike/>
          <w:szCs w:val="24"/>
          <w:lang w:eastAsia="en-US"/>
        </w:rPr>
        <w:t xml:space="preserve">w </w:t>
      </w:r>
      <w:proofErr w:type="spellStart"/>
      <w:r w:rsidRPr="00524971">
        <w:rPr>
          <w:strike/>
          <w:szCs w:val="24"/>
          <w:lang w:eastAsia="en-US"/>
        </w:rPr>
        <w:t>tym</w:t>
      </w:r>
      <w:r w:rsidRPr="00524971">
        <w:rPr>
          <w:b/>
          <w:i/>
          <w:szCs w:val="24"/>
          <w:lang w:eastAsia="en-US"/>
        </w:rPr>
        <w:t>jednocześnie</w:t>
      </w:r>
      <w:proofErr w:type="spellEnd"/>
      <w:r w:rsidRPr="00524971">
        <w:rPr>
          <w:b/>
          <w:i/>
          <w:szCs w:val="24"/>
          <w:lang w:eastAsia="en-US"/>
        </w:rPr>
        <w:t xml:space="preserve"> traktując priorytetowo</w:t>
      </w:r>
      <w:r w:rsidRPr="00524971">
        <w:rPr>
          <w:szCs w:val="24"/>
          <w:lang w:eastAsia="en-US"/>
        </w:rPr>
        <w:t xml:space="preserve"> środki </w:t>
      </w:r>
      <w:proofErr w:type="spellStart"/>
      <w:r w:rsidRPr="00524971">
        <w:rPr>
          <w:szCs w:val="24"/>
          <w:lang w:eastAsia="en-US"/>
        </w:rPr>
        <w:t>remediacji</w:t>
      </w:r>
      <w:proofErr w:type="spellEnd"/>
      <w:r w:rsidRPr="00524971">
        <w:rPr>
          <w:b/>
          <w:i/>
          <w:szCs w:val="24"/>
          <w:lang w:eastAsia="en-US"/>
        </w:rPr>
        <w:t xml:space="preserve"> in-situ lub ex-situ</w:t>
      </w:r>
      <w:r w:rsidRPr="00524971">
        <w:rPr>
          <w:szCs w:val="24"/>
          <w:lang w:eastAsia="en-US"/>
        </w:rPr>
        <w:t>. Powinna istnieć możliwość zakwalifikowania środków wprowadzonych na podstawie innych przepisów Unii jako środków zmniejszających ryzyko na mocy niniejszej dyrektywy, jeżeli środki te skutecznie zmniejszają ryzyko stwarzane przez zanieczyszczone tereny.</w:t>
      </w:r>
      <w:r w:rsidR="003430F6">
        <w:rPr>
          <w:b/>
          <w:szCs w:val="24"/>
          <w:lang w:eastAsia="en-US"/>
        </w:rPr>
        <w:t xml:space="preserve"> [Popr. 34]</w:t>
      </w:r>
    </w:p>
    <w:p w:rsidR="00524971" w:rsidRPr="003430F6" w:rsidRDefault="00524971" w:rsidP="003430F6">
      <w:pPr>
        <w:pageBreakBefore/>
        <w:spacing w:before="120" w:after="120" w:line="360" w:lineRule="auto"/>
        <w:ind w:left="851" w:hanging="851"/>
        <w:rPr>
          <w:b/>
          <w:szCs w:val="24"/>
          <w:lang w:eastAsia="en-US"/>
        </w:rPr>
      </w:pPr>
      <w:r w:rsidRPr="00524971">
        <w:rPr>
          <w:b/>
          <w:i/>
          <w:szCs w:val="24"/>
          <w:lang w:eastAsia="en-US"/>
        </w:rPr>
        <w:lastRenderedPageBreak/>
        <w:t>(46a</w:t>
      </w:r>
      <w:proofErr w:type="gramStart"/>
      <w:r w:rsidRPr="00524971">
        <w:rPr>
          <w:b/>
          <w:i/>
          <w:szCs w:val="24"/>
          <w:lang w:eastAsia="en-US"/>
        </w:rPr>
        <w:t>)</w:t>
      </w:r>
      <w:r w:rsidRPr="00524971">
        <w:rPr>
          <w:szCs w:val="24"/>
          <w:lang w:eastAsia="en-US"/>
        </w:rPr>
        <w:tab/>
      </w:r>
      <w:r w:rsidRPr="00524971">
        <w:rPr>
          <w:b/>
          <w:i/>
          <w:szCs w:val="24"/>
          <w:lang w:eastAsia="en-US"/>
        </w:rPr>
        <w:t>Zasady</w:t>
      </w:r>
      <w:proofErr w:type="gramEnd"/>
      <w:r w:rsidRPr="00524971">
        <w:rPr>
          <w:b/>
          <w:i/>
          <w:szCs w:val="24"/>
          <w:lang w:eastAsia="en-US"/>
        </w:rPr>
        <w:t xml:space="preserve"> łagodzenia skutków przejmowania gruntów powinny sprzyjać bezpieczeństwu żywnościowemu Unii, przy jednoczesnym uwzględnieniu projektów dotyczących zrównoważonego budownictwa mieszkaniowego, podstawowej infrastruktury i energii odnawialnej.</w:t>
      </w:r>
      <w:r w:rsidR="003430F6">
        <w:rPr>
          <w:b/>
          <w:szCs w:val="24"/>
          <w:lang w:eastAsia="en-US"/>
        </w:rPr>
        <w:t xml:space="preserve"> [Popr. 35]</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(47)</w:t>
      </w:r>
      <w:r w:rsidRPr="00524971">
        <w:rPr>
          <w:szCs w:val="24"/>
          <w:lang w:eastAsia="en-US"/>
        </w:rPr>
        <w:tab/>
        <w:t>Środki</w:t>
      </w:r>
      <w:proofErr w:type="gramEnd"/>
      <w:r w:rsidRPr="00524971">
        <w:rPr>
          <w:szCs w:val="24"/>
          <w:lang w:eastAsia="en-US"/>
        </w:rPr>
        <w:t xml:space="preserve"> podejmowane na podstawie niniejszej dyrektywy powinny również uwzględniać inne cele polityki UE, takie jak cele określone w [rozporządzeniu (UE) </w:t>
      </w:r>
      <w:proofErr w:type="spellStart"/>
      <w:r w:rsidRPr="00524971">
        <w:rPr>
          <w:szCs w:val="24"/>
          <w:lang w:eastAsia="en-US"/>
        </w:rPr>
        <w:t>xxxx</w:t>
      </w:r>
      <w:proofErr w:type="spellEnd"/>
      <w:r w:rsidRPr="00524971">
        <w:rPr>
          <w:szCs w:val="24"/>
          <w:lang w:eastAsia="en-US"/>
        </w:rPr>
        <w:t>/</w:t>
      </w:r>
      <w:proofErr w:type="spellStart"/>
      <w:r w:rsidRPr="00524971">
        <w:rPr>
          <w:szCs w:val="24"/>
          <w:lang w:eastAsia="en-US"/>
        </w:rPr>
        <w:t>xxxx</w:t>
      </w:r>
      <w:proofErr w:type="spellEnd"/>
      <w:r w:rsidRPr="00524971">
        <w:rPr>
          <w:szCs w:val="24"/>
          <w:vertAlign w:val="superscript"/>
          <w:lang w:val="en-GB" w:eastAsia="en-US"/>
        </w:rPr>
        <w:footnoteReference w:id="40"/>
      </w:r>
      <w:r w:rsidRPr="00524971">
        <w:rPr>
          <w:szCs w:val="24"/>
          <w:lang w:eastAsia="en-US"/>
        </w:rPr>
        <w:t>+], które mają zapewnić bezpieczne i zrównoważone dostawy surowców krytycznych dla europejskiego przemysłu.</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(48)</w:t>
      </w:r>
      <w:r w:rsidRPr="00524971">
        <w:rPr>
          <w:szCs w:val="24"/>
          <w:lang w:eastAsia="en-US"/>
        </w:rPr>
        <w:tab/>
        <w:t>Przejrzystość</w:t>
      </w:r>
      <w:proofErr w:type="gramEnd"/>
      <w:r w:rsidRPr="00524971">
        <w:rPr>
          <w:szCs w:val="24"/>
          <w:lang w:eastAsia="en-US"/>
        </w:rPr>
        <w:t xml:space="preserve"> jest zasadniczym elementem polityki dotyczącej gleb i zapewnia odpowiedzialność publiczną oraz świadomość społeczną, uczciwe warunki rynkowe i monitorowanie postępów. W związku z tym państwa członkowskie powinny utworzyć i prowadzić krajowy rejestr zanieczyszczonych terenów i potencjalnie zanieczyszczonych terenów, zawierający informacje dotyczące konkretnego miejsca, który powinien być publicznie dostępny w internetowej bazie danych przestrzennych zawierającej odniesienia geograficzne. Rejestr powinien zawierać informacje niezbędne do informowania społeczeństwa o istnieniu potencjalnie zanieczyszczonych terenów i zanieczyszczonych terenów oraz o zarządzaniu nimi. Ponieważ występowanie zanieczyszczenia gleb nie zostało jeszcze potwierdzone, a jedynie na potencjalnie zanieczyszczonych terenach występuje takie podejrzenie, należy odpowiednio poinformować o różnicy między zanieczyszczonymi a potencjalnie zanieczyszczonymi terenami, aby uniknąć niepotrzebnych obaw.</w:t>
      </w:r>
    </w:p>
    <w:p w:rsidR="003430F6" w:rsidRDefault="003430F6">
      <w:pPr>
        <w:widowControl/>
        <w:rPr>
          <w:b/>
          <w:i/>
          <w:szCs w:val="24"/>
          <w:lang w:eastAsia="en-US"/>
        </w:rPr>
      </w:pPr>
      <w:r>
        <w:rPr>
          <w:b/>
          <w:i/>
          <w:szCs w:val="24"/>
          <w:lang w:eastAsia="en-US"/>
        </w:rPr>
        <w:br w:type="page"/>
      </w:r>
    </w:p>
    <w:p w:rsidR="00524971" w:rsidRPr="003430F6" w:rsidRDefault="00524971" w:rsidP="00524971">
      <w:pPr>
        <w:spacing w:before="120" w:after="120" w:line="360" w:lineRule="auto"/>
        <w:ind w:left="850" w:hanging="850"/>
        <w:rPr>
          <w:b/>
          <w:szCs w:val="24"/>
          <w:lang w:eastAsia="en-US"/>
        </w:rPr>
      </w:pPr>
      <w:r w:rsidRPr="00524971">
        <w:rPr>
          <w:b/>
          <w:i/>
          <w:szCs w:val="24"/>
          <w:lang w:eastAsia="en-US"/>
        </w:rPr>
        <w:lastRenderedPageBreak/>
        <w:t>(48a</w:t>
      </w:r>
      <w:proofErr w:type="gramStart"/>
      <w:r w:rsidRPr="00524971">
        <w:rPr>
          <w:b/>
          <w:i/>
          <w:szCs w:val="24"/>
          <w:lang w:eastAsia="en-US"/>
        </w:rPr>
        <w:t>)</w:t>
      </w:r>
      <w:r w:rsidRPr="00524971">
        <w:rPr>
          <w:szCs w:val="24"/>
          <w:lang w:eastAsia="en-US"/>
        </w:rPr>
        <w:tab/>
      </w:r>
      <w:r w:rsidRPr="00524971">
        <w:rPr>
          <w:b/>
          <w:i/>
          <w:szCs w:val="24"/>
          <w:lang w:eastAsia="en-US"/>
        </w:rPr>
        <w:t>W</w:t>
      </w:r>
      <w:proofErr w:type="gramEnd"/>
      <w:r w:rsidRPr="00524971">
        <w:rPr>
          <w:b/>
          <w:i/>
          <w:szCs w:val="24"/>
          <w:lang w:eastAsia="en-US"/>
        </w:rPr>
        <w:t xml:space="preserve"> celu ochrony gleby przed zanieczyszczeniem pojawiającymi się chemikaliami, które mogą powodować poważne zagrożenie dla zdrowia ludzi i zwierząt i zanieczyszczać otaczające powietrze, wody powierzchniowe, wody gruntowe, a następnie oceany, należy ustanowić mechanizmy polityczne służące wykrywaniu i ocenie takich budzących obawy substancji. W związku z tym w odniesieniu do zanieczyszczenia gleby należy opracować podejście umożliwiające monitorowanie i analizę tych substancji lub grup substancji za pośrednictwem list obserwacyjnych, tak jak ma to już miejsce w przypadku wód powierzchniowych i gruntowych. Substancje lub grupy substancji, które mają zostać umieszczone na liście obserwacyjnej, powinny być wybierane spośród tych substancji, w przypadku których dostępne informacje wskazują, że mogłyby one stanowić na poziomie Unii znaczne ryzyko dla środowiska glebowego lub za jego pośrednictwem, i w przypadku których dane z monitorowania są niewystarczające. Liczba takich substancji lub grup substancji, które mają być monitorowane i analizowane na podstawie list obserwacyjnych, nie powinna być ograniczona.</w:t>
      </w:r>
      <w:r w:rsidR="003430F6">
        <w:rPr>
          <w:b/>
          <w:szCs w:val="24"/>
          <w:lang w:eastAsia="en-US"/>
        </w:rPr>
        <w:t xml:space="preserve"> [Popr. 37]</w:t>
      </w:r>
    </w:p>
    <w:p w:rsidR="003430F6" w:rsidRDefault="003430F6">
      <w:pPr>
        <w:widowControl/>
        <w:rPr>
          <w:b/>
          <w:i/>
          <w:szCs w:val="24"/>
          <w:lang w:eastAsia="en-US"/>
        </w:rPr>
      </w:pPr>
      <w:r>
        <w:rPr>
          <w:b/>
          <w:i/>
          <w:szCs w:val="24"/>
          <w:lang w:eastAsia="en-US"/>
        </w:rPr>
        <w:br w:type="page"/>
      </w:r>
    </w:p>
    <w:p w:rsidR="00524971" w:rsidRPr="003430F6" w:rsidRDefault="00524971" w:rsidP="00524971">
      <w:pPr>
        <w:spacing w:before="120" w:after="120" w:line="360" w:lineRule="auto"/>
        <w:ind w:left="850" w:hanging="850"/>
        <w:rPr>
          <w:b/>
          <w:szCs w:val="24"/>
          <w:lang w:eastAsia="en-US"/>
        </w:rPr>
      </w:pPr>
      <w:r w:rsidRPr="00524971">
        <w:rPr>
          <w:b/>
          <w:i/>
          <w:szCs w:val="24"/>
          <w:lang w:eastAsia="en-US"/>
        </w:rPr>
        <w:lastRenderedPageBreak/>
        <w:t>(48b</w:t>
      </w:r>
      <w:proofErr w:type="gramStart"/>
      <w:r w:rsidRPr="00524971">
        <w:rPr>
          <w:b/>
          <w:i/>
          <w:szCs w:val="24"/>
          <w:lang w:eastAsia="en-US"/>
        </w:rPr>
        <w:t>)</w:t>
      </w:r>
      <w:r w:rsidRPr="00524971">
        <w:rPr>
          <w:szCs w:val="24"/>
          <w:lang w:eastAsia="en-US"/>
        </w:rPr>
        <w:tab/>
      </w:r>
      <w:r w:rsidRPr="00524971">
        <w:rPr>
          <w:b/>
          <w:i/>
          <w:szCs w:val="24"/>
          <w:lang w:eastAsia="en-US"/>
        </w:rPr>
        <w:t>Substancje</w:t>
      </w:r>
      <w:proofErr w:type="gramEnd"/>
      <w:r w:rsidRPr="00524971">
        <w:rPr>
          <w:b/>
          <w:i/>
          <w:szCs w:val="24"/>
          <w:lang w:eastAsia="en-US"/>
        </w:rPr>
        <w:t xml:space="preserve"> takie jak trwałe zanieczyszczenia organiczne, materiały i cząstki, w tym </w:t>
      </w:r>
      <w:proofErr w:type="spellStart"/>
      <w:r w:rsidRPr="00524971">
        <w:rPr>
          <w:b/>
          <w:i/>
          <w:szCs w:val="24"/>
          <w:lang w:eastAsia="en-US"/>
        </w:rPr>
        <w:t>mikrodrobiny</w:t>
      </w:r>
      <w:proofErr w:type="spellEnd"/>
      <w:r w:rsidRPr="00524971">
        <w:rPr>
          <w:b/>
          <w:i/>
          <w:szCs w:val="24"/>
          <w:lang w:eastAsia="en-US"/>
        </w:rPr>
        <w:t xml:space="preserve"> plastiku lub </w:t>
      </w:r>
      <w:proofErr w:type="spellStart"/>
      <w:r w:rsidRPr="00524971">
        <w:rPr>
          <w:b/>
          <w:i/>
          <w:szCs w:val="24"/>
          <w:lang w:eastAsia="en-US"/>
        </w:rPr>
        <w:t>nanodrobiny</w:t>
      </w:r>
      <w:proofErr w:type="spellEnd"/>
      <w:r w:rsidRPr="00524971">
        <w:rPr>
          <w:b/>
          <w:i/>
          <w:szCs w:val="24"/>
          <w:lang w:eastAsia="en-US"/>
        </w:rPr>
        <w:t xml:space="preserve"> plastiku, stanowią wyraźne zagrożenie nie tylko dla zdrowia gleb, ale także dla istotnych działań, takich jak rozwój rolnictwa. Ich obecność w glebie może mieć wpływ na jej żyzność, zagrażając tym samym zdrowiu i prawidłowemu rozwojowi upraw. Istotne jest zatem, aby niniejsza dyrektywa przewidywała ramy dla substancji i materiałów, które mają być objęte monitorowaniem zanieczyszczeń gleby, jak również ustanowienie środowiskowych norm jakości oraz zestawu środków mających zapobiegać zanieczyszczeniom gleby, które wynikają ze znanych i pojawiających się zagrożeń, i służyć, w stosownych przypadkach, usuwaniu takich zanieczyszczeń.</w:t>
      </w:r>
      <w:r w:rsidR="003430F6">
        <w:rPr>
          <w:b/>
          <w:szCs w:val="24"/>
          <w:lang w:eastAsia="en-US"/>
        </w:rPr>
        <w:t xml:space="preserve"> [Popr. 38]</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(49)</w:t>
      </w:r>
      <w:r w:rsidRPr="00524971">
        <w:rPr>
          <w:szCs w:val="24"/>
          <w:lang w:eastAsia="en-US"/>
        </w:rPr>
        <w:tab/>
        <w:t>Art</w:t>
      </w:r>
      <w:proofErr w:type="gramEnd"/>
      <w:r w:rsidRPr="00524971">
        <w:rPr>
          <w:szCs w:val="24"/>
          <w:lang w:eastAsia="en-US"/>
        </w:rPr>
        <w:t>. 19 ust. 1 Traktatu o Unii Europejskiej (TUE) zobowiązuje państwa członkowskie do ustanowienia środków niezbędnych do zapewnienia skutecznej ochrony sądowej w dziedzinach objętych prawem Unii. W związku z tym zgodnie z Konwencją o dostępie do informacji, udziale społeczeństwa w podejmowaniu decyzji oraz dostępie do sprawiedliwości w sprawach dotyczących środowiska</w:t>
      </w:r>
      <w:r w:rsidRPr="00524971">
        <w:rPr>
          <w:szCs w:val="24"/>
          <w:vertAlign w:val="superscript"/>
          <w:lang w:val="en-GB" w:eastAsia="en-US"/>
        </w:rPr>
        <w:footnoteReference w:id="41"/>
      </w:r>
      <w:r w:rsidRPr="00524971">
        <w:rPr>
          <w:szCs w:val="24"/>
          <w:lang w:eastAsia="en-US"/>
        </w:rPr>
        <w:t xml:space="preserve"> (konwencja z </w:t>
      </w:r>
      <w:proofErr w:type="spellStart"/>
      <w:r w:rsidRPr="00524971">
        <w:rPr>
          <w:szCs w:val="24"/>
          <w:lang w:eastAsia="en-US"/>
        </w:rPr>
        <w:t>Aarhus</w:t>
      </w:r>
      <w:proofErr w:type="spellEnd"/>
      <w:r w:rsidRPr="00524971">
        <w:rPr>
          <w:szCs w:val="24"/>
          <w:lang w:eastAsia="en-US"/>
        </w:rPr>
        <w:t>) członkowie zainteresowanej społeczności powinni mieć dostęp do wymiaru sprawiedliwości, aby mogli przyczynić się do ochrony prawa do życia w środowisku, które jest odpowiednie dla zdrowia i ogólnego dobrostanu.</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(50)</w:t>
      </w:r>
      <w:r w:rsidRPr="00524971">
        <w:rPr>
          <w:szCs w:val="24"/>
          <w:lang w:eastAsia="en-US"/>
        </w:rPr>
        <w:tab/>
        <w:t>Dyrektywa</w:t>
      </w:r>
      <w:proofErr w:type="gramEnd"/>
      <w:r w:rsidRPr="00524971">
        <w:rPr>
          <w:szCs w:val="24"/>
          <w:lang w:eastAsia="en-US"/>
        </w:rPr>
        <w:t xml:space="preserve"> Parlamentu Europejskiego i Rady (UE) 2019/1024</w:t>
      </w:r>
      <w:r w:rsidRPr="00524971">
        <w:rPr>
          <w:szCs w:val="24"/>
          <w:vertAlign w:val="superscript"/>
          <w:lang w:val="en-GB" w:eastAsia="en-US"/>
        </w:rPr>
        <w:footnoteReference w:id="42"/>
      </w:r>
      <w:r w:rsidRPr="00524971">
        <w:rPr>
          <w:szCs w:val="24"/>
          <w:lang w:eastAsia="en-US"/>
        </w:rPr>
        <w:t xml:space="preserve"> upoważnia do udostępniania danych sektora publicznego w bezpłatnych i otwartych formatach. Głównym celem jest dalsze wzmacnianie unijnej gospodarki opartej na danych poprzez zwiększenie ilości</w:t>
      </w:r>
      <w:r w:rsidRPr="00524971">
        <w:rPr>
          <w:b/>
          <w:i/>
          <w:szCs w:val="24"/>
          <w:lang w:eastAsia="en-US"/>
        </w:rPr>
        <w:t xml:space="preserve"> </w:t>
      </w:r>
      <w:proofErr w:type="spellStart"/>
      <w:r w:rsidRPr="00524971">
        <w:rPr>
          <w:b/>
          <w:i/>
          <w:szCs w:val="24"/>
          <w:lang w:eastAsia="en-US"/>
        </w:rPr>
        <w:t>interoperacyjnych</w:t>
      </w:r>
      <w:proofErr w:type="spellEnd"/>
      <w:r w:rsidRPr="00524971">
        <w:rPr>
          <w:szCs w:val="24"/>
          <w:lang w:eastAsia="en-US"/>
        </w:rPr>
        <w:t xml:space="preserve"> danych sektora publicznego dostępnych do ponownego wykorzystania, zapewnienie uczciwej konkurencji i łatwego dostępu do rynków powstałych w oparciu o informacje sektora publicznego, a także zwiększenie skali transgranicznych innowacji opartych na danych</w:t>
      </w:r>
      <w:r w:rsidRPr="00524971">
        <w:rPr>
          <w:strike/>
          <w:szCs w:val="24"/>
          <w:lang w:eastAsia="en-US"/>
        </w:rPr>
        <w:t>. Główną zasadą jest to, że dane rządowe powinny przestrzegać zasady otwartości w fazie projektowania i otwartości domyślnej</w:t>
      </w:r>
      <w:r w:rsidRPr="00524971">
        <w:rPr>
          <w:szCs w:val="24"/>
          <w:lang w:eastAsia="en-US"/>
        </w:rPr>
        <w:t>. Dyrektywa 2003/4/WE Parlamentu Europejskiego i Rady</w:t>
      </w:r>
      <w:r w:rsidRPr="00524971">
        <w:rPr>
          <w:szCs w:val="24"/>
          <w:vertAlign w:val="superscript"/>
          <w:lang w:val="en-GB" w:eastAsia="en-US"/>
        </w:rPr>
        <w:footnoteReference w:id="43"/>
      </w:r>
      <w:r w:rsidRPr="00524971">
        <w:rPr>
          <w:szCs w:val="24"/>
          <w:lang w:eastAsia="en-US"/>
        </w:rPr>
        <w:t xml:space="preserve"> ma na celu zapewnienie prawa dostępu do informacji o środowisku w państwach członkowskich zgodnie z Konwencją z </w:t>
      </w:r>
      <w:proofErr w:type="spellStart"/>
      <w:r w:rsidRPr="00524971">
        <w:rPr>
          <w:szCs w:val="24"/>
          <w:lang w:eastAsia="en-US"/>
        </w:rPr>
        <w:t>Aarhus</w:t>
      </w:r>
      <w:proofErr w:type="spellEnd"/>
      <w:r w:rsidRPr="00524971">
        <w:rPr>
          <w:szCs w:val="24"/>
          <w:lang w:eastAsia="en-US"/>
        </w:rPr>
        <w:t xml:space="preserve">. Konwencja z </w:t>
      </w:r>
      <w:proofErr w:type="spellStart"/>
      <w:r w:rsidRPr="00524971">
        <w:rPr>
          <w:szCs w:val="24"/>
          <w:lang w:eastAsia="en-US"/>
        </w:rPr>
        <w:t>Aarhus</w:t>
      </w:r>
      <w:proofErr w:type="spellEnd"/>
      <w:r w:rsidRPr="00524971">
        <w:rPr>
          <w:szCs w:val="24"/>
          <w:lang w:eastAsia="en-US"/>
        </w:rPr>
        <w:t xml:space="preserve"> i dyrektywa 2003/4/WE obejmują szeroki zakres zobowiązań związanych zarówno z udostępnianiem na wniosek informacji o środowisku, jak i z aktywnym rozpowszechnianiem takich informacji. Dyrektywa 2007/2/WE Parlamentu Europejskiego i Rady</w:t>
      </w:r>
      <w:r w:rsidRPr="00524971">
        <w:rPr>
          <w:szCs w:val="24"/>
          <w:vertAlign w:val="superscript"/>
          <w:lang w:val="en-GB" w:eastAsia="en-US"/>
        </w:rPr>
        <w:footnoteReference w:id="44"/>
      </w:r>
      <w:r w:rsidRPr="00524971">
        <w:rPr>
          <w:szCs w:val="24"/>
          <w:lang w:eastAsia="en-US"/>
        </w:rPr>
        <w:t xml:space="preserve"> ma również szeroki zakres stosowania, obejmujący rozpowszechnianie informacji przestrzennych, w tym również zbiorów danych dotyczących różnych zagadnień z zakresu środowiska. Ważne jest, aby przepisy niniejszej dyrektywy dotyczące dostępu do informacji oraz zasady dotyczące wymiany danych stanowiły uzupełnienie tych dyrektyw, a nie tworzyły odrębny system prawny. Dlatego też przepisy niniejszej dyrektywy dotyczące informowania społeczeństwa oraz informacji o monitorowaniu procesu wdrażania powinny pozostać bez uszczerbku dla dyrektyw (UE) 2019/1024, 2003/4/WE i 2007/2/WE.</w:t>
      </w:r>
      <w:r w:rsidR="003430F6">
        <w:rPr>
          <w:b/>
          <w:szCs w:val="24"/>
          <w:lang w:eastAsia="en-US"/>
        </w:rPr>
        <w:t xml:space="preserve"> [Popr. 39]</w:t>
      </w:r>
    </w:p>
    <w:p w:rsidR="003430F6" w:rsidRDefault="003430F6">
      <w:pPr>
        <w:widowControl/>
        <w:rPr>
          <w:szCs w:val="24"/>
          <w:lang w:eastAsia="en-US"/>
        </w:rPr>
      </w:pPr>
      <w:r>
        <w:rPr>
          <w:szCs w:val="24"/>
          <w:lang w:eastAsia="en-US"/>
        </w:rPr>
        <w:br w:type="page"/>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(51)</w:t>
      </w:r>
      <w:r w:rsidRPr="00524971">
        <w:rPr>
          <w:szCs w:val="24"/>
          <w:lang w:eastAsia="en-US"/>
        </w:rPr>
        <w:tab/>
        <w:t>W</w:t>
      </w:r>
      <w:proofErr w:type="gramEnd"/>
      <w:r w:rsidRPr="00524971">
        <w:rPr>
          <w:szCs w:val="24"/>
          <w:lang w:eastAsia="en-US"/>
        </w:rPr>
        <w:t xml:space="preserve"> celu zapewnienia niezbędnego dostosowania przepisów dotyczących monitorowania zdrowia gleb, </w:t>
      </w:r>
      <w:r w:rsidRPr="00524971">
        <w:rPr>
          <w:strike/>
          <w:szCs w:val="24"/>
          <w:lang w:eastAsia="en-US"/>
        </w:rPr>
        <w:t xml:space="preserve">zrównoważonego gospodarowania </w:t>
      </w:r>
      <w:proofErr w:type="spellStart"/>
      <w:r w:rsidRPr="00524971">
        <w:rPr>
          <w:strike/>
          <w:szCs w:val="24"/>
          <w:lang w:eastAsia="en-US"/>
        </w:rPr>
        <w:t>glebami</w:t>
      </w:r>
      <w:r w:rsidRPr="00524971">
        <w:rPr>
          <w:b/>
          <w:i/>
          <w:szCs w:val="24"/>
          <w:lang w:eastAsia="en-US"/>
        </w:rPr>
        <w:t>oceny</w:t>
      </w:r>
      <w:proofErr w:type="spellEnd"/>
      <w:r w:rsidRPr="00524971">
        <w:rPr>
          <w:b/>
          <w:i/>
          <w:szCs w:val="24"/>
          <w:lang w:eastAsia="en-US"/>
        </w:rPr>
        <w:t xml:space="preserve"> zanieczyszczonych terenów</w:t>
      </w:r>
      <w:r w:rsidRPr="00524971">
        <w:rPr>
          <w:szCs w:val="24"/>
          <w:lang w:eastAsia="en-US"/>
        </w:rPr>
        <w:t xml:space="preserve"> i zarządzania </w:t>
      </w:r>
      <w:r w:rsidRPr="00524971">
        <w:rPr>
          <w:strike/>
          <w:szCs w:val="24"/>
          <w:lang w:eastAsia="en-US"/>
        </w:rPr>
        <w:t xml:space="preserve">zanieczyszczonymi </w:t>
      </w:r>
      <w:proofErr w:type="spellStart"/>
      <w:r w:rsidRPr="00524971">
        <w:rPr>
          <w:strike/>
          <w:szCs w:val="24"/>
          <w:lang w:eastAsia="en-US"/>
        </w:rPr>
        <w:t>terenami</w:t>
      </w:r>
      <w:r w:rsidRPr="00524971">
        <w:rPr>
          <w:b/>
          <w:i/>
          <w:szCs w:val="24"/>
          <w:lang w:eastAsia="en-US"/>
        </w:rPr>
        <w:t>nimi</w:t>
      </w:r>
      <w:proofErr w:type="spellEnd"/>
      <w:r w:rsidRPr="00524971">
        <w:rPr>
          <w:szCs w:val="24"/>
          <w:lang w:eastAsia="en-US"/>
        </w:rPr>
        <w:t xml:space="preserve"> należy przekazać Komisji uprawnienia do przyjmowania aktów zgodnie z art. 290 Traktatu o funkcjonowaniu Unii Europejskiej w odniesieniu do zmiany </w:t>
      </w:r>
      <w:r w:rsidRPr="00524971">
        <w:rPr>
          <w:b/>
          <w:i/>
          <w:szCs w:val="24"/>
          <w:lang w:eastAsia="en-US"/>
        </w:rPr>
        <w:t xml:space="preserve">lub uzupełnienia </w:t>
      </w:r>
      <w:r w:rsidRPr="00524971">
        <w:rPr>
          <w:szCs w:val="24"/>
          <w:lang w:eastAsia="en-US"/>
        </w:rPr>
        <w:t xml:space="preserve">niniejszej dyrektywy </w:t>
      </w:r>
      <w:r w:rsidRPr="00524971">
        <w:rPr>
          <w:strike/>
          <w:szCs w:val="24"/>
          <w:lang w:eastAsia="en-US"/>
        </w:rPr>
        <w:t xml:space="preserve">w </w:t>
      </w:r>
      <w:proofErr w:type="spellStart"/>
      <w:r w:rsidRPr="00524971">
        <w:rPr>
          <w:strike/>
          <w:szCs w:val="24"/>
          <w:lang w:eastAsia="en-US"/>
        </w:rPr>
        <w:t>celu</w:t>
      </w:r>
      <w:r w:rsidRPr="00524971">
        <w:rPr>
          <w:b/>
          <w:i/>
          <w:szCs w:val="24"/>
          <w:lang w:eastAsia="en-US"/>
        </w:rPr>
        <w:t>przez</w:t>
      </w:r>
      <w:proofErr w:type="spellEnd"/>
      <w:r w:rsidRPr="00524971">
        <w:rPr>
          <w:b/>
          <w:i/>
          <w:szCs w:val="24"/>
          <w:lang w:eastAsia="en-US"/>
        </w:rPr>
        <w:t xml:space="preserve"> przyjęcie metodyki ustalania wartości progowych dla wskaźników glebowych, które mają zostać ustanowione przez państwa członkowskie, oraz</w:t>
      </w:r>
      <w:r w:rsidRPr="00524971">
        <w:rPr>
          <w:szCs w:val="24"/>
          <w:lang w:eastAsia="en-US"/>
        </w:rPr>
        <w:t xml:space="preserve"> dostosowania do postępu naukowo-technicznego metod monitorowania zdrowia gleb</w:t>
      </w:r>
      <w:r w:rsidRPr="00524971">
        <w:rPr>
          <w:strike/>
          <w:szCs w:val="24"/>
          <w:lang w:eastAsia="en-US"/>
        </w:rPr>
        <w:t>, wykazu zasad zrównoważonego gospodarowania glebami</w:t>
      </w:r>
      <w:r w:rsidRPr="00524971">
        <w:rPr>
          <w:szCs w:val="24"/>
          <w:lang w:eastAsia="en-US"/>
        </w:rPr>
        <w:t xml:space="preserve">, orientacyjnego wykazu środków zmniejszających ryzyko, etapów i wymogów dotyczących oceny ryzyka określonej dla danego terenu oraz </w:t>
      </w:r>
      <w:r w:rsidRPr="00524971">
        <w:rPr>
          <w:strike/>
          <w:szCs w:val="24"/>
          <w:lang w:eastAsia="en-US"/>
        </w:rPr>
        <w:t xml:space="preserve">zawartości rejestru zanieczyszczonych i </w:t>
      </w:r>
      <w:proofErr w:type="spellStart"/>
      <w:r w:rsidRPr="00524971">
        <w:rPr>
          <w:strike/>
          <w:szCs w:val="24"/>
          <w:lang w:eastAsia="en-US"/>
        </w:rPr>
        <w:t>potencjalnie</w:t>
      </w:r>
      <w:r w:rsidRPr="00524971">
        <w:rPr>
          <w:b/>
          <w:i/>
          <w:szCs w:val="24"/>
          <w:lang w:eastAsia="en-US"/>
        </w:rPr>
        <w:t>ustanowienia</w:t>
      </w:r>
      <w:proofErr w:type="spellEnd"/>
      <w:r w:rsidRPr="00524971">
        <w:rPr>
          <w:b/>
          <w:i/>
          <w:szCs w:val="24"/>
          <w:lang w:eastAsia="en-US"/>
        </w:rPr>
        <w:t xml:space="preserve"> minimalnych akceptowalnych wartości w odniesieniu do definicji niedopuszczalnego ryzyka dla zdrowia i środowiska wynikającego z</w:t>
      </w:r>
      <w:r w:rsidRPr="00524971">
        <w:rPr>
          <w:szCs w:val="24"/>
          <w:lang w:eastAsia="en-US"/>
        </w:rPr>
        <w:t xml:space="preserve"> zanieczyszczonych terenów.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524971">
        <w:rPr>
          <w:szCs w:val="24"/>
          <w:vertAlign w:val="superscript"/>
          <w:lang w:val="en-GB" w:eastAsia="en-US"/>
        </w:rPr>
        <w:footnoteReference w:id="45"/>
      </w:r>
      <w:r w:rsidRPr="00524971">
        <w:rPr>
          <w:szCs w:val="24"/>
          <w:lang w:eastAsia="en-US"/>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r w:rsidR="003430F6">
        <w:rPr>
          <w:b/>
          <w:szCs w:val="24"/>
          <w:lang w:eastAsia="en-US"/>
        </w:rPr>
        <w:t xml:space="preserve"> [Popr. 40]</w:t>
      </w:r>
    </w:p>
    <w:p w:rsidR="003430F6" w:rsidRDefault="003430F6">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(52)</w:t>
      </w:r>
      <w:r w:rsidRPr="00524971">
        <w:rPr>
          <w:szCs w:val="24"/>
          <w:lang w:eastAsia="en-US"/>
        </w:rPr>
        <w:tab/>
        <w:t>W</w:t>
      </w:r>
      <w:proofErr w:type="gramEnd"/>
      <w:r w:rsidRPr="00524971">
        <w:rPr>
          <w:szCs w:val="24"/>
          <w:lang w:eastAsia="en-US"/>
        </w:rPr>
        <w:t xml:space="preserve"> celu zapewnienia jednolitych warunków wykonywania niniejszej dyrektywy uprawnienia wykonawcze należy powierzyć Komisji w celu określenia formatu, struktury i szczegółowych ustaleń dotyczących przekazywania Komisji danych i informacji drogą elektroniczną. Uprawnienia te powinny być wykonywane zgodnie z rozporządzeniem Parlamentu Europejskiego i Rady (UE) nr 182/2011</w:t>
      </w:r>
      <w:r w:rsidRPr="00524971">
        <w:rPr>
          <w:szCs w:val="24"/>
          <w:vertAlign w:val="superscript"/>
          <w:lang w:val="en-GB" w:eastAsia="en-US"/>
        </w:rPr>
        <w:footnoteReference w:id="46"/>
      </w:r>
      <w:r w:rsidRPr="00524971">
        <w:rPr>
          <w:szCs w:val="24"/>
          <w:lang w:eastAsia="en-US"/>
        </w:rPr>
        <w:t>.</w:t>
      </w:r>
    </w:p>
    <w:p w:rsidR="00524971" w:rsidRPr="003430F6" w:rsidRDefault="00524971" w:rsidP="00524971">
      <w:pPr>
        <w:spacing w:before="120" w:after="120" w:line="360" w:lineRule="auto"/>
        <w:ind w:left="850" w:hanging="850"/>
        <w:rPr>
          <w:b/>
          <w:szCs w:val="24"/>
          <w:lang w:eastAsia="en-US"/>
        </w:rPr>
      </w:pPr>
      <w:proofErr w:type="gramStart"/>
      <w:r w:rsidRPr="00524971">
        <w:rPr>
          <w:szCs w:val="24"/>
          <w:lang w:eastAsia="en-US"/>
        </w:rPr>
        <w:t>(53)</w:t>
      </w:r>
      <w:r w:rsidRPr="00524971">
        <w:rPr>
          <w:szCs w:val="24"/>
          <w:lang w:eastAsia="en-US"/>
        </w:rPr>
        <w:tab/>
        <w:t>Komisja</w:t>
      </w:r>
      <w:proofErr w:type="gramEnd"/>
      <w:r w:rsidRPr="00524971">
        <w:rPr>
          <w:szCs w:val="24"/>
          <w:lang w:eastAsia="en-US"/>
        </w:rPr>
        <w:t xml:space="preserve"> powinna przeprowadzić opartą na dowodach ocenę oraz, w stosownych przypadkach, dokonać przeglądu niniejszej dyrektywy sześć lat po jej wejściu w życie na podstawie wyników oceny zdrowia gleb. W ocenie należy w szczególności zbadać </w:t>
      </w:r>
      <w:r w:rsidRPr="00524971">
        <w:rPr>
          <w:strike/>
          <w:szCs w:val="24"/>
          <w:lang w:eastAsia="en-US"/>
        </w:rPr>
        <w:t xml:space="preserve">potrzebę ustanowienia bardziej szczegółowych wymogów, aby zadbać o regenerację niezdrowych gleb oraz osiągnąć cel, jakim jest </w:t>
      </w:r>
      <w:proofErr w:type="spellStart"/>
      <w:r w:rsidRPr="00524971">
        <w:rPr>
          <w:strike/>
          <w:szCs w:val="24"/>
          <w:lang w:eastAsia="en-US"/>
        </w:rPr>
        <w:t>uzyskanie</w:t>
      </w:r>
      <w:r w:rsidRPr="00524971">
        <w:rPr>
          <w:b/>
          <w:i/>
          <w:szCs w:val="24"/>
          <w:lang w:eastAsia="en-US"/>
        </w:rPr>
        <w:t>luki</w:t>
      </w:r>
      <w:proofErr w:type="spellEnd"/>
      <w:r w:rsidRPr="00524971">
        <w:rPr>
          <w:b/>
          <w:i/>
          <w:szCs w:val="24"/>
          <w:lang w:eastAsia="en-US"/>
        </w:rPr>
        <w:t xml:space="preserve"> i środki potrzebne do uzyskania</w:t>
      </w:r>
      <w:r w:rsidRPr="00524971">
        <w:rPr>
          <w:szCs w:val="24"/>
          <w:lang w:eastAsia="en-US"/>
        </w:rPr>
        <w:t xml:space="preserve"> zdrowych gleb do 2050 r. Ocena powinna również obejmować potrzebę dostosowania definicji zdrowych gleb do postępu naukowo-technicznego przez dodanie przepisów dotyczących niektórych wskaźników lub kryteriów opartych na nowych dowodach naukowych odnoszących się do ochrony gleb lub ze względu na specyficzny problem państwa członkowskiego wynikający z nowych warunków środowiskowych lub klimatycznych. Zgodnie z pkt 22 Porozumienia międzyinstytucjonalnego w sprawie lepszego stanowienia prawa ocena ta powinna opierać się na następujących kryteriach: skuteczności, efektywności, odpowiedniości, spójności i unijnej wartości dodanej oraz powinna służyć jako podstawa oceny skutków ewentualnych dalszych działań.</w:t>
      </w:r>
      <w:r w:rsidR="003430F6">
        <w:rPr>
          <w:b/>
          <w:szCs w:val="24"/>
          <w:lang w:eastAsia="en-US"/>
        </w:rPr>
        <w:t xml:space="preserve"> [Popr. 41]</w:t>
      </w:r>
    </w:p>
    <w:p w:rsidR="003430F6" w:rsidRDefault="003430F6">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(54)</w:t>
      </w:r>
      <w:r w:rsidRPr="00524971">
        <w:rPr>
          <w:szCs w:val="24"/>
          <w:lang w:eastAsia="en-US"/>
        </w:rPr>
        <w:tab/>
        <w:t>Skoordynowane</w:t>
      </w:r>
      <w:proofErr w:type="gramEnd"/>
      <w:r w:rsidRPr="00524971">
        <w:rPr>
          <w:szCs w:val="24"/>
          <w:lang w:eastAsia="en-US"/>
        </w:rPr>
        <w:t xml:space="preserve"> środki ze strony wszystkich państw członkowskich są niezbędne, aby osiągnąć cel, jakim jest zdrowie wszystkich gleb do 2050 r. oraz zapewnić świadczenie usług ekosystemowych przez gleby w całej UE w perspektywie długoterminowej. Indywidualne działania państw członkowskich okazały się niewystarczające, ponieważ degradacja gleby trwa, a nawet się pogarsza. Ponieważ cele niniejszej dyrektywy nie mogą zostać osiągnięte w sposób wystarczający przez państwa członkowskie, natomiast ze względu na skalę i skutki działania możliwe jest ich lepsze osiągnięcie na poziomie Unii, może ona podjąć środki zgodnie z zasadą pomocniczości określoną w art. 5 TUE. Zgodnie z zasadą proporcjonalności określoną w tym artykule niniejsza dyrektywa nie wykracza poza to, co jest konieczne do osiągnięcia tych celów.</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(55)</w:t>
      </w:r>
      <w:r w:rsidRPr="00524971">
        <w:rPr>
          <w:szCs w:val="24"/>
          <w:lang w:eastAsia="en-US"/>
        </w:rPr>
        <w:tab/>
        <w:t>Zgodnie</w:t>
      </w:r>
      <w:proofErr w:type="gramEnd"/>
      <w:r w:rsidRPr="00524971">
        <w:rPr>
          <w:szCs w:val="24"/>
          <w:lang w:eastAsia="en-US"/>
        </w:rPr>
        <w:t xml:space="preserve"> ze wspólną deklaracją polityczną państw członkowskich i Komisji z dnia 28 września 2011 r. dotyczącą dokumentów wyjaśniających</w:t>
      </w:r>
      <w:r w:rsidRPr="00524971">
        <w:rPr>
          <w:szCs w:val="24"/>
          <w:vertAlign w:val="superscript"/>
          <w:lang w:val="en-GB" w:eastAsia="en-US"/>
        </w:rPr>
        <w:footnoteReference w:id="47"/>
      </w:r>
      <w:r w:rsidRPr="00524971">
        <w:rPr>
          <w:szCs w:val="24"/>
          <w:lang w:eastAsia="en-US"/>
        </w:rPr>
        <w:t xml:space="preserve"> państwa członkowskie zobowiązały się do złożenia, w uzasadnionych przypadkach, wraz z powiadomieniem o transpozycji, jednego lub większej liczby dokumentów wyjaśniających związki między elementami dyrektywy a odpowiadającymi im częściami krajowych instrumentów transpozycyjnych. W odniesieniu do niniejszej dyrektywy ustawodawca uznaje, że przekazanie takich dokumentów jest uzasadnione,</w:t>
      </w:r>
    </w:p>
    <w:p w:rsidR="00B572F4" w:rsidRDefault="00B572F4">
      <w:pPr>
        <w:widowControl/>
        <w:rPr>
          <w:b/>
          <w:i/>
          <w:szCs w:val="24"/>
          <w:lang w:eastAsia="en-US"/>
        </w:rPr>
      </w:pPr>
      <w:r>
        <w:rPr>
          <w:b/>
          <w:i/>
          <w:szCs w:val="24"/>
          <w:lang w:eastAsia="en-US"/>
        </w:rPr>
        <w:br w:type="page"/>
      </w:r>
    </w:p>
    <w:p w:rsidR="00524971" w:rsidRPr="00B572F4" w:rsidRDefault="00524971" w:rsidP="00524971">
      <w:pPr>
        <w:spacing w:before="120" w:after="120" w:line="360" w:lineRule="auto"/>
        <w:ind w:left="850" w:hanging="850"/>
        <w:rPr>
          <w:b/>
          <w:szCs w:val="24"/>
          <w:lang w:eastAsia="en-US"/>
        </w:rPr>
      </w:pPr>
      <w:r w:rsidRPr="00524971">
        <w:rPr>
          <w:b/>
          <w:i/>
          <w:szCs w:val="24"/>
          <w:lang w:eastAsia="en-US"/>
        </w:rPr>
        <w:lastRenderedPageBreak/>
        <w:t>(55a</w:t>
      </w:r>
      <w:proofErr w:type="gramStart"/>
      <w:r w:rsidRPr="00524971">
        <w:rPr>
          <w:b/>
          <w:i/>
          <w:szCs w:val="24"/>
          <w:lang w:eastAsia="en-US"/>
        </w:rPr>
        <w:t>)</w:t>
      </w:r>
      <w:r w:rsidRPr="00524971">
        <w:rPr>
          <w:szCs w:val="24"/>
          <w:lang w:eastAsia="en-US"/>
        </w:rPr>
        <w:tab/>
      </w:r>
      <w:r w:rsidRPr="00524971">
        <w:rPr>
          <w:b/>
          <w:i/>
          <w:szCs w:val="24"/>
          <w:lang w:eastAsia="en-US"/>
        </w:rPr>
        <w:t>Niniejsza</w:t>
      </w:r>
      <w:proofErr w:type="gramEnd"/>
      <w:r w:rsidRPr="00524971">
        <w:rPr>
          <w:b/>
          <w:i/>
          <w:szCs w:val="24"/>
          <w:lang w:eastAsia="en-US"/>
        </w:rPr>
        <w:t xml:space="preserve"> dyrektywa ma na celu osiągnięcie do 2050 r. długofalowego celu, jakim jest zdrowa gleba w Unii, w oparciu o spójne ramy monitorowania gleby i poprawy jej zdrowia. Ze względu na swój charakter dyrektywy, zgodnie z art. 288 Traktatu o funkcjonowaniu Unii Europejskiej, niniejsza dyrektywa jest wiążąca w odniesieniu do rezultatu, który ma zostać osiągnięty w państwach członkowskich, do których jest kierowana, pozostawia zarazem organom krajowym uprawnienia do wyboru formy i środków służących osiągnięciu tego rezultatu. W związku z tym to państwa członkowskie będą musiały opracować własne przepisy określające, jak osiągnąć cele wyznaczone w niniejszej dyrektywie. Proponowany instrument, jakim jest dyrektywa, pozostawia państwom członkowskim dużą swobodę, jeśli chodzi o wskazanie najlepszych dla nich środków i dostosowanie podejścia do warunków lokalnych. Ma to kluczowe znaczenie dla uwzględnienia specyfiki regionalnej i lokalnej w odniesieniu do zróżnicowania gleb, użytkowania gruntów, warunków klimatycznych i aspektów społeczno-ekonomicznych. Charakter instrumentu oznacza, że zasady ustanowione w niniejszej dyrektywie nie pociągają za sobą bezpośrednich obowiązków dla osób fizycznych.</w:t>
      </w:r>
      <w:r w:rsidR="00B572F4">
        <w:rPr>
          <w:b/>
          <w:szCs w:val="24"/>
          <w:lang w:eastAsia="en-US"/>
        </w:rPr>
        <w:t xml:space="preserve"> [Popr. 42]</w:t>
      </w:r>
    </w:p>
    <w:p w:rsidR="00524971" w:rsidRPr="00524971" w:rsidRDefault="00524971" w:rsidP="00524971">
      <w:pPr>
        <w:keepNext/>
        <w:widowControl/>
        <w:spacing w:before="120" w:after="120" w:line="360" w:lineRule="auto"/>
        <w:rPr>
          <w:szCs w:val="24"/>
          <w:lang w:eastAsia="en-US"/>
        </w:rPr>
      </w:pPr>
      <w:r w:rsidRPr="00524971">
        <w:rPr>
          <w:szCs w:val="24"/>
          <w:lang w:eastAsia="en-US"/>
        </w:rPr>
        <w:t>PRZYJMUJĄ NINIEJSZĄ DYREKTYWĘ:</w:t>
      </w:r>
    </w:p>
    <w:p w:rsidR="00B572F4" w:rsidRDefault="00B572F4">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Rozdział I</w:t>
      </w:r>
      <w:r w:rsidRPr="00524971">
        <w:rPr>
          <w:szCs w:val="24"/>
          <w:lang w:eastAsia="en-US"/>
        </w:rPr>
        <w:br/>
        <w:t>Przepisy ogólne</w:t>
      </w:r>
    </w:p>
    <w:p w:rsidR="00524971" w:rsidRPr="00524971" w:rsidRDefault="00524971" w:rsidP="00524971">
      <w:pPr>
        <w:spacing w:before="120" w:after="120" w:line="360" w:lineRule="auto"/>
        <w:jc w:val="center"/>
        <w:rPr>
          <w:szCs w:val="24"/>
          <w:lang w:eastAsia="en-US"/>
        </w:rPr>
      </w:pPr>
      <w:r w:rsidRPr="00524971">
        <w:rPr>
          <w:szCs w:val="24"/>
          <w:lang w:eastAsia="en-US"/>
        </w:rPr>
        <w:t>Artykuł 1</w:t>
      </w:r>
      <w:r w:rsidRPr="00524971">
        <w:rPr>
          <w:szCs w:val="24"/>
          <w:lang w:eastAsia="en-US"/>
        </w:rPr>
        <w:br/>
        <w:t>Cel i przedmiot</w:t>
      </w:r>
    </w:p>
    <w:p w:rsidR="00524971" w:rsidRPr="00524971" w:rsidRDefault="00524971" w:rsidP="00524971">
      <w:pPr>
        <w:spacing w:before="120" w:after="120" w:line="360" w:lineRule="auto"/>
        <w:ind w:left="850" w:hanging="850"/>
        <w:rPr>
          <w:szCs w:val="24"/>
          <w:lang w:eastAsia="en-US"/>
        </w:rPr>
      </w:pPr>
      <w:r w:rsidRPr="00524971">
        <w:rPr>
          <w:szCs w:val="24"/>
          <w:lang w:eastAsia="en-US"/>
        </w:rPr>
        <w:t>1.</w:t>
      </w:r>
      <w:r w:rsidRPr="00524971">
        <w:rPr>
          <w:szCs w:val="24"/>
          <w:lang w:eastAsia="en-US"/>
        </w:rPr>
        <w:tab/>
        <w:t xml:space="preserve">Celem dyrektywy jest wprowadzenie </w:t>
      </w:r>
      <w:r w:rsidRPr="00524971">
        <w:rPr>
          <w:b/>
          <w:i/>
          <w:szCs w:val="24"/>
          <w:lang w:eastAsia="en-US"/>
        </w:rPr>
        <w:t xml:space="preserve">jasnych, </w:t>
      </w:r>
      <w:r w:rsidRPr="00524971">
        <w:rPr>
          <w:szCs w:val="24"/>
          <w:lang w:eastAsia="en-US"/>
        </w:rPr>
        <w:t>solidnych</w:t>
      </w:r>
      <w:r w:rsidRPr="00524971">
        <w:rPr>
          <w:strike/>
          <w:szCs w:val="24"/>
          <w:lang w:eastAsia="en-US"/>
        </w:rPr>
        <w:t xml:space="preserve"> i</w:t>
      </w:r>
      <w:r w:rsidRPr="00524971">
        <w:rPr>
          <w:b/>
          <w:i/>
          <w:szCs w:val="24"/>
          <w:lang w:eastAsia="en-US"/>
        </w:rPr>
        <w:t>,</w:t>
      </w:r>
      <w:r w:rsidRPr="00524971">
        <w:rPr>
          <w:szCs w:val="24"/>
          <w:lang w:eastAsia="en-US"/>
        </w:rPr>
        <w:t xml:space="preserve"> spójnych</w:t>
      </w:r>
      <w:r w:rsidRPr="00524971">
        <w:rPr>
          <w:b/>
          <w:i/>
          <w:szCs w:val="24"/>
          <w:lang w:eastAsia="en-US"/>
        </w:rPr>
        <w:t xml:space="preserve"> i elastycznych</w:t>
      </w:r>
      <w:r w:rsidRPr="00524971">
        <w:rPr>
          <w:szCs w:val="24"/>
          <w:lang w:eastAsia="en-US"/>
        </w:rPr>
        <w:t xml:space="preserve"> ram monitorowania</w:t>
      </w:r>
      <w:r w:rsidRPr="00524971">
        <w:rPr>
          <w:b/>
          <w:i/>
          <w:szCs w:val="24"/>
          <w:lang w:eastAsia="en-US"/>
        </w:rPr>
        <w:t xml:space="preserve"> i oceny</w:t>
      </w:r>
      <w:r w:rsidRPr="00524971">
        <w:rPr>
          <w:szCs w:val="24"/>
          <w:lang w:eastAsia="en-US"/>
        </w:rPr>
        <w:t xml:space="preserve"> gleb dla wszystkich gleb w całej UE</w:t>
      </w:r>
      <w:r w:rsidRPr="00524971">
        <w:rPr>
          <w:strike/>
          <w:szCs w:val="24"/>
          <w:lang w:eastAsia="en-US"/>
        </w:rPr>
        <w:t xml:space="preserve"> oraz stała poprawa zdrowia</w:t>
      </w:r>
      <w:r w:rsidRPr="00524971">
        <w:rPr>
          <w:b/>
          <w:i/>
          <w:szCs w:val="24"/>
          <w:lang w:eastAsia="en-US"/>
        </w:rPr>
        <w:t>, aby stale poprawiać zdrowie</w:t>
      </w:r>
      <w:r w:rsidRPr="00524971">
        <w:rPr>
          <w:szCs w:val="24"/>
          <w:lang w:eastAsia="en-US"/>
        </w:rPr>
        <w:t xml:space="preserve"> gleb w Unii z myślą o osiągnięciu zdrowych gleb do 2050 r. i utrzymaniu gleb w zdrowym stanie</w:t>
      </w:r>
      <w:r w:rsidRPr="00524971">
        <w:rPr>
          <w:b/>
          <w:i/>
          <w:szCs w:val="24"/>
          <w:lang w:eastAsia="en-US"/>
        </w:rPr>
        <w:t xml:space="preserve"> oraz zapobieganiu pogarszaniu się stanu gleb</w:t>
      </w:r>
      <w:r w:rsidRPr="00524971">
        <w:rPr>
          <w:szCs w:val="24"/>
          <w:lang w:eastAsia="en-US"/>
        </w:rPr>
        <w:t xml:space="preserve">, tak aby mogły one dostarczać wielu usług ekosystemowych na skalę wystarczającą do zaspokojenia potrzeb środowiskowych, społecznych i gospodarczych, zapobiegania skutkom zmiany klimatu i utraty różnorodności biologicznej oraz łagodzenia tych skutków, zwiększenia odporności na klęski żywiołowe i bezpieczeństwa żywnościowego oraz ograniczenia zanieczyszczenia gleb do poziomów, które nie są już </w:t>
      </w:r>
      <w:proofErr w:type="gramStart"/>
      <w:r w:rsidRPr="00524971">
        <w:rPr>
          <w:szCs w:val="24"/>
          <w:lang w:eastAsia="en-US"/>
        </w:rPr>
        <w:t>uznawane</w:t>
      </w:r>
      <w:proofErr w:type="gramEnd"/>
      <w:r w:rsidRPr="00524971">
        <w:rPr>
          <w:szCs w:val="24"/>
          <w:lang w:eastAsia="en-US"/>
        </w:rPr>
        <w:t xml:space="preserve"> za szkodliwe dla zdrowia ludzi i środowiska.</w:t>
      </w:r>
    </w:p>
    <w:p w:rsidR="00524971" w:rsidRPr="00E24A83" w:rsidRDefault="00524971" w:rsidP="00524971">
      <w:pPr>
        <w:spacing w:before="120" w:after="120" w:line="360" w:lineRule="auto"/>
        <w:ind w:left="850"/>
        <w:rPr>
          <w:b/>
          <w:szCs w:val="24"/>
          <w:lang w:eastAsia="en-US"/>
        </w:rPr>
      </w:pPr>
      <w:r w:rsidRPr="00524971">
        <w:rPr>
          <w:b/>
          <w:i/>
          <w:szCs w:val="24"/>
          <w:lang w:eastAsia="en-US"/>
        </w:rPr>
        <w:t>Niniejsza dyrektywa ustanawia zatem ramy, w których państwa członkowskie są zobowiązane do wprowadzenia środków wykonalnych technicznie i opartych na analizie kosztów i korzyści, z myślą o osiągnięciu zdrowych gleb do 2050 r.</w:t>
      </w:r>
      <w:r w:rsidR="00E24A83">
        <w:rPr>
          <w:b/>
          <w:szCs w:val="24"/>
          <w:lang w:eastAsia="en-US"/>
        </w:rPr>
        <w:t xml:space="preserve"> [Popr. 43]</w:t>
      </w:r>
    </w:p>
    <w:p w:rsidR="00E24A83" w:rsidRDefault="00E24A83">
      <w:pPr>
        <w:widowControl/>
        <w:rPr>
          <w:b/>
          <w:i/>
          <w:szCs w:val="24"/>
          <w:lang w:eastAsia="en-US"/>
        </w:rPr>
      </w:pPr>
      <w:r>
        <w:rPr>
          <w:b/>
          <w:i/>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b/>
          <w:i/>
          <w:szCs w:val="24"/>
          <w:lang w:eastAsia="en-US"/>
        </w:rPr>
        <w:lastRenderedPageBreak/>
        <w:t>1a.</w:t>
      </w:r>
      <w:r w:rsidRPr="00524971">
        <w:rPr>
          <w:szCs w:val="24"/>
          <w:lang w:eastAsia="en-US"/>
        </w:rPr>
        <w:tab/>
      </w:r>
      <w:r w:rsidRPr="00524971">
        <w:rPr>
          <w:b/>
          <w:i/>
          <w:szCs w:val="24"/>
          <w:lang w:eastAsia="en-US"/>
        </w:rPr>
        <w:t>Niniejsza dyrektywa przyczynia się do wypełnienia zobowiązań, celów i założeń na szczeblu międzynarodowym i unijnym, w tym zawartych w:</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a</w:t>
      </w:r>
      <w:proofErr w:type="gramStart"/>
      <w:r w:rsidRPr="00524971">
        <w:rPr>
          <w:b/>
          <w:i/>
          <w:szCs w:val="24"/>
          <w:lang w:eastAsia="en-US"/>
        </w:rPr>
        <w:t>)</w:t>
      </w:r>
      <w:r w:rsidRPr="00524971">
        <w:rPr>
          <w:szCs w:val="24"/>
          <w:lang w:eastAsia="en-US"/>
        </w:rPr>
        <w:tab/>
      </w:r>
      <w:r w:rsidRPr="00524971">
        <w:rPr>
          <w:b/>
          <w:i/>
          <w:szCs w:val="24"/>
          <w:lang w:eastAsia="en-US"/>
        </w:rPr>
        <w:t>globalnych</w:t>
      </w:r>
      <w:proofErr w:type="gramEnd"/>
      <w:r w:rsidRPr="00524971">
        <w:rPr>
          <w:b/>
          <w:i/>
          <w:szCs w:val="24"/>
          <w:lang w:eastAsia="en-US"/>
        </w:rPr>
        <w:t xml:space="preserve"> ramach różnorodności biologicznej z Kunmingu/Montrealu,</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b</w:t>
      </w:r>
      <w:proofErr w:type="gramStart"/>
      <w:r w:rsidRPr="00524971">
        <w:rPr>
          <w:b/>
          <w:i/>
          <w:szCs w:val="24"/>
          <w:lang w:eastAsia="en-US"/>
        </w:rPr>
        <w:t>)</w:t>
      </w:r>
      <w:r w:rsidRPr="00524971">
        <w:rPr>
          <w:szCs w:val="24"/>
          <w:lang w:eastAsia="en-US"/>
        </w:rPr>
        <w:tab/>
      </w:r>
      <w:r w:rsidRPr="00524971">
        <w:rPr>
          <w:b/>
          <w:i/>
          <w:szCs w:val="24"/>
          <w:lang w:eastAsia="en-US"/>
        </w:rPr>
        <w:t>porozumieniu</w:t>
      </w:r>
      <w:proofErr w:type="gramEnd"/>
      <w:r w:rsidRPr="00524971">
        <w:rPr>
          <w:b/>
          <w:i/>
          <w:szCs w:val="24"/>
          <w:lang w:eastAsia="en-US"/>
        </w:rPr>
        <w:t xml:space="preserve"> paryskim;</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c</w:t>
      </w:r>
      <w:proofErr w:type="gramStart"/>
      <w:r w:rsidRPr="00524971">
        <w:rPr>
          <w:b/>
          <w:i/>
          <w:szCs w:val="24"/>
          <w:lang w:eastAsia="en-US"/>
        </w:rPr>
        <w:t>)</w:t>
      </w:r>
      <w:r w:rsidRPr="00524971">
        <w:rPr>
          <w:szCs w:val="24"/>
          <w:lang w:eastAsia="en-US"/>
        </w:rPr>
        <w:tab/>
      </w:r>
      <w:r w:rsidRPr="00524971">
        <w:rPr>
          <w:b/>
          <w:i/>
          <w:szCs w:val="24"/>
          <w:lang w:eastAsia="en-US"/>
        </w:rPr>
        <w:t>konwencji</w:t>
      </w:r>
      <w:proofErr w:type="gramEnd"/>
      <w:r w:rsidRPr="00524971">
        <w:rPr>
          <w:b/>
          <w:i/>
          <w:szCs w:val="24"/>
          <w:lang w:eastAsia="en-US"/>
        </w:rPr>
        <w:t xml:space="preserve"> ONZ w sprawie zwalczania pustynnienia (UNCCD);</w:t>
      </w:r>
    </w:p>
    <w:p w:rsidR="00524971" w:rsidRPr="00524971" w:rsidRDefault="00524971" w:rsidP="00524971">
      <w:pPr>
        <w:spacing w:before="120" w:after="120" w:line="360" w:lineRule="auto"/>
        <w:ind w:left="1416" w:hanging="566"/>
        <w:rPr>
          <w:szCs w:val="24"/>
          <w:lang w:eastAsia="en-US"/>
        </w:rPr>
      </w:pPr>
      <w:proofErr w:type="gramStart"/>
      <w:r w:rsidRPr="00524971">
        <w:rPr>
          <w:b/>
          <w:i/>
          <w:szCs w:val="24"/>
          <w:lang w:eastAsia="en-US"/>
        </w:rPr>
        <w:t>d</w:t>
      </w:r>
      <w:proofErr w:type="gramEnd"/>
      <w:r w:rsidRPr="00524971">
        <w:rPr>
          <w:b/>
          <w:i/>
          <w:szCs w:val="24"/>
          <w:lang w:eastAsia="en-US"/>
        </w:rPr>
        <w:t>)</w:t>
      </w:r>
      <w:r w:rsidRPr="00524971">
        <w:rPr>
          <w:szCs w:val="24"/>
          <w:lang w:eastAsia="en-US"/>
        </w:rPr>
        <w:tab/>
      </w:r>
      <w:r w:rsidRPr="00524971">
        <w:rPr>
          <w:b/>
          <w:i/>
          <w:szCs w:val="24"/>
          <w:lang w:eastAsia="en-US"/>
        </w:rPr>
        <w:t xml:space="preserve">7. </w:t>
      </w:r>
      <w:proofErr w:type="gramStart"/>
      <w:r w:rsidRPr="00524971">
        <w:rPr>
          <w:b/>
          <w:i/>
          <w:szCs w:val="24"/>
          <w:lang w:eastAsia="en-US"/>
        </w:rPr>
        <w:t>unijnym</w:t>
      </w:r>
      <w:proofErr w:type="gramEnd"/>
      <w:r w:rsidRPr="00524971">
        <w:rPr>
          <w:b/>
          <w:i/>
          <w:szCs w:val="24"/>
          <w:lang w:eastAsia="en-US"/>
        </w:rPr>
        <w:t xml:space="preserve"> programie działań w zakresie środowiska (decyzja nr 1386/2013UE);</w:t>
      </w:r>
    </w:p>
    <w:p w:rsidR="00524971" w:rsidRPr="00524971" w:rsidRDefault="00524971" w:rsidP="00524971">
      <w:pPr>
        <w:spacing w:before="120" w:after="120" w:line="360" w:lineRule="auto"/>
        <w:ind w:left="1416" w:hanging="566"/>
        <w:rPr>
          <w:szCs w:val="24"/>
          <w:lang w:eastAsia="en-US"/>
        </w:rPr>
      </w:pPr>
      <w:proofErr w:type="gramStart"/>
      <w:r w:rsidRPr="00524971">
        <w:rPr>
          <w:b/>
          <w:i/>
          <w:szCs w:val="24"/>
          <w:lang w:eastAsia="en-US"/>
        </w:rPr>
        <w:t>e</w:t>
      </w:r>
      <w:proofErr w:type="gramEnd"/>
      <w:r w:rsidRPr="00524971">
        <w:rPr>
          <w:b/>
          <w:i/>
          <w:szCs w:val="24"/>
          <w:lang w:eastAsia="en-US"/>
        </w:rPr>
        <w:t>)</w:t>
      </w:r>
      <w:r w:rsidRPr="00524971">
        <w:rPr>
          <w:szCs w:val="24"/>
          <w:lang w:eastAsia="en-US"/>
        </w:rPr>
        <w:tab/>
      </w:r>
      <w:r w:rsidRPr="00524971">
        <w:rPr>
          <w:b/>
          <w:i/>
          <w:szCs w:val="24"/>
          <w:lang w:eastAsia="en-US"/>
        </w:rPr>
        <w:t xml:space="preserve">8. </w:t>
      </w:r>
      <w:proofErr w:type="gramStart"/>
      <w:r w:rsidRPr="00524971">
        <w:rPr>
          <w:b/>
          <w:i/>
          <w:szCs w:val="24"/>
          <w:lang w:eastAsia="en-US"/>
        </w:rPr>
        <w:t>unijnym</w:t>
      </w:r>
      <w:proofErr w:type="gramEnd"/>
      <w:r w:rsidRPr="00524971">
        <w:rPr>
          <w:b/>
          <w:i/>
          <w:szCs w:val="24"/>
          <w:lang w:eastAsia="en-US"/>
        </w:rPr>
        <w:t xml:space="preserve"> programie działań w zakresie środowiska (decyzja (UE) 2022/591);</w:t>
      </w:r>
    </w:p>
    <w:p w:rsidR="00524971" w:rsidRPr="00E24A83" w:rsidRDefault="00524971" w:rsidP="00524971">
      <w:pPr>
        <w:spacing w:before="120" w:after="120" w:line="360" w:lineRule="auto"/>
        <w:ind w:left="1416" w:hanging="566"/>
        <w:rPr>
          <w:b/>
          <w:szCs w:val="24"/>
          <w:lang w:eastAsia="en-US"/>
        </w:rPr>
      </w:pPr>
      <w:r w:rsidRPr="00524971">
        <w:rPr>
          <w:b/>
          <w:i/>
          <w:szCs w:val="24"/>
          <w:lang w:eastAsia="en-US"/>
        </w:rPr>
        <w:t>f</w:t>
      </w:r>
      <w:proofErr w:type="gramStart"/>
      <w:r w:rsidRPr="00524971">
        <w:rPr>
          <w:b/>
          <w:i/>
          <w:szCs w:val="24"/>
          <w:lang w:eastAsia="en-US"/>
        </w:rPr>
        <w:t>)</w:t>
      </w:r>
      <w:r w:rsidRPr="00524971">
        <w:rPr>
          <w:szCs w:val="24"/>
          <w:lang w:eastAsia="en-US"/>
        </w:rPr>
        <w:tab/>
      </w:r>
      <w:r w:rsidRPr="00524971">
        <w:rPr>
          <w:b/>
          <w:i/>
          <w:szCs w:val="24"/>
          <w:lang w:eastAsia="en-US"/>
        </w:rPr>
        <w:t xml:space="preserve"> planie</w:t>
      </w:r>
      <w:proofErr w:type="gramEnd"/>
      <w:r w:rsidRPr="00524971">
        <w:rPr>
          <w:b/>
          <w:i/>
          <w:szCs w:val="24"/>
          <w:lang w:eastAsia="en-US"/>
        </w:rPr>
        <w:t xml:space="preserve"> działania na rzecz </w:t>
      </w:r>
      <w:proofErr w:type="spellStart"/>
      <w:r w:rsidRPr="00524971">
        <w:rPr>
          <w:b/>
          <w:i/>
          <w:szCs w:val="24"/>
          <w:lang w:eastAsia="en-US"/>
        </w:rPr>
        <w:t>zasobooszczędnej</w:t>
      </w:r>
      <w:proofErr w:type="spellEnd"/>
      <w:r w:rsidRPr="00524971">
        <w:rPr>
          <w:b/>
          <w:i/>
          <w:szCs w:val="24"/>
          <w:lang w:eastAsia="en-US"/>
        </w:rPr>
        <w:t xml:space="preserve"> Europy (COM(2011)0571).</w:t>
      </w:r>
      <w:r w:rsidR="00E24A83">
        <w:rPr>
          <w:b/>
          <w:szCs w:val="24"/>
          <w:lang w:eastAsia="en-US"/>
        </w:rPr>
        <w:t xml:space="preserve"> [Popr. 44]</w:t>
      </w:r>
    </w:p>
    <w:p w:rsidR="00524971" w:rsidRPr="00524971" w:rsidRDefault="00524971" w:rsidP="00524971">
      <w:pPr>
        <w:spacing w:before="120" w:after="120" w:line="360" w:lineRule="auto"/>
        <w:ind w:left="850" w:hanging="850"/>
        <w:rPr>
          <w:szCs w:val="24"/>
          <w:lang w:eastAsia="en-US"/>
        </w:rPr>
      </w:pPr>
      <w:r w:rsidRPr="00524971">
        <w:rPr>
          <w:szCs w:val="24"/>
          <w:lang w:eastAsia="en-US"/>
        </w:rPr>
        <w:t>2.</w:t>
      </w:r>
      <w:r w:rsidRPr="00524971">
        <w:rPr>
          <w:szCs w:val="24"/>
          <w:lang w:eastAsia="en-US"/>
        </w:rPr>
        <w:tab/>
        <w:t>Niniejsza dyrektywa ustanawia środki dotyczące:</w:t>
      </w:r>
    </w:p>
    <w:p w:rsidR="00524971" w:rsidRPr="00E24A83" w:rsidRDefault="00524971" w:rsidP="00524971">
      <w:pPr>
        <w:spacing w:before="120" w:after="120" w:line="360" w:lineRule="auto"/>
        <w:ind w:left="1416" w:hanging="566"/>
        <w:rPr>
          <w:b/>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monitorowania</w:t>
      </w:r>
      <w:proofErr w:type="gramEnd"/>
      <w:r w:rsidRPr="00524971">
        <w:rPr>
          <w:b/>
          <w:i/>
          <w:szCs w:val="24"/>
          <w:lang w:eastAsia="en-US"/>
        </w:rPr>
        <w:t>, utrzymania, poprawy, rekultywacji</w:t>
      </w:r>
      <w:r w:rsidRPr="00524971">
        <w:rPr>
          <w:szCs w:val="24"/>
          <w:lang w:eastAsia="en-US"/>
        </w:rPr>
        <w:t xml:space="preserve"> i oceny zdrowia gleb</w:t>
      </w:r>
      <w:r w:rsidRPr="00524971">
        <w:rPr>
          <w:b/>
          <w:i/>
          <w:szCs w:val="24"/>
          <w:lang w:eastAsia="en-US"/>
        </w:rPr>
        <w:t xml:space="preserve"> na podstawie ich stanu ekologicznego</w:t>
      </w:r>
      <w:r w:rsidRPr="00524971">
        <w:rPr>
          <w:szCs w:val="24"/>
          <w:lang w:eastAsia="en-US"/>
        </w:rPr>
        <w:t>;</w:t>
      </w:r>
      <w:r w:rsidR="00E24A83">
        <w:rPr>
          <w:b/>
          <w:szCs w:val="24"/>
          <w:lang w:eastAsia="en-US"/>
        </w:rPr>
        <w:t xml:space="preserve"> [Popr. 45]</w:t>
      </w:r>
    </w:p>
    <w:p w:rsidR="00524971" w:rsidRPr="00524971" w:rsidRDefault="00524971" w:rsidP="00524971">
      <w:pPr>
        <w:spacing w:before="120" w:after="120" w:line="360" w:lineRule="auto"/>
        <w:ind w:left="1416" w:hanging="566"/>
        <w:rPr>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zrównoważonego</w:t>
      </w:r>
      <w:proofErr w:type="gramEnd"/>
      <w:r w:rsidRPr="00524971">
        <w:rPr>
          <w:szCs w:val="24"/>
          <w:lang w:eastAsia="en-US"/>
        </w:rPr>
        <w:t xml:space="preserve"> gospodarowania glebami;</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zanieczyszczonych</w:t>
      </w:r>
      <w:proofErr w:type="gramEnd"/>
      <w:r w:rsidRPr="00524971">
        <w:rPr>
          <w:szCs w:val="24"/>
          <w:lang w:eastAsia="en-US"/>
        </w:rPr>
        <w:t xml:space="preserve"> terenów.</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2</w:t>
      </w:r>
      <w:r w:rsidRPr="00524971">
        <w:rPr>
          <w:szCs w:val="24"/>
          <w:lang w:eastAsia="en-US"/>
        </w:rPr>
        <w:br/>
        <w:t>Zakres stosowania</w:t>
      </w:r>
    </w:p>
    <w:p w:rsidR="00524971" w:rsidRPr="00524971" w:rsidRDefault="00524971" w:rsidP="00524971">
      <w:pPr>
        <w:spacing w:before="120" w:after="120" w:line="360" w:lineRule="auto"/>
        <w:rPr>
          <w:szCs w:val="24"/>
          <w:lang w:eastAsia="en-US"/>
        </w:rPr>
      </w:pPr>
      <w:r w:rsidRPr="00524971">
        <w:rPr>
          <w:szCs w:val="24"/>
          <w:lang w:eastAsia="en-US"/>
        </w:rPr>
        <w:t>Niniejsza dyrektywa ma zastosowanie do wszystkich gleb na terytorium państw członkowskich.</w:t>
      </w:r>
    </w:p>
    <w:p w:rsidR="00524971" w:rsidRPr="00524971" w:rsidRDefault="00524971" w:rsidP="00524971">
      <w:pPr>
        <w:spacing w:before="120" w:after="120" w:line="360" w:lineRule="auto"/>
        <w:jc w:val="center"/>
        <w:rPr>
          <w:szCs w:val="24"/>
          <w:lang w:eastAsia="en-US"/>
        </w:rPr>
      </w:pPr>
      <w:r w:rsidRPr="00524971">
        <w:rPr>
          <w:szCs w:val="24"/>
          <w:lang w:eastAsia="en-US"/>
        </w:rPr>
        <w:t>Artykuł 3</w:t>
      </w:r>
      <w:r w:rsidRPr="00524971">
        <w:rPr>
          <w:szCs w:val="24"/>
          <w:lang w:eastAsia="en-US"/>
        </w:rPr>
        <w:br/>
        <w:t>Definicje</w:t>
      </w:r>
    </w:p>
    <w:p w:rsidR="00524971" w:rsidRPr="00524971" w:rsidRDefault="00524971" w:rsidP="00524971">
      <w:pPr>
        <w:spacing w:before="120" w:after="120" w:line="360" w:lineRule="auto"/>
        <w:rPr>
          <w:szCs w:val="24"/>
          <w:lang w:eastAsia="en-US"/>
        </w:rPr>
      </w:pPr>
      <w:r w:rsidRPr="00524971">
        <w:rPr>
          <w:szCs w:val="24"/>
          <w:lang w:eastAsia="en-US"/>
        </w:rPr>
        <w:t>Do celów niniejszej dyrektywy stosuje się następujące definicje:</w:t>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t>1)</w:t>
      </w:r>
      <w:r w:rsidRPr="00524971">
        <w:rPr>
          <w:szCs w:val="24"/>
          <w:lang w:eastAsia="en-US"/>
        </w:rPr>
        <w:tab/>
        <w:t>„gleba</w:t>
      </w:r>
      <w:proofErr w:type="gramEnd"/>
      <w:r w:rsidRPr="00524971">
        <w:rPr>
          <w:szCs w:val="24"/>
          <w:lang w:eastAsia="en-US"/>
        </w:rPr>
        <w:t>” oznacza wierzchnią warstwę skorupy ziemskiej usytuowaną między skałą macierzystą a powierzchnią lądu, składającą się z cząstek mineralnych, materii organicznej, wody, powietrza i organizmów żywych</w:t>
      </w:r>
      <w:r w:rsidRPr="00524971">
        <w:rPr>
          <w:b/>
          <w:i/>
          <w:szCs w:val="24"/>
          <w:lang w:eastAsia="en-US"/>
        </w:rPr>
        <w:t>, z wyjątkiem złóż surowców</w:t>
      </w:r>
      <w:r w:rsidRPr="00524971">
        <w:rPr>
          <w:szCs w:val="24"/>
          <w:lang w:eastAsia="en-US"/>
        </w:rPr>
        <w:t>;</w:t>
      </w:r>
      <w:r w:rsidR="00E24A83">
        <w:rPr>
          <w:b/>
          <w:szCs w:val="24"/>
          <w:lang w:eastAsia="en-US"/>
        </w:rPr>
        <w:t xml:space="preserve"> [Popr. 217 i 266]</w:t>
      </w:r>
    </w:p>
    <w:p w:rsidR="00E24A83" w:rsidRDefault="00E24A83">
      <w:pPr>
        <w:widowControl/>
        <w:rPr>
          <w:b/>
          <w:i/>
          <w:szCs w:val="24"/>
          <w:lang w:eastAsia="en-US"/>
        </w:rPr>
      </w:pPr>
      <w:r>
        <w:rPr>
          <w:b/>
          <w:i/>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b/>
          <w:i/>
          <w:szCs w:val="24"/>
          <w:lang w:eastAsia="en-US"/>
        </w:rPr>
        <w:lastRenderedPageBreak/>
        <w:t>1a</w:t>
      </w:r>
      <w:proofErr w:type="gramStart"/>
      <w:r w:rsidRPr="00524971">
        <w:rPr>
          <w:b/>
          <w:i/>
          <w:szCs w:val="24"/>
          <w:lang w:eastAsia="en-US"/>
        </w:rPr>
        <w:t>)</w:t>
      </w:r>
      <w:r w:rsidRPr="00524971">
        <w:rPr>
          <w:szCs w:val="24"/>
          <w:lang w:eastAsia="en-US"/>
        </w:rPr>
        <w:tab/>
      </w:r>
      <w:r w:rsidRPr="00524971">
        <w:rPr>
          <w:b/>
          <w:i/>
          <w:szCs w:val="24"/>
          <w:lang w:eastAsia="en-US"/>
        </w:rPr>
        <w:t>„stan</w:t>
      </w:r>
      <w:proofErr w:type="gramEnd"/>
      <w:r w:rsidRPr="00524971">
        <w:rPr>
          <w:b/>
          <w:i/>
          <w:szCs w:val="24"/>
          <w:lang w:eastAsia="en-US"/>
        </w:rPr>
        <w:t xml:space="preserve"> ekologiczny gleby” oznacza jakość ekologiczną gleby ocenioną na podstawie jej różnorodności, aktywności biologicznej i funkcjonalnej, siedlisk oraz obecności czynników degradacji i określaną zgodnie z następującą klasyfikacją:</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a</w:t>
      </w:r>
      <w:proofErr w:type="gramStart"/>
      <w:r w:rsidRPr="00524971">
        <w:rPr>
          <w:b/>
          <w:i/>
          <w:szCs w:val="24"/>
          <w:lang w:eastAsia="en-US"/>
        </w:rPr>
        <w:t>)</w:t>
      </w:r>
      <w:r w:rsidRPr="00524971">
        <w:rPr>
          <w:szCs w:val="24"/>
          <w:lang w:eastAsia="en-US"/>
        </w:rPr>
        <w:tab/>
      </w:r>
      <w:r w:rsidRPr="00524971">
        <w:rPr>
          <w:b/>
          <w:i/>
          <w:szCs w:val="24"/>
          <w:lang w:eastAsia="en-US"/>
        </w:rPr>
        <w:t>„bardzo</w:t>
      </w:r>
      <w:proofErr w:type="gramEnd"/>
      <w:r w:rsidRPr="00524971">
        <w:rPr>
          <w:b/>
          <w:i/>
          <w:szCs w:val="24"/>
          <w:lang w:eastAsia="en-US"/>
        </w:rPr>
        <w:t xml:space="preserve"> dobry stan ekologiczny” odnosi się do gleb charakteryzujących się wysoką aktywnością biologiczną i funkcjonalną;</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b</w:t>
      </w:r>
      <w:proofErr w:type="gramStart"/>
      <w:r w:rsidRPr="00524971">
        <w:rPr>
          <w:b/>
          <w:i/>
          <w:szCs w:val="24"/>
          <w:lang w:eastAsia="en-US"/>
        </w:rPr>
        <w:t>)</w:t>
      </w:r>
      <w:r w:rsidRPr="00524971">
        <w:rPr>
          <w:szCs w:val="24"/>
          <w:lang w:eastAsia="en-US"/>
        </w:rPr>
        <w:tab/>
      </w:r>
      <w:r w:rsidRPr="00524971">
        <w:rPr>
          <w:b/>
          <w:i/>
          <w:szCs w:val="24"/>
          <w:lang w:eastAsia="en-US"/>
        </w:rPr>
        <w:t>„dobry</w:t>
      </w:r>
      <w:proofErr w:type="gramEnd"/>
      <w:r w:rsidRPr="00524971">
        <w:rPr>
          <w:b/>
          <w:i/>
          <w:szCs w:val="24"/>
          <w:lang w:eastAsia="en-US"/>
        </w:rPr>
        <w:t xml:space="preserve"> stan ekologiczny” odnosi się do gleb charakteryzujących się ogólnie dobrym stanem ekologicznym, ale wykazujących niewielkie oznaki niekorzystnego wpływu jednego czynnika degradacji lub kilku takich czynników;</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c</w:t>
      </w:r>
      <w:proofErr w:type="gramStart"/>
      <w:r w:rsidRPr="00524971">
        <w:rPr>
          <w:b/>
          <w:i/>
          <w:szCs w:val="24"/>
          <w:lang w:eastAsia="en-US"/>
        </w:rPr>
        <w:t>)</w:t>
      </w:r>
      <w:r w:rsidRPr="00524971">
        <w:rPr>
          <w:szCs w:val="24"/>
          <w:lang w:eastAsia="en-US"/>
        </w:rPr>
        <w:tab/>
      </w:r>
      <w:r w:rsidRPr="00524971">
        <w:rPr>
          <w:b/>
          <w:i/>
          <w:szCs w:val="24"/>
          <w:lang w:eastAsia="en-US"/>
        </w:rPr>
        <w:t>„umiarkowany</w:t>
      </w:r>
      <w:proofErr w:type="gramEnd"/>
      <w:r w:rsidRPr="00524971">
        <w:rPr>
          <w:b/>
          <w:i/>
          <w:szCs w:val="24"/>
          <w:lang w:eastAsia="en-US"/>
        </w:rPr>
        <w:t xml:space="preserve"> stan ekologiczny” odnosi się do gleb wykazujących niewielkie oznaki niekorzystnego wpływu czynników degradacji;</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d</w:t>
      </w:r>
      <w:proofErr w:type="gramStart"/>
      <w:r w:rsidRPr="00524971">
        <w:rPr>
          <w:b/>
          <w:i/>
          <w:szCs w:val="24"/>
          <w:lang w:eastAsia="en-US"/>
        </w:rPr>
        <w:t>)</w:t>
      </w:r>
      <w:r w:rsidRPr="00524971">
        <w:rPr>
          <w:szCs w:val="24"/>
          <w:lang w:eastAsia="en-US"/>
        </w:rPr>
        <w:tab/>
      </w:r>
      <w:r w:rsidRPr="00524971">
        <w:rPr>
          <w:b/>
          <w:i/>
          <w:szCs w:val="24"/>
          <w:lang w:eastAsia="en-US"/>
        </w:rPr>
        <w:t>„gleby</w:t>
      </w:r>
      <w:proofErr w:type="gramEnd"/>
      <w:r w:rsidRPr="00524971">
        <w:rPr>
          <w:b/>
          <w:i/>
          <w:szCs w:val="24"/>
          <w:lang w:eastAsia="en-US"/>
        </w:rPr>
        <w:t xml:space="preserve"> zdegradowane” odnosi się do gleb wykazujących wyraźne oznaki niekorzystnego wpływu jednego czynnika degradacji; oraz</w:t>
      </w:r>
    </w:p>
    <w:p w:rsidR="00524971" w:rsidRPr="00E24A83" w:rsidRDefault="00524971" w:rsidP="00524971">
      <w:pPr>
        <w:spacing w:before="120" w:after="120" w:line="360" w:lineRule="auto"/>
        <w:ind w:left="1416" w:hanging="566"/>
        <w:rPr>
          <w:b/>
          <w:szCs w:val="24"/>
          <w:lang w:eastAsia="en-US"/>
        </w:rPr>
      </w:pPr>
      <w:r w:rsidRPr="00524971">
        <w:rPr>
          <w:b/>
          <w:i/>
          <w:szCs w:val="24"/>
          <w:lang w:eastAsia="en-US"/>
        </w:rPr>
        <w:t>e</w:t>
      </w:r>
      <w:proofErr w:type="gramStart"/>
      <w:r w:rsidRPr="00524971">
        <w:rPr>
          <w:b/>
          <w:i/>
          <w:szCs w:val="24"/>
          <w:lang w:eastAsia="en-US"/>
        </w:rPr>
        <w:t>)</w:t>
      </w:r>
      <w:r w:rsidRPr="00524971">
        <w:rPr>
          <w:szCs w:val="24"/>
          <w:lang w:eastAsia="en-US"/>
        </w:rPr>
        <w:tab/>
      </w:r>
      <w:r w:rsidRPr="00524971">
        <w:rPr>
          <w:b/>
          <w:i/>
          <w:szCs w:val="24"/>
          <w:lang w:eastAsia="en-US"/>
        </w:rPr>
        <w:t>„gleby</w:t>
      </w:r>
      <w:proofErr w:type="gramEnd"/>
      <w:r w:rsidRPr="00524971">
        <w:rPr>
          <w:b/>
          <w:i/>
          <w:szCs w:val="24"/>
          <w:lang w:eastAsia="en-US"/>
        </w:rPr>
        <w:t xml:space="preserve"> zdegradowane w stopniu krytycznym” odnosi się do gleb wykazujących wyraźne oznaki niekorzystnego wpływu więcej niż jednego czynnika degradacji.</w:t>
      </w:r>
      <w:r w:rsidR="00E24A83">
        <w:rPr>
          <w:b/>
          <w:szCs w:val="24"/>
          <w:lang w:eastAsia="en-US"/>
        </w:rPr>
        <w:t xml:space="preserve"> [Popr. 46]</w:t>
      </w:r>
    </w:p>
    <w:p w:rsidR="00E24A83" w:rsidRDefault="00E24A83">
      <w:pPr>
        <w:widowControl/>
        <w:rPr>
          <w:b/>
          <w:i/>
          <w:szCs w:val="24"/>
          <w:lang w:eastAsia="en-US"/>
        </w:rPr>
      </w:pPr>
      <w:r>
        <w:rPr>
          <w:b/>
          <w:i/>
          <w:szCs w:val="24"/>
          <w:lang w:eastAsia="en-US"/>
        </w:rPr>
        <w:br w:type="page"/>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lastRenderedPageBreak/>
        <w:t>1b</w:t>
      </w:r>
      <w:proofErr w:type="gramStart"/>
      <w:r w:rsidRPr="00524971">
        <w:rPr>
          <w:b/>
          <w:i/>
          <w:szCs w:val="24"/>
          <w:lang w:eastAsia="en-US"/>
        </w:rPr>
        <w:t>)</w:t>
      </w:r>
      <w:r w:rsidRPr="00524971">
        <w:rPr>
          <w:szCs w:val="24"/>
          <w:lang w:eastAsia="en-US"/>
        </w:rPr>
        <w:tab/>
      </w:r>
      <w:r w:rsidRPr="00524971">
        <w:rPr>
          <w:b/>
          <w:i/>
          <w:szCs w:val="24"/>
          <w:lang w:eastAsia="en-US"/>
        </w:rPr>
        <w:t>„funkcje</w:t>
      </w:r>
      <w:proofErr w:type="gramEnd"/>
      <w:r w:rsidRPr="00524971">
        <w:rPr>
          <w:b/>
          <w:i/>
          <w:szCs w:val="24"/>
          <w:lang w:eastAsia="en-US"/>
        </w:rPr>
        <w:t xml:space="preserve"> ekologiczne gleby” oznaczają zestaw wzajemnie powiązanych procesów i interakcji w ekosystemie glebowym, które podtrzymują życie, wspierają różnorodność biologiczną gleb i są jej wynikiem oraz utrzymują ogólne zdrowie i produktywność środowisk lądowych, takich jak obieg składników odżywczych, rozkład materii organicznej, tworzenie struktury gleb, filtrowanie i oczyszczanie wody, sekwestracja dwutlenku węgla oraz zapewnianie siedlisk i zasobów dla różnego rodzaju organizmów;</w:t>
      </w:r>
      <w:r w:rsidR="00E24A83">
        <w:rPr>
          <w:b/>
          <w:szCs w:val="24"/>
          <w:lang w:eastAsia="en-US"/>
        </w:rPr>
        <w:t xml:space="preserve"> [Popr. 47]</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2)</w:t>
      </w:r>
      <w:r w:rsidRPr="00524971">
        <w:rPr>
          <w:szCs w:val="24"/>
          <w:lang w:eastAsia="en-US"/>
        </w:rPr>
        <w:tab/>
        <w:t>„ekosystem</w:t>
      </w:r>
      <w:proofErr w:type="gramEnd"/>
      <w:r w:rsidRPr="00524971">
        <w:rPr>
          <w:szCs w:val="24"/>
          <w:lang w:eastAsia="en-US"/>
        </w:rPr>
        <w:t>” oznacza dynamiczny zespół roślin, zwierząt, mikroorganizmów oraz ich nieożywione środowisko wspólnie tworzące jednostkę funkcjonalną;</w:t>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t>3)</w:t>
      </w:r>
      <w:r w:rsidRPr="00524971">
        <w:rPr>
          <w:szCs w:val="24"/>
          <w:lang w:eastAsia="en-US"/>
        </w:rPr>
        <w:tab/>
        <w:t>„usługi</w:t>
      </w:r>
      <w:proofErr w:type="gramEnd"/>
      <w:r w:rsidRPr="00524971">
        <w:rPr>
          <w:szCs w:val="24"/>
          <w:lang w:eastAsia="en-US"/>
        </w:rPr>
        <w:t xml:space="preserve"> ekosystemowe” oznaczają </w:t>
      </w:r>
      <w:r w:rsidRPr="00524971">
        <w:rPr>
          <w:b/>
          <w:i/>
          <w:szCs w:val="24"/>
          <w:lang w:eastAsia="en-US"/>
        </w:rPr>
        <w:t xml:space="preserve">bezpośredni i </w:t>
      </w:r>
      <w:r w:rsidRPr="00524971">
        <w:rPr>
          <w:szCs w:val="24"/>
          <w:lang w:eastAsia="en-US"/>
        </w:rPr>
        <w:t>pośredni wkład ekosystemów</w:t>
      </w:r>
      <w:r w:rsidRPr="00524971">
        <w:rPr>
          <w:b/>
          <w:i/>
          <w:szCs w:val="24"/>
          <w:lang w:eastAsia="en-US"/>
        </w:rPr>
        <w:t xml:space="preserve"> w dobrostan całego społeczeństwa oraz</w:t>
      </w:r>
      <w:r w:rsidRPr="00524971">
        <w:rPr>
          <w:szCs w:val="24"/>
          <w:lang w:eastAsia="en-US"/>
        </w:rPr>
        <w:t xml:space="preserve"> w gospodarcze, społeczne, kulturalne</w:t>
      </w:r>
      <w:r w:rsidRPr="00524971">
        <w:rPr>
          <w:b/>
          <w:i/>
          <w:szCs w:val="24"/>
          <w:lang w:eastAsia="en-US"/>
        </w:rPr>
        <w:t>, środowiskowe</w:t>
      </w:r>
      <w:r w:rsidRPr="00524971">
        <w:rPr>
          <w:szCs w:val="24"/>
          <w:lang w:eastAsia="en-US"/>
        </w:rPr>
        <w:t xml:space="preserve"> i inne korzyści, które ludzie czerpią z tych ekosystemów;</w:t>
      </w:r>
      <w:r w:rsidR="00E24A83">
        <w:rPr>
          <w:b/>
          <w:szCs w:val="24"/>
          <w:lang w:eastAsia="en-US"/>
        </w:rPr>
        <w:t xml:space="preserve"> [Popr. 48]</w:t>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t>3a</w:t>
      </w:r>
      <w:proofErr w:type="gramStart"/>
      <w:r w:rsidRPr="00524971">
        <w:rPr>
          <w:b/>
          <w:i/>
          <w:szCs w:val="24"/>
          <w:lang w:eastAsia="en-US"/>
        </w:rPr>
        <w:t>)</w:t>
      </w:r>
      <w:r w:rsidRPr="00524971">
        <w:rPr>
          <w:szCs w:val="24"/>
          <w:lang w:eastAsia="en-US"/>
        </w:rPr>
        <w:tab/>
      </w:r>
      <w:r w:rsidRPr="00524971">
        <w:rPr>
          <w:b/>
          <w:i/>
          <w:szCs w:val="24"/>
          <w:lang w:eastAsia="en-US"/>
        </w:rPr>
        <w:t>„różnorodność</w:t>
      </w:r>
      <w:proofErr w:type="gramEnd"/>
      <w:r w:rsidRPr="00524971">
        <w:rPr>
          <w:b/>
          <w:i/>
          <w:szCs w:val="24"/>
          <w:lang w:eastAsia="en-US"/>
        </w:rPr>
        <w:t xml:space="preserve"> biologiczna gleb” oznacza zróżnicowanie życia glebowego, od genów po społeczności, oraz kompleksy ekologiczne, których są one częścią, czyli kompleksy od mikrosiedlisk glebowych po krajobrazy;</w:t>
      </w:r>
      <w:r w:rsidR="00E24A83">
        <w:rPr>
          <w:b/>
          <w:szCs w:val="24"/>
          <w:lang w:eastAsia="en-US"/>
        </w:rPr>
        <w:t xml:space="preserve"> [Popr. 49]</w:t>
      </w:r>
    </w:p>
    <w:p w:rsidR="00E24A83" w:rsidRDefault="00E24A83">
      <w:pPr>
        <w:widowControl/>
        <w:rPr>
          <w:szCs w:val="24"/>
          <w:lang w:eastAsia="en-US"/>
        </w:rPr>
      </w:pPr>
      <w:r>
        <w:rPr>
          <w:szCs w:val="24"/>
          <w:lang w:eastAsia="en-US"/>
        </w:rPr>
        <w:br w:type="page"/>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4)</w:t>
      </w:r>
      <w:r w:rsidRPr="00524971">
        <w:rPr>
          <w:szCs w:val="24"/>
          <w:lang w:eastAsia="en-US"/>
        </w:rPr>
        <w:tab/>
        <w:t>„zdrowie</w:t>
      </w:r>
      <w:proofErr w:type="gramEnd"/>
      <w:r w:rsidRPr="00524971">
        <w:rPr>
          <w:szCs w:val="24"/>
          <w:lang w:eastAsia="en-US"/>
        </w:rPr>
        <w:t xml:space="preserve"> gleb” oznacza stan fizyczny, chemiczny</w:t>
      </w:r>
      <w:r w:rsidRPr="00524971">
        <w:rPr>
          <w:b/>
          <w:i/>
          <w:szCs w:val="24"/>
          <w:lang w:eastAsia="en-US"/>
        </w:rPr>
        <w:t>, funkcjonalny</w:t>
      </w:r>
      <w:r w:rsidRPr="00524971">
        <w:rPr>
          <w:szCs w:val="24"/>
          <w:lang w:eastAsia="en-US"/>
        </w:rPr>
        <w:t xml:space="preserve"> i biologiczny gleby decydujący o jej zdolności do funkcjonowania jako niezbędny żywy system i do zapewniania usług ekosystemowych</w:t>
      </w:r>
      <w:r w:rsidRPr="00524971">
        <w:rPr>
          <w:b/>
          <w:i/>
          <w:szCs w:val="24"/>
          <w:lang w:eastAsia="en-US"/>
        </w:rPr>
        <w:t>, z uwzględnieniem użytkowania gruntów</w:t>
      </w:r>
      <w:r w:rsidRPr="00524971">
        <w:rPr>
          <w:szCs w:val="24"/>
          <w:lang w:eastAsia="en-US"/>
        </w:rPr>
        <w:t>;</w:t>
      </w:r>
      <w:r w:rsidR="00E24A83">
        <w:rPr>
          <w:b/>
          <w:szCs w:val="24"/>
          <w:lang w:eastAsia="en-US"/>
        </w:rPr>
        <w:t xml:space="preserve"> [Popr. 50]</w:t>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t>5)</w:t>
      </w:r>
      <w:r w:rsidRPr="00524971">
        <w:rPr>
          <w:szCs w:val="24"/>
          <w:lang w:eastAsia="en-US"/>
        </w:rPr>
        <w:tab/>
        <w:t>„zrównoważone</w:t>
      </w:r>
      <w:proofErr w:type="gramEnd"/>
      <w:r w:rsidRPr="00524971">
        <w:rPr>
          <w:szCs w:val="24"/>
          <w:lang w:eastAsia="en-US"/>
        </w:rPr>
        <w:t xml:space="preserve"> gospodarowanie glebami” oznacza praktyki gospodarowania glebami </w:t>
      </w:r>
      <w:r w:rsidRPr="00524971">
        <w:rPr>
          <w:strike/>
          <w:szCs w:val="24"/>
          <w:lang w:eastAsia="en-US"/>
        </w:rPr>
        <w:t xml:space="preserve">utrzymujące lub </w:t>
      </w:r>
      <w:proofErr w:type="spellStart"/>
      <w:r w:rsidRPr="00524971">
        <w:rPr>
          <w:strike/>
          <w:szCs w:val="24"/>
          <w:lang w:eastAsia="en-US"/>
        </w:rPr>
        <w:t>ulepszające</w:t>
      </w:r>
      <w:r w:rsidRPr="00524971">
        <w:rPr>
          <w:b/>
          <w:i/>
          <w:szCs w:val="24"/>
          <w:lang w:eastAsia="en-US"/>
        </w:rPr>
        <w:t>mające</w:t>
      </w:r>
      <w:proofErr w:type="spellEnd"/>
      <w:r w:rsidRPr="00524971">
        <w:rPr>
          <w:b/>
          <w:i/>
          <w:szCs w:val="24"/>
          <w:lang w:eastAsia="en-US"/>
        </w:rPr>
        <w:t xml:space="preserve"> utrzymać lub ulepszyć</w:t>
      </w:r>
      <w:r w:rsidRPr="00524971">
        <w:rPr>
          <w:szCs w:val="24"/>
          <w:lang w:eastAsia="en-US"/>
        </w:rPr>
        <w:t xml:space="preserve"> usługi ekosystemowe </w:t>
      </w:r>
      <w:r w:rsidRPr="00524971">
        <w:rPr>
          <w:strike/>
          <w:szCs w:val="24"/>
          <w:lang w:eastAsia="en-US"/>
        </w:rPr>
        <w:t xml:space="preserve">zapewniane przez glebę bez uszczerbku dla funkcji umożliwiających te usługi lub bez szkody dla innych właściwości </w:t>
      </w:r>
      <w:proofErr w:type="spellStart"/>
      <w:r w:rsidRPr="00524971">
        <w:rPr>
          <w:strike/>
          <w:szCs w:val="24"/>
          <w:lang w:eastAsia="en-US"/>
        </w:rPr>
        <w:t>środowiska</w:t>
      </w:r>
      <w:r w:rsidRPr="00524971">
        <w:rPr>
          <w:b/>
          <w:i/>
          <w:szCs w:val="24"/>
          <w:lang w:eastAsia="en-US"/>
        </w:rPr>
        <w:t>gleb</w:t>
      </w:r>
      <w:proofErr w:type="spellEnd"/>
      <w:r w:rsidRPr="00524971">
        <w:rPr>
          <w:b/>
          <w:i/>
          <w:szCs w:val="24"/>
          <w:lang w:eastAsia="en-US"/>
        </w:rPr>
        <w:t>, przy uwzględnieniu skutków społeczno-gospodarczych</w:t>
      </w:r>
      <w:r w:rsidRPr="00524971">
        <w:rPr>
          <w:szCs w:val="24"/>
          <w:lang w:eastAsia="en-US"/>
        </w:rPr>
        <w:t>;</w:t>
      </w:r>
      <w:r w:rsidR="00E24A83">
        <w:rPr>
          <w:b/>
          <w:szCs w:val="24"/>
          <w:lang w:eastAsia="en-US"/>
        </w:rPr>
        <w:t xml:space="preserve"> [Popr. 247]</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6)</w:t>
      </w:r>
      <w:r w:rsidRPr="00524971">
        <w:rPr>
          <w:szCs w:val="24"/>
          <w:lang w:eastAsia="en-US"/>
        </w:rPr>
        <w:tab/>
        <w:t>„praktyki</w:t>
      </w:r>
      <w:proofErr w:type="gramEnd"/>
      <w:r w:rsidRPr="00524971">
        <w:rPr>
          <w:szCs w:val="24"/>
          <w:lang w:eastAsia="en-US"/>
        </w:rPr>
        <w:t xml:space="preserve"> gospodarowania glebami” oznaczają praktyki, które mają wpływ na właściwości fizyczne, chemiczne lub biologiczne gleby;</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7)</w:t>
      </w:r>
      <w:r w:rsidRPr="00524971">
        <w:rPr>
          <w:szCs w:val="24"/>
          <w:lang w:eastAsia="en-US"/>
        </w:rPr>
        <w:tab/>
        <w:t>„gleby</w:t>
      </w:r>
      <w:proofErr w:type="gramEnd"/>
      <w:r w:rsidRPr="00524971">
        <w:rPr>
          <w:szCs w:val="24"/>
          <w:lang w:eastAsia="en-US"/>
        </w:rPr>
        <w:t xml:space="preserve"> gospodarowane” oznaczają gleby, w odniesieniu do których stosuje się praktyki gospodarowania glebami;</w:t>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t>8)</w:t>
      </w:r>
      <w:r w:rsidRPr="00524971">
        <w:rPr>
          <w:szCs w:val="24"/>
          <w:lang w:eastAsia="en-US"/>
        </w:rPr>
        <w:tab/>
        <w:t>„okręg</w:t>
      </w:r>
      <w:proofErr w:type="gramEnd"/>
      <w:r w:rsidRPr="00524971">
        <w:rPr>
          <w:szCs w:val="24"/>
          <w:lang w:eastAsia="en-US"/>
        </w:rPr>
        <w:t xml:space="preserve"> glebowy” oznacza część terytorium państwa członkowskiego </w:t>
      </w:r>
      <w:r w:rsidRPr="00524971">
        <w:rPr>
          <w:b/>
          <w:i/>
          <w:szCs w:val="24"/>
          <w:lang w:eastAsia="en-US"/>
        </w:rPr>
        <w:t xml:space="preserve">lub kilku państw członkowskich </w:t>
      </w:r>
      <w:r w:rsidRPr="00524971">
        <w:rPr>
          <w:szCs w:val="24"/>
          <w:lang w:eastAsia="en-US"/>
        </w:rPr>
        <w:t>wyznaczoną przez to państwo</w:t>
      </w:r>
      <w:r w:rsidRPr="00524971">
        <w:rPr>
          <w:b/>
          <w:i/>
          <w:szCs w:val="24"/>
          <w:lang w:eastAsia="en-US"/>
        </w:rPr>
        <w:t xml:space="preserve"> członkowskie lub te państwa</w:t>
      </w:r>
      <w:r w:rsidRPr="00524971">
        <w:rPr>
          <w:szCs w:val="24"/>
          <w:lang w:eastAsia="en-US"/>
        </w:rPr>
        <w:t xml:space="preserve"> członkowskie zgodnie z niniejszą dyrektywą;</w:t>
      </w:r>
      <w:r w:rsidR="00E24A83">
        <w:rPr>
          <w:b/>
          <w:szCs w:val="24"/>
          <w:lang w:eastAsia="en-US"/>
        </w:rPr>
        <w:t xml:space="preserve"> [Popr. 52]</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9)</w:t>
      </w:r>
      <w:r w:rsidRPr="00524971">
        <w:rPr>
          <w:szCs w:val="24"/>
          <w:lang w:eastAsia="en-US"/>
        </w:rPr>
        <w:tab/>
        <w:t>„ocena</w:t>
      </w:r>
      <w:proofErr w:type="gramEnd"/>
      <w:r w:rsidRPr="00524971">
        <w:rPr>
          <w:szCs w:val="24"/>
          <w:lang w:eastAsia="en-US"/>
        </w:rPr>
        <w:t xml:space="preserve"> zdrowia gleby” oznacza ocenę zdrowia gleby na podstawie pomiaru lub oszacowania wskaźników glebowych;</w:t>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t>10)</w:t>
      </w:r>
      <w:r w:rsidRPr="00524971">
        <w:rPr>
          <w:szCs w:val="24"/>
          <w:lang w:eastAsia="en-US"/>
        </w:rPr>
        <w:tab/>
        <w:t>„zanieczyszczony</w:t>
      </w:r>
      <w:proofErr w:type="gramEnd"/>
      <w:r w:rsidRPr="00524971">
        <w:rPr>
          <w:szCs w:val="24"/>
          <w:lang w:eastAsia="en-US"/>
        </w:rPr>
        <w:t xml:space="preserve"> teren” oznacza wyznaczony obszar jednej lub kilku działek, na którym potwierdzono występowanie zanieczyszczenia gleb spowodowanego </w:t>
      </w:r>
      <w:r w:rsidRPr="00524971">
        <w:rPr>
          <w:strike/>
          <w:szCs w:val="24"/>
          <w:lang w:eastAsia="en-US"/>
        </w:rPr>
        <w:t xml:space="preserve">punktową działalnością </w:t>
      </w:r>
      <w:proofErr w:type="spellStart"/>
      <w:r w:rsidRPr="00524971">
        <w:rPr>
          <w:strike/>
          <w:szCs w:val="24"/>
          <w:lang w:eastAsia="en-US"/>
        </w:rPr>
        <w:t>antropogeniczną</w:t>
      </w:r>
      <w:r w:rsidRPr="00524971">
        <w:rPr>
          <w:b/>
          <w:i/>
          <w:szCs w:val="24"/>
          <w:lang w:eastAsia="en-US"/>
        </w:rPr>
        <w:t>obecnością</w:t>
      </w:r>
      <w:proofErr w:type="spellEnd"/>
      <w:r w:rsidRPr="00524971">
        <w:rPr>
          <w:b/>
          <w:i/>
          <w:szCs w:val="24"/>
          <w:lang w:eastAsia="en-US"/>
        </w:rPr>
        <w:t xml:space="preserve"> w glebie substancji lub materiałów w stężeniu, które może być szkodliwe dla zdrowia lub środowiska</w:t>
      </w:r>
      <w:r w:rsidRPr="00524971">
        <w:rPr>
          <w:szCs w:val="24"/>
          <w:lang w:eastAsia="en-US"/>
        </w:rPr>
        <w:t>;</w:t>
      </w:r>
      <w:r w:rsidR="00E24A83">
        <w:rPr>
          <w:b/>
          <w:szCs w:val="24"/>
          <w:lang w:eastAsia="en-US"/>
        </w:rPr>
        <w:t xml:space="preserve"> [Popr. 53]</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11)</w:t>
      </w:r>
      <w:r w:rsidRPr="00524971">
        <w:rPr>
          <w:szCs w:val="24"/>
          <w:lang w:eastAsia="en-US"/>
        </w:rPr>
        <w:tab/>
        <w:t>„wskaźnik</w:t>
      </w:r>
      <w:proofErr w:type="gramEnd"/>
      <w:r w:rsidRPr="00524971">
        <w:rPr>
          <w:szCs w:val="24"/>
          <w:lang w:eastAsia="en-US"/>
        </w:rPr>
        <w:t xml:space="preserve"> glebowy” oznacza parametr opisujący fizyczną, chemiczną lub biologiczną cechę zdrowia gleb;</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12)</w:t>
      </w:r>
      <w:r w:rsidRPr="00524971">
        <w:rPr>
          <w:szCs w:val="24"/>
          <w:lang w:eastAsia="en-US"/>
        </w:rPr>
        <w:tab/>
        <w:t>„ląd</w:t>
      </w:r>
      <w:proofErr w:type="gramEnd"/>
      <w:r w:rsidRPr="00524971">
        <w:rPr>
          <w:szCs w:val="24"/>
          <w:lang w:eastAsia="en-US"/>
        </w:rPr>
        <w:t>” oznacza powierzchnię Ziemi, która nie jest pokryta wodą;</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13)</w:t>
      </w:r>
      <w:r w:rsidRPr="00524971">
        <w:rPr>
          <w:szCs w:val="24"/>
          <w:lang w:eastAsia="en-US"/>
        </w:rPr>
        <w:tab/>
        <w:t>„pokrywa</w:t>
      </w:r>
      <w:proofErr w:type="gramEnd"/>
      <w:r w:rsidRPr="00524971">
        <w:rPr>
          <w:szCs w:val="24"/>
          <w:lang w:eastAsia="en-US"/>
        </w:rPr>
        <w:t xml:space="preserve"> lądowa” oznacza fizyczne i biologiczne pokrycie powierzchni Ziemi;</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14)</w:t>
      </w:r>
      <w:r w:rsidRPr="00524971">
        <w:rPr>
          <w:szCs w:val="24"/>
          <w:lang w:eastAsia="en-US"/>
        </w:rPr>
        <w:tab/>
        <w:t>„grunty</w:t>
      </w:r>
      <w:proofErr w:type="gramEnd"/>
      <w:r w:rsidRPr="00524971">
        <w:rPr>
          <w:szCs w:val="24"/>
          <w:lang w:eastAsia="en-US"/>
        </w:rPr>
        <w:t xml:space="preserve"> naturalne” oznaczają obszar, na którym działalność człowieka nie zmieniła w istotny sposób jego podstawowych funkcji ekologicznych i składu gatunkowego;</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15)</w:t>
      </w:r>
      <w:r w:rsidRPr="00524971">
        <w:rPr>
          <w:szCs w:val="24"/>
          <w:lang w:eastAsia="en-US"/>
        </w:rPr>
        <w:tab/>
        <w:t>„grunty</w:t>
      </w:r>
      <w:proofErr w:type="gramEnd"/>
      <w:r w:rsidRPr="00524971">
        <w:rPr>
          <w:szCs w:val="24"/>
          <w:lang w:eastAsia="en-US"/>
        </w:rPr>
        <w:t xml:space="preserve"> półnaturalne” oznaczają obszar, na którym zespoły ekologiczne zostały w znacznym stopniu zmodyfikowane pod względem składu, równowagi lub funkcji w wyniku działalności człowieka, ale który zachowuje potencjalnie wysoką wartość pod względem różnorodności biologicznej i zapewnianych przez niego usług ekosystemowych;</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lastRenderedPageBreak/>
        <w:t>16)</w:t>
      </w:r>
      <w:r w:rsidRPr="00524971">
        <w:rPr>
          <w:szCs w:val="24"/>
          <w:lang w:eastAsia="en-US"/>
        </w:rPr>
        <w:tab/>
        <w:t>„grunty</w:t>
      </w:r>
      <w:proofErr w:type="gramEnd"/>
      <w:r w:rsidRPr="00524971">
        <w:rPr>
          <w:szCs w:val="24"/>
          <w:lang w:eastAsia="en-US"/>
        </w:rPr>
        <w:t xml:space="preserve"> sztuczne” oznaczają grunty wykorzystywane jako platforma do budowy i infrastruktury lub jako bezpośrednie źródło surowców lub jako archiwum dziedzictwa historycznego kosztem zdolności gleb do zapewniania innych usług ekosystemowych;</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17)</w:t>
      </w:r>
      <w:r w:rsidRPr="00524971">
        <w:rPr>
          <w:szCs w:val="24"/>
          <w:lang w:eastAsia="en-US"/>
        </w:rPr>
        <w:tab/>
        <w:t>„przejmowanie</w:t>
      </w:r>
      <w:proofErr w:type="gramEnd"/>
      <w:r w:rsidRPr="00524971">
        <w:rPr>
          <w:szCs w:val="24"/>
          <w:lang w:eastAsia="en-US"/>
        </w:rPr>
        <w:t xml:space="preserve"> gruntów” oznacza przekształcanie gruntów naturalnych i półnaturalnych w grunty sztuczne;</w:t>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t>17a</w:t>
      </w:r>
      <w:proofErr w:type="gramStart"/>
      <w:r w:rsidRPr="00524971">
        <w:rPr>
          <w:b/>
          <w:i/>
          <w:szCs w:val="24"/>
          <w:lang w:eastAsia="en-US"/>
        </w:rPr>
        <w:t>)</w:t>
      </w:r>
      <w:r w:rsidRPr="00524971">
        <w:rPr>
          <w:szCs w:val="24"/>
          <w:lang w:eastAsia="en-US"/>
        </w:rPr>
        <w:tab/>
      </w:r>
      <w:r w:rsidRPr="00524971">
        <w:rPr>
          <w:b/>
          <w:i/>
          <w:szCs w:val="24"/>
          <w:lang w:eastAsia="en-US"/>
        </w:rPr>
        <w:t>„uszczelnianie</w:t>
      </w:r>
      <w:proofErr w:type="gramEnd"/>
      <w:r w:rsidRPr="00524971">
        <w:rPr>
          <w:b/>
          <w:i/>
          <w:szCs w:val="24"/>
          <w:lang w:eastAsia="en-US"/>
        </w:rPr>
        <w:t xml:space="preserve"> gleby” oznacza pokrycie gruntu nieprzepuszczalnym materiałem, zwłaszcza przy użytkowaniu gruntów jako platformy pod budowę i infrastrukturę;</w:t>
      </w:r>
      <w:r w:rsidR="00E24A83">
        <w:rPr>
          <w:b/>
          <w:szCs w:val="24"/>
          <w:lang w:eastAsia="en-US"/>
        </w:rPr>
        <w:t xml:space="preserve"> [Popr. 54]</w:t>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t>17b</w:t>
      </w:r>
      <w:proofErr w:type="gramStart"/>
      <w:r w:rsidRPr="00524971">
        <w:rPr>
          <w:b/>
          <w:i/>
          <w:szCs w:val="24"/>
          <w:lang w:eastAsia="en-US"/>
        </w:rPr>
        <w:t>)</w:t>
      </w:r>
      <w:r w:rsidRPr="00524971">
        <w:rPr>
          <w:szCs w:val="24"/>
          <w:lang w:eastAsia="en-US"/>
        </w:rPr>
        <w:tab/>
      </w:r>
      <w:r w:rsidRPr="00524971">
        <w:rPr>
          <w:b/>
          <w:i/>
          <w:szCs w:val="24"/>
          <w:lang w:eastAsia="en-US"/>
        </w:rPr>
        <w:t>„odwracanie</w:t>
      </w:r>
      <w:proofErr w:type="gramEnd"/>
      <w:r w:rsidRPr="00524971">
        <w:rPr>
          <w:b/>
          <w:i/>
          <w:szCs w:val="24"/>
          <w:lang w:eastAsia="en-US"/>
        </w:rPr>
        <w:t xml:space="preserve"> procesu uszczelniania gleby” oznacza ponowne przekształcanie gruntów, które nie spełniają już naturalnych funkcji gleby, takich jak infiltracja, perkolacja i funkcja hydrologiczna, w glebę funkcjonalną;</w:t>
      </w:r>
      <w:r w:rsidR="00E24A83">
        <w:rPr>
          <w:b/>
          <w:szCs w:val="24"/>
          <w:lang w:eastAsia="en-US"/>
        </w:rPr>
        <w:t xml:space="preserve"> [Popr. 55]</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18)</w:t>
      </w:r>
      <w:r w:rsidRPr="00524971">
        <w:rPr>
          <w:szCs w:val="24"/>
          <w:lang w:eastAsia="en-US"/>
        </w:rPr>
        <w:tab/>
        <w:t>„funkcja</w:t>
      </w:r>
      <w:proofErr w:type="gramEnd"/>
      <w:r w:rsidRPr="00524971">
        <w:rPr>
          <w:szCs w:val="24"/>
          <w:lang w:eastAsia="en-US"/>
        </w:rPr>
        <w:t xml:space="preserve"> przejścia” oznacza zasadę matematyczną umożliwiającą przeliczenie wartości pomiaru przeprowadzonego przy użyciu metodyki innej niż metodyka referencyjna na wartość, która zostałaby uzyskana przez przeprowadzenie pomiaru gleby przy użyciu metodyki referencyjnej;</w:t>
      </w:r>
    </w:p>
    <w:p w:rsidR="00E24A83" w:rsidRDefault="00E24A83">
      <w:pPr>
        <w:widowControl/>
        <w:rPr>
          <w:szCs w:val="24"/>
          <w:lang w:eastAsia="en-US"/>
        </w:rPr>
      </w:pPr>
      <w:r>
        <w:rPr>
          <w:szCs w:val="24"/>
          <w:lang w:eastAsia="en-US"/>
        </w:rPr>
        <w:br w:type="page"/>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19)</w:t>
      </w:r>
      <w:r w:rsidRPr="00524971">
        <w:rPr>
          <w:szCs w:val="24"/>
          <w:lang w:eastAsia="en-US"/>
        </w:rPr>
        <w:tab/>
        <w:t>„zainteresowana</w:t>
      </w:r>
      <w:proofErr w:type="gramEnd"/>
      <w:r w:rsidRPr="00524971">
        <w:rPr>
          <w:szCs w:val="24"/>
          <w:lang w:eastAsia="en-US"/>
        </w:rPr>
        <w:t xml:space="preserve"> społeczność” oznacza społeczność, która jest lub może być dotknięta degradacją gleby lub ma interes w procedurach decyzyjnych związanych z realizacją obowiązków wynikających z niniejszej dyrektywy, w tym </w:t>
      </w:r>
      <w:r w:rsidRPr="00524971">
        <w:rPr>
          <w:b/>
          <w:i/>
          <w:szCs w:val="24"/>
          <w:lang w:eastAsia="en-US"/>
        </w:rPr>
        <w:t xml:space="preserve">obywateli, </w:t>
      </w:r>
      <w:r w:rsidRPr="00524971">
        <w:rPr>
          <w:szCs w:val="24"/>
          <w:lang w:eastAsia="en-US"/>
        </w:rPr>
        <w:t>właścicieli</w:t>
      </w:r>
      <w:r w:rsidRPr="00524971">
        <w:rPr>
          <w:b/>
          <w:i/>
          <w:szCs w:val="24"/>
          <w:lang w:eastAsia="en-US"/>
        </w:rPr>
        <w:t>, zarządców</w:t>
      </w:r>
      <w:r w:rsidRPr="00524971">
        <w:rPr>
          <w:strike/>
          <w:szCs w:val="24"/>
          <w:lang w:eastAsia="en-US"/>
        </w:rPr>
        <w:t xml:space="preserve"> gruntów</w:t>
      </w:r>
      <w:r w:rsidRPr="00524971">
        <w:rPr>
          <w:szCs w:val="24"/>
          <w:lang w:eastAsia="en-US"/>
        </w:rPr>
        <w:t xml:space="preserve"> i użytkowników gruntów, a także organizacje pozarządowe propagujące ochronę zdrowia ludzi lub </w:t>
      </w:r>
      <w:r w:rsidRPr="00524971">
        <w:rPr>
          <w:b/>
          <w:i/>
          <w:szCs w:val="24"/>
          <w:lang w:eastAsia="en-US"/>
        </w:rPr>
        <w:t xml:space="preserve">zwierząt lub </w:t>
      </w:r>
      <w:r w:rsidRPr="00524971">
        <w:rPr>
          <w:szCs w:val="24"/>
          <w:lang w:eastAsia="en-US"/>
        </w:rPr>
        <w:t>środowiska i spełniające wszelkie wymogi przewidziane w prawie krajowym;</w:t>
      </w:r>
      <w:r w:rsidR="00E24A83">
        <w:rPr>
          <w:b/>
          <w:szCs w:val="24"/>
          <w:lang w:eastAsia="en-US"/>
        </w:rPr>
        <w:t xml:space="preserve"> [Popr. 56]</w:t>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t>19a</w:t>
      </w:r>
      <w:proofErr w:type="gramStart"/>
      <w:r w:rsidRPr="00524971">
        <w:rPr>
          <w:b/>
          <w:i/>
          <w:szCs w:val="24"/>
          <w:lang w:eastAsia="en-US"/>
        </w:rPr>
        <w:t>)</w:t>
      </w:r>
      <w:r w:rsidRPr="00524971">
        <w:rPr>
          <w:szCs w:val="24"/>
          <w:lang w:eastAsia="en-US"/>
        </w:rPr>
        <w:tab/>
      </w:r>
      <w:r w:rsidRPr="00524971">
        <w:rPr>
          <w:b/>
          <w:i/>
          <w:szCs w:val="24"/>
          <w:lang w:eastAsia="en-US"/>
        </w:rPr>
        <w:t>„społeczeństwo</w:t>
      </w:r>
      <w:proofErr w:type="gramEnd"/>
      <w:r w:rsidRPr="00524971">
        <w:rPr>
          <w:b/>
          <w:i/>
          <w:szCs w:val="24"/>
          <w:lang w:eastAsia="en-US"/>
        </w:rPr>
        <w:t>” oznacza co najmniej jedną osobę fizyczną lub prawną oraz, zgodnie z prawem krajowym lub praktyką krajową, stowarzyszenia, organizacje lub grupy, w których skład wchodzą takie osoby;</w:t>
      </w:r>
      <w:r w:rsidR="00E24A83">
        <w:rPr>
          <w:b/>
          <w:szCs w:val="24"/>
          <w:lang w:eastAsia="en-US"/>
        </w:rPr>
        <w:t xml:space="preserve"> [Popr. 57]</w:t>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t>20)</w:t>
      </w:r>
      <w:r w:rsidRPr="00524971">
        <w:rPr>
          <w:szCs w:val="24"/>
          <w:lang w:eastAsia="en-US"/>
        </w:rPr>
        <w:tab/>
        <w:t>„zanieczyszczenie</w:t>
      </w:r>
      <w:proofErr w:type="gramEnd"/>
      <w:r w:rsidRPr="00524971">
        <w:rPr>
          <w:szCs w:val="24"/>
          <w:lang w:eastAsia="en-US"/>
        </w:rPr>
        <w:t xml:space="preserve"> gleby” oznacza obecność </w:t>
      </w:r>
      <w:r w:rsidRPr="00524971">
        <w:rPr>
          <w:strike/>
          <w:szCs w:val="24"/>
          <w:lang w:eastAsia="en-US"/>
        </w:rPr>
        <w:t xml:space="preserve">chemikaliów lub </w:t>
      </w:r>
      <w:r w:rsidRPr="00524971">
        <w:rPr>
          <w:szCs w:val="24"/>
          <w:lang w:eastAsia="en-US"/>
        </w:rPr>
        <w:t>substancji</w:t>
      </w:r>
      <w:r w:rsidRPr="00524971">
        <w:rPr>
          <w:b/>
          <w:i/>
          <w:szCs w:val="24"/>
          <w:lang w:eastAsia="en-US"/>
        </w:rPr>
        <w:t xml:space="preserve"> lub materiałów</w:t>
      </w:r>
      <w:r w:rsidRPr="00524971">
        <w:rPr>
          <w:szCs w:val="24"/>
          <w:lang w:eastAsia="en-US"/>
        </w:rPr>
        <w:t xml:space="preserve"> w glebie w stężeniu, które może </w:t>
      </w:r>
      <w:proofErr w:type="spellStart"/>
      <w:r w:rsidRPr="00524971">
        <w:rPr>
          <w:strike/>
          <w:szCs w:val="24"/>
          <w:lang w:eastAsia="en-US"/>
        </w:rPr>
        <w:t>być</w:t>
      </w:r>
      <w:r w:rsidRPr="00524971">
        <w:rPr>
          <w:b/>
          <w:i/>
          <w:szCs w:val="24"/>
          <w:lang w:eastAsia="en-US"/>
        </w:rPr>
        <w:t>bezpośrednio</w:t>
      </w:r>
      <w:proofErr w:type="spellEnd"/>
      <w:r w:rsidRPr="00524971">
        <w:rPr>
          <w:b/>
          <w:i/>
          <w:szCs w:val="24"/>
          <w:lang w:eastAsia="en-US"/>
        </w:rPr>
        <w:t xml:space="preserve"> lub pośrednio powodować</w:t>
      </w:r>
      <w:r w:rsidRPr="00524971">
        <w:rPr>
          <w:szCs w:val="24"/>
          <w:lang w:eastAsia="en-US"/>
        </w:rPr>
        <w:t xml:space="preserve"> szkodliwe</w:t>
      </w:r>
      <w:r w:rsidRPr="00524971">
        <w:rPr>
          <w:b/>
          <w:i/>
          <w:szCs w:val="24"/>
          <w:lang w:eastAsia="en-US"/>
        </w:rPr>
        <w:t xml:space="preserve"> skutki</w:t>
      </w:r>
      <w:r w:rsidRPr="00524971">
        <w:rPr>
          <w:szCs w:val="24"/>
          <w:lang w:eastAsia="en-US"/>
        </w:rPr>
        <w:t xml:space="preserve"> dla zdrowia ludzi lub </w:t>
      </w:r>
      <w:r w:rsidRPr="00524971">
        <w:rPr>
          <w:b/>
          <w:i/>
          <w:szCs w:val="24"/>
          <w:lang w:eastAsia="en-US"/>
        </w:rPr>
        <w:t xml:space="preserve">zwierząt lub </w:t>
      </w:r>
      <w:r w:rsidRPr="00524971">
        <w:rPr>
          <w:szCs w:val="24"/>
          <w:lang w:eastAsia="en-US"/>
        </w:rPr>
        <w:t>środowiska;</w:t>
      </w:r>
      <w:r w:rsidR="00E24A83">
        <w:rPr>
          <w:b/>
          <w:szCs w:val="24"/>
          <w:lang w:eastAsia="en-US"/>
        </w:rPr>
        <w:t xml:space="preserve"> [Popr. 58]</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21)</w:t>
      </w:r>
      <w:r w:rsidRPr="00524971">
        <w:rPr>
          <w:szCs w:val="24"/>
          <w:lang w:eastAsia="en-US"/>
        </w:rPr>
        <w:tab/>
        <w:t>„substancja</w:t>
      </w:r>
      <w:proofErr w:type="gramEnd"/>
      <w:r w:rsidRPr="00524971">
        <w:rPr>
          <w:szCs w:val="24"/>
          <w:lang w:eastAsia="en-US"/>
        </w:rPr>
        <w:t xml:space="preserve"> zanieczyszczająca” oznacza substancję, która może powodować zanieczyszczenie gleby;</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22)</w:t>
      </w:r>
      <w:r w:rsidRPr="00524971">
        <w:rPr>
          <w:szCs w:val="24"/>
          <w:lang w:eastAsia="en-US"/>
        </w:rPr>
        <w:tab/>
        <w:t>„regeneracja</w:t>
      </w:r>
      <w:proofErr w:type="gramEnd"/>
      <w:r w:rsidRPr="00524971">
        <w:rPr>
          <w:szCs w:val="24"/>
          <w:lang w:eastAsia="en-US"/>
        </w:rPr>
        <w:t>” oznacza działanie celowe mające na celu zmianę stanu gleby ze zdegradowanego na zdrowy;</w:t>
      </w:r>
    </w:p>
    <w:p w:rsidR="00E24A83" w:rsidRDefault="00E24A83">
      <w:pPr>
        <w:widowControl/>
        <w:rPr>
          <w:szCs w:val="24"/>
          <w:lang w:eastAsia="en-US"/>
        </w:rPr>
      </w:pPr>
      <w:r>
        <w:rPr>
          <w:szCs w:val="24"/>
          <w:lang w:eastAsia="en-US"/>
        </w:rPr>
        <w:br w:type="page"/>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lastRenderedPageBreak/>
        <w:t>23)</w:t>
      </w:r>
      <w:r w:rsidRPr="00524971">
        <w:rPr>
          <w:szCs w:val="24"/>
          <w:lang w:eastAsia="en-US"/>
        </w:rPr>
        <w:tab/>
        <w:t>„ryzyko</w:t>
      </w:r>
      <w:proofErr w:type="gramEnd"/>
      <w:r w:rsidRPr="00524971">
        <w:rPr>
          <w:szCs w:val="24"/>
          <w:lang w:eastAsia="en-US"/>
        </w:rPr>
        <w:t xml:space="preserve">” oznacza możliwość wystąpienia szkodliwych skutków dla zdrowia ludzi lub </w:t>
      </w:r>
      <w:r w:rsidRPr="00524971">
        <w:rPr>
          <w:b/>
          <w:i/>
          <w:szCs w:val="24"/>
          <w:lang w:eastAsia="en-US"/>
        </w:rPr>
        <w:t xml:space="preserve">zwierząt lub </w:t>
      </w:r>
      <w:r w:rsidRPr="00524971">
        <w:rPr>
          <w:szCs w:val="24"/>
          <w:lang w:eastAsia="en-US"/>
        </w:rPr>
        <w:t>środowiska, wynikających z narażenia na zanieczyszczenie gleby;</w:t>
      </w:r>
      <w:r w:rsidR="00E24A83">
        <w:rPr>
          <w:b/>
          <w:szCs w:val="24"/>
          <w:lang w:eastAsia="en-US"/>
        </w:rPr>
        <w:t xml:space="preserve"> [Popr. 59]</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24)</w:t>
      </w:r>
      <w:r w:rsidRPr="00524971">
        <w:rPr>
          <w:szCs w:val="24"/>
          <w:lang w:eastAsia="en-US"/>
        </w:rPr>
        <w:tab/>
        <w:t>„badanie</w:t>
      </w:r>
      <w:proofErr w:type="gramEnd"/>
      <w:r w:rsidRPr="00524971">
        <w:rPr>
          <w:szCs w:val="24"/>
          <w:lang w:eastAsia="en-US"/>
        </w:rPr>
        <w:t xml:space="preserve"> gleby” oznacza proces mający na celu ocenę obecności i stężenia substancji zanieczyszczających w glebie, przeprowadzany zazwyczaj na różnych etapach;</w:t>
      </w:r>
    </w:p>
    <w:p w:rsidR="00524971" w:rsidRPr="00524971" w:rsidRDefault="00524971" w:rsidP="00524971">
      <w:pPr>
        <w:spacing w:before="120" w:after="120" w:line="360" w:lineRule="auto"/>
        <w:ind w:left="850" w:hanging="850"/>
        <w:rPr>
          <w:szCs w:val="24"/>
          <w:lang w:eastAsia="en-US"/>
        </w:rPr>
      </w:pPr>
      <w:proofErr w:type="gramStart"/>
      <w:r w:rsidRPr="00524971">
        <w:rPr>
          <w:szCs w:val="24"/>
          <w:lang w:eastAsia="en-US"/>
        </w:rPr>
        <w:t>25)</w:t>
      </w:r>
      <w:r w:rsidRPr="00524971">
        <w:rPr>
          <w:szCs w:val="24"/>
          <w:lang w:eastAsia="en-US"/>
        </w:rPr>
        <w:tab/>
        <w:t>„jednoznaczne</w:t>
      </w:r>
      <w:proofErr w:type="gramEnd"/>
      <w:r w:rsidRPr="00524971">
        <w:rPr>
          <w:szCs w:val="24"/>
          <w:lang w:eastAsia="en-US"/>
        </w:rPr>
        <w:t xml:space="preserve"> geograficznie” oznacza informacje przywoływane i przechowywane w sposób umożliwiający ich mapowanie i lokalizację z określoną precyzją i dokładnością;</w:t>
      </w:r>
    </w:p>
    <w:p w:rsidR="00524971" w:rsidRPr="00E24A83" w:rsidRDefault="00524971" w:rsidP="00524971">
      <w:pPr>
        <w:spacing w:before="120" w:after="120" w:line="360" w:lineRule="auto"/>
        <w:ind w:left="850" w:hanging="850"/>
        <w:rPr>
          <w:b/>
          <w:szCs w:val="24"/>
          <w:lang w:eastAsia="en-US"/>
        </w:rPr>
      </w:pPr>
      <w:proofErr w:type="gramStart"/>
      <w:r w:rsidRPr="00524971">
        <w:rPr>
          <w:szCs w:val="24"/>
          <w:lang w:eastAsia="en-US"/>
        </w:rPr>
        <w:t>26)</w:t>
      </w:r>
      <w:r w:rsidRPr="00524971">
        <w:rPr>
          <w:szCs w:val="24"/>
          <w:lang w:eastAsia="en-US"/>
        </w:rPr>
        <w:tab/>
        <w:t>„</w:t>
      </w:r>
      <w:proofErr w:type="spellStart"/>
      <w:r w:rsidRPr="00524971">
        <w:rPr>
          <w:szCs w:val="24"/>
          <w:lang w:eastAsia="en-US"/>
        </w:rPr>
        <w:t>remediacja</w:t>
      </w:r>
      <w:proofErr w:type="spellEnd"/>
      <w:proofErr w:type="gramEnd"/>
      <w:r w:rsidRPr="00524971">
        <w:rPr>
          <w:szCs w:val="24"/>
          <w:lang w:eastAsia="en-US"/>
        </w:rPr>
        <w:t xml:space="preserve"> gleby” oznacza działanie polegające na regeneracji, która zmniejsza, izoluje lub unieruchamia stężenie substancji zanieczyszczających w glebach</w:t>
      </w:r>
      <w:r w:rsidRPr="00524971">
        <w:rPr>
          <w:b/>
          <w:i/>
          <w:szCs w:val="24"/>
          <w:lang w:eastAsia="en-US"/>
        </w:rPr>
        <w:t xml:space="preserve"> na poziomie poniżej progu toksyczności, przy którym można wykluczyć poważne zagrożenia dla organizmów mających kontakt z tą glebą, w celu poprawy stanu ekologicznego</w:t>
      </w:r>
      <w:r w:rsidRPr="00524971">
        <w:rPr>
          <w:szCs w:val="24"/>
          <w:lang w:eastAsia="en-US"/>
        </w:rPr>
        <w:t>.</w:t>
      </w:r>
      <w:r w:rsidR="00E24A83">
        <w:rPr>
          <w:b/>
          <w:szCs w:val="24"/>
          <w:lang w:eastAsia="en-US"/>
        </w:rPr>
        <w:t xml:space="preserve"> [Popr. 60]</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4</w:t>
      </w:r>
      <w:r w:rsidRPr="00524971">
        <w:rPr>
          <w:szCs w:val="24"/>
          <w:lang w:eastAsia="en-US"/>
        </w:rPr>
        <w:br/>
        <w:t>Okręgi glebowe</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Państwa członkowskie</w:t>
      </w:r>
      <w:r w:rsidRPr="00524971">
        <w:rPr>
          <w:b/>
          <w:i/>
          <w:szCs w:val="24"/>
          <w:lang w:eastAsia="en-US"/>
        </w:rPr>
        <w:t>, w porozumieniu z władzami lokalnymi, regionalnymi i międzyregionalnymi,</w:t>
      </w:r>
      <w:r w:rsidRPr="00524971">
        <w:rPr>
          <w:szCs w:val="24"/>
          <w:lang w:eastAsia="en-US"/>
        </w:rPr>
        <w:t xml:space="preserve"> ustanawiają okręgi glebowe </w:t>
      </w:r>
      <w:r w:rsidRPr="00524971">
        <w:rPr>
          <w:b/>
          <w:i/>
          <w:szCs w:val="24"/>
          <w:lang w:eastAsia="en-US"/>
        </w:rPr>
        <w:t xml:space="preserve">– w oparciu, w stosownych przypadkach, o istniejące jednostki administracyjne – </w:t>
      </w:r>
      <w:r w:rsidRPr="00524971">
        <w:rPr>
          <w:szCs w:val="24"/>
          <w:lang w:eastAsia="en-US"/>
        </w:rPr>
        <w:t xml:space="preserve">na całym </w:t>
      </w:r>
      <w:proofErr w:type="spellStart"/>
      <w:r w:rsidRPr="00524971">
        <w:rPr>
          <w:strike/>
          <w:szCs w:val="24"/>
          <w:lang w:eastAsia="en-US"/>
        </w:rPr>
        <w:t>swoim</w:t>
      </w:r>
      <w:r w:rsidRPr="00524971">
        <w:rPr>
          <w:b/>
          <w:i/>
          <w:szCs w:val="24"/>
          <w:lang w:eastAsia="en-US"/>
        </w:rPr>
        <w:t>własnym</w:t>
      </w:r>
      <w:proofErr w:type="spellEnd"/>
      <w:r w:rsidRPr="00524971">
        <w:rPr>
          <w:szCs w:val="24"/>
          <w:lang w:eastAsia="en-US"/>
        </w:rPr>
        <w:t xml:space="preserve"> terytorium</w:t>
      </w:r>
      <w:r w:rsidRPr="00524971">
        <w:rPr>
          <w:b/>
          <w:i/>
          <w:szCs w:val="24"/>
          <w:lang w:eastAsia="en-US"/>
        </w:rPr>
        <w:t>, a także na terytoriach transgranicznych – razem z sąsiednimi państwami członkowskimi</w:t>
      </w:r>
      <w:r w:rsidRPr="00524971">
        <w:rPr>
          <w:szCs w:val="24"/>
          <w:lang w:eastAsia="en-US"/>
        </w:rPr>
        <w:t>.</w:t>
      </w:r>
      <w:r w:rsidR="00E24A83">
        <w:rPr>
          <w:b/>
          <w:szCs w:val="24"/>
          <w:lang w:eastAsia="en-US"/>
        </w:rPr>
        <w:t xml:space="preserve"> [Popr. 61]</w:t>
      </w:r>
    </w:p>
    <w:p w:rsidR="00524971" w:rsidRPr="00E24A83" w:rsidRDefault="00524971" w:rsidP="00524971">
      <w:pPr>
        <w:spacing w:before="120" w:after="120" w:line="360" w:lineRule="auto"/>
        <w:ind w:left="850"/>
        <w:rPr>
          <w:b/>
          <w:szCs w:val="24"/>
          <w:lang w:eastAsia="en-US"/>
        </w:rPr>
      </w:pPr>
      <w:r w:rsidRPr="00524971">
        <w:rPr>
          <w:strike/>
          <w:szCs w:val="24"/>
          <w:lang w:eastAsia="en-US"/>
        </w:rPr>
        <w:t>Liczba okręgów glebowych dla każdego państwa członkowskiego odpowiada co najmniej liczbie jednostek terytorialnych NUTS 1 ustanowionych na mocy rozporządzenia (WE) nr 1059/2003.</w:t>
      </w:r>
      <w:r w:rsidR="00E24A83">
        <w:rPr>
          <w:b/>
          <w:szCs w:val="24"/>
          <w:lang w:eastAsia="en-US"/>
        </w:rPr>
        <w:t xml:space="preserve"> [Popr. 221/rev1]</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2.</w:t>
      </w:r>
      <w:r w:rsidRPr="00524971">
        <w:rPr>
          <w:szCs w:val="24"/>
          <w:lang w:eastAsia="en-US"/>
        </w:rPr>
        <w:tab/>
        <w:t xml:space="preserve">Ustalając zasięg geograficzny okręgów glebowych, państwa członkowskie mogą uwzględnić istniejące </w:t>
      </w:r>
      <w:r w:rsidRPr="00524971">
        <w:rPr>
          <w:b/>
          <w:i/>
          <w:szCs w:val="24"/>
          <w:lang w:eastAsia="en-US"/>
        </w:rPr>
        <w:t xml:space="preserve">sposoby użytkowania gruntów, struktury zarządzania i </w:t>
      </w:r>
      <w:r w:rsidRPr="00524971">
        <w:rPr>
          <w:szCs w:val="24"/>
          <w:lang w:eastAsia="en-US"/>
        </w:rPr>
        <w:t xml:space="preserve">jednostki administracyjne i </w:t>
      </w:r>
      <w:r w:rsidRPr="00524971">
        <w:rPr>
          <w:strike/>
          <w:szCs w:val="24"/>
          <w:lang w:eastAsia="en-US"/>
        </w:rPr>
        <w:t xml:space="preserve">dążą do </w:t>
      </w:r>
      <w:proofErr w:type="spellStart"/>
      <w:r w:rsidRPr="00524971">
        <w:rPr>
          <w:strike/>
          <w:szCs w:val="24"/>
          <w:lang w:eastAsia="en-US"/>
        </w:rPr>
        <w:t>jednorodności</w:t>
      </w:r>
      <w:r w:rsidRPr="00524971">
        <w:rPr>
          <w:b/>
          <w:i/>
          <w:szCs w:val="24"/>
          <w:lang w:eastAsia="en-US"/>
        </w:rPr>
        <w:t>traktują</w:t>
      </w:r>
      <w:proofErr w:type="spellEnd"/>
      <w:r w:rsidRPr="00524971">
        <w:rPr>
          <w:b/>
          <w:i/>
          <w:szCs w:val="24"/>
          <w:lang w:eastAsia="en-US"/>
        </w:rPr>
        <w:t xml:space="preserve"> priorytetowo jednorodność</w:t>
      </w:r>
      <w:r w:rsidRPr="00524971">
        <w:rPr>
          <w:szCs w:val="24"/>
          <w:lang w:eastAsia="en-US"/>
        </w:rPr>
        <w:t xml:space="preserve"> w obrębie każdego okręgu glebowego w odniesieniu do następujących parametrów:</w:t>
      </w:r>
      <w:r w:rsidR="00E24A83">
        <w:rPr>
          <w:b/>
          <w:szCs w:val="24"/>
          <w:lang w:eastAsia="en-US"/>
        </w:rPr>
        <w:t xml:space="preserve"> [Popr. 63]</w:t>
      </w:r>
    </w:p>
    <w:p w:rsidR="00524971" w:rsidRPr="00524971" w:rsidRDefault="00524971" w:rsidP="00524971">
      <w:pPr>
        <w:spacing w:before="120" w:after="120" w:line="360" w:lineRule="auto"/>
        <w:ind w:left="1416" w:hanging="566"/>
        <w:rPr>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typ</w:t>
      </w:r>
      <w:proofErr w:type="gramEnd"/>
      <w:r w:rsidRPr="00524971">
        <w:rPr>
          <w:szCs w:val="24"/>
          <w:lang w:eastAsia="en-US"/>
        </w:rPr>
        <w:t xml:space="preserve"> gleby określony w światowej bazie referencyjnej zasobów glebowych</w:t>
      </w:r>
      <w:r w:rsidRPr="00524971">
        <w:rPr>
          <w:szCs w:val="24"/>
          <w:vertAlign w:val="superscript"/>
          <w:lang w:val="en-GB" w:eastAsia="en-US"/>
        </w:rPr>
        <w:footnoteReference w:id="48"/>
      </w:r>
      <w:r w:rsidRPr="00524971">
        <w:rPr>
          <w:szCs w:val="24"/>
          <w:lang w:eastAsia="en-US"/>
        </w:rPr>
        <w:t>;</w:t>
      </w:r>
    </w:p>
    <w:p w:rsidR="00524971" w:rsidRPr="00524971" w:rsidRDefault="00524971" w:rsidP="00524971">
      <w:pPr>
        <w:spacing w:before="120" w:after="120" w:line="360" w:lineRule="auto"/>
        <w:ind w:left="1416" w:hanging="566"/>
        <w:rPr>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warunki</w:t>
      </w:r>
      <w:proofErr w:type="gramEnd"/>
      <w:r w:rsidRPr="00524971">
        <w:rPr>
          <w:szCs w:val="24"/>
          <w:lang w:eastAsia="en-US"/>
        </w:rPr>
        <w:t xml:space="preserve"> klimatyczne;</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strefa</w:t>
      </w:r>
      <w:proofErr w:type="gramEnd"/>
      <w:r w:rsidRPr="00524971">
        <w:rPr>
          <w:szCs w:val="24"/>
          <w:lang w:eastAsia="en-US"/>
        </w:rPr>
        <w:t xml:space="preserve"> środowiskowa opisana w sprawozdaniu </w:t>
      </w:r>
      <w:proofErr w:type="spellStart"/>
      <w:r w:rsidRPr="00524971">
        <w:rPr>
          <w:szCs w:val="24"/>
          <w:lang w:eastAsia="en-US"/>
        </w:rPr>
        <w:t>Alterra</w:t>
      </w:r>
      <w:proofErr w:type="spellEnd"/>
      <w:r w:rsidRPr="00524971">
        <w:rPr>
          <w:szCs w:val="24"/>
          <w:lang w:eastAsia="en-US"/>
        </w:rPr>
        <w:t xml:space="preserve"> 2281</w:t>
      </w:r>
      <w:r w:rsidRPr="00524971">
        <w:rPr>
          <w:szCs w:val="24"/>
          <w:vertAlign w:val="superscript"/>
          <w:lang w:val="en-GB" w:eastAsia="en-US"/>
        </w:rPr>
        <w:footnoteReference w:id="49"/>
      </w:r>
      <w:r w:rsidRPr="00524971">
        <w:rPr>
          <w:szCs w:val="24"/>
          <w:lang w:eastAsia="en-US"/>
        </w:rPr>
        <w:t>;</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ind w:left="1416" w:hanging="566"/>
        <w:rPr>
          <w:szCs w:val="24"/>
          <w:lang w:eastAsia="en-US"/>
        </w:rPr>
      </w:pPr>
      <w:r w:rsidRPr="00524971">
        <w:rPr>
          <w:szCs w:val="24"/>
          <w:lang w:eastAsia="en-US"/>
        </w:rPr>
        <w:lastRenderedPageBreak/>
        <w:t>d</w:t>
      </w:r>
      <w:proofErr w:type="gramStart"/>
      <w:r w:rsidRPr="00524971">
        <w:rPr>
          <w:szCs w:val="24"/>
          <w:lang w:eastAsia="en-US"/>
        </w:rPr>
        <w:t>)</w:t>
      </w:r>
      <w:r w:rsidRPr="00524971">
        <w:rPr>
          <w:szCs w:val="24"/>
          <w:lang w:eastAsia="en-US"/>
        </w:rPr>
        <w:tab/>
        <w:t>użytkowanie</w:t>
      </w:r>
      <w:proofErr w:type="gramEnd"/>
      <w:r w:rsidRPr="00524971">
        <w:rPr>
          <w:szCs w:val="24"/>
          <w:lang w:eastAsia="en-US"/>
        </w:rPr>
        <w:t xml:space="preserve"> gruntów lub pokrycia terenu zgodnie z programem badania terenowego użytkowania gr</w:t>
      </w:r>
      <w:r w:rsidR="00E24A83">
        <w:rPr>
          <w:szCs w:val="24"/>
          <w:lang w:eastAsia="en-US"/>
        </w:rPr>
        <w:t>untów i pokrycia terenu (LUCAS);</w:t>
      </w:r>
    </w:p>
    <w:p w:rsidR="00524971" w:rsidRPr="00E24A83" w:rsidRDefault="00524971" w:rsidP="00524971">
      <w:pPr>
        <w:spacing w:before="120" w:after="120" w:line="360" w:lineRule="auto"/>
        <w:ind w:left="1416" w:hanging="566"/>
        <w:rPr>
          <w:b/>
          <w:szCs w:val="24"/>
          <w:lang w:eastAsia="en-US"/>
        </w:rPr>
      </w:pPr>
      <w:r w:rsidRPr="00524971">
        <w:rPr>
          <w:b/>
          <w:i/>
          <w:szCs w:val="24"/>
          <w:lang w:eastAsia="en-US"/>
        </w:rPr>
        <w:t>da</w:t>
      </w:r>
      <w:proofErr w:type="gramStart"/>
      <w:r w:rsidRPr="00524971">
        <w:rPr>
          <w:b/>
          <w:i/>
          <w:szCs w:val="24"/>
          <w:lang w:eastAsia="en-US"/>
        </w:rPr>
        <w:t>)</w:t>
      </w:r>
      <w:r w:rsidRPr="00524971">
        <w:rPr>
          <w:szCs w:val="24"/>
          <w:lang w:eastAsia="en-US"/>
        </w:rPr>
        <w:tab/>
      </w:r>
      <w:r w:rsidRPr="00524971">
        <w:rPr>
          <w:b/>
          <w:i/>
          <w:szCs w:val="24"/>
          <w:lang w:eastAsia="en-US"/>
        </w:rPr>
        <w:t>obszary</w:t>
      </w:r>
      <w:proofErr w:type="gramEnd"/>
      <w:r w:rsidRPr="00524971">
        <w:rPr>
          <w:b/>
          <w:i/>
          <w:szCs w:val="24"/>
          <w:lang w:eastAsia="en-US"/>
        </w:rPr>
        <w:t xml:space="preserve"> dorzecza zgodnie z dyrektywą 2000/60/WE i jednolite części wód wykorzystywane do poboru wody przeznaczonej do spożycia przez ludzi zdefiniowanej w dyrektywie (UE) 2020/2184</w:t>
      </w:r>
      <w:r w:rsidR="00E24A83">
        <w:rPr>
          <w:b/>
          <w:i/>
          <w:szCs w:val="24"/>
          <w:lang w:eastAsia="en-US"/>
        </w:rPr>
        <w:t>;</w:t>
      </w:r>
      <w:r w:rsidR="00E24A83">
        <w:rPr>
          <w:b/>
          <w:szCs w:val="24"/>
          <w:lang w:eastAsia="en-US"/>
        </w:rPr>
        <w:t xml:space="preserve"> [Popr. 64]</w:t>
      </w:r>
    </w:p>
    <w:p w:rsidR="00524971" w:rsidRPr="00E24A83" w:rsidRDefault="00524971" w:rsidP="00524971">
      <w:pPr>
        <w:spacing w:before="120" w:after="120" w:line="360" w:lineRule="auto"/>
        <w:ind w:left="1416" w:hanging="566"/>
        <w:rPr>
          <w:b/>
          <w:szCs w:val="24"/>
          <w:lang w:eastAsia="en-US"/>
        </w:rPr>
      </w:pPr>
      <w:proofErr w:type="spellStart"/>
      <w:r w:rsidRPr="00524971">
        <w:rPr>
          <w:b/>
          <w:i/>
          <w:szCs w:val="24"/>
          <w:lang w:eastAsia="en-US"/>
        </w:rPr>
        <w:t>db</w:t>
      </w:r>
      <w:proofErr w:type="spellEnd"/>
      <w:proofErr w:type="gramStart"/>
      <w:r w:rsidRPr="00524971">
        <w:rPr>
          <w:b/>
          <w:i/>
          <w:szCs w:val="24"/>
          <w:lang w:eastAsia="en-US"/>
        </w:rPr>
        <w:t>)</w:t>
      </w:r>
      <w:r w:rsidRPr="00524971">
        <w:rPr>
          <w:szCs w:val="24"/>
          <w:lang w:eastAsia="en-US"/>
        </w:rPr>
        <w:tab/>
      </w:r>
      <w:r w:rsidRPr="00524971">
        <w:rPr>
          <w:b/>
          <w:i/>
          <w:szCs w:val="24"/>
          <w:lang w:eastAsia="en-US"/>
        </w:rPr>
        <w:t>występowanie</w:t>
      </w:r>
      <w:proofErr w:type="gramEnd"/>
      <w:r w:rsidRPr="00524971">
        <w:rPr>
          <w:b/>
          <w:i/>
          <w:szCs w:val="24"/>
          <w:lang w:eastAsia="en-US"/>
        </w:rPr>
        <w:t xml:space="preserve"> odległych regionów archipelagowych z rozproszonymi między nimi wyspami, gdzie każda wyspa odpowiada jednemu okręgowi glebowemu;</w:t>
      </w:r>
      <w:r w:rsidR="00E24A83">
        <w:rPr>
          <w:b/>
          <w:szCs w:val="24"/>
          <w:lang w:eastAsia="en-US"/>
        </w:rPr>
        <w:t xml:space="preserve"> [Popr. 224/rev1]</w:t>
      </w:r>
    </w:p>
    <w:p w:rsidR="00524971" w:rsidRPr="00E24A83" w:rsidRDefault="00524971" w:rsidP="00524971">
      <w:pPr>
        <w:spacing w:before="120" w:after="120" w:line="360" w:lineRule="auto"/>
        <w:ind w:left="1416" w:hanging="566"/>
        <w:rPr>
          <w:b/>
          <w:szCs w:val="24"/>
          <w:lang w:eastAsia="en-US"/>
        </w:rPr>
      </w:pPr>
      <w:r w:rsidRPr="00524971">
        <w:rPr>
          <w:b/>
          <w:i/>
          <w:szCs w:val="24"/>
          <w:lang w:eastAsia="en-US"/>
        </w:rPr>
        <w:t>dc</w:t>
      </w:r>
      <w:proofErr w:type="gramStart"/>
      <w:r w:rsidRPr="00524971">
        <w:rPr>
          <w:b/>
          <w:i/>
          <w:szCs w:val="24"/>
          <w:lang w:eastAsia="en-US"/>
        </w:rPr>
        <w:t>)</w:t>
      </w:r>
      <w:r w:rsidRPr="00524971">
        <w:rPr>
          <w:szCs w:val="24"/>
          <w:lang w:eastAsia="en-US"/>
        </w:rPr>
        <w:tab/>
      </w:r>
      <w:r w:rsidRPr="00524971">
        <w:rPr>
          <w:b/>
          <w:i/>
          <w:szCs w:val="24"/>
          <w:lang w:eastAsia="en-US"/>
        </w:rPr>
        <w:t>wykorzystanie</w:t>
      </w:r>
      <w:proofErr w:type="gramEnd"/>
      <w:r w:rsidRPr="00524971">
        <w:rPr>
          <w:b/>
          <w:i/>
          <w:szCs w:val="24"/>
          <w:lang w:eastAsia="en-US"/>
        </w:rPr>
        <w:t xml:space="preserve"> usług programu Copernicus do wyznaczenia okręgów glebowych;</w:t>
      </w:r>
      <w:r w:rsidR="00E24A83">
        <w:rPr>
          <w:b/>
          <w:szCs w:val="24"/>
          <w:lang w:eastAsia="en-US"/>
        </w:rPr>
        <w:t xml:space="preserve"> [Popr. 226/rev1]</w:t>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t>2a.</w:t>
      </w:r>
      <w:r w:rsidRPr="00524971">
        <w:rPr>
          <w:szCs w:val="24"/>
          <w:lang w:eastAsia="en-US"/>
        </w:rPr>
        <w:tab/>
      </w:r>
      <w:r w:rsidRPr="00524971">
        <w:rPr>
          <w:b/>
          <w:i/>
          <w:szCs w:val="24"/>
          <w:lang w:eastAsia="en-US"/>
        </w:rPr>
        <w:t>W stosownych przypadkach państwa członkowskie zapewniają, aby okręgi glebowe sąsiadujących państw członkowskich, w których występują transgraniczne skutki dla gleby, sposoby użytkowania gruntów są porównywalne lub wartości parametrów, o których mowa w ust. 2 lit. a</w:t>
      </w:r>
      <w:proofErr w:type="gramStart"/>
      <w:r w:rsidRPr="00524971">
        <w:rPr>
          <w:b/>
          <w:i/>
          <w:szCs w:val="24"/>
          <w:lang w:eastAsia="en-US"/>
        </w:rPr>
        <w:t>)–d</w:t>
      </w:r>
      <w:proofErr w:type="gramEnd"/>
      <w:r w:rsidRPr="00524971">
        <w:rPr>
          <w:b/>
          <w:i/>
          <w:szCs w:val="24"/>
          <w:lang w:eastAsia="en-US"/>
        </w:rPr>
        <w:t>), są podobne, współpracowały ze sobą w celu wymiany najlepszych praktyk. Państwa członkowskie zapewniają również, aby transgraniczne okręgi glebowe stosowały spójne podejście.</w:t>
      </w:r>
      <w:r w:rsidR="00E24A83">
        <w:rPr>
          <w:b/>
          <w:szCs w:val="24"/>
          <w:lang w:eastAsia="en-US"/>
        </w:rPr>
        <w:t xml:space="preserve"> [Popr. 65]</w:t>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t>2b.</w:t>
      </w:r>
      <w:r w:rsidRPr="00524971">
        <w:rPr>
          <w:szCs w:val="24"/>
          <w:lang w:eastAsia="en-US"/>
        </w:rPr>
        <w:tab/>
      </w:r>
      <w:r w:rsidRPr="00524971">
        <w:rPr>
          <w:b/>
          <w:i/>
          <w:szCs w:val="24"/>
          <w:lang w:eastAsia="en-US"/>
        </w:rPr>
        <w:t>Komisja pomaga państwom członkowskim zapewnić, aby ich okręgi glebowe współpracowały ze sobą w wymiarze transgranicznym, i usprawnia harmonizację systemów monitorowania, funkcji przejścia, modelu monitorowania oraz klasyfikacji stanu ekologicznego na poziomie wskaźników glebowych wymienionych w załączniku I.</w:t>
      </w:r>
      <w:r w:rsidR="00E24A83">
        <w:rPr>
          <w:b/>
          <w:szCs w:val="24"/>
          <w:lang w:eastAsia="en-US"/>
        </w:rPr>
        <w:t xml:space="preserve"> [Popr. 66]</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5</w:t>
      </w:r>
      <w:r w:rsidRPr="00524971">
        <w:rPr>
          <w:szCs w:val="24"/>
          <w:lang w:eastAsia="en-US"/>
        </w:rPr>
        <w:br/>
        <w:t>Właściwe organy</w:t>
      </w:r>
    </w:p>
    <w:p w:rsidR="00524971" w:rsidRPr="00E24A83" w:rsidRDefault="00524971" w:rsidP="00524971">
      <w:pPr>
        <w:spacing w:before="120" w:after="120" w:line="360" w:lineRule="auto"/>
        <w:rPr>
          <w:b/>
          <w:szCs w:val="24"/>
          <w:lang w:eastAsia="en-US"/>
        </w:rPr>
      </w:pPr>
      <w:r w:rsidRPr="00524971">
        <w:rPr>
          <w:szCs w:val="24"/>
          <w:lang w:eastAsia="en-US"/>
        </w:rPr>
        <w:t>Państwa członkowskie wyznaczają właściwe organy odpowiedzialne na odpowiednim szczeblu za wykonywanie obowiązków określonych w niniejszej dyrektywie</w:t>
      </w:r>
      <w:r w:rsidRPr="00524971">
        <w:rPr>
          <w:b/>
          <w:i/>
          <w:szCs w:val="24"/>
          <w:lang w:eastAsia="en-US"/>
        </w:rPr>
        <w:t>, przy czym biorą pod uwagę istniejące podziały i obowiązki administracyjne, w tym w przypadku transgranicznych okręgów glebowych</w:t>
      </w:r>
      <w:r w:rsidRPr="00524971">
        <w:rPr>
          <w:szCs w:val="24"/>
          <w:lang w:eastAsia="en-US"/>
        </w:rPr>
        <w:t>.</w:t>
      </w:r>
      <w:r w:rsidR="00E24A83">
        <w:rPr>
          <w:b/>
          <w:szCs w:val="24"/>
          <w:lang w:eastAsia="en-US"/>
        </w:rPr>
        <w:t xml:space="preserve"> [Popr. 68]</w:t>
      </w:r>
    </w:p>
    <w:p w:rsidR="00524971" w:rsidRPr="00E24A83" w:rsidRDefault="00524971" w:rsidP="00524971">
      <w:pPr>
        <w:spacing w:before="120" w:after="120" w:line="360" w:lineRule="auto"/>
        <w:rPr>
          <w:b/>
          <w:szCs w:val="24"/>
          <w:lang w:eastAsia="en-US"/>
        </w:rPr>
      </w:pPr>
      <w:r w:rsidRPr="00524971">
        <w:rPr>
          <w:szCs w:val="24"/>
          <w:lang w:eastAsia="en-US"/>
        </w:rPr>
        <w:t>Państwa członkowskie wyznaczają jeden właściwy organ dla każdego okręgu glebowego ustanowionego zgodnie z art. 4.</w:t>
      </w:r>
      <w:r w:rsidRPr="00524971">
        <w:rPr>
          <w:b/>
          <w:i/>
          <w:szCs w:val="24"/>
          <w:lang w:eastAsia="en-US"/>
        </w:rPr>
        <w:t xml:space="preserve"> Państwa członkowskie mogą wyznaczyć jeden właściwy organ dla kilku okręgów glebowych.</w:t>
      </w:r>
      <w:r w:rsidR="00E24A83">
        <w:rPr>
          <w:b/>
          <w:szCs w:val="24"/>
          <w:lang w:eastAsia="en-US"/>
        </w:rPr>
        <w:t xml:space="preserve"> [Popr. 69]</w:t>
      </w:r>
    </w:p>
    <w:p w:rsidR="00524971" w:rsidRPr="00E24A83" w:rsidRDefault="00524971" w:rsidP="00524971">
      <w:pPr>
        <w:spacing w:before="120" w:after="120" w:line="360" w:lineRule="auto"/>
        <w:rPr>
          <w:b/>
          <w:szCs w:val="24"/>
          <w:lang w:eastAsia="en-US"/>
        </w:rPr>
      </w:pPr>
      <w:r w:rsidRPr="00524971">
        <w:rPr>
          <w:b/>
          <w:i/>
          <w:szCs w:val="24"/>
          <w:lang w:eastAsia="en-US"/>
        </w:rPr>
        <w:t>Państwa członkowskie przekazują Komisji wykaz właściwych organów, o których mowa w ust. 1 i 2 niniejszego artykułu, zgodnie z art. 18 ust. 3 lit. b</w:t>
      </w:r>
      <w:proofErr w:type="gramStart"/>
      <w:r w:rsidRPr="00524971">
        <w:rPr>
          <w:b/>
          <w:i/>
          <w:szCs w:val="24"/>
          <w:lang w:eastAsia="en-US"/>
        </w:rPr>
        <w:t>). Komisja</w:t>
      </w:r>
      <w:proofErr w:type="gramEnd"/>
      <w:r w:rsidRPr="00524971">
        <w:rPr>
          <w:b/>
          <w:i/>
          <w:szCs w:val="24"/>
          <w:lang w:eastAsia="en-US"/>
        </w:rPr>
        <w:t xml:space="preserve"> publikuje aktualizowany wykaz tych właściwych organów na swojej stronie internetowej.</w:t>
      </w:r>
      <w:r w:rsidR="00E24A83">
        <w:rPr>
          <w:b/>
          <w:szCs w:val="24"/>
          <w:lang w:eastAsia="en-US"/>
        </w:rPr>
        <w:t xml:space="preserve"> [Popr. 70]</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 xml:space="preserve">Rozdział II </w:t>
      </w:r>
      <w:r w:rsidRPr="00524971">
        <w:rPr>
          <w:szCs w:val="24"/>
          <w:lang w:eastAsia="en-US"/>
        </w:rPr>
        <w:br/>
        <w:t>Monitorowania i oceny zdrowia gleb</w:t>
      </w:r>
    </w:p>
    <w:p w:rsidR="00524971" w:rsidRPr="00524971" w:rsidRDefault="00524971" w:rsidP="00524971">
      <w:pPr>
        <w:spacing w:before="120" w:after="120" w:line="360" w:lineRule="auto"/>
        <w:jc w:val="center"/>
        <w:rPr>
          <w:szCs w:val="24"/>
          <w:lang w:eastAsia="en-US"/>
        </w:rPr>
      </w:pPr>
      <w:r w:rsidRPr="00524971">
        <w:rPr>
          <w:szCs w:val="24"/>
          <w:lang w:eastAsia="en-US"/>
        </w:rPr>
        <w:t>Artykuł 6</w:t>
      </w:r>
      <w:r w:rsidRPr="00524971">
        <w:rPr>
          <w:szCs w:val="24"/>
          <w:lang w:eastAsia="en-US"/>
        </w:rPr>
        <w:br/>
        <w:t>Ramy monitorowania zdrowia gleb i przejmowania gruntów</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 xml:space="preserve">Państwa członkowskie ustanawiają ramy monitorowania z uwzględnieniem okręgów glebowych ustanowionych zgodnie z art. 4 ust. 1, aby zapewnić regularne i dokładne monitorowanie zdrowia gleb zgodnie z niniejszym artykułem oraz załącznikami I </w:t>
      </w:r>
      <w:proofErr w:type="spellStart"/>
      <w:r w:rsidRPr="00524971">
        <w:rPr>
          <w:szCs w:val="24"/>
          <w:lang w:eastAsia="en-US"/>
        </w:rPr>
        <w:t>i</w:t>
      </w:r>
      <w:proofErr w:type="spellEnd"/>
      <w:r w:rsidRPr="00524971">
        <w:rPr>
          <w:szCs w:val="24"/>
          <w:lang w:eastAsia="en-US"/>
        </w:rPr>
        <w:t xml:space="preserve"> II</w:t>
      </w:r>
      <w:r w:rsidRPr="00524971">
        <w:rPr>
          <w:b/>
          <w:i/>
          <w:szCs w:val="24"/>
          <w:lang w:eastAsia="en-US"/>
        </w:rPr>
        <w:t xml:space="preserve"> oraz to, że będzie ono uzupełniać podejście do oceny określone w dyrektywie 2000/60/W</w:t>
      </w:r>
      <w:r w:rsidRPr="00524971">
        <w:rPr>
          <w:szCs w:val="24"/>
          <w:lang w:eastAsia="en-US"/>
        </w:rPr>
        <w:t>.</w:t>
      </w:r>
      <w:r w:rsidR="00E24A83">
        <w:rPr>
          <w:b/>
          <w:szCs w:val="24"/>
          <w:lang w:eastAsia="en-US"/>
        </w:rPr>
        <w:t xml:space="preserve"> [Popr. 71]</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2.</w:t>
      </w:r>
      <w:r w:rsidRPr="00524971">
        <w:rPr>
          <w:szCs w:val="24"/>
          <w:lang w:eastAsia="en-US"/>
        </w:rPr>
        <w:tab/>
        <w:t>Państwa członkowskie monitorują zdrowie gleb i przejmowanie gruntów w każdym okręgu glebowym.</w:t>
      </w:r>
      <w:r w:rsidRPr="00524971">
        <w:rPr>
          <w:b/>
          <w:i/>
          <w:szCs w:val="24"/>
          <w:lang w:eastAsia="en-US"/>
        </w:rPr>
        <w:t xml:space="preserve"> Państwa członkowskie korzystają z wiedzy fachowej krajowych instytutów badawczych, istniejących krajowych systemów monitorowania i dostępnych danych. Działania monitorujące prowadzone przez państwa członkowskie nie powodują obciążenia finansowego dla zarządców gruntów.</w:t>
      </w:r>
      <w:r w:rsidR="00E24A83">
        <w:rPr>
          <w:b/>
          <w:szCs w:val="24"/>
          <w:lang w:eastAsia="en-US"/>
        </w:rPr>
        <w:t xml:space="preserve"> [Popr. 72]</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szCs w:val="24"/>
          <w:lang w:eastAsia="en-US"/>
        </w:rPr>
        <w:lastRenderedPageBreak/>
        <w:t>3.</w:t>
      </w:r>
      <w:r w:rsidRPr="00524971">
        <w:rPr>
          <w:szCs w:val="24"/>
          <w:lang w:eastAsia="en-US"/>
        </w:rPr>
        <w:tab/>
        <w:t>Ramy monitorowania opierają się na następujących elementach:</w:t>
      </w:r>
    </w:p>
    <w:p w:rsidR="00524971" w:rsidRPr="00524971" w:rsidRDefault="00524971" w:rsidP="00524971">
      <w:pPr>
        <w:spacing w:before="120" w:after="120" w:line="360" w:lineRule="auto"/>
        <w:ind w:left="1416" w:hanging="566"/>
        <w:rPr>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wskaźniki</w:t>
      </w:r>
      <w:proofErr w:type="gramEnd"/>
      <w:r w:rsidRPr="00524971">
        <w:rPr>
          <w:szCs w:val="24"/>
          <w:lang w:eastAsia="en-US"/>
        </w:rPr>
        <w:t xml:space="preserve"> glebowe i kryteria zdrowia gleb, o których mowa w art. 7;</w:t>
      </w:r>
    </w:p>
    <w:p w:rsidR="00524971" w:rsidRPr="00E24A83" w:rsidRDefault="00524971" w:rsidP="00524971">
      <w:pPr>
        <w:spacing w:before="120" w:after="120" w:line="360" w:lineRule="auto"/>
        <w:ind w:left="1416" w:hanging="566"/>
        <w:rPr>
          <w:b/>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punkty</w:t>
      </w:r>
      <w:proofErr w:type="gramEnd"/>
      <w:r w:rsidRPr="00524971">
        <w:rPr>
          <w:szCs w:val="24"/>
          <w:lang w:eastAsia="en-US"/>
        </w:rPr>
        <w:t xml:space="preserve"> pobierania próbek gleby</w:t>
      </w:r>
      <w:r w:rsidRPr="00524971">
        <w:rPr>
          <w:b/>
          <w:i/>
          <w:szCs w:val="24"/>
          <w:lang w:eastAsia="en-US"/>
        </w:rPr>
        <w:t xml:space="preserve"> i głębokość pobierania próbek</w:t>
      </w:r>
      <w:r w:rsidRPr="00524971">
        <w:rPr>
          <w:szCs w:val="24"/>
          <w:lang w:eastAsia="en-US"/>
        </w:rPr>
        <w:t xml:space="preserve"> określone zgodnie z art. 8 ust. 2;</w:t>
      </w:r>
      <w:r w:rsidR="00E24A83">
        <w:rPr>
          <w:b/>
          <w:szCs w:val="24"/>
          <w:lang w:eastAsia="en-US"/>
        </w:rPr>
        <w:t xml:space="preserve"> [Popr. 73]</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ewentualny</w:t>
      </w:r>
      <w:proofErr w:type="gramEnd"/>
      <w:r w:rsidRPr="00524971">
        <w:rPr>
          <w:szCs w:val="24"/>
          <w:lang w:eastAsia="en-US"/>
        </w:rPr>
        <w:t xml:space="preserve"> pomiar gleby przeprowadzony przez Komisję zgodnie z ust. 4 niniejszego artykułu;</w:t>
      </w:r>
    </w:p>
    <w:p w:rsidR="00524971" w:rsidRPr="00E24A83" w:rsidRDefault="00524971" w:rsidP="00524971">
      <w:pPr>
        <w:spacing w:before="120" w:after="120" w:line="360" w:lineRule="auto"/>
        <w:ind w:left="1416" w:hanging="566"/>
        <w:rPr>
          <w:b/>
          <w:szCs w:val="24"/>
          <w:lang w:eastAsia="en-US"/>
        </w:rPr>
      </w:pPr>
      <w:r w:rsidRPr="00524971">
        <w:rPr>
          <w:szCs w:val="24"/>
          <w:lang w:eastAsia="en-US"/>
        </w:rPr>
        <w:t>d</w:t>
      </w:r>
      <w:proofErr w:type="gramStart"/>
      <w:r w:rsidRPr="00524971">
        <w:rPr>
          <w:szCs w:val="24"/>
          <w:lang w:eastAsia="en-US"/>
        </w:rPr>
        <w:t>)</w:t>
      </w:r>
      <w:r w:rsidRPr="00524971">
        <w:rPr>
          <w:szCs w:val="24"/>
          <w:lang w:eastAsia="en-US"/>
        </w:rPr>
        <w:tab/>
      </w:r>
      <w:proofErr w:type="spellStart"/>
      <w:r w:rsidRPr="00524971">
        <w:rPr>
          <w:strike/>
          <w:szCs w:val="24"/>
          <w:lang w:eastAsia="en-US"/>
        </w:rPr>
        <w:t>ewentualne</w:t>
      </w:r>
      <w:r w:rsidRPr="00524971">
        <w:rPr>
          <w:b/>
          <w:i/>
          <w:szCs w:val="24"/>
          <w:lang w:eastAsia="en-US"/>
        </w:rPr>
        <w:t>solidne</w:t>
      </w:r>
      <w:proofErr w:type="spellEnd"/>
      <w:proofErr w:type="gramEnd"/>
      <w:r w:rsidRPr="00524971">
        <w:rPr>
          <w:b/>
          <w:i/>
          <w:szCs w:val="24"/>
          <w:lang w:eastAsia="en-US"/>
        </w:rPr>
        <w:t xml:space="preserve"> pod względem naukowym</w:t>
      </w:r>
      <w:r w:rsidRPr="00524971">
        <w:rPr>
          <w:szCs w:val="24"/>
          <w:lang w:eastAsia="en-US"/>
        </w:rPr>
        <w:t xml:space="preserve"> dane i produkty z teledetekcji, o których mowa w ust. 5 niniejszego artykułu</w:t>
      </w:r>
      <w:r w:rsidRPr="00524971">
        <w:rPr>
          <w:b/>
          <w:i/>
          <w:szCs w:val="24"/>
          <w:lang w:eastAsia="en-US"/>
        </w:rPr>
        <w:t>, o ile istnieją</w:t>
      </w:r>
      <w:r w:rsidRPr="00524971">
        <w:rPr>
          <w:szCs w:val="24"/>
          <w:lang w:eastAsia="en-US"/>
        </w:rPr>
        <w:t>;</w:t>
      </w:r>
      <w:r w:rsidR="00E24A83">
        <w:rPr>
          <w:b/>
          <w:szCs w:val="24"/>
          <w:lang w:eastAsia="en-US"/>
        </w:rPr>
        <w:t xml:space="preserve"> [Popr. 74]</w:t>
      </w:r>
    </w:p>
    <w:p w:rsidR="00524971" w:rsidRPr="00524971" w:rsidRDefault="00524971" w:rsidP="00524971">
      <w:pPr>
        <w:spacing w:before="120" w:after="120" w:line="360" w:lineRule="auto"/>
        <w:ind w:left="1416" w:hanging="566"/>
        <w:rPr>
          <w:szCs w:val="24"/>
          <w:lang w:eastAsia="en-US"/>
        </w:rPr>
      </w:pPr>
      <w:r w:rsidRPr="00524971">
        <w:rPr>
          <w:szCs w:val="24"/>
          <w:lang w:eastAsia="en-US"/>
        </w:rPr>
        <w:t>e</w:t>
      </w:r>
      <w:proofErr w:type="gramStart"/>
      <w:r w:rsidRPr="00524971">
        <w:rPr>
          <w:szCs w:val="24"/>
          <w:lang w:eastAsia="en-US"/>
        </w:rPr>
        <w:t>)</w:t>
      </w:r>
      <w:r w:rsidRPr="00524971">
        <w:rPr>
          <w:szCs w:val="24"/>
          <w:lang w:eastAsia="en-US"/>
        </w:rPr>
        <w:tab/>
        <w:t>wskaźniki</w:t>
      </w:r>
      <w:proofErr w:type="gramEnd"/>
      <w:r w:rsidRPr="00524971">
        <w:rPr>
          <w:szCs w:val="24"/>
          <w:lang w:eastAsia="en-US"/>
        </w:rPr>
        <w:t xml:space="preserve"> przejmowania gruntów i uszczelniania gleby, o których mowa w art. 7 ust. 1.</w:t>
      </w:r>
    </w:p>
    <w:p w:rsidR="00524971" w:rsidRPr="00E24A83" w:rsidRDefault="00524971" w:rsidP="00524971">
      <w:pPr>
        <w:spacing w:before="120" w:after="120" w:line="360" w:lineRule="auto"/>
        <w:ind w:left="850" w:hanging="850"/>
        <w:rPr>
          <w:b/>
          <w:szCs w:val="24"/>
          <w:lang w:eastAsia="en-US"/>
        </w:rPr>
      </w:pPr>
      <w:r w:rsidRPr="00524971">
        <w:rPr>
          <w:strike/>
          <w:szCs w:val="24"/>
          <w:lang w:eastAsia="en-US"/>
        </w:rPr>
        <w:t>4.</w:t>
      </w:r>
      <w:r w:rsidRPr="00524971">
        <w:rPr>
          <w:szCs w:val="24"/>
          <w:lang w:eastAsia="en-US"/>
        </w:rPr>
        <w:tab/>
      </w:r>
      <w:r w:rsidRPr="00524971">
        <w:rPr>
          <w:strike/>
          <w:szCs w:val="24"/>
          <w:lang w:eastAsia="en-US"/>
        </w:rPr>
        <w:t>Komisja, z zastrzeżeniem zgody zainteresowanych państw członkowskich, przeprowadza regularne pomiary gleby na próbkach gleby pobranych in situ na podstawie odpowiednich wskaźników i metodyk, o których mowa w art. 7 i 8, w celu wsparcia monitorowania zdrowia gleb przez państwa członkowskie. W przypadku gdy państwo członkowskie wyrazi zgodę zgodnie z niniejszym ustępem, zapewnia ono Komisji możliwość takiego pobrania próbek gleby in situ.</w:t>
      </w:r>
      <w:r w:rsidR="00E24A83">
        <w:rPr>
          <w:b/>
          <w:szCs w:val="24"/>
          <w:lang w:eastAsia="en-US"/>
        </w:rPr>
        <w:t xml:space="preserve"> [Popr. 227/rev1]</w:t>
      </w:r>
    </w:p>
    <w:p w:rsidR="00E24A83" w:rsidRDefault="00E24A83">
      <w:pPr>
        <w:widowControl/>
        <w:rPr>
          <w:b/>
          <w:i/>
          <w:szCs w:val="24"/>
          <w:lang w:eastAsia="en-US"/>
        </w:rPr>
      </w:pPr>
      <w:r>
        <w:rPr>
          <w:b/>
          <w:i/>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b/>
          <w:i/>
          <w:szCs w:val="24"/>
          <w:lang w:eastAsia="en-US"/>
        </w:rPr>
        <w:lastRenderedPageBreak/>
        <w:t>4a.</w:t>
      </w:r>
      <w:r w:rsidRPr="00524971">
        <w:rPr>
          <w:szCs w:val="24"/>
          <w:lang w:eastAsia="en-US"/>
        </w:rPr>
        <w:tab/>
      </w:r>
      <w:r w:rsidRPr="00524971">
        <w:rPr>
          <w:b/>
          <w:i/>
          <w:szCs w:val="24"/>
          <w:lang w:eastAsia="en-US"/>
        </w:rPr>
        <w:t>Komisja zapewnia, aby pierwsze pomiary gleby, o których mowa w ust. 4, przeprowadzono do ... (Urząd Publikacji: proszę wstawić datę = trzy lata od daty wejścia w życie niniejszej dyrektywy).</w:t>
      </w:r>
    </w:p>
    <w:p w:rsidR="00524971" w:rsidRPr="00524971" w:rsidRDefault="00524971" w:rsidP="00524971">
      <w:pPr>
        <w:spacing w:before="120" w:after="120" w:line="360" w:lineRule="auto"/>
        <w:ind w:left="850"/>
        <w:rPr>
          <w:szCs w:val="24"/>
          <w:lang w:eastAsia="en-US"/>
        </w:rPr>
      </w:pPr>
      <w:r w:rsidRPr="00524971">
        <w:rPr>
          <w:b/>
          <w:i/>
          <w:szCs w:val="24"/>
          <w:lang w:eastAsia="en-US"/>
        </w:rPr>
        <w:t>Komisja wnosi wkład w monitorowanie prowadzone przez państwa członkowskie, pobierając próbki i analizując co najmniej 20 % wielkości próbek krajowych.</w:t>
      </w:r>
    </w:p>
    <w:p w:rsidR="00524971" w:rsidRPr="00E24A83" w:rsidRDefault="00524971" w:rsidP="00524971">
      <w:pPr>
        <w:spacing w:before="120" w:after="120" w:line="360" w:lineRule="auto"/>
        <w:ind w:left="850"/>
        <w:rPr>
          <w:b/>
          <w:szCs w:val="24"/>
          <w:lang w:eastAsia="en-US"/>
        </w:rPr>
      </w:pPr>
      <w:r w:rsidRPr="00524971">
        <w:rPr>
          <w:b/>
          <w:i/>
          <w:szCs w:val="24"/>
          <w:lang w:eastAsia="en-US"/>
        </w:rPr>
        <w:t>Na wniosek państwa członkowskiego Komisja udziela mu dodatkowej pomocy przy pobieraniu do 50 % próbek podczas pierwszej krajowej rundy monitorowania.</w:t>
      </w:r>
      <w:r w:rsidR="00E24A83">
        <w:rPr>
          <w:b/>
          <w:szCs w:val="24"/>
          <w:lang w:eastAsia="en-US"/>
        </w:rPr>
        <w:t xml:space="preserve"> [Popr. 76]</w:t>
      </w:r>
    </w:p>
    <w:p w:rsidR="00524971" w:rsidRPr="00524971" w:rsidRDefault="00524971" w:rsidP="00524971">
      <w:pPr>
        <w:spacing w:before="120" w:after="120" w:line="360" w:lineRule="auto"/>
        <w:ind w:left="850" w:hanging="850"/>
        <w:rPr>
          <w:szCs w:val="24"/>
          <w:lang w:eastAsia="en-US"/>
        </w:rPr>
      </w:pPr>
      <w:r w:rsidRPr="00524971">
        <w:rPr>
          <w:szCs w:val="24"/>
          <w:lang w:eastAsia="en-US"/>
        </w:rPr>
        <w:t>5.</w:t>
      </w:r>
      <w:r w:rsidRPr="00524971">
        <w:rPr>
          <w:szCs w:val="24"/>
          <w:lang w:eastAsia="en-US"/>
        </w:rPr>
        <w:tab/>
        <w:t>Komisja i Europejska Agencja Środowiska (EEA) wykorzystują istniejące dane i produkty satelitarne dostarczone w ramach komponentu Copernicus unijnego programu kosmicznego ustanowionego rozporządzeniem (UE) 2021/696 w celu zbadania i opracowania produktów z teledetekcji dotyczących gleby, aby wspierać państwa członkowskie w monitorowaniu odpowiednich wskaźników glebowych.</w:t>
      </w:r>
    </w:p>
    <w:p w:rsidR="00E24A83" w:rsidRDefault="00E24A83">
      <w:pPr>
        <w:widowControl/>
        <w:rPr>
          <w:szCs w:val="24"/>
          <w:lang w:eastAsia="en-US"/>
        </w:rPr>
      </w:pPr>
      <w:r>
        <w:rPr>
          <w:szCs w:val="24"/>
          <w:lang w:eastAsia="en-US"/>
        </w:rPr>
        <w:br w:type="page"/>
      </w:r>
    </w:p>
    <w:p w:rsidR="00524971" w:rsidRPr="00E24A83" w:rsidRDefault="00524971" w:rsidP="00524971">
      <w:pPr>
        <w:spacing w:before="120" w:after="120" w:line="360" w:lineRule="auto"/>
        <w:ind w:left="850" w:hanging="850"/>
        <w:rPr>
          <w:b/>
          <w:szCs w:val="24"/>
          <w:lang w:eastAsia="en-US"/>
        </w:rPr>
      </w:pPr>
      <w:r w:rsidRPr="00524971">
        <w:rPr>
          <w:szCs w:val="24"/>
          <w:lang w:eastAsia="en-US"/>
        </w:rPr>
        <w:lastRenderedPageBreak/>
        <w:t>6.</w:t>
      </w:r>
      <w:r w:rsidRPr="00524971">
        <w:rPr>
          <w:szCs w:val="24"/>
          <w:lang w:eastAsia="en-US"/>
        </w:rPr>
        <w:tab/>
        <w:t xml:space="preserve">Na podstawie istniejących danych i w ciągu dwóch lat od wejścia w życie niniejszej dyrektywy Komisja i EEA ustanawiają portal danych cyfrowych dotyczących zdrowia gleb, który umożliwia dostęp w </w:t>
      </w:r>
      <w:proofErr w:type="spellStart"/>
      <w:r w:rsidRPr="00524971">
        <w:rPr>
          <w:szCs w:val="24"/>
          <w:lang w:eastAsia="en-US"/>
        </w:rPr>
        <w:t>georeferencyjnym</w:t>
      </w:r>
      <w:proofErr w:type="spellEnd"/>
      <w:r w:rsidRPr="00524971">
        <w:rPr>
          <w:szCs w:val="24"/>
          <w:lang w:eastAsia="en-US"/>
        </w:rPr>
        <w:t xml:space="preserve"> formacie przestrzennym</w:t>
      </w:r>
      <w:r w:rsidRPr="00524971">
        <w:rPr>
          <w:b/>
          <w:i/>
          <w:szCs w:val="24"/>
          <w:lang w:eastAsia="en-US"/>
        </w:rPr>
        <w:t>, zgodnie z rozporządzeniem Parlamentu Europejskiego i Rady (WE) nr 223/2009</w:t>
      </w:r>
      <w:r w:rsidRPr="00524971">
        <w:rPr>
          <w:szCs w:val="24"/>
          <w:vertAlign w:val="superscript"/>
          <w:lang w:val="en-GB" w:eastAsia="en-US"/>
        </w:rPr>
        <w:footnoteReference w:id="50"/>
      </w:r>
      <w:r w:rsidRPr="00524971">
        <w:rPr>
          <w:b/>
          <w:i/>
          <w:szCs w:val="24"/>
          <w:lang w:eastAsia="en-US"/>
        </w:rPr>
        <w:t>,</w:t>
      </w:r>
      <w:r w:rsidRPr="00524971">
        <w:rPr>
          <w:szCs w:val="24"/>
          <w:lang w:eastAsia="en-US"/>
        </w:rPr>
        <w:t xml:space="preserve"> co najmniej do dostępnych danych dotyczących zdrowia gleb wynikających z:</w:t>
      </w:r>
      <w:r w:rsidR="00E24A83">
        <w:rPr>
          <w:b/>
          <w:szCs w:val="24"/>
          <w:lang w:eastAsia="en-US"/>
        </w:rPr>
        <w:t xml:space="preserve"> [Popr. 77]</w:t>
      </w:r>
    </w:p>
    <w:p w:rsidR="00524971" w:rsidRPr="00524971" w:rsidRDefault="00524971" w:rsidP="00524971">
      <w:pPr>
        <w:spacing w:before="120" w:after="120" w:line="360" w:lineRule="auto"/>
        <w:ind w:left="1416" w:hanging="566"/>
        <w:rPr>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pomiarów</w:t>
      </w:r>
      <w:proofErr w:type="gramEnd"/>
      <w:r w:rsidRPr="00524971">
        <w:rPr>
          <w:szCs w:val="24"/>
          <w:lang w:eastAsia="en-US"/>
        </w:rPr>
        <w:t xml:space="preserve"> gleby, o których mowa w art. 8 ust. 2;</w:t>
      </w:r>
    </w:p>
    <w:p w:rsidR="00524971" w:rsidRPr="00524971" w:rsidRDefault="00524971" w:rsidP="00524971">
      <w:pPr>
        <w:spacing w:before="120" w:after="120" w:line="360" w:lineRule="auto"/>
        <w:ind w:left="1416" w:hanging="566"/>
        <w:rPr>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pomiarów</w:t>
      </w:r>
      <w:proofErr w:type="gramEnd"/>
      <w:r w:rsidRPr="00524971">
        <w:rPr>
          <w:szCs w:val="24"/>
          <w:lang w:eastAsia="en-US"/>
        </w:rPr>
        <w:t xml:space="preserve"> gleby, o których mowa w ust. 4 niniejszego artykułu;</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odpowiednich</w:t>
      </w:r>
      <w:proofErr w:type="gramEnd"/>
      <w:r w:rsidRPr="00524971">
        <w:rPr>
          <w:szCs w:val="24"/>
          <w:lang w:eastAsia="en-US"/>
        </w:rPr>
        <w:t xml:space="preserve"> danych i produktów z teledetekcji dotyczących gleby, o których mowa w ust. 5 niniejszego artykułu.</w:t>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t>6a.</w:t>
      </w:r>
      <w:r w:rsidRPr="00524971">
        <w:rPr>
          <w:szCs w:val="24"/>
          <w:lang w:eastAsia="en-US"/>
        </w:rPr>
        <w:tab/>
      </w:r>
      <w:r w:rsidRPr="00524971">
        <w:rPr>
          <w:b/>
          <w:i/>
          <w:szCs w:val="24"/>
          <w:lang w:eastAsia="en-US"/>
        </w:rPr>
        <w:t>Ramy monitorowania gleby, o których mowa ust. 3–6, opierają się na istniejących ramach monitorowania na szczeblu unijnym i krajowym, w tym na danych z obserwatorium gleb LUCAS.</w:t>
      </w:r>
      <w:r w:rsidR="00E24A83">
        <w:rPr>
          <w:b/>
          <w:szCs w:val="24"/>
          <w:lang w:eastAsia="en-US"/>
        </w:rPr>
        <w:t xml:space="preserve"> [Popr. 78]</w:t>
      </w:r>
    </w:p>
    <w:p w:rsidR="00524971" w:rsidRPr="00524971" w:rsidRDefault="00524971" w:rsidP="00524971">
      <w:pPr>
        <w:spacing w:before="120" w:after="120" w:line="360" w:lineRule="auto"/>
        <w:ind w:left="850" w:hanging="850"/>
        <w:rPr>
          <w:szCs w:val="24"/>
          <w:lang w:eastAsia="en-US"/>
        </w:rPr>
      </w:pPr>
      <w:r w:rsidRPr="00524971">
        <w:rPr>
          <w:szCs w:val="24"/>
          <w:lang w:eastAsia="en-US"/>
        </w:rPr>
        <w:t>7.</w:t>
      </w:r>
      <w:r w:rsidRPr="00524971">
        <w:rPr>
          <w:szCs w:val="24"/>
          <w:lang w:eastAsia="en-US"/>
        </w:rPr>
        <w:tab/>
        <w:t>Portal danych cyfrowych dotyczących zdrowia gleb, o którym mowa w ust. 6, może również umożliwiać dostęp do danych dotyczących zdrowia gleb innych niż dane, o których mowa w tym ustępie, jeżeli dane te udostępniono lub zgromadzono zgodnie z formatami lub metodami ustanowionymi przez Komisję na podstawie ust. 8.</w:t>
      </w:r>
    </w:p>
    <w:p w:rsidR="00E24A83" w:rsidRDefault="00E24A83">
      <w:pPr>
        <w:widowControl/>
        <w:rPr>
          <w:b/>
          <w:i/>
          <w:szCs w:val="24"/>
          <w:lang w:eastAsia="en-US"/>
        </w:rPr>
      </w:pPr>
      <w:r>
        <w:rPr>
          <w:b/>
          <w:i/>
          <w:szCs w:val="24"/>
          <w:lang w:eastAsia="en-US"/>
        </w:rPr>
        <w:br w:type="page"/>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lastRenderedPageBreak/>
        <w:t>7a.</w:t>
      </w:r>
      <w:r w:rsidRPr="00524971">
        <w:rPr>
          <w:szCs w:val="24"/>
          <w:lang w:eastAsia="en-US"/>
        </w:rPr>
        <w:tab/>
      </w:r>
      <w:r w:rsidRPr="00524971">
        <w:rPr>
          <w:b/>
          <w:i/>
          <w:szCs w:val="24"/>
          <w:lang w:eastAsia="en-US"/>
        </w:rPr>
        <w:t>Portal danych cyfrowych dotyczących zdrowia gleb obejmuje zestaw narzędzi na rzecz zrównoważonego gospodarowania glebami, o którym mowa w art. 10a.</w:t>
      </w:r>
      <w:r w:rsidR="00E24A83">
        <w:rPr>
          <w:b/>
          <w:szCs w:val="24"/>
          <w:lang w:eastAsia="en-US"/>
        </w:rPr>
        <w:t xml:space="preserve"> [Popr. 79]</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8.</w:t>
      </w:r>
      <w:r w:rsidRPr="00524971">
        <w:rPr>
          <w:szCs w:val="24"/>
          <w:lang w:eastAsia="en-US"/>
        </w:rPr>
        <w:tab/>
        <w:t>Komisja przyjmuje akty wykonawcze w celu ustanowienia formatów lub metod udostępniania lub gromadzenia danych, o których mowa w ust. 7, lub włączania tych danych do portalu danych cyfrowych dotyczących zdrowia gleb</w:t>
      </w:r>
      <w:r w:rsidRPr="00524971">
        <w:rPr>
          <w:b/>
          <w:i/>
          <w:szCs w:val="24"/>
          <w:lang w:eastAsia="en-US"/>
        </w:rPr>
        <w:t>, przy zapewnieniu zgodności z prawem Unii dotyczącym ochrony danych osobowych</w:t>
      </w:r>
      <w:r w:rsidRPr="00524971">
        <w:rPr>
          <w:szCs w:val="24"/>
          <w:lang w:eastAsia="en-US"/>
        </w:rPr>
        <w:t>. Te akty wykonawcze przyjmuje się zgodnie z procedurą sprawdzającą, o której mowa w art. 21.</w:t>
      </w:r>
      <w:r w:rsidR="00E24A83">
        <w:rPr>
          <w:b/>
          <w:szCs w:val="24"/>
          <w:lang w:eastAsia="en-US"/>
        </w:rPr>
        <w:t xml:space="preserve"> [Popr. 80]</w:t>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t>8a.</w:t>
      </w:r>
      <w:r w:rsidRPr="00524971">
        <w:rPr>
          <w:szCs w:val="24"/>
          <w:lang w:eastAsia="en-US"/>
        </w:rPr>
        <w:tab/>
      </w:r>
      <w:r w:rsidRPr="00524971">
        <w:rPr>
          <w:b/>
          <w:i/>
          <w:szCs w:val="24"/>
          <w:lang w:eastAsia="en-US"/>
        </w:rPr>
        <w:t>Komisja świadczy niezbędne usługi w zakresie budowania zdolności, usługi wsparcia i usługi doradcze na rzecz państw członkowskich oraz wspiera realizowane przez nie inicjatywy w obszarze monitorowania oraz wielostronną harmonizację przepisów, metod i archiwów, i tym samym – dzięki dzieleniu się wspólną wiedzą fachową – eliminuje istniejące luki w danych oraz wąskie gardła w przebiegu działań. W tym celu Komisja opiera się na istniejących mechanizmach, w tym na sieci obserwacji różnorodności biologicznej gleb.</w:t>
      </w:r>
      <w:r w:rsidR="00E24A83">
        <w:rPr>
          <w:b/>
          <w:szCs w:val="24"/>
          <w:lang w:eastAsia="en-US"/>
        </w:rPr>
        <w:t xml:space="preserve"> [Popr. 81]</w:t>
      </w:r>
    </w:p>
    <w:p w:rsidR="00E24A83" w:rsidRDefault="00E24A83">
      <w:pPr>
        <w:widowControl/>
        <w:rPr>
          <w:b/>
          <w:i/>
          <w:szCs w:val="24"/>
          <w:lang w:eastAsia="en-US"/>
        </w:rPr>
      </w:pPr>
      <w:r>
        <w:rPr>
          <w:b/>
          <w:i/>
          <w:szCs w:val="24"/>
          <w:lang w:eastAsia="en-US"/>
        </w:rPr>
        <w:br w:type="page"/>
      </w:r>
    </w:p>
    <w:p w:rsidR="00524971" w:rsidRPr="00524971" w:rsidRDefault="00524971" w:rsidP="00524971">
      <w:pPr>
        <w:spacing w:before="120" w:after="120" w:line="360" w:lineRule="auto"/>
        <w:jc w:val="center"/>
        <w:rPr>
          <w:szCs w:val="24"/>
          <w:lang w:eastAsia="en-US"/>
        </w:rPr>
      </w:pPr>
      <w:r w:rsidRPr="00524971">
        <w:rPr>
          <w:b/>
          <w:i/>
          <w:szCs w:val="24"/>
          <w:lang w:eastAsia="en-US"/>
        </w:rPr>
        <w:lastRenderedPageBreak/>
        <w:t>Artykuł 6a</w:t>
      </w:r>
      <w:r w:rsidRPr="00524971">
        <w:rPr>
          <w:szCs w:val="24"/>
          <w:lang w:eastAsia="en-US"/>
        </w:rPr>
        <w:br/>
      </w:r>
      <w:r w:rsidRPr="00524971">
        <w:rPr>
          <w:b/>
          <w:i/>
          <w:szCs w:val="24"/>
          <w:lang w:eastAsia="en-US"/>
        </w:rPr>
        <w:t>Efektywne wykorzystywanie i przechowywanie próbek gleby</w:t>
      </w:r>
    </w:p>
    <w:p w:rsidR="00524971" w:rsidRPr="00524971" w:rsidRDefault="00524971" w:rsidP="00524971">
      <w:pPr>
        <w:spacing w:before="120" w:after="120" w:line="360" w:lineRule="auto"/>
        <w:ind w:left="850" w:hanging="850"/>
        <w:rPr>
          <w:szCs w:val="24"/>
          <w:lang w:eastAsia="en-US"/>
        </w:rPr>
      </w:pPr>
      <w:r w:rsidRPr="00524971">
        <w:rPr>
          <w:b/>
          <w:i/>
          <w:szCs w:val="24"/>
          <w:lang w:eastAsia="en-US"/>
        </w:rPr>
        <w:t>1.</w:t>
      </w:r>
      <w:r w:rsidRPr="00524971">
        <w:rPr>
          <w:szCs w:val="24"/>
          <w:lang w:eastAsia="en-US"/>
        </w:rPr>
        <w:tab/>
      </w:r>
      <w:r w:rsidRPr="00524971">
        <w:rPr>
          <w:b/>
          <w:i/>
          <w:szCs w:val="24"/>
          <w:lang w:eastAsia="en-US"/>
        </w:rPr>
        <w:t>Komisja, we współpracy z państwami członkowskimi i Obserwatorium UE ds. Gleb, wprowadza środki mające zapewnić, aby fizyczne archiwa gleb i ekstraktów DNA oraz cyfrowe archiwa surowych danych na szczeblu zarówno unijnym, jak i krajowym pozostawały dostępne do dalszych badań naukowych i innowacji. Komisja i państwa członkowskie zapewniają przechowywanie próbek w sposób umożliwiający ich zrównoważone wykorzystywanie w perspektywie długoterminowej.</w:t>
      </w:r>
    </w:p>
    <w:p w:rsidR="00524971" w:rsidRPr="00E24A83" w:rsidRDefault="00524971" w:rsidP="00524971">
      <w:pPr>
        <w:spacing w:before="120" w:after="120" w:line="360" w:lineRule="auto"/>
        <w:ind w:left="850" w:hanging="850"/>
        <w:rPr>
          <w:b/>
          <w:szCs w:val="24"/>
          <w:lang w:eastAsia="en-US"/>
        </w:rPr>
      </w:pPr>
      <w:r w:rsidRPr="00524971">
        <w:rPr>
          <w:b/>
          <w:i/>
          <w:szCs w:val="24"/>
          <w:lang w:eastAsia="en-US"/>
        </w:rPr>
        <w:t>2.</w:t>
      </w:r>
      <w:r w:rsidRPr="00524971">
        <w:rPr>
          <w:szCs w:val="24"/>
          <w:lang w:eastAsia="en-US"/>
        </w:rPr>
        <w:tab/>
      </w:r>
      <w:r w:rsidRPr="00524971">
        <w:rPr>
          <w:b/>
          <w:i/>
          <w:szCs w:val="24"/>
          <w:lang w:eastAsia="en-US"/>
        </w:rPr>
        <w:t>Do … [Urząd Publikacji: proszę wstawić datę = 12 miesięcy od daty wejścia w życie niniejszej dyrektywy] Komisja przedstawia wytyczne zawierające protokoły odniesienia opisujące najbardziej oszczędne sposoby wykorzystywania próbek gleby.</w:t>
      </w:r>
      <w:r w:rsidR="00E24A83">
        <w:rPr>
          <w:b/>
          <w:szCs w:val="24"/>
          <w:lang w:eastAsia="en-US"/>
        </w:rPr>
        <w:t xml:space="preserve"> [Popr. 82]</w:t>
      </w:r>
    </w:p>
    <w:p w:rsidR="00E24A83" w:rsidRDefault="00E24A83">
      <w:pPr>
        <w:widowControl/>
        <w:rPr>
          <w:szCs w:val="24"/>
          <w:lang w:eastAsia="en-US"/>
        </w:rPr>
      </w:pPr>
      <w:r>
        <w:rPr>
          <w:szCs w:val="24"/>
          <w:lang w:eastAsia="en-US"/>
        </w:rPr>
        <w:br w:type="page"/>
      </w:r>
    </w:p>
    <w:p w:rsidR="00524971" w:rsidRPr="00E24A83" w:rsidRDefault="00524971" w:rsidP="00524971">
      <w:pPr>
        <w:spacing w:before="120" w:after="120" w:line="360" w:lineRule="auto"/>
        <w:jc w:val="center"/>
        <w:rPr>
          <w:b/>
          <w:szCs w:val="24"/>
          <w:lang w:eastAsia="en-US"/>
        </w:rPr>
      </w:pPr>
      <w:r w:rsidRPr="00524971">
        <w:rPr>
          <w:szCs w:val="24"/>
          <w:lang w:eastAsia="en-US"/>
        </w:rPr>
        <w:lastRenderedPageBreak/>
        <w:t>Artykuł 7</w:t>
      </w:r>
      <w:r w:rsidRPr="00524971">
        <w:rPr>
          <w:szCs w:val="24"/>
          <w:lang w:eastAsia="en-US"/>
        </w:rPr>
        <w:br/>
        <w:t xml:space="preserve">Wskaźniki glebowe, kryteria </w:t>
      </w:r>
      <w:r w:rsidRPr="00524971">
        <w:rPr>
          <w:strike/>
          <w:szCs w:val="24"/>
          <w:lang w:eastAsia="en-US"/>
        </w:rPr>
        <w:t xml:space="preserve">zdrowego </w:t>
      </w:r>
      <w:r w:rsidRPr="00524971">
        <w:rPr>
          <w:szCs w:val="24"/>
          <w:lang w:eastAsia="en-US"/>
        </w:rPr>
        <w:t>stanu</w:t>
      </w:r>
      <w:r w:rsidRPr="00524971">
        <w:rPr>
          <w:b/>
          <w:i/>
          <w:szCs w:val="24"/>
          <w:lang w:eastAsia="en-US"/>
        </w:rPr>
        <w:t xml:space="preserve"> ekologicznego</w:t>
      </w:r>
      <w:r w:rsidRPr="00524971">
        <w:rPr>
          <w:szCs w:val="24"/>
          <w:lang w:eastAsia="en-US"/>
        </w:rPr>
        <w:t xml:space="preserve"> gleby oraz wskaźniki przejmowania gruntów i uszczelniania </w:t>
      </w:r>
      <w:proofErr w:type="gramStart"/>
      <w:r w:rsidRPr="00524971">
        <w:rPr>
          <w:szCs w:val="24"/>
          <w:lang w:eastAsia="en-US"/>
        </w:rPr>
        <w:t xml:space="preserve">gleby </w:t>
      </w:r>
      <w:r w:rsidR="00E24A83">
        <w:rPr>
          <w:b/>
          <w:szCs w:val="24"/>
          <w:lang w:eastAsia="en-US"/>
        </w:rPr>
        <w:t xml:space="preserve"> [Popr</w:t>
      </w:r>
      <w:proofErr w:type="gramEnd"/>
      <w:r w:rsidR="00E24A83">
        <w:rPr>
          <w:b/>
          <w:szCs w:val="24"/>
          <w:lang w:eastAsia="en-US"/>
        </w:rPr>
        <w:t>. 83]</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 xml:space="preserve">Podczas monitorowania i oceny </w:t>
      </w:r>
      <w:r w:rsidRPr="00524971">
        <w:rPr>
          <w:strike/>
          <w:szCs w:val="24"/>
          <w:lang w:eastAsia="en-US"/>
        </w:rPr>
        <w:t xml:space="preserve">zdrowia </w:t>
      </w:r>
      <w:r w:rsidRPr="00524971">
        <w:rPr>
          <w:szCs w:val="24"/>
          <w:lang w:eastAsia="en-US"/>
        </w:rPr>
        <w:t xml:space="preserve">gleb państwa członkowskie </w:t>
      </w:r>
      <w:r w:rsidRPr="00524971">
        <w:rPr>
          <w:strike/>
          <w:szCs w:val="24"/>
          <w:lang w:eastAsia="en-US"/>
        </w:rPr>
        <w:t xml:space="preserve">stosują wskaźniki glebowe i kryteria zdrowia </w:t>
      </w:r>
      <w:proofErr w:type="spellStart"/>
      <w:r w:rsidRPr="00524971">
        <w:rPr>
          <w:strike/>
          <w:szCs w:val="24"/>
          <w:lang w:eastAsia="en-US"/>
        </w:rPr>
        <w:t>gleb</w:t>
      </w:r>
      <w:r w:rsidRPr="00524971">
        <w:rPr>
          <w:b/>
          <w:i/>
          <w:szCs w:val="24"/>
          <w:lang w:eastAsia="en-US"/>
        </w:rPr>
        <w:t>mogą</w:t>
      </w:r>
      <w:proofErr w:type="spellEnd"/>
      <w:r w:rsidRPr="00524971">
        <w:rPr>
          <w:b/>
          <w:i/>
          <w:szCs w:val="24"/>
          <w:lang w:eastAsia="en-US"/>
        </w:rPr>
        <w:t xml:space="preserve"> stosować</w:t>
      </w:r>
      <w:r w:rsidRPr="00524971">
        <w:rPr>
          <w:szCs w:val="24"/>
          <w:lang w:eastAsia="en-US"/>
        </w:rPr>
        <w:t xml:space="preserve"> wymienione w załączniku I</w:t>
      </w:r>
      <w:r w:rsidRPr="00524971">
        <w:rPr>
          <w:b/>
          <w:i/>
          <w:szCs w:val="24"/>
          <w:lang w:eastAsia="en-US"/>
        </w:rPr>
        <w:t xml:space="preserve"> wskaźniki glebowe najlepiej odzwierciedlające właściwości gleby w każdym typie gleby na szczeblu krajowym</w:t>
      </w:r>
      <w:r w:rsidRPr="00524971">
        <w:rPr>
          <w:szCs w:val="24"/>
          <w:lang w:eastAsia="en-US"/>
        </w:rPr>
        <w:t>.</w:t>
      </w:r>
      <w:r w:rsidR="00E24A83">
        <w:rPr>
          <w:b/>
          <w:szCs w:val="24"/>
          <w:lang w:eastAsia="en-US"/>
        </w:rPr>
        <w:t xml:space="preserve"> [Popr. 228]</w:t>
      </w:r>
    </w:p>
    <w:p w:rsidR="00524971" w:rsidRPr="00524971" w:rsidRDefault="00524971" w:rsidP="00524971">
      <w:pPr>
        <w:spacing w:before="120" w:after="120" w:line="360" w:lineRule="auto"/>
        <w:ind w:left="850"/>
        <w:rPr>
          <w:szCs w:val="24"/>
          <w:lang w:eastAsia="en-US"/>
        </w:rPr>
      </w:pPr>
      <w:r w:rsidRPr="00524971">
        <w:rPr>
          <w:szCs w:val="24"/>
          <w:lang w:eastAsia="en-US"/>
        </w:rPr>
        <w:t>Podczas monitorowania przejmowania gruntów państwa członkowskie stosują wskaźniki przejmowania gruntów i uszczelniania gleby, o których mowa w załączniku I.</w:t>
      </w:r>
    </w:p>
    <w:p w:rsidR="00524971" w:rsidRPr="00E24A83" w:rsidRDefault="00524971" w:rsidP="00524971">
      <w:pPr>
        <w:spacing w:before="120" w:after="120" w:line="360" w:lineRule="auto"/>
        <w:ind w:left="850" w:hanging="850"/>
        <w:rPr>
          <w:b/>
          <w:strike/>
          <w:szCs w:val="24"/>
          <w:lang w:eastAsia="en-US"/>
        </w:rPr>
      </w:pPr>
      <w:r w:rsidRPr="00524971">
        <w:rPr>
          <w:szCs w:val="24"/>
          <w:lang w:eastAsia="en-US"/>
        </w:rPr>
        <w:t>2.</w:t>
      </w:r>
      <w:r w:rsidRPr="00524971">
        <w:rPr>
          <w:szCs w:val="24"/>
          <w:lang w:eastAsia="en-US"/>
        </w:rPr>
        <w:tab/>
        <w:t xml:space="preserve">Państwa członkowskie </w:t>
      </w:r>
      <w:r w:rsidRPr="00524971">
        <w:rPr>
          <w:strike/>
          <w:szCs w:val="24"/>
          <w:lang w:eastAsia="en-US"/>
        </w:rPr>
        <w:t xml:space="preserve">mogą </w:t>
      </w:r>
      <w:proofErr w:type="spellStart"/>
      <w:r w:rsidRPr="00524971">
        <w:rPr>
          <w:strike/>
          <w:szCs w:val="24"/>
          <w:lang w:eastAsia="en-US"/>
        </w:rPr>
        <w:t>dostosować</w:t>
      </w:r>
      <w:r w:rsidRPr="00524971">
        <w:rPr>
          <w:b/>
          <w:i/>
          <w:szCs w:val="24"/>
          <w:lang w:eastAsia="en-US"/>
        </w:rPr>
        <w:t>wybierają</w:t>
      </w:r>
      <w:proofErr w:type="spellEnd"/>
      <w:r w:rsidRPr="00524971">
        <w:rPr>
          <w:b/>
          <w:i/>
          <w:szCs w:val="24"/>
          <w:lang w:eastAsia="en-US"/>
        </w:rPr>
        <w:t xml:space="preserve"> odpowiedni poziom dla swojego modelu monitorowania gleb, w odniesieniu do którego spełniają warunki przewidziane w załączniku I, i zapewniają, aby zawierał on co najmniej wszystkie</w:t>
      </w:r>
      <w:r w:rsidRPr="00524971">
        <w:rPr>
          <w:szCs w:val="24"/>
          <w:lang w:eastAsia="en-US"/>
        </w:rPr>
        <w:t xml:space="preserve"> wskaźniki glebowe </w:t>
      </w:r>
      <w:r w:rsidRPr="00524971">
        <w:rPr>
          <w:strike/>
          <w:szCs w:val="24"/>
          <w:lang w:eastAsia="en-US"/>
        </w:rPr>
        <w:t xml:space="preserve">i kryteria zdrowia gleb, o których mowa w załączniku I część A, zgodnie ze specyfikacjami, o których </w:t>
      </w:r>
      <w:proofErr w:type="spellStart"/>
      <w:r w:rsidRPr="00524971">
        <w:rPr>
          <w:strike/>
          <w:szCs w:val="24"/>
          <w:lang w:eastAsia="en-US"/>
        </w:rPr>
        <w:t>mowa</w:t>
      </w:r>
      <w:r w:rsidRPr="00524971">
        <w:rPr>
          <w:b/>
          <w:i/>
          <w:szCs w:val="24"/>
          <w:lang w:eastAsia="en-US"/>
        </w:rPr>
        <w:t>wymienione</w:t>
      </w:r>
      <w:proofErr w:type="spellEnd"/>
      <w:r w:rsidRPr="00524971">
        <w:rPr>
          <w:szCs w:val="24"/>
          <w:lang w:eastAsia="en-US"/>
        </w:rPr>
        <w:t xml:space="preserve"> w załączniku I część A</w:t>
      </w:r>
      <w:r w:rsidRPr="00524971">
        <w:rPr>
          <w:strike/>
          <w:szCs w:val="24"/>
          <w:lang w:eastAsia="en-US"/>
        </w:rPr>
        <w:t xml:space="preserve"> kolumny druga i trzecia</w:t>
      </w:r>
      <w:r w:rsidRPr="00524971">
        <w:rPr>
          <w:szCs w:val="24"/>
          <w:lang w:eastAsia="en-US"/>
        </w:rPr>
        <w:t>.</w:t>
      </w:r>
      <w:r w:rsidR="00E24A83" w:rsidRPr="00E24A83">
        <w:rPr>
          <w:b/>
          <w:szCs w:val="24"/>
          <w:lang w:eastAsia="en-US"/>
        </w:rPr>
        <w:t xml:space="preserve"> [Popr. </w:t>
      </w:r>
      <w:r w:rsidR="00E24A83">
        <w:rPr>
          <w:b/>
          <w:szCs w:val="24"/>
          <w:lang w:eastAsia="en-US"/>
        </w:rPr>
        <w:t>85</w:t>
      </w:r>
      <w:r w:rsidR="00E24A83" w:rsidRPr="00E24A83">
        <w:rPr>
          <w:b/>
          <w:szCs w:val="24"/>
          <w:lang w:eastAsia="en-US"/>
        </w:rPr>
        <w:t>]</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3.</w:t>
      </w:r>
      <w:r w:rsidRPr="00524971">
        <w:rPr>
          <w:szCs w:val="24"/>
          <w:lang w:eastAsia="en-US"/>
        </w:rPr>
        <w:tab/>
        <w:t xml:space="preserve">Państwa członkowskie określają zanieczyszczenia organiczne w odniesieniu do wskaźnika glebowego związane z zanieczyszczeniem gleby, o którym mowa w załączniku I część </w:t>
      </w:r>
      <w:r w:rsidRPr="00524971">
        <w:rPr>
          <w:strike/>
          <w:szCs w:val="24"/>
          <w:lang w:eastAsia="en-US"/>
        </w:rPr>
        <w:t>B</w:t>
      </w:r>
      <w:r w:rsidRPr="00524971">
        <w:rPr>
          <w:b/>
          <w:i/>
          <w:szCs w:val="24"/>
          <w:lang w:eastAsia="en-US"/>
        </w:rPr>
        <w:t>A</w:t>
      </w:r>
      <w:r w:rsidRPr="00524971">
        <w:rPr>
          <w:szCs w:val="24"/>
          <w:lang w:eastAsia="en-US"/>
        </w:rPr>
        <w:t>.</w:t>
      </w:r>
      <w:r w:rsidR="00E24A83">
        <w:rPr>
          <w:b/>
          <w:szCs w:val="24"/>
          <w:lang w:eastAsia="en-US"/>
        </w:rPr>
        <w:t xml:space="preserve"> [Popr. 86]</w:t>
      </w:r>
    </w:p>
    <w:p w:rsidR="00E24A83" w:rsidRDefault="00E24A83">
      <w:pPr>
        <w:widowControl/>
        <w:rPr>
          <w:strike/>
          <w:szCs w:val="24"/>
          <w:lang w:eastAsia="en-US"/>
        </w:rPr>
      </w:pPr>
      <w:r>
        <w:rPr>
          <w:strike/>
          <w:szCs w:val="24"/>
          <w:lang w:eastAsia="en-US"/>
        </w:rPr>
        <w:br w:type="page"/>
      </w:r>
    </w:p>
    <w:p w:rsidR="00524971" w:rsidRPr="00E24A83" w:rsidRDefault="00524971" w:rsidP="00524971">
      <w:pPr>
        <w:spacing w:before="120" w:after="120" w:line="360" w:lineRule="auto"/>
        <w:ind w:left="850" w:hanging="850"/>
        <w:rPr>
          <w:b/>
          <w:szCs w:val="24"/>
          <w:lang w:eastAsia="en-US"/>
        </w:rPr>
      </w:pPr>
      <w:r w:rsidRPr="00524971">
        <w:rPr>
          <w:strike/>
          <w:szCs w:val="24"/>
          <w:lang w:eastAsia="en-US"/>
        </w:rPr>
        <w:lastRenderedPageBreak/>
        <w:t>4.</w:t>
      </w:r>
      <w:r w:rsidRPr="00524971">
        <w:rPr>
          <w:szCs w:val="24"/>
          <w:lang w:eastAsia="en-US"/>
        </w:rPr>
        <w:tab/>
      </w:r>
      <w:r w:rsidRPr="00524971">
        <w:rPr>
          <w:strike/>
          <w:szCs w:val="24"/>
          <w:lang w:eastAsia="en-US"/>
        </w:rPr>
        <w:t>Państwa członkowskie ustalają kryteria zdrowia gleb w odniesieniu do wskaźników glebowych wymienionych w załączniku I część B zgodnie z przepisami określonymi w załączniku I część B kolumna trzecia.</w:t>
      </w:r>
      <w:r w:rsidR="00E24A83">
        <w:rPr>
          <w:b/>
          <w:szCs w:val="24"/>
          <w:lang w:eastAsia="en-US"/>
        </w:rPr>
        <w:t xml:space="preserve"> [Popr. 87]</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5.</w:t>
      </w:r>
      <w:r w:rsidRPr="00524971">
        <w:rPr>
          <w:szCs w:val="24"/>
          <w:lang w:eastAsia="en-US"/>
        </w:rPr>
        <w:tab/>
        <w:t xml:space="preserve">Państwa członkowskie mogą ustanowić dodatkowe wskaźniki glebowe i wskaźniki przejmowania gruntów, w tym między innymi </w:t>
      </w:r>
      <w:r w:rsidRPr="00524971">
        <w:rPr>
          <w:strike/>
          <w:szCs w:val="24"/>
          <w:lang w:eastAsia="en-US"/>
        </w:rPr>
        <w:t xml:space="preserve">opcjonalne </w:t>
      </w:r>
      <w:r w:rsidRPr="00524971">
        <w:rPr>
          <w:szCs w:val="24"/>
          <w:lang w:eastAsia="en-US"/>
        </w:rPr>
        <w:t>wskaźniki</w:t>
      </w:r>
      <w:r w:rsidRPr="00524971">
        <w:rPr>
          <w:b/>
          <w:i/>
          <w:szCs w:val="24"/>
          <w:lang w:eastAsia="en-US"/>
        </w:rPr>
        <w:t xml:space="preserve"> glebowe</w:t>
      </w:r>
      <w:r w:rsidRPr="00524971">
        <w:rPr>
          <w:szCs w:val="24"/>
          <w:lang w:eastAsia="en-US"/>
        </w:rPr>
        <w:t xml:space="preserve"> i wskaźniki wymienione w załączniku I część </w:t>
      </w:r>
      <w:r w:rsidRPr="00524971">
        <w:rPr>
          <w:strike/>
          <w:szCs w:val="24"/>
          <w:lang w:eastAsia="en-US"/>
        </w:rPr>
        <w:t xml:space="preserve">C i </w:t>
      </w:r>
      <w:r w:rsidRPr="00524971">
        <w:rPr>
          <w:szCs w:val="24"/>
          <w:lang w:eastAsia="en-US"/>
        </w:rPr>
        <w:t>D, do celów monitorowania</w:t>
      </w:r>
      <w:r w:rsidRPr="00524971">
        <w:rPr>
          <w:strike/>
          <w:szCs w:val="24"/>
          <w:lang w:eastAsia="en-US"/>
        </w:rPr>
        <w:t xml:space="preserve"> („dodatkowe wskaźniki glebowe” i „dodatkowe wskaźniki przejmowania gruntów”)</w:t>
      </w:r>
      <w:r w:rsidRPr="00524971">
        <w:rPr>
          <w:szCs w:val="24"/>
          <w:lang w:eastAsia="en-US"/>
        </w:rPr>
        <w:t>.</w:t>
      </w:r>
      <w:r w:rsidR="00E24A83">
        <w:rPr>
          <w:b/>
          <w:szCs w:val="24"/>
          <w:lang w:eastAsia="en-US"/>
        </w:rPr>
        <w:t xml:space="preserve"> [Popr. 88]</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6.</w:t>
      </w:r>
      <w:r w:rsidRPr="00524971">
        <w:rPr>
          <w:szCs w:val="24"/>
          <w:lang w:eastAsia="en-US"/>
        </w:rPr>
        <w:tab/>
        <w:t>Państwa członkowskie informują Komisję o ustaleniu lub dostosowaniu wskaźników glebowych, wskaźników przejmowania gruntów i kryteriów zdrowia gleb zgodnie z ust. 2–5 niniejszego artykułu</w:t>
      </w:r>
      <w:r w:rsidRPr="00524971">
        <w:rPr>
          <w:b/>
          <w:i/>
          <w:szCs w:val="24"/>
          <w:lang w:eastAsia="en-US"/>
        </w:rPr>
        <w:t xml:space="preserve"> i z art</w:t>
      </w:r>
      <w:r w:rsidRPr="00524971">
        <w:rPr>
          <w:szCs w:val="24"/>
          <w:lang w:eastAsia="en-US"/>
        </w:rPr>
        <w:t>.</w:t>
      </w:r>
      <w:r w:rsidRPr="00524971">
        <w:rPr>
          <w:b/>
          <w:i/>
          <w:szCs w:val="24"/>
          <w:lang w:eastAsia="en-US"/>
        </w:rPr>
        <w:t xml:space="preserve"> 9.</w:t>
      </w:r>
      <w:r w:rsidR="00E24A83">
        <w:rPr>
          <w:b/>
          <w:szCs w:val="24"/>
          <w:lang w:eastAsia="en-US"/>
        </w:rPr>
        <w:t xml:space="preserve"> [Popr. 89]</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8</w:t>
      </w:r>
      <w:r w:rsidRPr="00524971">
        <w:rPr>
          <w:szCs w:val="24"/>
          <w:lang w:eastAsia="en-US"/>
        </w:rPr>
        <w:br/>
        <w:t>Pomiary i metodyki</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 xml:space="preserve">Państwa członkowskie określają punkty pobierania próbek, stosując metodykę określoną w załączniku </w:t>
      </w:r>
      <w:r w:rsidRPr="00524971">
        <w:rPr>
          <w:strike/>
          <w:szCs w:val="24"/>
          <w:lang w:eastAsia="en-US"/>
        </w:rPr>
        <w:t>II część A</w:t>
      </w:r>
      <w:r w:rsidRPr="00524971">
        <w:rPr>
          <w:b/>
          <w:i/>
          <w:szCs w:val="24"/>
          <w:lang w:eastAsia="en-US"/>
        </w:rPr>
        <w:t>I zgodnie z wybranym poziomem modelu monitorowania gleb, z uwzględnieniem ocen ryzyka opartych na istniejących systemach monitorowania</w:t>
      </w:r>
      <w:r w:rsidRPr="00524971">
        <w:rPr>
          <w:szCs w:val="24"/>
          <w:lang w:eastAsia="en-US"/>
        </w:rPr>
        <w:t>.</w:t>
      </w:r>
      <w:r w:rsidR="00E24A83">
        <w:rPr>
          <w:b/>
          <w:szCs w:val="24"/>
          <w:lang w:eastAsia="en-US"/>
        </w:rPr>
        <w:t xml:space="preserve"> [Popr. 90]</w:t>
      </w:r>
    </w:p>
    <w:p w:rsidR="00524971" w:rsidRPr="00524971" w:rsidRDefault="00524971" w:rsidP="00524971">
      <w:pPr>
        <w:spacing w:before="120" w:after="120" w:line="360" w:lineRule="auto"/>
        <w:ind w:left="850" w:hanging="850"/>
        <w:rPr>
          <w:szCs w:val="24"/>
          <w:lang w:eastAsia="en-US"/>
        </w:rPr>
      </w:pPr>
      <w:r w:rsidRPr="00524971">
        <w:rPr>
          <w:szCs w:val="24"/>
          <w:lang w:eastAsia="en-US"/>
        </w:rPr>
        <w:t>2.</w:t>
      </w:r>
      <w:r w:rsidRPr="00524971">
        <w:rPr>
          <w:szCs w:val="24"/>
          <w:lang w:eastAsia="en-US"/>
        </w:rPr>
        <w:tab/>
        <w:t>Państwa członkowskie przeprowadzają pomiary gleby, pobierając próbki gleby w punktach pobierania próbek, o których mowa w ust. 1, oraz gromadzą, przetwarzają i analizują dane w celu ustalenia:</w:t>
      </w:r>
    </w:p>
    <w:p w:rsidR="00524971" w:rsidRPr="00E24A83" w:rsidRDefault="00524971" w:rsidP="00524971">
      <w:pPr>
        <w:spacing w:before="120" w:after="120" w:line="360" w:lineRule="auto"/>
        <w:ind w:left="1416" w:hanging="566"/>
        <w:rPr>
          <w:b/>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wartości</w:t>
      </w:r>
      <w:proofErr w:type="gramEnd"/>
      <w:r w:rsidRPr="00524971">
        <w:rPr>
          <w:szCs w:val="24"/>
          <w:lang w:eastAsia="en-US"/>
        </w:rPr>
        <w:t xml:space="preserve"> wskaźników glebowych </w:t>
      </w:r>
      <w:r w:rsidRPr="00524971">
        <w:rPr>
          <w:b/>
          <w:i/>
          <w:szCs w:val="24"/>
          <w:lang w:eastAsia="en-US"/>
        </w:rPr>
        <w:t xml:space="preserve">zgodnie z wybranym poziomem modelu monitorowania gleb, </w:t>
      </w:r>
      <w:r w:rsidRPr="00524971">
        <w:rPr>
          <w:szCs w:val="24"/>
          <w:lang w:eastAsia="en-US"/>
        </w:rPr>
        <w:t>określonych w załączniku I;</w:t>
      </w:r>
      <w:r w:rsidR="00E24A83">
        <w:rPr>
          <w:b/>
          <w:szCs w:val="24"/>
          <w:lang w:eastAsia="en-US"/>
        </w:rPr>
        <w:t xml:space="preserve"> [Popr. 91]</w:t>
      </w:r>
    </w:p>
    <w:p w:rsidR="00524971" w:rsidRPr="00524971" w:rsidRDefault="00524971" w:rsidP="00524971">
      <w:pPr>
        <w:spacing w:before="120" w:after="120" w:line="360" w:lineRule="auto"/>
        <w:ind w:left="1416" w:hanging="566"/>
        <w:rPr>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w</w:t>
      </w:r>
      <w:proofErr w:type="gramEnd"/>
      <w:r w:rsidRPr="00524971">
        <w:rPr>
          <w:szCs w:val="24"/>
          <w:lang w:eastAsia="en-US"/>
        </w:rPr>
        <w:t xml:space="preserve"> stosownych przypadkach – wartości dodatkowych wskaźników glebowych;</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wartości</w:t>
      </w:r>
      <w:proofErr w:type="gramEnd"/>
      <w:r w:rsidRPr="00524971">
        <w:rPr>
          <w:szCs w:val="24"/>
          <w:lang w:eastAsia="en-US"/>
        </w:rPr>
        <w:t xml:space="preserve"> wskaźników przejmowania gruntów i uszczelniania gleby wymienionych w załączniku I część D.</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szCs w:val="24"/>
          <w:lang w:eastAsia="en-US"/>
        </w:rPr>
        <w:lastRenderedPageBreak/>
        <w:t>3.</w:t>
      </w:r>
      <w:r w:rsidRPr="00524971">
        <w:rPr>
          <w:szCs w:val="24"/>
          <w:lang w:eastAsia="en-US"/>
        </w:rPr>
        <w:tab/>
        <w:t>Państwa członkowskie stosują:</w:t>
      </w:r>
    </w:p>
    <w:p w:rsidR="00524971" w:rsidRPr="00E24A83" w:rsidRDefault="00524971" w:rsidP="00524971">
      <w:pPr>
        <w:spacing w:before="120" w:after="120" w:line="360" w:lineRule="auto"/>
        <w:ind w:left="1416" w:hanging="566"/>
        <w:rPr>
          <w:b/>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metodyki</w:t>
      </w:r>
      <w:proofErr w:type="gramEnd"/>
      <w:r w:rsidRPr="00524971">
        <w:rPr>
          <w:szCs w:val="24"/>
          <w:lang w:eastAsia="en-US"/>
        </w:rPr>
        <w:t xml:space="preserve"> ustalania lub szacowania wartości wskaźników glebowych określone w załączniku II</w:t>
      </w:r>
      <w:r w:rsidRPr="00524971">
        <w:rPr>
          <w:strike/>
          <w:szCs w:val="24"/>
          <w:lang w:eastAsia="en-US"/>
        </w:rPr>
        <w:t xml:space="preserve"> część B</w:t>
      </w:r>
      <w:r w:rsidRPr="00524971">
        <w:rPr>
          <w:szCs w:val="24"/>
          <w:lang w:eastAsia="en-US"/>
        </w:rPr>
        <w:t>;</w:t>
      </w:r>
      <w:r w:rsidR="00E24A83">
        <w:rPr>
          <w:b/>
          <w:szCs w:val="24"/>
          <w:lang w:eastAsia="en-US"/>
        </w:rPr>
        <w:t xml:space="preserve"> [Popr. 92]</w:t>
      </w:r>
    </w:p>
    <w:p w:rsidR="00524971" w:rsidRPr="00524971" w:rsidRDefault="00524971" w:rsidP="00524971">
      <w:pPr>
        <w:spacing w:before="120" w:after="120" w:line="360" w:lineRule="auto"/>
        <w:ind w:left="1416" w:hanging="566"/>
        <w:rPr>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minimalne</w:t>
      </w:r>
      <w:proofErr w:type="gramEnd"/>
      <w:r w:rsidRPr="00524971">
        <w:rPr>
          <w:szCs w:val="24"/>
          <w:lang w:eastAsia="en-US"/>
        </w:rPr>
        <w:t xml:space="preserve"> kryteria metodologiczne ustalania wartości wskaźników przejmowania gruntów i uszczelniania gleby określone w załączniku II część C;</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wszelkie</w:t>
      </w:r>
      <w:proofErr w:type="gramEnd"/>
      <w:r w:rsidRPr="00524971">
        <w:rPr>
          <w:szCs w:val="24"/>
          <w:lang w:eastAsia="en-US"/>
        </w:rPr>
        <w:t xml:space="preserve"> wymogi ustanowione przez Komisję zgodnie z ust. 6.</w:t>
      </w:r>
    </w:p>
    <w:p w:rsidR="00524971" w:rsidRPr="00E24A83" w:rsidRDefault="00524971" w:rsidP="00524971">
      <w:pPr>
        <w:spacing w:before="120" w:after="120" w:line="360" w:lineRule="auto"/>
        <w:ind w:left="850"/>
        <w:rPr>
          <w:b/>
          <w:szCs w:val="24"/>
          <w:lang w:eastAsia="en-US"/>
        </w:rPr>
      </w:pPr>
      <w:r w:rsidRPr="00524971">
        <w:rPr>
          <w:szCs w:val="24"/>
          <w:lang w:eastAsia="en-US"/>
        </w:rPr>
        <w:t xml:space="preserve">Państwa członkowskie mogą stosować metodyki inne niż wymienione w akapicie pierwszym lit. a) i b), pod warunkiem że dostępne są zatwierdzone funkcje przejścia </w:t>
      </w:r>
      <w:r w:rsidRPr="00524971">
        <w:rPr>
          <w:b/>
          <w:i/>
          <w:szCs w:val="24"/>
          <w:lang w:eastAsia="en-US"/>
        </w:rPr>
        <w:t xml:space="preserve">lub istnieje możliwość ich oszacowania przez porównanie danych zebranych na poziomie krajowym w ramach monitorowania in situ koordynowanego przez Komisję </w:t>
      </w:r>
      <w:r w:rsidRPr="00524971">
        <w:rPr>
          <w:szCs w:val="24"/>
          <w:lang w:eastAsia="en-US"/>
        </w:rPr>
        <w:t>zgodnie z wymogami załącznika II część B kolumna czwarta.</w:t>
      </w:r>
      <w:r w:rsidR="00E24A83">
        <w:rPr>
          <w:b/>
          <w:szCs w:val="24"/>
          <w:lang w:eastAsia="en-US"/>
        </w:rPr>
        <w:t xml:space="preserve"> [Popr. 93]</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4.</w:t>
      </w:r>
      <w:r w:rsidRPr="00524971">
        <w:rPr>
          <w:szCs w:val="24"/>
          <w:lang w:eastAsia="en-US"/>
        </w:rPr>
        <w:tab/>
        <w:t xml:space="preserve">Państwa członkowskie zapewniają, aby pierwsze pomiary gleby przeprowadzono najpóźniej do dnia ... (Urząd Publikacji: proszę wstawić datę = </w:t>
      </w:r>
      <w:proofErr w:type="spellStart"/>
      <w:r w:rsidRPr="00524971">
        <w:rPr>
          <w:strike/>
          <w:szCs w:val="24"/>
          <w:lang w:eastAsia="en-US"/>
        </w:rPr>
        <w:t>cztery</w:t>
      </w:r>
      <w:r w:rsidRPr="00524971">
        <w:rPr>
          <w:b/>
          <w:i/>
          <w:szCs w:val="24"/>
          <w:lang w:eastAsia="en-US"/>
        </w:rPr>
        <w:t>trzy</w:t>
      </w:r>
      <w:proofErr w:type="spellEnd"/>
      <w:r w:rsidRPr="00524971">
        <w:rPr>
          <w:szCs w:val="24"/>
          <w:lang w:eastAsia="en-US"/>
        </w:rPr>
        <w:t xml:space="preserve"> lata od daty wejścia w życie dyrektywy).</w:t>
      </w:r>
      <w:r w:rsidR="00E24A83">
        <w:rPr>
          <w:b/>
          <w:szCs w:val="24"/>
          <w:lang w:eastAsia="en-US"/>
        </w:rPr>
        <w:t xml:space="preserve"> [Popr. 94]</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szCs w:val="24"/>
          <w:lang w:eastAsia="en-US"/>
        </w:rPr>
        <w:lastRenderedPageBreak/>
        <w:t>5.</w:t>
      </w:r>
      <w:r w:rsidRPr="00524971">
        <w:rPr>
          <w:szCs w:val="24"/>
          <w:lang w:eastAsia="en-US"/>
        </w:rPr>
        <w:tab/>
        <w:t xml:space="preserve">Państwa członkowskie zapewniają przeprowadzanie nowych pomiarów gleby co najmniej raz na </w:t>
      </w:r>
      <w:r w:rsidRPr="00524971">
        <w:rPr>
          <w:strike/>
          <w:szCs w:val="24"/>
          <w:lang w:eastAsia="en-US"/>
        </w:rPr>
        <w:t xml:space="preserve">pięć </w:t>
      </w:r>
      <w:proofErr w:type="spellStart"/>
      <w:r w:rsidRPr="00524971">
        <w:rPr>
          <w:strike/>
          <w:szCs w:val="24"/>
          <w:lang w:eastAsia="en-US"/>
        </w:rPr>
        <w:t>lat</w:t>
      </w:r>
      <w:r w:rsidRPr="00524971">
        <w:rPr>
          <w:b/>
          <w:i/>
          <w:szCs w:val="24"/>
          <w:lang w:eastAsia="en-US"/>
        </w:rPr>
        <w:t>sześć</w:t>
      </w:r>
      <w:proofErr w:type="spellEnd"/>
      <w:r w:rsidRPr="00524971">
        <w:rPr>
          <w:b/>
          <w:i/>
          <w:szCs w:val="24"/>
          <w:lang w:eastAsia="en-US"/>
        </w:rPr>
        <w:t xml:space="preserve"> lat lub wcześniej, w każdym przypadku podejrzenia zmiany stanu gleby</w:t>
      </w:r>
      <w:r w:rsidRPr="00524971">
        <w:rPr>
          <w:szCs w:val="24"/>
          <w:lang w:eastAsia="en-US"/>
        </w:rPr>
        <w:t>.</w:t>
      </w:r>
      <w:r w:rsidRPr="00524971">
        <w:rPr>
          <w:b/>
          <w:i/>
          <w:szCs w:val="24"/>
          <w:lang w:eastAsia="en-US"/>
        </w:rPr>
        <w:t xml:space="preserve"> Państwa członkowskie ułatwiają również monitorowanie gleby in situ koordynowane przez Komisję.</w:t>
      </w:r>
    </w:p>
    <w:p w:rsidR="00524971" w:rsidRPr="00E24A83" w:rsidRDefault="00524971" w:rsidP="00524971">
      <w:pPr>
        <w:spacing w:before="120" w:after="120" w:line="360" w:lineRule="auto"/>
        <w:ind w:left="850"/>
        <w:rPr>
          <w:b/>
          <w:szCs w:val="24"/>
          <w:lang w:eastAsia="en-US"/>
        </w:rPr>
      </w:pPr>
      <w:r w:rsidRPr="00524971">
        <w:rPr>
          <w:szCs w:val="24"/>
          <w:lang w:eastAsia="en-US"/>
        </w:rPr>
        <w:t xml:space="preserve">Państwa członkowskie zapewniają, aby wartość wskaźników przejmowania gruntów i uszczelniania gleby była aktualizowana co najmniej raz </w:t>
      </w:r>
      <w:r w:rsidRPr="00524971">
        <w:rPr>
          <w:strike/>
          <w:szCs w:val="24"/>
          <w:lang w:eastAsia="en-US"/>
        </w:rPr>
        <w:t xml:space="preserve">w </w:t>
      </w:r>
      <w:proofErr w:type="spellStart"/>
      <w:r w:rsidRPr="00524971">
        <w:rPr>
          <w:strike/>
          <w:szCs w:val="24"/>
          <w:lang w:eastAsia="en-US"/>
        </w:rPr>
        <w:t>roku</w:t>
      </w:r>
      <w:r w:rsidRPr="00524971">
        <w:rPr>
          <w:b/>
          <w:i/>
          <w:szCs w:val="24"/>
          <w:lang w:eastAsia="en-US"/>
        </w:rPr>
        <w:t>na</w:t>
      </w:r>
      <w:proofErr w:type="spellEnd"/>
      <w:r w:rsidRPr="00524971">
        <w:rPr>
          <w:b/>
          <w:i/>
          <w:szCs w:val="24"/>
          <w:lang w:eastAsia="en-US"/>
        </w:rPr>
        <w:t xml:space="preserve"> dwa lata</w:t>
      </w:r>
      <w:r w:rsidRPr="00524971">
        <w:rPr>
          <w:szCs w:val="24"/>
          <w:lang w:eastAsia="en-US"/>
        </w:rPr>
        <w:t>.</w:t>
      </w:r>
      <w:r w:rsidR="00E24A83">
        <w:rPr>
          <w:b/>
          <w:szCs w:val="24"/>
          <w:lang w:eastAsia="en-US"/>
        </w:rPr>
        <w:t xml:space="preserve"> [Popr. 95]</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6.</w:t>
      </w:r>
      <w:r w:rsidRPr="00524971">
        <w:rPr>
          <w:szCs w:val="24"/>
          <w:lang w:eastAsia="en-US"/>
        </w:rPr>
        <w:tab/>
        <w:t>Komisja jest uprawniona do przyjmowania aktów delegowanych zgodnie z art. 20 w celu zmiany załącznika II, aby dostosować wymienione w nim metodyki referencyjne do postępu naukowo-technicznego</w:t>
      </w:r>
      <w:r w:rsidRPr="00524971">
        <w:rPr>
          <w:strike/>
          <w:szCs w:val="24"/>
          <w:lang w:eastAsia="en-US"/>
        </w:rPr>
        <w:t>, w szczególności w przypadku gdy wartości wskaźników glebowych można ustalić za pomocą teledetekcji, o której mowa w art</w:t>
      </w:r>
      <w:r w:rsidRPr="00524971">
        <w:rPr>
          <w:szCs w:val="24"/>
          <w:lang w:eastAsia="en-US"/>
        </w:rPr>
        <w:t>.</w:t>
      </w:r>
      <w:r w:rsidRPr="00524971">
        <w:rPr>
          <w:strike/>
          <w:szCs w:val="24"/>
          <w:lang w:eastAsia="en-US"/>
        </w:rPr>
        <w:t xml:space="preserve"> 6 ust. 5.</w:t>
      </w:r>
      <w:r w:rsidR="00E24A83">
        <w:rPr>
          <w:b/>
          <w:szCs w:val="24"/>
          <w:lang w:eastAsia="en-US"/>
        </w:rPr>
        <w:t xml:space="preserve"> [Popr. 96]</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9</w:t>
      </w:r>
      <w:r w:rsidRPr="00524971">
        <w:rPr>
          <w:szCs w:val="24"/>
          <w:lang w:eastAsia="en-US"/>
        </w:rPr>
        <w:br/>
        <w:t>Ocena zdrowia gleb</w:t>
      </w:r>
    </w:p>
    <w:p w:rsidR="00524971" w:rsidRPr="00E24A83"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Państwa członkowskie oceniają zdrowie gleb we wszystkich swoich okręgach glebowych na podstawie danych zgromadzonych w kontekście monitorowania, o którym mowa w art. 6, 7 i 8, w odniesieniu do każdego ze wskaźników glebowych, o których mowa w załączniku I</w:t>
      </w:r>
      <w:r w:rsidRPr="00524971">
        <w:rPr>
          <w:strike/>
          <w:szCs w:val="24"/>
          <w:lang w:eastAsia="en-US"/>
        </w:rPr>
        <w:t xml:space="preserve"> część A i B</w:t>
      </w:r>
      <w:r w:rsidRPr="00524971">
        <w:rPr>
          <w:b/>
          <w:i/>
          <w:szCs w:val="24"/>
          <w:lang w:eastAsia="en-US"/>
        </w:rPr>
        <w:t>, zgodnie z wybranym poziomem modelu monitorowania gleb, przy czym biorą pod uwagę uwarunkowania historyczne i przyrodnicze gleby</w:t>
      </w:r>
      <w:r w:rsidRPr="00524971">
        <w:rPr>
          <w:szCs w:val="24"/>
          <w:lang w:eastAsia="en-US"/>
        </w:rPr>
        <w:t>.</w:t>
      </w:r>
      <w:r w:rsidR="00E24A83">
        <w:rPr>
          <w:b/>
          <w:szCs w:val="24"/>
          <w:lang w:eastAsia="en-US"/>
        </w:rPr>
        <w:t xml:space="preserve"> [Popr. 97]</w:t>
      </w:r>
    </w:p>
    <w:p w:rsidR="00524971" w:rsidRPr="00E24A83" w:rsidRDefault="00524971" w:rsidP="00524971">
      <w:pPr>
        <w:spacing w:before="120" w:after="120" w:line="360" w:lineRule="auto"/>
        <w:ind w:left="850"/>
        <w:rPr>
          <w:b/>
          <w:szCs w:val="24"/>
          <w:lang w:eastAsia="en-US"/>
        </w:rPr>
      </w:pPr>
      <w:r w:rsidRPr="00524971">
        <w:rPr>
          <w:b/>
          <w:i/>
          <w:szCs w:val="24"/>
          <w:lang w:eastAsia="en-US"/>
        </w:rPr>
        <w:t xml:space="preserve">W celu oceny stanu ekologicznego gleb </w:t>
      </w:r>
      <w:r w:rsidRPr="00524971">
        <w:rPr>
          <w:szCs w:val="24"/>
          <w:lang w:eastAsia="en-US"/>
        </w:rPr>
        <w:t>państwa członkowskie uwzględniają również dane zgromadzone w kontekście badań gleby, o których mowa w art. 14.</w:t>
      </w:r>
      <w:r w:rsidR="00E24A83">
        <w:rPr>
          <w:b/>
          <w:szCs w:val="24"/>
          <w:lang w:eastAsia="en-US"/>
        </w:rPr>
        <w:t xml:space="preserve"> [Popr. 98]</w:t>
      </w:r>
    </w:p>
    <w:p w:rsidR="00524971" w:rsidRPr="00E24A83" w:rsidRDefault="00524971" w:rsidP="00524971">
      <w:pPr>
        <w:spacing w:before="120" w:after="120" w:line="360" w:lineRule="auto"/>
        <w:ind w:left="850"/>
        <w:rPr>
          <w:b/>
          <w:szCs w:val="24"/>
          <w:lang w:eastAsia="en-US"/>
        </w:rPr>
      </w:pPr>
      <w:r w:rsidRPr="00524971">
        <w:rPr>
          <w:szCs w:val="24"/>
          <w:lang w:eastAsia="en-US"/>
        </w:rPr>
        <w:t xml:space="preserve">Państwa członkowskie zapewniają, aby oceny </w:t>
      </w:r>
      <w:proofErr w:type="spellStart"/>
      <w:r w:rsidRPr="00524971">
        <w:rPr>
          <w:strike/>
          <w:szCs w:val="24"/>
          <w:lang w:eastAsia="en-US"/>
        </w:rPr>
        <w:t>zdrowia</w:t>
      </w:r>
      <w:r w:rsidRPr="00524971">
        <w:rPr>
          <w:b/>
          <w:i/>
          <w:szCs w:val="24"/>
          <w:lang w:eastAsia="en-US"/>
        </w:rPr>
        <w:t>stanu</w:t>
      </w:r>
      <w:proofErr w:type="spellEnd"/>
      <w:r w:rsidRPr="00524971">
        <w:rPr>
          <w:b/>
          <w:i/>
          <w:szCs w:val="24"/>
          <w:lang w:eastAsia="en-US"/>
        </w:rPr>
        <w:t xml:space="preserve"> ekologicznego</w:t>
      </w:r>
      <w:r w:rsidRPr="00524971">
        <w:rPr>
          <w:szCs w:val="24"/>
          <w:lang w:eastAsia="en-US"/>
        </w:rPr>
        <w:t xml:space="preserve"> gleb przeprowadzano co najmniej raz na </w:t>
      </w:r>
      <w:proofErr w:type="spellStart"/>
      <w:r w:rsidRPr="00524971">
        <w:rPr>
          <w:strike/>
          <w:szCs w:val="24"/>
          <w:lang w:eastAsia="en-US"/>
        </w:rPr>
        <w:t>pięć</w:t>
      </w:r>
      <w:r w:rsidRPr="00524971">
        <w:rPr>
          <w:b/>
          <w:i/>
          <w:szCs w:val="24"/>
          <w:lang w:eastAsia="en-US"/>
        </w:rPr>
        <w:t>sześć</w:t>
      </w:r>
      <w:proofErr w:type="spellEnd"/>
      <w:r w:rsidRPr="00524971">
        <w:rPr>
          <w:szCs w:val="24"/>
          <w:lang w:eastAsia="en-US"/>
        </w:rPr>
        <w:t xml:space="preserve"> lat oraz aby pierwszą ocenę</w:t>
      </w:r>
      <w:r w:rsidRPr="00524971">
        <w:rPr>
          <w:strike/>
          <w:szCs w:val="24"/>
          <w:lang w:eastAsia="en-US"/>
        </w:rPr>
        <w:t xml:space="preserve"> zdrowia gleb</w:t>
      </w:r>
      <w:r w:rsidRPr="00524971">
        <w:rPr>
          <w:szCs w:val="24"/>
          <w:lang w:eastAsia="en-US"/>
        </w:rPr>
        <w:t xml:space="preserve"> przeprowadzono do dnia … (Urząd Publikacji: proszę wstawić datę = pięć lat od daty wejścia w życie dyrektywy)</w:t>
      </w:r>
      <w:r w:rsidRPr="00524971">
        <w:rPr>
          <w:b/>
          <w:i/>
          <w:szCs w:val="24"/>
          <w:lang w:eastAsia="en-US"/>
        </w:rPr>
        <w:t>, a także aby do ocen dołączano sprawozdania na temat względnej poprawy, tendencji, postępów lub regresu</w:t>
      </w:r>
      <w:r w:rsidRPr="00524971">
        <w:rPr>
          <w:szCs w:val="24"/>
          <w:lang w:eastAsia="en-US"/>
        </w:rPr>
        <w:t>.</w:t>
      </w:r>
      <w:r w:rsidR="00E24A83">
        <w:rPr>
          <w:b/>
          <w:szCs w:val="24"/>
          <w:lang w:eastAsia="en-US"/>
        </w:rPr>
        <w:t xml:space="preserve"> [Popr. 99]</w:t>
      </w:r>
    </w:p>
    <w:p w:rsidR="00E24A83" w:rsidRDefault="00E24A83">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szCs w:val="24"/>
          <w:lang w:eastAsia="en-US"/>
        </w:rPr>
        <w:lastRenderedPageBreak/>
        <w:t>2.</w:t>
      </w:r>
      <w:r w:rsidRPr="00524971">
        <w:rPr>
          <w:szCs w:val="24"/>
          <w:lang w:eastAsia="en-US"/>
        </w:rPr>
        <w:tab/>
        <w:t xml:space="preserve">Glebę uznaje się za zdrową zgodnie z niniejszą dyrektywą, jeżeli </w:t>
      </w:r>
      <w:r w:rsidRPr="00524971">
        <w:rPr>
          <w:strike/>
          <w:szCs w:val="24"/>
          <w:lang w:eastAsia="en-US"/>
        </w:rPr>
        <w:t xml:space="preserve">spełnione są łącznie następujące </w:t>
      </w:r>
      <w:proofErr w:type="spellStart"/>
      <w:r w:rsidRPr="00524971">
        <w:rPr>
          <w:strike/>
          <w:szCs w:val="24"/>
          <w:lang w:eastAsia="en-US"/>
        </w:rPr>
        <w:t>warunki</w:t>
      </w:r>
      <w:proofErr w:type="gramStart"/>
      <w:r w:rsidRPr="00524971">
        <w:rPr>
          <w:strike/>
          <w:szCs w:val="24"/>
          <w:lang w:eastAsia="en-US"/>
        </w:rPr>
        <w:t>:</w:t>
      </w:r>
      <w:r w:rsidRPr="00524971">
        <w:rPr>
          <w:b/>
          <w:i/>
          <w:szCs w:val="24"/>
          <w:lang w:eastAsia="en-US"/>
        </w:rPr>
        <w:t>glebę</w:t>
      </w:r>
      <w:proofErr w:type="spellEnd"/>
      <w:proofErr w:type="gramEnd"/>
      <w:r w:rsidRPr="00524971">
        <w:rPr>
          <w:b/>
          <w:i/>
          <w:szCs w:val="24"/>
          <w:lang w:eastAsia="en-US"/>
        </w:rPr>
        <w:t xml:space="preserve"> tę można przypisać do klas „dobry stan ekologiczny” albo „bardzo dobry stan ekologiczny”.</w:t>
      </w:r>
    </w:p>
    <w:p w:rsidR="00524971" w:rsidRPr="00524971" w:rsidRDefault="00524971" w:rsidP="00524971">
      <w:pPr>
        <w:spacing w:before="120" w:after="120" w:line="360" w:lineRule="auto"/>
        <w:ind w:left="1416" w:hanging="566"/>
        <w:rPr>
          <w:szCs w:val="24"/>
          <w:lang w:eastAsia="en-US"/>
        </w:rPr>
      </w:pPr>
      <w:r w:rsidRPr="00524971">
        <w:rPr>
          <w:strike/>
          <w:szCs w:val="24"/>
          <w:lang w:eastAsia="en-US"/>
        </w:rPr>
        <w:t>a</w:t>
      </w:r>
      <w:proofErr w:type="gramStart"/>
      <w:r w:rsidRPr="00524971">
        <w:rPr>
          <w:strike/>
          <w:szCs w:val="24"/>
          <w:lang w:eastAsia="en-US"/>
        </w:rPr>
        <w:t>)</w:t>
      </w:r>
      <w:r w:rsidRPr="00524971">
        <w:rPr>
          <w:szCs w:val="24"/>
          <w:lang w:eastAsia="en-US"/>
        </w:rPr>
        <w:tab/>
      </w:r>
      <w:r w:rsidRPr="00524971">
        <w:rPr>
          <w:strike/>
          <w:szCs w:val="24"/>
          <w:lang w:eastAsia="en-US"/>
        </w:rPr>
        <w:t>wartości</w:t>
      </w:r>
      <w:proofErr w:type="gramEnd"/>
      <w:r w:rsidRPr="00524971">
        <w:rPr>
          <w:strike/>
          <w:szCs w:val="24"/>
          <w:lang w:eastAsia="en-US"/>
        </w:rPr>
        <w:t xml:space="preserve"> wszystkich wskaźników glebowych wymienionych w załączniku I część A spełniają kryteria określone w nim i, w stosownych przypadkach, dostosowane zgodnie z art. 7;</w:t>
      </w:r>
    </w:p>
    <w:p w:rsidR="00524971" w:rsidRPr="00863B3E" w:rsidRDefault="00524971" w:rsidP="00524971">
      <w:pPr>
        <w:spacing w:before="120" w:after="120" w:line="360" w:lineRule="auto"/>
        <w:ind w:left="1416" w:hanging="566"/>
        <w:rPr>
          <w:b/>
          <w:szCs w:val="24"/>
          <w:lang w:eastAsia="en-US"/>
        </w:rPr>
      </w:pPr>
      <w:r w:rsidRPr="00524971">
        <w:rPr>
          <w:strike/>
          <w:szCs w:val="24"/>
          <w:lang w:eastAsia="en-US"/>
        </w:rPr>
        <w:t>b</w:t>
      </w:r>
      <w:proofErr w:type="gramStart"/>
      <w:r w:rsidRPr="00524971">
        <w:rPr>
          <w:strike/>
          <w:szCs w:val="24"/>
          <w:lang w:eastAsia="en-US"/>
        </w:rPr>
        <w:t>)</w:t>
      </w:r>
      <w:r w:rsidRPr="00524971">
        <w:rPr>
          <w:szCs w:val="24"/>
          <w:lang w:eastAsia="en-US"/>
        </w:rPr>
        <w:tab/>
      </w:r>
      <w:r w:rsidRPr="00524971">
        <w:rPr>
          <w:strike/>
          <w:szCs w:val="24"/>
          <w:lang w:eastAsia="en-US"/>
        </w:rPr>
        <w:t>wartości</w:t>
      </w:r>
      <w:proofErr w:type="gramEnd"/>
      <w:r w:rsidRPr="00524971">
        <w:rPr>
          <w:strike/>
          <w:szCs w:val="24"/>
          <w:lang w:eastAsia="en-US"/>
        </w:rPr>
        <w:t xml:space="preserve"> wszystkich wskaźników glebowych wymienionych w załączniku I część B spełniają kryteria określone zgodnie z art. 7 („zdrowa gleba”).</w:t>
      </w:r>
      <w:r w:rsidR="00863B3E">
        <w:rPr>
          <w:b/>
          <w:szCs w:val="24"/>
          <w:lang w:eastAsia="en-US"/>
        </w:rPr>
        <w:t xml:space="preserve"> [Popr. 100]</w:t>
      </w:r>
    </w:p>
    <w:p w:rsidR="00524971" w:rsidRPr="00863B3E" w:rsidRDefault="00524971" w:rsidP="00524971">
      <w:pPr>
        <w:spacing w:before="120" w:after="120" w:line="360" w:lineRule="auto"/>
        <w:ind w:left="850"/>
        <w:rPr>
          <w:b/>
          <w:szCs w:val="24"/>
          <w:lang w:eastAsia="en-US"/>
        </w:rPr>
      </w:pPr>
      <w:r w:rsidRPr="00524971">
        <w:rPr>
          <w:strike/>
          <w:szCs w:val="24"/>
          <w:lang w:eastAsia="en-US"/>
        </w:rPr>
        <w:t>Na zasadzie odstępstwa od akapitu pierwszego w ocenie gleb na obszarze lądowym wymienionym w załączniku I kolumna czwarta nie uwzględnia się wartości określonych w kolumnie trzeciej dla tego obszaru lądowego.</w:t>
      </w:r>
      <w:r w:rsidR="00863B3E">
        <w:rPr>
          <w:b/>
          <w:szCs w:val="24"/>
          <w:lang w:eastAsia="en-US"/>
        </w:rPr>
        <w:t xml:space="preserve"> [Popr. 101]</w:t>
      </w:r>
    </w:p>
    <w:p w:rsidR="00524971" w:rsidRPr="00863B3E" w:rsidRDefault="00524971" w:rsidP="00524971">
      <w:pPr>
        <w:spacing w:before="120" w:after="120" w:line="360" w:lineRule="auto"/>
        <w:ind w:left="850"/>
        <w:rPr>
          <w:b/>
          <w:szCs w:val="24"/>
          <w:lang w:eastAsia="en-US"/>
        </w:rPr>
      </w:pPr>
      <w:r w:rsidRPr="00524971">
        <w:rPr>
          <w:strike/>
          <w:szCs w:val="24"/>
          <w:lang w:eastAsia="en-US"/>
        </w:rPr>
        <w:t>Gleba jest niezdrowa, jeżeli co najmniej jedno z kryteriów, o których mowa w ust. 1, nie jest spełnione („niezdrowa gleba”).</w:t>
      </w:r>
      <w:r w:rsidR="00863B3E">
        <w:rPr>
          <w:b/>
          <w:szCs w:val="24"/>
          <w:lang w:eastAsia="en-US"/>
        </w:rPr>
        <w:t xml:space="preserve"> [Popr. 102]</w:t>
      </w:r>
    </w:p>
    <w:p w:rsidR="00863B3E" w:rsidRDefault="00863B3E">
      <w:pPr>
        <w:widowControl/>
        <w:rPr>
          <w:szCs w:val="24"/>
          <w:lang w:eastAsia="en-US"/>
        </w:rPr>
      </w:pPr>
      <w:r>
        <w:rPr>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szCs w:val="24"/>
          <w:lang w:eastAsia="en-US"/>
        </w:rPr>
        <w:lastRenderedPageBreak/>
        <w:t>3.</w:t>
      </w:r>
      <w:r w:rsidRPr="00524971">
        <w:rPr>
          <w:szCs w:val="24"/>
          <w:lang w:eastAsia="en-US"/>
        </w:rPr>
        <w:tab/>
        <w:t xml:space="preserve">Państwa członkowskie analizują wartości wskaźników glebowych wymienionych w załączniku I </w:t>
      </w:r>
      <w:r w:rsidRPr="00524971">
        <w:rPr>
          <w:strike/>
          <w:szCs w:val="24"/>
          <w:lang w:eastAsia="en-US"/>
        </w:rPr>
        <w:t xml:space="preserve">część </w:t>
      </w:r>
      <w:proofErr w:type="spellStart"/>
      <w:r w:rsidRPr="00524971">
        <w:rPr>
          <w:strike/>
          <w:szCs w:val="24"/>
          <w:lang w:eastAsia="en-US"/>
        </w:rPr>
        <w:t>C</w:t>
      </w:r>
      <w:r w:rsidRPr="00524971">
        <w:rPr>
          <w:b/>
          <w:i/>
          <w:szCs w:val="24"/>
          <w:lang w:eastAsia="en-US"/>
        </w:rPr>
        <w:t>części</w:t>
      </w:r>
      <w:proofErr w:type="spellEnd"/>
      <w:r w:rsidRPr="00524971">
        <w:rPr>
          <w:b/>
          <w:i/>
          <w:szCs w:val="24"/>
          <w:lang w:eastAsia="en-US"/>
        </w:rPr>
        <w:t xml:space="preserve"> A, B i C, zgodnie z wybranym poziomem modelu monitorowania gleb,</w:t>
      </w:r>
      <w:r w:rsidRPr="00524971">
        <w:rPr>
          <w:szCs w:val="24"/>
          <w:lang w:eastAsia="en-US"/>
        </w:rPr>
        <w:t xml:space="preserve"> i oceniają, czy doszło do krytycznej utraty</w:t>
      </w:r>
      <w:r w:rsidRPr="00524971">
        <w:rPr>
          <w:b/>
          <w:i/>
          <w:szCs w:val="24"/>
          <w:lang w:eastAsia="en-US"/>
        </w:rPr>
        <w:t xml:space="preserve"> różnorodności biologicznej gleb i</w:t>
      </w:r>
      <w:r w:rsidRPr="00524971">
        <w:rPr>
          <w:szCs w:val="24"/>
          <w:lang w:eastAsia="en-US"/>
        </w:rPr>
        <w:t xml:space="preserve"> usług ekosystemowych, biorąc pod uwagę odpowiednie dane i dostępną wiedzę naukową.</w:t>
      </w:r>
      <w:r w:rsidR="00863B3E">
        <w:rPr>
          <w:b/>
          <w:szCs w:val="24"/>
          <w:lang w:eastAsia="en-US"/>
        </w:rPr>
        <w:t xml:space="preserve"> [Popr. 103]</w:t>
      </w:r>
    </w:p>
    <w:p w:rsidR="00524971" w:rsidRPr="00524971" w:rsidRDefault="00524971" w:rsidP="00524971">
      <w:pPr>
        <w:spacing w:before="120" w:after="120" w:line="360" w:lineRule="auto"/>
        <w:ind w:left="850"/>
        <w:rPr>
          <w:szCs w:val="24"/>
          <w:lang w:eastAsia="en-US"/>
        </w:rPr>
      </w:pPr>
      <w:r w:rsidRPr="00524971">
        <w:rPr>
          <w:szCs w:val="24"/>
          <w:lang w:eastAsia="en-US"/>
        </w:rPr>
        <w:t>Państwa członkowskie analizują wartości wskaźników przejmowania gruntów i uszczelniania gleby wymienionych w załączniku I część D oraz oceniają ich wpływ na utratę usług ekosystemowych oraz na cele ustanowione w rozporządzeniu (UE) 2018/841.</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4.</w:t>
      </w:r>
      <w:r w:rsidRPr="00524971">
        <w:rPr>
          <w:szCs w:val="24"/>
          <w:lang w:eastAsia="en-US"/>
        </w:rPr>
        <w:tab/>
        <w:t xml:space="preserve">Na podstawie oceny zdrowia gleb przeprowadzonej zgodnie z niniejszym artykułem właściwy organ, w stosownych przypadkach we współpracy z organami lokalnymi, regionalnymi i krajowymi, określa w każdym okręgu glebowym obszary, na których występują </w:t>
      </w:r>
      <w:r w:rsidRPr="00524971">
        <w:rPr>
          <w:strike/>
          <w:szCs w:val="24"/>
          <w:lang w:eastAsia="en-US"/>
        </w:rPr>
        <w:t xml:space="preserve">niezdrowe </w:t>
      </w:r>
      <w:r w:rsidRPr="00524971">
        <w:rPr>
          <w:szCs w:val="24"/>
          <w:lang w:eastAsia="en-US"/>
        </w:rPr>
        <w:t>gleby</w:t>
      </w:r>
      <w:r w:rsidRPr="00524971">
        <w:rPr>
          <w:b/>
          <w:i/>
          <w:szCs w:val="24"/>
          <w:lang w:eastAsia="en-US"/>
        </w:rPr>
        <w:t xml:space="preserve"> w stanie innym niż „bardzo dobry stan ekologiczny gleb” lub „dobry stan ekologiczny gleb”</w:t>
      </w:r>
      <w:r w:rsidRPr="00524971">
        <w:rPr>
          <w:szCs w:val="24"/>
          <w:lang w:eastAsia="en-US"/>
        </w:rPr>
        <w:t>, oraz informuje o tym opinię publiczną zgodnie z art. 19.</w:t>
      </w:r>
      <w:r w:rsidR="00863B3E">
        <w:rPr>
          <w:b/>
          <w:szCs w:val="24"/>
          <w:lang w:eastAsia="en-US"/>
        </w:rPr>
        <w:t xml:space="preserve"> [Popr. 104]</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4a.</w:t>
      </w:r>
      <w:r w:rsidRPr="00524971">
        <w:rPr>
          <w:szCs w:val="24"/>
          <w:lang w:eastAsia="en-US"/>
        </w:rPr>
        <w:tab/>
      </w:r>
      <w:r w:rsidRPr="00524971">
        <w:rPr>
          <w:b/>
          <w:i/>
          <w:szCs w:val="24"/>
          <w:lang w:eastAsia="en-US"/>
        </w:rPr>
        <w:t>Do dnia 31 grudnia 2026 r. Komisja przyjmuje akty delegowane zgodnie z art. 20 w celu uzupełnienia niniejszego rozporządzenia przez ustanowienie metodyki określania wartości progowych dla wskaźników glebowych w załączniku I dla każdego stanu ekologicznego gleby. W metodyce tej bierze się pod uwagę najnowsze dowody naukowe i uwzględnia różne warunki klimatyczne i rodzaje gleby.</w:t>
      </w:r>
      <w:r w:rsidR="00863B3E">
        <w:rPr>
          <w:b/>
          <w:szCs w:val="24"/>
          <w:lang w:eastAsia="en-US"/>
        </w:rPr>
        <w:t xml:space="preserve"> [Popr. 105]</w:t>
      </w:r>
    </w:p>
    <w:p w:rsidR="00863B3E" w:rsidRDefault="00863B3E">
      <w:pPr>
        <w:widowControl/>
        <w:rPr>
          <w:b/>
          <w:i/>
          <w:szCs w:val="24"/>
          <w:lang w:eastAsia="en-US"/>
        </w:rPr>
      </w:pPr>
      <w:r>
        <w:rPr>
          <w:b/>
          <w:i/>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lastRenderedPageBreak/>
        <w:t>4b.</w:t>
      </w:r>
      <w:r w:rsidRPr="00524971">
        <w:rPr>
          <w:szCs w:val="24"/>
          <w:lang w:eastAsia="en-US"/>
        </w:rPr>
        <w:tab/>
      </w:r>
      <w:r w:rsidRPr="00524971">
        <w:rPr>
          <w:b/>
          <w:i/>
          <w:szCs w:val="24"/>
          <w:lang w:eastAsia="en-US"/>
        </w:rPr>
        <w:t>Do dnia 30 czerwca 2028 r. państwa członkowskie przedkładają Komisji projekty wartości progowych dla wskaźników glebowych wymienionych w załączniku I, z uwzględnieniem warunków klimatycznych, rodzaju gleby i rodzaju powierzchni gruntów, wraz z uzasadnieniem naukowym i dowodami naukowymi, na których oparły swoje decyzje.</w:t>
      </w:r>
      <w:r w:rsidR="00863B3E">
        <w:rPr>
          <w:b/>
          <w:szCs w:val="24"/>
          <w:lang w:eastAsia="en-US"/>
        </w:rPr>
        <w:t xml:space="preserve"> [Popr. 106]</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4c.</w:t>
      </w:r>
      <w:r w:rsidRPr="00524971">
        <w:rPr>
          <w:szCs w:val="24"/>
          <w:lang w:eastAsia="en-US"/>
        </w:rPr>
        <w:tab/>
      </w:r>
      <w:r w:rsidRPr="00524971">
        <w:rPr>
          <w:b/>
          <w:i/>
          <w:szCs w:val="24"/>
          <w:lang w:eastAsia="en-US"/>
        </w:rPr>
        <w:t>W ciągu sześciu miesięcy od daty przedłożenia projektów wartości progowych, o których mowa w ust. 4b, Komisja przedstawia uwagi do proponowanych wartości progowych, oceniając uzasadnienie naukowe i zapewniając równe warunki działania na rynku wewnętrznym. Na wniosek Komisji państwa członkowskie przekazują Komisji wszystkie niezbędne dodatkowe informacje oraz, w stosownych przypadkach, zmieniają proponowane wartości progowe.</w:t>
      </w:r>
      <w:r w:rsidR="00863B3E">
        <w:rPr>
          <w:b/>
          <w:szCs w:val="24"/>
          <w:lang w:eastAsia="en-US"/>
        </w:rPr>
        <w:t xml:space="preserve"> [Popr. 107]</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4d.</w:t>
      </w:r>
      <w:r w:rsidRPr="00524971">
        <w:rPr>
          <w:szCs w:val="24"/>
          <w:lang w:eastAsia="en-US"/>
        </w:rPr>
        <w:tab/>
      </w:r>
      <w:r w:rsidRPr="00524971">
        <w:rPr>
          <w:b/>
          <w:i/>
          <w:szCs w:val="24"/>
          <w:lang w:eastAsia="en-US"/>
        </w:rPr>
        <w:t>Pod warunkiem że wszelkie uwagi przedstawione przez Komisję zgodnie z ust. 4c zostały odpowiednio uwzględnione, nie później niż do dnia 31 grudnia 2029 r. Komisja zatwierdza wartości progowe w drodze aktów wykonawczych.</w:t>
      </w:r>
      <w:r w:rsidR="00863B3E">
        <w:rPr>
          <w:b/>
          <w:szCs w:val="24"/>
          <w:lang w:eastAsia="en-US"/>
        </w:rPr>
        <w:t xml:space="preserve"> [Popr. 108]</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4e.</w:t>
      </w:r>
      <w:r w:rsidRPr="00524971">
        <w:rPr>
          <w:szCs w:val="24"/>
          <w:lang w:eastAsia="en-US"/>
        </w:rPr>
        <w:tab/>
      </w:r>
      <w:r w:rsidRPr="00524971">
        <w:rPr>
          <w:b/>
          <w:i/>
          <w:szCs w:val="24"/>
          <w:lang w:eastAsia="en-US"/>
        </w:rPr>
        <w:t>Stosując poziom 2 projektu monitorowania gleby, państwa członkowskie mogą skorzystać z odchylenia do 20 % w porównaniu z wartościami progowymi określonymi zgodnie z ust. 4d.</w:t>
      </w:r>
      <w:r w:rsidR="00863B3E">
        <w:rPr>
          <w:b/>
          <w:szCs w:val="24"/>
          <w:lang w:eastAsia="en-US"/>
        </w:rPr>
        <w:t xml:space="preserve"> [Popr. 110]</w:t>
      </w:r>
    </w:p>
    <w:p w:rsidR="00863B3E" w:rsidRDefault="00863B3E">
      <w:pPr>
        <w:widowControl/>
        <w:rPr>
          <w:strike/>
          <w:szCs w:val="24"/>
          <w:lang w:eastAsia="en-US"/>
        </w:rPr>
      </w:pPr>
      <w:r>
        <w:rPr>
          <w:strike/>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strike/>
          <w:szCs w:val="24"/>
          <w:lang w:eastAsia="en-US"/>
        </w:rPr>
        <w:lastRenderedPageBreak/>
        <w:t>5.</w:t>
      </w:r>
      <w:r w:rsidRPr="00524971">
        <w:rPr>
          <w:szCs w:val="24"/>
          <w:lang w:eastAsia="en-US"/>
        </w:rPr>
        <w:tab/>
      </w:r>
      <w:r w:rsidRPr="00524971">
        <w:rPr>
          <w:strike/>
          <w:szCs w:val="24"/>
          <w:lang w:eastAsia="en-US"/>
        </w:rPr>
        <w:t>Państwa członkowskie ustanawiają mechanizm dobrowolnej certyfikacji zdrowia gleb dla właścicieli i zarządców gruntów, zgodnie z warunkami określonymi w ust. 2 niniejszego artykułu.</w:t>
      </w:r>
      <w:r w:rsidR="00863B3E">
        <w:rPr>
          <w:b/>
          <w:szCs w:val="24"/>
          <w:lang w:eastAsia="en-US"/>
        </w:rPr>
        <w:t xml:space="preserve"> [Popr. 111]</w:t>
      </w:r>
    </w:p>
    <w:p w:rsidR="00524971" w:rsidRPr="00863B3E" w:rsidRDefault="00524971" w:rsidP="00524971">
      <w:pPr>
        <w:spacing w:before="120" w:after="120" w:line="360" w:lineRule="auto"/>
        <w:ind w:left="850"/>
        <w:rPr>
          <w:b/>
          <w:szCs w:val="24"/>
          <w:lang w:eastAsia="en-US"/>
        </w:rPr>
      </w:pPr>
      <w:r w:rsidRPr="00524971">
        <w:rPr>
          <w:strike/>
          <w:szCs w:val="24"/>
          <w:lang w:eastAsia="en-US"/>
        </w:rPr>
        <w:t>Komisja może przyjmować akty wykonawcze w celu zharmonizowania formatu certyfikacji zdrowia gleb. Te akty wykonawcze przyjmuje się zgodnie z procedurą sprawdzającą, o której mowa w art. 21.</w:t>
      </w:r>
      <w:r w:rsidR="00863B3E">
        <w:rPr>
          <w:b/>
          <w:szCs w:val="24"/>
          <w:lang w:eastAsia="en-US"/>
        </w:rPr>
        <w:t xml:space="preserve"> [Popr. 112]</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6.</w:t>
      </w:r>
      <w:r w:rsidRPr="00524971">
        <w:rPr>
          <w:szCs w:val="24"/>
          <w:lang w:eastAsia="en-US"/>
        </w:rPr>
        <w:tab/>
        <w:t xml:space="preserve">Państwa członkowskie przekazują dane dotyczące zdrowia gleb i oceny, o których mowa w art. 6–9, odpowiednim właścicielom gruntów i zarządcom gruntów </w:t>
      </w:r>
      <w:r w:rsidRPr="00524971">
        <w:rPr>
          <w:strike/>
          <w:szCs w:val="24"/>
          <w:lang w:eastAsia="en-US"/>
        </w:rPr>
        <w:t xml:space="preserve">na ich </w:t>
      </w:r>
      <w:proofErr w:type="spellStart"/>
      <w:r w:rsidRPr="00524971">
        <w:rPr>
          <w:strike/>
          <w:szCs w:val="24"/>
          <w:lang w:eastAsia="en-US"/>
        </w:rPr>
        <w:t>wniosek</w:t>
      </w:r>
      <w:r w:rsidRPr="00524971">
        <w:rPr>
          <w:b/>
          <w:i/>
          <w:szCs w:val="24"/>
          <w:lang w:eastAsia="en-US"/>
        </w:rPr>
        <w:t>oraz</w:t>
      </w:r>
      <w:proofErr w:type="spellEnd"/>
      <w:r w:rsidRPr="00524971">
        <w:rPr>
          <w:b/>
          <w:i/>
          <w:szCs w:val="24"/>
          <w:lang w:eastAsia="en-US"/>
        </w:rPr>
        <w:t xml:space="preserve"> udostępniają je bezpłatnie</w:t>
      </w:r>
      <w:r w:rsidRPr="00524971">
        <w:rPr>
          <w:szCs w:val="24"/>
          <w:lang w:eastAsia="en-US"/>
        </w:rPr>
        <w:t>, w szczególności w celu wsparcia rozwoju doradztwa, o którym mowa w art. 10 ust. 3.</w:t>
      </w:r>
      <w:r w:rsidRPr="00524971">
        <w:rPr>
          <w:b/>
          <w:i/>
          <w:szCs w:val="24"/>
          <w:lang w:eastAsia="en-US"/>
        </w:rPr>
        <w:t xml:space="preserve"> Państwa członkowskie zapewniają instytucjom badawczym łatwy i ciągły bezpłatny dostęp do próbek, ekstraktów DNA i surowych danych.</w:t>
      </w:r>
      <w:r w:rsidR="00863B3E">
        <w:rPr>
          <w:b/>
          <w:szCs w:val="24"/>
          <w:lang w:eastAsia="en-US"/>
        </w:rPr>
        <w:t xml:space="preserve"> [Popr. 113]</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 xml:space="preserve">Rozdział III </w:t>
      </w:r>
      <w:r w:rsidRPr="00524971">
        <w:rPr>
          <w:szCs w:val="24"/>
          <w:lang w:eastAsia="en-US"/>
        </w:rPr>
        <w:br/>
        <w:t>Zrównoważone gospodarowanie glebami</w:t>
      </w:r>
    </w:p>
    <w:p w:rsidR="00524971" w:rsidRPr="00524971" w:rsidRDefault="00524971" w:rsidP="00524971">
      <w:pPr>
        <w:spacing w:before="120" w:after="120" w:line="360" w:lineRule="auto"/>
        <w:jc w:val="center"/>
        <w:rPr>
          <w:szCs w:val="24"/>
          <w:lang w:eastAsia="en-US"/>
        </w:rPr>
      </w:pPr>
      <w:r w:rsidRPr="00524971">
        <w:rPr>
          <w:szCs w:val="24"/>
          <w:lang w:eastAsia="en-US"/>
        </w:rPr>
        <w:t>Artykuł 10</w:t>
      </w:r>
      <w:r w:rsidRPr="00524971">
        <w:rPr>
          <w:szCs w:val="24"/>
          <w:lang w:eastAsia="en-US"/>
        </w:rPr>
        <w:br/>
        <w:t xml:space="preserve">Zrównoważone gospodarowanie glebami </w:t>
      </w:r>
    </w:p>
    <w:p w:rsidR="00524971" w:rsidRPr="00524971" w:rsidRDefault="00524971" w:rsidP="00524971">
      <w:pPr>
        <w:spacing w:before="120" w:after="120" w:line="360" w:lineRule="auto"/>
        <w:ind w:left="850" w:hanging="850"/>
        <w:rPr>
          <w:szCs w:val="24"/>
          <w:lang w:eastAsia="en-US"/>
        </w:rPr>
      </w:pPr>
      <w:r w:rsidRPr="00524971">
        <w:rPr>
          <w:strike/>
          <w:szCs w:val="24"/>
          <w:lang w:eastAsia="en-US"/>
        </w:rPr>
        <w:t>1.</w:t>
      </w:r>
      <w:r w:rsidRPr="00524971">
        <w:rPr>
          <w:szCs w:val="24"/>
          <w:lang w:eastAsia="en-US"/>
        </w:rPr>
        <w:tab/>
      </w:r>
      <w:r w:rsidRPr="00524971">
        <w:rPr>
          <w:strike/>
          <w:szCs w:val="24"/>
          <w:lang w:eastAsia="en-US"/>
        </w:rPr>
        <w:t>Od dnia (Urząd Publikacji: proszę wstawić datę = cztery lata od daty wejścia w życie dyrektywy) państwa członkowskie wprowadzają co najmniej następujące środki, biorąc pod uwagę typ, użytkowanie i stan gleby:</w:t>
      </w:r>
    </w:p>
    <w:p w:rsidR="00524971" w:rsidRPr="00524971" w:rsidRDefault="00524971" w:rsidP="00524971">
      <w:pPr>
        <w:spacing w:before="120" w:after="120" w:line="360" w:lineRule="auto"/>
        <w:ind w:left="1416" w:hanging="566"/>
        <w:rPr>
          <w:szCs w:val="24"/>
          <w:lang w:eastAsia="en-US"/>
        </w:rPr>
      </w:pPr>
      <w:r w:rsidRPr="00524971">
        <w:rPr>
          <w:strike/>
          <w:szCs w:val="24"/>
          <w:lang w:eastAsia="en-US"/>
        </w:rPr>
        <w:t>a</w:t>
      </w:r>
      <w:proofErr w:type="gramStart"/>
      <w:r w:rsidRPr="00524971">
        <w:rPr>
          <w:strike/>
          <w:szCs w:val="24"/>
          <w:lang w:eastAsia="en-US"/>
        </w:rPr>
        <w:t>)</w:t>
      </w:r>
      <w:r w:rsidRPr="00524971">
        <w:rPr>
          <w:szCs w:val="24"/>
          <w:lang w:eastAsia="en-US"/>
        </w:rPr>
        <w:tab/>
      </w:r>
      <w:r w:rsidRPr="00524971">
        <w:rPr>
          <w:strike/>
          <w:szCs w:val="24"/>
          <w:lang w:eastAsia="en-US"/>
        </w:rPr>
        <w:t>określenie</w:t>
      </w:r>
      <w:proofErr w:type="gramEnd"/>
      <w:r w:rsidRPr="00524971">
        <w:rPr>
          <w:strike/>
          <w:szCs w:val="24"/>
          <w:lang w:eastAsia="en-US"/>
        </w:rPr>
        <w:t xml:space="preserve"> zrównoważonych praktyk gospodarowania glebami zgodnych z wymienionymi w załączniku III zasadami zrównoważonego gospodarowania glebami, które to praktyki mają być stopniowo wdrażane na wszystkich glebach gospodarowanych, oraz, na podstawie wyników ocen gleby przeprowadzonych zgodnie z art. 9, praktyk regeneracji, które mają być stopniowo wdrażane na glebach niezdrowych w państwach członkowskich;</w:t>
      </w:r>
    </w:p>
    <w:p w:rsidR="00524971" w:rsidRPr="00524971" w:rsidRDefault="00524971" w:rsidP="00524971">
      <w:pPr>
        <w:spacing w:before="120" w:after="120" w:line="360" w:lineRule="auto"/>
        <w:ind w:left="1416" w:hanging="566"/>
        <w:rPr>
          <w:szCs w:val="24"/>
          <w:lang w:eastAsia="en-US"/>
        </w:rPr>
      </w:pPr>
      <w:r w:rsidRPr="00524971">
        <w:rPr>
          <w:strike/>
          <w:szCs w:val="24"/>
          <w:lang w:eastAsia="en-US"/>
        </w:rPr>
        <w:t>b</w:t>
      </w:r>
      <w:proofErr w:type="gramStart"/>
      <w:r w:rsidRPr="00524971">
        <w:rPr>
          <w:strike/>
          <w:szCs w:val="24"/>
          <w:lang w:eastAsia="en-US"/>
        </w:rPr>
        <w:t>)</w:t>
      </w:r>
      <w:r w:rsidRPr="00524971">
        <w:rPr>
          <w:szCs w:val="24"/>
          <w:lang w:eastAsia="en-US"/>
        </w:rPr>
        <w:tab/>
      </w:r>
      <w:r w:rsidRPr="00524971">
        <w:rPr>
          <w:strike/>
          <w:szCs w:val="24"/>
          <w:lang w:eastAsia="en-US"/>
        </w:rPr>
        <w:t>określenie</w:t>
      </w:r>
      <w:proofErr w:type="gramEnd"/>
      <w:r w:rsidRPr="00524971">
        <w:rPr>
          <w:strike/>
          <w:szCs w:val="24"/>
          <w:lang w:eastAsia="en-US"/>
        </w:rPr>
        <w:t xml:space="preserve"> praktyk gospodarowania glebami i innych praktyk negatywnie wpływających na zdrowie gleb, których to praktyk gospodarujący glebami powinni unikać.</w:t>
      </w:r>
    </w:p>
    <w:p w:rsidR="00524971" w:rsidRPr="00524971" w:rsidRDefault="00524971" w:rsidP="00524971">
      <w:pPr>
        <w:spacing w:before="120" w:after="120" w:line="360" w:lineRule="auto"/>
        <w:ind w:left="850"/>
        <w:rPr>
          <w:szCs w:val="24"/>
          <w:lang w:eastAsia="en-US"/>
        </w:rPr>
      </w:pPr>
      <w:r w:rsidRPr="00524971">
        <w:rPr>
          <w:strike/>
          <w:szCs w:val="24"/>
          <w:lang w:eastAsia="en-US"/>
        </w:rPr>
        <w:t>Przy określaniu praktyk i środków, o których mowa w niniejszym ustępie, państwa członkowskie uwzględniają programy, plany, cele i środki wymienione w załączniku IV, a także najnowszą istniejącą wiedzę naukową, w tym wyniki misji „Pakt na rzecz zdrowych gleb w Europie” w ramach programu „Horyzont Europa”.</w:t>
      </w:r>
    </w:p>
    <w:p w:rsidR="00524971" w:rsidRPr="00524971" w:rsidRDefault="00524971" w:rsidP="00524971">
      <w:pPr>
        <w:spacing w:before="120" w:after="120" w:line="360" w:lineRule="auto"/>
        <w:ind w:left="850"/>
        <w:rPr>
          <w:szCs w:val="24"/>
          <w:lang w:eastAsia="en-US"/>
        </w:rPr>
      </w:pPr>
      <w:r w:rsidRPr="00524971">
        <w:rPr>
          <w:strike/>
          <w:szCs w:val="24"/>
          <w:lang w:eastAsia="en-US"/>
        </w:rPr>
        <w:t>Państwa członkowskie określają synergie z programami, planami i środkami określonymi w załączniku IV. Dane z monitorowania zdrowia gleb, wyniki ocen zdrowia gleb, analiza, o której mowa w art. 9, oraz środki zrównoważonego gospodarowania glebami wykorzystuje się przy opracowywaniu programów, planów i środków określonych w załączniku IV.</w:t>
      </w:r>
    </w:p>
    <w:p w:rsidR="00524971" w:rsidRPr="00863B3E" w:rsidRDefault="00524971" w:rsidP="00524971">
      <w:pPr>
        <w:spacing w:before="120" w:after="120" w:line="360" w:lineRule="auto"/>
        <w:ind w:left="850"/>
        <w:rPr>
          <w:b/>
          <w:szCs w:val="24"/>
          <w:lang w:eastAsia="en-US"/>
        </w:rPr>
      </w:pPr>
      <w:r w:rsidRPr="00524971">
        <w:rPr>
          <w:strike/>
          <w:szCs w:val="24"/>
          <w:lang w:eastAsia="en-US"/>
        </w:rPr>
        <w:t>Państwa członkowskie zapewniają, aby proces opracowywania praktyk, o których mowa w akapicie pierwszym, był otwarty, włączający i skuteczny oraz aby zainteresowana społeczność, w szczególności właściciele i zarządcy gruntów, była angażowana w ich opracowywanie oraz aby miała możliwość wzięcia w nim udziału na wczesnym etapie i w skuteczny sposób.</w:t>
      </w:r>
      <w:r w:rsidR="00863B3E">
        <w:rPr>
          <w:b/>
          <w:szCs w:val="24"/>
          <w:lang w:eastAsia="en-US"/>
        </w:rPr>
        <w:t xml:space="preserve"> [Popr. 248]</w:t>
      </w:r>
    </w:p>
    <w:p w:rsidR="00863B3E" w:rsidRDefault="00863B3E">
      <w:pPr>
        <w:widowControl/>
        <w:rPr>
          <w:szCs w:val="24"/>
          <w:lang w:eastAsia="en-US"/>
        </w:rPr>
      </w:pPr>
      <w:r>
        <w:rPr>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szCs w:val="24"/>
          <w:lang w:eastAsia="en-US"/>
        </w:rPr>
        <w:lastRenderedPageBreak/>
        <w:t>2.</w:t>
      </w:r>
      <w:r w:rsidRPr="00524971">
        <w:rPr>
          <w:szCs w:val="24"/>
          <w:lang w:eastAsia="en-US"/>
        </w:rPr>
        <w:tab/>
        <w:t>Państwa członkowskie zapewniają gospodarującym glebami, właścicielom</w:t>
      </w:r>
      <w:r w:rsidRPr="00524971">
        <w:rPr>
          <w:b/>
          <w:i/>
          <w:szCs w:val="24"/>
          <w:lang w:eastAsia="en-US"/>
        </w:rPr>
        <w:t>, zarządcom gruntów</w:t>
      </w:r>
      <w:r w:rsidRPr="00524971">
        <w:rPr>
          <w:szCs w:val="24"/>
          <w:lang w:eastAsia="en-US"/>
        </w:rPr>
        <w:t xml:space="preserve"> </w:t>
      </w:r>
      <w:proofErr w:type="spellStart"/>
      <w:r w:rsidRPr="00524971">
        <w:rPr>
          <w:szCs w:val="24"/>
          <w:lang w:eastAsia="en-US"/>
        </w:rPr>
        <w:t>gruntów</w:t>
      </w:r>
      <w:proofErr w:type="spellEnd"/>
      <w:r w:rsidRPr="00524971">
        <w:rPr>
          <w:szCs w:val="24"/>
          <w:lang w:eastAsia="en-US"/>
        </w:rPr>
        <w:t xml:space="preserve"> i właściwym organom </w:t>
      </w:r>
      <w:r w:rsidRPr="00524971">
        <w:rPr>
          <w:b/>
          <w:i/>
          <w:szCs w:val="24"/>
          <w:lang w:eastAsia="en-US"/>
        </w:rPr>
        <w:t xml:space="preserve">– we wszystkich swoich okręgach glebowych – </w:t>
      </w:r>
      <w:r w:rsidRPr="00524971">
        <w:rPr>
          <w:szCs w:val="24"/>
          <w:lang w:eastAsia="en-US"/>
        </w:rPr>
        <w:t>łatwy</w:t>
      </w:r>
      <w:r w:rsidRPr="00524971">
        <w:rPr>
          <w:b/>
          <w:i/>
          <w:szCs w:val="24"/>
          <w:lang w:eastAsia="en-US"/>
        </w:rPr>
        <w:t xml:space="preserve"> i równy</w:t>
      </w:r>
      <w:r w:rsidRPr="00524971">
        <w:rPr>
          <w:szCs w:val="24"/>
          <w:lang w:eastAsia="en-US"/>
        </w:rPr>
        <w:t xml:space="preserve"> dostęp do bezstronnego i niezależnego doradztwa w zakresie zrównoważonego gospodarowania glebami, działań szkoleniowych i budowania zdolności.</w:t>
      </w:r>
      <w:r w:rsidR="00863B3E">
        <w:rPr>
          <w:b/>
          <w:szCs w:val="24"/>
          <w:lang w:eastAsia="en-US"/>
        </w:rPr>
        <w:t xml:space="preserve"> [Popr. 120 i 249]</w:t>
      </w:r>
    </w:p>
    <w:p w:rsidR="00524971" w:rsidRPr="00524971" w:rsidRDefault="00524971" w:rsidP="00524971">
      <w:pPr>
        <w:spacing w:before="120" w:after="120" w:line="360" w:lineRule="auto"/>
        <w:ind w:left="850"/>
        <w:rPr>
          <w:szCs w:val="24"/>
          <w:lang w:eastAsia="en-US"/>
        </w:rPr>
      </w:pPr>
      <w:r w:rsidRPr="00524971">
        <w:rPr>
          <w:szCs w:val="24"/>
          <w:lang w:eastAsia="en-US"/>
        </w:rPr>
        <w:t>Państwa członkowskie wprowadzają również następujące środki:</w:t>
      </w:r>
    </w:p>
    <w:p w:rsidR="00524971" w:rsidRPr="00524971" w:rsidRDefault="00524971" w:rsidP="00524971">
      <w:pPr>
        <w:spacing w:before="120" w:after="120" w:line="360" w:lineRule="auto"/>
        <w:ind w:left="1416" w:hanging="566"/>
        <w:rPr>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promowanie</w:t>
      </w:r>
      <w:proofErr w:type="gramEnd"/>
      <w:r w:rsidRPr="00524971">
        <w:rPr>
          <w:szCs w:val="24"/>
          <w:lang w:eastAsia="en-US"/>
        </w:rPr>
        <w:t xml:space="preserve"> świadomości na temat wielorakich korzyści średnio- i długoterminowych wynikających ze zrównoważonego gospodarowania glebami oraz potrzeby zrównoważonego gospodarowania glebami;</w:t>
      </w:r>
    </w:p>
    <w:p w:rsidR="00524971" w:rsidRPr="00863B3E" w:rsidRDefault="00524971" w:rsidP="00524971">
      <w:pPr>
        <w:spacing w:before="120" w:after="120" w:line="360" w:lineRule="auto"/>
        <w:ind w:left="1416" w:hanging="566"/>
        <w:rPr>
          <w:b/>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promowanie</w:t>
      </w:r>
      <w:proofErr w:type="gramEnd"/>
      <w:r w:rsidRPr="00524971">
        <w:rPr>
          <w:szCs w:val="24"/>
          <w:lang w:eastAsia="en-US"/>
        </w:rPr>
        <w:t xml:space="preserve"> badań naukowych i </w:t>
      </w:r>
      <w:r w:rsidRPr="00524971">
        <w:rPr>
          <w:strike/>
          <w:szCs w:val="24"/>
          <w:lang w:eastAsia="en-US"/>
        </w:rPr>
        <w:t xml:space="preserve">wdrażanie </w:t>
      </w:r>
      <w:proofErr w:type="spellStart"/>
      <w:r w:rsidRPr="00524971">
        <w:rPr>
          <w:strike/>
          <w:szCs w:val="24"/>
          <w:lang w:eastAsia="en-US"/>
        </w:rPr>
        <w:t>całościowych</w:t>
      </w:r>
      <w:r w:rsidRPr="00524971">
        <w:rPr>
          <w:b/>
          <w:i/>
          <w:szCs w:val="24"/>
          <w:lang w:eastAsia="en-US"/>
        </w:rPr>
        <w:t>innowacji</w:t>
      </w:r>
      <w:proofErr w:type="spellEnd"/>
      <w:r w:rsidRPr="00524971">
        <w:rPr>
          <w:b/>
          <w:i/>
          <w:szCs w:val="24"/>
          <w:lang w:eastAsia="en-US"/>
        </w:rPr>
        <w:t>, nauki obywatelskiej oraz zachęcanie do wdrażania</w:t>
      </w:r>
      <w:r w:rsidRPr="00524971">
        <w:rPr>
          <w:szCs w:val="24"/>
          <w:lang w:eastAsia="en-US"/>
        </w:rPr>
        <w:t xml:space="preserve"> koncepcji</w:t>
      </w:r>
      <w:r w:rsidRPr="00524971">
        <w:rPr>
          <w:b/>
          <w:i/>
          <w:szCs w:val="24"/>
          <w:lang w:eastAsia="en-US"/>
        </w:rPr>
        <w:t xml:space="preserve"> zrównoważonego</w:t>
      </w:r>
      <w:r w:rsidRPr="00524971">
        <w:rPr>
          <w:szCs w:val="24"/>
          <w:lang w:eastAsia="en-US"/>
        </w:rPr>
        <w:t xml:space="preserve"> gospodarowania glebami;</w:t>
      </w:r>
      <w:r w:rsidR="00863B3E">
        <w:rPr>
          <w:b/>
          <w:szCs w:val="24"/>
          <w:lang w:eastAsia="en-US"/>
        </w:rPr>
        <w:t xml:space="preserve"> [Popr. 121 i 250]</w:t>
      </w:r>
    </w:p>
    <w:p w:rsidR="00524971" w:rsidRPr="00863B3E" w:rsidRDefault="00524971" w:rsidP="00524971">
      <w:pPr>
        <w:spacing w:before="120" w:after="120" w:line="360" w:lineRule="auto"/>
        <w:ind w:left="1416" w:hanging="566"/>
        <w:rPr>
          <w:b/>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udostępnianie</w:t>
      </w:r>
      <w:proofErr w:type="gramEnd"/>
      <w:r w:rsidRPr="00524971">
        <w:rPr>
          <w:szCs w:val="24"/>
          <w:lang w:eastAsia="en-US"/>
        </w:rPr>
        <w:t xml:space="preserve"> regularnie aktualizowanych map dostępnych instrumentów finansowania i działań wspierających wdrażanie zrównoważonego gospodarowania glebami</w:t>
      </w:r>
      <w:r w:rsidRPr="00524971">
        <w:rPr>
          <w:b/>
          <w:i/>
          <w:szCs w:val="24"/>
          <w:lang w:eastAsia="en-US"/>
        </w:rPr>
        <w:t xml:space="preserve"> oraz innych działań wspierających wdrażanie niniejszej dyrektywy, w tym badań i nauki obywatelskiej</w:t>
      </w:r>
      <w:r w:rsidRPr="00524971">
        <w:rPr>
          <w:szCs w:val="24"/>
          <w:lang w:eastAsia="en-US"/>
        </w:rPr>
        <w:t>.</w:t>
      </w:r>
      <w:r w:rsidR="00863B3E">
        <w:rPr>
          <w:b/>
          <w:szCs w:val="24"/>
          <w:lang w:eastAsia="en-US"/>
        </w:rPr>
        <w:t xml:space="preserve"> [Popr. 122]</w:t>
      </w:r>
    </w:p>
    <w:p w:rsidR="00863B3E" w:rsidRDefault="00863B3E">
      <w:pPr>
        <w:widowControl/>
        <w:rPr>
          <w:strike/>
          <w:szCs w:val="24"/>
          <w:lang w:eastAsia="en-US"/>
        </w:rPr>
      </w:pPr>
      <w:r>
        <w:rPr>
          <w:strike/>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strike/>
          <w:szCs w:val="24"/>
          <w:lang w:eastAsia="en-US"/>
        </w:rPr>
        <w:lastRenderedPageBreak/>
        <w:t>3.</w:t>
      </w:r>
      <w:r w:rsidRPr="00524971">
        <w:rPr>
          <w:szCs w:val="24"/>
          <w:lang w:eastAsia="en-US"/>
        </w:rPr>
        <w:tab/>
      </w:r>
      <w:r w:rsidRPr="00524971">
        <w:rPr>
          <w:strike/>
          <w:szCs w:val="24"/>
          <w:lang w:eastAsia="en-US"/>
        </w:rPr>
        <w:t>Państwa członkowskie regularnie oceniają skuteczność środków wprowadzonych zgodnie z niniejszym artykułem oraz, w stosownych przypadkach, dokonują przeglądu i rewizji tych środków, uwzględniając monitorowanie i ocenę zdrowia gleb, o których to działaniach mowa w art. 6–9.</w:t>
      </w:r>
      <w:r w:rsidR="00863B3E">
        <w:rPr>
          <w:b/>
          <w:szCs w:val="24"/>
          <w:lang w:eastAsia="en-US"/>
        </w:rPr>
        <w:t xml:space="preserve"> [Popr. 251]</w:t>
      </w:r>
    </w:p>
    <w:p w:rsidR="00524971" w:rsidRPr="00863B3E" w:rsidRDefault="00524971" w:rsidP="00524971">
      <w:pPr>
        <w:spacing w:before="120" w:after="120" w:line="360" w:lineRule="auto"/>
        <w:ind w:left="850" w:hanging="850"/>
        <w:rPr>
          <w:b/>
          <w:szCs w:val="24"/>
          <w:lang w:eastAsia="en-US"/>
        </w:rPr>
      </w:pPr>
      <w:r w:rsidRPr="00524971">
        <w:rPr>
          <w:strike/>
          <w:szCs w:val="24"/>
          <w:lang w:eastAsia="en-US"/>
        </w:rPr>
        <w:t>4.</w:t>
      </w:r>
      <w:r w:rsidRPr="00524971">
        <w:rPr>
          <w:szCs w:val="24"/>
          <w:lang w:eastAsia="en-US"/>
        </w:rPr>
        <w:tab/>
      </w:r>
      <w:r w:rsidRPr="00524971">
        <w:rPr>
          <w:strike/>
          <w:szCs w:val="24"/>
          <w:lang w:eastAsia="en-US"/>
        </w:rPr>
        <w:t>Komisja jest uprawniona do przyjmowania aktów delegowanych zgodnie z art. 20 w celu zmiany załącznika III, aby dostosować zasady zrównoważonego gospodarowania glebami w celu uwzględnienia postępu naukowo-technicznego.</w:t>
      </w:r>
      <w:r w:rsidR="00863B3E">
        <w:rPr>
          <w:b/>
          <w:szCs w:val="24"/>
          <w:lang w:eastAsia="en-US"/>
        </w:rPr>
        <w:t xml:space="preserve"> [Popr. 123 i 252]</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4a.</w:t>
      </w:r>
      <w:r w:rsidRPr="00524971">
        <w:rPr>
          <w:szCs w:val="24"/>
          <w:lang w:eastAsia="en-US"/>
        </w:rPr>
        <w:tab/>
      </w:r>
      <w:r w:rsidRPr="00524971">
        <w:rPr>
          <w:b/>
          <w:i/>
          <w:szCs w:val="24"/>
          <w:lang w:eastAsia="en-US"/>
        </w:rPr>
        <w:t>Komisja – na wniosek – udziela państwom członkowskim wsparcia i wskazówek dotyczących opracowywania konkretnych środków związanych z zasadami zrównoważonego gospodarowania glebami wymienionymi w załączniku III.</w:t>
      </w:r>
      <w:r w:rsidR="00863B3E">
        <w:rPr>
          <w:b/>
          <w:szCs w:val="24"/>
          <w:lang w:eastAsia="en-US"/>
        </w:rPr>
        <w:t xml:space="preserve"> [Popr. 124]</w:t>
      </w:r>
    </w:p>
    <w:p w:rsidR="00524971" w:rsidRPr="00524971" w:rsidRDefault="00524971" w:rsidP="00524971">
      <w:pPr>
        <w:spacing w:before="120" w:after="120" w:line="360" w:lineRule="auto"/>
        <w:jc w:val="center"/>
        <w:rPr>
          <w:szCs w:val="24"/>
          <w:lang w:eastAsia="en-US"/>
        </w:rPr>
      </w:pPr>
      <w:r w:rsidRPr="00524971">
        <w:rPr>
          <w:b/>
          <w:i/>
          <w:szCs w:val="24"/>
          <w:lang w:eastAsia="en-US"/>
        </w:rPr>
        <w:t>Artykuł 10a</w:t>
      </w:r>
      <w:r w:rsidRPr="00524971">
        <w:rPr>
          <w:szCs w:val="24"/>
          <w:lang w:eastAsia="en-US"/>
        </w:rPr>
        <w:br/>
      </w:r>
      <w:r w:rsidRPr="00524971">
        <w:rPr>
          <w:b/>
          <w:i/>
          <w:szCs w:val="24"/>
          <w:lang w:eastAsia="en-US"/>
        </w:rPr>
        <w:t>Zestaw narzędzi na rzecz zrównoważonego gospodarowania glebami</w:t>
      </w:r>
    </w:p>
    <w:p w:rsidR="00524971" w:rsidRPr="00524971" w:rsidRDefault="00524971" w:rsidP="00524971">
      <w:pPr>
        <w:spacing w:before="120" w:after="120" w:line="360" w:lineRule="auto"/>
        <w:ind w:left="850" w:hanging="850"/>
        <w:rPr>
          <w:szCs w:val="24"/>
          <w:lang w:eastAsia="en-US"/>
        </w:rPr>
      </w:pPr>
      <w:r w:rsidRPr="00524971">
        <w:rPr>
          <w:b/>
          <w:i/>
          <w:szCs w:val="24"/>
          <w:lang w:eastAsia="en-US"/>
        </w:rPr>
        <w:t>1.</w:t>
      </w:r>
      <w:r w:rsidRPr="00524971">
        <w:rPr>
          <w:szCs w:val="24"/>
          <w:lang w:eastAsia="en-US"/>
        </w:rPr>
        <w:tab/>
      </w:r>
      <w:r w:rsidRPr="00524971">
        <w:rPr>
          <w:b/>
          <w:i/>
          <w:szCs w:val="24"/>
          <w:lang w:eastAsia="en-US"/>
        </w:rPr>
        <w:t>Aby wesprzeć wdrażanie niniejszej dyrektywy, Komisja ustanawia zestaw narzędzi na rzecz zrównoważonego gospodarowania glebami, który dostarcza gospodarującym glebami praktycznych informacji na temat stosowania praktyk zrównoważonego gospodarowania glebami i zawiera informacje udostępnione przez państwa członkowskie.</w:t>
      </w:r>
    </w:p>
    <w:p w:rsidR="00863B3E" w:rsidRDefault="00863B3E">
      <w:pPr>
        <w:widowControl/>
        <w:rPr>
          <w:b/>
          <w:i/>
          <w:szCs w:val="24"/>
          <w:lang w:eastAsia="en-US"/>
        </w:rPr>
      </w:pPr>
      <w:r>
        <w:rPr>
          <w:b/>
          <w:i/>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b/>
          <w:i/>
          <w:szCs w:val="24"/>
          <w:lang w:eastAsia="en-US"/>
        </w:rPr>
        <w:lastRenderedPageBreak/>
        <w:t>2.</w:t>
      </w:r>
      <w:r w:rsidRPr="00524971">
        <w:rPr>
          <w:szCs w:val="24"/>
          <w:lang w:eastAsia="en-US"/>
        </w:rPr>
        <w:tab/>
      </w:r>
      <w:r w:rsidRPr="00524971">
        <w:rPr>
          <w:b/>
          <w:i/>
          <w:szCs w:val="24"/>
          <w:lang w:eastAsia="en-US"/>
        </w:rPr>
        <w:t>Zestaw narzędzi obejmuje:</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a</w:t>
      </w:r>
      <w:proofErr w:type="gramStart"/>
      <w:r w:rsidRPr="00524971">
        <w:rPr>
          <w:b/>
          <w:i/>
          <w:szCs w:val="24"/>
          <w:lang w:eastAsia="en-US"/>
        </w:rPr>
        <w:t>)</w:t>
      </w:r>
      <w:r w:rsidRPr="00524971">
        <w:rPr>
          <w:szCs w:val="24"/>
          <w:lang w:eastAsia="en-US"/>
        </w:rPr>
        <w:tab/>
      </w:r>
      <w:r w:rsidRPr="00524971">
        <w:rPr>
          <w:b/>
          <w:i/>
          <w:szCs w:val="24"/>
          <w:lang w:eastAsia="en-US"/>
        </w:rPr>
        <w:t>zalecenia</w:t>
      </w:r>
      <w:proofErr w:type="gramEnd"/>
      <w:r w:rsidRPr="00524971">
        <w:rPr>
          <w:b/>
          <w:i/>
          <w:szCs w:val="24"/>
          <w:lang w:eastAsia="en-US"/>
        </w:rPr>
        <w:t xml:space="preserve"> i przykłady najlepszych praktyk właściwych organów państw członkowskich, które monitorują wpływ praktyk gospodarowania glebami, oraz informacje o wpływie takich praktyk na różne usługi ekosystemowe i zagrożenia dla gleby;</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b</w:t>
      </w:r>
      <w:proofErr w:type="gramStart"/>
      <w:r w:rsidRPr="00524971">
        <w:rPr>
          <w:b/>
          <w:i/>
          <w:szCs w:val="24"/>
          <w:lang w:eastAsia="en-US"/>
        </w:rPr>
        <w:t>)</w:t>
      </w:r>
      <w:r w:rsidRPr="00524971">
        <w:rPr>
          <w:szCs w:val="24"/>
          <w:lang w:eastAsia="en-US"/>
        </w:rPr>
        <w:tab/>
      </w:r>
      <w:r w:rsidRPr="00524971">
        <w:rPr>
          <w:b/>
          <w:i/>
          <w:szCs w:val="24"/>
          <w:lang w:eastAsia="en-US"/>
        </w:rPr>
        <w:t xml:space="preserve"> odpowiednie</w:t>
      </w:r>
      <w:proofErr w:type="gramEnd"/>
      <w:r w:rsidRPr="00524971">
        <w:rPr>
          <w:b/>
          <w:i/>
          <w:szCs w:val="24"/>
          <w:lang w:eastAsia="en-US"/>
        </w:rPr>
        <w:t xml:space="preserve"> dla danego kontekstu informacje związane z kombinacjami typu gleby, użytkowania gruntów i warunków klimatycznych;</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c</w:t>
      </w:r>
      <w:proofErr w:type="gramStart"/>
      <w:r w:rsidRPr="00524971">
        <w:rPr>
          <w:b/>
          <w:i/>
          <w:szCs w:val="24"/>
          <w:lang w:eastAsia="en-US"/>
        </w:rPr>
        <w:t>)</w:t>
      </w:r>
      <w:r w:rsidRPr="00524971">
        <w:rPr>
          <w:szCs w:val="24"/>
          <w:lang w:eastAsia="en-US"/>
        </w:rPr>
        <w:tab/>
      </w:r>
      <w:r w:rsidRPr="00524971">
        <w:rPr>
          <w:b/>
          <w:i/>
          <w:szCs w:val="24"/>
          <w:lang w:eastAsia="en-US"/>
        </w:rPr>
        <w:t>nową</w:t>
      </w:r>
      <w:proofErr w:type="gramEnd"/>
      <w:r w:rsidRPr="00524971">
        <w:rPr>
          <w:b/>
          <w:i/>
          <w:szCs w:val="24"/>
          <w:lang w:eastAsia="en-US"/>
        </w:rPr>
        <w:t xml:space="preserve"> wiedzę uzyskaną dzięki badaniom naukowym i innowacjom, w tym podczas misji „Pakt na rzecz zdrowych gleb w Europie” w ramach programu „Horyzont Europa”;</w:t>
      </w:r>
    </w:p>
    <w:p w:rsidR="00524971" w:rsidRPr="00524971" w:rsidRDefault="00524971" w:rsidP="00524971">
      <w:pPr>
        <w:spacing w:before="120" w:after="120" w:line="360" w:lineRule="auto"/>
        <w:ind w:left="1416" w:hanging="566"/>
        <w:rPr>
          <w:szCs w:val="24"/>
          <w:lang w:eastAsia="en-US"/>
        </w:rPr>
      </w:pPr>
      <w:r w:rsidRPr="00524971">
        <w:rPr>
          <w:b/>
          <w:i/>
          <w:szCs w:val="24"/>
          <w:lang w:eastAsia="en-US"/>
        </w:rPr>
        <w:t>d</w:t>
      </w:r>
      <w:proofErr w:type="gramStart"/>
      <w:r w:rsidRPr="00524971">
        <w:rPr>
          <w:b/>
          <w:i/>
          <w:szCs w:val="24"/>
          <w:lang w:eastAsia="en-US"/>
        </w:rPr>
        <w:t>)</w:t>
      </w:r>
      <w:r w:rsidRPr="00524971">
        <w:rPr>
          <w:szCs w:val="24"/>
          <w:lang w:eastAsia="en-US"/>
        </w:rPr>
        <w:tab/>
      </w:r>
      <w:r w:rsidRPr="00524971">
        <w:rPr>
          <w:b/>
          <w:i/>
          <w:szCs w:val="24"/>
          <w:lang w:eastAsia="en-US"/>
        </w:rPr>
        <w:t>inne</w:t>
      </w:r>
      <w:proofErr w:type="gramEnd"/>
      <w:r w:rsidRPr="00524971">
        <w:rPr>
          <w:b/>
          <w:i/>
          <w:szCs w:val="24"/>
          <w:lang w:eastAsia="en-US"/>
        </w:rPr>
        <w:t xml:space="preserve"> istotne informacje zebrane przez Komisję lub przekazane Komisji przez państwa członkowskie.</w:t>
      </w:r>
    </w:p>
    <w:p w:rsidR="00524971" w:rsidRPr="00524971" w:rsidRDefault="00524971" w:rsidP="00524971">
      <w:pPr>
        <w:spacing w:before="120" w:after="120" w:line="360" w:lineRule="auto"/>
        <w:ind w:left="850" w:hanging="850"/>
        <w:rPr>
          <w:szCs w:val="24"/>
          <w:lang w:eastAsia="en-US"/>
        </w:rPr>
      </w:pPr>
      <w:r w:rsidRPr="00524971">
        <w:rPr>
          <w:b/>
          <w:i/>
          <w:szCs w:val="24"/>
          <w:lang w:eastAsia="en-US"/>
        </w:rPr>
        <w:t>3.</w:t>
      </w:r>
      <w:r w:rsidRPr="00524971">
        <w:rPr>
          <w:szCs w:val="24"/>
          <w:lang w:eastAsia="en-US"/>
        </w:rPr>
        <w:tab/>
      </w:r>
      <w:r w:rsidRPr="00524971">
        <w:rPr>
          <w:b/>
          <w:i/>
          <w:szCs w:val="24"/>
          <w:lang w:eastAsia="en-US"/>
        </w:rPr>
        <w:t>Zestaw narzędzi jest dostępny publicznie i bezpłatnie w portalu danych cyfrowych dotyczących zdrowia gleb utworzonym zgodnie z art. 6 ust. 6.</w:t>
      </w:r>
    </w:p>
    <w:p w:rsidR="00524971" w:rsidRPr="00863B3E" w:rsidRDefault="00524971" w:rsidP="00524971">
      <w:pPr>
        <w:spacing w:before="120" w:after="120" w:line="360" w:lineRule="auto"/>
        <w:ind w:left="850"/>
        <w:rPr>
          <w:b/>
          <w:szCs w:val="24"/>
          <w:lang w:eastAsia="en-US"/>
        </w:rPr>
      </w:pPr>
      <w:r w:rsidRPr="00524971">
        <w:rPr>
          <w:b/>
          <w:i/>
          <w:szCs w:val="24"/>
          <w:lang w:eastAsia="en-US"/>
        </w:rPr>
        <w:t>Komisja aktywnie aktualizuje zawartość zestawu narzędzi i wprowadza wszelkie odpowiednie środki w celu jej promowania wśród zarządców gruntów.</w:t>
      </w:r>
      <w:r w:rsidR="00863B3E">
        <w:rPr>
          <w:b/>
          <w:szCs w:val="24"/>
          <w:lang w:eastAsia="en-US"/>
        </w:rPr>
        <w:t xml:space="preserve"> [Popr. 125]</w:t>
      </w:r>
    </w:p>
    <w:p w:rsidR="00863B3E" w:rsidRDefault="00863B3E">
      <w:pPr>
        <w:widowControl/>
        <w:rPr>
          <w:szCs w:val="24"/>
          <w:lang w:eastAsia="en-US"/>
        </w:rPr>
      </w:pPr>
      <w:r>
        <w:rPr>
          <w:szCs w:val="24"/>
          <w:lang w:eastAsia="en-US"/>
        </w:rPr>
        <w:br w:type="page"/>
      </w:r>
    </w:p>
    <w:p w:rsidR="00524971" w:rsidRPr="00863B3E" w:rsidRDefault="00524971" w:rsidP="00524971">
      <w:pPr>
        <w:spacing w:before="120" w:after="120" w:line="360" w:lineRule="auto"/>
        <w:jc w:val="center"/>
        <w:rPr>
          <w:b/>
          <w:szCs w:val="24"/>
          <w:lang w:eastAsia="en-US"/>
        </w:rPr>
      </w:pPr>
      <w:r w:rsidRPr="00524971">
        <w:rPr>
          <w:szCs w:val="24"/>
          <w:lang w:eastAsia="en-US"/>
        </w:rPr>
        <w:lastRenderedPageBreak/>
        <w:t>Artykuł 11</w:t>
      </w:r>
      <w:r w:rsidRPr="00524971">
        <w:rPr>
          <w:szCs w:val="24"/>
          <w:lang w:eastAsia="en-US"/>
        </w:rPr>
        <w:br/>
      </w:r>
      <w:r w:rsidRPr="00524971">
        <w:rPr>
          <w:strike/>
          <w:szCs w:val="24"/>
          <w:lang w:eastAsia="en-US"/>
        </w:rPr>
        <w:t xml:space="preserve">Zasady </w:t>
      </w:r>
      <w:proofErr w:type="spellStart"/>
      <w:r w:rsidRPr="00524971">
        <w:rPr>
          <w:strike/>
          <w:szCs w:val="24"/>
          <w:lang w:eastAsia="en-US"/>
        </w:rPr>
        <w:t>ograniczania</w:t>
      </w:r>
      <w:r w:rsidRPr="00524971">
        <w:rPr>
          <w:b/>
          <w:i/>
          <w:szCs w:val="24"/>
          <w:lang w:eastAsia="en-US"/>
        </w:rPr>
        <w:t>Ograniczanie</w:t>
      </w:r>
      <w:proofErr w:type="spellEnd"/>
      <w:r w:rsidRPr="00524971">
        <w:rPr>
          <w:szCs w:val="24"/>
          <w:lang w:eastAsia="en-US"/>
        </w:rPr>
        <w:t xml:space="preserve"> przejmowania gruntów</w:t>
      </w:r>
      <w:r w:rsidR="00863B3E">
        <w:rPr>
          <w:b/>
          <w:szCs w:val="24"/>
          <w:lang w:eastAsia="en-US"/>
        </w:rPr>
        <w:t xml:space="preserve"> [Popr. 126]</w:t>
      </w:r>
    </w:p>
    <w:p w:rsidR="00524971" w:rsidRPr="00863B3E" w:rsidRDefault="00524971" w:rsidP="00524971">
      <w:pPr>
        <w:spacing w:before="120" w:after="120" w:line="360" w:lineRule="auto"/>
        <w:rPr>
          <w:b/>
          <w:szCs w:val="24"/>
          <w:lang w:eastAsia="en-US"/>
        </w:rPr>
      </w:pPr>
      <w:r w:rsidRPr="00524971">
        <w:rPr>
          <w:strike/>
          <w:szCs w:val="24"/>
          <w:lang w:eastAsia="en-US"/>
        </w:rPr>
        <w:t xml:space="preserve">Państwa członkowskie zapewniają przestrzeganie następujących zasad </w:t>
      </w:r>
      <w:r w:rsidRPr="00524971">
        <w:rPr>
          <w:szCs w:val="24"/>
          <w:lang w:eastAsia="en-US"/>
        </w:rPr>
        <w:t>W przypadku przejmowania gruntów</w:t>
      </w:r>
      <w:r w:rsidRPr="00524971">
        <w:rPr>
          <w:b/>
          <w:i/>
          <w:szCs w:val="24"/>
          <w:lang w:eastAsia="en-US"/>
        </w:rPr>
        <w:t xml:space="preserve"> państwa członkowskie uwzględniają następujące działania, biorąc przy tym pod uwagę specyfikę lokalną i skutki społeczno-gospodarcze</w:t>
      </w:r>
      <w:r w:rsidRPr="00524971">
        <w:rPr>
          <w:szCs w:val="24"/>
          <w:lang w:eastAsia="en-US"/>
        </w:rPr>
        <w:t>:</w:t>
      </w:r>
      <w:r w:rsidR="00863B3E">
        <w:rPr>
          <w:b/>
          <w:szCs w:val="24"/>
          <w:lang w:eastAsia="en-US"/>
        </w:rPr>
        <w:t xml:space="preserve"> [Popr. 127]</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r>
      <w:r w:rsidRPr="00524971">
        <w:rPr>
          <w:strike/>
          <w:szCs w:val="24"/>
          <w:lang w:eastAsia="en-US"/>
        </w:rPr>
        <w:t>unikanie</w:t>
      </w:r>
      <w:proofErr w:type="gramEnd"/>
      <w:r w:rsidRPr="00524971">
        <w:rPr>
          <w:strike/>
          <w:szCs w:val="24"/>
          <w:lang w:eastAsia="en-US"/>
        </w:rPr>
        <w:t xml:space="preserve"> lub ograniczanie </w:t>
      </w:r>
      <w:r w:rsidRPr="00524971">
        <w:rPr>
          <w:szCs w:val="24"/>
          <w:lang w:eastAsia="en-US"/>
        </w:rPr>
        <w:t>w miarę możliwości technicznych</w:t>
      </w:r>
      <w:r w:rsidRPr="00524971">
        <w:rPr>
          <w:b/>
          <w:i/>
          <w:szCs w:val="24"/>
          <w:lang w:eastAsia="en-US"/>
        </w:rPr>
        <w:t>, społecznych</w:t>
      </w:r>
      <w:r w:rsidRPr="00524971">
        <w:rPr>
          <w:szCs w:val="24"/>
          <w:lang w:eastAsia="en-US"/>
        </w:rPr>
        <w:t xml:space="preserve"> i gospodarczych</w:t>
      </w:r>
      <w:r w:rsidRPr="00524971">
        <w:rPr>
          <w:b/>
          <w:i/>
          <w:szCs w:val="24"/>
          <w:lang w:eastAsia="en-US"/>
        </w:rPr>
        <w:t xml:space="preserve"> unikanie lub ograniczanie</w:t>
      </w:r>
      <w:r w:rsidRPr="00524971">
        <w:rPr>
          <w:szCs w:val="24"/>
          <w:lang w:eastAsia="en-US"/>
        </w:rPr>
        <w:t xml:space="preserve"> utraty zdolności gleby do zapewniania wielu usług ekosystemowych</w:t>
      </w:r>
      <w:r w:rsidRPr="00524971">
        <w:rPr>
          <w:b/>
          <w:i/>
          <w:szCs w:val="24"/>
          <w:lang w:eastAsia="en-US"/>
        </w:rPr>
        <w:t xml:space="preserve"> i innych</w:t>
      </w:r>
      <w:r w:rsidRPr="00524971">
        <w:rPr>
          <w:szCs w:val="24"/>
          <w:lang w:eastAsia="en-US"/>
        </w:rPr>
        <w:t>, w tym</w:t>
      </w:r>
      <w:r w:rsidRPr="00524971">
        <w:rPr>
          <w:b/>
          <w:i/>
          <w:szCs w:val="24"/>
          <w:lang w:eastAsia="en-US"/>
        </w:rPr>
        <w:t xml:space="preserve"> rolnictwa,</w:t>
      </w:r>
      <w:r w:rsidRPr="00524971">
        <w:rPr>
          <w:szCs w:val="24"/>
          <w:lang w:eastAsia="en-US"/>
        </w:rPr>
        <w:t xml:space="preserve"> produkcji żywności</w:t>
      </w:r>
      <w:r w:rsidRPr="00524971">
        <w:rPr>
          <w:b/>
          <w:i/>
          <w:szCs w:val="24"/>
          <w:lang w:eastAsia="en-US"/>
        </w:rPr>
        <w:t xml:space="preserve"> i zrównoważonej gospodarki leśnej</w:t>
      </w:r>
      <w:r w:rsidRPr="00524971">
        <w:rPr>
          <w:szCs w:val="24"/>
          <w:lang w:eastAsia="en-US"/>
        </w:rPr>
        <w:t>, przez:</w:t>
      </w:r>
      <w:r w:rsidR="00863B3E">
        <w:rPr>
          <w:b/>
          <w:szCs w:val="24"/>
          <w:lang w:eastAsia="en-US"/>
        </w:rPr>
        <w:t xml:space="preserve"> [Popr. 128 i 254]</w:t>
      </w:r>
    </w:p>
    <w:p w:rsidR="00524971" w:rsidRPr="00863B3E" w:rsidRDefault="00524971" w:rsidP="00524971">
      <w:pPr>
        <w:spacing w:before="120" w:after="120" w:line="360" w:lineRule="auto"/>
        <w:ind w:left="1416" w:hanging="566"/>
        <w:rPr>
          <w:b/>
          <w:szCs w:val="24"/>
          <w:lang w:eastAsia="en-US"/>
        </w:rPr>
      </w:pPr>
      <w:r w:rsidRPr="00524971">
        <w:rPr>
          <w:szCs w:val="24"/>
          <w:lang w:eastAsia="en-US"/>
        </w:rPr>
        <w:t>(i</w:t>
      </w:r>
      <w:proofErr w:type="gramStart"/>
      <w:r w:rsidRPr="00524971">
        <w:rPr>
          <w:szCs w:val="24"/>
          <w:lang w:eastAsia="en-US"/>
        </w:rPr>
        <w:t>)</w:t>
      </w:r>
      <w:r w:rsidRPr="00524971">
        <w:rPr>
          <w:szCs w:val="24"/>
          <w:lang w:eastAsia="en-US"/>
        </w:rPr>
        <w:tab/>
        <w:t>ograniczenie</w:t>
      </w:r>
      <w:proofErr w:type="gramEnd"/>
      <w:r w:rsidRPr="00524971">
        <w:rPr>
          <w:szCs w:val="24"/>
          <w:lang w:eastAsia="en-US"/>
        </w:rPr>
        <w:t xml:space="preserve"> w </w:t>
      </w:r>
      <w:r w:rsidRPr="00524971">
        <w:rPr>
          <w:strike/>
          <w:szCs w:val="24"/>
          <w:lang w:eastAsia="en-US"/>
        </w:rPr>
        <w:t xml:space="preserve">miarę </w:t>
      </w:r>
      <w:proofErr w:type="spellStart"/>
      <w:r w:rsidRPr="00524971">
        <w:rPr>
          <w:strike/>
          <w:szCs w:val="24"/>
          <w:lang w:eastAsia="en-US"/>
        </w:rPr>
        <w:t>możliwości</w:t>
      </w:r>
      <w:r w:rsidRPr="00524971">
        <w:rPr>
          <w:b/>
          <w:i/>
          <w:szCs w:val="24"/>
          <w:lang w:eastAsia="en-US"/>
        </w:rPr>
        <w:t>jak</w:t>
      </w:r>
      <w:proofErr w:type="spellEnd"/>
      <w:r w:rsidRPr="00524971">
        <w:rPr>
          <w:b/>
          <w:i/>
          <w:szCs w:val="24"/>
          <w:lang w:eastAsia="en-US"/>
        </w:rPr>
        <w:t xml:space="preserve"> największym stopniu</w:t>
      </w:r>
      <w:r w:rsidRPr="00524971">
        <w:rPr>
          <w:szCs w:val="24"/>
          <w:lang w:eastAsia="en-US"/>
        </w:rPr>
        <w:t xml:space="preserve"> obszaru objętego przejmowaniem gruntów</w:t>
      </w:r>
      <w:r w:rsidRPr="00524971">
        <w:rPr>
          <w:strike/>
          <w:szCs w:val="24"/>
          <w:lang w:eastAsia="en-US"/>
        </w:rPr>
        <w:t>, oraz</w:t>
      </w:r>
      <w:r w:rsidRPr="00524971">
        <w:rPr>
          <w:b/>
          <w:i/>
          <w:szCs w:val="24"/>
          <w:lang w:eastAsia="en-US"/>
        </w:rPr>
        <w:t>;</w:t>
      </w:r>
      <w:r w:rsidR="00863B3E">
        <w:rPr>
          <w:b/>
          <w:szCs w:val="24"/>
          <w:lang w:eastAsia="en-US"/>
        </w:rPr>
        <w:t xml:space="preserve"> [Popr. 129]</w:t>
      </w:r>
    </w:p>
    <w:p w:rsidR="00524971" w:rsidRPr="00863B3E" w:rsidRDefault="00524971" w:rsidP="00524971">
      <w:pPr>
        <w:spacing w:before="120" w:after="120" w:line="360" w:lineRule="auto"/>
        <w:ind w:left="1416" w:hanging="566"/>
        <w:rPr>
          <w:b/>
          <w:szCs w:val="24"/>
          <w:lang w:eastAsia="en-US"/>
        </w:rPr>
      </w:pPr>
      <w:r w:rsidRPr="00524971">
        <w:rPr>
          <w:szCs w:val="24"/>
          <w:lang w:eastAsia="en-US"/>
        </w:rPr>
        <w:t>(ii</w:t>
      </w:r>
      <w:proofErr w:type="gramStart"/>
      <w:r w:rsidRPr="00524971">
        <w:rPr>
          <w:szCs w:val="24"/>
          <w:lang w:eastAsia="en-US"/>
        </w:rPr>
        <w:t>)</w:t>
      </w:r>
      <w:r w:rsidRPr="00524971">
        <w:rPr>
          <w:szCs w:val="24"/>
          <w:lang w:eastAsia="en-US"/>
        </w:rPr>
        <w:tab/>
      </w:r>
      <w:proofErr w:type="spellStart"/>
      <w:r w:rsidRPr="00524971">
        <w:rPr>
          <w:strike/>
          <w:szCs w:val="24"/>
          <w:lang w:eastAsia="en-US"/>
        </w:rPr>
        <w:t>wybór</w:t>
      </w:r>
      <w:r w:rsidRPr="00524971">
        <w:rPr>
          <w:b/>
          <w:i/>
          <w:szCs w:val="24"/>
          <w:lang w:eastAsia="en-US"/>
        </w:rPr>
        <w:t>priorytetowe</w:t>
      </w:r>
      <w:proofErr w:type="spellEnd"/>
      <w:proofErr w:type="gramEnd"/>
      <w:r w:rsidRPr="00524971">
        <w:rPr>
          <w:b/>
          <w:i/>
          <w:szCs w:val="24"/>
          <w:lang w:eastAsia="en-US"/>
        </w:rPr>
        <w:t xml:space="preserve"> traktowanie</w:t>
      </w:r>
      <w:r w:rsidRPr="00524971">
        <w:rPr>
          <w:szCs w:val="24"/>
          <w:lang w:eastAsia="en-US"/>
        </w:rPr>
        <w:t xml:space="preserve"> obszarów, na których utrata usług ekosystemowych zostałaby zminimalizowana</w:t>
      </w:r>
      <w:r w:rsidRPr="00524971">
        <w:rPr>
          <w:strike/>
          <w:szCs w:val="24"/>
          <w:lang w:eastAsia="en-US"/>
        </w:rPr>
        <w:t>, oraz</w:t>
      </w:r>
      <w:r w:rsidRPr="00524971">
        <w:rPr>
          <w:b/>
          <w:i/>
          <w:szCs w:val="24"/>
          <w:lang w:eastAsia="en-US"/>
        </w:rPr>
        <w:t>;</w:t>
      </w:r>
      <w:r w:rsidR="00863B3E">
        <w:rPr>
          <w:b/>
          <w:szCs w:val="24"/>
          <w:lang w:eastAsia="en-US"/>
        </w:rPr>
        <w:t xml:space="preserve"> [Popr. 130]</w:t>
      </w:r>
    </w:p>
    <w:p w:rsidR="00524971" w:rsidRPr="00863B3E" w:rsidRDefault="00524971" w:rsidP="00524971">
      <w:pPr>
        <w:spacing w:before="120" w:after="120" w:line="360" w:lineRule="auto"/>
        <w:ind w:left="1416" w:hanging="566"/>
        <w:rPr>
          <w:b/>
          <w:szCs w:val="24"/>
          <w:lang w:eastAsia="en-US"/>
        </w:rPr>
      </w:pPr>
      <w:r w:rsidRPr="00524971">
        <w:rPr>
          <w:szCs w:val="24"/>
          <w:lang w:eastAsia="en-US"/>
        </w:rPr>
        <w:t>(iii</w:t>
      </w:r>
      <w:proofErr w:type="gramStart"/>
      <w:r w:rsidRPr="00524971">
        <w:rPr>
          <w:szCs w:val="24"/>
          <w:lang w:eastAsia="en-US"/>
        </w:rPr>
        <w:t>)</w:t>
      </w:r>
      <w:r w:rsidRPr="00524971">
        <w:rPr>
          <w:szCs w:val="24"/>
          <w:lang w:eastAsia="en-US"/>
        </w:rPr>
        <w:tab/>
        <w:t>prowadzenie</w:t>
      </w:r>
      <w:proofErr w:type="gramEnd"/>
      <w:r w:rsidRPr="00524971">
        <w:rPr>
          <w:szCs w:val="24"/>
          <w:lang w:eastAsia="en-US"/>
        </w:rPr>
        <w:t xml:space="preserve"> przejmowania gruntów w sposób </w:t>
      </w:r>
      <w:r w:rsidRPr="00524971">
        <w:rPr>
          <w:strike/>
          <w:szCs w:val="24"/>
          <w:lang w:eastAsia="en-US"/>
        </w:rPr>
        <w:t xml:space="preserve">minimalizujący negatywny wpływ na </w:t>
      </w:r>
      <w:proofErr w:type="spellStart"/>
      <w:r w:rsidRPr="00524971">
        <w:rPr>
          <w:strike/>
          <w:szCs w:val="24"/>
          <w:lang w:eastAsia="en-US"/>
        </w:rPr>
        <w:t>glebę</w:t>
      </w:r>
      <w:r w:rsidRPr="00524971">
        <w:rPr>
          <w:b/>
          <w:i/>
          <w:szCs w:val="24"/>
          <w:lang w:eastAsia="en-US"/>
        </w:rPr>
        <w:t>dostosowany</w:t>
      </w:r>
      <w:proofErr w:type="spellEnd"/>
      <w:r w:rsidRPr="00524971">
        <w:rPr>
          <w:b/>
          <w:i/>
          <w:szCs w:val="24"/>
          <w:lang w:eastAsia="en-US"/>
        </w:rPr>
        <w:t xml:space="preserve"> do zrównoważonego rozwoju, w tym w miarę możliwości umożliwiający zachowanie żyzności gleby, różnorodności biologicznej, przepuszczalności, filtracji i retencji wody</w:t>
      </w:r>
      <w:r w:rsidRPr="00524971">
        <w:rPr>
          <w:szCs w:val="24"/>
          <w:lang w:eastAsia="en-US"/>
        </w:rPr>
        <w:t>;</w:t>
      </w:r>
      <w:r w:rsidR="00863B3E">
        <w:rPr>
          <w:b/>
          <w:szCs w:val="24"/>
          <w:lang w:eastAsia="en-US"/>
        </w:rPr>
        <w:t xml:space="preserve"> [Popr. 131]</w:t>
      </w:r>
    </w:p>
    <w:p w:rsidR="00863B3E" w:rsidRDefault="00863B3E">
      <w:pPr>
        <w:widowControl/>
        <w:rPr>
          <w:szCs w:val="24"/>
          <w:lang w:eastAsia="en-US"/>
        </w:rPr>
      </w:pPr>
      <w:r>
        <w:rPr>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szCs w:val="24"/>
          <w:lang w:eastAsia="en-US"/>
        </w:rPr>
        <w:lastRenderedPageBreak/>
        <w:t>b</w:t>
      </w:r>
      <w:proofErr w:type="gramStart"/>
      <w:r w:rsidRPr="00524971">
        <w:rPr>
          <w:szCs w:val="24"/>
          <w:lang w:eastAsia="en-US"/>
        </w:rPr>
        <w:t>)</w:t>
      </w:r>
      <w:r w:rsidRPr="00524971">
        <w:rPr>
          <w:szCs w:val="24"/>
          <w:lang w:eastAsia="en-US"/>
        </w:rPr>
        <w:tab/>
      </w:r>
      <w:r w:rsidRPr="00524971">
        <w:rPr>
          <w:strike/>
          <w:szCs w:val="24"/>
          <w:lang w:eastAsia="en-US"/>
        </w:rPr>
        <w:t>zrekompensowanie</w:t>
      </w:r>
      <w:proofErr w:type="gramEnd"/>
      <w:r w:rsidRPr="00524971">
        <w:rPr>
          <w:strike/>
          <w:szCs w:val="24"/>
          <w:lang w:eastAsia="en-US"/>
        </w:rPr>
        <w:t xml:space="preserve"> </w:t>
      </w:r>
      <w:r w:rsidRPr="00524971">
        <w:rPr>
          <w:szCs w:val="24"/>
          <w:lang w:eastAsia="en-US"/>
        </w:rPr>
        <w:t>w miarę możliwości</w:t>
      </w:r>
      <w:r w:rsidRPr="00524971">
        <w:rPr>
          <w:b/>
          <w:i/>
          <w:szCs w:val="24"/>
          <w:lang w:eastAsia="en-US"/>
        </w:rPr>
        <w:t xml:space="preserve"> zrekompensowanie</w:t>
      </w:r>
      <w:r w:rsidRPr="00524971">
        <w:rPr>
          <w:szCs w:val="24"/>
          <w:lang w:eastAsia="en-US"/>
        </w:rPr>
        <w:t xml:space="preserve"> utraty zdolności gleby do zapewniania wielu usług ekosystemowych</w:t>
      </w:r>
      <w:r w:rsidRPr="00524971">
        <w:rPr>
          <w:b/>
          <w:i/>
          <w:szCs w:val="24"/>
          <w:lang w:eastAsia="en-US"/>
        </w:rPr>
        <w:t>; w stosownych przypadkach można dokonać takiej rekompensaty na poziomie zagregowanym lub transgranicznym między państwami członkowskimi, jeżeli okręg glebowy ma takie same cechy jak przylegający okręg glebowy leżący w sąsiednim państwie członkowskim lub transgraniczny okręg glebowy</w:t>
      </w:r>
      <w:r w:rsidRPr="00524971">
        <w:rPr>
          <w:szCs w:val="24"/>
          <w:lang w:eastAsia="en-US"/>
        </w:rPr>
        <w:t>.</w:t>
      </w:r>
      <w:r w:rsidR="00863B3E">
        <w:rPr>
          <w:b/>
          <w:szCs w:val="24"/>
          <w:lang w:eastAsia="en-US"/>
        </w:rPr>
        <w:t xml:space="preserve"> [Popr. 132]</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ba</w:t>
      </w:r>
      <w:proofErr w:type="gramStart"/>
      <w:r w:rsidRPr="00524971">
        <w:rPr>
          <w:b/>
          <w:i/>
          <w:szCs w:val="24"/>
          <w:lang w:eastAsia="en-US"/>
        </w:rPr>
        <w:t>)</w:t>
      </w:r>
      <w:r w:rsidRPr="00524971">
        <w:rPr>
          <w:szCs w:val="24"/>
          <w:lang w:eastAsia="en-US"/>
        </w:rPr>
        <w:tab/>
      </w:r>
      <w:r w:rsidRPr="00524971">
        <w:rPr>
          <w:b/>
          <w:i/>
          <w:szCs w:val="24"/>
          <w:lang w:eastAsia="en-US"/>
        </w:rPr>
        <w:t>przyjęcie</w:t>
      </w:r>
      <w:proofErr w:type="gramEnd"/>
      <w:r w:rsidRPr="00524971">
        <w:rPr>
          <w:b/>
          <w:i/>
          <w:szCs w:val="24"/>
          <w:lang w:eastAsia="en-US"/>
        </w:rPr>
        <w:t xml:space="preserve"> środków gwarantujących właścicielom gruntów godziwą rekompensatę w przypadku przejmowania gruntów;</w:t>
      </w:r>
      <w:r w:rsidR="00863B3E">
        <w:rPr>
          <w:b/>
          <w:szCs w:val="24"/>
          <w:lang w:eastAsia="en-US"/>
        </w:rPr>
        <w:t xml:space="preserve"> [Popr. 133]</w:t>
      </w:r>
    </w:p>
    <w:p w:rsidR="00524971" w:rsidRPr="00863B3E" w:rsidRDefault="00524971" w:rsidP="00524971">
      <w:pPr>
        <w:spacing w:before="120" w:after="120" w:line="360" w:lineRule="auto"/>
        <w:ind w:left="850" w:hanging="850"/>
        <w:rPr>
          <w:b/>
          <w:szCs w:val="24"/>
          <w:lang w:eastAsia="en-US"/>
        </w:rPr>
      </w:pPr>
      <w:proofErr w:type="spellStart"/>
      <w:r w:rsidRPr="00524971">
        <w:rPr>
          <w:b/>
          <w:i/>
          <w:szCs w:val="24"/>
          <w:lang w:eastAsia="en-US"/>
        </w:rPr>
        <w:t>bb</w:t>
      </w:r>
      <w:proofErr w:type="spellEnd"/>
      <w:proofErr w:type="gramStart"/>
      <w:r w:rsidRPr="00524971">
        <w:rPr>
          <w:b/>
          <w:i/>
          <w:szCs w:val="24"/>
          <w:lang w:eastAsia="en-US"/>
        </w:rPr>
        <w:t>)</w:t>
      </w:r>
      <w:r w:rsidRPr="00524971">
        <w:rPr>
          <w:szCs w:val="24"/>
          <w:lang w:eastAsia="en-US"/>
        </w:rPr>
        <w:tab/>
      </w:r>
      <w:r w:rsidRPr="00524971">
        <w:rPr>
          <w:b/>
          <w:i/>
          <w:szCs w:val="24"/>
          <w:lang w:eastAsia="en-US"/>
        </w:rPr>
        <w:t>wprowadzenie</w:t>
      </w:r>
      <w:proofErr w:type="gramEnd"/>
      <w:r w:rsidRPr="00524971">
        <w:rPr>
          <w:b/>
          <w:i/>
          <w:szCs w:val="24"/>
          <w:lang w:eastAsia="en-US"/>
        </w:rPr>
        <w:t xml:space="preserve"> środków mających na celu zapobieganie przejmowaniu gruntów lub jego ograniczanie, w tym mapowania opuszczonych terenów zdegradowanych i przemysłowych oraz zachęt do odbudowy i ponownego wykorzystania opuszczonych obszarów o uszczelnionych glebach.</w:t>
      </w:r>
      <w:r w:rsidR="00863B3E">
        <w:rPr>
          <w:b/>
          <w:szCs w:val="24"/>
          <w:lang w:eastAsia="en-US"/>
        </w:rPr>
        <w:t xml:space="preserve"> [Popr. 134]</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 xml:space="preserve">Rozdział IV </w:t>
      </w:r>
      <w:r w:rsidRPr="00524971">
        <w:rPr>
          <w:szCs w:val="24"/>
          <w:lang w:eastAsia="en-US"/>
        </w:rPr>
        <w:br/>
        <w:t>Zanieczyszczone tereny</w:t>
      </w:r>
    </w:p>
    <w:p w:rsidR="00524971" w:rsidRPr="00524971" w:rsidRDefault="00524971" w:rsidP="00524971">
      <w:pPr>
        <w:spacing w:before="120" w:after="120" w:line="360" w:lineRule="auto"/>
        <w:jc w:val="center"/>
        <w:rPr>
          <w:szCs w:val="24"/>
          <w:lang w:eastAsia="en-US"/>
        </w:rPr>
      </w:pPr>
      <w:r w:rsidRPr="00524971">
        <w:rPr>
          <w:szCs w:val="24"/>
          <w:lang w:eastAsia="en-US"/>
        </w:rPr>
        <w:t>Artykuł 12</w:t>
      </w:r>
      <w:r w:rsidRPr="00524971">
        <w:rPr>
          <w:szCs w:val="24"/>
          <w:lang w:eastAsia="en-US"/>
        </w:rPr>
        <w:br/>
        <w:t>Podejście oparte na ocenie ryzyka</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Państwa członkowskie zarządzają ryzykiem dla zdrowia ludzi</w:t>
      </w:r>
      <w:r w:rsidRPr="00524971">
        <w:rPr>
          <w:b/>
          <w:i/>
          <w:szCs w:val="24"/>
          <w:lang w:eastAsia="en-US"/>
        </w:rPr>
        <w:t>, zwierząt</w:t>
      </w:r>
      <w:r w:rsidRPr="00524971">
        <w:rPr>
          <w:szCs w:val="24"/>
          <w:lang w:eastAsia="en-US"/>
        </w:rPr>
        <w:t xml:space="preserve"> i środowiska stwarzanym przez potencjalnie zanieczyszczone tereny i zanieczyszczone tereny</w:t>
      </w:r>
      <w:r w:rsidRPr="00524971">
        <w:rPr>
          <w:b/>
          <w:i/>
          <w:szCs w:val="24"/>
          <w:lang w:eastAsia="en-US"/>
        </w:rPr>
        <w:t>, ograniczają je</w:t>
      </w:r>
      <w:r w:rsidRPr="00524971">
        <w:rPr>
          <w:szCs w:val="24"/>
          <w:lang w:eastAsia="en-US"/>
        </w:rPr>
        <w:t xml:space="preserve"> oraz utrzymują</w:t>
      </w:r>
      <w:r w:rsidRPr="00524971">
        <w:rPr>
          <w:strike/>
          <w:szCs w:val="24"/>
          <w:lang w:eastAsia="en-US"/>
        </w:rPr>
        <w:t xml:space="preserve"> je</w:t>
      </w:r>
      <w:r w:rsidRPr="00524971">
        <w:rPr>
          <w:szCs w:val="24"/>
          <w:lang w:eastAsia="en-US"/>
        </w:rPr>
        <w:t xml:space="preserve"> na dopuszczalnym poziomie,</w:t>
      </w:r>
      <w:r w:rsidRPr="00524971">
        <w:rPr>
          <w:b/>
          <w:i/>
          <w:szCs w:val="24"/>
          <w:lang w:eastAsia="en-US"/>
        </w:rPr>
        <w:t xml:space="preserve"> biorąc pod uwagę zamierzone wykorzystanie gleby, a także</w:t>
      </w:r>
      <w:r w:rsidRPr="00524971">
        <w:rPr>
          <w:szCs w:val="24"/>
          <w:lang w:eastAsia="en-US"/>
        </w:rPr>
        <w:t xml:space="preserve"> uwzględniając środowiskowe, społeczne i gospodarcze skutki zanieczyszczenia gleby oraz środki zmniejszające ryzyko wprowadzone zgodnie z art. 15 ust. 4.</w:t>
      </w:r>
      <w:r w:rsidR="00863B3E">
        <w:rPr>
          <w:b/>
          <w:szCs w:val="24"/>
          <w:lang w:eastAsia="en-US"/>
        </w:rPr>
        <w:t xml:space="preserve"> [Popr. 135]</w:t>
      </w:r>
    </w:p>
    <w:p w:rsidR="00524971" w:rsidRPr="00524971" w:rsidRDefault="00524971" w:rsidP="00524971">
      <w:pPr>
        <w:spacing w:before="120" w:after="120" w:line="360" w:lineRule="auto"/>
        <w:ind w:left="850" w:hanging="850"/>
        <w:rPr>
          <w:szCs w:val="24"/>
          <w:lang w:eastAsia="en-US"/>
        </w:rPr>
      </w:pPr>
      <w:r w:rsidRPr="00524971">
        <w:rPr>
          <w:szCs w:val="24"/>
          <w:lang w:eastAsia="en-US"/>
        </w:rPr>
        <w:t>2.</w:t>
      </w:r>
      <w:r w:rsidRPr="00524971">
        <w:rPr>
          <w:szCs w:val="24"/>
          <w:lang w:eastAsia="en-US"/>
        </w:rPr>
        <w:tab/>
        <w:t>Do dnia … (Urząd Publikacji: proszę wstawić datę = cztery lata od daty wejścia w życie dyrektywy) państwa członkowskie ustanawiają podejście oparte na analizie ryzyka w odniesieniu do:</w:t>
      </w:r>
    </w:p>
    <w:p w:rsidR="00524971" w:rsidRPr="00524971" w:rsidRDefault="00524971" w:rsidP="00524971">
      <w:pPr>
        <w:spacing w:before="120" w:after="120" w:line="360" w:lineRule="auto"/>
        <w:ind w:left="1416" w:hanging="566"/>
        <w:rPr>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identyfikacji</w:t>
      </w:r>
      <w:proofErr w:type="gramEnd"/>
      <w:r w:rsidRPr="00524971">
        <w:rPr>
          <w:szCs w:val="24"/>
          <w:lang w:eastAsia="en-US"/>
        </w:rPr>
        <w:t xml:space="preserve"> potencjalnie zanieczyszczonych terenów zgodnie z art. 13;</w:t>
      </w:r>
    </w:p>
    <w:p w:rsidR="00524971" w:rsidRPr="00524971" w:rsidRDefault="00524971" w:rsidP="00524971">
      <w:pPr>
        <w:spacing w:before="120" w:after="120" w:line="360" w:lineRule="auto"/>
        <w:ind w:left="1416" w:hanging="566"/>
        <w:rPr>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badania</w:t>
      </w:r>
      <w:proofErr w:type="gramEnd"/>
      <w:r w:rsidRPr="00524971">
        <w:rPr>
          <w:szCs w:val="24"/>
          <w:lang w:eastAsia="en-US"/>
        </w:rPr>
        <w:t xml:space="preserve"> potencjalnie zanieczyszczonych terenów zgodnie z art. 14;</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gospodarowania</w:t>
      </w:r>
      <w:proofErr w:type="gramEnd"/>
      <w:r w:rsidRPr="00524971">
        <w:rPr>
          <w:szCs w:val="24"/>
          <w:lang w:eastAsia="en-US"/>
        </w:rPr>
        <w:t xml:space="preserve"> zanieczyszczonymi terenami zgodnie z art. 15.</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szCs w:val="24"/>
          <w:lang w:eastAsia="en-US"/>
        </w:rPr>
        <w:lastRenderedPageBreak/>
        <w:t>3.</w:t>
      </w:r>
      <w:r w:rsidRPr="00524971">
        <w:rPr>
          <w:szCs w:val="24"/>
          <w:lang w:eastAsia="en-US"/>
        </w:rPr>
        <w:tab/>
        <w:t>Wymóg określony w ust. 2 pozostaje bez uszczerbku dla bardziej rygorystycznych wymogów wynikających z przepisów unijnych lub krajowych.</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4.</w:t>
      </w:r>
      <w:r w:rsidRPr="00524971">
        <w:rPr>
          <w:szCs w:val="24"/>
          <w:lang w:eastAsia="en-US"/>
        </w:rPr>
        <w:tab/>
      </w:r>
      <w:r w:rsidRPr="00524971">
        <w:rPr>
          <w:strike/>
          <w:szCs w:val="24"/>
          <w:lang w:eastAsia="en-US"/>
        </w:rPr>
        <w:t xml:space="preserve">Zainteresowanej </w:t>
      </w:r>
      <w:r w:rsidRPr="00524971">
        <w:rPr>
          <w:szCs w:val="24"/>
          <w:lang w:eastAsia="en-US"/>
        </w:rPr>
        <w:t>Społeczności zapewnia się wczesne i skuteczne możliwości:</w:t>
      </w:r>
      <w:r w:rsidR="00863B3E">
        <w:rPr>
          <w:b/>
          <w:szCs w:val="24"/>
          <w:lang w:eastAsia="en-US"/>
        </w:rPr>
        <w:t xml:space="preserve"> [Popr. 136]</w:t>
      </w:r>
    </w:p>
    <w:p w:rsidR="00524971" w:rsidRPr="00863B3E" w:rsidRDefault="00524971" w:rsidP="00524971">
      <w:pPr>
        <w:spacing w:before="120" w:after="120" w:line="360" w:lineRule="auto"/>
        <w:ind w:left="1416" w:hanging="566"/>
        <w:rPr>
          <w:b/>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udziału</w:t>
      </w:r>
      <w:proofErr w:type="gramEnd"/>
      <w:r w:rsidRPr="00524971">
        <w:rPr>
          <w:szCs w:val="24"/>
          <w:lang w:eastAsia="en-US"/>
        </w:rPr>
        <w:t xml:space="preserve"> w ustanawianiu i konkretnym stosowaniu podejścia opartego na analizie ryzyka określonego w niniejszym artykule</w:t>
      </w:r>
      <w:r w:rsidRPr="00524971">
        <w:rPr>
          <w:b/>
          <w:i/>
          <w:szCs w:val="24"/>
          <w:lang w:eastAsia="en-US"/>
        </w:rPr>
        <w:t>, identyfikacji potencjalnie zanieczyszczonych terenów zgodnie z art. 13, badania potencjalnie zanieczyszczonych terenów zgodnie z art. 14 oraz oceny zanieczyszczonych terenów i gospodarowania nimi zgodnie z art. 15, gdy wszystkie warianty są wciąż dostępne</w:t>
      </w:r>
      <w:r w:rsidRPr="00524971">
        <w:rPr>
          <w:szCs w:val="24"/>
          <w:lang w:eastAsia="en-US"/>
        </w:rPr>
        <w:t>;</w:t>
      </w:r>
      <w:r w:rsidR="00863B3E">
        <w:rPr>
          <w:b/>
          <w:szCs w:val="24"/>
          <w:lang w:eastAsia="en-US"/>
        </w:rPr>
        <w:t xml:space="preserve"> [Popr. 137]</w:t>
      </w:r>
    </w:p>
    <w:p w:rsidR="00524971" w:rsidRPr="00863B3E" w:rsidRDefault="00524971" w:rsidP="00524971">
      <w:pPr>
        <w:spacing w:before="120" w:after="120" w:line="360" w:lineRule="auto"/>
        <w:ind w:left="1416" w:hanging="566"/>
        <w:rPr>
          <w:b/>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dostarczania</w:t>
      </w:r>
      <w:proofErr w:type="gramEnd"/>
      <w:r w:rsidRPr="00524971">
        <w:rPr>
          <w:szCs w:val="24"/>
          <w:lang w:eastAsia="en-US"/>
        </w:rPr>
        <w:t xml:space="preserve"> </w:t>
      </w:r>
      <w:r w:rsidRPr="00524971">
        <w:rPr>
          <w:b/>
          <w:i/>
          <w:szCs w:val="24"/>
          <w:lang w:eastAsia="en-US"/>
        </w:rPr>
        <w:t xml:space="preserve">w dowolnym momencie </w:t>
      </w:r>
      <w:r w:rsidRPr="00524971">
        <w:rPr>
          <w:szCs w:val="24"/>
          <w:lang w:eastAsia="en-US"/>
        </w:rPr>
        <w:t>informacji</w:t>
      </w:r>
      <w:r w:rsidRPr="00524971">
        <w:rPr>
          <w:b/>
          <w:i/>
          <w:szCs w:val="24"/>
          <w:lang w:eastAsia="en-US"/>
        </w:rPr>
        <w:t xml:space="preserve"> i dowodów</w:t>
      </w:r>
      <w:r w:rsidRPr="00524971">
        <w:rPr>
          <w:szCs w:val="24"/>
          <w:lang w:eastAsia="en-US"/>
        </w:rPr>
        <w:t xml:space="preserve"> istotnych dla </w:t>
      </w:r>
      <w:r w:rsidRPr="00524971">
        <w:rPr>
          <w:strike/>
          <w:szCs w:val="24"/>
          <w:lang w:eastAsia="en-US"/>
        </w:rPr>
        <w:t>identyfikacji potencjalnie zanieczyszczonych terenów zgodnie z art. 13, badania potencjalnie zanieczyszczonych terenów zgodnie z art. 14 oraz gospodarowania zanieczyszczonymi terenami zgodnie z art. 15</w:t>
      </w:r>
      <w:r w:rsidRPr="00524971">
        <w:rPr>
          <w:b/>
          <w:i/>
          <w:szCs w:val="24"/>
          <w:lang w:eastAsia="en-US"/>
        </w:rPr>
        <w:t xml:space="preserve">działań, o których mowa w lit. a), takich jak dane z </w:t>
      </w:r>
      <w:proofErr w:type="spellStart"/>
      <w:r w:rsidRPr="00524971">
        <w:rPr>
          <w:b/>
          <w:i/>
          <w:szCs w:val="24"/>
          <w:lang w:eastAsia="en-US"/>
        </w:rPr>
        <w:t>biomonitoringu</w:t>
      </w:r>
      <w:proofErr w:type="spellEnd"/>
      <w:r w:rsidRPr="00524971">
        <w:rPr>
          <w:b/>
          <w:i/>
          <w:szCs w:val="24"/>
          <w:lang w:eastAsia="en-US"/>
        </w:rPr>
        <w:t xml:space="preserve"> człowieka lub z monitoringu środowiska</w:t>
      </w:r>
      <w:r w:rsidRPr="00524971">
        <w:rPr>
          <w:szCs w:val="24"/>
          <w:lang w:eastAsia="en-US"/>
        </w:rPr>
        <w:t>;</w:t>
      </w:r>
      <w:r w:rsidR="00863B3E">
        <w:rPr>
          <w:b/>
          <w:szCs w:val="24"/>
          <w:lang w:eastAsia="en-US"/>
        </w:rPr>
        <w:t xml:space="preserve"> [Popr. 138]</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zażądania</w:t>
      </w:r>
      <w:proofErr w:type="gramEnd"/>
      <w:r w:rsidRPr="00524971">
        <w:rPr>
          <w:szCs w:val="24"/>
          <w:lang w:eastAsia="en-US"/>
        </w:rPr>
        <w:t xml:space="preserve"> korekty informacji zawartych w rejestrze zanieczyszczonych i potencjalnie zanieczyszczonych terenów zgodnie z art. 16.</w:t>
      </w:r>
    </w:p>
    <w:p w:rsidR="00863B3E" w:rsidRDefault="00863B3E">
      <w:pPr>
        <w:widowControl/>
        <w:rPr>
          <w:b/>
          <w:i/>
          <w:szCs w:val="24"/>
          <w:lang w:eastAsia="en-US"/>
        </w:rPr>
      </w:pPr>
      <w:r>
        <w:rPr>
          <w:b/>
          <w:i/>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lastRenderedPageBreak/>
        <w:t>4a.</w:t>
      </w:r>
      <w:r w:rsidRPr="00524971">
        <w:rPr>
          <w:szCs w:val="24"/>
          <w:lang w:eastAsia="en-US"/>
        </w:rPr>
        <w:tab/>
      </w:r>
      <w:r w:rsidRPr="00524971">
        <w:rPr>
          <w:b/>
          <w:i/>
          <w:szCs w:val="24"/>
          <w:lang w:eastAsia="en-US"/>
        </w:rPr>
        <w:t>Do celów ust. 4 państwa członkowskie gwarantują dostarczanie społeczeństwu wszystkich istotnych informacji w sposób terminowy, odpowiedni i skuteczny, w tym za pomocą ogłoszeń publicznych i mediów elektronicznych.</w:t>
      </w:r>
      <w:r w:rsidR="00863B3E">
        <w:rPr>
          <w:b/>
          <w:szCs w:val="24"/>
          <w:lang w:eastAsia="en-US"/>
        </w:rPr>
        <w:t xml:space="preserve"> [Popr. 139]</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4b.</w:t>
      </w:r>
      <w:r w:rsidRPr="00524971">
        <w:rPr>
          <w:szCs w:val="24"/>
          <w:lang w:eastAsia="en-US"/>
        </w:rPr>
        <w:tab/>
      </w:r>
      <w:r w:rsidRPr="00524971">
        <w:rPr>
          <w:b/>
          <w:i/>
          <w:szCs w:val="24"/>
          <w:lang w:eastAsia="en-US"/>
        </w:rPr>
        <w:t>Państwa członkowskie należycie uwzględniają informacje dostarczone zgodnie z ust. 4 przy wdrażaniu przepisów niniejszego rozdziału oraz w odniesieniu do wskaźników glebowych zanieczyszczenia gleby wymienionych w załączniku I.</w:t>
      </w:r>
      <w:r w:rsidR="00863B3E">
        <w:rPr>
          <w:b/>
          <w:szCs w:val="24"/>
          <w:lang w:eastAsia="en-US"/>
        </w:rPr>
        <w:t xml:space="preserve"> [Popr. 140]</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4c.</w:t>
      </w:r>
      <w:r w:rsidRPr="00524971">
        <w:rPr>
          <w:szCs w:val="24"/>
          <w:lang w:eastAsia="en-US"/>
        </w:rPr>
        <w:tab/>
      </w:r>
      <w:r w:rsidRPr="00524971">
        <w:rPr>
          <w:b/>
          <w:i/>
          <w:szCs w:val="24"/>
          <w:lang w:eastAsia="en-US"/>
        </w:rPr>
        <w:t>W przypadku gdy dowody wskazują na rozproszone zanieczyszczenie gleby lub narażenie na daną substancję lub mieszaninę za pośrednictwem gleby, właściwy organ wszczyna proces zarządzania ryzykiem. W przypadku gdy dowody wskazują na brak informacji na temat ryzyka dla zdrowia ludzi lub zwierząt lub środowiska stwarzanego przez substancję niebezpieczną lub mieszaninę obecną w glebie, właściwy organ przeprowadza dalsze badanie w celu wprowadzenia, w razie potrzeby, środków zarządzania ryzykiem zgodnie z zasadą ostrożności.</w:t>
      </w:r>
      <w:r w:rsidR="00863B3E">
        <w:rPr>
          <w:b/>
          <w:szCs w:val="24"/>
          <w:lang w:eastAsia="en-US"/>
        </w:rPr>
        <w:t xml:space="preserve"> [Popr. 141]</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4d.</w:t>
      </w:r>
      <w:r w:rsidRPr="00524971">
        <w:rPr>
          <w:szCs w:val="24"/>
          <w:lang w:eastAsia="en-US"/>
        </w:rPr>
        <w:tab/>
      </w:r>
      <w:r w:rsidRPr="00524971">
        <w:rPr>
          <w:b/>
          <w:i/>
          <w:szCs w:val="24"/>
          <w:lang w:eastAsia="en-US"/>
        </w:rPr>
        <w:t>Państwa członkowskie niezwłocznie informują opinię publiczną o wszelkich decyzjach lub środkach podjętych zgodnie z ust. 4 i 4c oraz o powodach i względach, na których opierają się decyzje lub środki, wraz z wyjaśnieniem, w jaki sposób uwzględniono informację.</w:t>
      </w:r>
      <w:r w:rsidR="00863B3E">
        <w:rPr>
          <w:b/>
          <w:szCs w:val="24"/>
          <w:lang w:eastAsia="en-US"/>
        </w:rPr>
        <w:t xml:space="preserve"> [Popr. 142]</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13</w:t>
      </w:r>
      <w:r w:rsidRPr="00524971">
        <w:rPr>
          <w:szCs w:val="24"/>
          <w:lang w:eastAsia="en-US"/>
        </w:rPr>
        <w:br/>
        <w:t>Identyfikacja potencjalnie zanieczyszczonych terenów</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 xml:space="preserve">Państwa członkowskie systematycznie i aktywnie identyfikują wszystkie tereny, w przypadku których na podstawie dowodów zgromadzonych za pomocą wszelkich </w:t>
      </w:r>
      <w:proofErr w:type="spellStart"/>
      <w:r w:rsidRPr="00524971">
        <w:rPr>
          <w:strike/>
          <w:szCs w:val="24"/>
          <w:lang w:eastAsia="en-US"/>
        </w:rPr>
        <w:t>dostępnych</w:t>
      </w:r>
      <w:r w:rsidRPr="00524971">
        <w:rPr>
          <w:b/>
          <w:i/>
          <w:szCs w:val="24"/>
          <w:lang w:eastAsia="en-US"/>
        </w:rPr>
        <w:t>odpowiednich</w:t>
      </w:r>
      <w:proofErr w:type="spellEnd"/>
      <w:r w:rsidRPr="00524971">
        <w:rPr>
          <w:szCs w:val="24"/>
          <w:lang w:eastAsia="en-US"/>
        </w:rPr>
        <w:t xml:space="preserve"> środków</w:t>
      </w:r>
      <w:r w:rsidRPr="00524971">
        <w:rPr>
          <w:b/>
          <w:i/>
          <w:szCs w:val="24"/>
          <w:lang w:eastAsia="en-US"/>
        </w:rPr>
        <w:t>, w tym wkładu społeczeństwa i ustalonych procedur,</w:t>
      </w:r>
      <w:r w:rsidRPr="00524971">
        <w:rPr>
          <w:szCs w:val="24"/>
          <w:lang w:eastAsia="en-US"/>
        </w:rPr>
        <w:t xml:space="preserve"> podejrzewa się zanieczyszczenie gleby („potencjalnie zanieczyszczone tereny”).</w:t>
      </w:r>
      <w:r w:rsidR="00863B3E">
        <w:rPr>
          <w:b/>
          <w:szCs w:val="24"/>
          <w:lang w:eastAsia="en-US"/>
        </w:rPr>
        <w:t xml:space="preserve"> [Popr. 143]</w:t>
      </w:r>
    </w:p>
    <w:p w:rsidR="00524971" w:rsidRPr="00524971" w:rsidRDefault="00524971" w:rsidP="00524971">
      <w:pPr>
        <w:spacing w:before="120" w:after="120" w:line="360" w:lineRule="auto"/>
        <w:ind w:left="850" w:hanging="850"/>
        <w:rPr>
          <w:szCs w:val="24"/>
          <w:lang w:eastAsia="en-US"/>
        </w:rPr>
      </w:pPr>
      <w:r w:rsidRPr="00524971">
        <w:rPr>
          <w:szCs w:val="24"/>
          <w:lang w:eastAsia="en-US"/>
        </w:rPr>
        <w:t>2.</w:t>
      </w:r>
      <w:r w:rsidRPr="00524971">
        <w:rPr>
          <w:szCs w:val="24"/>
          <w:lang w:eastAsia="en-US"/>
        </w:rPr>
        <w:tab/>
        <w:t>Przy identyfikacji potencjalnie zanieczyszczonych terenów państwa członkowskie biorą pod uwagę następujące kryteria:</w:t>
      </w:r>
    </w:p>
    <w:p w:rsidR="00524971" w:rsidRPr="00524971" w:rsidRDefault="00524971" w:rsidP="00524971">
      <w:pPr>
        <w:spacing w:before="120" w:after="120" w:line="360" w:lineRule="auto"/>
        <w:ind w:left="1416" w:hanging="566"/>
        <w:rPr>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prowadzenie</w:t>
      </w:r>
      <w:proofErr w:type="gramEnd"/>
      <w:r w:rsidRPr="00524971">
        <w:rPr>
          <w:szCs w:val="24"/>
          <w:lang w:eastAsia="en-US"/>
        </w:rPr>
        <w:t xml:space="preserve"> aktywnej lub nieaktywnej działalności stwarzającej ryzyko potencjalnego zanieczyszczenia;</w:t>
      </w:r>
    </w:p>
    <w:p w:rsidR="00524971" w:rsidRPr="00524971" w:rsidRDefault="00524971" w:rsidP="00524971">
      <w:pPr>
        <w:spacing w:before="120" w:after="120" w:line="360" w:lineRule="auto"/>
        <w:ind w:left="1416" w:hanging="566"/>
        <w:rPr>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prowadzenie</w:t>
      </w:r>
      <w:proofErr w:type="gramEnd"/>
      <w:r w:rsidRPr="00524971">
        <w:rPr>
          <w:szCs w:val="24"/>
          <w:lang w:eastAsia="en-US"/>
        </w:rPr>
        <w:t xml:space="preserve"> działalności, o której mowa w załączniku I do dyrektywy 2010/75/UE;</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prowadzenie</w:t>
      </w:r>
      <w:proofErr w:type="gramEnd"/>
      <w:r w:rsidRPr="00524971">
        <w:rPr>
          <w:szCs w:val="24"/>
          <w:lang w:eastAsia="en-US"/>
        </w:rPr>
        <w:t xml:space="preserve"> zakładu, o którym mowa w dyrektywie Parlamentu Europejskiego i Rady 2012/18/UE</w:t>
      </w:r>
      <w:r w:rsidRPr="00524971">
        <w:rPr>
          <w:szCs w:val="24"/>
          <w:vertAlign w:val="superscript"/>
          <w:lang w:val="en-GB" w:eastAsia="en-US"/>
        </w:rPr>
        <w:footnoteReference w:id="51"/>
      </w:r>
      <w:r w:rsidRPr="00524971">
        <w:rPr>
          <w:szCs w:val="24"/>
          <w:lang w:eastAsia="en-US"/>
        </w:rPr>
        <w:t>;</w:t>
      </w:r>
    </w:p>
    <w:p w:rsidR="00524971" w:rsidRPr="00863B3E" w:rsidRDefault="00524971" w:rsidP="00524971">
      <w:pPr>
        <w:spacing w:before="120" w:after="120" w:line="360" w:lineRule="auto"/>
        <w:ind w:left="1416" w:hanging="566"/>
        <w:rPr>
          <w:b/>
          <w:szCs w:val="24"/>
          <w:lang w:eastAsia="en-US"/>
        </w:rPr>
      </w:pPr>
      <w:r w:rsidRPr="00524971">
        <w:rPr>
          <w:strike/>
          <w:szCs w:val="24"/>
          <w:lang w:eastAsia="en-US"/>
        </w:rPr>
        <w:t>d</w:t>
      </w:r>
      <w:proofErr w:type="gramStart"/>
      <w:r w:rsidRPr="00524971">
        <w:rPr>
          <w:strike/>
          <w:szCs w:val="24"/>
          <w:lang w:eastAsia="en-US"/>
        </w:rPr>
        <w:t>)</w:t>
      </w:r>
      <w:r w:rsidRPr="00524971">
        <w:rPr>
          <w:szCs w:val="24"/>
          <w:lang w:eastAsia="en-US"/>
        </w:rPr>
        <w:tab/>
      </w:r>
      <w:r w:rsidRPr="00524971">
        <w:rPr>
          <w:strike/>
          <w:szCs w:val="24"/>
          <w:lang w:eastAsia="en-US"/>
        </w:rPr>
        <w:t>prowadzenie</w:t>
      </w:r>
      <w:proofErr w:type="gramEnd"/>
      <w:r w:rsidRPr="00524971">
        <w:rPr>
          <w:strike/>
          <w:szCs w:val="24"/>
          <w:lang w:eastAsia="en-US"/>
        </w:rPr>
        <w:t xml:space="preserve"> działalności, o której mowa w załączniku III do dyrektywy 2004/35/WE Parlamentu Europejskiego i Rady</w:t>
      </w:r>
      <w:r w:rsidRPr="00863B3E">
        <w:rPr>
          <w:strike/>
          <w:szCs w:val="24"/>
          <w:vertAlign w:val="superscript"/>
          <w:lang w:val="en-GB" w:eastAsia="en-US"/>
        </w:rPr>
        <w:footnoteReference w:id="52"/>
      </w:r>
      <w:r w:rsidRPr="00524971">
        <w:rPr>
          <w:strike/>
          <w:szCs w:val="24"/>
          <w:lang w:eastAsia="en-US"/>
        </w:rPr>
        <w:t>;</w:t>
      </w:r>
      <w:r w:rsidR="00863B3E">
        <w:rPr>
          <w:b/>
          <w:szCs w:val="24"/>
          <w:lang w:eastAsia="en-US"/>
        </w:rPr>
        <w:t xml:space="preserve"> [Popr. 144]</w:t>
      </w:r>
    </w:p>
    <w:p w:rsidR="00524971" w:rsidRPr="00524971" w:rsidRDefault="00524971" w:rsidP="00524971">
      <w:pPr>
        <w:spacing w:before="120" w:after="120" w:line="360" w:lineRule="auto"/>
        <w:ind w:left="1416" w:hanging="566"/>
        <w:rPr>
          <w:szCs w:val="24"/>
          <w:lang w:eastAsia="en-US"/>
        </w:rPr>
      </w:pPr>
      <w:r w:rsidRPr="00524971">
        <w:rPr>
          <w:szCs w:val="24"/>
          <w:lang w:eastAsia="en-US"/>
        </w:rPr>
        <w:t>e</w:t>
      </w:r>
      <w:proofErr w:type="gramStart"/>
      <w:r w:rsidRPr="00524971">
        <w:rPr>
          <w:szCs w:val="24"/>
          <w:lang w:eastAsia="en-US"/>
        </w:rPr>
        <w:t>)</w:t>
      </w:r>
      <w:r w:rsidRPr="00524971">
        <w:rPr>
          <w:szCs w:val="24"/>
          <w:lang w:eastAsia="en-US"/>
        </w:rPr>
        <w:tab/>
        <w:t>wystąpienie</w:t>
      </w:r>
      <w:proofErr w:type="gramEnd"/>
      <w:r w:rsidRPr="00524971">
        <w:rPr>
          <w:szCs w:val="24"/>
          <w:lang w:eastAsia="en-US"/>
        </w:rPr>
        <w:t xml:space="preserve"> potencjalnie zanieczyszczającego wypadku, katastrofy, klęski, awarii lub wycieku;</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ind w:left="1416" w:hanging="566"/>
        <w:rPr>
          <w:szCs w:val="24"/>
          <w:lang w:eastAsia="en-US"/>
        </w:rPr>
      </w:pPr>
      <w:r w:rsidRPr="00524971">
        <w:rPr>
          <w:szCs w:val="24"/>
          <w:lang w:eastAsia="en-US"/>
        </w:rPr>
        <w:lastRenderedPageBreak/>
        <w:t>f</w:t>
      </w:r>
      <w:proofErr w:type="gramStart"/>
      <w:r w:rsidRPr="00524971">
        <w:rPr>
          <w:szCs w:val="24"/>
          <w:lang w:eastAsia="en-US"/>
        </w:rPr>
        <w:t>)</w:t>
      </w:r>
      <w:r w:rsidRPr="00524971">
        <w:rPr>
          <w:szCs w:val="24"/>
          <w:lang w:eastAsia="en-US"/>
        </w:rPr>
        <w:tab/>
        <w:t>wszelkie</w:t>
      </w:r>
      <w:proofErr w:type="gramEnd"/>
      <w:r w:rsidRPr="00524971">
        <w:rPr>
          <w:szCs w:val="24"/>
          <w:lang w:eastAsia="en-US"/>
        </w:rPr>
        <w:t xml:space="preserve"> inne zdarzenia mogące spowodować zanieczyszczenie gleby;</w:t>
      </w:r>
    </w:p>
    <w:p w:rsidR="00524971" w:rsidRPr="00863B3E" w:rsidRDefault="00524971" w:rsidP="00524971">
      <w:pPr>
        <w:spacing w:before="120" w:after="120" w:line="360" w:lineRule="auto"/>
        <w:ind w:left="1416" w:hanging="566"/>
        <w:rPr>
          <w:b/>
          <w:szCs w:val="24"/>
          <w:lang w:eastAsia="en-US"/>
        </w:rPr>
      </w:pPr>
      <w:r w:rsidRPr="00524971">
        <w:rPr>
          <w:b/>
          <w:i/>
          <w:szCs w:val="24"/>
          <w:lang w:eastAsia="en-US"/>
        </w:rPr>
        <w:t>fa</w:t>
      </w:r>
      <w:proofErr w:type="gramStart"/>
      <w:r w:rsidRPr="00524971">
        <w:rPr>
          <w:b/>
          <w:i/>
          <w:szCs w:val="24"/>
          <w:lang w:eastAsia="en-US"/>
        </w:rPr>
        <w:t>)</w:t>
      </w:r>
      <w:r w:rsidRPr="00524971">
        <w:rPr>
          <w:szCs w:val="24"/>
          <w:lang w:eastAsia="en-US"/>
        </w:rPr>
        <w:tab/>
      </w:r>
      <w:r w:rsidRPr="00524971">
        <w:rPr>
          <w:b/>
          <w:i/>
          <w:szCs w:val="24"/>
          <w:lang w:eastAsia="en-US"/>
        </w:rPr>
        <w:t>wszelkie</w:t>
      </w:r>
      <w:proofErr w:type="gramEnd"/>
      <w:r w:rsidRPr="00524971">
        <w:rPr>
          <w:b/>
          <w:i/>
          <w:szCs w:val="24"/>
          <w:lang w:eastAsia="en-US"/>
        </w:rPr>
        <w:t xml:space="preserve"> obszary wykorzystywane do poboru wody pitnej;</w:t>
      </w:r>
      <w:r w:rsidR="00863B3E">
        <w:rPr>
          <w:b/>
          <w:szCs w:val="24"/>
          <w:lang w:eastAsia="en-US"/>
        </w:rPr>
        <w:t xml:space="preserve"> [Popr. 145]</w:t>
      </w:r>
    </w:p>
    <w:p w:rsidR="00524971" w:rsidRPr="00524971" w:rsidRDefault="00524971" w:rsidP="00524971">
      <w:pPr>
        <w:spacing w:before="120" w:after="120" w:line="360" w:lineRule="auto"/>
        <w:ind w:left="1416" w:hanging="566"/>
        <w:rPr>
          <w:szCs w:val="24"/>
          <w:lang w:eastAsia="en-US"/>
        </w:rPr>
      </w:pPr>
      <w:r w:rsidRPr="00524971">
        <w:rPr>
          <w:szCs w:val="24"/>
          <w:lang w:eastAsia="en-US"/>
        </w:rPr>
        <w:t>g</w:t>
      </w:r>
      <w:proofErr w:type="gramStart"/>
      <w:r w:rsidRPr="00524971">
        <w:rPr>
          <w:szCs w:val="24"/>
          <w:lang w:eastAsia="en-US"/>
        </w:rPr>
        <w:t>)</w:t>
      </w:r>
      <w:r w:rsidRPr="00524971">
        <w:rPr>
          <w:szCs w:val="24"/>
          <w:lang w:eastAsia="en-US"/>
        </w:rPr>
        <w:tab/>
        <w:t>wszelkie</w:t>
      </w:r>
      <w:proofErr w:type="gramEnd"/>
      <w:r w:rsidRPr="00524971">
        <w:rPr>
          <w:szCs w:val="24"/>
          <w:lang w:eastAsia="en-US"/>
        </w:rPr>
        <w:t xml:space="preserve"> informacje wynikające z monitorowania zdrowia gleb prowadzonego zgodnie z art. 6, 7 i 8</w:t>
      </w:r>
      <w:r w:rsidRPr="00524971">
        <w:rPr>
          <w:strike/>
          <w:szCs w:val="24"/>
          <w:lang w:eastAsia="en-US"/>
        </w:rPr>
        <w:t>.</w:t>
      </w:r>
      <w:r w:rsidRPr="00524971">
        <w:rPr>
          <w:b/>
          <w:i/>
          <w:szCs w:val="24"/>
          <w:lang w:eastAsia="en-US"/>
        </w:rPr>
        <w:t>;</w:t>
      </w:r>
    </w:p>
    <w:p w:rsidR="00524971" w:rsidRPr="00863B3E" w:rsidRDefault="00524971" w:rsidP="00524971">
      <w:pPr>
        <w:spacing w:before="120" w:after="120" w:line="360" w:lineRule="auto"/>
        <w:ind w:left="1416" w:hanging="566"/>
        <w:rPr>
          <w:b/>
          <w:szCs w:val="24"/>
          <w:lang w:eastAsia="en-US"/>
        </w:rPr>
      </w:pPr>
      <w:proofErr w:type="spellStart"/>
      <w:r w:rsidRPr="00524971">
        <w:rPr>
          <w:b/>
          <w:i/>
          <w:szCs w:val="24"/>
          <w:lang w:eastAsia="en-US"/>
        </w:rPr>
        <w:t>ga</w:t>
      </w:r>
      <w:proofErr w:type="spellEnd"/>
      <w:proofErr w:type="gramStart"/>
      <w:r w:rsidRPr="00524971">
        <w:rPr>
          <w:b/>
          <w:i/>
          <w:szCs w:val="24"/>
          <w:lang w:eastAsia="en-US"/>
        </w:rPr>
        <w:t>)</w:t>
      </w:r>
      <w:r w:rsidRPr="00524971">
        <w:rPr>
          <w:szCs w:val="24"/>
          <w:lang w:eastAsia="en-US"/>
        </w:rPr>
        <w:tab/>
      </w:r>
      <w:r w:rsidRPr="00524971">
        <w:rPr>
          <w:b/>
          <w:i/>
          <w:szCs w:val="24"/>
          <w:lang w:eastAsia="en-US"/>
        </w:rPr>
        <w:t>wystąpienie</w:t>
      </w:r>
      <w:proofErr w:type="gramEnd"/>
      <w:r w:rsidRPr="00524971">
        <w:rPr>
          <w:b/>
          <w:i/>
          <w:szCs w:val="24"/>
          <w:lang w:eastAsia="en-US"/>
        </w:rPr>
        <w:t xml:space="preserve"> jakiejkolwiek choroby, co do której przypuszcza się, że jest związana z narażeniem na zanieczyszczenie za pośrednictwem gleb;</w:t>
      </w:r>
      <w:r w:rsidR="00863B3E">
        <w:rPr>
          <w:b/>
          <w:szCs w:val="24"/>
          <w:lang w:eastAsia="en-US"/>
        </w:rPr>
        <w:t xml:space="preserve"> [Popr. 146]</w:t>
      </w:r>
    </w:p>
    <w:p w:rsidR="00524971" w:rsidRPr="00863B3E" w:rsidRDefault="00524971" w:rsidP="00524971">
      <w:pPr>
        <w:spacing w:before="120" w:after="120" w:line="360" w:lineRule="auto"/>
        <w:ind w:left="1416" w:hanging="566"/>
        <w:rPr>
          <w:b/>
          <w:szCs w:val="24"/>
          <w:lang w:eastAsia="en-US"/>
        </w:rPr>
      </w:pPr>
      <w:proofErr w:type="spellStart"/>
      <w:r w:rsidRPr="00524971">
        <w:rPr>
          <w:b/>
          <w:i/>
          <w:szCs w:val="24"/>
          <w:lang w:eastAsia="en-US"/>
        </w:rPr>
        <w:t>gb</w:t>
      </w:r>
      <w:proofErr w:type="spellEnd"/>
      <w:proofErr w:type="gramStart"/>
      <w:r w:rsidRPr="00524971">
        <w:rPr>
          <w:b/>
          <w:i/>
          <w:szCs w:val="24"/>
          <w:lang w:eastAsia="en-US"/>
        </w:rPr>
        <w:t>)</w:t>
      </w:r>
      <w:r w:rsidRPr="00524971">
        <w:rPr>
          <w:szCs w:val="24"/>
          <w:lang w:eastAsia="en-US"/>
        </w:rPr>
        <w:tab/>
      </w:r>
      <w:r w:rsidRPr="00524971">
        <w:rPr>
          <w:b/>
          <w:i/>
          <w:szCs w:val="24"/>
          <w:lang w:eastAsia="en-US"/>
        </w:rPr>
        <w:t>wszelkie</w:t>
      </w:r>
      <w:proofErr w:type="gramEnd"/>
      <w:r w:rsidRPr="00524971">
        <w:rPr>
          <w:b/>
          <w:i/>
          <w:szCs w:val="24"/>
          <w:lang w:eastAsia="en-US"/>
        </w:rPr>
        <w:t xml:space="preserve"> informacje przekazane przez społeczeństwo lub organy państw członkowskich.</w:t>
      </w:r>
      <w:r w:rsidR="00863B3E">
        <w:rPr>
          <w:b/>
          <w:szCs w:val="24"/>
          <w:lang w:eastAsia="en-US"/>
        </w:rPr>
        <w:t xml:space="preserve"> [Popr. 147]</w:t>
      </w:r>
    </w:p>
    <w:p w:rsidR="00524971" w:rsidRPr="00524971" w:rsidRDefault="00524971" w:rsidP="00524971">
      <w:pPr>
        <w:spacing w:before="120" w:after="120" w:line="360" w:lineRule="auto"/>
        <w:ind w:left="850"/>
        <w:rPr>
          <w:szCs w:val="24"/>
          <w:lang w:eastAsia="en-US"/>
        </w:rPr>
      </w:pPr>
      <w:r w:rsidRPr="00524971">
        <w:rPr>
          <w:szCs w:val="24"/>
          <w:lang w:eastAsia="en-US"/>
        </w:rPr>
        <w:t>Do celów akapitu pierwszego lit. a) państwa członkowskie ustanawiają wykaz działalności stwarzającej ryzyko potencjalnego zanieczyszczenia. Działalność tę można dalej sklasyfikować w zależności od ryzyka spowodowania zanieczyszczenia gleby na podstawie dowodów naukowych.</w:t>
      </w:r>
    </w:p>
    <w:p w:rsidR="00524971" w:rsidRPr="00524971" w:rsidRDefault="00524971" w:rsidP="00524971">
      <w:pPr>
        <w:spacing w:before="120" w:after="120" w:line="360" w:lineRule="auto"/>
        <w:ind w:left="850" w:hanging="850"/>
        <w:rPr>
          <w:szCs w:val="24"/>
          <w:lang w:eastAsia="en-US"/>
        </w:rPr>
      </w:pPr>
      <w:r w:rsidRPr="00524971">
        <w:rPr>
          <w:szCs w:val="24"/>
          <w:lang w:eastAsia="en-US"/>
        </w:rPr>
        <w:t>3.</w:t>
      </w:r>
      <w:r w:rsidRPr="00524971">
        <w:rPr>
          <w:szCs w:val="24"/>
          <w:lang w:eastAsia="en-US"/>
        </w:rPr>
        <w:tab/>
        <w:t>Państwa członkowskie zapewniają, aby wszystkie potencjalnie zanieczyszczone tereny zostały zidentyfikowane do dnia (Urząd Publikacji: proszę wstawić datę = siedem lat od daty wejścia w życie dyrektywy) i aby do tego dnia zostały należycie wpisane do rejestru, o którym mowa w art. 16.</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14</w:t>
      </w:r>
      <w:r w:rsidRPr="00524971">
        <w:rPr>
          <w:szCs w:val="24"/>
          <w:lang w:eastAsia="en-US"/>
        </w:rPr>
        <w:br/>
        <w:t>Badanie potencjalnie zanieczyszczonych terenów</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Państwa członkowskie zapewniają, aby wszystkie potencjalnie zanieczyszczone tereny zidentyfikowane zgodnie z art. 13 były poddane badaniu gleby</w:t>
      </w:r>
      <w:r w:rsidRPr="00524971">
        <w:rPr>
          <w:b/>
          <w:i/>
          <w:szCs w:val="24"/>
          <w:lang w:eastAsia="en-US"/>
        </w:rPr>
        <w:t xml:space="preserve"> według kolejności priorytetów</w:t>
      </w:r>
      <w:r w:rsidRPr="00524971">
        <w:rPr>
          <w:szCs w:val="24"/>
          <w:lang w:eastAsia="en-US"/>
        </w:rPr>
        <w:t>.</w:t>
      </w:r>
      <w:r w:rsidR="00863B3E">
        <w:rPr>
          <w:b/>
          <w:szCs w:val="24"/>
          <w:lang w:eastAsia="en-US"/>
        </w:rPr>
        <w:t xml:space="preserve"> [Popr. 148]</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2.</w:t>
      </w:r>
      <w:r w:rsidRPr="00524971">
        <w:rPr>
          <w:szCs w:val="24"/>
          <w:lang w:eastAsia="en-US"/>
        </w:rPr>
        <w:tab/>
        <w:t>Państwa członkowskie ustanawiają przepisy dotyczące terminu, treści, formy i priorytetów badań gleby</w:t>
      </w:r>
      <w:r w:rsidRPr="00524971">
        <w:rPr>
          <w:b/>
          <w:i/>
          <w:szCs w:val="24"/>
          <w:lang w:eastAsia="en-US"/>
        </w:rPr>
        <w:t>, biorąc pod uwagę aspekty środowiskowe, społeczne i ekonomiczne</w:t>
      </w:r>
      <w:r w:rsidRPr="00524971">
        <w:rPr>
          <w:szCs w:val="24"/>
          <w:lang w:eastAsia="en-US"/>
        </w:rPr>
        <w:t>. Przepisy te ustanawia się zgodnie z podejściem opartym na analizie ryzyka, o którym mowa w art. 12, oraz wykazem działalności stwarzającej ryzyko potencjalnego zanieczyszczenia, o którym to wykazie mowa w art. 13 ust. 2 akapit drugi.</w:t>
      </w:r>
      <w:r w:rsidR="00863B3E">
        <w:rPr>
          <w:b/>
          <w:szCs w:val="24"/>
          <w:lang w:eastAsia="en-US"/>
        </w:rPr>
        <w:t xml:space="preserve"> [Popr. 149]</w:t>
      </w:r>
    </w:p>
    <w:p w:rsidR="00524971" w:rsidRPr="00863B3E" w:rsidRDefault="00524971" w:rsidP="00524971">
      <w:pPr>
        <w:spacing w:before="120" w:after="120" w:line="360" w:lineRule="auto"/>
        <w:ind w:left="850"/>
        <w:rPr>
          <w:b/>
          <w:szCs w:val="24"/>
          <w:lang w:eastAsia="en-US"/>
        </w:rPr>
      </w:pPr>
      <w:r w:rsidRPr="00524971">
        <w:rPr>
          <w:b/>
          <w:i/>
          <w:szCs w:val="24"/>
          <w:lang w:eastAsia="en-US"/>
        </w:rPr>
        <w:t>Potencjalnie zanieczyszczone tereny znajdujące się na obszarach wykorzystywanych do poboru wody przeznaczonej do spożycia przez ludzi są traktowane priorytetowo do celów badania gleby.</w:t>
      </w:r>
      <w:r w:rsidR="00863B3E">
        <w:rPr>
          <w:b/>
          <w:szCs w:val="24"/>
          <w:lang w:eastAsia="en-US"/>
        </w:rPr>
        <w:t xml:space="preserve"> [Popr. 150]</w:t>
      </w:r>
    </w:p>
    <w:p w:rsidR="00524971" w:rsidRPr="00524971" w:rsidRDefault="00524971" w:rsidP="00524971">
      <w:pPr>
        <w:spacing w:before="120" w:after="120" w:line="360" w:lineRule="auto"/>
        <w:ind w:left="850"/>
        <w:rPr>
          <w:szCs w:val="24"/>
          <w:lang w:eastAsia="en-US"/>
        </w:rPr>
      </w:pPr>
      <w:r w:rsidRPr="00524971">
        <w:rPr>
          <w:szCs w:val="24"/>
          <w:lang w:eastAsia="en-US"/>
        </w:rPr>
        <w:t>W stosownych przypadkach państwa członkowskie mogą uznać sprawozdania bazowe i środki monitorowania wdrożone zgodnie z dyrektywą 2010/75/UE za badanie gleby.</w:t>
      </w:r>
    </w:p>
    <w:p w:rsidR="00524971" w:rsidRPr="00524971" w:rsidRDefault="00524971" w:rsidP="00524971">
      <w:pPr>
        <w:spacing w:before="120" w:after="120" w:line="360" w:lineRule="auto"/>
        <w:ind w:left="850" w:hanging="850"/>
        <w:rPr>
          <w:szCs w:val="24"/>
          <w:lang w:eastAsia="en-US"/>
        </w:rPr>
      </w:pPr>
      <w:r w:rsidRPr="00524971">
        <w:rPr>
          <w:szCs w:val="24"/>
          <w:lang w:eastAsia="en-US"/>
        </w:rPr>
        <w:t>3.</w:t>
      </w:r>
      <w:r w:rsidRPr="00524971">
        <w:rPr>
          <w:szCs w:val="24"/>
          <w:lang w:eastAsia="en-US"/>
        </w:rPr>
        <w:tab/>
        <w:t>Państwa członkowskie określają również konkretne zdarzenia, które stanowią powód do przeprowadzenia badania przed upływem terminu określonego zgodnie z ust. 2.</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15</w:t>
      </w:r>
      <w:r w:rsidRPr="00524971">
        <w:rPr>
          <w:szCs w:val="24"/>
          <w:lang w:eastAsia="en-US"/>
        </w:rPr>
        <w:br/>
        <w:t>Ocena ryzyka i zarządzanie zanieczyszczonymi terenami</w:t>
      </w:r>
    </w:p>
    <w:p w:rsidR="00524971" w:rsidRPr="00524971" w:rsidRDefault="00524971" w:rsidP="00524971">
      <w:pPr>
        <w:spacing w:before="120" w:after="120" w:line="360" w:lineRule="auto"/>
        <w:ind w:left="850" w:hanging="850"/>
        <w:rPr>
          <w:szCs w:val="24"/>
          <w:lang w:eastAsia="en-US"/>
        </w:rPr>
      </w:pPr>
      <w:r w:rsidRPr="00524971">
        <w:rPr>
          <w:szCs w:val="24"/>
          <w:lang w:eastAsia="en-US"/>
        </w:rPr>
        <w:t>1.</w:t>
      </w:r>
      <w:r w:rsidRPr="00524971">
        <w:rPr>
          <w:szCs w:val="24"/>
          <w:lang w:eastAsia="en-US"/>
        </w:rPr>
        <w:tab/>
        <w:t>Państwa członkowskie określają szczegółową metodykę ustalania ryzyka specyficznego dla danego zanieczyszczonego terenu. Metodyka ta opiera się na etapach i wymogach dotyczących oceny ryzyka specyficznego dla danego terenu wymienionych w załączniku VI.</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2.</w:t>
      </w:r>
      <w:r w:rsidRPr="00524971">
        <w:rPr>
          <w:szCs w:val="24"/>
          <w:lang w:eastAsia="en-US"/>
        </w:rPr>
        <w:tab/>
        <w:t>Państwa członkowskie określają, co stanowi niedopuszczalne ryzyko dla zdrowia ludzi i</w:t>
      </w:r>
      <w:r w:rsidRPr="00524971">
        <w:rPr>
          <w:b/>
          <w:i/>
          <w:szCs w:val="24"/>
          <w:lang w:eastAsia="en-US"/>
        </w:rPr>
        <w:t xml:space="preserve"> zwierząt oraz</w:t>
      </w:r>
      <w:r w:rsidRPr="00524971">
        <w:rPr>
          <w:szCs w:val="24"/>
          <w:lang w:eastAsia="en-US"/>
        </w:rPr>
        <w:t xml:space="preserve"> środowiska wynikające z zanieczyszczonych terenów, uwzględniając istniejącą wiedzę naukową, </w:t>
      </w:r>
      <w:r w:rsidRPr="00524971">
        <w:rPr>
          <w:b/>
          <w:i/>
          <w:szCs w:val="24"/>
          <w:lang w:eastAsia="en-US"/>
        </w:rPr>
        <w:t xml:space="preserve">opinię pracowników służby zdrowia i organów ds. zdrowia, </w:t>
      </w:r>
      <w:r w:rsidRPr="00524971">
        <w:rPr>
          <w:szCs w:val="24"/>
          <w:lang w:eastAsia="en-US"/>
        </w:rPr>
        <w:t>zasadę ostrożności, specyfikę lokalną oraz obecne i przyszłe użytkowanie gruntów.</w:t>
      </w:r>
      <w:r w:rsidR="00863B3E">
        <w:rPr>
          <w:b/>
          <w:szCs w:val="24"/>
          <w:lang w:eastAsia="en-US"/>
        </w:rPr>
        <w:t xml:space="preserve"> [Popr. 151]</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3.</w:t>
      </w:r>
      <w:r w:rsidRPr="00524971">
        <w:rPr>
          <w:szCs w:val="24"/>
          <w:lang w:eastAsia="en-US"/>
        </w:rPr>
        <w:tab/>
        <w:t xml:space="preserve">W odniesieniu do każdego zanieczyszczonego terenu określonego zgodnie z art. 14 lub w jakikolwiek inny sposób odpowiedzialny właściwy organ przeprowadza ocenę danego terenu w odniesieniu do obecnego i planowanego użytkowania gruntów mającą na celu ustalenie, czy zanieczyszczony teren stwarza niedopuszczalne ryzyko dla zdrowia ludzi </w:t>
      </w:r>
      <w:r w:rsidRPr="00524971">
        <w:rPr>
          <w:b/>
          <w:i/>
          <w:szCs w:val="24"/>
          <w:lang w:eastAsia="en-US"/>
        </w:rPr>
        <w:t xml:space="preserve">i zwierząt </w:t>
      </w:r>
      <w:r w:rsidRPr="00524971">
        <w:rPr>
          <w:szCs w:val="24"/>
          <w:lang w:eastAsia="en-US"/>
        </w:rPr>
        <w:t>lub środowiska.</w:t>
      </w:r>
      <w:r w:rsidR="00863B3E">
        <w:rPr>
          <w:b/>
          <w:szCs w:val="24"/>
          <w:lang w:eastAsia="en-US"/>
        </w:rPr>
        <w:t xml:space="preserve"> [Popr. 152]</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3a.</w:t>
      </w:r>
      <w:r w:rsidRPr="00524971">
        <w:rPr>
          <w:szCs w:val="24"/>
          <w:lang w:eastAsia="en-US"/>
        </w:rPr>
        <w:tab/>
      </w:r>
      <w:r w:rsidRPr="00524971">
        <w:rPr>
          <w:b/>
          <w:i/>
          <w:szCs w:val="24"/>
          <w:lang w:eastAsia="en-US"/>
        </w:rPr>
        <w:t>W stosownych przypadkach państwa członkowskie mogą uznać za wystarczające oceny wdrożone zgodnie z dyrektywą 2010/75/UE, dyrektywą 2011/92/UE lub dyrektywą 2012/18/UE.</w:t>
      </w:r>
      <w:r w:rsidR="00863B3E">
        <w:rPr>
          <w:b/>
          <w:szCs w:val="24"/>
          <w:lang w:eastAsia="en-US"/>
        </w:rPr>
        <w:t xml:space="preserve"> [Popr. 153]</w:t>
      </w:r>
    </w:p>
    <w:p w:rsidR="00863B3E" w:rsidRDefault="00863B3E">
      <w:pPr>
        <w:widowControl/>
        <w:rPr>
          <w:szCs w:val="24"/>
          <w:lang w:eastAsia="en-US"/>
        </w:rPr>
      </w:pPr>
      <w:r>
        <w:rPr>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szCs w:val="24"/>
          <w:lang w:eastAsia="en-US"/>
        </w:rPr>
        <w:lastRenderedPageBreak/>
        <w:t>4.</w:t>
      </w:r>
      <w:r w:rsidRPr="00524971">
        <w:rPr>
          <w:szCs w:val="24"/>
          <w:lang w:eastAsia="en-US"/>
        </w:rPr>
        <w:tab/>
        <w:t xml:space="preserve">Na podstawie wyników oceny, o której mowa w ust. 3, odpowiedzialny właściwy organ </w:t>
      </w:r>
      <w:proofErr w:type="spellStart"/>
      <w:r w:rsidRPr="00524971">
        <w:rPr>
          <w:strike/>
          <w:szCs w:val="24"/>
          <w:lang w:eastAsia="en-US"/>
        </w:rPr>
        <w:t>wprowadza</w:t>
      </w:r>
      <w:r w:rsidRPr="00524971">
        <w:rPr>
          <w:b/>
          <w:i/>
          <w:szCs w:val="24"/>
          <w:lang w:eastAsia="en-US"/>
        </w:rPr>
        <w:t>dopilnowuje</w:t>
      </w:r>
      <w:proofErr w:type="spellEnd"/>
      <w:r w:rsidRPr="00524971">
        <w:rPr>
          <w:b/>
          <w:i/>
          <w:szCs w:val="24"/>
          <w:lang w:eastAsia="en-US"/>
        </w:rPr>
        <w:t>, aby wprowadzono</w:t>
      </w:r>
      <w:r w:rsidRPr="00524971">
        <w:rPr>
          <w:szCs w:val="24"/>
          <w:lang w:eastAsia="en-US"/>
        </w:rPr>
        <w:t xml:space="preserve"> odpowiednie środki w celu sprowadzenia ryzyka dla zdrowia ludzi i środowiska do dopuszczalnego poziomu („środki zmniejszające ryzyko”).</w:t>
      </w:r>
      <w:r w:rsidR="00863B3E">
        <w:rPr>
          <w:b/>
          <w:szCs w:val="24"/>
          <w:lang w:eastAsia="en-US"/>
        </w:rPr>
        <w:t xml:space="preserve"> [Popr. 154]</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5.</w:t>
      </w:r>
      <w:r w:rsidRPr="00524971">
        <w:rPr>
          <w:szCs w:val="24"/>
          <w:lang w:eastAsia="en-US"/>
        </w:rPr>
        <w:tab/>
        <w:t xml:space="preserve">Środki zmniejszające ryzyko </w:t>
      </w:r>
      <w:r w:rsidRPr="00524971">
        <w:rPr>
          <w:strike/>
          <w:szCs w:val="24"/>
          <w:lang w:eastAsia="en-US"/>
        </w:rPr>
        <w:t xml:space="preserve">mogą obejmować </w:t>
      </w:r>
      <w:proofErr w:type="spellStart"/>
      <w:r w:rsidRPr="00524971">
        <w:rPr>
          <w:strike/>
          <w:szCs w:val="24"/>
          <w:lang w:eastAsia="en-US"/>
        </w:rPr>
        <w:t>środki</w:t>
      </w:r>
      <w:r w:rsidRPr="00524971">
        <w:rPr>
          <w:b/>
          <w:i/>
          <w:szCs w:val="24"/>
          <w:lang w:eastAsia="en-US"/>
        </w:rPr>
        <w:t>opierają</w:t>
      </w:r>
      <w:proofErr w:type="spellEnd"/>
      <w:r w:rsidRPr="00524971">
        <w:rPr>
          <w:b/>
          <w:i/>
          <w:szCs w:val="24"/>
          <w:lang w:eastAsia="en-US"/>
        </w:rPr>
        <w:t xml:space="preserve"> się na środkach</w:t>
      </w:r>
      <w:r w:rsidRPr="00524971">
        <w:rPr>
          <w:szCs w:val="24"/>
          <w:lang w:eastAsia="en-US"/>
        </w:rPr>
        <w:t>, o których mowa w załączniku V. Przy podejmowaniu decyzji w sprawie odpowiednich środków zmniejszających ryzyko właściwy organ bierze pod uwagę koszty, korzyści, skuteczność, trwałość i wykonalność techniczną dostępnych środków zmniejszających ryzyko</w:t>
      </w:r>
      <w:r w:rsidRPr="00524971">
        <w:rPr>
          <w:b/>
          <w:i/>
          <w:szCs w:val="24"/>
          <w:lang w:eastAsia="en-US"/>
        </w:rPr>
        <w:t xml:space="preserve"> w perspektywie krótko- i długoterminowej</w:t>
      </w:r>
      <w:r w:rsidRPr="00524971">
        <w:rPr>
          <w:szCs w:val="24"/>
          <w:lang w:eastAsia="en-US"/>
        </w:rPr>
        <w:t>.</w:t>
      </w:r>
      <w:r w:rsidRPr="00524971">
        <w:rPr>
          <w:b/>
          <w:i/>
          <w:szCs w:val="24"/>
          <w:lang w:eastAsia="en-US"/>
        </w:rPr>
        <w:t xml:space="preserve"> Państwa członkowskie zawsze dążą do zapobiegania zanieczyszczeniu gleby oraz do oczyszczania jej.</w:t>
      </w:r>
      <w:r w:rsidR="00863B3E">
        <w:rPr>
          <w:b/>
          <w:szCs w:val="24"/>
          <w:lang w:eastAsia="en-US"/>
        </w:rPr>
        <w:t xml:space="preserve"> [Popr. 155]</w:t>
      </w:r>
    </w:p>
    <w:p w:rsidR="00524971" w:rsidRPr="00863B3E" w:rsidRDefault="00524971" w:rsidP="00524971">
      <w:pPr>
        <w:spacing w:before="120" w:after="120" w:line="360" w:lineRule="auto"/>
        <w:ind w:left="850"/>
        <w:rPr>
          <w:b/>
          <w:szCs w:val="24"/>
          <w:lang w:eastAsia="en-US"/>
        </w:rPr>
      </w:pPr>
      <w:r w:rsidRPr="00524971">
        <w:rPr>
          <w:b/>
          <w:i/>
          <w:szCs w:val="24"/>
          <w:lang w:eastAsia="en-US"/>
        </w:rPr>
        <w:t>Środki zmniejszające ryzyko, które wpływają na otaczające zasoby wodne wykorzystywane do poboru wody przeznaczonej do spożycia przez ludzi, muszą być zgodne z dopuszczalnymi normami ryzyka określonymi w dyrektywie (UE) 2020/2184.</w:t>
      </w:r>
      <w:r w:rsidR="00863B3E">
        <w:rPr>
          <w:b/>
          <w:szCs w:val="24"/>
          <w:lang w:eastAsia="en-US"/>
        </w:rPr>
        <w:t xml:space="preserve"> [Popr. 156]</w:t>
      </w:r>
    </w:p>
    <w:p w:rsidR="00524971" w:rsidRPr="00863B3E" w:rsidRDefault="00863B3E" w:rsidP="00524971">
      <w:pPr>
        <w:spacing w:before="120" w:after="120" w:line="360" w:lineRule="auto"/>
        <w:ind w:left="850" w:hanging="850"/>
        <w:rPr>
          <w:b/>
          <w:szCs w:val="24"/>
          <w:lang w:eastAsia="en-US"/>
        </w:rPr>
      </w:pPr>
      <w:r>
        <w:rPr>
          <w:b/>
          <w:i/>
          <w:szCs w:val="24"/>
          <w:lang w:eastAsia="en-US"/>
        </w:rPr>
        <w:t>5a</w:t>
      </w:r>
      <w:r w:rsidR="00524971" w:rsidRPr="00524971">
        <w:rPr>
          <w:b/>
          <w:i/>
          <w:szCs w:val="24"/>
          <w:lang w:eastAsia="en-US"/>
        </w:rPr>
        <w:t>.</w:t>
      </w:r>
      <w:r w:rsidR="00524971" w:rsidRPr="00524971">
        <w:rPr>
          <w:szCs w:val="24"/>
          <w:lang w:eastAsia="en-US"/>
        </w:rPr>
        <w:tab/>
      </w:r>
      <w:r w:rsidR="00524971" w:rsidRPr="00524971">
        <w:rPr>
          <w:b/>
          <w:i/>
          <w:szCs w:val="24"/>
          <w:lang w:eastAsia="en-US"/>
        </w:rPr>
        <w:t>Komisja jest uprawniona do przyjmowania aktów delegowanych zgodnie z art. 20 w celu uzupełnienia niniejszej dyrektywy przez ustanowienie maksymalnych tolerowanych wartości w odniesieniu do definicji niedopuszczalnego ryzyka dla zdrowia i środowiska wynikającego z terenów zanieczyszczonych, o których mowa w ust. 2.</w:t>
      </w:r>
      <w:r>
        <w:rPr>
          <w:b/>
          <w:szCs w:val="24"/>
          <w:lang w:eastAsia="en-US"/>
        </w:rPr>
        <w:t xml:space="preserve"> [Popr. 157]</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szCs w:val="24"/>
          <w:lang w:eastAsia="en-US"/>
        </w:rPr>
        <w:lastRenderedPageBreak/>
        <w:t>6.</w:t>
      </w:r>
      <w:r w:rsidRPr="00524971">
        <w:rPr>
          <w:szCs w:val="24"/>
          <w:lang w:eastAsia="en-US"/>
        </w:rPr>
        <w:tab/>
        <w:t>Komisja jest uprawniona do przyjmowania aktów delegowanych zgodnie z art. 20 w celu zmiany załączników V i VI, aby dostosować do postępu naukowo-technicznego wykaz środków zmniejszających ryzyko i wymogów dotyczących oceny ryzyka specyficznego dla danego terenu.</w:t>
      </w:r>
    </w:p>
    <w:p w:rsidR="00524971" w:rsidRPr="00524971" w:rsidRDefault="00524971" w:rsidP="00524971">
      <w:pPr>
        <w:spacing w:before="120" w:after="120" w:line="360" w:lineRule="auto"/>
        <w:jc w:val="center"/>
        <w:rPr>
          <w:szCs w:val="24"/>
          <w:lang w:eastAsia="en-US"/>
        </w:rPr>
      </w:pPr>
      <w:r w:rsidRPr="00524971">
        <w:rPr>
          <w:szCs w:val="24"/>
          <w:lang w:eastAsia="en-US"/>
        </w:rPr>
        <w:t>Artykuł 16</w:t>
      </w:r>
      <w:r w:rsidRPr="00524971">
        <w:rPr>
          <w:szCs w:val="24"/>
          <w:lang w:eastAsia="en-US"/>
        </w:rPr>
        <w:br/>
        <w:t>Rejestr</w:t>
      </w:r>
    </w:p>
    <w:p w:rsidR="00524971" w:rsidRPr="00524971" w:rsidRDefault="00524971" w:rsidP="00524971">
      <w:pPr>
        <w:spacing w:before="120" w:after="120" w:line="360" w:lineRule="auto"/>
        <w:ind w:left="850" w:hanging="850"/>
        <w:rPr>
          <w:szCs w:val="24"/>
          <w:lang w:eastAsia="en-US"/>
        </w:rPr>
      </w:pPr>
      <w:r w:rsidRPr="00524971">
        <w:rPr>
          <w:szCs w:val="24"/>
          <w:lang w:eastAsia="en-US"/>
        </w:rPr>
        <w:t>1.</w:t>
      </w:r>
      <w:r w:rsidRPr="00524971">
        <w:rPr>
          <w:szCs w:val="24"/>
          <w:lang w:eastAsia="en-US"/>
        </w:rPr>
        <w:tab/>
        <w:t>Do dnia … (Urząd Publikacji: proszę wstawić datę = cztery lata od daty wejścia w życie dyrektywy) państwa członkowskie zgodnie z ust. 2 sporządzają rejestr zanieczyszczonych i potencjalnie zanieczyszczonych terenów.</w:t>
      </w:r>
    </w:p>
    <w:p w:rsidR="00524971" w:rsidRPr="00524971" w:rsidRDefault="00524971" w:rsidP="00524971">
      <w:pPr>
        <w:spacing w:before="120" w:after="120" w:line="360" w:lineRule="auto"/>
        <w:ind w:left="850" w:hanging="850"/>
        <w:rPr>
          <w:szCs w:val="24"/>
          <w:lang w:eastAsia="en-US"/>
        </w:rPr>
      </w:pPr>
      <w:r w:rsidRPr="00524971">
        <w:rPr>
          <w:szCs w:val="24"/>
          <w:lang w:eastAsia="en-US"/>
        </w:rPr>
        <w:t>2.</w:t>
      </w:r>
      <w:r w:rsidRPr="00524971">
        <w:rPr>
          <w:szCs w:val="24"/>
          <w:lang w:eastAsia="en-US"/>
        </w:rPr>
        <w:tab/>
        <w:t>Rejestr ten zawiera informacje określone w załączniku VII.</w:t>
      </w:r>
    </w:p>
    <w:p w:rsidR="00524971" w:rsidRPr="00524971" w:rsidRDefault="00524971" w:rsidP="00524971">
      <w:pPr>
        <w:spacing w:before="120" w:after="120" w:line="360" w:lineRule="auto"/>
        <w:ind w:left="850" w:hanging="850"/>
        <w:rPr>
          <w:szCs w:val="24"/>
          <w:lang w:eastAsia="en-US"/>
        </w:rPr>
      </w:pPr>
      <w:r w:rsidRPr="00524971">
        <w:rPr>
          <w:szCs w:val="24"/>
          <w:lang w:eastAsia="en-US"/>
        </w:rPr>
        <w:t>3.</w:t>
      </w:r>
      <w:r w:rsidRPr="00524971">
        <w:rPr>
          <w:szCs w:val="24"/>
          <w:lang w:eastAsia="en-US"/>
        </w:rPr>
        <w:tab/>
        <w:t>Rejestr jest zarządzany przez odpowiedzialny właściwy organ oraz jest regularnie poddawany przeglądowi i aktualizowany.</w:t>
      </w:r>
    </w:p>
    <w:p w:rsidR="00863B3E" w:rsidRDefault="00863B3E">
      <w:pPr>
        <w:widowControl/>
        <w:rPr>
          <w:szCs w:val="24"/>
          <w:lang w:eastAsia="en-US"/>
        </w:rPr>
      </w:pPr>
      <w:r>
        <w:rPr>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szCs w:val="24"/>
          <w:lang w:eastAsia="en-US"/>
        </w:rPr>
        <w:lastRenderedPageBreak/>
        <w:t>4.</w:t>
      </w:r>
      <w:r w:rsidRPr="00524971">
        <w:rPr>
          <w:szCs w:val="24"/>
          <w:lang w:eastAsia="en-US"/>
        </w:rPr>
        <w:tab/>
        <w:t>Państwa członkowskie podają do wiadomości publicznej</w:t>
      </w:r>
      <w:r w:rsidRPr="00524971">
        <w:rPr>
          <w:b/>
          <w:i/>
          <w:szCs w:val="24"/>
          <w:lang w:eastAsia="en-US"/>
        </w:rPr>
        <w:t>, w sposób przyjazny dla użytkownika i bezpłatnie,</w:t>
      </w:r>
      <w:r w:rsidRPr="00524971">
        <w:rPr>
          <w:szCs w:val="24"/>
          <w:lang w:eastAsia="en-US"/>
        </w:rPr>
        <w:t xml:space="preserve"> rejestr i informacje, o których mowa w ust. 1 i 2. Właściwy organ może odmówić ujawnienia jakichkolwiek informacji lub je ograniczyć, jeżeli spełnione są warunki określone w art. 4 dyrektywy 2003/4/WE Parlamentu Europejskiego i Rady</w:t>
      </w:r>
      <w:r w:rsidRPr="00524971">
        <w:rPr>
          <w:szCs w:val="24"/>
          <w:vertAlign w:val="superscript"/>
          <w:lang w:val="en-GB" w:eastAsia="en-US"/>
        </w:rPr>
        <w:footnoteReference w:id="53"/>
      </w:r>
      <w:r w:rsidRPr="00524971">
        <w:rPr>
          <w:szCs w:val="24"/>
          <w:lang w:eastAsia="en-US"/>
        </w:rPr>
        <w:t>.</w:t>
      </w:r>
      <w:r w:rsidR="00863B3E">
        <w:rPr>
          <w:b/>
          <w:szCs w:val="24"/>
          <w:lang w:eastAsia="en-US"/>
        </w:rPr>
        <w:t xml:space="preserve"> [Popr. 158]</w:t>
      </w:r>
    </w:p>
    <w:p w:rsidR="00524971" w:rsidRPr="00524971" w:rsidRDefault="00524971" w:rsidP="00524971">
      <w:pPr>
        <w:spacing w:before="120" w:after="120" w:line="360" w:lineRule="auto"/>
        <w:ind w:left="850"/>
        <w:rPr>
          <w:szCs w:val="24"/>
          <w:lang w:eastAsia="en-US"/>
        </w:rPr>
      </w:pPr>
      <w:r w:rsidRPr="00524971">
        <w:rPr>
          <w:szCs w:val="24"/>
          <w:lang w:eastAsia="en-US"/>
        </w:rPr>
        <w:t xml:space="preserve">Rejestr jest udostępniany w internetowej bazie </w:t>
      </w:r>
      <w:proofErr w:type="spellStart"/>
      <w:r w:rsidRPr="00524971">
        <w:rPr>
          <w:szCs w:val="24"/>
          <w:lang w:eastAsia="en-US"/>
        </w:rPr>
        <w:t>georeferencyjnych</w:t>
      </w:r>
      <w:proofErr w:type="spellEnd"/>
      <w:r w:rsidRPr="00524971">
        <w:rPr>
          <w:szCs w:val="24"/>
          <w:lang w:eastAsia="en-US"/>
        </w:rPr>
        <w:t xml:space="preserve"> danych przestrzennych.</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5.</w:t>
      </w:r>
      <w:r w:rsidRPr="00524971">
        <w:rPr>
          <w:szCs w:val="24"/>
          <w:lang w:eastAsia="en-US"/>
        </w:rPr>
        <w:tab/>
        <w:t>Komisja</w:t>
      </w:r>
      <w:r w:rsidRPr="00524971">
        <w:rPr>
          <w:b/>
          <w:i/>
          <w:szCs w:val="24"/>
          <w:lang w:eastAsia="en-US"/>
        </w:rPr>
        <w:t xml:space="preserve"> do … [Urząd Publikacji: proszę wstawić datę rok od wejścia w życie niniejszej dyrektywy]</w:t>
      </w:r>
      <w:r w:rsidRPr="00524971">
        <w:rPr>
          <w:szCs w:val="24"/>
          <w:lang w:eastAsia="en-US"/>
        </w:rPr>
        <w:t xml:space="preserve"> przyjmuje akty wykonawcze określające format rejestru. Te akty wykonawcze przyjmuje się zgodnie z procedurą sprawdzającą, o której mowa w art. 21.</w:t>
      </w:r>
      <w:r w:rsidR="00863B3E">
        <w:rPr>
          <w:b/>
          <w:szCs w:val="24"/>
          <w:lang w:eastAsia="en-US"/>
        </w:rPr>
        <w:t xml:space="preserve"> [Popr. 159]</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 xml:space="preserve">Rozdział V </w:t>
      </w:r>
      <w:r w:rsidRPr="00524971">
        <w:rPr>
          <w:szCs w:val="24"/>
          <w:lang w:eastAsia="en-US"/>
        </w:rPr>
        <w:br/>
        <w:t>Finansowanie, informowanie opinii publicznej i sprawozdawczość państw członkowskich</w:t>
      </w:r>
    </w:p>
    <w:p w:rsidR="00524971" w:rsidRPr="00863B3E" w:rsidRDefault="00524971" w:rsidP="00524971">
      <w:pPr>
        <w:spacing w:before="120" w:after="120" w:line="360" w:lineRule="auto"/>
        <w:jc w:val="center"/>
        <w:rPr>
          <w:b/>
          <w:szCs w:val="24"/>
          <w:lang w:eastAsia="en-US"/>
        </w:rPr>
      </w:pPr>
      <w:r w:rsidRPr="00524971">
        <w:rPr>
          <w:szCs w:val="24"/>
          <w:lang w:eastAsia="en-US"/>
        </w:rPr>
        <w:t>Artykuł 17</w:t>
      </w:r>
      <w:r w:rsidRPr="00524971">
        <w:rPr>
          <w:szCs w:val="24"/>
          <w:lang w:eastAsia="en-US"/>
        </w:rPr>
        <w:br/>
        <w:t xml:space="preserve">Finansowanie </w:t>
      </w:r>
      <w:proofErr w:type="spellStart"/>
      <w:r w:rsidRPr="00524971">
        <w:rPr>
          <w:strike/>
          <w:szCs w:val="24"/>
          <w:lang w:eastAsia="en-US"/>
        </w:rPr>
        <w:t>unijne</w:t>
      </w:r>
      <w:r w:rsidRPr="00524971">
        <w:rPr>
          <w:b/>
          <w:i/>
          <w:szCs w:val="24"/>
          <w:lang w:eastAsia="en-US"/>
        </w:rPr>
        <w:t>z</w:t>
      </w:r>
      <w:proofErr w:type="spellEnd"/>
      <w:r w:rsidRPr="00524971">
        <w:rPr>
          <w:b/>
          <w:i/>
          <w:szCs w:val="24"/>
          <w:lang w:eastAsia="en-US"/>
        </w:rPr>
        <w:t xml:space="preserve"> Unii i państw członkowskich</w:t>
      </w:r>
      <w:r w:rsidR="00863B3E">
        <w:rPr>
          <w:b/>
          <w:szCs w:val="24"/>
          <w:lang w:eastAsia="en-US"/>
        </w:rPr>
        <w:t xml:space="preserve"> [Popr. 160]</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1.</w:t>
      </w:r>
      <w:r w:rsidRPr="00524971">
        <w:rPr>
          <w:szCs w:val="24"/>
          <w:lang w:eastAsia="en-US"/>
        </w:rPr>
        <w:tab/>
        <w:t xml:space="preserve">Ze względu na z natury priorytetowy charakter ustanowienia monitorowania gleby oraz zrównoważonego </w:t>
      </w:r>
      <w:proofErr w:type="spellStart"/>
      <w:r w:rsidRPr="00524971">
        <w:rPr>
          <w:strike/>
          <w:szCs w:val="24"/>
          <w:lang w:eastAsia="en-US"/>
        </w:rPr>
        <w:t>zarządzania</w:t>
      </w:r>
      <w:r w:rsidRPr="00524971">
        <w:rPr>
          <w:b/>
          <w:i/>
          <w:szCs w:val="24"/>
          <w:lang w:eastAsia="en-US"/>
        </w:rPr>
        <w:t>gospodarowania</w:t>
      </w:r>
      <w:proofErr w:type="spellEnd"/>
      <w:r w:rsidRPr="00524971">
        <w:rPr>
          <w:szCs w:val="24"/>
          <w:lang w:eastAsia="en-US"/>
        </w:rPr>
        <w:t xml:space="preserve"> glebami i ich regeneracji</w:t>
      </w:r>
      <w:r w:rsidRPr="00524971">
        <w:rPr>
          <w:b/>
          <w:i/>
          <w:szCs w:val="24"/>
          <w:lang w:eastAsia="en-US"/>
        </w:rPr>
        <w:t xml:space="preserve"> Komisja do ... [Urząd Publikacji: proszę wstawić datę = 12 miesięcy od wejścia w życie niniejszej dyrektywy] przedkłada Parlamentowi Europejskiemu i Radzie sprawozdanie oceniające zasoby finansowe dostępne na szczeblu Unii na</w:t>
      </w:r>
      <w:r w:rsidRPr="00524971">
        <w:rPr>
          <w:szCs w:val="24"/>
          <w:lang w:eastAsia="en-US"/>
        </w:rPr>
        <w:t xml:space="preserve"> wdrożenie niniejszej dyrektywy</w:t>
      </w:r>
      <w:r w:rsidRPr="00524971">
        <w:rPr>
          <w:strike/>
          <w:szCs w:val="24"/>
          <w:lang w:eastAsia="en-US"/>
        </w:rPr>
        <w:t xml:space="preserve"> jest wspierane przez istniejące unijne programy finansowe zgodnie z obowiązującymi w nich zasadami i warunkami</w:t>
      </w:r>
      <w:r w:rsidRPr="00524971">
        <w:rPr>
          <w:szCs w:val="24"/>
          <w:lang w:eastAsia="en-US"/>
        </w:rPr>
        <w:t>.</w:t>
      </w:r>
      <w:r w:rsidR="00863B3E">
        <w:rPr>
          <w:b/>
          <w:szCs w:val="24"/>
          <w:lang w:eastAsia="en-US"/>
        </w:rPr>
        <w:t xml:space="preserve"> [Popr. 161]</w:t>
      </w:r>
    </w:p>
    <w:p w:rsidR="00524971" w:rsidRPr="00863B3E" w:rsidRDefault="00524971" w:rsidP="00524971">
      <w:pPr>
        <w:spacing w:before="120" w:after="120" w:line="360" w:lineRule="auto"/>
        <w:ind w:left="850"/>
        <w:rPr>
          <w:b/>
          <w:szCs w:val="24"/>
          <w:lang w:eastAsia="en-US"/>
        </w:rPr>
      </w:pPr>
      <w:r w:rsidRPr="00524971">
        <w:rPr>
          <w:b/>
          <w:i/>
          <w:szCs w:val="24"/>
          <w:lang w:eastAsia="en-US"/>
        </w:rPr>
        <w:t>Komisja ocenia wszelkie luki między dostępnym finansowaniem unijnym a potrzebami finansowymi w celu wspierania państw członkowskich we wdrażaniu niniejszej dyrektywy, zwracając szczególną uwagę na potrzeby w zakresie monitoringu środowiska, w tym LUCAS – gleby.</w:t>
      </w:r>
      <w:r w:rsidR="00863B3E">
        <w:rPr>
          <w:b/>
          <w:szCs w:val="24"/>
          <w:lang w:eastAsia="en-US"/>
        </w:rPr>
        <w:t xml:space="preserve"> [Popr. 162]</w:t>
      </w:r>
    </w:p>
    <w:p w:rsidR="00524971" w:rsidRPr="00863B3E" w:rsidRDefault="00524971" w:rsidP="00524971">
      <w:pPr>
        <w:spacing w:before="120" w:after="120" w:line="360" w:lineRule="auto"/>
        <w:ind w:left="850"/>
        <w:rPr>
          <w:b/>
          <w:szCs w:val="24"/>
          <w:lang w:eastAsia="en-US"/>
        </w:rPr>
      </w:pPr>
      <w:r w:rsidRPr="00524971">
        <w:rPr>
          <w:b/>
          <w:i/>
          <w:szCs w:val="24"/>
          <w:lang w:eastAsia="en-US"/>
        </w:rPr>
        <w:t>Należy wprowadzić dodatkowe zasoby finansowe na okres po 2027 r., by wspierać zrównoważone gospodarowanie glebami, ich trwałą regenerację i działania monitorujące.</w:t>
      </w:r>
      <w:r w:rsidR="00863B3E">
        <w:rPr>
          <w:b/>
          <w:szCs w:val="24"/>
          <w:lang w:eastAsia="en-US"/>
        </w:rPr>
        <w:t xml:space="preserve"> [Popr. 163]</w:t>
      </w:r>
    </w:p>
    <w:p w:rsidR="00863B3E" w:rsidRDefault="00863B3E">
      <w:pPr>
        <w:widowControl/>
        <w:rPr>
          <w:b/>
          <w:i/>
          <w:szCs w:val="24"/>
          <w:lang w:eastAsia="en-US"/>
        </w:rPr>
      </w:pPr>
      <w:r>
        <w:rPr>
          <w:b/>
          <w:i/>
          <w:szCs w:val="24"/>
          <w:lang w:eastAsia="en-US"/>
        </w:rPr>
        <w:br w:type="page"/>
      </w:r>
    </w:p>
    <w:p w:rsidR="00524971" w:rsidRPr="00863B3E" w:rsidRDefault="00863B3E" w:rsidP="00524971">
      <w:pPr>
        <w:spacing w:before="120" w:after="120" w:line="360" w:lineRule="auto"/>
        <w:ind w:left="850" w:hanging="850"/>
        <w:rPr>
          <w:b/>
          <w:szCs w:val="24"/>
          <w:lang w:eastAsia="en-US"/>
        </w:rPr>
      </w:pPr>
      <w:r>
        <w:rPr>
          <w:b/>
          <w:i/>
          <w:szCs w:val="24"/>
          <w:lang w:eastAsia="en-US"/>
        </w:rPr>
        <w:lastRenderedPageBreak/>
        <w:t>1a</w:t>
      </w:r>
      <w:r w:rsidR="00524971" w:rsidRPr="00524971">
        <w:rPr>
          <w:b/>
          <w:i/>
          <w:szCs w:val="24"/>
          <w:lang w:eastAsia="en-US"/>
        </w:rPr>
        <w:t>.</w:t>
      </w:r>
      <w:r w:rsidR="00524971" w:rsidRPr="00524971">
        <w:rPr>
          <w:szCs w:val="24"/>
          <w:lang w:eastAsia="en-US"/>
        </w:rPr>
        <w:tab/>
      </w:r>
      <w:r w:rsidR="00524971" w:rsidRPr="00524971">
        <w:rPr>
          <w:b/>
          <w:i/>
          <w:szCs w:val="24"/>
          <w:lang w:eastAsia="en-US"/>
        </w:rPr>
        <w:t>Wdrażając niniejszą dyrektywę, państwa członkowskie wykorzystują zasoby finansowe z odpowiednich źródeł, w tym z funduszy unijnych, krajowych, regionalnych i lokalnych, w celu finansowania działań koncentrujących się na ochronie gleby, zrównoważonym gospodarowaniu glebami i ich regeneracji.</w:t>
      </w:r>
      <w:r>
        <w:rPr>
          <w:b/>
          <w:szCs w:val="24"/>
          <w:lang w:eastAsia="en-US"/>
        </w:rPr>
        <w:t xml:space="preserve"> [Popr. 164]</w:t>
      </w:r>
    </w:p>
    <w:p w:rsidR="00524971" w:rsidRPr="00863B3E" w:rsidRDefault="00863B3E" w:rsidP="00524971">
      <w:pPr>
        <w:spacing w:before="120" w:after="120" w:line="360" w:lineRule="auto"/>
        <w:ind w:left="850" w:hanging="850"/>
        <w:rPr>
          <w:b/>
          <w:szCs w:val="24"/>
          <w:lang w:eastAsia="en-US"/>
        </w:rPr>
      </w:pPr>
      <w:r>
        <w:rPr>
          <w:b/>
          <w:i/>
          <w:szCs w:val="24"/>
          <w:lang w:eastAsia="en-US"/>
        </w:rPr>
        <w:t>1b</w:t>
      </w:r>
      <w:r w:rsidR="00524971" w:rsidRPr="00524971">
        <w:rPr>
          <w:b/>
          <w:i/>
          <w:szCs w:val="24"/>
          <w:lang w:eastAsia="en-US"/>
        </w:rPr>
        <w:t>.</w:t>
      </w:r>
      <w:r w:rsidR="00524971" w:rsidRPr="00524971">
        <w:rPr>
          <w:szCs w:val="24"/>
          <w:lang w:eastAsia="en-US"/>
        </w:rPr>
        <w:tab/>
      </w:r>
      <w:r w:rsidR="00524971" w:rsidRPr="00524971">
        <w:rPr>
          <w:b/>
          <w:i/>
          <w:szCs w:val="24"/>
          <w:lang w:eastAsia="en-US"/>
        </w:rPr>
        <w:t>Komisja monitoruje zdolność państw członkowskich do absorpcji funduszy unijnych związanych z ochroną gleb, zrównoważonym gospodarowaniem glebami i ich regeneracją. Komisja zapewnia szkolenia i wsparcie techniczne w celu zwiększenia zdolności absorpcyjnej państw członkowskich.</w:t>
      </w:r>
      <w:r>
        <w:rPr>
          <w:b/>
          <w:szCs w:val="24"/>
          <w:lang w:eastAsia="en-US"/>
        </w:rPr>
        <w:t xml:space="preserve"> [Popr. 165]</w:t>
      </w:r>
    </w:p>
    <w:p w:rsidR="00524971" w:rsidRPr="00863B3E" w:rsidRDefault="00863B3E" w:rsidP="00524971">
      <w:pPr>
        <w:spacing w:before="120" w:after="120" w:line="360" w:lineRule="auto"/>
        <w:ind w:left="850" w:hanging="850"/>
        <w:rPr>
          <w:b/>
          <w:szCs w:val="24"/>
          <w:lang w:eastAsia="en-US"/>
        </w:rPr>
      </w:pPr>
      <w:r>
        <w:rPr>
          <w:b/>
          <w:i/>
          <w:szCs w:val="24"/>
          <w:lang w:eastAsia="en-US"/>
        </w:rPr>
        <w:t>1c</w:t>
      </w:r>
      <w:r w:rsidR="00524971" w:rsidRPr="00524971">
        <w:rPr>
          <w:b/>
          <w:i/>
          <w:szCs w:val="24"/>
          <w:lang w:eastAsia="en-US"/>
        </w:rPr>
        <w:t>.</w:t>
      </w:r>
      <w:r w:rsidR="00524971" w:rsidRPr="00524971">
        <w:rPr>
          <w:szCs w:val="24"/>
          <w:lang w:eastAsia="en-US"/>
        </w:rPr>
        <w:tab/>
      </w:r>
      <w:r w:rsidR="00524971" w:rsidRPr="00524971">
        <w:rPr>
          <w:b/>
          <w:i/>
          <w:szCs w:val="24"/>
          <w:lang w:eastAsia="en-US"/>
        </w:rPr>
        <w:t>Państwa członkowskie i Komisja, we współpracy z Europejskim Bankiem Inwestycyjnym, poprawiają i ułatwiają korzystanie z innowacyjnych mechanizmów finansowania oraz wspierają pozyskiwanie kapitału prywatnego na potrzeby działań niezbędnych do osiągnięcia celów niniejszej dyrektywy.</w:t>
      </w:r>
      <w:r>
        <w:rPr>
          <w:b/>
          <w:szCs w:val="24"/>
          <w:lang w:eastAsia="en-US"/>
        </w:rPr>
        <w:t xml:space="preserve"> [Popr. 166]</w:t>
      </w:r>
    </w:p>
    <w:p w:rsidR="00524971" w:rsidRPr="00863B3E" w:rsidRDefault="00863B3E" w:rsidP="00524971">
      <w:pPr>
        <w:spacing w:before="120" w:after="120" w:line="360" w:lineRule="auto"/>
        <w:ind w:left="850" w:hanging="850"/>
        <w:rPr>
          <w:b/>
          <w:szCs w:val="24"/>
          <w:lang w:eastAsia="en-US"/>
        </w:rPr>
      </w:pPr>
      <w:r>
        <w:rPr>
          <w:b/>
          <w:i/>
          <w:szCs w:val="24"/>
          <w:lang w:eastAsia="en-US"/>
        </w:rPr>
        <w:t>1d</w:t>
      </w:r>
      <w:r w:rsidR="00524971" w:rsidRPr="00524971">
        <w:rPr>
          <w:b/>
          <w:i/>
          <w:szCs w:val="24"/>
          <w:lang w:eastAsia="en-US"/>
        </w:rPr>
        <w:t>.</w:t>
      </w:r>
      <w:r w:rsidR="00524971" w:rsidRPr="00524971">
        <w:rPr>
          <w:szCs w:val="24"/>
          <w:lang w:eastAsia="en-US"/>
        </w:rPr>
        <w:tab/>
      </w:r>
      <w:r w:rsidR="00524971" w:rsidRPr="00524971">
        <w:rPr>
          <w:b/>
          <w:i/>
          <w:szCs w:val="24"/>
          <w:lang w:eastAsia="en-US"/>
        </w:rPr>
        <w:t>Państwa członkowskie i Komisja przestrzegają zasady „nie czyń poważnych szkód” w rozumieniu art. 17 rozporządzenia (UE) 2020/852 na potrzeby wdrożenia niniejszej dyrektywy.</w:t>
      </w:r>
      <w:r>
        <w:rPr>
          <w:b/>
          <w:szCs w:val="24"/>
          <w:lang w:eastAsia="en-US"/>
        </w:rPr>
        <w:t xml:space="preserve"> [Popr. 167]</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18</w:t>
      </w:r>
      <w:r w:rsidRPr="00524971">
        <w:rPr>
          <w:szCs w:val="24"/>
          <w:lang w:eastAsia="en-US"/>
        </w:rPr>
        <w:br/>
        <w:t>Sprawozdawczość państw członkowskich</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 xml:space="preserve">Co </w:t>
      </w:r>
      <w:proofErr w:type="spellStart"/>
      <w:r w:rsidRPr="00524971">
        <w:rPr>
          <w:strike/>
          <w:szCs w:val="24"/>
          <w:lang w:eastAsia="en-US"/>
        </w:rPr>
        <w:t>pięć</w:t>
      </w:r>
      <w:r w:rsidRPr="00524971">
        <w:rPr>
          <w:b/>
          <w:i/>
          <w:szCs w:val="24"/>
          <w:lang w:eastAsia="en-US"/>
        </w:rPr>
        <w:t>najmniej</w:t>
      </w:r>
      <w:proofErr w:type="spellEnd"/>
      <w:r w:rsidRPr="00524971">
        <w:rPr>
          <w:b/>
          <w:i/>
          <w:szCs w:val="24"/>
          <w:lang w:eastAsia="en-US"/>
        </w:rPr>
        <w:t xml:space="preserve"> co sześć</w:t>
      </w:r>
      <w:r w:rsidRPr="00524971">
        <w:rPr>
          <w:szCs w:val="24"/>
          <w:lang w:eastAsia="en-US"/>
        </w:rPr>
        <w:t xml:space="preserve"> lat państwa członkowskie przekazują Komisji i EEA drogą elektroniczną następujące dane i informacje:</w:t>
      </w:r>
      <w:r w:rsidR="00863B3E">
        <w:rPr>
          <w:b/>
          <w:szCs w:val="24"/>
          <w:lang w:eastAsia="en-US"/>
        </w:rPr>
        <w:t xml:space="preserve"> [Popr. 168]</w:t>
      </w:r>
    </w:p>
    <w:p w:rsidR="00524971" w:rsidRPr="00524971" w:rsidRDefault="00524971" w:rsidP="00524971">
      <w:pPr>
        <w:spacing w:before="120" w:after="120" w:line="360" w:lineRule="auto"/>
        <w:ind w:left="1416" w:hanging="566"/>
        <w:rPr>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dane</w:t>
      </w:r>
      <w:proofErr w:type="gramEnd"/>
      <w:r w:rsidRPr="00524971">
        <w:rPr>
          <w:szCs w:val="24"/>
          <w:lang w:eastAsia="en-US"/>
        </w:rPr>
        <w:t xml:space="preserve"> i wyniki z monitorowania i oceny zdrowia gleb prowadzonego zgodnie z art. 6–9;</w:t>
      </w:r>
    </w:p>
    <w:p w:rsidR="00524971" w:rsidRPr="00863B3E" w:rsidRDefault="00524971" w:rsidP="00524971">
      <w:pPr>
        <w:spacing w:before="120" w:after="120" w:line="360" w:lineRule="auto"/>
        <w:ind w:left="1416" w:hanging="566"/>
        <w:rPr>
          <w:b/>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r>
      <w:r w:rsidRPr="00524971">
        <w:rPr>
          <w:b/>
          <w:i/>
          <w:szCs w:val="24"/>
          <w:lang w:eastAsia="en-US"/>
        </w:rPr>
        <w:t>dane</w:t>
      </w:r>
      <w:proofErr w:type="gramEnd"/>
      <w:r w:rsidRPr="00524971">
        <w:rPr>
          <w:b/>
          <w:i/>
          <w:szCs w:val="24"/>
          <w:lang w:eastAsia="en-US"/>
        </w:rPr>
        <w:t xml:space="preserve"> uzupełniające, metadane i </w:t>
      </w:r>
      <w:r w:rsidRPr="00524971">
        <w:rPr>
          <w:szCs w:val="24"/>
          <w:lang w:eastAsia="en-US"/>
        </w:rPr>
        <w:t>analizę tendencji w zakresie zdrowia gleb w odniesieniu do wskaźników wymienionych w załączniku I części A, B i C</w:t>
      </w:r>
      <w:r w:rsidRPr="00524971">
        <w:rPr>
          <w:b/>
          <w:i/>
          <w:szCs w:val="24"/>
          <w:lang w:eastAsia="en-US"/>
        </w:rPr>
        <w:t>, zgodnie z wybranym poziomem projektu monitorowania gleb</w:t>
      </w:r>
      <w:r w:rsidRPr="00524971">
        <w:rPr>
          <w:szCs w:val="24"/>
          <w:lang w:eastAsia="en-US"/>
        </w:rPr>
        <w:t xml:space="preserve"> oraz wskaźników przejmowania gruntów i uszczelniania gleby wymienionych w załączniku I część D zgodnie z art. 9</w:t>
      </w:r>
      <w:r w:rsidRPr="00524971">
        <w:rPr>
          <w:b/>
          <w:i/>
          <w:szCs w:val="24"/>
          <w:lang w:eastAsia="en-US"/>
        </w:rPr>
        <w:t>, w tym rozszerzonych wskaźników wskazanych przez państwa członkowskie</w:t>
      </w:r>
      <w:r w:rsidRPr="00524971">
        <w:rPr>
          <w:szCs w:val="24"/>
          <w:lang w:eastAsia="en-US"/>
        </w:rPr>
        <w:t>;</w:t>
      </w:r>
      <w:r w:rsidR="00863B3E">
        <w:rPr>
          <w:b/>
          <w:szCs w:val="24"/>
          <w:lang w:eastAsia="en-US"/>
        </w:rPr>
        <w:t xml:space="preserve"> [Popr. 169]</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ind w:left="1416" w:hanging="566"/>
        <w:rPr>
          <w:szCs w:val="24"/>
          <w:lang w:eastAsia="en-US"/>
        </w:rPr>
      </w:pPr>
      <w:r w:rsidRPr="00524971">
        <w:rPr>
          <w:szCs w:val="24"/>
          <w:lang w:eastAsia="en-US"/>
        </w:rPr>
        <w:lastRenderedPageBreak/>
        <w:t>c</w:t>
      </w:r>
      <w:proofErr w:type="gramStart"/>
      <w:r w:rsidRPr="00524971">
        <w:rPr>
          <w:szCs w:val="24"/>
          <w:lang w:eastAsia="en-US"/>
        </w:rPr>
        <w:t>)</w:t>
      </w:r>
      <w:r w:rsidRPr="00524971">
        <w:rPr>
          <w:szCs w:val="24"/>
          <w:lang w:eastAsia="en-US"/>
        </w:rPr>
        <w:tab/>
        <w:t>podsumowanie</w:t>
      </w:r>
      <w:proofErr w:type="gramEnd"/>
      <w:r w:rsidRPr="00524971">
        <w:rPr>
          <w:szCs w:val="24"/>
          <w:lang w:eastAsia="en-US"/>
        </w:rPr>
        <w:t xml:space="preserve"> postępów w zakresie:</w:t>
      </w:r>
    </w:p>
    <w:p w:rsidR="00524971" w:rsidRPr="00524971" w:rsidRDefault="00524971" w:rsidP="00524971">
      <w:pPr>
        <w:spacing w:before="120" w:after="120" w:line="360" w:lineRule="auto"/>
        <w:ind w:left="1982" w:hanging="566"/>
        <w:rPr>
          <w:szCs w:val="24"/>
          <w:lang w:eastAsia="en-US"/>
        </w:rPr>
      </w:pPr>
      <w:r w:rsidRPr="00524971">
        <w:rPr>
          <w:szCs w:val="24"/>
          <w:lang w:eastAsia="en-US"/>
        </w:rPr>
        <w:t>(i</w:t>
      </w:r>
      <w:proofErr w:type="gramStart"/>
      <w:r w:rsidRPr="00524971">
        <w:rPr>
          <w:szCs w:val="24"/>
          <w:lang w:eastAsia="en-US"/>
        </w:rPr>
        <w:t>)</w:t>
      </w:r>
      <w:r w:rsidRPr="00524971">
        <w:rPr>
          <w:szCs w:val="24"/>
          <w:lang w:eastAsia="en-US"/>
        </w:rPr>
        <w:tab/>
        <w:t>wdrażania</w:t>
      </w:r>
      <w:proofErr w:type="gramEnd"/>
      <w:r w:rsidRPr="00524971">
        <w:rPr>
          <w:szCs w:val="24"/>
          <w:lang w:eastAsia="en-US"/>
        </w:rPr>
        <w:t xml:space="preserve"> zasad zrównoważonego gospodarowania glebami zgodnie z art. 10;</w:t>
      </w:r>
    </w:p>
    <w:p w:rsidR="00524971" w:rsidRPr="00524971" w:rsidRDefault="00524971" w:rsidP="00524971">
      <w:pPr>
        <w:spacing w:before="120" w:after="120" w:line="360" w:lineRule="auto"/>
        <w:ind w:left="1982" w:hanging="566"/>
        <w:rPr>
          <w:szCs w:val="24"/>
          <w:lang w:eastAsia="en-US"/>
        </w:rPr>
      </w:pPr>
      <w:r w:rsidRPr="00524971">
        <w:rPr>
          <w:szCs w:val="24"/>
          <w:lang w:eastAsia="en-US"/>
        </w:rPr>
        <w:t>(ii</w:t>
      </w:r>
      <w:proofErr w:type="gramStart"/>
      <w:r w:rsidRPr="00524971">
        <w:rPr>
          <w:szCs w:val="24"/>
          <w:lang w:eastAsia="en-US"/>
        </w:rPr>
        <w:t>)</w:t>
      </w:r>
      <w:r w:rsidRPr="00524971">
        <w:rPr>
          <w:szCs w:val="24"/>
          <w:lang w:eastAsia="en-US"/>
        </w:rPr>
        <w:tab/>
        <w:t>rejestracji</w:t>
      </w:r>
      <w:proofErr w:type="gramEnd"/>
      <w:r w:rsidRPr="00524971">
        <w:rPr>
          <w:szCs w:val="24"/>
          <w:lang w:eastAsia="en-US"/>
        </w:rPr>
        <w:t>, identyfikacji i badania zanieczyszczonych terenów oraz zarządzania nimi zgodnie z art. 12–16;</w:t>
      </w:r>
    </w:p>
    <w:p w:rsidR="00524971" w:rsidRPr="00524971" w:rsidRDefault="00524971" w:rsidP="00524971">
      <w:pPr>
        <w:spacing w:before="120" w:after="120" w:line="360" w:lineRule="auto"/>
        <w:ind w:left="1416" w:hanging="566"/>
        <w:rPr>
          <w:szCs w:val="24"/>
          <w:lang w:eastAsia="en-US"/>
        </w:rPr>
      </w:pPr>
      <w:r w:rsidRPr="00524971">
        <w:rPr>
          <w:szCs w:val="24"/>
          <w:lang w:eastAsia="en-US"/>
        </w:rPr>
        <w:t>d</w:t>
      </w:r>
      <w:proofErr w:type="gramStart"/>
      <w:r w:rsidRPr="00524971">
        <w:rPr>
          <w:szCs w:val="24"/>
          <w:lang w:eastAsia="en-US"/>
        </w:rPr>
        <w:t>)</w:t>
      </w:r>
      <w:r w:rsidRPr="00524971">
        <w:rPr>
          <w:szCs w:val="24"/>
          <w:lang w:eastAsia="en-US"/>
        </w:rPr>
        <w:tab/>
        <w:t>dane</w:t>
      </w:r>
      <w:proofErr w:type="gramEnd"/>
      <w:r w:rsidRPr="00524971">
        <w:rPr>
          <w:szCs w:val="24"/>
          <w:lang w:eastAsia="en-US"/>
        </w:rPr>
        <w:t xml:space="preserve"> i informacje zawarte w rejestrze, o którym mowa w art. 16.</w:t>
      </w:r>
    </w:p>
    <w:p w:rsidR="00524971" w:rsidRPr="00863B3E" w:rsidRDefault="00524971" w:rsidP="00524971">
      <w:pPr>
        <w:spacing w:before="120" w:after="120" w:line="360" w:lineRule="auto"/>
        <w:ind w:left="850"/>
        <w:rPr>
          <w:b/>
          <w:szCs w:val="24"/>
          <w:lang w:eastAsia="en-US"/>
        </w:rPr>
      </w:pPr>
      <w:r w:rsidRPr="00524971">
        <w:rPr>
          <w:szCs w:val="24"/>
          <w:lang w:eastAsia="en-US"/>
        </w:rPr>
        <w:t xml:space="preserve">Pierwsze sprawozdania składa się do dnia … (Urząd Publikacji: proszę wstawić datę = </w:t>
      </w:r>
      <w:r w:rsidRPr="00524971">
        <w:rPr>
          <w:strike/>
          <w:szCs w:val="24"/>
          <w:lang w:eastAsia="en-US"/>
        </w:rPr>
        <w:t xml:space="preserve">pięć lat i </w:t>
      </w:r>
      <w:r w:rsidRPr="00524971">
        <w:rPr>
          <w:szCs w:val="24"/>
          <w:lang w:eastAsia="en-US"/>
        </w:rPr>
        <w:t xml:space="preserve">sześć </w:t>
      </w:r>
      <w:proofErr w:type="spellStart"/>
      <w:r w:rsidRPr="00524971">
        <w:rPr>
          <w:strike/>
          <w:szCs w:val="24"/>
          <w:lang w:eastAsia="en-US"/>
        </w:rPr>
        <w:t>miesięcy</w:t>
      </w:r>
      <w:r w:rsidRPr="00524971">
        <w:rPr>
          <w:b/>
          <w:i/>
          <w:szCs w:val="24"/>
          <w:lang w:eastAsia="en-US"/>
        </w:rPr>
        <w:t>lat</w:t>
      </w:r>
      <w:proofErr w:type="spellEnd"/>
      <w:r w:rsidRPr="00524971">
        <w:rPr>
          <w:szCs w:val="24"/>
          <w:lang w:eastAsia="en-US"/>
        </w:rPr>
        <w:t xml:space="preserve"> od daty wejścia w życie dyrektywy).</w:t>
      </w:r>
      <w:r w:rsidR="00863B3E">
        <w:rPr>
          <w:b/>
          <w:szCs w:val="24"/>
          <w:lang w:eastAsia="en-US"/>
        </w:rPr>
        <w:t xml:space="preserve"> [Popr. 171]</w:t>
      </w:r>
    </w:p>
    <w:p w:rsidR="00524971" w:rsidRPr="00524971" w:rsidRDefault="00524971" w:rsidP="00524971">
      <w:pPr>
        <w:spacing w:before="120" w:after="120" w:line="360" w:lineRule="auto"/>
        <w:ind w:left="850" w:hanging="850"/>
        <w:rPr>
          <w:szCs w:val="24"/>
          <w:lang w:eastAsia="en-US"/>
        </w:rPr>
      </w:pPr>
      <w:r w:rsidRPr="00524971">
        <w:rPr>
          <w:szCs w:val="24"/>
          <w:lang w:eastAsia="en-US"/>
        </w:rPr>
        <w:t>2.</w:t>
      </w:r>
      <w:r w:rsidRPr="00524971">
        <w:rPr>
          <w:szCs w:val="24"/>
          <w:lang w:eastAsia="en-US"/>
        </w:rPr>
        <w:tab/>
        <w:t>Państwa członkowskie zapewniają Komisji i EEA stały dostęp do informacji i danych, o których mowa w ust. 1.</w:t>
      </w:r>
    </w:p>
    <w:p w:rsidR="00524971" w:rsidRPr="00524971" w:rsidRDefault="00524971" w:rsidP="00524971">
      <w:pPr>
        <w:spacing w:before="120" w:after="120" w:line="360" w:lineRule="auto"/>
        <w:ind w:left="850" w:hanging="850"/>
        <w:rPr>
          <w:szCs w:val="24"/>
          <w:lang w:eastAsia="en-US"/>
        </w:rPr>
      </w:pPr>
      <w:r w:rsidRPr="00524971">
        <w:rPr>
          <w:szCs w:val="24"/>
          <w:lang w:eastAsia="en-US"/>
        </w:rPr>
        <w:t>3.</w:t>
      </w:r>
      <w:r w:rsidRPr="00524971">
        <w:rPr>
          <w:szCs w:val="24"/>
          <w:lang w:eastAsia="en-US"/>
        </w:rPr>
        <w:tab/>
        <w:t>Państwa członkowskie zapewniają Komisji dostęp online do:</w:t>
      </w:r>
    </w:p>
    <w:p w:rsidR="00524971" w:rsidRPr="00863B3E" w:rsidRDefault="00524971" w:rsidP="00524971">
      <w:pPr>
        <w:spacing w:before="120" w:after="120" w:line="360" w:lineRule="auto"/>
        <w:ind w:left="1416" w:hanging="566"/>
        <w:rPr>
          <w:b/>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aktualnego</w:t>
      </w:r>
      <w:proofErr w:type="gramEnd"/>
      <w:r w:rsidRPr="00524971">
        <w:rPr>
          <w:szCs w:val="24"/>
          <w:lang w:eastAsia="en-US"/>
        </w:rPr>
        <w:t xml:space="preserve"> wykazu i danych przestrzennych swoich okręgów glebowych, o których mowa w art. 4, do dnia … (Urząd Publikacji: proszę wstawić datę = </w:t>
      </w:r>
      <w:r w:rsidRPr="00524971">
        <w:rPr>
          <w:strike/>
          <w:szCs w:val="24"/>
          <w:lang w:eastAsia="en-US"/>
        </w:rPr>
        <w:t>dwa lata i trzy miesiące</w:t>
      </w:r>
      <w:r w:rsidRPr="00524971">
        <w:rPr>
          <w:b/>
          <w:i/>
          <w:szCs w:val="24"/>
          <w:lang w:eastAsia="en-US"/>
        </w:rPr>
        <w:t>12 miesięcy</w:t>
      </w:r>
      <w:r w:rsidRPr="00524971">
        <w:rPr>
          <w:szCs w:val="24"/>
          <w:lang w:eastAsia="en-US"/>
        </w:rPr>
        <w:t xml:space="preserve"> od daty wejścia w życie dyrektywy)</w:t>
      </w:r>
      <w:r w:rsidRPr="00524971">
        <w:rPr>
          <w:b/>
          <w:i/>
          <w:szCs w:val="24"/>
          <w:lang w:eastAsia="en-US"/>
        </w:rPr>
        <w:t xml:space="preserve"> oraz, o ile to możliwe, ich odpowiednich planów okręgów glebowych</w:t>
      </w:r>
      <w:r w:rsidRPr="00524971">
        <w:rPr>
          <w:szCs w:val="24"/>
          <w:lang w:eastAsia="en-US"/>
        </w:rPr>
        <w:t>;</w:t>
      </w:r>
      <w:r w:rsidR="00863B3E">
        <w:rPr>
          <w:b/>
          <w:szCs w:val="24"/>
          <w:lang w:eastAsia="en-US"/>
        </w:rPr>
        <w:t xml:space="preserve"> [Popr. 172]</w:t>
      </w:r>
    </w:p>
    <w:p w:rsidR="00863B3E" w:rsidRDefault="00863B3E">
      <w:pPr>
        <w:widowControl/>
        <w:rPr>
          <w:szCs w:val="24"/>
          <w:lang w:eastAsia="en-US"/>
        </w:rPr>
      </w:pPr>
      <w:r>
        <w:rPr>
          <w:szCs w:val="24"/>
          <w:lang w:eastAsia="en-US"/>
        </w:rPr>
        <w:br w:type="page"/>
      </w:r>
    </w:p>
    <w:p w:rsidR="00524971" w:rsidRPr="00863B3E" w:rsidRDefault="00524971" w:rsidP="00524971">
      <w:pPr>
        <w:spacing w:before="120" w:after="120" w:line="360" w:lineRule="auto"/>
        <w:ind w:left="1416" w:hanging="566"/>
        <w:rPr>
          <w:b/>
          <w:szCs w:val="24"/>
          <w:lang w:eastAsia="en-US"/>
        </w:rPr>
      </w:pPr>
      <w:r w:rsidRPr="00524971">
        <w:rPr>
          <w:szCs w:val="24"/>
          <w:lang w:eastAsia="en-US"/>
        </w:rPr>
        <w:lastRenderedPageBreak/>
        <w:t>b</w:t>
      </w:r>
      <w:proofErr w:type="gramStart"/>
      <w:r w:rsidRPr="00524971">
        <w:rPr>
          <w:szCs w:val="24"/>
          <w:lang w:eastAsia="en-US"/>
        </w:rPr>
        <w:t>)</w:t>
      </w:r>
      <w:r w:rsidRPr="00524971">
        <w:rPr>
          <w:szCs w:val="24"/>
          <w:lang w:eastAsia="en-US"/>
        </w:rPr>
        <w:tab/>
        <w:t>aktualnego</w:t>
      </w:r>
      <w:proofErr w:type="gramEnd"/>
      <w:r w:rsidRPr="00524971">
        <w:rPr>
          <w:szCs w:val="24"/>
          <w:lang w:eastAsia="en-US"/>
        </w:rPr>
        <w:t xml:space="preserve"> wykazu właściwych organów, o których mowa w art. 5, do dnia … (Urząd Publikacji: proszę wstawić datę = </w:t>
      </w:r>
      <w:r w:rsidRPr="00524971">
        <w:rPr>
          <w:strike/>
          <w:szCs w:val="24"/>
          <w:lang w:eastAsia="en-US"/>
        </w:rPr>
        <w:t>dwa lata i trzy miesiące</w:t>
      </w:r>
      <w:r w:rsidRPr="00524971">
        <w:rPr>
          <w:b/>
          <w:i/>
          <w:szCs w:val="24"/>
          <w:lang w:eastAsia="en-US"/>
        </w:rPr>
        <w:t>12 miesięcy</w:t>
      </w:r>
      <w:r w:rsidRPr="00524971">
        <w:rPr>
          <w:szCs w:val="24"/>
          <w:lang w:eastAsia="en-US"/>
        </w:rPr>
        <w:t xml:space="preserve"> od daty wejścia w życie dyrektywy);</w:t>
      </w:r>
      <w:r w:rsidR="00863B3E">
        <w:rPr>
          <w:b/>
          <w:szCs w:val="24"/>
          <w:lang w:eastAsia="en-US"/>
        </w:rPr>
        <w:t xml:space="preserve"> [Popr. 173]</w:t>
      </w:r>
    </w:p>
    <w:p w:rsidR="00524971" w:rsidRPr="00524971" w:rsidRDefault="00524971" w:rsidP="00524971">
      <w:pPr>
        <w:spacing w:before="120" w:after="120" w:line="360" w:lineRule="auto"/>
        <w:ind w:left="1416" w:hanging="566"/>
        <w:rPr>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środków</w:t>
      </w:r>
      <w:proofErr w:type="gramEnd"/>
      <w:r w:rsidRPr="00524971">
        <w:rPr>
          <w:szCs w:val="24"/>
          <w:lang w:eastAsia="en-US"/>
        </w:rPr>
        <w:t xml:space="preserve"> i praktyk zrównoważonego gospodarowania glebami, o których to środkach i praktykach mowa w art. 10, do dnia … (Urząd Publikacji: proszę wstawić datę = cztery lata i trzy miesiące od </w:t>
      </w:r>
      <w:r w:rsidR="00863B3E">
        <w:rPr>
          <w:szCs w:val="24"/>
          <w:lang w:eastAsia="en-US"/>
        </w:rPr>
        <w:t>daty wejścia w życie dyrektywy);</w:t>
      </w:r>
    </w:p>
    <w:p w:rsidR="00524971" w:rsidRPr="00863B3E" w:rsidRDefault="00524971" w:rsidP="00524971">
      <w:pPr>
        <w:spacing w:before="120" w:after="120" w:line="360" w:lineRule="auto"/>
        <w:ind w:left="1416" w:hanging="566"/>
        <w:rPr>
          <w:b/>
          <w:szCs w:val="24"/>
          <w:lang w:eastAsia="en-US"/>
        </w:rPr>
      </w:pPr>
      <w:r w:rsidRPr="00524971">
        <w:rPr>
          <w:b/>
          <w:i/>
          <w:szCs w:val="24"/>
          <w:lang w:eastAsia="en-US"/>
        </w:rPr>
        <w:t>ca</w:t>
      </w:r>
      <w:proofErr w:type="gramStart"/>
      <w:r w:rsidRPr="00524971">
        <w:rPr>
          <w:b/>
          <w:i/>
          <w:szCs w:val="24"/>
          <w:lang w:eastAsia="en-US"/>
        </w:rPr>
        <w:t>)</w:t>
      </w:r>
      <w:r w:rsidRPr="00524971">
        <w:rPr>
          <w:szCs w:val="24"/>
          <w:lang w:eastAsia="en-US"/>
        </w:rPr>
        <w:tab/>
      </w:r>
      <w:r w:rsidRPr="00524971">
        <w:rPr>
          <w:b/>
          <w:i/>
          <w:szCs w:val="24"/>
          <w:lang w:eastAsia="en-US"/>
        </w:rPr>
        <w:t>pomiarów</w:t>
      </w:r>
      <w:proofErr w:type="gramEnd"/>
      <w:r w:rsidRPr="00524971">
        <w:rPr>
          <w:b/>
          <w:i/>
          <w:szCs w:val="24"/>
          <w:lang w:eastAsia="en-US"/>
        </w:rPr>
        <w:t xml:space="preserve"> wskaźników glebowych na poziomie punktu pobierania próbek.</w:t>
      </w:r>
      <w:r w:rsidR="00863B3E">
        <w:rPr>
          <w:b/>
          <w:szCs w:val="24"/>
          <w:lang w:eastAsia="en-US"/>
        </w:rPr>
        <w:t xml:space="preserve"> [Popr. 174]</w:t>
      </w:r>
    </w:p>
    <w:p w:rsidR="00524971" w:rsidRPr="00524971" w:rsidRDefault="00524971" w:rsidP="00524971">
      <w:pPr>
        <w:spacing w:before="120" w:after="120" w:line="360" w:lineRule="auto"/>
        <w:ind w:left="850" w:hanging="850"/>
        <w:rPr>
          <w:szCs w:val="24"/>
          <w:lang w:eastAsia="en-US"/>
        </w:rPr>
      </w:pPr>
      <w:r w:rsidRPr="00524971">
        <w:rPr>
          <w:szCs w:val="24"/>
          <w:lang w:eastAsia="en-US"/>
        </w:rPr>
        <w:t>4.</w:t>
      </w:r>
      <w:r w:rsidRPr="00524971">
        <w:rPr>
          <w:szCs w:val="24"/>
          <w:lang w:eastAsia="en-US"/>
        </w:rPr>
        <w:tab/>
        <w:t>Komisja jest uprawniona do przyjmowania aktów wykonawczych określających format i warunki przekazywania informacji, o których mowa w ust. 1 niniejszego artykułu. Te akty wykonawcze przyjmuje się zgodnie z procedurą sprawdzającą, o której mowa w art. 21.</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19</w:t>
      </w:r>
      <w:r w:rsidRPr="00524971">
        <w:rPr>
          <w:szCs w:val="24"/>
          <w:lang w:eastAsia="en-US"/>
        </w:rPr>
        <w:br/>
        <w:t>Informowanie opinii publicznej</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 xml:space="preserve">Państwa członkowskie podają do wiadomości publicznej dane uzyskane w wyniku monitorowania prowadzonego na podstawie art. 8 i </w:t>
      </w:r>
      <w:r w:rsidRPr="00524971">
        <w:rPr>
          <w:strike/>
          <w:szCs w:val="24"/>
          <w:lang w:eastAsia="en-US"/>
        </w:rPr>
        <w:t xml:space="preserve">oceny </w:t>
      </w:r>
      <w:proofErr w:type="spellStart"/>
      <w:r w:rsidRPr="00524971">
        <w:rPr>
          <w:strike/>
          <w:szCs w:val="24"/>
          <w:lang w:eastAsia="en-US"/>
        </w:rPr>
        <w:t>przeprowadzonej</w:t>
      </w:r>
      <w:r w:rsidRPr="00524971">
        <w:rPr>
          <w:b/>
          <w:i/>
          <w:szCs w:val="24"/>
          <w:lang w:eastAsia="en-US"/>
        </w:rPr>
        <w:t>ocen</w:t>
      </w:r>
      <w:proofErr w:type="spellEnd"/>
      <w:r w:rsidRPr="00524971">
        <w:rPr>
          <w:b/>
          <w:i/>
          <w:szCs w:val="24"/>
          <w:lang w:eastAsia="en-US"/>
        </w:rPr>
        <w:t xml:space="preserve"> przeprowadzonych</w:t>
      </w:r>
      <w:r w:rsidRPr="00524971">
        <w:rPr>
          <w:szCs w:val="24"/>
          <w:lang w:eastAsia="en-US"/>
        </w:rPr>
        <w:t xml:space="preserve"> na podstawie art. 9</w:t>
      </w:r>
      <w:r w:rsidRPr="00524971">
        <w:rPr>
          <w:b/>
          <w:i/>
          <w:szCs w:val="24"/>
          <w:lang w:eastAsia="en-US"/>
        </w:rPr>
        <w:t xml:space="preserve"> i art. 10 ust. 3</w:t>
      </w:r>
      <w:r w:rsidRPr="00524971">
        <w:rPr>
          <w:szCs w:val="24"/>
          <w:lang w:eastAsia="en-US"/>
        </w:rPr>
        <w:t xml:space="preserve"> niniejszej dyrektywy zgodnie z przepisami art. 11 dyrektywy 2007/2/WE Parlamentu Europejskiego i Rady</w:t>
      </w:r>
      <w:r w:rsidRPr="00524971">
        <w:rPr>
          <w:szCs w:val="24"/>
          <w:vertAlign w:val="superscript"/>
          <w:lang w:val="en-GB" w:eastAsia="en-US"/>
        </w:rPr>
        <w:footnoteReference w:id="54"/>
      </w:r>
      <w:r w:rsidRPr="00524971">
        <w:rPr>
          <w:szCs w:val="24"/>
          <w:lang w:eastAsia="en-US"/>
        </w:rPr>
        <w:t xml:space="preserve"> w odniesieniu do danych jednoznacznych geograficznie oraz zgodnie z art. 5 dyrektywy (UE) 2019/1024 w odniesieniu do innych danych.</w:t>
      </w:r>
      <w:r w:rsidR="00863B3E">
        <w:rPr>
          <w:b/>
          <w:szCs w:val="24"/>
          <w:lang w:eastAsia="en-US"/>
        </w:rPr>
        <w:t xml:space="preserve"> [Popr. 175]</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2.</w:t>
      </w:r>
      <w:r w:rsidRPr="00524971">
        <w:rPr>
          <w:szCs w:val="24"/>
          <w:lang w:eastAsia="en-US"/>
        </w:rPr>
        <w:tab/>
        <w:t>Komisja zapewnia, aby</w:t>
      </w:r>
      <w:r w:rsidRPr="00524971">
        <w:rPr>
          <w:b/>
          <w:i/>
          <w:szCs w:val="24"/>
          <w:lang w:eastAsia="en-US"/>
        </w:rPr>
        <w:t xml:space="preserve"> istotne</w:t>
      </w:r>
      <w:r w:rsidRPr="00524971">
        <w:rPr>
          <w:szCs w:val="24"/>
          <w:lang w:eastAsia="en-US"/>
        </w:rPr>
        <w:t xml:space="preserve"> dane dotyczące zdrowia gleb udostępniane za pośrednictwem portalu danych cyfrowych dotyczących zdrowia gleb, o którym mowa w art. 6, były podawane do publicznej wiadomości </w:t>
      </w:r>
      <w:r w:rsidRPr="00524971">
        <w:rPr>
          <w:b/>
          <w:i/>
          <w:szCs w:val="24"/>
          <w:lang w:eastAsia="en-US"/>
        </w:rPr>
        <w:t xml:space="preserve">wyłącznie za wyraźną zgodą właściciela gruntów i zarządcy gruntów oraz w formie zagregowanej i zanonimizowanej, </w:t>
      </w:r>
      <w:r w:rsidRPr="00524971">
        <w:rPr>
          <w:szCs w:val="24"/>
          <w:lang w:eastAsia="en-US"/>
        </w:rPr>
        <w:t>zgodnie z rozporządzeniem Parlamentu Europejskiego i Rady (UE) 2018/1725</w:t>
      </w:r>
      <w:r w:rsidRPr="00524971">
        <w:rPr>
          <w:szCs w:val="24"/>
          <w:vertAlign w:val="superscript"/>
          <w:lang w:val="en-GB" w:eastAsia="en-US"/>
        </w:rPr>
        <w:footnoteReference w:id="55"/>
      </w:r>
      <w:r w:rsidRPr="00524971">
        <w:rPr>
          <w:szCs w:val="24"/>
          <w:lang w:eastAsia="en-US"/>
        </w:rPr>
        <w:t xml:space="preserve"> i rozporządzeniem (WE) nr 1367/2006 Parlamentu Europejskiego i Rady</w:t>
      </w:r>
      <w:r w:rsidRPr="00524971">
        <w:rPr>
          <w:szCs w:val="24"/>
          <w:vertAlign w:val="superscript"/>
          <w:lang w:val="en-GB" w:eastAsia="en-US"/>
        </w:rPr>
        <w:footnoteReference w:id="56"/>
      </w:r>
      <w:r w:rsidRPr="00524971">
        <w:rPr>
          <w:szCs w:val="24"/>
          <w:lang w:eastAsia="en-US"/>
        </w:rPr>
        <w:t>.</w:t>
      </w:r>
      <w:r w:rsidR="00863B3E">
        <w:rPr>
          <w:b/>
          <w:szCs w:val="24"/>
          <w:lang w:eastAsia="en-US"/>
        </w:rPr>
        <w:t xml:space="preserve"> [Popr. 231]</w:t>
      </w:r>
    </w:p>
    <w:p w:rsidR="00863B3E" w:rsidRDefault="00863B3E">
      <w:pPr>
        <w:widowControl/>
        <w:rPr>
          <w:szCs w:val="24"/>
          <w:lang w:eastAsia="en-US"/>
        </w:rPr>
      </w:pPr>
      <w:r>
        <w:rPr>
          <w:szCs w:val="24"/>
          <w:lang w:eastAsia="en-US"/>
        </w:rPr>
        <w:br w:type="page"/>
      </w:r>
    </w:p>
    <w:p w:rsidR="00524971" w:rsidRPr="00863B3E" w:rsidRDefault="00524971" w:rsidP="00524971">
      <w:pPr>
        <w:spacing w:before="120" w:after="120" w:line="360" w:lineRule="auto"/>
        <w:ind w:left="850" w:hanging="850"/>
        <w:rPr>
          <w:b/>
          <w:szCs w:val="24"/>
          <w:lang w:eastAsia="en-US"/>
        </w:rPr>
      </w:pPr>
      <w:r w:rsidRPr="00524971">
        <w:rPr>
          <w:szCs w:val="24"/>
          <w:lang w:eastAsia="en-US"/>
        </w:rPr>
        <w:lastRenderedPageBreak/>
        <w:t>3.</w:t>
      </w:r>
      <w:r w:rsidRPr="00524971">
        <w:rPr>
          <w:szCs w:val="24"/>
          <w:lang w:eastAsia="en-US"/>
        </w:rPr>
        <w:tab/>
        <w:t>Państwa członkowskie zapewniają, aby</w:t>
      </w:r>
      <w:r w:rsidRPr="00524971">
        <w:rPr>
          <w:b/>
          <w:i/>
          <w:szCs w:val="24"/>
          <w:lang w:eastAsia="en-US"/>
        </w:rPr>
        <w:t xml:space="preserve"> istotne</w:t>
      </w:r>
      <w:r w:rsidRPr="00524971">
        <w:rPr>
          <w:szCs w:val="24"/>
          <w:lang w:eastAsia="en-US"/>
        </w:rPr>
        <w:t xml:space="preserve"> informacje, o których mowa w art. 18 niniejszej dyrektywy, były dostępne i podawane do publicznej wiadomości</w:t>
      </w:r>
      <w:r w:rsidRPr="00524971">
        <w:rPr>
          <w:b/>
          <w:i/>
          <w:szCs w:val="24"/>
          <w:lang w:eastAsia="en-US"/>
        </w:rPr>
        <w:t xml:space="preserve"> tylko za wyraźną zgodą właściciela gruntów i zarządcy gruntów, w formie zagregowanej i zanonimizowanej,</w:t>
      </w:r>
      <w:r w:rsidRPr="00524971">
        <w:rPr>
          <w:szCs w:val="24"/>
          <w:lang w:eastAsia="en-US"/>
        </w:rPr>
        <w:t xml:space="preserve"> zgodnie z dyrektywą 2003/4/WE, dyrektywą 2007/2/WE i dyrektywą Parlamentu Europejskiego i Rady (UE) 2019/1024</w:t>
      </w:r>
      <w:r w:rsidRPr="00524971">
        <w:rPr>
          <w:szCs w:val="24"/>
          <w:vertAlign w:val="superscript"/>
          <w:lang w:val="en-GB" w:eastAsia="en-US"/>
        </w:rPr>
        <w:footnoteReference w:id="57"/>
      </w:r>
      <w:r w:rsidRPr="00524971">
        <w:rPr>
          <w:szCs w:val="24"/>
          <w:lang w:eastAsia="en-US"/>
        </w:rPr>
        <w:t>.</w:t>
      </w:r>
      <w:r w:rsidR="00863B3E">
        <w:rPr>
          <w:b/>
          <w:szCs w:val="24"/>
          <w:lang w:eastAsia="en-US"/>
        </w:rPr>
        <w:t xml:space="preserve"> [Popr. 232]</w:t>
      </w:r>
    </w:p>
    <w:p w:rsidR="00524971" w:rsidRPr="00524971" w:rsidRDefault="00524971" w:rsidP="00524971">
      <w:pPr>
        <w:spacing w:before="120" w:after="120" w:line="360" w:lineRule="auto"/>
        <w:ind w:left="850" w:hanging="850"/>
        <w:rPr>
          <w:szCs w:val="24"/>
          <w:lang w:eastAsia="en-US"/>
        </w:rPr>
      </w:pPr>
      <w:r w:rsidRPr="00524971">
        <w:rPr>
          <w:szCs w:val="24"/>
          <w:lang w:eastAsia="en-US"/>
        </w:rPr>
        <w:t>4.</w:t>
      </w:r>
      <w:r w:rsidRPr="00524971">
        <w:rPr>
          <w:szCs w:val="24"/>
          <w:lang w:eastAsia="en-US"/>
        </w:rPr>
        <w:tab/>
        <w:t>Ujawnienia jakichkolwiek informacji wymaganych na mocy niniejszej dyrektywy można odmówić lub je ograniczyć, jeżeli spełnione są warunki określone w art. 4 dyrektywy 2003/4/WE.</w:t>
      </w:r>
    </w:p>
    <w:p w:rsidR="00524971" w:rsidRPr="00863B3E" w:rsidRDefault="00524971" w:rsidP="00524971">
      <w:pPr>
        <w:spacing w:before="120" w:after="120" w:line="360" w:lineRule="auto"/>
        <w:ind w:left="850" w:hanging="850"/>
        <w:rPr>
          <w:b/>
          <w:szCs w:val="24"/>
          <w:lang w:eastAsia="en-US"/>
        </w:rPr>
      </w:pPr>
      <w:r w:rsidRPr="00524971">
        <w:rPr>
          <w:b/>
          <w:i/>
          <w:szCs w:val="24"/>
          <w:lang w:eastAsia="en-US"/>
        </w:rPr>
        <w:t>4a.</w:t>
      </w:r>
      <w:r w:rsidRPr="00524971">
        <w:rPr>
          <w:szCs w:val="24"/>
          <w:lang w:eastAsia="en-US"/>
        </w:rPr>
        <w:tab/>
      </w:r>
      <w:r w:rsidRPr="00524971">
        <w:rPr>
          <w:b/>
          <w:i/>
          <w:szCs w:val="24"/>
          <w:lang w:eastAsia="en-US"/>
        </w:rPr>
        <w:t>Państwa członkowskie przyjmują środki, aby zagwarantować, że informacje dotyczące gleby zgromadzone w ramach wdrażania niniejszej dyrektywy zostaną udostępnione potencjalnemu nabywcy lub potencjalnemu najemcy danej działki.</w:t>
      </w:r>
      <w:r w:rsidR="00863B3E">
        <w:rPr>
          <w:b/>
          <w:szCs w:val="24"/>
          <w:lang w:eastAsia="en-US"/>
        </w:rPr>
        <w:t xml:space="preserve"> [Popr. 176]</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Rozdział VI</w:t>
      </w:r>
      <w:r w:rsidRPr="00524971">
        <w:rPr>
          <w:szCs w:val="24"/>
          <w:lang w:eastAsia="en-US"/>
        </w:rPr>
        <w:br/>
        <w:t>Przekazanie uprawnień i procedura komitetowa</w:t>
      </w:r>
    </w:p>
    <w:p w:rsidR="00524971" w:rsidRPr="00524971" w:rsidRDefault="00524971" w:rsidP="00524971">
      <w:pPr>
        <w:spacing w:before="120" w:after="120" w:line="360" w:lineRule="auto"/>
        <w:jc w:val="center"/>
        <w:rPr>
          <w:szCs w:val="24"/>
          <w:lang w:eastAsia="en-US"/>
        </w:rPr>
      </w:pPr>
      <w:r w:rsidRPr="00524971">
        <w:rPr>
          <w:szCs w:val="24"/>
          <w:lang w:eastAsia="en-US"/>
        </w:rPr>
        <w:t>Artykuł 20</w:t>
      </w:r>
      <w:r w:rsidRPr="00524971">
        <w:rPr>
          <w:szCs w:val="24"/>
          <w:lang w:eastAsia="en-US"/>
        </w:rPr>
        <w:br/>
        <w:t>Wykonywanie przekazanych uprawnień</w:t>
      </w:r>
    </w:p>
    <w:p w:rsidR="00524971" w:rsidRPr="00524971" w:rsidRDefault="00524971" w:rsidP="00524971">
      <w:pPr>
        <w:spacing w:before="120" w:after="120" w:line="360" w:lineRule="auto"/>
        <w:ind w:left="850" w:hanging="850"/>
        <w:rPr>
          <w:szCs w:val="24"/>
          <w:lang w:eastAsia="en-US"/>
        </w:rPr>
      </w:pPr>
      <w:r w:rsidRPr="00524971">
        <w:rPr>
          <w:szCs w:val="24"/>
          <w:lang w:eastAsia="en-US"/>
        </w:rPr>
        <w:t>1.</w:t>
      </w:r>
      <w:r w:rsidRPr="00524971">
        <w:rPr>
          <w:szCs w:val="24"/>
          <w:lang w:eastAsia="en-US"/>
        </w:rPr>
        <w:tab/>
        <w:t>Powierzenie Komisji uprawnień do przyjmowania aktów delegowanych podlega warunkom określonym w niniejszym artykule.</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2.</w:t>
      </w:r>
      <w:r w:rsidRPr="00524971">
        <w:rPr>
          <w:szCs w:val="24"/>
          <w:lang w:eastAsia="en-US"/>
        </w:rPr>
        <w:tab/>
        <w:t xml:space="preserve">Uprawnienia do przyjmowania aktów delegowanych, o których mowa w art. 8, </w:t>
      </w:r>
      <w:r w:rsidRPr="00524971">
        <w:rPr>
          <w:strike/>
          <w:szCs w:val="24"/>
          <w:lang w:eastAsia="en-US"/>
        </w:rPr>
        <w:t>10, 15 i 16</w:t>
      </w:r>
      <w:r w:rsidRPr="00524971">
        <w:rPr>
          <w:b/>
          <w:i/>
          <w:szCs w:val="24"/>
          <w:lang w:eastAsia="en-US"/>
        </w:rPr>
        <w:t>9 i 15</w:t>
      </w:r>
      <w:r w:rsidRPr="00524971">
        <w:rPr>
          <w:szCs w:val="24"/>
          <w:lang w:eastAsia="en-US"/>
        </w:rPr>
        <w:t>, powierza się Komisji na czas nieokreślony od dnia wejścia w życie niniejszej dyrektywy.</w:t>
      </w:r>
      <w:r w:rsidR="00863B3E">
        <w:rPr>
          <w:b/>
          <w:szCs w:val="24"/>
          <w:lang w:eastAsia="en-US"/>
        </w:rPr>
        <w:t xml:space="preserve"> [Popr. 177]</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3.</w:t>
      </w:r>
      <w:r w:rsidRPr="00524971">
        <w:rPr>
          <w:szCs w:val="24"/>
          <w:lang w:eastAsia="en-US"/>
        </w:rPr>
        <w:tab/>
        <w:t xml:space="preserve">Przekazanie uprawnień, o którym mowa w art. 8, </w:t>
      </w:r>
      <w:r w:rsidRPr="00524971">
        <w:rPr>
          <w:strike/>
          <w:szCs w:val="24"/>
          <w:lang w:eastAsia="en-US"/>
        </w:rPr>
        <w:t>10, 15 i 16</w:t>
      </w:r>
      <w:r w:rsidRPr="00524971">
        <w:rPr>
          <w:b/>
          <w:i/>
          <w:szCs w:val="24"/>
          <w:lang w:eastAsia="en-US"/>
        </w:rPr>
        <w:t>9 i 15</w:t>
      </w:r>
      <w:r w:rsidRPr="00524971">
        <w:rPr>
          <w:szCs w:val="24"/>
          <w:lang w:eastAsia="en-US"/>
        </w:rPr>
        <w:t xml:space="preserve">, może zostać w dowolnym momencie odwołane przez Parlament Europejski lub przez Radę. Decyzja o odwołaniu kończy przekazanie określonych w niej uprawnień. Decyzja o odwołaniu staje się skuteczna następnego dnia po jej opublikowaniu w </w:t>
      </w:r>
      <w:r w:rsidRPr="00992D11">
        <w:rPr>
          <w:i/>
          <w:szCs w:val="24"/>
          <w:lang w:eastAsia="en-US"/>
        </w:rPr>
        <w:t>Dzienniku Urzędowym Unii Europejskiej</w:t>
      </w:r>
      <w:r w:rsidRPr="00524971">
        <w:rPr>
          <w:szCs w:val="24"/>
          <w:lang w:eastAsia="en-US"/>
        </w:rPr>
        <w:t xml:space="preserve"> lub w późniejszym terminie określonym w tej decyzji. Nie wpływa ona na ważność już obowiązujących aktów delegowanych.</w:t>
      </w:r>
      <w:r w:rsidR="00863B3E">
        <w:rPr>
          <w:b/>
          <w:szCs w:val="24"/>
          <w:lang w:eastAsia="en-US"/>
        </w:rPr>
        <w:t xml:space="preserve"> [Popr. 178]</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ind w:left="850" w:hanging="850"/>
        <w:rPr>
          <w:szCs w:val="24"/>
          <w:lang w:eastAsia="en-US"/>
        </w:rPr>
      </w:pPr>
      <w:r w:rsidRPr="00524971">
        <w:rPr>
          <w:szCs w:val="24"/>
          <w:lang w:eastAsia="en-US"/>
        </w:rPr>
        <w:lastRenderedPageBreak/>
        <w:t>4.</w:t>
      </w:r>
      <w:r w:rsidRPr="00524971">
        <w:rPr>
          <w:szCs w:val="24"/>
          <w:lang w:eastAsia="en-US"/>
        </w:rP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524971" w:rsidRPr="00524971" w:rsidRDefault="00524971" w:rsidP="00524971">
      <w:pPr>
        <w:spacing w:before="120" w:after="120" w:line="360" w:lineRule="auto"/>
        <w:ind w:left="850" w:hanging="850"/>
        <w:rPr>
          <w:szCs w:val="24"/>
          <w:lang w:eastAsia="en-US"/>
        </w:rPr>
      </w:pPr>
      <w:r w:rsidRPr="00524971">
        <w:rPr>
          <w:szCs w:val="24"/>
          <w:lang w:eastAsia="en-US"/>
        </w:rPr>
        <w:t>5.</w:t>
      </w:r>
      <w:r w:rsidRPr="00524971">
        <w:rPr>
          <w:szCs w:val="24"/>
          <w:lang w:eastAsia="en-US"/>
        </w:rPr>
        <w:tab/>
        <w:t>Niezwłocznie po przyjęciu aktu delegowanego Komisja przekazuje go równocześnie Parlamentowi Europejskiemu i Radzie.</w:t>
      </w:r>
    </w:p>
    <w:p w:rsidR="00524971" w:rsidRPr="00863B3E" w:rsidRDefault="00524971" w:rsidP="00524971">
      <w:pPr>
        <w:spacing w:before="120" w:after="120" w:line="360" w:lineRule="auto"/>
        <w:ind w:left="850" w:hanging="850"/>
        <w:rPr>
          <w:b/>
          <w:szCs w:val="24"/>
          <w:lang w:eastAsia="en-US"/>
        </w:rPr>
      </w:pPr>
      <w:r w:rsidRPr="00524971">
        <w:rPr>
          <w:szCs w:val="24"/>
          <w:lang w:eastAsia="en-US"/>
        </w:rPr>
        <w:t>6.</w:t>
      </w:r>
      <w:r w:rsidRPr="00524971">
        <w:rPr>
          <w:szCs w:val="24"/>
          <w:lang w:eastAsia="en-US"/>
        </w:rPr>
        <w:tab/>
        <w:t xml:space="preserve">Akt delegowany przyjęty na podstawie art. 8, </w:t>
      </w:r>
      <w:r w:rsidRPr="00524971">
        <w:rPr>
          <w:strike/>
          <w:szCs w:val="24"/>
          <w:lang w:eastAsia="en-US"/>
        </w:rPr>
        <w:t>10, 15 i 16</w:t>
      </w:r>
      <w:r w:rsidRPr="00524971">
        <w:rPr>
          <w:b/>
          <w:i/>
          <w:szCs w:val="24"/>
          <w:lang w:eastAsia="en-US"/>
        </w:rPr>
        <w:t>9 i 15</w:t>
      </w:r>
      <w:r w:rsidRPr="00524971">
        <w:rPr>
          <w:szCs w:val="24"/>
          <w:lang w:eastAsia="en-US"/>
        </w:rPr>
        <w:t xml:space="preserve">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r w:rsidR="00863B3E">
        <w:rPr>
          <w:b/>
          <w:szCs w:val="24"/>
          <w:lang w:eastAsia="en-US"/>
        </w:rPr>
        <w:t xml:space="preserve"> [Popr. 179]</w:t>
      </w:r>
    </w:p>
    <w:p w:rsidR="00863B3E" w:rsidRDefault="00863B3E">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21</w:t>
      </w:r>
      <w:r w:rsidRPr="00524971">
        <w:rPr>
          <w:szCs w:val="24"/>
          <w:lang w:eastAsia="en-US"/>
        </w:rPr>
        <w:br/>
        <w:t>Komitet</w:t>
      </w:r>
    </w:p>
    <w:p w:rsidR="00524971" w:rsidRPr="00524971" w:rsidRDefault="00524971" w:rsidP="00524971">
      <w:pPr>
        <w:spacing w:before="120" w:after="120" w:line="360" w:lineRule="auto"/>
        <w:ind w:left="850" w:hanging="850"/>
        <w:rPr>
          <w:szCs w:val="24"/>
          <w:lang w:eastAsia="en-US"/>
        </w:rPr>
      </w:pPr>
      <w:r w:rsidRPr="00524971">
        <w:rPr>
          <w:szCs w:val="24"/>
          <w:lang w:eastAsia="en-US"/>
        </w:rPr>
        <w:t>1.</w:t>
      </w:r>
      <w:r w:rsidRPr="00524971">
        <w:rPr>
          <w:szCs w:val="24"/>
          <w:lang w:eastAsia="en-US"/>
        </w:rPr>
        <w:tab/>
        <w:t>Komisję wspomaga komitet. Komitet ten jest komitetem w rozumieniu rozporządzenia (UE) nr 182/2011.</w:t>
      </w:r>
    </w:p>
    <w:p w:rsidR="00524971" w:rsidRPr="00524971" w:rsidRDefault="00524971" w:rsidP="00524971">
      <w:pPr>
        <w:spacing w:before="120" w:after="120" w:line="360" w:lineRule="auto"/>
        <w:ind w:left="850" w:hanging="850"/>
        <w:rPr>
          <w:szCs w:val="24"/>
          <w:lang w:eastAsia="en-US"/>
        </w:rPr>
      </w:pPr>
      <w:r w:rsidRPr="00524971">
        <w:rPr>
          <w:szCs w:val="24"/>
          <w:lang w:eastAsia="en-US"/>
        </w:rPr>
        <w:t>2.</w:t>
      </w:r>
      <w:r w:rsidRPr="00524971">
        <w:rPr>
          <w:szCs w:val="24"/>
          <w:lang w:eastAsia="en-US"/>
        </w:rPr>
        <w:tab/>
        <w:t>W przypadku odesłania do niniejszego ustępu stosuje się art. 5 rozporządzenia (UE) nr 182/2011.</w:t>
      </w:r>
    </w:p>
    <w:p w:rsidR="00524971" w:rsidRPr="00524971" w:rsidRDefault="00524971" w:rsidP="00524971">
      <w:pPr>
        <w:spacing w:before="120" w:after="120" w:line="360" w:lineRule="auto"/>
        <w:jc w:val="center"/>
        <w:rPr>
          <w:szCs w:val="24"/>
          <w:lang w:eastAsia="en-US"/>
        </w:rPr>
      </w:pPr>
      <w:r w:rsidRPr="00524971">
        <w:rPr>
          <w:szCs w:val="24"/>
          <w:lang w:eastAsia="en-US"/>
        </w:rPr>
        <w:t xml:space="preserve">Rozdział VII </w:t>
      </w:r>
      <w:r w:rsidRPr="00524971">
        <w:rPr>
          <w:szCs w:val="24"/>
          <w:lang w:eastAsia="en-US"/>
        </w:rPr>
        <w:br/>
        <w:t xml:space="preserve">Przepisy końcowe </w:t>
      </w:r>
    </w:p>
    <w:p w:rsidR="00524971" w:rsidRPr="00524971" w:rsidRDefault="00524971" w:rsidP="00524971">
      <w:pPr>
        <w:spacing w:before="120" w:after="120" w:line="360" w:lineRule="auto"/>
        <w:jc w:val="center"/>
        <w:rPr>
          <w:szCs w:val="24"/>
          <w:lang w:eastAsia="en-US"/>
        </w:rPr>
      </w:pPr>
      <w:r w:rsidRPr="00524971">
        <w:rPr>
          <w:szCs w:val="24"/>
          <w:lang w:eastAsia="en-US"/>
        </w:rPr>
        <w:t>Artykuł 22</w:t>
      </w:r>
      <w:r w:rsidRPr="00524971">
        <w:rPr>
          <w:szCs w:val="24"/>
          <w:lang w:eastAsia="en-US"/>
        </w:rPr>
        <w:br/>
        <w:t>Dostęp do wymiaru sprawiedliwości</w:t>
      </w:r>
    </w:p>
    <w:p w:rsidR="00524971" w:rsidRPr="00524971" w:rsidRDefault="00524971" w:rsidP="00524971">
      <w:pPr>
        <w:spacing w:before="120" w:after="120" w:line="360" w:lineRule="auto"/>
        <w:rPr>
          <w:szCs w:val="24"/>
          <w:lang w:eastAsia="en-US"/>
        </w:rPr>
      </w:pPr>
      <w:r w:rsidRPr="00524971">
        <w:rPr>
          <w:szCs w:val="24"/>
          <w:lang w:eastAsia="en-US"/>
        </w:rPr>
        <w:t>Państwa członkowskie zapewniają, aby zgodnie z prawem krajowym członkowie społeczeństwa, którzy mają wystarczający interes lub powołują się na naruszenie prawa, mieli dostęp do procedury odwoławczej przed sądem lub innym niezależnym i bezstronnym organem ustanowionym przez prawo, w celu zakwestionowania materialnej lub proceduralnej legalności oceny zdrowia gleb, środków wprowadzonych na podstawie niniejszej dyrektywy i wszelkiego zaniechania działania ze strony właściwych organów.</w:t>
      </w:r>
    </w:p>
    <w:p w:rsidR="00863B3E" w:rsidRDefault="00863B3E">
      <w:pPr>
        <w:widowControl/>
        <w:rPr>
          <w:szCs w:val="24"/>
          <w:lang w:eastAsia="en-US"/>
        </w:rPr>
      </w:pPr>
      <w:r>
        <w:rPr>
          <w:szCs w:val="24"/>
          <w:lang w:eastAsia="en-US"/>
        </w:rPr>
        <w:br w:type="page"/>
      </w:r>
    </w:p>
    <w:p w:rsidR="00524971" w:rsidRPr="00863B3E" w:rsidRDefault="00524971" w:rsidP="00524971">
      <w:pPr>
        <w:spacing w:before="120" w:after="120" w:line="360" w:lineRule="auto"/>
        <w:rPr>
          <w:b/>
          <w:szCs w:val="24"/>
          <w:lang w:eastAsia="en-US"/>
        </w:rPr>
      </w:pPr>
      <w:r w:rsidRPr="00524971">
        <w:rPr>
          <w:szCs w:val="24"/>
          <w:lang w:eastAsia="en-US"/>
        </w:rPr>
        <w:lastRenderedPageBreak/>
        <w:t>Państwa członkowskie określają, co stanowi wystarczający interes i naruszenie prawa, zgodnie z celem, jakim jest zapewnienie społeczeństwu szerokiego dostępu do wymiaru sprawiedliwości</w:t>
      </w:r>
      <w:r w:rsidRPr="00524971">
        <w:rPr>
          <w:strike/>
          <w:szCs w:val="24"/>
          <w:lang w:eastAsia="en-US"/>
        </w:rPr>
        <w:t>. Do celów ust. 1 wszelkie organizacje pozarządowe promujące ochronę środowiska i spełniające wszelkie kryteria prawa krajowego uznaje się za mające prawa, które mogą zostać naruszone, a ich interes uznaje się za wystarczający</w:t>
      </w:r>
      <w:r w:rsidRPr="00524971">
        <w:rPr>
          <w:b/>
          <w:i/>
          <w:szCs w:val="24"/>
          <w:lang w:eastAsia="en-US"/>
        </w:rPr>
        <w:t xml:space="preserve"> zgodnie z art. 9 konwencji z </w:t>
      </w:r>
      <w:proofErr w:type="spellStart"/>
      <w:r w:rsidRPr="00524971">
        <w:rPr>
          <w:b/>
          <w:i/>
          <w:szCs w:val="24"/>
          <w:lang w:eastAsia="en-US"/>
        </w:rPr>
        <w:t>Aarhus</w:t>
      </w:r>
      <w:proofErr w:type="spellEnd"/>
      <w:r w:rsidRPr="00524971">
        <w:rPr>
          <w:b/>
          <w:i/>
          <w:szCs w:val="24"/>
          <w:lang w:eastAsia="en-US"/>
        </w:rPr>
        <w:t>. Uznanie legitymacji nie jest uwarunkowany tym, że zainteresowany członek społeczności odegrał rolę na etapie partycypacyjnym procedur podejmowania decyzji na podstawie niniejszej dyrektywy</w:t>
      </w:r>
      <w:r w:rsidRPr="00524971">
        <w:rPr>
          <w:szCs w:val="24"/>
          <w:lang w:eastAsia="en-US"/>
        </w:rPr>
        <w:t>.</w:t>
      </w:r>
      <w:r w:rsidR="00863B3E">
        <w:rPr>
          <w:b/>
          <w:szCs w:val="24"/>
          <w:lang w:eastAsia="en-US"/>
        </w:rPr>
        <w:t xml:space="preserve"> [Popr. 180]</w:t>
      </w:r>
    </w:p>
    <w:p w:rsidR="00524971" w:rsidRPr="00524971" w:rsidRDefault="00524971" w:rsidP="00524971">
      <w:pPr>
        <w:spacing w:before="120" w:after="120" w:line="360" w:lineRule="auto"/>
        <w:rPr>
          <w:szCs w:val="24"/>
          <w:lang w:eastAsia="en-US"/>
        </w:rPr>
      </w:pPr>
      <w:r w:rsidRPr="00524971">
        <w:rPr>
          <w:szCs w:val="24"/>
          <w:lang w:eastAsia="en-US"/>
        </w:rPr>
        <w:t>Procedury odwoławcze, o których mowa w ust. 1, są bezstronne, oparte na zasadzie równości, terminowe i bezpłatne lub niedyskryminacyjne ze względu na koszty oraz przewidują odpowiednie i skuteczne środki odwoławcze, w tym w stosownych przypadkach nakazy sądowe.</w:t>
      </w:r>
    </w:p>
    <w:p w:rsidR="00524971" w:rsidRPr="00524971" w:rsidRDefault="00524971" w:rsidP="00524971">
      <w:pPr>
        <w:spacing w:before="120" w:after="120" w:line="360" w:lineRule="auto"/>
        <w:rPr>
          <w:szCs w:val="24"/>
          <w:lang w:eastAsia="en-US"/>
        </w:rPr>
      </w:pPr>
      <w:r w:rsidRPr="00524971">
        <w:rPr>
          <w:szCs w:val="24"/>
          <w:lang w:eastAsia="en-US"/>
        </w:rPr>
        <w:t>Państwa członkowskie zapewniają społeczeństwu dostęp do praktycznych informacji na temat dostępu do procedur administracyjnych i procedur kontroli sądowej, o których mowa w niniejszym artykule.</w:t>
      </w:r>
    </w:p>
    <w:p w:rsidR="006C06B1" w:rsidRDefault="006C06B1">
      <w:pPr>
        <w:widowControl/>
        <w:rPr>
          <w:strike/>
          <w:szCs w:val="24"/>
          <w:lang w:eastAsia="en-US"/>
        </w:rPr>
      </w:pPr>
      <w:r>
        <w:rPr>
          <w:strike/>
          <w:szCs w:val="24"/>
          <w:lang w:eastAsia="en-US"/>
        </w:rPr>
        <w:br w:type="page"/>
      </w:r>
    </w:p>
    <w:p w:rsidR="00524971" w:rsidRPr="00524971" w:rsidRDefault="00524971" w:rsidP="00524971">
      <w:pPr>
        <w:spacing w:before="120" w:after="120" w:line="360" w:lineRule="auto"/>
        <w:jc w:val="center"/>
        <w:rPr>
          <w:szCs w:val="24"/>
          <w:lang w:eastAsia="en-US"/>
        </w:rPr>
      </w:pPr>
      <w:r w:rsidRPr="00524971">
        <w:rPr>
          <w:strike/>
          <w:szCs w:val="24"/>
          <w:lang w:eastAsia="en-US"/>
        </w:rPr>
        <w:lastRenderedPageBreak/>
        <w:t>Artykuł 23</w:t>
      </w:r>
      <w:r w:rsidRPr="00524971">
        <w:rPr>
          <w:szCs w:val="24"/>
          <w:lang w:eastAsia="en-US"/>
        </w:rPr>
        <w:br/>
      </w:r>
      <w:r w:rsidRPr="00524971">
        <w:rPr>
          <w:strike/>
          <w:szCs w:val="24"/>
          <w:lang w:eastAsia="en-US"/>
        </w:rPr>
        <w:t>Kary</w:t>
      </w:r>
    </w:p>
    <w:p w:rsidR="00524971" w:rsidRPr="00524971" w:rsidRDefault="00524971" w:rsidP="00524971">
      <w:pPr>
        <w:spacing w:before="120" w:after="120" w:line="360" w:lineRule="auto"/>
        <w:ind w:left="850" w:hanging="850"/>
        <w:rPr>
          <w:szCs w:val="24"/>
          <w:lang w:eastAsia="en-US"/>
        </w:rPr>
      </w:pPr>
      <w:r w:rsidRPr="00524971">
        <w:rPr>
          <w:strike/>
          <w:szCs w:val="24"/>
          <w:lang w:eastAsia="en-US"/>
        </w:rPr>
        <w:t>1.</w:t>
      </w:r>
      <w:r w:rsidRPr="00524971">
        <w:rPr>
          <w:szCs w:val="24"/>
          <w:lang w:eastAsia="en-US"/>
        </w:rPr>
        <w:tab/>
      </w:r>
      <w:r w:rsidRPr="00524971">
        <w:rPr>
          <w:strike/>
          <w:szCs w:val="24"/>
          <w:lang w:eastAsia="en-US"/>
        </w:rPr>
        <w:t>Bez uszczerbku dla obowiązków państw członkowskich na wynikających z dyrektywy Parlamentu Europejskiego i Rady 2008/99/WE państwa członkowskie ustanawiają przepisy dotyczące kar nakładanych w przypadku naruszenia przez osoby fizyczne i prawne przepisów krajowych przyjętych na podstawie niniejszej dyrektywy i zapewniają wykonywanie tych przepisów. Przewidziane kary muszą być skuteczne, proporcjonalne i odstraszające.</w:t>
      </w:r>
    </w:p>
    <w:p w:rsidR="00524971" w:rsidRPr="00524971" w:rsidRDefault="00524971" w:rsidP="00524971">
      <w:pPr>
        <w:spacing w:before="120" w:after="120" w:line="360" w:lineRule="auto"/>
        <w:ind w:left="850" w:hanging="850"/>
        <w:rPr>
          <w:szCs w:val="24"/>
          <w:lang w:eastAsia="en-US"/>
        </w:rPr>
      </w:pPr>
      <w:r w:rsidRPr="00524971">
        <w:rPr>
          <w:strike/>
          <w:szCs w:val="24"/>
          <w:lang w:eastAsia="en-US"/>
        </w:rPr>
        <w:t>2.</w:t>
      </w:r>
      <w:r w:rsidRPr="00524971">
        <w:rPr>
          <w:szCs w:val="24"/>
          <w:lang w:eastAsia="en-US"/>
        </w:rPr>
        <w:tab/>
      </w:r>
      <w:r w:rsidRPr="00524971">
        <w:rPr>
          <w:strike/>
          <w:szCs w:val="24"/>
          <w:lang w:eastAsia="en-US"/>
        </w:rPr>
        <w:t>Kary, o których mowa w ust. 1, obejmują kary pieniężne proporcjonalne do obrotu osoby prawnej lub dochodu osoby fizycznej, która dopuściła się naruszenia. Wysokość takich kar pieniężnych wylicza się w taki sposób, aby skutecznie pozbawiały one osobę, która odpowiada za naruszenie, korzyści ekonomicznych uzyskanych w wyniku tego naruszenia. W przypadku naruszenia popełnionego przez osobę prawną takie kary pieniężne muszą być proporcjonalne do rocznego obrotu tej osoby prawnej w danym państwie członkowskim, z uwzględnieniem między innymi specyfiki małych i średnich przedsiębiorstw (MŚP).</w:t>
      </w:r>
    </w:p>
    <w:p w:rsidR="00524971" w:rsidRPr="00524971" w:rsidRDefault="00524971" w:rsidP="00524971">
      <w:pPr>
        <w:spacing w:before="120" w:after="120" w:line="360" w:lineRule="auto"/>
        <w:ind w:left="850" w:hanging="850"/>
        <w:rPr>
          <w:szCs w:val="24"/>
          <w:lang w:eastAsia="en-US"/>
        </w:rPr>
      </w:pPr>
      <w:r w:rsidRPr="00524971">
        <w:rPr>
          <w:strike/>
          <w:szCs w:val="24"/>
          <w:lang w:eastAsia="en-US"/>
        </w:rPr>
        <w:t>3.</w:t>
      </w:r>
      <w:r w:rsidRPr="00524971">
        <w:rPr>
          <w:szCs w:val="24"/>
          <w:lang w:eastAsia="en-US"/>
        </w:rPr>
        <w:tab/>
      </w:r>
      <w:r w:rsidRPr="00524971">
        <w:rPr>
          <w:strike/>
          <w:szCs w:val="24"/>
          <w:lang w:eastAsia="en-US"/>
        </w:rPr>
        <w:t>Państwa członkowskie zapewniają, aby kary ustanowione na podstawie niniejszego artykułu należycie uwzględniały, w stosownych przypadkach, następujące elementy:</w:t>
      </w:r>
    </w:p>
    <w:p w:rsidR="00524971" w:rsidRPr="00524971" w:rsidRDefault="00524971" w:rsidP="00524971">
      <w:pPr>
        <w:spacing w:before="120" w:after="120" w:line="360" w:lineRule="auto"/>
        <w:ind w:left="1416" w:hanging="566"/>
        <w:rPr>
          <w:szCs w:val="24"/>
          <w:lang w:eastAsia="en-US"/>
        </w:rPr>
      </w:pPr>
      <w:r w:rsidRPr="00524971">
        <w:rPr>
          <w:strike/>
          <w:szCs w:val="24"/>
          <w:lang w:eastAsia="en-US"/>
        </w:rPr>
        <w:t>a</w:t>
      </w:r>
      <w:proofErr w:type="gramStart"/>
      <w:r w:rsidRPr="00524971">
        <w:rPr>
          <w:strike/>
          <w:szCs w:val="24"/>
          <w:lang w:eastAsia="en-US"/>
        </w:rPr>
        <w:t>)</w:t>
      </w:r>
      <w:r w:rsidRPr="00524971">
        <w:rPr>
          <w:szCs w:val="24"/>
          <w:lang w:eastAsia="en-US"/>
        </w:rPr>
        <w:tab/>
      </w:r>
      <w:r w:rsidRPr="00524971">
        <w:rPr>
          <w:strike/>
          <w:szCs w:val="24"/>
          <w:lang w:eastAsia="en-US"/>
        </w:rPr>
        <w:t>charakter</w:t>
      </w:r>
      <w:proofErr w:type="gramEnd"/>
      <w:r w:rsidRPr="00524971">
        <w:rPr>
          <w:strike/>
          <w:szCs w:val="24"/>
          <w:lang w:eastAsia="en-US"/>
        </w:rPr>
        <w:t>, wagę i skalę naruszenia;</w:t>
      </w:r>
    </w:p>
    <w:p w:rsidR="00524971" w:rsidRPr="00524971" w:rsidRDefault="00524971" w:rsidP="00524971">
      <w:pPr>
        <w:spacing w:before="120" w:after="120" w:line="360" w:lineRule="auto"/>
        <w:ind w:left="1416" w:hanging="566"/>
        <w:rPr>
          <w:szCs w:val="24"/>
          <w:lang w:eastAsia="en-US"/>
        </w:rPr>
      </w:pPr>
      <w:r w:rsidRPr="00524971">
        <w:rPr>
          <w:strike/>
          <w:szCs w:val="24"/>
          <w:lang w:eastAsia="en-US"/>
        </w:rPr>
        <w:t>b</w:t>
      </w:r>
      <w:proofErr w:type="gramStart"/>
      <w:r w:rsidRPr="00524971">
        <w:rPr>
          <w:strike/>
          <w:szCs w:val="24"/>
          <w:lang w:eastAsia="en-US"/>
        </w:rPr>
        <w:t>)</w:t>
      </w:r>
      <w:r w:rsidRPr="00524971">
        <w:rPr>
          <w:szCs w:val="24"/>
          <w:lang w:eastAsia="en-US"/>
        </w:rPr>
        <w:tab/>
      </w:r>
      <w:r w:rsidRPr="00524971">
        <w:rPr>
          <w:strike/>
          <w:szCs w:val="24"/>
          <w:lang w:eastAsia="en-US"/>
        </w:rPr>
        <w:t>umyślny</w:t>
      </w:r>
      <w:proofErr w:type="gramEnd"/>
      <w:r w:rsidRPr="00524971">
        <w:rPr>
          <w:strike/>
          <w:szCs w:val="24"/>
          <w:lang w:eastAsia="en-US"/>
        </w:rPr>
        <w:t xml:space="preserve"> lub nieumyślny charakter naruszenia;</w:t>
      </w:r>
    </w:p>
    <w:p w:rsidR="00524971" w:rsidRPr="00524971" w:rsidRDefault="00524971" w:rsidP="00524971">
      <w:pPr>
        <w:spacing w:before="120" w:after="120" w:line="360" w:lineRule="auto"/>
        <w:ind w:left="1416" w:hanging="566"/>
        <w:rPr>
          <w:szCs w:val="24"/>
          <w:lang w:eastAsia="en-US"/>
        </w:rPr>
      </w:pPr>
      <w:r w:rsidRPr="00524971">
        <w:rPr>
          <w:strike/>
          <w:szCs w:val="24"/>
          <w:lang w:eastAsia="en-US"/>
        </w:rPr>
        <w:t>c</w:t>
      </w:r>
      <w:proofErr w:type="gramStart"/>
      <w:r w:rsidRPr="00524971">
        <w:rPr>
          <w:strike/>
          <w:szCs w:val="24"/>
          <w:lang w:eastAsia="en-US"/>
        </w:rPr>
        <w:t>)</w:t>
      </w:r>
      <w:r w:rsidRPr="00524971">
        <w:rPr>
          <w:szCs w:val="24"/>
          <w:lang w:eastAsia="en-US"/>
        </w:rPr>
        <w:tab/>
      </w:r>
      <w:r w:rsidRPr="00524971">
        <w:rPr>
          <w:strike/>
          <w:szCs w:val="24"/>
          <w:lang w:eastAsia="en-US"/>
        </w:rPr>
        <w:t>populację</w:t>
      </w:r>
      <w:proofErr w:type="gramEnd"/>
      <w:r w:rsidRPr="00524971">
        <w:rPr>
          <w:strike/>
          <w:szCs w:val="24"/>
          <w:lang w:eastAsia="en-US"/>
        </w:rPr>
        <w:t xml:space="preserve"> lub środowisko, na którą lub na które naruszenie wpłynęło, mając na uwadze wpływ naruszenia na osiągnięcie celu, jakim jest zapewnienie wysokiego poziomu ochrony zdrowia ludzi i środowiska.</w:t>
      </w:r>
    </w:p>
    <w:p w:rsidR="00524971" w:rsidRPr="006C06B1" w:rsidRDefault="00524971" w:rsidP="00524971">
      <w:pPr>
        <w:spacing w:before="120" w:after="120" w:line="360" w:lineRule="auto"/>
        <w:ind w:left="850" w:hanging="850"/>
        <w:rPr>
          <w:b/>
          <w:szCs w:val="24"/>
          <w:lang w:eastAsia="en-US"/>
        </w:rPr>
      </w:pPr>
      <w:r w:rsidRPr="00524971">
        <w:rPr>
          <w:strike/>
          <w:szCs w:val="24"/>
          <w:lang w:eastAsia="en-US"/>
        </w:rPr>
        <w:t>4.</w:t>
      </w:r>
      <w:r w:rsidRPr="00524971">
        <w:rPr>
          <w:szCs w:val="24"/>
          <w:lang w:eastAsia="en-US"/>
        </w:rPr>
        <w:tab/>
      </w:r>
      <w:r w:rsidRPr="00524971">
        <w:rPr>
          <w:strike/>
          <w:szCs w:val="24"/>
          <w:lang w:eastAsia="en-US"/>
        </w:rPr>
        <w:t>Państwa członkowskie bez zbędnej zwłoki powiadamiają Komisję o przepisach i środkach, o których mowa w ust. 1, a także o wszelkich późniejszych zmianach, które ich dotyczą.</w:t>
      </w:r>
      <w:r w:rsidR="006C06B1">
        <w:rPr>
          <w:b/>
          <w:szCs w:val="24"/>
          <w:lang w:eastAsia="en-US"/>
        </w:rPr>
        <w:t xml:space="preserve"> [Popr. 234]</w:t>
      </w:r>
    </w:p>
    <w:p w:rsidR="006C06B1" w:rsidRDefault="006C06B1">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24</w:t>
      </w:r>
      <w:r w:rsidRPr="00524971">
        <w:rPr>
          <w:szCs w:val="24"/>
          <w:lang w:eastAsia="en-US"/>
        </w:rPr>
        <w:br/>
        <w:t>Ocena i przegląd</w:t>
      </w:r>
    </w:p>
    <w:p w:rsidR="00524971" w:rsidRPr="006C06B1" w:rsidRDefault="00524971" w:rsidP="00524971">
      <w:pPr>
        <w:spacing w:before="120" w:after="120" w:line="360" w:lineRule="auto"/>
        <w:ind w:left="850" w:hanging="850"/>
        <w:rPr>
          <w:b/>
          <w:szCs w:val="24"/>
          <w:lang w:eastAsia="en-US"/>
        </w:rPr>
      </w:pPr>
      <w:r w:rsidRPr="00524971">
        <w:rPr>
          <w:szCs w:val="24"/>
          <w:lang w:eastAsia="en-US"/>
        </w:rPr>
        <w:t>1.</w:t>
      </w:r>
      <w:r w:rsidRPr="00524971">
        <w:rPr>
          <w:szCs w:val="24"/>
          <w:lang w:eastAsia="en-US"/>
        </w:rPr>
        <w:tab/>
        <w:t xml:space="preserve">Do dnia (Urząd Publikacji: proszę wstawić datę = sześć lat od daty wejścia w życie dyrektywy) Komisja przeprowadza ocenę niniejszej dyrektywy, aby ocenić postępy w osiąganiu jej celów oraz potrzebę zmiany jej przepisów w celu </w:t>
      </w:r>
      <w:r w:rsidRPr="00524971">
        <w:rPr>
          <w:strike/>
          <w:szCs w:val="24"/>
          <w:lang w:eastAsia="en-US"/>
        </w:rPr>
        <w:t xml:space="preserve">ustanowienia bardziej </w:t>
      </w:r>
      <w:proofErr w:type="spellStart"/>
      <w:r w:rsidRPr="00524971">
        <w:rPr>
          <w:strike/>
          <w:szCs w:val="24"/>
          <w:lang w:eastAsia="en-US"/>
        </w:rPr>
        <w:t>szczegółowych</w:t>
      </w:r>
      <w:r w:rsidRPr="00524971">
        <w:rPr>
          <w:b/>
          <w:i/>
          <w:szCs w:val="24"/>
          <w:lang w:eastAsia="en-US"/>
        </w:rPr>
        <w:t>dostosowania</w:t>
      </w:r>
      <w:proofErr w:type="spellEnd"/>
      <w:r w:rsidRPr="00524971">
        <w:rPr>
          <w:szCs w:val="24"/>
          <w:lang w:eastAsia="en-US"/>
        </w:rPr>
        <w:t xml:space="preserve"> wymogów</w:t>
      </w:r>
      <w:r w:rsidRPr="00524971">
        <w:rPr>
          <w:b/>
          <w:i/>
          <w:szCs w:val="24"/>
          <w:lang w:eastAsia="en-US"/>
        </w:rPr>
        <w:t xml:space="preserve"> ustanowionych w niniejszej dyrektywie</w:t>
      </w:r>
      <w:r w:rsidRPr="00524971">
        <w:rPr>
          <w:szCs w:val="24"/>
          <w:lang w:eastAsia="en-US"/>
        </w:rPr>
        <w:t xml:space="preserve"> na potrzeby zapewnienia </w:t>
      </w:r>
      <w:r w:rsidRPr="00524971">
        <w:rPr>
          <w:strike/>
          <w:szCs w:val="24"/>
          <w:lang w:eastAsia="en-US"/>
        </w:rPr>
        <w:t xml:space="preserve">regeneracji niezdrowych gleb </w:t>
      </w:r>
      <w:proofErr w:type="spellStart"/>
      <w:r w:rsidRPr="00524971">
        <w:rPr>
          <w:strike/>
          <w:szCs w:val="24"/>
          <w:lang w:eastAsia="en-US"/>
        </w:rPr>
        <w:t>oraz</w:t>
      </w:r>
      <w:r w:rsidRPr="00524971">
        <w:rPr>
          <w:b/>
          <w:i/>
          <w:szCs w:val="24"/>
          <w:lang w:eastAsia="en-US"/>
        </w:rPr>
        <w:t>dalszych</w:t>
      </w:r>
      <w:proofErr w:type="spellEnd"/>
      <w:r w:rsidRPr="00524971">
        <w:rPr>
          <w:b/>
          <w:i/>
          <w:szCs w:val="24"/>
          <w:lang w:eastAsia="en-US"/>
        </w:rPr>
        <w:t xml:space="preserve"> postępów w dążeniu do zagwarantowania</w:t>
      </w:r>
      <w:r w:rsidRPr="00524971">
        <w:rPr>
          <w:szCs w:val="24"/>
          <w:lang w:eastAsia="en-US"/>
        </w:rPr>
        <w:t xml:space="preserve"> zdrowia</w:t>
      </w:r>
      <w:r w:rsidRPr="00524971">
        <w:rPr>
          <w:strike/>
          <w:szCs w:val="24"/>
          <w:lang w:eastAsia="en-US"/>
        </w:rPr>
        <w:t xml:space="preserve"> wszystkich</w:t>
      </w:r>
      <w:r w:rsidRPr="00524971">
        <w:rPr>
          <w:szCs w:val="24"/>
          <w:lang w:eastAsia="en-US"/>
        </w:rPr>
        <w:t xml:space="preserve"> gleb do 2050 r. W ocenie tej uwzględnia się między innymi następujące elementy:</w:t>
      </w:r>
      <w:r w:rsidR="006C06B1">
        <w:rPr>
          <w:b/>
          <w:szCs w:val="24"/>
          <w:lang w:eastAsia="en-US"/>
        </w:rPr>
        <w:t xml:space="preserve"> [Popr. 186]</w:t>
      </w:r>
    </w:p>
    <w:p w:rsidR="00524971" w:rsidRPr="00524971" w:rsidRDefault="00524971" w:rsidP="00524971">
      <w:pPr>
        <w:spacing w:before="120" w:after="120" w:line="360" w:lineRule="auto"/>
        <w:ind w:left="1416" w:hanging="566"/>
        <w:rPr>
          <w:szCs w:val="24"/>
          <w:lang w:eastAsia="en-US"/>
        </w:rPr>
      </w:pPr>
      <w:r w:rsidRPr="00524971">
        <w:rPr>
          <w:szCs w:val="24"/>
          <w:lang w:eastAsia="en-US"/>
        </w:rPr>
        <w:t>a</w:t>
      </w:r>
      <w:proofErr w:type="gramStart"/>
      <w:r w:rsidRPr="00524971">
        <w:rPr>
          <w:szCs w:val="24"/>
          <w:lang w:eastAsia="en-US"/>
        </w:rPr>
        <w:t>)</w:t>
      </w:r>
      <w:r w:rsidRPr="00524971">
        <w:rPr>
          <w:szCs w:val="24"/>
          <w:lang w:eastAsia="en-US"/>
        </w:rPr>
        <w:tab/>
        <w:t>doświadczenie</w:t>
      </w:r>
      <w:proofErr w:type="gramEnd"/>
      <w:r w:rsidRPr="00524971">
        <w:rPr>
          <w:szCs w:val="24"/>
          <w:lang w:eastAsia="en-US"/>
        </w:rPr>
        <w:t xml:space="preserve"> zdobyte w ramach wdrażania niniejszej dyrektywy;</w:t>
      </w:r>
    </w:p>
    <w:p w:rsidR="00524971" w:rsidRPr="00524971" w:rsidRDefault="00524971" w:rsidP="00524971">
      <w:pPr>
        <w:spacing w:before="120" w:after="120" w:line="360" w:lineRule="auto"/>
        <w:ind w:left="1416" w:hanging="566"/>
        <w:rPr>
          <w:szCs w:val="24"/>
          <w:lang w:eastAsia="en-US"/>
        </w:rPr>
      </w:pPr>
      <w:r w:rsidRPr="00524971">
        <w:rPr>
          <w:szCs w:val="24"/>
          <w:lang w:eastAsia="en-US"/>
        </w:rPr>
        <w:t>b</w:t>
      </w:r>
      <w:proofErr w:type="gramStart"/>
      <w:r w:rsidRPr="00524971">
        <w:rPr>
          <w:szCs w:val="24"/>
          <w:lang w:eastAsia="en-US"/>
        </w:rPr>
        <w:t>)</w:t>
      </w:r>
      <w:r w:rsidRPr="00524971">
        <w:rPr>
          <w:szCs w:val="24"/>
          <w:lang w:eastAsia="en-US"/>
        </w:rPr>
        <w:tab/>
        <w:t>dane</w:t>
      </w:r>
      <w:proofErr w:type="gramEnd"/>
      <w:r w:rsidRPr="00524971">
        <w:rPr>
          <w:szCs w:val="24"/>
          <w:lang w:eastAsia="en-US"/>
        </w:rPr>
        <w:t xml:space="preserve"> i informacje, o których mowa w art. 18;</w:t>
      </w:r>
    </w:p>
    <w:p w:rsidR="00524971" w:rsidRPr="006C06B1" w:rsidRDefault="00524971" w:rsidP="00524971">
      <w:pPr>
        <w:spacing w:before="120" w:after="120" w:line="360" w:lineRule="auto"/>
        <w:ind w:left="1416" w:hanging="566"/>
        <w:rPr>
          <w:b/>
          <w:szCs w:val="24"/>
          <w:lang w:eastAsia="en-US"/>
        </w:rPr>
      </w:pPr>
      <w:r w:rsidRPr="00524971">
        <w:rPr>
          <w:szCs w:val="24"/>
          <w:lang w:eastAsia="en-US"/>
        </w:rPr>
        <w:t>c</w:t>
      </w:r>
      <w:proofErr w:type="gramStart"/>
      <w:r w:rsidRPr="00524971">
        <w:rPr>
          <w:szCs w:val="24"/>
          <w:lang w:eastAsia="en-US"/>
        </w:rPr>
        <w:t>)</w:t>
      </w:r>
      <w:r w:rsidRPr="00524971">
        <w:rPr>
          <w:szCs w:val="24"/>
          <w:lang w:eastAsia="en-US"/>
        </w:rPr>
        <w:tab/>
        <w:t>odpowiednie</w:t>
      </w:r>
      <w:proofErr w:type="gramEnd"/>
      <w:r w:rsidRPr="00524971">
        <w:rPr>
          <w:szCs w:val="24"/>
          <w:lang w:eastAsia="en-US"/>
        </w:rPr>
        <w:t xml:space="preserve"> dane naukowe i analityczne, w tym wyniki projektów badawczych finansowanych przez Unię</w:t>
      </w:r>
      <w:r w:rsidRPr="00524971">
        <w:rPr>
          <w:b/>
          <w:i/>
          <w:szCs w:val="24"/>
          <w:lang w:eastAsia="en-US"/>
        </w:rPr>
        <w:t xml:space="preserve"> i państwa członkowskie</w:t>
      </w:r>
      <w:r w:rsidRPr="00524971">
        <w:rPr>
          <w:szCs w:val="24"/>
          <w:lang w:eastAsia="en-US"/>
        </w:rPr>
        <w:t>;</w:t>
      </w:r>
      <w:r w:rsidR="006C06B1">
        <w:rPr>
          <w:b/>
          <w:szCs w:val="24"/>
          <w:lang w:eastAsia="en-US"/>
        </w:rPr>
        <w:t xml:space="preserve"> [Popr. 187]</w:t>
      </w:r>
    </w:p>
    <w:p w:rsidR="00524971" w:rsidRPr="006C06B1" w:rsidRDefault="00524971" w:rsidP="00524971">
      <w:pPr>
        <w:spacing w:before="120" w:after="120" w:line="360" w:lineRule="auto"/>
        <w:ind w:left="1416" w:hanging="566"/>
        <w:rPr>
          <w:b/>
          <w:szCs w:val="24"/>
          <w:lang w:eastAsia="en-US"/>
        </w:rPr>
      </w:pPr>
      <w:r w:rsidRPr="00524971">
        <w:rPr>
          <w:szCs w:val="24"/>
          <w:lang w:eastAsia="en-US"/>
        </w:rPr>
        <w:t>d</w:t>
      </w:r>
      <w:proofErr w:type="gramStart"/>
      <w:r w:rsidRPr="00524971">
        <w:rPr>
          <w:szCs w:val="24"/>
          <w:lang w:eastAsia="en-US"/>
        </w:rPr>
        <w:t>)</w:t>
      </w:r>
      <w:r w:rsidRPr="00524971">
        <w:rPr>
          <w:szCs w:val="24"/>
          <w:lang w:eastAsia="en-US"/>
        </w:rPr>
        <w:tab/>
        <w:t>analizę</w:t>
      </w:r>
      <w:proofErr w:type="gramEnd"/>
      <w:r w:rsidRPr="00524971">
        <w:rPr>
          <w:szCs w:val="24"/>
          <w:lang w:eastAsia="en-US"/>
        </w:rPr>
        <w:t xml:space="preserve"> luki </w:t>
      </w:r>
      <w:proofErr w:type="spellStart"/>
      <w:r w:rsidRPr="00524971">
        <w:rPr>
          <w:strike/>
          <w:szCs w:val="24"/>
          <w:lang w:eastAsia="en-US"/>
        </w:rPr>
        <w:t>pozostałej</w:t>
      </w:r>
      <w:r w:rsidRPr="00524971">
        <w:rPr>
          <w:b/>
          <w:i/>
          <w:szCs w:val="24"/>
          <w:lang w:eastAsia="en-US"/>
        </w:rPr>
        <w:t>na</w:t>
      </w:r>
      <w:proofErr w:type="spellEnd"/>
      <w:r w:rsidRPr="00524971">
        <w:rPr>
          <w:b/>
          <w:i/>
          <w:szCs w:val="24"/>
          <w:lang w:eastAsia="en-US"/>
        </w:rPr>
        <w:t xml:space="preserve"> drodze</w:t>
      </w:r>
      <w:r w:rsidRPr="00524971">
        <w:rPr>
          <w:szCs w:val="24"/>
          <w:lang w:eastAsia="en-US"/>
        </w:rPr>
        <w:t xml:space="preserve"> do osiągnięcia zdrowych gleb do 2050 r.</w:t>
      </w:r>
      <w:r w:rsidRPr="00524971">
        <w:rPr>
          <w:b/>
          <w:i/>
          <w:szCs w:val="24"/>
          <w:lang w:eastAsia="en-US"/>
        </w:rPr>
        <w:t xml:space="preserve"> oraz środków niezbędnych do tego celu</w:t>
      </w:r>
      <w:r w:rsidRPr="00524971">
        <w:rPr>
          <w:szCs w:val="24"/>
          <w:lang w:eastAsia="en-US"/>
        </w:rPr>
        <w:t>;</w:t>
      </w:r>
      <w:r w:rsidR="006C06B1">
        <w:rPr>
          <w:b/>
          <w:szCs w:val="24"/>
          <w:lang w:eastAsia="en-US"/>
        </w:rPr>
        <w:t xml:space="preserve"> [Popr. 188]</w:t>
      </w:r>
    </w:p>
    <w:p w:rsidR="006C06B1" w:rsidRDefault="006C06B1">
      <w:pPr>
        <w:widowControl/>
        <w:rPr>
          <w:szCs w:val="24"/>
          <w:lang w:eastAsia="en-US"/>
        </w:rPr>
      </w:pPr>
      <w:r>
        <w:rPr>
          <w:szCs w:val="24"/>
          <w:lang w:eastAsia="en-US"/>
        </w:rPr>
        <w:br w:type="page"/>
      </w:r>
    </w:p>
    <w:p w:rsidR="00524971" w:rsidRPr="00524971" w:rsidRDefault="00524971" w:rsidP="00524971">
      <w:pPr>
        <w:spacing w:before="120" w:after="120" w:line="360" w:lineRule="auto"/>
        <w:ind w:left="1416" w:hanging="566"/>
        <w:rPr>
          <w:szCs w:val="24"/>
          <w:lang w:eastAsia="en-US"/>
        </w:rPr>
      </w:pPr>
      <w:r w:rsidRPr="00524971">
        <w:rPr>
          <w:szCs w:val="24"/>
          <w:lang w:eastAsia="en-US"/>
        </w:rPr>
        <w:lastRenderedPageBreak/>
        <w:t>e</w:t>
      </w:r>
      <w:proofErr w:type="gramStart"/>
      <w:r w:rsidRPr="00524971">
        <w:rPr>
          <w:szCs w:val="24"/>
          <w:lang w:eastAsia="en-US"/>
        </w:rPr>
        <w:t>)</w:t>
      </w:r>
      <w:r w:rsidRPr="00524971">
        <w:rPr>
          <w:szCs w:val="24"/>
          <w:lang w:eastAsia="en-US"/>
        </w:rPr>
        <w:tab/>
        <w:t>analizę</w:t>
      </w:r>
      <w:proofErr w:type="gramEnd"/>
      <w:r w:rsidRPr="00524971">
        <w:rPr>
          <w:szCs w:val="24"/>
          <w:lang w:eastAsia="en-US"/>
        </w:rPr>
        <w:t xml:space="preserve"> ewentualnej potrzeby dostosowania do postępu naukowo-technicznego przepisów niniejszej dyrektywy, w szczególności w odniesieniu do następujących kwestii:</w:t>
      </w:r>
    </w:p>
    <w:p w:rsidR="00524971" w:rsidRPr="00524971" w:rsidRDefault="00524971" w:rsidP="00524971">
      <w:pPr>
        <w:spacing w:before="120" w:after="120" w:line="360" w:lineRule="auto"/>
        <w:ind w:left="1982" w:hanging="566"/>
        <w:rPr>
          <w:szCs w:val="24"/>
          <w:lang w:eastAsia="en-US"/>
        </w:rPr>
      </w:pPr>
      <w:r w:rsidRPr="00524971">
        <w:rPr>
          <w:szCs w:val="24"/>
          <w:lang w:eastAsia="en-US"/>
        </w:rPr>
        <w:t>(i</w:t>
      </w:r>
      <w:proofErr w:type="gramStart"/>
      <w:r w:rsidRPr="00524971">
        <w:rPr>
          <w:szCs w:val="24"/>
          <w:lang w:eastAsia="en-US"/>
        </w:rPr>
        <w:t>)</w:t>
      </w:r>
      <w:r w:rsidRPr="00524971">
        <w:rPr>
          <w:szCs w:val="24"/>
          <w:lang w:eastAsia="en-US"/>
        </w:rPr>
        <w:tab/>
        <w:t>definicji</w:t>
      </w:r>
      <w:proofErr w:type="gramEnd"/>
      <w:r w:rsidRPr="00524971">
        <w:rPr>
          <w:szCs w:val="24"/>
          <w:lang w:eastAsia="en-US"/>
        </w:rPr>
        <w:t xml:space="preserve"> zdrowych gleb;</w:t>
      </w:r>
    </w:p>
    <w:p w:rsidR="00524971" w:rsidRPr="006C06B1" w:rsidRDefault="00524971" w:rsidP="00524971">
      <w:pPr>
        <w:spacing w:before="120" w:after="120" w:line="360" w:lineRule="auto"/>
        <w:ind w:left="1982" w:hanging="566"/>
        <w:rPr>
          <w:b/>
          <w:szCs w:val="24"/>
          <w:lang w:eastAsia="en-US"/>
        </w:rPr>
      </w:pPr>
      <w:r w:rsidRPr="00524971">
        <w:rPr>
          <w:szCs w:val="24"/>
          <w:lang w:eastAsia="en-US"/>
        </w:rPr>
        <w:t>(ii</w:t>
      </w:r>
      <w:proofErr w:type="gramStart"/>
      <w:r w:rsidRPr="00524971">
        <w:rPr>
          <w:szCs w:val="24"/>
          <w:lang w:eastAsia="en-US"/>
        </w:rPr>
        <w:t>)</w:t>
      </w:r>
      <w:r w:rsidRPr="00524971">
        <w:rPr>
          <w:szCs w:val="24"/>
          <w:lang w:eastAsia="en-US"/>
        </w:rPr>
        <w:tab/>
        <w:t>ustanowienia</w:t>
      </w:r>
      <w:proofErr w:type="gramEnd"/>
      <w:r w:rsidRPr="00524971">
        <w:rPr>
          <w:szCs w:val="24"/>
          <w:lang w:eastAsia="en-US"/>
        </w:rPr>
        <w:t xml:space="preserve"> kryteriów dotyczących wskaźników glebowych wymienionych w załączniku I</w:t>
      </w:r>
      <w:r w:rsidRPr="00524971">
        <w:rPr>
          <w:strike/>
          <w:szCs w:val="24"/>
          <w:lang w:eastAsia="en-US"/>
        </w:rPr>
        <w:t xml:space="preserve"> część C</w:t>
      </w:r>
      <w:r w:rsidRPr="00524971">
        <w:rPr>
          <w:szCs w:val="24"/>
          <w:lang w:eastAsia="en-US"/>
        </w:rPr>
        <w:t>;</w:t>
      </w:r>
      <w:r w:rsidR="006C06B1">
        <w:rPr>
          <w:b/>
          <w:szCs w:val="24"/>
          <w:lang w:eastAsia="en-US"/>
        </w:rPr>
        <w:t xml:space="preserve"> [Popr. 189]</w:t>
      </w:r>
    </w:p>
    <w:p w:rsidR="00524971" w:rsidRPr="006C06B1" w:rsidRDefault="00524971" w:rsidP="00524971">
      <w:pPr>
        <w:spacing w:before="120" w:after="120" w:line="360" w:lineRule="auto"/>
        <w:ind w:left="1982" w:hanging="566"/>
        <w:rPr>
          <w:b/>
          <w:szCs w:val="24"/>
          <w:lang w:eastAsia="en-US"/>
        </w:rPr>
      </w:pPr>
      <w:r w:rsidRPr="00524971">
        <w:rPr>
          <w:szCs w:val="24"/>
          <w:lang w:eastAsia="en-US"/>
        </w:rPr>
        <w:t>(iii</w:t>
      </w:r>
      <w:proofErr w:type="gramStart"/>
      <w:r w:rsidRPr="00524971">
        <w:rPr>
          <w:szCs w:val="24"/>
          <w:lang w:eastAsia="en-US"/>
        </w:rPr>
        <w:t>)</w:t>
      </w:r>
      <w:r w:rsidRPr="00524971">
        <w:rPr>
          <w:szCs w:val="24"/>
          <w:lang w:eastAsia="en-US"/>
        </w:rPr>
        <w:tab/>
        <w:t>dodania</w:t>
      </w:r>
      <w:proofErr w:type="gramEnd"/>
      <w:r w:rsidRPr="00524971">
        <w:rPr>
          <w:szCs w:val="24"/>
          <w:lang w:eastAsia="en-US"/>
        </w:rPr>
        <w:t xml:space="preserve"> nowych wskaźników glebowych do celów monitorowania</w:t>
      </w:r>
      <w:r w:rsidRPr="00524971">
        <w:rPr>
          <w:strike/>
          <w:szCs w:val="24"/>
          <w:lang w:eastAsia="en-US"/>
        </w:rPr>
        <w:t>.</w:t>
      </w:r>
      <w:r w:rsidRPr="00524971">
        <w:rPr>
          <w:b/>
          <w:i/>
          <w:szCs w:val="24"/>
          <w:lang w:eastAsia="en-US"/>
        </w:rPr>
        <w:t xml:space="preserve"> </w:t>
      </w:r>
      <w:proofErr w:type="gramStart"/>
      <w:r w:rsidRPr="00524971">
        <w:rPr>
          <w:b/>
          <w:i/>
          <w:szCs w:val="24"/>
          <w:lang w:eastAsia="en-US"/>
        </w:rPr>
        <w:t>lub</w:t>
      </w:r>
      <w:proofErr w:type="gramEnd"/>
      <w:r w:rsidRPr="00524971">
        <w:rPr>
          <w:b/>
          <w:i/>
          <w:szCs w:val="24"/>
          <w:lang w:eastAsia="en-US"/>
        </w:rPr>
        <w:t xml:space="preserve"> dostosowania istniejących wskaźników glebowych i kryteriów zawartych w załączniku I;</w:t>
      </w:r>
      <w:r w:rsidR="006C06B1">
        <w:rPr>
          <w:b/>
          <w:szCs w:val="24"/>
          <w:lang w:eastAsia="en-US"/>
        </w:rPr>
        <w:t xml:space="preserve"> [Popr. 190]</w:t>
      </w:r>
    </w:p>
    <w:p w:rsidR="00524971" w:rsidRPr="006C06B1" w:rsidRDefault="00524971" w:rsidP="00524971">
      <w:pPr>
        <w:spacing w:before="120" w:after="120" w:line="360" w:lineRule="auto"/>
        <w:ind w:left="1416" w:hanging="566"/>
        <w:rPr>
          <w:b/>
          <w:szCs w:val="24"/>
          <w:lang w:eastAsia="en-US"/>
        </w:rPr>
      </w:pPr>
      <w:proofErr w:type="spellStart"/>
      <w:r w:rsidRPr="00524971">
        <w:rPr>
          <w:b/>
          <w:i/>
          <w:szCs w:val="24"/>
          <w:lang w:eastAsia="en-US"/>
        </w:rPr>
        <w:t>ea</w:t>
      </w:r>
      <w:proofErr w:type="spellEnd"/>
      <w:proofErr w:type="gramStart"/>
      <w:r w:rsidRPr="00524971">
        <w:rPr>
          <w:b/>
          <w:i/>
          <w:szCs w:val="24"/>
          <w:lang w:eastAsia="en-US"/>
        </w:rPr>
        <w:t>)</w:t>
      </w:r>
      <w:r w:rsidRPr="00524971">
        <w:rPr>
          <w:szCs w:val="24"/>
          <w:lang w:eastAsia="en-US"/>
        </w:rPr>
        <w:tab/>
      </w:r>
      <w:r w:rsidRPr="00524971">
        <w:rPr>
          <w:b/>
          <w:i/>
          <w:szCs w:val="24"/>
          <w:lang w:eastAsia="en-US"/>
        </w:rPr>
        <w:t>analizę</w:t>
      </w:r>
      <w:proofErr w:type="gramEnd"/>
      <w:r w:rsidRPr="00524971">
        <w:rPr>
          <w:b/>
          <w:i/>
          <w:szCs w:val="24"/>
          <w:lang w:eastAsia="en-US"/>
        </w:rPr>
        <w:t xml:space="preserve"> przewidzianych projektów monitorowania i wartości progowych ustalonych przez państwa członkowskie na mocy niniejszej dyrektywy;</w:t>
      </w:r>
      <w:r w:rsidR="006C06B1">
        <w:rPr>
          <w:b/>
          <w:szCs w:val="24"/>
          <w:lang w:eastAsia="en-US"/>
        </w:rPr>
        <w:t xml:space="preserve"> [Popr. 191]</w:t>
      </w:r>
    </w:p>
    <w:p w:rsidR="00524971" w:rsidRPr="006C06B1" w:rsidRDefault="00524971" w:rsidP="00524971">
      <w:pPr>
        <w:spacing w:before="120" w:after="120" w:line="360" w:lineRule="auto"/>
        <w:ind w:left="1416" w:hanging="566"/>
        <w:rPr>
          <w:b/>
          <w:szCs w:val="24"/>
          <w:lang w:eastAsia="en-US"/>
        </w:rPr>
      </w:pPr>
      <w:proofErr w:type="spellStart"/>
      <w:r w:rsidRPr="00524971">
        <w:rPr>
          <w:b/>
          <w:i/>
          <w:szCs w:val="24"/>
          <w:lang w:eastAsia="en-US"/>
        </w:rPr>
        <w:t>eb</w:t>
      </w:r>
      <w:proofErr w:type="spellEnd"/>
      <w:proofErr w:type="gramStart"/>
      <w:r w:rsidRPr="00524971">
        <w:rPr>
          <w:b/>
          <w:i/>
          <w:szCs w:val="24"/>
          <w:lang w:eastAsia="en-US"/>
        </w:rPr>
        <w:t>)</w:t>
      </w:r>
      <w:r w:rsidRPr="00524971">
        <w:rPr>
          <w:szCs w:val="24"/>
          <w:lang w:eastAsia="en-US"/>
        </w:rPr>
        <w:tab/>
      </w:r>
      <w:r w:rsidRPr="00524971">
        <w:rPr>
          <w:b/>
          <w:i/>
          <w:szCs w:val="24"/>
          <w:lang w:eastAsia="en-US"/>
        </w:rPr>
        <w:t>skutki</w:t>
      </w:r>
      <w:proofErr w:type="gramEnd"/>
      <w:r w:rsidRPr="00524971">
        <w:rPr>
          <w:b/>
          <w:i/>
          <w:szCs w:val="24"/>
          <w:lang w:eastAsia="en-US"/>
        </w:rPr>
        <w:t xml:space="preserve"> społeczno-gospodarcze niniejszej dyrektywy.</w:t>
      </w:r>
      <w:r w:rsidR="006C06B1">
        <w:rPr>
          <w:b/>
          <w:szCs w:val="24"/>
          <w:lang w:eastAsia="en-US"/>
        </w:rPr>
        <w:t xml:space="preserve"> [Popr. 192]</w:t>
      </w:r>
    </w:p>
    <w:p w:rsidR="00524971" w:rsidRPr="006C06B1" w:rsidRDefault="00524971" w:rsidP="00524971">
      <w:pPr>
        <w:spacing w:before="120" w:after="120" w:line="360" w:lineRule="auto"/>
        <w:ind w:left="850" w:hanging="850"/>
        <w:rPr>
          <w:b/>
          <w:szCs w:val="24"/>
          <w:lang w:eastAsia="en-US"/>
        </w:rPr>
      </w:pPr>
      <w:r w:rsidRPr="00524971">
        <w:rPr>
          <w:szCs w:val="24"/>
          <w:lang w:eastAsia="en-US"/>
        </w:rPr>
        <w:t>2.</w:t>
      </w:r>
      <w:r w:rsidRPr="00524971">
        <w:rPr>
          <w:szCs w:val="24"/>
          <w:lang w:eastAsia="en-US"/>
        </w:rPr>
        <w:tab/>
        <w:t>Komisja przedstawia sprawozdanie zawierające główne wyniki oceny, o której mowa w ust. 1</w:t>
      </w:r>
      <w:r w:rsidRPr="00524971">
        <w:rPr>
          <w:b/>
          <w:i/>
          <w:szCs w:val="24"/>
          <w:lang w:eastAsia="en-US"/>
        </w:rPr>
        <w:t>, a także – w stosownych przypadkach – wnioski ustawodawcze</w:t>
      </w:r>
      <w:r w:rsidRPr="00524971">
        <w:rPr>
          <w:szCs w:val="24"/>
          <w:lang w:eastAsia="en-US"/>
        </w:rPr>
        <w:t>, Parlamentowi Europejskiemu, Radzie, Europejskiemu Komitetowi Ekonomiczno-Społecznemu i Komitetowi Regionów.</w:t>
      </w:r>
      <w:r w:rsidR="006C06B1">
        <w:rPr>
          <w:b/>
          <w:szCs w:val="24"/>
          <w:lang w:eastAsia="en-US"/>
        </w:rPr>
        <w:t xml:space="preserve"> [Popr. 193]</w:t>
      </w:r>
    </w:p>
    <w:p w:rsidR="006C06B1" w:rsidRDefault="006C06B1">
      <w:pPr>
        <w:widowControl/>
        <w:rPr>
          <w:b/>
          <w:i/>
          <w:szCs w:val="24"/>
          <w:lang w:eastAsia="en-US"/>
        </w:rPr>
      </w:pPr>
      <w:r>
        <w:rPr>
          <w:b/>
          <w:i/>
          <w:szCs w:val="24"/>
          <w:lang w:eastAsia="en-US"/>
        </w:rPr>
        <w:br w:type="page"/>
      </w:r>
    </w:p>
    <w:p w:rsidR="00524971" w:rsidRPr="006C06B1" w:rsidRDefault="00524971" w:rsidP="00524971">
      <w:pPr>
        <w:spacing w:before="120" w:after="120" w:line="360" w:lineRule="auto"/>
        <w:ind w:left="850" w:hanging="850"/>
        <w:rPr>
          <w:b/>
          <w:szCs w:val="24"/>
          <w:lang w:eastAsia="en-US"/>
        </w:rPr>
      </w:pPr>
      <w:r w:rsidRPr="00524971">
        <w:rPr>
          <w:b/>
          <w:i/>
          <w:szCs w:val="24"/>
          <w:lang w:eastAsia="en-US"/>
        </w:rPr>
        <w:lastRenderedPageBreak/>
        <w:t>2a.</w:t>
      </w:r>
      <w:r w:rsidRPr="00524971">
        <w:rPr>
          <w:szCs w:val="24"/>
          <w:lang w:eastAsia="en-US"/>
        </w:rPr>
        <w:tab/>
      </w:r>
      <w:r w:rsidRPr="00524971">
        <w:rPr>
          <w:b/>
          <w:i/>
          <w:szCs w:val="24"/>
          <w:lang w:eastAsia="en-US"/>
        </w:rPr>
        <w:t>Od … [Urząd Publikacji: proszę wstawić datę osiem lat od daty wejścia w życie niniejszej dyrektywy], a następnie co pięć lat, Komisja składa Parlamentowi Europejskiemu i Radzie sprawozdanie z wykonania niniejszej dyrektywy, w tym na temat środków niezbędnych do wykonania niniejszej dyrektywy wprowadzonych przez państwa członkowskie. Sprawozdanie to obejmuje ogólną ocenę postępów poczynionych w kierunku osiągnięcia zdrowych gleb.</w:t>
      </w:r>
      <w:r w:rsidR="006C06B1">
        <w:rPr>
          <w:b/>
          <w:szCs w:val="24"/>
          <w:lang w:eastAsia="en-US"/>
        </w:rPr>
        <w:t xml:space="preserve"> [Popr. 194]</w:t>
      </w:r>
    </w:p>
    <w:p w:rsidR="00524971" w:rsidRPr="006C06B1" w:rsidRDefault="00524971" w:rsidP="00524971">
      <w:pPr>
        <w:spacing w:before="120" w:after="120" w:line="360" w:lineRule="auto"/>
        <w:ind w:left="850" w:hanging="850"/>
        <w:rPr>
          <w:b/>
          <w:szCs w:val="24"/>
          <w:lang w:eastAsia="en-US"/>
        </w:rPr>
      </w:pPr>
      <w:r w:rsidRPr="00524971">
        <w:rPr>
          <w:b/>
          <w:i/>
          <w:szCs w:val="24"/>
          <w:lang w:eastAsia="en-US"/>
        </w:rPr>
        <w:t>2b.</w:t>
      </w:r>
      <w:r w:rsidRPr="00524971">
        <w:rPr>
          <w:szCs w:val="24"/>
          <w:lang w:eastAsia="en-US"/>
        </w:rPr>
        <w:tab/>
      </w:r>
      <w:r w:rsidRPr="00524971">
        <w:rPr>
          <w:b/>
          <w:i/>
          <w:szCs w:val="24"/>
          <w:lang w:eastAsia="en-US"/>
        </w:rPr>
        <w:t>Do … [Urząd Publikacji: proszę wstawić datę sześć lat od daty wejścia w życie dyrektywy], w ramach oceny, o której mowa w ust. 1, Komisja oceni informacje zgromadzone w państwach członkowskich w odniesieniu do występowania, rozprzestrzeniania się i wartości substancji zanieczyszczających glebę w celu ustanowienia wykazu substancji priorytetowych, a następnie, w stosownych przypadkach, listy obserwacyjnej obejmującej substancje zanieczyszczające glebę.</w:t>
      </w:r>
      <w:r w:rsidR="006C06B1">
        <w:rPr>
          <w:b/>
          <w:szCs w:val="24"/>
          <w:lang w:eastAsia="en-US"/>
        </w:rPr>
        <w:t xml:space="preserve"> [Popr. 195]</w:t>
      </w:r>
    </w:p>
    <w:p w:rsidR="006C06B1" w:rsidRDefault="006C06B1">
      <w:pPr>
        <w:widowControl/>
        <w:rPr>
          <w:b/>
          <w:i/>
          <w:szCs w:val="24"/>
          <w:lang w:eastAsia="en-US"/>
        </w:rPr>
      </w:pPr>
      <w:r>
        <w:rPr>
          <w:b/>
          <w:i/>
          <w:szCs w:val="24"/>
          <w:lang w:eastAsia="en-US"/>
        </w:rPr>
        <w:br w:type="page"/>
      </w:r>
    </w:p>
    <w:p w:rsidR="00524971" w:rsidRPr="00524971" w:rsidRDefault="00524971" w:rsidP="00524971">
      <w:pPr>
        <w:spacing w:before="120" w:after="120" w:line="360" w:lineRule="auto"/>
        <w:jc w:val="center"/>
        <w:rPr>
          <w:szCs w:val="24"/>
          <w:lang w:eastAsia="en-US"/>
        </w:rPr>
      </w:pPr>
      <w:r w:rsidRPr="00524971">
        <w:rPr>
          <w:b/>
          <w:i/>
          <w:szCs w:val="24"/>
          <w:lang w:eastAsia="en-US"/>
        </w:rPr>
        <w:lastRenderedPageBreak/>
        <w:t>Artykuł 24a</w:t>
      </w:r>
      <w:r w:rsidRPr="00524971">
        <w:rPr>
          <w:szCs w:val="24"/>
          <w:lang w:eastAsia="en-US"/>
        </w:rPr>
        <w:br/>
      </w:r>
      <w:r w:rsidRPr="00524971">
        <w:rPr>
          <w:b/>
          <w:i/>
          <w:szCs w:val="24"/>
          <w:lang w:eastAsia="en-US"/>
        </w:rPr>
        <w:t>Forum obserwatorium UE ds. Gleb (EUSO)</w:t>
      </w:r>
    </w:p>
    <w:p w:rsidR="00524971" w:rsidRPr="006C06B1" w:rsidRDefault="00524971" w:rsidP="00524971">
      <w:pPr>
        <w:spacing w:before="120" w:after="120" w:line="360" w:lineRule="auto"/>
        <w:rPr>
          <w:b/>
          <w:szCs w:val="24"/>
          <w:lang w:eastAsia="en-US"/>
        </w:rPr>
      </w:pPr>
      <w:r w:rsidRPr="00524971">
        <w:rPr>
          <w:b/>
          <w:i/>
          <w:szCs w:val="24"/>
          <w:lang w:eastAsia="en-US"/>
        </w:rPr>
        <w:t>Za pośrednictwem forum EUSO Komisja ułatwia regularną współpracę między zainteresowanymi stronami, w tym właściwymi organami państw członkowskich na wszystkich odpowiednich szczeblach, podmiotami branżowymi, społeczeństwem obywatelskim i społecznością naukową. Forum EUSO ułatwia skoordynowane wdrażanie prawa i strategii politycznych Unii związanych z monitorowaniem zdrowia gleb i poprawą zdrowia gleb, między innymi przez wymianę doświadczeń i dobrych praktyk, w tym w zakresie praktyk zrównoważonego gospodarowania glebami i ich regeneracji, a także wymianę doświadczeń w zakresie praktyk gospodarowania glebami, których należy unikać.</w:t>
      </w:r>
      <w:r w:rsidR="006C06B1">
        <w:rPr>
          <w:b/>
          <w:szCs w:val="24"/>
          <w:lang w:eastAsia="en-US"/>
        </w:rPr>
        <w:t xml:space="preserve"> [Popr. 196]</w:t>
      </w:r>
    </w:p>
    <w:p w:rsidR="006C06B1" w:rsidRDefault="006C06B1">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25</w:t>
      </w:r>
      <w:r w:rsidRPr="00524971">
        <w:rPr>
          <w:szCs w:val="24"/>
          <w:lang w:eastAsia="en-US"/>
        </w:rPr>
        <w:br/>
        <w:t>Transpozycja</w:t>
      </w:r>
    </w:p>
    <w:p w:rsidR="00524971" w:rsidRPr="00524971" w:rsidRDefault="00524971" w:rsidP="00524971">
      <w:pPr>
        <w:spacing w:before="120" w:after="120" w:line="360" w:lineRule="auto"/>
        <w:ind w:left="850" w:hanging="850"/>
        <w:rPr>
          <w:szCs w:val="24"/>
          <w:lang w:eastAsia="en-US"/>
        </w:rPr>
      </w:pPr>
      <w:r w:rsidRPr="00524971">
        <w:rPr>
          <w:szCs w:val="24"/>
          <w:lang w:eastAsia="en-US"/>
        </w:rPr>
        <w:t>1.</w:t>
      </w:r>
      <w:r w:rsidRPr="00524971">
        <w:rPr>
          <w:szCs w:val="24"/>
          <w:lang w:eastAsia="en-US"/>
        </w:rPr>
        <w:tab/>
        <w:t>Państwa członkowskie wprowadzają w życie przepisy ustawowe, wykonawcze i administracyjne niezbędne do wykonania niniejszej dyrektywy do dnia … [Urząd Publikacji: proszę wstawić datę = dwa lata od daty wejścia w życie dyrektywy]. Niezwłocznie przekazują Komisji tekst tych przepisów.</w:t>
      </w:r>
    </w:p>
    <w:p w:rsidR="00524971" w:rsidRPr="00524971" w:rsidRDefault="00524971" w:rsidP="00524971">
      <w:pPr>
        <w:spacing w:before="120" w:after="120" w:line="360" w:lineRule="auto"/>
        <w:ind w:left="850"/>
        <w:rPr>
          <w:szCs w:val="24"/>
          <w:lang w:eastAsia="en-US"/>
        </w:rPr>
      </w:pPr>
      <w:r w:rsidRPr="00524971">
        <w:rPr>
          <w:szCs w:val="24"/>
          <w:lang w:eastAsia="en-US"/>
        </w:rPr>
        <w:t>Przepisy przyjęte przez państwa członkowskie zawierają odniesienie do niniejszej dyrektywy lub odniesienie takie towarzyszy ich urzędowej publikacji. Metody dokonywania takiego odniesienia określane są przez państwa członkowskie.</w:t>
      </w:r>
    </w:p>
    <w:p w:rsidR="00524971" w:rsidRPr="00524971" w:rsidRDefault="00524971" w:rsidP="00524971">
      <w:pPr>
        <w:spacing w:before="120" w:after="120" w:line="360" w:lineRule="auto"/>
        <w:ind w:left="850" w:hanging="850"/>
        <w:rPr>
          <w:szCs w:val="24"/>
          <w:lang w:eastAsia="en-US"/>
        </w:rPr>
      </w:pPr>
      <w:r w:rsidRPr="00524971">
        <w:rPr>
          <w:szCs w:val="24"/>
          <w:lang w:eastAsia="en-US"/>
        </w:rPr>
        <w:t>2.</w:t>
      </w:r>
      <w:r w:rsidRPr="00524971">
        <w:rPr>
          <w:szCs w:val="24"/>
          <w:lang w:eastAsia="en-US"/>
        </w:rPr>
        <w:tab/>
        <w:t>Państwa członkowskie przekazują Komisji tekst podstawowych przepisów prawa krajowego przyjętych w dziedzinie objętej niniejszą dyrektywą.</w:t>
      </w:r>
    </w:p>
    <w:p w:rsidR="006C06B1" w:rsidRDefault="006C06B1">
      <w:pPr>
        <w:widowControl/>
        <w:rPr>
          <w:szCs w:val="24"/>
          <w:lang w:eastAsia="en-US"/>
        </w:rPr>
      </w:pPr>
      <w:r>
        <w:rPr>
          <w:szCs w:val="24"/>
          <w:lang w:eastAsia="en-US"/>
        </w:rPr>
        <w:br w:type="page"/>
      </w:r>
    </w:p>
    <w:p w:rsidR="00524971" w:rsidRPr="00524971" w:rsidRDefault="00524971" w:rsidP="00524971">
      <w:pPr>
        <w:spacing w:before="120" w:after="120" w:line="360" w:lineRule="auto"/>
        <w:jc w:val="center"/>
        <w:rPr>
          <w:szCs w:val="24"/>
          <w:lang w:eastAsia="en-US"/>
        </w:rPr>
      </w:pPr>
      <w:r w:rsidRPr="00524971">
        <w:rPr>
          <w:szCs w:val="24"/>
          <w:lang w:eastAsia="en-US"/>
        </w:rPr>
        <w:lastRenderedPageBreak/>
        <w:t>Artykuł 26</w:t>
      </w:r>
      <w:r w:rsidRPr="00524971">
        <w:rPr>
          <w:szCs w:val="24"/>
          <w:lang w:eastAsia="en-US"/>
        </w:rPr>
        <w:br/>
        <w:t>Wejście w życie</w:t>
      </w:r>
    </w:p>
    <w:p w:rsidR="00524971" w:rsidRPr="00524971" w:rsidRDefault="00524971" w:rsidP="00524971">
      <w:pPr>
        <w:spacing w:before="120" w:after="120" w:line="360" w:lineRule="auto"/>
        <w:rPr>
          <w:szCs w:val="24"/>
          <w:lang w:eastAsia="en-US"/>
        </w:rPr>
      </w:pPr>
      <w:r w:rsidRPr="00524971">
        <w:rPr>
          <w:szCs w:val="24"/>
          <w:lang w:eastAsia="en-US"/>
        </w:rPr>
        <w:t xml:space="preserve">Niniejsza dyrektywa wchodzi w życie dwudziestego dnia po jej opublikowaniu w </w:t>
      </w:r>
      <w:bookmarkStart w:id="15" w:name="_GoBack"/>
      <w:r w:rsidRPr="00992D11">
        <w:rPr>
          <w:i/>
          <w:szCs w:val="24"/>
          <w:lang w:eastAsia="en-US"/>
        </w:rPr>
        <w:t>Dzienniku Urzędowym Unii Europejskiej</w:t>
      </w:r>
      <w:bookmarkEnd w:id="15"/>
      <w:r w:rsidRPr="00524971">
        <w:rPr>
          <w:szCs w:val="24"/>
          <w:lang w:eastAsia="en-US"/>
        </w:rPr>
        <w:t>.</w:t>
      </w:r>
    </w:p>
    <w:p w:rsidR="00524971" w:rsidRPr="00524971" w:rsidRDefault="00524971" w:rsidP="00524971">
      <w:pPr>
        <w:spacing w:before="120" w:after="120" w:line="360" w:lineRule="auto"/>
        <w:jc w:val="center"/>
        <w:rPr>
          <w:szCs w:val="24"/>
          <w:lang w:eastAsia="en-US"/>
        </w:rPr>
      </w:pPr>
      <w:r w:rsidRPr="00524971">
        <w:rPr>
          <w:szCs w:val="24"/>
          <w:lang w:eastAsia="en-US"/>
        </w:rPr>
        <w:t>Artykuł 27</w:t>
      </w:r>
      <w:r w:rsidRPr="00524971">
        <w:rPr>
          <w:szCs w:val="24"/>
          <w:lang w:eastAsia="en-US"/>
        </w:rPr>
        <w:br/>
        <w:t>Adresaci</w:t>
      </w:r>
    </w:p>
    <w:p w:rsidR="00524971" w:rsidRPr="00524971" w:rsidRDefault="00524971" w:rsidP="00524971">
      <w:pPr>
        <w:spacing w:before="120" w:after="120" w:line="360" w:lineRule="auto"/>
        <w:rPr>
          <w:szCs w:val="24"/>
          <w:lang w:eastAsia="en-US"/>
        </w:rPr>
      </w:pPr>
      <w:r w:rsidRPr="00524971">
        <w:rPr>
          <w:szCs w:val="24"/>
          <w:lang w:eastAsia="en-US"/>
        </w:rPr>
        <w:t>Niniejsza dyrektywa skierowana jest do państw członkowskich.</w:t>
      </w:r>
    </w:p>
    <w:p w:rsidR="00524971" w:rsidRPr="00524971" w:rsidRDefault="00524971" w:rsidP="00524971">
      <w:pPr>
        <w:keepNext/>
        <w:widowControl/>
        <w:spacing w:before="120" w:line="360" w:lineRule="auto"/>
        <w:rPr>
          <w:szCs w:val="24"/>
          <w:lang w:eastAsia="en-US"/>
        </w:rPr>
      </w:pPr>
      <w:r w:rsidRPr="00524971">
        <w:rPr>
          <w:szCs w:val="24"/>
          <w:lang w:eastAsia="en-US"/>
        </w:rPr>
        <w:t xml:space="preserve">Sporządzono w </w:t>
      </w:r>
      <w:r w:rsidR="00992D11">
        <w:rPr>
          <w:szCs w:val="24"/>
          <w:lang w:eastAsia="en-US"/>
        </w:rPr>
        <w:t>…</w:t>
      </w:r>
      <w:r w:rsidRPr="00524971">
        <w:rPr>
          <w:szCs w:val="24"/>
          <w:lang w:eastAsia="en-US"/>
        </w:rPr>
        <w:t xml:space="preserve"> dnia […] r.</w:t>
      </w:r>
    </w:p>
    <w:p w:rsidR="00524971" w:rsidRPr="00524971" w:rsidRDefault="00524971" w:rsidP="00524971">
      <w:pPr>
        <w:keepNext/>
        <w:widowControl/>
        <w:tabs>
          <w:tab w:val="left" w:pos="4252"/>
        </w:tabs>
        <w:spacing w:before="720" w:after="100" w:line="360" w:lineRule="auto"/>
        <w:jc w:val="both"/>
        <w:rPr>
          <w:i/>
          <w:szCs w:val="24"/>
          <w:lang w:eastAsia="en-US"/>
        </w:rPr>
      </w:pPr>
      <w:r w:rsidRPr="00524971">
        <w:rPr>
          <w:i/>
          <w:szCs w:val="24"/>
          <w:lang w:eastAsia="en-US"/>
        </w:rPr>
        <w:t>W imieniu Parlamentu Europejskiego</w:t>
      </w:r>
      <w:r w:rsidRPr="00524971">
        <w:rPr>
          <w:i/>
          <w:szCs w:val="24"/>
          <w:lang w:eastAsia="en-US"/>
        </w:rPr>
        <w:tab/>
        <w:t>W imieniu Rady</w:t>
      </w:r>
    </w:p>
    <w:p w:rsidR="00524971" w:rsidRPr="00524971" w:rsidRDefault="00524971" w:rsidP="00524971">
      <w:pPr>
        <w:widowControl/>
        <w:tabs>
          <w:tab w:val="left" w:pos="4252"/>
        </w:tabs>
        <w:spacing w:line="360" w:lineRule="auto"/>
        <w:rPr>
          <w:i/>
          <w:szCs w:val="24"/>
          <w:lang w:eastAsia="en-US"/>
        </w:rPr>
      </w:pPr>
      <w:r w:rsidRPr="00524971">
        <w:rPr>
          <w:i/>
          <w:szCs w:val="24"/>
          <w:lang w:eastAsia="en-US"/>
        </w:rPr>
        <w:t>Przewodnicząca</w:t>
      </w:r>
      <w:r w:rsidRPr="00524971">
        <w:rPr>
          <w:i/>
          <w:szCs w:val="24"/>
          <w:lang w:eastAsia="en-US"/>
        </w:rPr>
        <w:tab/>
        <w:t>Przewodniczący</w:t>
      </w:r>
    </w:p>
    <w:p w:rsidR="00524971" w:rsidRPr="00524971" w:rsidRDefault="00524971" w:rsidP="00524971">
      <w:pPr>
        <w:spacing w:before="120" w:after="120" w:line="360" w:lineRule="auto"/>
        <w:rPr>
          <w:szCs w:val="24"/>
          <w:lang w:eastAsia="en-US"/>
        </w:rPr>
        <w:sectPr w:rsidR="00524971" w:rsidRPr="00524971">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524971" w:rsidRPr="00524971" w:rsidRDefault="00524971" w:rsidP="00524971">
      <w:pPr>
        <w:spacing w:before="120" w:after="120" w:line="360" w:lineRule="auto"/>
        <w:rPr>
          <w:szCs w:val="24"/>
          <w:lang w:eastAsia="en-US"/>
        </w:rPr>
      </w:pPr>
    </w:p>
    <w:p w:rsidR="00524971" w:rsidRPr="00524971" w:rsidRDefault="00524971" w:rsidP="00524971">
      <w:pPr>
        <w:widowControl/>
        <w:spacing w:before="120" w:after="120"/>
        <w:jc w:val="center"/>
        <w:rPr>
          <w:rFonts w:ascii="Symbol" w:eastAsia="Calibri" w:hAnsi="Symbol"/>
          <w:b/>
          <w:noProof/>
          <w:szCs w:val="24"/>
          <w:lang w:eastAsia="en-US"/>
        </w:rPr>
      </w:pPr>
      <w:r w:rsidRPr="00524971">
        <w:rPr>
          <w:rFonts w:eastAsia="Calibri"/>
          <w:noProof/>
          <w:szCs w:val="24"/>
          <w:lang w:eastAsia="en-US"/>
        </w:rPr>
        <w:t xml:space="preserve">ZAŁĄCZNIK I </w:t>
      </w:r>
      <w:r w:rsidRPr="00524971">
        <w:rPr>
          <w:rFonts w:eastAsia="Calibri"/>
          <w:noProof/>
          <w:szCs w:val="24"/>
          <w:lang w:eastAsia="en-US"/>
        </w:rPr>
        <w:br/>
        <w:t xml:space="preserve"> </w:t>
      </w:r>
      <w:r w:rsidRPr="00524971">
        <w:rPr>
          <w:rFonts w:eastAsia="Calibri"/>
          <w:noProof/>
          <w:szCs w:val="24"/>
          <w:lang w:eastAsia="en-US"/>
        </w:rPr>
        <w:br/>
        <w:t xml:space="preserve">WSKAŹNIKI GLEBOWE, KRYTERIA </w:t>
      </w:r>
      <w:r w:rsidRPr="00524971">
        <w:rPr>
          <w:rFonts w:eastAsia="Calibri"/>
          <w:strike/>
          <w:noProof/>
          <w:szCs w:val="24"/>
          <w:lang w:eastAsia="en-US"/>
        </w:rPr>
        <w:t>ZDROWEGO</w:t>
      </w:r>
      <w:r w:rsidRPr="00524971">
        <w:rPr>
          <w:rFonts w:eastAsia="Calibri"/>
          <w:noProof/>
          <w:szCs w:val="24"/>
          <w:lang w:eastAsia="en-US"/>
        </w:rPr>
        <w:t xml:space="preserve"> </w:t>
      </w:r>
      <w:r w:rsidRPr="00524971">
        <w:rPr>
          <w:rFonts w:eastAsia="Calibri"/>
          <w:b/>
          <w:i/>
          <w:szCs w:val="22"/>
          <w:lang w:eastAsia="en-US"/>
        </w:rPr>
        <w:t>I METODY OKREŚLANIA</w:t>
      </w:r>
      <w:r w:rsidRPr="00524971">
        <w:rPr>
          <w:rFonts w:eastAsia="Calibri"/>
          <w:b/>
          <w:i/>
          <w:szCs w:val="22"/>
          <w:u w:val="single"/>
          <w:lang w:eastAsia="en-US"/>
        </w:rPr>
        <w:t xml:space="preserve"> </w:t>
      </w:r>
      <w:r w:rsidRPr="00524971">
        <w:rPr>
          <w:rFonts w:eastAsia="Calibri"/>
          <w:noProof/>
          <w:szCs w:val="24"/>
          <w:lang w:eastAsia="en-US"/>
        </w:rPr>
        <w:t xml:space="preserve">STANU </w:t>
      </w:r>
      <w:r w:rsidRPr="00524971">
        <w:rPr>
          <w:rFonts w:eastAsia="Calibri"/>
          <w:b/>
          <w:i/>
          <w:szCs w:val="22"/>
          <w:lang w:eastAsia="en-US"/>
        </w:rPr>
        <w:t xml:space="preserve">EKOLOGICZNEGO </w:t>
      </w:r>
      <w:r w:rsidRPr="00524971">
        <w:rPr>
          <w:rFonts w:eastAsia="Calibri"/>
          <w:noProof/>
          <w:szCs w:val="24"/>
          <w:lang w:eastAsia="en-US"/>
        </w:rPr>
        <w:t xml:space="preserve">GLEBY ORAZ WSKAŹNIKI PRZEJMOWANIA GRUNTÓW I USZCZELNIANIA GLEBY </w:t>
      </w:r>
      <w:r w:rsidRPr="00524971">
        <w:rPr>
          <w:rFonts w:eastAsia="Calibri"/>
          <w:b/>
          <w:noProof/>
          <w:szCs w:val="24"/>
          <w:lang w:eastAsia="en-US"/>
        </w:rPr>
        <w:t xml:space="preserve"> [Popr. 197 ]</w:t>
      </w:r>
    </w:p>
    <w:p w:rsidR="00524971" w:rsidRPr="00524971" w:rsidRDefault="00524971" w:rsidP="00524971">
      <w:pPr>
        <w:spacing w:before="120" w:after="120"/>
        <w:rPr>
          <w:noProof/>
          <w:szCs w:val="24"/>
          <w:lang w:eastAsia="en-US"/>
        </w:rPr>
      </w:pPr>
      <w:r w:rsidRPr="00524971">
        <w:rPr>
          <w:noProof/>
          <w:szCs w:val="24"/>
          <w:lang w:eastAsia="en-US"/>
        </w:rPr>
        <w:t>Do celów niniejszego załącznika stosuje się następujące definicje:</w:t>
      </w:r>
    </w:p>
    <w:p w:rsidR="00524971" w:rsidRPr="00524971" w:rsidRDefault="00524971" w:rsidP="00524971">
      <w:pPr>
        <w:widowControl/>
        <w:spacing w:before="120" w:after="120"/>
        <w:ind w:left="850" w:hanging="850"/>
        <w:jc w:val="both"/>
        <w:rPr>
          <w:rFonts w:eastAsia="Calibri"/>
          <w:noProof/>
          <w:szCs w:val="24"/>
          <w:lang w:eastAsia="en-US"/>
        </w:rPr>
      </w:pPr>
      <w:r w:rsidRPr="00524971">
        <w:rPr>
          <w:rFonts w:eastAsia="Calibri"/>
          <w:noProof/>
          <w:szCs w:val="24"/>
          <w:lang w:eastAsia="en-US"/>
        </w:rPr>
        <w:t>1)</w:t>
      </w:r>
      <w:r w:rsidRPr="00524971">
        <w:rPr>
          <w:rFonts w:eastAsia="Calibri"/>
          <w:noProof/>
          <w:szCs w:val="24"/>
          <w:lang w:eastAsia="en-US"/>
        </w:rPr>
        <w:tab/>
        <w:t>„odwrotne przejmowanie gruntów” oznacza przekształcanie gruntów sztucznych w grunty naturalne lub półnaturalne;</w:t>
      </w:r>
    </w:p>
    <w:p w:rsidR="00524971" w:rsidRPr="00524971" w:rsidRDefault="00524971" w:rsidP="00524971">
      <w:pPr>
        <w:widowControl/>
        <w:spacing w:before="120" w:after="120"/>
        <w:ind w:left="850" w:hanging="850"/>
        <w:jc w:val="both"/>
        <w:rPr>
          <w:rFonts w:eastAsia="Calibri"/>
          <w:noProof/>
          <w:szCs w:val="24"/>
          <w:lang w:eastAsia="en-US"/>
        </w:rPr>
      </w:pPr>
      <w:r w:rsidRPr="00524971">
        <w:rPr>
          <w:rFonts w:eastAsia="Calibri"/>
          <w:noProof/>
          <w:szCs w:val="24"/>
          <w:lang w:eastAsia="en-US"/>
        </w:rPr>
        <w:t>2)</w:t>
      </w:r>
      <w:r w:rsidRPr="00524971">
        <w:rPr>
          <w:rFonts w:eastAsia="Calibri"/>
          <w:noProof/>
          <w:szCs w:val="24"/>
          <w:lang w:eastAsia="en-US"/>
        </w:rPr>
        <w:tab/>
        <w:t>„przejmowanie gruntów netto” oznacza wynik przejmowania gruntów pomniejszony o odwrotne przejmowanie gruntów.</w:t>
      </w:r>
    </w:p>
    <w:tbl>
      <w:tblPr>
        <w:tblStyle w:val="TableGrid1"/>
        <w:tblW w:w="9039" w:type="dxa"/>
        <w:tblLook w:val="04A0" w:firstRow="1" w:lastRow="0" w:firstColumn="1" w:lastColumn="0" w:noHBand="0" w:noVBand="1"/>
      </w:tblPr>
      <w:tblGrid>
        <w:gridCol w:w="1570"/>
        <w:gridCol w:w="1776"/>
        <w:gridCol w:w="3032"/>
        <w:gridCol w:w="2661"/>
      </w:tblGrid>
      <w:tr w:rsidR="00524971" w:rsidRPr="008E1614" w:rsidTr="00524971">
        <w:trPr>
          <w:trHeight w:val="300"/>
          <w:tblHeader/>
        </w:trPr>
        <w:tc>
          <w:tcPr>
            <w:tcW w:w="158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lastRenderedPageBreak/>
              <w:t>Aspekt degradacji gleby</w:t>
            </w:r>
          </w:p>
        </w:tc>
        <w:tc>
          <w:tcPr>
            <w:tcW w:w="159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t>Wskaźnik glebowe</w:t>
            </w:r>
          </w:p>
        </w:tc>
        <w:tc>
          <w:tcPr>
            <w:tcW w:w="30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t xml:space="preserve">Kryteria zdrowego stanu gleby </w:t>
            </w:r>
          </w:p>
        </w:tc>
        <w:tc>
          <w:tcPr>
            <w:tcW w:w="279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rPr>
            </w:pPr>
            <w:r w:rsidRPr="008E1614">
              <w:rPr>
                <w:rFonts w:ascii="Times New Roman" w:hAnsi="Times New Roman"/>
                <w:b/>
                <w:strike/>
                <w:noProof/>
                <w:szCs w:val="24"/>
              </w:rPr>
              <w:t>Obszary lądowe, które są wyłączone z osiągnięcia powiązanego kryterium</w:t>
            </w:r>
          </w:p>
        </w:tc>
      </w:tr>
      <w:tr w:rsidR="00524971" w:rsidRPr="008E1614" w:rsidTr="00524971">
        <w:trPr>
          <w:trHeight w:val="300"/>
          <w:tblHeader/>
        </w:trPr>
        <w:tc>
          <w:tcPr>
            <w:tcW w:w="9039" w:type="dxa"/>
            <w:gridSpan w:val="4"/>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b/>
                <w:i/>
                <w:strike/>
                <w:noProof/>
                <w:szCs w:val="24"/>
              </w:rPr>
            </w:pPr>
            <w:r w:rsidRPr="008E1614">
              <w:rPr>
                <w:rFonts w:ascii="Times New Roman" w:hAnsi="Times New Roman"/>
                <w:b/>
                <w:i/>
                <w:strike/>
                <w:noProof/>
                <w:szCs w:val="24"/>
              </w:rPr>
              <w:t>Część A: wskaźniki glebowe z kryteriami zdrowego stanu gleby ustanowionymi na szczeblu Unii</w:t>
            </w:r>
          </w:p>
        </w:tc>
      </w:tr>
      <w:tr w:rsidR="00524971" w:rsidRPr="008E1614" w:rsidTr="00524971">
        <w:trPr>
          <w:trHeight w:val="300"/>
          <w:tblHeader/>
        </w:trPr>
        <w:tc>
          <w:tcPr>
            <w:tcW w:w="158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Zasolenie</w:t>
            </w:r>
          </w:p>
        </w:tc>
        <w:tc>
          <w:tcPr>
            <w:tcW w:w="159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rPr>
            </w:pPr>
            <w:r w:rsidRPr="008E1614">
              <w:rPr>
                <w:rFonts w:ascii="Times New Roman" w:hAnsi="Times New Roman"/>
                <w:strike/>
                <w:noProof/>
                <w:szCs w:val="24"/>
              </w:rPr>
              <w:t>Przewodność elektryczna (w decysiemensach na metr)</w:t>
            </w:r>
          </w:p>
        </w:tc>
        <w:tc>
          <w:tcPr>
            <w:tcW w:w="30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rPr>
            </w:pPr>
            <w:r w:rsidRPr="008E1614">
              <w:rPr>
                <w:rFonts w:ascii="Times New Roman" w:hAnsi="Times New Roman"/>
                <w:strike/>
                <w:noProof/>
                <w:szCs w:val="24"/>
              </w:rPr>
              <w:t xml:space="preserve"> &lt; 4 dS m</w:t>
            </w:r>
            <w:r w:rsidRPr="008E1614">
              <w:rPr>
                <w:rFonts w:ascii="Times New Roman" w:hAnsi="Times New Roman"/>
                <w:strike/>
                <w:noProof/>
                <w:szCs w:val="24"/>
                <w:vertAlign w:val="superscript"/>
              </w:rPr>
              <w:t>−1</w:t>
            </w:r>
            <w:r w:rsidRPr="008E1614">
              <w:rPr>
                <w:rFonts w:ascii="Times New Roman" w:hAnsi="Times New Roman"/>
                <w:strike/>
                <w:noProof/>
                <w:szCs w:val="24"/>
              </w:rPr>
              <w:t xml:space="preserve"> w przypadku stosowania metody pomiaru nasyconego ekstraktu glebowego (eEC) lub równoważne kryterium w przypadku stosowania innej metody pomiaru</w:t>
            </w:r>
          </w:p>
        </w:tc>
        <w:tc>
          <w:tcPr>
            <w:tcW w:w="279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Naturalnie zasolone obszary lądowe; </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obszary lądowe bezpośrednio dotknięte podnoszeniem się poziomu mórz i oceanów</w:t>
            </w:r>
          </w:p>
        </w:tc>
      </w:tr>
      <w:tr w:rsidR="00524971" w:rsidRPr="008E1614" w:rsidTr="00524971">
        <w:trPr>
          <w:trHeight w:val="300"/>
          <w:tblHeader/>
        </w:trPr>
        <w:tc>
          <w:tcPr>
            <w:tcW w:w="158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Erozja gleby</w:t>
            </w:r>
          </w:p>
        </w:tc>
        <w:tc>
          <w:tcPr>
            <w:tcW w:w="159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Wskaźnik erozji gleby</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(w tonach na hektar rocznie)</w:t>
            </w:r>
          </w:p>
        </w:tc>
        <w:tc>
          <w:tcPr>
            <w:tcW w:w="30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strike/>
                <w:noProof/>
                <w:szCs w:val="24"/>
                <w:lang w:val="en-US"/>
              </w:rPr>
              <w:t>≤ 2 t ha</w:t>
            </w:r>
            <w:r w:rsidRPr="008E1614">
              <w:rPr>
                <w:rFonts w:ascii="Times New Roman" w:hAnsi="Times New Roman"/>
                <w:strike/>
                <w:noProof/>
                <w:szCs w:val="24"/>
                <w:vertAlign w:val="superscript"/>
                <w:lang w:val="en-US"/>
              </w:rPr>
              <w:t>-1</w:t>
            </w:r>
            <w:r w:rsidRPr="008E1614">
              <w:rPr>
                <w:rFonts w:ascii="Times New Roman" w:hAnsi="Times New Roman"/>
                <w:strike/>
                <w:noProof/>
                <w:szCs w:val="24"/>
                <w:lang w:val="en-US"/>
              </w:rPr>
              <w:t xml:space="preserve"> r</w:t>
            </w:r>
            <w:r w:rsidRPr="008E1614">
              <w:rPr>
                <w:rFonts w:ascii="Times New Roman" w:hAnsi="Times New Roman"/>
                <w:strike/>
                <w:noProof/>
                <w:szCs w:val="24"/>
                <w:vertAlign w:val="superscript"/>
                <w:lang w:val="en-US"/>
              </w:rPr>
              <w:t>-1</w:t>
            </w:r>
            <w:r w:rsidRPr="008E1614">
              <w:rPr>
                <w:rFonts w:ascii="Times New Roman" w:hAnsi="Times New Roman"/>
                <w:strike/>
                <w:noProof/>
                <w:szCs w:val="24"/>
                <w:lang w:val="en-US"/>
              </w:rPr>
              <w:t xml:space="preserve"> </w:t>
            </w:r>
          </w:p>
        </w:tc>
        <w:tc>
          <w:tcPr>
            <w:tcW w:w="279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rPr>
            </w:pPr>
            <w:r w:rsidRPr="008E1614">
              <w:rPr>
                <w:rFonts w:ascii="Times New Roman" w:hAnsi="Times New Roman"/>
                <w:strike/>
                <w:noProof/>
                <w:szCs w:val="24"/>
              </w:rPr>
              <w:t>Badlandy i inne niezagospodarowane obszary gruntów naturalnych, o ile nie dotyczy ich znaczące ryzyko związane z klęskami żywiołowymi</w:t>
            </w:r>
          </w:p>
        </w:tc>
      </w:tr>
      <w:tr w:rsidR="00524971" w:rsidRPr="008E1614" w:rsidTr="00524971">
        <w:trPr>
          <w:trHeight w:val="846"/>
          <w:tblHeader/>
        </w:trPr>
        <w:tc>
          <w:tcPr>
            <w:tcW w:w="1589" w:type="dxa"/>
            <w:vMerge w:val="restart"/>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Utrata węgla organicznego w glebie</w:t>
            </w:r>
          </w:p>
        </w:tc>
        <w:tc>
          <w:tcPr>
            <w:tcW w:w="1599" w:type="dxa"/>
            <w:vMerge w:val="restart"/>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Stężenie węgla organicznego w glebie (SOC) (w g na kg)</w:t>
            </w:r>
          </w:p>
          <w:p w:rsidR="00524971" w:rsidRPr="008E1614" w:rsidRDefault="00524971" w:rsidP="008E1614">
            <w:pPr>
              <w:spacing w:before="120" w:after="120"/>
              <w:rPr>
                <w:rFonts w:ascii="Times New Roman" w:hAnsi="Times New Roman"/>
                <w:strike/>
                <w:noProof/>
                <w:szCs w:val="24"/>
              </w:rPr>
            </w:pPr>
          </w:p>
        </w:tc>
        <w:tc>
          <w:tcPr>
            <w:tcW w:w="30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W przypadku gleb organicznych: przestrzeganie celów określonych dla takich gleb na szczeblu krajowym zgodnie z art. 4 ust. 1, art. 4 ust. 2, art. 9 ust. 4 rozporządzenia (UE) …/…</w:t>
            </w:r>
            <w:r w:rsidRPr="008E1614">
              <w:rPr>
                <w:rFonts w:ascii="Times New Roman" w:hAnsi="Times New Roman"/>
                <w:strike/>
                <w:noProof/>
                <w:szCs w:val="24"/>
                <w:vertAlign w:val="superscript"/>
              </w:rPr>
              <w:footnoteReference w:customMarkFollows="1" w:id="58"/>
              <w:t>+</w:t>
            </w:r>
            <w:r w:rsidRPr="008E1614">
              <w:rPr>
                <w:rFonts w:ascii="Times New Roman" w:hAnsi="Times New Roman"/>
                <w:strike/>
                <w:noProof/>
                <w:szCs w:val="24"/>
              </w:rPr>
              <w:t xml:space="preserve"> </w:t>
            </w:r>
          </w:p>
        </w:tc>
        <w:tc>
          <w:tcPr>
            <w:tcW w:w="279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Brak wyłączenia</w:t>
            </w:r>
          </w:p>
        </w:tc>
      </w:tr>
      <w:tr w:rsidR="00524971" w:rsidRPr="008E1614" w:rsidTr="00524971">
        <w:trPr>
          <w:trHeight w:val="274"/>
          <w:tblHeader/>
        </w:trPr>
        <w:tc>
          <w:tcPr>
            <w:tcW w:w="1589" w:type="dxa"/>
            <w:vMerge/>
            <w:vAlign w:val="center"/>
            <w:hideMark/>
          </w:tcPr>
          <w:p w:rsidR="00524971" w:rsidRPr="008E1614" w:rsidRDefault="00524971" w:rsidP="008E1614">
            <w:pPr>
              <w:spacing w:before="120" w:after="120"/>
              <w:rPr>
                <w:rFonts w:ascii="Times New Roman" w:hAnsi="Times New Roman"/>
                <w:strike/>
                <w:noProof/>
                <w:szCs w:val="24"/>
                <w:lang w:val="en-US"/>
              </w:rPr>
            </w:pPr>
          </w:p>
        </w:tc>
        <w:tc>
          <w:tcPr>
            <w:tcW w:w="1599" w:type="dxa"/>
            <w:vMerge/>
            <w:vAlign w:val="center"/>
            <w:hideMark/>
          </w:tcPr>
          <w:p w:rsidR="00524971" w:rsidRPr="008E1614" w:rsidRDefault="00524971" w:rsidP="008E1614">
            <w:pPr>
              <w:spacing w:before="120" w:after="120"/>
              <w:rPr>
                <w:rFonts w:ascii="Times New Roman" w:hAnsi="Times New Roman"/>
                <w:strike/>
                <w:noProof/>
                <w:szCs w:val="24"/>
                <w:lang w:val="en-US"/>
              </w:rPr>
            </w:pPr>
          </w:p>
        </w:tc>
        <w:tc>
          <w:tcPr>
            <w:tcW w:w="30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 W przypadku gleb mineralnych: stosunek węgla organicznego w glebie do gliny &gt; 1/13; </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Państwa członkowskie mogą stosować współczynnik korygujący, jeżeli uzasadniają to szczególne typy gleby lub warunki klimatyczne, z uwzględnieniem rzeczywistej zawartości węgla organicznego w glebie na trwałych użytkach zielonych.</w:t>
            </w:r>
          </w:p>
        </w:tc>
        <w:tc>
          <w:tcPr>
            <w:tcW w:w="279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Gleby niegospodarowane na obszarach gruntów naturalnych</w:t>
            </w:r>
          </w:p>
        </w:tc>
      </w:tr>
      <w:tr w:rsidR="00524971" w:rsidRPr="008E1614" w:rsidTr="00524971">
        <w:trPr>
          <w:trHeight w:val="300"/>
          <w:tblHeader/>
        </w:trPr>
        <w:tc>
          <w:tcPr>
            <w:tcW w:w="158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lastRenderedPageBreak/>
              <w:t>Kompakcja podglebia</w:t>
            </w:r>
          </w:p>
        </w:tc>
        <w:tc>
          <w:tcPr>
            <w:tcW w:w="159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Gęstość objętościowa podglebia (górna część horyzontu B lub E</w:t>
            </w:r>
            <w:r w:rsidRPr="008E1614">
              <w:rPr>
                <w:rFonts w:ascii="Times New Roman" w:hAnsi="Times New Roman"/>
                <w:strike/>
                <w:noProof/>
                <w:szCs w:val="24"/>
                <w:vertAlign w:val="superscript"/>
                <w:lang w:val="en-US"/>
              </w:rPr>
              <w:footnoteReference w:id="59"/>
            </w:r>
            <w:r w:rsidRPr="008E1614">
              <w:rPr>
                <w:rFonts w:ascii="Times New Roman" w:hAnsi="Times New Roman"/>
                <w:strike/>
                <w:noProof/>
                <w:szCs w:val="24"/>
              </w:rPr>
              <w:t>); Państwa członkowskie mogą zastąpić ten wskaźnik równoważnym parametrem (w g na cm</w:t>
            </w:r>
            <w:r w:rsidRPr="008E1614">
              <w:rPr>
                <w:rFonts w:ascii="Times New Roman" w:hAnsi="Times New Roman"/>
                <w:strike/>
                <w:noProof/>
                <w:szCs w:val="24"/>
                <w:vertAlign w:val="superscript"/>
              </w:rPr>
              <w:t>3</w:t>
            </w:r>
            <w:r w:rsidRPr="008E1614">
              <w:rPr>
                <w:rFonts w:ascii="Times New Roman" w:hAnsi="Times New Roman"/>
                <w:strike/>
                <w:noProof/>
                <w:szCs w:val="24"/>
              </w:rPr>
              <w:t>)</w:t>
            </w:r>
          </w:p>
        </w:tc>
        <w:tc>
          <w:tcPr>
            <w:tcW w:w="3060" w:type="dxa"/>
            <w:tcBorders>
              <w:top w:val="single" w:sz="4" w:space="0" w:color="auto"/>
              <w:left w:val="single" w:sz="4" w:space="0" w:color="auto"/>
              <w:bottom w:val="single" w:sz="4" w:space="0" w:color="auto"/>
              <w:right w:val="single" w:sz="4" w:space="0" w:color="auto"/>
            </w:tcBorders>
          </w:tcPr>
          <w:tbl>
            <w:tblPr>
              <w:tblStyle w:val="TableGrid1"/>
              <w:tblW w:w="2712" w:type="dxa"/>
              <w:tblLook w:val="04A0" w:firstRow="1" w:lastRow="0" w:firstColumn="1" w:lastColumn="0" w:noHBand="0" w:noVBand="1"/>
            </w:tblPr>
            <w:tblGrid>
              <w:gridCol w:w="1827"/>
              <w:gridCol w:w="885"/>
            </w:tblGrid>
            <w:tr w:rsidR="00524971" w:rsidRPr="008E1614" w:rsidTr="00524971">
              <w:trPr>
                <w:trHeight w:val="300"/>
              </w:trPr>
              <w:tc>
                <w:tcPr>
                  <w:tcW w:w="1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Tekstura gleby</w:t>
                  </w:r>
                  <w:r w:rsidRPr="008E1614">
                    <w:rPr>
                      <w:rFonts w:ascii="Times New Roman" w:hAnsi="Times New Roman"/>
                      <w:strike/>
                      <w:noProof/>
                      <w:szCs w:val="24"/>
                      <w:vertAlign w:val="superscript"/>
                      <w:lang w:val="en-US"/>
                    </w:rPr>
                    <w:footnoteReference w:id="60"/>
                  </w:r>
                </w:p>
              </w:tc>
              <w:tc>
                <w:tcPr>
                  <w:tcW w:w="88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Zakres</w:t>
                  </w:r>
                </w:p>
              </w:tc>
            </w:tr>
            <w:tr w:rsidR="00524971" w:rsidRPr="008E1614" w:rsidTr="00524971">
              <w:trPr>
                <w:trHeight w:val="300"/>
              </w:trPr>
              <w:tc>
                <w:tcPr>
                  <w:tcW w:w="1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Piasek, piasek gliniasty, glina piaszczysta, glina zwykła</w:t>
                  </w:r>
                </w:p>
              </w:tc>
              <w:tc>
                <w:tcPr>
                  <w:tcW w:w="88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&lt;1,80</w:t>
                  </w:r>
                </w:p>
              </w:tc>
            </w:tr>
            <w:tr w:rsidR="00524971" w:rsidRPr="008E1614" w:rsidTr="00524971">
              <w:trPr>
                <w:trHeight w:val="300"/>
              </w:trPr>
              <w:tc>
                <w:tcPr>
                  <w:tcW w:w="1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Glina piaszczysto-ilasta, glina zwykła, glina ilasta, pył zwykły, pył gliniasty</w:t>
                  </w:r>
                </w:p>
              </w:tc>
              <w:tc>
                <w:tcPr>
                  <w:tcW w:w="88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&lt;1,75</w:t>
                  </w:r>
                </w:p>
              </w:tc>
            </w:tr>
            <w:tr w:rsidR="00524971" w:rsidRPr="008E1614" w:rsidTr="00524971">
              <w:trPr>
                <w:trHeight w:val="300"/>
              </w:trPr>
              <w:tc>
                <w:tcPr>
                  <w:tcW w:w="1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Pył gliniasty, glina pylasto-ilasta</w:t>
                  </w:r>
                </w:p>
              </w:tc>
              <w:tc>
                <w:tcPr>
                  <w:tcW w:w="88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&lt;1,65</w:t>
                  </w:r>
                </w:p>
              </w:tc>
            </w:tr>
            <w:tr w:rsidR="00524971" w:rsidRPr="008E1614" w:rsidTr="00524971">
              <w:trPr>
                <w:trHeight w:val="300"/>
              </w:trPr>
              <w:tc>
                <w:tcPr>
                  <w:tcW w:w="1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Ił piaszczysty, ił pylasty, glina ilasta zawierająca 35–45 % iłu</w:t>
                  </w:r>
                </w:p>
              </w:tc>
              <w:tc>
                <w:tcPr>
                  <w:tcW w:w="88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&lt;1,58</w:t>
                  </w:r>
                </w:p>
              </w:tc>
            </w:tr>
            <w:tr w:rsidR="00524971" w:rsidRPr="008E1614" w:rsidTr="00524971">
              <w:trPr>
                <w:trHeight w:val="300"/>
              </w:trPr>
              <w:tc>
                <w:tcPr>
                  <w:tcW w:w="1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Ił</w:t>
                  </w:r>
                </w:p>
              </w:tc>
              <w:tc>
                <w:tcPr>
                  <w:tcW w:w="88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&lt;1,47</w:t>
                  </w:r>
                </w:p>
              </w:tc>
            </w:tr>
          </w:tbl>
          <w:p w:rsidR="00524971" w:rsidRPr="008E1614" w:rsidRDefault="00524971" w:rsidP="008E1614">
            <w:pPr>
              <w:spacing w:before="120" w:after="120"/>
              <w:rPr>
                <w:rFonts w:ascii="Times New Roman" w:hAnsi="Times New Roman"/>
                <w:strike/>
                <w:noProof/>
                <w:szCs w:val="24"/>
              </w:rPr>
            </w:pP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W przypadku gdy państwo członkowskie zastępuje wskaźnik glebowy „Gęstość objętościowa podglebia” równoważnym parametrem, przyjmuje ono kryterium zdrowego stanu gleby dla wybranego wskaźnika glebowego, które jest równoważne kryterium określonym dla „Gęstości objętościowej podglebia”.</w:t>
            </w:r>
          </w:p>
        </w:tc>
        <w:tc>
          <w:tcPr>
            <w:tcW w:w="2791" w:type="dxa"/>
            <w:tcBorders>
              <w:top w:val="single" w:sz="4" w:space="0" w:color="auto"/>
              <w:left w:val="single" w:sz="4" w:space="0" w:color="auto"/>
              <w:bottom w:val="single" w:sz="4" w:space="0" w:color="auto"/>
              <w:right w:val="single" w:sz="4" w:space="0" w:color="auto"/>
            </w:tcBorders>
          </w:tcPr>
          <w:p w:rsid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Gleby niezagospodarowane na obszarach gruntów naturalnych</w:t>
            </w:r>
          </w:p>
          <w:p w:rsidR="00524971" w:rsidRPr="008E1614" w:rsidRDefault="00524971" w:rsidP="008E1614">
            <w:pPr>
              <w:spacing w:before="120" w:after="120"/>
              <w:rPr>
                <w:rFonts w:ascii="Times New Roman" w:hAnsi="Times New Roman"/>
                <w:noProof/>
                <w:szCs w:val="24"/>
              </w:rPr>
            </w:pPr>
          </w:p>
        </w:tc>
      </w:tr>
    </w:tbl>
    <w:tbl>
      <w:tblPr>
        <w:tblStyle w:val="TableGrid11"/>
        <w:tblW w:w="8926" w:type="dxa"/>
        <w:tblInd w:w="113" w:type="dxa"/>
        <w:tblLook w:val="04A0" w:firstRow="1" w:lastRow="0" w:firstColumn="1" w:lastColumn="0" w:noHBand="0" w:noVBand="1"/>
      </w:tblPr>
      <w:tblGrid>
        <w:gridCol w:w="2674"/>
        <w:gridCol w:w="2727"/>
        <w:gridCol w:w="2013"/>
        <w:gridCol w:w="1512"/>
      </w:tblGrid>
      <w:tr w:rsidR="00524971" w:rsidRPr="008E1614" w:rsidTr="00524971">
        <w:tc>
          <w:tcPr>
            <w:tcW w:w="8926"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sz w:val="22"/>
                <w:szCs w:val="22"/>
              </w:rPr>
            </w:pPr>
            <w:r w:rsidRPr="008E1614">
              <w:rPr>
                <w:b/>
                <w:i/>
                <w:sz w:val="22"/>
                <w:szCs w:val="24"/>
              </w:rPr>
              <w:t>Część A: Poziom 1 projektu monitorowania gleb</w:t>
            </w:r>
          </w:p>
          <w:p w:rsidR="00524971" w:rsidRPr="008E1614" w:rsidRDefault="00524971" w:rsidP="008E1614">
            <w:pPr>
              <w:spacing w:before="120" w:after="120"/>
              <w:jc w:val="both"/>
              <w:rPr>
                <w:b/>
                <w:bCs/>
                <w:i/>
                <w:sz w:val="22"/>
                <w:szCs w:val="22"/>
              </w:rPr>
            </w:pPr>
            <w:r w:rsidRPr="008E1614">
              <w:rPr>
                <w:b/>
                <w:i/>
                <w:sz w:val="22"/>
                <w:szCs w:val="24"/>
              </w:rPr>
              <w:t>Państwo członkowskie zostaje zakwalifikowane do poziomu 1 projektu monitorowania gleb, jeżeli spełnia wszystkie kryteria określone w kolumnie 2 i uwzględnia wszystkie wskaźniki glebowe.</w:t>
            </w:r>
          </w:p>
        </w:tc>
      </w:tr>
      <w:tr w:rsidR="00524971" w:rsidRPr="008E1614" w:rsidTr="00524971">
        <w:tc>
          <w:tcPr>
            <w:tcW w:w="8926"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sz w:val="22"/>
                <w:szCs w:val="22"/>
                <w:lang w:val="en-GB"/>
              </w:rPr>
            </w:pPr>
            <w:proofErr w:type="spellStart"/>
            <w:r w:rsidRPr="008E1614">
              <w:rPr>
                <w:b/>
                <w:i/>
                <w:sz w:val="22"/>
                <w:szCs w:val="24"/>
                <w:lang w:val="en-GB"/>
              </w:rPr>
              <w:lastRenderedPageBreak/>
              <w:t>Projekt</w:t>
            </w:r>
            <w:proofErr w:type="spellEnd"/>
            <w:r w:rsidRPr="008E1614">
              <w:rPr>
                <w:b/>
                <w:i/>
                <w:sz w:val="22"/>
                <w:szCs w:val="24"/>
                <w:lang w:val="en-GB"/>
              </w:rPr>
              <w:t xml:space="preserve"> </w:t>
            </w:r>
            <w:proofErr w:type="spellStart"/>
            <w:r w:rsidRPr="008E1614">
              <w:rPr>
                <w:b/>
                <w:i/>
                <w:sz w:val="22"/>
                <w:szCs w:val="24"/>
                <w:lang w:val="en-GB"/>
              </w:rPr>
              <w:t>pobierania</w:t>
            </w:r>
            <w:proofErr w:type="spellEnd"/>
            <w:r w:rsidRPr="008E1614">
              <w:rPr>
                <w:b/>
                <w:i/>
                <w:sz w:val="22"/>
                <w:szCs w:val="24"/>
                <w:lang w:val="en-GB"/>
              </w:rPr>
              <w:t xml:space="preserve"> </w:t>
            </w:r>
            <w:proofErr w:type="spellStart"/>
            <w:r w:rsidRPr="008E1614">
              <w:rPr>
                <w:b/>
                <w:i/>
                <w:sz w:val="22"/>
                <w:szCs w:val="24"/>
                <w:lang w:val="en-GB"/>
              </w:rPr>
              <w:t>próbek</w:t>
            </w:r>
            <w:proofErr w:type="spellEnd"/>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iCs/>
                <w:sz w:val="22"/>
                <w:szCs w:val="22"/>
                <w:lang w:val="en-GB"/>
              </w:rPr>
            </w:pPr>
            <w:proofErr w:type="spellStart"/>
            <w:r w:rsidRPr="008E1614">
              <w:rPr>
                <w:b/>
                <w:i/>
                <w:sz w:val="22"/>
                <w:szCs w:val="24"/>
                <w:lang w:val="en-GB"/>
              </w:rPr>
              <w:t>Metodyka</w:t>
            </w:r>
            <w:proofErr w:type="spellEnd"/>
            <w:r w:rsidRPr="008E1614">
              <w:rPr>
                <w:b/>
                <w:i/>
                <w:sz w:val="22"/>
                <w:szCs w:val="24"/>
                <w:lang w:val="en-GB"/>
              </w:rPr>
              <w:t xml:space="preserve"> </w:t>
            </w:r>
            <w:proofErr w:type="spellStart"/>
            <w:r w:rsidRPr="008E1614">
              <w:rPr>
                <w:b/>
                <w:i/>
                <w:sz w:val="22"/>
                <w:szCs w:val="24"/>
                <w:lang w:val="en-GB"/>
              </w:rPr>
              <w:t>referencyjna</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iCs/>
                <w:sz w:val="22"/>
                <w:szCs w:val="22"/>
                <w:lang w:val="en-GB"/>
              </w:rPr>
            </w:pPr>
            <w:proofErr w:type="spellStart"/>
            <w:r w:rsidRPr="008E1614">
              <w:rPr>
                <w:b/>
                <w:i/>
                <w:sz w:val="22"/>
                <w:szCs w:val="24"/>
                <w:lang w:val="en-GB"/>
              </w:rPr>
              <w:t>Kryteria</w:t>
            </w:r>
            <w:proofErr w:type="spellEnd"/>
            <w:r w:rsidRPr="008E1614">
              <w:rPr>
                <w:b/>
                <w:i/>
                <w:sz w:val="22"/>
                <w:szCs w:val="24"/>
                <w:lang w:val="en-GB"/>
              </w:rPr>
              <w:t xml:space="preserve"> do </w:t>
            </w:r>
            <w:proofErr w:type="spellStart"/>
            <w:r w:rsidRPr="008E1614">
              <w:rPr>
                <w:b/>
                <w:i/>
                <w:sz w:val="22"/>
                <w:szCs w:val="24"/>
                <w:lang w:val="en-GB"/>
              </w:rPr>
              <w:t>spełnienia</w:t>
            </w:r>
            <w:proofErr w:type="spellEnd"/>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iCs/>
                <w:sz w:val="22"/>
                <w:szCs w:val="22"/>
                <w:lang w:val="en-GB"/>
              </w:rPr>
            </w:pPr>
            <w:proofErr w:type="spellStart"/>
            <w:r w:rsidRPr="008E1614">
              <w:rPr>
                <w:b/>
                <w:i/>
                <w:sz w:val="22"/>
                <w:szCs w:val="24"/>
                <w:lang w:val="en-GB"/>
              </w:rPr>
              <w:t>Wyjątki</w:t>
            </w:r>
            <w:proofErr w:type="spellEnd"/>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iCs/>
                <w:sz w:val="22"/>
                <w:szCs w:val="22"/>
                <w:lang w:val="en-GB"/>
              </w:rPr>
            </w:pPr>
            <w:proofErr w:type="spellStart"/>
            <w:r w:rsidRPr="008E1614">
              <w:rPr>
                <w:b/>
                <w:i/>
                <w:sz w:val="22"/>
                <w:szCs w:val="24"/>
                <w:lang w:val="en-GB"/>
              </w:rPr>
              <w:t>Uwagi</w:t>
            </w:r>
            <w:proofErr w:type="spellEnd"/>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Badanie reprezentacyjne projektuje się na podstawie kompletnego operatu losowania zawierającego najlepsze dostępne informacje na temat rozkładu właściwości gleby, w tym między innymi informacje wynikające z poprzednich pomiarów krajowych i pomiarów w ramach programu LUCAS.</w:t>
            </w:r>
          </w:p>
          <w:p w:rsidR="00524971" w:rsidRPr="008E1614" w:rsidRDefault="00524971" w:rsidP="008E1614">
            <w:pPr>
              <w:spacing w:before="120" w:after="120"/>
              <w:jc w:val="both"/>
              <w:rPr>
                <w:b/>
                <w:i/>
                <w:sz w:val="22"/>
                <w:szCs w:val="22"/>
              </w:rPr>
            </w:pPr>
            <w:r w:rsidRPr="008E1614">
              <w:rPr>
                <w:b/>
                <w:i/>
                <w:sz w:val="22"/>
                <w:szCs w:val="24"/>
              </w:rPr>
              <w:t>Schemat losowania próby jest losowaniem warstwowym.</w:t>
            </w:r>
          </w:p>
          <w:p w:rsidR="00524971" w:rsidRPr="008E1614" w:rsidRDefault="00524971" w:rsidP="008E1614">
            <w:pPr>
              <w:spacing w:before="120" w:after="120"/>
              <w:jc w:val="both"/>
              <w:rPr>
                <w:b/>
                <w:i/>
                <w:sz w:val="22"/>
                <w:szCs w:val="22"/>
              </w:rPr>
            </w:pPr>
            <w:r w:rsidRPr="008E1614">
              <w:rPr>
                <w:b/>
                <w:i/>
                <w:sz w:val="22"/>
                <w:szCs w:val="24"/>
              </w:rPr>
              <w:t>Wielkość próby krajowej musi spełniać wymóg maksymalnego procentowego błędu (lub współczynnika zmienności) wynoszący 5 % przy ocenie obszaru o zdrowych glebach.</w:t>
            </w:r>
          </w:p>
          <w:p w:rsidR="00524971" w:rsidRPr="008E1614" w:rsidRDefault="00524971" w:rsidP="008E1614">
            <w:pPr>
              <w:spacing w:before="120" w:after="120"/>
              <w:jc w:val="both"/>
              <w:rPr>
                <w:b/>
                <w:i/>
                <w:sz w:val="22"/>
                <w:szCs w:val="22"/>
              </w:rPr>
            </w:pPr>
            <w:r w:rsidRPr="008E1614">
              <w:rPr>
                <w:b/>
                <w:i/>
                <w:sz w:val="22"/>
                <w:szCs w:val="24"/>
              </w:rPr>
              <w:t>Próba Komisji na potrzeby badania określona w art. 6 ust. 4 stanowi minimalnie 20 % wielkości prób krajowych.</w:t>
            </w:r>
          </w:p>
          <w:p w:rsidR="00524971" w:rsidRPr="008E1614" w:rsidRDefault="00524971" w:rsidP="008E1614">
            <w:pPr>
              <w:spacing w:before="120" w:after="120"/>
              <w:jc w:val="both"/>
              <w:rPr>
                <w:b/>
                <w:i/>
                <w:sz w:val="22"/>
                <w:szCs w:val="22"/>
              </w:rPr>
            </w:pPr>
            <w:r w:rsidRPr="008E1614">
              <w:rPr>
                <w:b/>
                <w:i/>
                <w:sz w:val="22"/>
                <w:szCs w:val="24"/>
              </w:rPr>
              <w:t xml:space="preserve">Alokację i wielkość próby określa się, stosując algorytm </w:t>
            </w:r>
            <w:proofErr w:type="spellStart"/>
            <w:r w:rsidRPr="008E1614">
              <w:rPr>
                <w:b/>
                <w:i/>
                <w:sz w:val="22"/>
                <w:szCs w:val="24"/>
              </w:rPr>
              <w:t>Bethela</w:t>
            </w:r>
            <w:proofErr w:type="spellEnd"/>
            <w:r w:rsidRPr="008E1614">
              <w:rPr>
                <w:b/>
                <w:i/>
                <w:sz w:val="22"/>
                <w:szCs w:val="24"/>
              </w:rPr>
              <w:t xml:space="preserve"> (</w:t>
            </w:r>
            <w:proofErr w:type="spellStart"/>
            <w:r w:rsidRPr="008E1614">
              <w:rPr>
                <w:b/>
                <w:i/>
                <w:sz w:val="22"/>
                <w:szCs w:val="24"/>
              </w:rPr>
              <w:t>Bethel</w:t>
            </w:r>
            <w:proofErr w:type="spellEnd"/>
            <w:r w:rsidRPr="008E1614">
              <w:rPr>
                <w:b/>
                <w:i/>
                <w:sz w:val="22"/>
                <w:szCs w:val="24"/>
              </w:rPr>
              <w:t>, 1989) uwzględniający wymagany maksymalny błąd oszacowania.</w:t>
            </w:r>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proofErr w:type="gramStart"/>
            <w:r w:rsidRPr="008E1614">
              <w:rPr>
                <w:b/>
                <w:i/>
                <w:sz w:val="22"/>
                <w:szCs w:val="24"/>
              </w:rPr>
              <w:t>a</w:t>
            </w:r>
            <w:proofErr w:type="gramEnd"/>
            <w:r w:rsidRPr="008E1614">
              <w:rPr>
                <w:b/>
                <w:i/>
                <w:sz w:val="22"/>
                <w:szCs w:val="24"/>
              </w:rPr>
              <w:t xml:space="preserve">) Losowanie warstwowe próby na podstawie rodzaju gruntów; </w:t>
            </w:r>
            <w:proofErr w:type="spellStart"/>
            <w:r w:rsidRPr="008E1614">
              <w:rPr>
                <w:b/>
                <w:i/>
                <w:sz w:val="22"/>
                <w:szCs w:val="24"/>
              </w:rPr>
              <w:t>stratyfikatory</w:t>
            </w:r>
            <w:proofErr w:type="spellEnd"/>
            <w:r w:rsidRPr="008E1614">
              <w:rPr>
                <w:b/>
                <w:i/>
                <w:sz w:val="22"/>
                <w:szCs w:val="24"/>
              </w:rPr>
              <w:t xml:space="preserve"> mogą obejmować warunki klimatyczne, typ gleby, rodzaj gruntów i regiony administracyjne zgodnie z art. 4.</w:t>
            </w:r>
          </w:p>
          <w:p w:rsidR="00524971" w:rsidRPr="008E1614" w:rsidRDefault="00524971" w:rsidP="008E1614">
            <w:pPr>
              <w:spacing w:before="120" w:after="120"/>
              <w:jc w:val="both"/>
              <w:rPr>
                <w:b/>
                <w:i/>
                <w:sz w:val="22"/>
                <w:szCs w:val="22"/>
              </w:rPr>
            </w:pPr>
            <w:proofErr w:type="gramStart"/>
            <w:r w:rsidRPr="008E1614">
              <w:rPr>
                <w:b/>
                <w:i/>
                <w:sz w:val="22"/>
                <w:szCs w:val="24"/>
              </w:rPr>
              <w:t>b</w:t>
            </w:r>
            <w:proofErr w:type="gramEnd"/>
            <w:r w:rsidRPr="008E1614">
              <w:rPr>
                <w:b/>
                <w:i/>
                <w:sz w:val="22"/>
                <w:szCs w:val="24"/>
              </w:rPr>
              <w:t xml:space="preserve">) Oszacowanie liczby próbek przeprowadza się, stosując algorytm </w:t>
            </w:r>
            <w:proofErr w:type="spellStart"/>
            <w:r w:rsidRPr="008E1614">
              <w:rPr>
                <w:b/>
                <w:i/>
                <w:sz w:val="22"/>
                <w:szCs w:val="24"/>
              </w:rPr>
              <w:t>Bethela</w:t>
            </w:r>
            <w:proofErr w:type="spellEnd"/>
            <w:r w:rsidRPr="008E1614">
              <w:rPr>
                <w:b/>
                <w:i/>
                <w:sz w:val="22"/>
                <w:szCs w:val="24"/>
              </w:rPr>
              <w:t xml:space="preserve"> uwzględniający wymagany maksymalny błąd oszacowania.</w:t>
            </w:r>
          </w:p>
          <w:p w:rsidR="00524971" w:rsidRPr="008E1614" w:rsidRDefault="00524971" w:rsidP="008E1614">
            <w:pPr>
              <w:spacing w:before="120" w:after="120"/>
              <w:jc w:val="both"/>
              <w:rPr>
                <w:b/>
                <w:i/>
                <w:sz w:val="22"/>
                <w:szCs w:val="22"/>
              </w:rPr>
            </w:pPr>
            <w:proofErr w:type="gramStart"/>
            <w:r w:rsidRPr="008E1614">
              <w:rPr>
                <w:b/>
                <w:i/>
                <w:sz w:val="22"/>
                <w:szCs w:val="24"/>
              </w:rPr>
              <w:t>c</w:t>
            </w:r>
            <w:proofErr w:type="gramEnd"/>
            <w:r w:rsidRPr="008E1614">
              <w:rPr>
                <w:b/>
                <w:i/>
                <w:sz w:val="22"/>
                <w:szCs w:val="24"/>
              </w:rPr>
              <w:t>) Umożliwienie przeznaczenia odsetka (do 20 % i nie mniej niż 10 %) miejsc pobierania próbek na celowe pobieranie próbek związane z badaniami lub oceną ryzyka.</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W przypadku projektu pobierania próbek, który spełnia kryteria ustanowione dla poziomu 1 na szczeblu państwa członkowskiego, można dostosować metodykę referencyjną lub zaproponować Komisji inne podejścia do projektowania, pod warunkiem że wdrożony projekt zapewnia wystarczające pokrycie państwa członkowskiego zgodnie z metodyką referencyjną (w tym próbkami krajowymi i próbkami LUCAS). Dostosowując metodykę referencyjną, państwa członkowskie nadal muszą przestrzegać projektu in situ przedstawionego przez Komisję.</w:t>
            </w:r>
          </w:p>
        </w:tc>
        <w:tc>
          <w:tcPr>
            <w:tcW w:w="1512"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jc w:val="both"/>
              <w:rPr>
                <w:b/>
                <w:i/>
                <w:sz w:val="22"/>
                <w:szCs w:val="22"/>
                <w:lang w:eastAsia="en-US"/>
              </w:rPr>
            </w:pPr>
          </w:p>
        </w:tc>
      </w:tr>
      <w:tr w:rsidR="00524971" w:rsidRPr="008E1614" w:rsidTr="00524971">
        <w:tc>
          <w:tcPr>
            <w:tcW w:w="8926"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Współczynniki</w:t>
            </w:r>
            <w:proofErr w:type="spellEnd"/>
            <w:r w:rsidRPr="008E1614">
              <w:rPr>
                <w:b/>
                <w:i/>
                <w:sz w:val="22"/>
                <w:szCs w:val="24"/>
                <w:lang w:val="en-GB"/>
              </w:rPr>
              <w:t xml:space="preserve"> </w:t>
            </w:r>
            <w:proofErr w:type="spellStart"/>
            <w:r w:rsidRPr="008E1614">
              <w:rPr>
                <w:b/>
                <w:i/>
                <w:sz w:val="22"/>
                <w:szCs w:val="24"/>
                <w:lang w:val="en-GB"/>
              </w:rPr>
              <w:t>rozkładu</w:t>
            </w:r>
            <w:proofErr w:type="spellEnd"/>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iCs/>
                <w:sz w:val="22"/>
                <w:szCs w:val="22"/>
                <w:lang w:val="en-GB"/>
              </w:rPr>
            </w:pPr>
            <w:proofErr w:type="spellStart"/>
            <w:r w:rsidRPr="008E1614">
              <w:rPr>
                <w:b/>
                <w:i/>
                <w:sz w:val="22"/>
                <w:szCs w:val="24"/>
                <w:lang w:val="en-GB"/>
              </w:rPr>
              <w:t>Współczynnik</w:t>
            </w:r>
            <w:proofErr w:type="spellEnd"/>
            <w:r w:rsidRPr="008E1614">
              <w:rPr>
                <w:b/>
                <w:i/>
                <w:sz w:val="22"/>
                <w:szCs w:val="24"/>
                <w:lang w:val="en-GB"/>
              </w:rPr>
              <w:t xml:space="preserve"> </w:t>
            </w:r>
            <w:proofErr w:type="spellStart"/>
            <w:r w:rsidRPr="008E1614">
              <w:rPr>
                <w:b/>
                <w:i/>
                <w:sz w:val="22"/>
                <w:szCs w:val="24"/>
                <w:lang w:val="en-GB"/>
              </w:rPr>
              <w:t>rozkładu</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iCs/>
                <w:sz w:val="22"/>
                <w:szCs w:val="22"/>
                <w:lang w:val="en-GB"/>
              </w:rPr>
            </w:pPr>
            <w:proofErr w:type="spellStart"/>
            <w:r w:rsidRPr="008E1614">
              <w:rPr>
                <w:b/>
                <w:i/>
                <w:sz w:val="22"/>
                <w:szCs w:val="24"/>
                <w:lang w:val="en-GB"/>
              </w:rPr>
              <w:t>Wskaźnik</w:t>
            </w:r>
            <w:proofErr w:type="spellEnd"/>
            <w:r w:rsidRPr="008E1614">
              <w:rPr>
                <w:b/>
                <w:i/>
                <w:sz w:val="22"/>
                <w:szCs w:val="24"/>
                <w:lang w:val="en-GB"/>
              </w:rPr>
              <w:t xml:space="preserve"> </w:t>
            </w:r>
            <w:proofErr w:type="spellStart"/>
            <w:r w:rsidRPr="008E1614">
              <w:rPr>
                <w:b/>
                <w:i/>
                <w:sz w:val="22"/>
                <w:szCs w:val="24"/>
                <w:lang w:val="en-GB"/>
              </w:rPr>
              <w:t>glebowy</w:t>
            </w:r>
            <w:proofErr w:type="spellEnd"/>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iCs/>
                <w:sz w:val="22"/>
                <w:szCs w:val="22"/>
                <w:lang w:val="en-GB"/>
              </w:rPr>
            </w:pPr>
            <w:proofErr w:type="spellStart"/>
            <w:r w:rsidRPr="008E1614">
              <w:rPr>
                <w:b/>
                <w:i/>
                <w:sz w:val="22"/>
                <w:szCs w:val="24"/>
                <w:lang w:val="en-GB"/>
              </w:rPr>
              <w:t>Wyjątki</w:t>
            </w:r>
            <w:proofErr w:type="spellEnd"/>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iCs/>
                <w:sz w:val="22"/>
                <w:szCs w:val="22"/>
                <w:lang w:val="en-GB"/>
              </w:rPr>
            </w:pPr>
            <w:proofErr w:type="spellStart"/>
            <w:r w:rsidRPr="008E1614">
              <w:rPr>
                <w:b/>
                <w:i/>
                <w:sz w:val="22"/>
                <w:szCs w:val="24"/>
                <w:lang w:val="en-GB"/>
              </w:rPr>
              <w:t>Uwagi</w:t>
            </w:r>
            <w:proofErr w:type="spellEnd"/>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Erozja</w:t>
            </w:r>
            <w:proofErr w:type="spellEnd"/>
            <w:r w:rsidRPr="008E1614">
              <w:rPr>
                <w:b/>
                <w:i/>
                <w:sz w:val="22"/>
                <w:szCs w:val="24"/>
                <w:lang w:val="en-GB"/>
              </w:rPr>
              <w:t xml:space="preserve"> </w:t>
            </w:r>
            <w:proofErr w:type="spellStart"/>
            <w:r w:rsidRPr="008E1614">
              <w:rPr>
                <w:b/>
                <w:i/>
                <w:sz w:val="22"/>
                <w:szCs w:val="24"/>
                <w:lang w:val="en-GB"/>
              </w:rPr>
              <w:t>gleby</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r w:rsidRPr="008E1614">
              <w:rPr>
                <w:b/>
                <w:i/>
                <w:szCs w:val="24"/>
              </w:rPr>
              <w:t>Wskaźnik erozji gleby (w tonach utraconej gleby na hektar rocznie (t ha</w:t>
            </w:r>
            <w:r w:rsidRPr="008E1614">
              <w:rPr>
                <w:b/>
                <w:i/>
                <w:szCs w:val="24"/>
                <w:vertAlign w:val="superscript"/>
              </w:rPr>
              <w:t xml:space="preserve">-1 </w:t>
            </w:r>
            <w:r w:rsidRPr="008E1614">
              <w:rPr>
                <w:b/>
                <w:i/>
                <w:szCs w:val="24"/>
              </w:rPr>
              <w:t>r</w:t>
            </w:r>
            <w:r w:rsidRPr="008E1614">
              <w:rPr>
                <w:b/>
                <w:i/>
                <w:szCs w:val="24"/>
                <w:vertAlign w:val="superscript"/>
              </w:rPr>
              <w:t>-1</w:t>
            </w:r>
            <w:r w:rsidRPr="008E1614">
              <w:rPr>
                <w:b/>
                <w:i/>
                <w:szCs w:val="24"/>
              </w:rPr>
              <w:t>))</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jc w:val="both"/>
              <w:rPr>
                <w:b/>
                <w:i/>
                <w:sz w:val="22"/>
                <w:szCs w:val="22"/>
                <w:lang w:val="en-GB" w:eastAsia="en-US"/>
              </w:rPr>
            </w:pP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Utrata węgla organicznego w glebie</w:t>
            </w:r>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r w:rsidRPr="008E1614">
              <w:rPr>
                <w:b/>
                <w:i/>
                <w:szCs w:val="24"/>
              </w:rPr>
              <w:t>Stężenie węgla organicznego w glebie (SOC) (w g węgla na kg (g kg</w:t>
            </w:r>
            <w:r w:rsidRPr="008E1614">
              <w:rPr>
                <w:b/>
                <w:i/>
                <w:szCs w:val="24"/>
                <w:vertAlign w:val="superscript"/>
              </w:rPr>
              <w:t>-1</w:t>
            </w:r>
            <w:r w:rsidRPr="008E1614">
              <w:rPr>
                <w:b/>
                <w:i/>
                <w:szCs w:val="24"/>
              </w:rPr>
              <w:t>))</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w:t>
            </w:r>
            <w:r w:rsidRPr="008E1614">
              <w:rPr>
                <w:b/>
                <w:i/>
                <w:sz w:val="22"/>
                <w:szCs w:val="24"/>
              </w:rPr>
              <w:lastRenderedPageBreak/>
              <w:t>30 cm)</w:t>
            </w: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lastRenderedPageBreak/>
              <w:t>Kompakcja</w:t>
            </w:r>
            <w:proofErr w:type="spellEnd"/>
            <w:r w:rsidRPr="008E1614">
              <w:rPr>
                <w:b/>
                <w:i/>
                <w:sz w:val="22"/>
                <w:szCs w:val="24"/>
                <w:lang w:val="en-GB"/>
              </w:rPr>
              <w:t xml:space="preserve"> </w:t>
            </w:r>
            <w:proofErr w:type="spellStart"/>
            <w:r w:rsidRPr="008E1614">
              <w:rPr>
                <w:b/>
                <w:i/>
                <w:sz w:val="22"/>
                <w:szCs w:val="24"/>
                <w:lang w:val="en-GB"/>
              </w:rPr>
              <w:t>gleby</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r w:rsidRPr="008E1614">
              <w:rPr>
                <w:b/>
                <w:i/>
                <w:sz w:val="22"/>
                <w:szCs w:val="24"/>
              </w:rPr>
              <w:t>Gęstość objętościowa wierzchniej warstwy gleby (w g na cm</w:t>
            </w:r>
            <w:r w:rsidRPr="008E1614">
              <w:rPr>
                <w:b/>
                <w:i/>
                <w:sz w:val="22"/>
                <w:szCs w:val="24"/>
                <w:vertAlign w:val="superscript"/>
              </w:rPr>
              <w:t>-3</w:t>
            </w:r>
            <w:r w:rsidRPr="008E1614">
              <w:rPr>
                <w:b/>
                <w:i/>
                <w:sz w:val="22"/>
                <w:szCs w:val="24"/>
              </w:rPr>
              <w:t>)</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 (opcjonalnie))</w:t>
            </w: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Nadmierna zawartość składników odżywczych w glebie</w:t>
            </w:r>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r w:rsidRPr="008E1614">
              <w:rPr>
                <w:b/>
                <w:i/>
                <w:szCs w:val="24"/>
              </w:rPr>
              <w:t>Fosfor dostępny (w mg na kg</w:t>
            </w:r>
            <w:r w:rsidRPr="008E1614">
              <w:rPr>
                <w:b/>
                <w:i/>
                <w:szCs w:val="24"/>
                <w:vertAlign w:val="superscript"/>
              </w:rPr>
              <w:t>-1</w:t>
            </w:r>
            <w:r w:rsidRPr="008E1614">
              <w:rPr>
                <w:b/>
                <w:i/>
                <w:szCs w:val="24"/>
              </w:rPr>
              <w:t>)</w:t>
            </w:r>
          </w:p>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r w:rsidRPr="008E1614">
              <w:rPr>
                <w:b/>
                <w:i/>
                <w:sz w:val="22"/>
                <w:szCs w:val="24"/>
              </w:rPr>
              <w:t>Całkowity azot w glebie (w mg na g</w:t>
            </w:r>
            <w:r w:rsidRPr="008E1614">
              <w:rPr>
                <w:b/>
                <w:i/>
                <w:sz w:val="22"/>
                <w:szCs w:val="24"/>
                <w:vertAlign w:val="superscript"/>
              </w:rPr>
              <w:t>-1</w:t>
            </w:r>
            <w:r w:rsidRPr="008E1614">
              <w:rPr>
                <w:b/>
                <w:i/>
                <w:sz w:val="22"/>
                <w:szCs w:val="24"/>
              </w:rPr>
              <w:t>)</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iCs/>
                <w:sz w:val="22"/>
                <w:szCs w:val="22"/>
              </w:rPr>
            </w:pPr>
            <w:r w:rsidRPr="008E1614">
              <w:rPr>
                <w:b/>
                <w:i/>
                <w:sz w:val="22"/>
                <w:szCs w:val="24"/>
              </w:rPr>
              <w:t>Należy przeprowadzić dla wierzchniej warstwy gleby (0–10 cm, 10–30 cm)</w:t>
            </w: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Zanieczyszczenie</w:t>
            </w:r>
            <w:proofErr w:type="spellEnd"/>
            <w:r w:rsidRPr="008E1614">
              <w:rPr>
                <w:b/>
                <w:i/>
                <w:sz w:val="22"/>
                <w:szCs w:val="24"/>
                <w:lang w:val="en-GB"/>
              </w:rPr>
              <w:t xml:space="preserve"> </w:t>
            </w:r>
            <w:proofErr w:type="spellStart"/>
            <w:r w:rsidRPr="008E1614">
              <w:rPr>
                <w:b/>
                <w:i/>
                <w:sz w:val="22"/>
                <w:szCs w:val="24"/>
                <w:lang w:val="en-GB"/>
              </w:rPr>
              <w:t>gleby</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proofErr w:type="gramStart"/>
            <w:r w:rsidRPr="008E1614">
              <w:rPr>
                <w:b/>
                <w:i/>
                <w:sz w:val="22"/>
                <w:szCs w:val="24"/>
              </w:rPr>
              <w:t>stężenie</w:t>
            </w:r>
            <w:proofErr w:type="gramEnd"/>
            <w:r w:rsidRPr="008E1614">
              <w:rPr>
                <w:b/>
                <w:i/>
                <w:sz w:val="22"/>
                <w:szCs w:val="24"/>
              </w:rPr>
              <w:t xml:space="preserve"> metali ciężkich w glebie: As, Sb, Cd, Co, Cr (ogółem), Cr (VI), Cu, Hg, Pb, Ni, Tl, V, Zn (w µg na kg)</w:t>
            </w:r>
          </w:p>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r w:rsidRPr="008E1614">
              <w:rPr>
                <w:b/>
                <w:i/>
                <w:sz w:val="22"/>
                <w:szCs w:val="24"/>
              </w:rPr>
              <w:t>Stężenie wybranych zanieczyszczeń organicznych ustalone przez państwa członkowskie i z uwzględnieniem zanieczyszczeń objętych rozporządzeniem (UE) 2019/1021 i istniejących stężeń granicznych, np. w odniesieniu do jakości wody i emisji do powietrza, w przepisach Unii, w szczególności substancji priorytetowych na podstawie ramowej dyrektywy wodnej i powiązanych dyrektyw: w sprawie środowiskowych norm jakości (dyrektywa 2008/105/WE) i w sprawie ochrony wód podziemnych (2006/118/WE)</w:t>
            </w:r>
          </w:p>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r w:rsidRPr="008E1614">
              <w:rPr>
                <w:b/>
                <w:i/>
                <w:sz w:val="22"/>
                <w:szCs w:val="24"/>
              </w:rPr>
              <w:t xml:space="preserve">Środki ochrony roślin kwalifikujące się do zastąpienia i substancje dopuszczone w sytuacjach nadzwyczajnych oraz </w:t>
            </w:r>
            <w:r w:rsidRPr="008E1614">
              <w:rPr>
                <w:b/>
                <w:i/>
                <w:sz w:val="22"/>
                <w:szCs w:val="24"/>
              </w:rPr>
              <w:lastRenderedPageBreak/>
              <w:t>pozostałości produktów biobójczych</w:t>
            </w:r>
          </w:p>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r w:rsidRPr="008E1614">
              <w:rPr>
                <w:b/>
                <w:i/>
                <w:sz w:val="22"/>
                <w:szCs w:val="24"/>
              </w:rPr>
              <w:t xml:space="preserve">Całkowita zawartość substancji per- i </w:t>
            </w:r>
            <w:proofErr w:type="spellStart"/>
            <w:r w:rsidRPr="008E1614">
              <w:rPr>
                <w:b/>
                <w:i/>
                <w:sz w:val="22"/>
                <w:szCs w:val="24"/>
              </w:rPr>
              <w:t>polifluoroalkilowych</w:t>
            </w:r>
            <w:proofErr w:type="spellEnd"/>
            <w:r w:rsidRPr="008E1614">
              <w:rPr>
                <w:b/>
                <w:i/>
                <w:sz w:val="22"/>
                <w:szCs w:val="24"/>
              </w:rPr>
              <w:t xml:space="preserve"> (</w:t>
            </w:r>
            <w:proofErr w:type="spellStart"/>
            <w:r w:rsidRPr="008E1614">
              <w:rPr>
                <w:b/>
                <w:i/>
                <w:sz w:val="22"/>
                <w:szCs w:val="24"/>
              </w:rPr>
              <w:t>PFAS</w:t>
            </w:r>
            <w:proofErr w:type="spellEnd"/>
            <w:r w:rsidRPr="008E1614">
              <w:rPr>
                <w:b/>
                <w:i/>
                <w:sz w:val="22"/>
                <w:szCs w:val="24"/>
              </w:rPr>
              <w:t>) lub suma całkowitej zawartości PFAS</w:t>
            </w:r>
            <w:r w:rsidRPr="008E1614">
              <w:rPr>
                <w:szCs w:val="24"/>
              </w:rPr>
              <w:t xml:space="preserve"> </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lastRenderedPageBreak/>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 (opcjonalnie))</w:t>
            </w: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Ograniczenie</w:t>
            </w:r>
            <w:proofErr w:type="spellEnd"/>
            <w:r w:rsidRPr="008E1614">
              <w:rPr>
                <w:b/>
                <w:i/>
                <w:sz w:val="22"/>
                <w:szCs w:val="24"/>
                <w:lang w:val="en-GB"/>
              </w:rPr>
              <w:t xml:space="preserve"> </w:t>
            </w:r>
            <w:proofErr w:type="spellStart"/>
            <w:r w:rsidRPr="008E1614">
              <w:rPr>
                <w:b/>
                <w:i/>
                <w:sz w:val="22"/>
                <w:szCs w:val="24"/>
                <w:lang w:val="en-GB"/>
              </w:rPr>
              <w:t>retencji</w:t>
            </w:r>
            <w:proofErr w:type="spellEnd"/>
            <w:r w:rsidRPr="008E1614">
              <w:rPr>
                <w:b/>
                <w:i/>
                <w:sz w:val="22"/>
                <w:szCs w:val="24"/>
                <w:lang w:val="en-GB"/>
              </w:rPr>
              <w:t xml:space="preserve"> </w:t>
            </w:r>
            <w:proofErr w:type="spellStart"/>
            <w:r w:rsidRPr="008E1614">
              <w:rPr>
                <w:b/>
                <w:i/>
                <w:sz w:val="22"/>
                <w:szCs w:val="24"/>
                <w:lang w:val="en-GB"/>
              </w:rPr>
              <w:t>wody</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60"/>
              <w:ind w:left="346" w:hanging="360"/>
              <w:contextualSpacing/>
              <w:rPr>
                <w:b/>
                <w:i/>
                <w:sz w:val="22"/>
                <w:szCs w:val="22"/>
              </w:rPr>
            </w:pPr>
            <w:r w:rsidRPr="008E1614">
              <w:rPr>
                <w:sz w:val="22"/>
                <w:szCs w:val="24"/>
                <w:lang w:val="en-GB"/>
              </w:rPr>
              <w:sym w:font="Symbol" w:char="F0B7"/>
            </w:r>
            <w:r w:rsidRPr="008E1614">
              <w:rPr>
                <w:sz w:val="22"/>
                <w:szCs w:val="24"/>
              </w:rPr>
              <w:tab/>
            </w:r>
            <w:r w:rsidRPr="008E1614">
              <w:rPr>
                <w:b/>
                <w:i/>
                <w:sz w:val="22"/>
                <w:szCs w:val="24"/>
              </w:rPr>
              <w:t>Pojemność wodna próbki gleby (w % objętości wody)</w:t>
            </w:r>
          </w:p>
          <w:p w:rsidR="00524971" w:rsidRPr="008E1614" w:rsidRDefault="00524971" w:rsidP="008E1614">
            <w:pPr>
              <w:spacing w:before="120" w:after="160"/>
              <w:ind w:left="346" w:hanging="360"/>
              <w:contextualSpacing/>
              <w:rPr>
                <w:b/>
                <w:i/>
                <w:sz w:val="22"/>
                <w:szCs w:val="22"/>
                <w:lang w:val="en-GB"/>
              </w:rPr>
            </w:pPr>
            <w:r w:rsidRPr="008E1614">
              <w:rPr>
                <w:sz w:val="22"/>
                <w:szCs w:val="24"/>
                <w:lang w:val="en-GB"/>
              </w:rPr>
              <w:sym w:font="Symbol" w:char="F0B7"/>
            </w:r>
            <w:r w:rsidRPr="008E1614">
              <w:rPr>
                <w:sz w:val="22"/>
                <w:szCs w:val="24"/>
                <w:lang w:val="en-GB"/>
              </w:rPr>
              <w:tab/>
            </w:r>
            <w:proofErr w:type="spellStart"/>
            <w:r w:rsidRPr="008E1614">
              <w:rPr>
                <w:b/>
                <w:i/>
                <w:sz w:val="22"/>
                <w:szCs w:val="24"/>
                <w:lang w:val="en-GB"/>
              </w:rPr>
              <w:t>Objętość</w:t>
            </w:r>
            <w:proofErr w:type="spellEnd"/>
            <w:r w:rsidRPr="008E1614">
              <w:rPr>
                <w:b/>
                <w:i/>
                <w:sz w:val="22"/>
                <w:szCs w:val="24"/>
                <w:lang w:val="en-GB"/>
              </w:rPr>
              <w:t xml:space="preserve"> </w:t>
            </w:r>
            <w:proofErr w:type="spellStart"/>
            <w:r w:rsidRPr="008E1614">
              <w:rPr>
                <w:b/>
                <w:i/>
                <w:sz w:val="22"/>
                <w:szCs w:val="24"/>
                <w:lang w:val="en-GB"/>
              </w:rPr>
              <w:t>gleby</w:t>
            </w:r>
            <w:proofErr w:type="spellEnd"/>
            <w:r w:rsidRPr="008E1614">
              <w:rPr>
                <w:b/>
                <w:i/>
                <w:sz w:val="22"/>
                <w:szCs w:val="24"/>
                <w:lang w:val="en-GB"/>
              </w:rPr>
              <w:t xml:space="preserve"> </w:t>
            </w:r>
            <w:proofErr w:type="spellStart"/>
            <w:r w:rsidRPr="008E1614">
              <w:rPr>
                <w:b/>
                <w:i/>
                <w:sz w:val="22"/>
                <w:szCs w:val="24"/>
                <w:lang w:val="en-GB"/>
              </w:rPr>
              <w:t>nasyconej</w:t>
            </w:r>
            <w:proofErr w:type="spellEnd"/>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 (opcjonalnie))</w:t>
            </w: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Zakwaszenie</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60"/>
              <w:ind w:left="346" w:hanging="360"/>
              <w:contextualSpacing/>
              <w:rPr>
                <w:b/>
                <w:i/>
                <w:sz w:val="22"/>
                <w:szCs w:val="22"/>
                <w:lang w:val="en-GB"/>
              </w:rPr>
            </w:pPr>
            <w:r w:rsidRPr="008E1614">
              <w:rPr>
                <w:sz w:val="22"/>
                <w:szCs w:val="24"/>
                <w:lang w:val="en-GB"/>
              </w:rPr>
              <w:sym w:font="Symbol" w:char="F0B7"/>
            </w:r>
            <w:r w:rsidRPr="008E1614">
              <w:rPr>
                <w:sz w:val="22"/>
                <w:szCs w:val="24"/>
                <w:lang w:val="en-GB"/>
              </w:rPr>
              <w:tab/>
            </w:r>
            <w:proofErr w:type="spellStart"/>
            <w:r w:rsidRPr="008E1614">
              <w:rPr>
                <w:b/>
                <w:i/>
                <w:sz w:val="22"/>
                <w:szCs w:val="24"/>
                <w:lang w:val="en-GB"/>
              </w:rPr>
              <w:t>Kwasowość</w:t>
            </w:r>
            <w:proofErr w:type="spellEnd"/>
            <w:r w:rsidRPr="008E1614">
              <w:rPr>
                <w:b/>
                <w:i/>
                <w:sz w:val="22"/>
                <w:szCs w:val="24"/>
                <w:lang w:val="en-GB"/>
              </w:rPr>
              <w:t xml:space="preserve"> </w:t>
            </w:r>
            <w:proofErr w:type="spellStart"/>
            <w:r w:rsidRPr="008E1614">
              <w:rPr>
                <w:b/>
                <w:i/>
                <w:sz w:val="22"/>
                <w:szCs w:val="24"/>
                <w:lang w:val="en-GB"/>
              </w:rPr>
              <w:t>gleby</w:t>
            </w:r>
            <w:proofErr w:type="spellEnd"/>
            <w:r w:rsidRPr="008E1614">
              <w:rPr>
                <w:b/>
                <w:i/>
                <w:sz w:val="22"/>
                <w:szCs w:val="24"/>
                <w:lang w:val="en-GB"/>
              </w:rPr>
              <w:t xml:space="preserve"> (pH H</w:t>
            </w:r>
            <w:r w:rsidRPr="008E1614">
              <w:rPr>
                <w:b/>
                <w:i/>
                <w:sz w:val="22"/>
                <w:szCs w:val="24"/>
                <w:vertAlign w:val="subscript"/>
                <w:lang w:val="en-GB"/>
              </w:rPr>
              <w:t>2</w:t>
            </w:r>
            <w:r w:rsidRPr="008E1614">
              <w:rPr>
                <w:b/>
                <w:i/>
                <w:sz w:val="22"/>
                <w:szCs w:val="24"/>
                <w:lang w:val="en-GB"/>
              </w:rPr>
              <w:t>O)</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 (opcjonalnie))</w:t>
            </w:r>
          </w:p>
        </w:tc>
      </w:tr>
      <w:tr w:rsidR="00524971" w:rsidRPr="008E1614" w:rsidTr="00524971">
        <w:tc>
          <w:tcPr>
            <w:tcW w:w="8926"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Funkcje</w:t>
            </w:r>
            <w:proofErr w:type="spellEnd"/>
            <w:r w:rsidRPr="008E1614">
              <w:rPr>
                <w:b/>
                <w:i/>
                <w:sz w:val="22"/>
                <w:szCs w:val="24"/>
                <w:lang w:val="en-GB"/>
              </w:rPr>
              <w:t xml:space="preserve"> </w:t>
            </w:r>
            <w:proofErr w:type="spellStart"/>
            <w:r w:rsidRPr="008E1614">
              <w:rPr>
                <w:b/>
                <w:i/>
                <w:sz w:val="22"/>
                <w:szCs w:val="24"/>
                <w:lang w:val="en-GB"/>
              </w:rPr>
              <w:t>ekologiczne</w:t>
            </w:r>
            <w:proofErr w:type="spellEnd"/>
            <w:r w:rsidRPr="008E1614">
              <w:rPr>
                <w:b/>
                <w:i/>
                <w:sz w:val="22"/>
                <w:szCs w:val="24"/>
                <w:lang w:val="en-GB"/>
              </w:rPr>
              <w:t xml:space="preserve"> </w:t>
            </w:r>
            <w:proofErr w:type="spellStart"/>
            <w:r w:rsidRPr="008E1614">
              <w:rPr>
                <w:b/>
                <w:i/>
                <w:sz w:val="22"/>
                <w:szCs w:val="24"/>
                <w:lang w:val="en-GB"/>
              </w:rPr>
              <w:t>gleby</w:t>
            </w:r>
            <w:proofErr w:type="spellEnd"/>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Funkcja</w:t>
            </w:r>
            <w:proofErr w:type="spellEnd"/>
            <w:r w:rsidRPr="008E1614">
              <w:rPr>
                <w:b/>
                <w:i/>
                <w:sz w:val="22"/>
                <w:szCs w:val="24"/>
                <w:lang w:val="en-GB"/>
              </w:rPr>
              <w:t xml:space="preserve"> </w:t>
            </w:r>
            <w:proofErr w:type="spellStart"/>
            <w:r w:rsidRPr="008E1614">
              <w:rPr>
                <w:b/>
                <w:i/>
                <w:sz w:val="22"/>
                <w:szCs w:val="24"/>
                <w:lang w:val="en-GB"/>
              </w:rPr>
              <w:t>ekologiczna</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Wskaźnik</w:t>
            </w:r>
            <w:proofErr w:type="spellEnd"/>
            <w:r w:rsidRPr="008E1614">
              <w:rPr>
                <w:b/>
                <w:i/>
                <w:sz w:val="22"/>
                <w:szCs w:val="24"/>
                <w:lang w:val="en-GB"/>
              </w:rPr>
              <w:t xml:space="preserve"> </w:t>
            </w:r>
            <w:proofErr w:type="spellStart"/>
            <w:r w:rsidRPr="008E1614">
              <w:rPr>
                <w:b/>
                <w:i/>
                <w:sz w:val="22"/>
                <w:szCs w:val="24"/>
                <w:lang w:val="en-GB"/>
              </w:rPr>
              <w:t>glebowy</w:t>
            </w:r>
            <w:proofErr w:type="spellEnd"/>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Wyjątki</w:t>
            </w:r>
            <w:proofErr w:type="spellEnd"/>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iCs/>
                <w:sz w:val="22"/>
                <w:szCs w:val="22"/>
                <w:lang w:val="en-GB"/>
              </w:rPr>
            </w:pPr>
            <w:proofErr w:type="spellStart"/>
            <w:r w:rsidRPr="008E1614">
              <w:rPr>
                <w:b/>
                <w:i/>
                <w:sz w:val="22"/>
                <w:szCs w:val="24"/>
                <w:lang w:val="en-GB"/>
              </w:rPr>
              <w:t>Uwagi</w:t>
            </w:r>
            <w:proofErr w:type="spellEnd"/>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Agregacja</w:t>
            </w:r>
            <w:proofErr w:type="spellEnd"/>
            <w:r w:rsidRPr="008E1614">
              <w:rPr>
                <w:b/>
                <w:i/>
                <w:sz w:val="22"/>
                <w:szCs w:val="24"/>
                <w:lang w:val="en-GB"/>
              </w:rPr>
              <w:t xml:space="preserve"> </w:t>
            </w:r>
            <w:proofErr w:type="spellStart"/>
            <w:r w:rsidRPr="008E1614">
              <w:rPr>
                <w:b/>
                <w:i/>
                <w:sz w:val="22"/>
                <w:szCs w:val="24"/>
                <w:lang w:val="en-GB"/>
              </w:rPr>
              <w:t>gleby</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ind w:left="347" w:hanging="360"/>
              <w:contextualSpacing/>
              <w:jc w:val="both"/>
              <w:rPr>
                <w:b/>
                <w:i/>
                <w:sz w:val="22"/>
                <w:szCs w:val="22"/>
                <w:lang w:val="en-GB"/>
              </w:rPr>
            </w:pPr>
            <w:r w:rsidRPr="008E1614">
              <w:rPr>
                <w:sz w:val="22"/>
                <w:szCs w:val="24"/>
                <w:lang w:val="en-GB"/>
              </w:rPr>
              <w:sym w:font="Symbol" w:char="F0B7"/>
            </w:r>
            <w:r w:rsidRPr="008E1614">
              <w:rPr>
                <w:sz w:val="22"/>
                <w:szCs w:val="24"/>
                <w:lang w:val="en-GB"/>
              </w:rPr>
              <w:tab/>
            </w:r>
            <w:proofErr w:type="spellStart"/>
            <w:proofErr w:type="gramStart"/>
            <w:r w:rsidRPr="008E1614">
              <w:rPr>
                <w:b/>
                <w:i/>
                <w:sz w:val="22"/>
                <w:szCs w:val="24"/>
                <w:lang w:val="en-GB"/>
              </w:rPr>
              <w:t>agregaty</w:t>
            </w:r>
            <w:proofErr w:type="spellEnd"/>
            <w:proofErr w:type="gramEnd"/>
            <w:r w:rsidRPr="008E1614">
              <w:rPr>
                <w:b/>
                <w:i/>
                <w:sz w:val="22"/>
                <w:szCs w:val="24"/>
                <w:lang w:val="en-GB"/>
              </w:rPr>
              <w:t xml:space="preserve"> </w:t>
            </w:r>
            <w:proofErr w:type="spellStart"/>
            <w:r w:rsidRPr="008E1614">
              <w:rPr>
                <w:b/>
                <w:i/>
                <w:sz w:val="22"/>
                <w:szCs w:val="24"/>
                <w:lang w:val="en-GB"/>
              </w:rPr>
              <w:t>stabilne</w:t>
            </w:r>
            <w:proofErr w:type="spellEnd"/>
            <w:r w:rsidRPr="008E1614">
              <w:rPr>
                <w:b/>
                <w:i/>
                <w:sz w:val="22"/>
                <w:szCs w:val="24"/>
                <w:lang w:val="en-GB"/>
              </w:rPr>
              <w:t xml:space="preserve"> w </w:t>
            </w:r>
            <w:proofErr w:type="spellStart"/>
            <w:r w:rsidRPr="008E1614">
              <w:rPr>
                <w:b/>
                <w:i/>
                <w:sz w:val="22"/>
                <w:szCs w:val="24"/>
                <w:lang w:val="en-GB"/>
              </w:rPr>
              <w:t>wodzie</w:t>
            </w:r>
            <w:proofErr w:type="spellEnd"/>
            <w:r w:rsidRPr="008E1614">
              <w:rPr>
                <w:b/>
                <w:i/>
                <w:sz w:val="22"/>
                <w:szCs w:val="24"/>
                <w:lang w:val="en-GB"/>
              </w:rPr>
              <w:t xml:space="preserve"> (%)</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 (opcjonalnie))</w:t>
            </w: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Oddychanie</w:t>
            </w:r>
            <w:proofErr w:type="spellEnd"/>
            <w:r w:rsidRPr="008E1614">
              <w:rPr>
                <w:b/>
                <w:i/>
                <w:sz w:val="22"/>
                <w:szCs w:val="24"/>
                <w:lang w:val="en-GB"/>
              </w:rPr>
              <w:t xml:space="preserve"> </w:t>
            </w:r>
            <w:proofErr w:type="spellStart"/>
            <w:r w:rsidRPr="008E1614">
              <w:rPr>
                <w:b/>
                <w:i/>
                <w:sz w:val="22"/>
                <w:szCs w:val="24"/>
                <w:lang w:val="en-GB"/>
              </w:rPr>
              <w:t>gleby</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ind w:left="347" w:hanging="360"/>
              <w:contextualSpacing/>
              <w:jc w:val="both"/>
              <w:rPr>
                <w:b/>
                <w:i/>
                <w:sz w:val="22"/>
                <w:szCs w:val="22"/>
              </w:rPr>
            </w:pPr>
            <w:r w:rsidRPr="008E1614">
              <w:rPr>
                <w:sz w:val="22"/>
                <w:szCs w:val="24"/>
                <w:lang w:val="en-GB"/>
              </w:rPr>
              <w:sym w:font="Symbol" w:char="F0B7"/>
            </w:r>
            <w:r w:rsidRPr="008E1614">
              <w:rPr>
                <w:sz w:val="22"/>
                <w:szCs w:val="24"/>
              </w:rPr>
              <w:tab/>
            </w:r>
            <w:r w:rsidRPr="008E1614">
              <w:rPr>
                <w:b/>
                <w:i/>
                <w:szCs w:val="24"/>
              </w:rPr>
              <w:t xml:space="preserve">Mikrobiologiczne oddychanie podstawowe gleby (w </w:t>
            </w:r>
            <w:r w:rsidRPr="008E1614">
              <w:rPr>
                <w:b/>
                <w:i/>
                <w:szCs w:val="24"/>
                <w:lang w:val="en-GB"/>
              </w:rPr>
              <w:t>μ</w:t>
            </w:r>
            <w:r w:rsidRPr="008E1614">
              <w:rPr>
                <w:b/>
                <w:i/>
                <w:szCs w:val="24"/>
              </w:rPr>
              <w:t>l O</w:t>
            </w:r>
            <w:r w:rsidRPr="008E1614">
              <w:rPr>
                <w:b/>
                <w:i/>
                <w:szCs w:val="24"/>
                <w:vertAlign w:val="subscript"/>
              </w:rPr>
              <w:t>2</w:t>
            </w:r>
            <w:r w:rsidRPr="008E1614">
              <w:rPr>
                <w:b/>
                <w:i/>
                <w:szCs w:val="24"/>
              </w:rPr>
              <w:t xml:space="preserve"> h</w:t>
            </w:r>
            <w:r w:rsidRPr="008E1614">
              <w:rPr>
                <w:b/>
                <w:i/>
                <w:szCs w:val="24"/>
                <w:vertAlign w:val="superscript"/>
              </w:rPr>
              <w:t>-1</w:t>
            </w:r>
            <w:r w:rsidRPr="008E1614">
              <w:rPr>
                <w:b/>
                <w:i/>
                <w:szCs w:val="24"/>
              </w:rPr>
              <w:t xml:space="preserve"> g</w:t>
            </w:r>
            <w:r w:rsidRPr="008E1614">
              <w:rPr>
                <w:b/>
                <w:i/>
                <w:szCs w:val="24"/>
                <w:vertAlign w:val="superscript"/>
              </w:rPr>
              <w:t>-1</w:t>
            </w:r>
            <w:r w:rsidRPr="008E1614">
              <w:rPr>
                <w:b/>
                <w:i/>
                <w:szCs w:val="24"/>
              </w:rPr>
              <w:t xml:space="preserve"> suchej masy gleby)</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 (opcjonalnie))</w:t>
            </w: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Biomasa</w:t>
            </w:r>
            <w:proofErr w:type="spellEnd"/>
            <w:r w:rsidRPr="008E1614">
              <w:rPr>
                <w:b/>
                <w:i/>
                <w:sz w:val="22"/>
                <w:szCs w:val="24"/>
                <w:lang w:val="en-GB"/>
              </w:rPr>
              <w:t xml:space="preserve"> </w:t>
            </w:r>
            <w:proofErr w:type="spellStart"/>
            <w:r w:rsidRPr="008E1614">
              <w:rPr>
                <w:b/>
                <w:i/>
                <w:sz w:val="22"/>
                <w:szCs w:val="24"/>
                <w:lang w:val="en-GB"/>
              </w:rPr>
              <w:t>gleby</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ind w:left="347" w:hanging="360"/>
              <w:contextualSpacing/>
              <w:jc w:val="both"/>
              <w:rPr>
                <w:b/>
                <w:i/>
                <w:sz w:val="22"/>
                <w:szCs w:val="22"/>
              </w:rPr>
            </w:pPr>
            <w:r w:rsidRPr="008E1614">
              <w:rPr>
                <w:sz w:val="22"/>
                <w:szCs w:val="24"/>
                <w:lang w:val="en-GB"/>
              </w:rPr>
              <w:sym w:font="Symbol" w:char="F0B7"/>
            </w:r>
            <w:r w:rsidRPr="008E1614">
              <w:rPr>
                <w:sz w:val="22"/>
                <w:szCs w:val="24"/>
              </w:rPr>
              <w:tab/>
            </w:r>
            <w:r w:rsidRPr="008E1614">
              <w:rPr>
                <w:b/>
                <w:i/>
                <w:szCs w:val="24"/>
              </w:rPr>
              <w:t>Węgiel w mikrobiologicznej biomasie gleby (</w:t>
            </w:r>
            <w:proofErr w:type="spellStart"/>
            <w:r w:rsidRPr="008E1614">
              <w:rPr>
                <w:b/>
                <w:i/>
                <w:szCs w:val="24"/>
              </w:rPr>
              <w:t>Cmic</w:t>
            </w:r>
            <w:proofErr w:type="spellEnd"/>
            <w:r w:rsidRPr="008E1614">
              <w:rPr>
                <w:b/>
                <w:i/>
                <w:szCs w:val="24"/>
              </w:rPr>
              <w:t xml:space="preserve"> w </w:t>
            </w:r>
            <w:r w:rsidRPr="008E1614">
              <w:rPr>
                <w:b/>
                <w:i/>
                <w:szCs w:val="24"/>
                <w:lang w:val="en-GB"/>
              </w:rPr>
              <w:t>μ</w:t>
            </w:r>
            <w:r w:rsidRPr="008E1614">
              <w:rPr>
                <w:b/>
                <w:i/>
                <w:szCs w:val="24"/>
              </w:rPr>
              <w:t xml:space="preserve">g C </w:t>
            </w:r>
            <w:proofErr w:type="gramStart"/>
            <w:r w:rsidRPr="008E1614">
              <w:rPr>
                <w:b/>
                <w:i/>
                <w:szCs w:val="24"/>
              </w:rPr>
              <w:t>g</w:t>
            </w:r>
            <w:r w:rsidRPr="008E1614">
              <w:rPr>
                <w:b/>
                <w:i/>
                <w:szCs w:val="24"/>
                <w:vertAlign w:val="superscript"/>
              </w:rPr>
              <w:t>-1</w:t>
            </w:r>
            <w:r w:rsidRPr="008E1614">
              <w:rPr>
                <w:b/>
                <w:i/>
                <w:szCs w:val="24"/>
              </w:rPr>
              <w:t xml:space="preserve">  suchej</w:t>
            </w:r>
            <w:proofErr w:type="gramEnd"/>
            <w:r w:rsidRPr="008E1614">
              <w:rPr>
                <w:b/>
                <w:i/>
                <w:szCs w:val="24"/>
              </w:rPr>
              <w:t xml:space="preserve"> masy gleby)</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 (opcjonalnie))</w:t>
            </w:r>
          </w:p>
        </w:tc>
      </w:tr>
      <w:tr w:rsidR="00524971" w:rsidRPr="008E1614" w:rsidTr="00524971">
        <w:tc>
          <w:tcPr>
            <w:tcW w:w="8926"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sz w:val="22"/>
                <w:szCs w:val="22"/>
                <w:lang w:val="en-GB"/>
              </w:rPr>
            </w:pPr>
            <w:proofErr w:type="spellStart"/>
            <w:r w:rsidRPr="008E1614">
              <w:rPr>
                <w:b/>
                <w:i/>
                <w:sz w:val="22"/>
                <w:szCs w:val="24"/>
                <w:lang w:val="en-GB"/>
              </w:rPr>
              <w:lastRenderedPageBreak/>
              <w:t>Różnorodność</w:t>
            </w:r>
            <w:proofErr w:type="spellEnd"/>
            <w:r w:rsidRPr="008E1614">
              <w:rPr>
                <w:b/>
                <w:i/>
                <w:sz w:val="22"/>
                <w:szCs w:val="24"/>
                <w:lang w:val="en-GB"/>
              </w:rPr>
              <w:t xml:space="preserve"> </w:t>
            </w:r>
            <w:proofErr w:type="spellStart"/>
            <w:r w:rsidRPr="008E1614">
              <w:rPr>
                <w:b/>
                <w:i/>
                <w:sz w:val="22"/>
                <w:szCs w:val="24"/>
                <w:lang w:val="en-GB"/>
              </w:rPr>
              <w:t>biologiczna</w:t>
            </w:r>
            <w:proofErr w:type="spellEnd"/>
            <w:r w:rsidRPr="008E1614">
              <w:rPr>
                <w:b/>
                <w:i/>
                <w:sz w:val="22"/>
                <w:szCs w:val="24"/>
                <w:lang w:val="en-GB"/>
              </w:rPr>
              <w:t xml:space="preserve"> </w:t>
            </w:r>
            <w:proofErr w:type="spellStart"/>
            <w:r w:rsidRPr="008E1614">
              <w:rPr>
                <w:b/>
                <w:i/>
                <w:sz w:val="22"/>
                <w:szCs w:val="24"/>
                <w:lang w:val="en-GB"/>
              </w:rPr>
              <w:t>gleb</w:t>
            </w:r>
            <w:proofErr w:type="spellEnd"/>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Cecha</w:t>
            </w:r>
            <w:proofErr w:type="spellEnd"/>
            <w:r w:rsidRPr="008E1614">
              <w:rPr>
                <w:b/>
                <w:i/>
                <w:sz w:val="22"/>
                <w:szCs w:val="24"/>
                <w:lang w:val="en-GB"/>
              </w:rPr>
              <w:t xml:space="preserve"> </w:t>
            </w:r>
            <w:proofErr w:type="spellStart"/>
            <w:r w:rsidRPr="008E1614">
              <w:rPr>
                <w:b/>
                <w:i/>
                <w:sz w:val="22"/>
                <w:szCs w:val="24"/>
                <w:lang w:val="en-GB"/>
              </w:rPr>
              <w:t>różnorodności</w:t>
            </w:r>
            <w:proofErr w:type="spellEnd"/>
            <w:r w:rsidRPr="008E1614">
              <w:rPr>
                <w:b/>
                <w:i/>
                <w:sz w:val="22"/>
                <w:szCs w:val="24"/>
                <w:lang w:val="en-GB"/>
              </w:rPr>
              <w:t xml:space="preserve"> </w:t>
            </w:r>
            <w:proofErr w:type="spellStart"/>
            <w:r w:rsidRPr="008E1614">
              <w:rPr>
                <w:b/>
                <w:i/>
                <w:sz w:val="22"/>
                <w:szCs w:val="24"/>
                <w:lang w:val="en-GB"/>
              </w:rPr>
              <w:t>biologicznej</w:t>
            </w:r>
            <w:proofErr w:type="spellEnd"/>
            <w:r w:rsidRPr="008E1614">
              <w:rPr>
                <w:b/>
                <w:i/>
                <w:sz w:val="22"/>
                <w:szCs w:val="24"/>
                <w:lang w:val="en-GB"/>
              </w:rPr>
              <w:t xml:space="preserve"> </w:t>
            </w:r>
            <w:proofErr w:type="spellStart"/>
            <w:r w:rsidRPr="008E1614">
              <w:rPr>
                <w:b/>
                <w:i/>
                <w:sz w:val="22"/>
                <w:szCs w:val="24"/>
                <w:lang w:val="en-GB"/>
              </w:rPr>
              <w:t>gleb</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Wskaźnik</w:t>
            </w:r>
            <w:proofErr w:type="spellEnd"/>
            <w:r w:rsidRPr="008E1614">
              <w:rPr>
                <w:b/>
                <w:i/>
                <w:sz w:val="22"/>
                <w:szCs w:val="24"/>
                <w:lang w:val="en-GB"/>
              </w:rPr>
              <w:t xml:space="preserve"> </w:t>
            </w:r>
            <w:proofErr w:type="spellStart"/>
            <w:r w:rsidRPr="008E1614">
              <w:rPr>
                <w:b/>
                <w:i/>
                <w:sz w:val="22"/>
                <w:szCs w:val="24"/>
                <w:lang w:val="en-GB"/>
              </w:rPr>
              <w:t>glebowy</w:t>
            </w:r>
            <w:proofErr w:type="spellEnd"/>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Wyjątki</w:t>
            </w:r>
            <w:proofErr w:type="spellEnd"/>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bCs/>
                <w:i/>
                <w:iCs/>
                <w:sz w:val="22"/>
                <w:szCs w:val="22"/>
                <w:lang w:val="en-GB"/>
              </w:rPr>
            </w:pPr>
            <w:proofErr w:type="spellStart"/>
            <w:r w:rsidRPr="008E1614">
              <w:rPr>
                <w:b/>
                <w:i/>
                <w:sz w:val="22"/>
                <w:szCs w:val="24"/>
                <w:lang w:val="en-GB"/>
              </w:rPr>
              <w:t>Uwagi</w:t>
            </w:r>
            <w:proofErr w:type="spellEnd"/>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Różnorodność</w:t>
            </w:r>
            <w:proofErr w:type="spellEnd"/>
            <w:r w:rsidRPr="008E1614">
              <w:rPr>
                <w:b/>
                <w:i/>
                <w:sz w:val="22"/>
                <w:szCs w:val="24"/>
                <w:lang w:val="en-GB"/>
              </w:rPr>
              <w:t xml:space="preserve"> </w:t>
            </w:r>
            <w:proofErr w:type="spellStart"/>
            <w:r w:rsidRPr="008E1614">
              <w:rPr>
                <w:b/>
                <w:i/>
                <w:sz w:val="22"/>
                <w:szCs w:val="24"/>
                <w:lang w:val="en-GB"/>
              </w:rPr>
              <w:t>taksonomiczna</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ind w:left="347" w:hanging="360"/>
              <w:contextualSpacing/>
              <w:jc w:val="both"/>
              <w:rPr>
                <w:b/>
                <w:i/>
                <w:sz w:val="22"/>
                <w:szCs w:val="22"/>
              </w:rPr>
            </w:pPr>
            <w:r w:rsidRPr="008E1614">
              <w:rPr>
                <w:sz w:val="22"/>
                <w:szCs w:val="24"/>
                <w:lang w:val="en-GB"/>
              </w:rPr>
              <w:sym w:font="Symbol" w:char="F0B7"/>
            </w:r>
            <w:r w:rsidRPr="008E1614">
              <w:rPr>
                <w:sz w:val="22"/>
                <w:szCs w:val="24"/>
              </w:rPr>
              <w:tab/>
            </w:r>
            <w:r w:rsidRPr="008E1614">
              <w:rPr>
                <w:b/>
                <w:i/>
                <w:szCs w:val="24"/>
              </w:rPr>
              <w:t xml:space="preserve">Różnorodność organizmów glebowych (wynikająca z liczby obecnych organizmów na grupę taksonomiczną) na podstawie </w:t>
            </w:r>
            <w:proofErr w:type="spellStart"/>
            <w:r w:rsidRPr="008E1614">
              <w:rPr>
                <w:b/>
                <w:i/>
                <w:szCs w:val="24"/>
              </w:rPr>
              <w:t>metabarkodowania</w:t>
            </w:r>
            <w:proofErr w:type="spellEnd"/>
            <w:r w:rsidRPr="008E1614">
              <w:rPr>
                <w:b/>
                <w:i/>
                <w:szCs w:val="24"/>
              </w:rPr>
              <w:t xml:space="preserve"> ukierunkowanego na regiony genów </w:t>
            </w:r>
            <w:proofErr w:type="spellStart"/>
            <w:r w:rsidRPr="008E1614">
              <w:rPr>
                <w:b/>
                <w:i/>
                <w:szCs w:val="24"/>
              </w:rPr>
              <w:t>16S</w:t>
            </w:r>
            <w:proofErr w:type="spellEnd"/>
            <w:r w:rsidRPr="008E1614">
              <w:rPr>
                <w:b/>
                <w:i/>
                <w:szCs w:val="24"/>
              </w:rPr>
              <w:t xml:space="preserve"> i </w:t>
            </w:r>
            <w:proofErr w:type="spellStart"/>
            <w:r w:rsidRPr="008E1614">
              <w:rPr>
                <w:b/>
                <w:i/>
                <w:szCs w:val="24"/>
              </w:rPr>
              <w:t>18S</w:t>
            </w:r>
            <w:proofErr w:type="spellEnd"/>
            <w:r w:rsidRPr="008E1614">
              <w:rPr>
                <w:b/>
                <w:i/>
                <w:szCs w:val="24"/>
              </w:rPr>
              <w:t xml:space="preserve"> </w:t>
            </w:r>
            <w:proofErr w:type="spellStart"/>
            <w:r w:rsidRPr="008E1614">
              <w:rPr>
                <w:b/>
                <w:i/>
                <w:szCs w:val="24"/>
              </w:rPr>
              <w:t>rRNA</w:t>
            </w:r>
            <w:proofErr w:type="spellEnd"/>
            <w:r w:rsidRPr="008E1614">
              <w:rPr>
                <w:b/>
                <w:i/>
                <w:szCs w:val="24"/>
              </w:rPr>
              <w:t xml:space="preserve"> oraz przy użyciu wewnętrznej transkrybowanej sekwencji rozdzielającej (ITS), w szczególności w odniesieniu do grzybów (dodatkowo można rozważyć inne markery, takie jak COI dla fauny glebowej)</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 (opcjonalnie))</w:t>
            </w: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Liczebność</w:t>
            </w:r>
            <w:proofErr w:type="spellEnd"/>
            <w:r w:rsidRPr="008E1614">
              <w:rPr>
                <w:b/>
                <w:i/>
                <w:sz w:val="22"/>
                <w:szCs w:val="24"/>
                <w:lang w:val="en-GB"/>
              </w:rPr>
              <w:t xml:space="preserve"> </w:t>
            </w:r>
            <w:proofErr w:type="spellStart"/>
            <w:r w:rsidRPr="008E1614">
              <w:rPr>
                <w:b/>
                <w:i/>
                <w:sz w:val="22"/>
                <w:szCs w:val="24"/>
                <w:lang w:val="en-GB"/>
              </w:rPr>
              <w:t>populacji</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ind w:left="347" w:hanging="360"/>
              <w:contextualSpacing/>
              <w:jc w:val="both"/>
              <w:rPr>
                <w:b/>
                <w:i/>
                <w:sz w:val="22"/>
                <w:szCs w:val="22"/>
              </w:rPr>
            </w:pPr>
            <w:r w:rsidRPr="008E1614">
              <w:rPr>
                <w:sz w:val="22"/>
                <w:szCs w:val="24"/>
                <w:lang w:val="en-GB"/>
              </w:rPr>
              <w:sym w:font="Symbol" w:char="F0B7"/>
            </w:r>
            <w:r w:rsidRPr="008E1614">
              <w:rPr>
                <w:sz w:val="22"/>
                <w:szCs w:val="24"/>
              </w:rPr>
              <w:tab/>
            </w:r>
            <w:r w:rsidRPr="008E1614">
              <w:rPr>
                <w:b/>
                <w:i/>
                <w:szCs w:val="24"/>
              </w:rPr>
              <w:t xml:space="preserve">Całkowita liczebność bakterii i </w:t>
            </w:r>
            <w:proofErr w:type="spellStart"/>
            <w:r w:rsidRPr="008E1614">
              <w:rPr>
                <w:b/>
                <w:i/>
                <w:szCs w:val="24"/>
              </w:rPr>
              <w:t>archeonów</w:t>
            </w:r>
            <w:proofErr w:type="spellEnd"/>
            <w:r w:rsidRPr="008E1614">
              <w:rPr>
                <w:b/>
                <w:i/>
                <w:szCs w:val="24"/>
              </w:rPr>
              <w:t xml:space="preserve"> (przy użyciu kopii regionu genów </w:t>
            </w:r>
            <w:proofErr w:type="spellStart"/>
            <w:r w:rsidRPr="008E1614">
              <w:rPr>
                <w:b/>
                <w:i/>
                <w:szCs w:val="24"/>
              </w:rPr>
              <w:t>16S</w:t>
            </w:r>
            <w:proofErr w:type="spellEnd"/>
            <w:r w:rsidRPr="008E1614">
              <w:rPr>
                <w:b/>
                <w:i/>
                <w:szCs w:val="24"/>
              </w:rPr>
              <w:t xml:space="preserve"> </w:t>
            </w:r>
            <w:proofErr w:type="spellStart"/>
            <w:r w:rsidRPr="008E1614">
              <w:rPr>
                <w:b/>
                <w:i/>
                <w:szCs w:val="24"/>
              </w:rPr>
              <w:t>rRNA</w:t>
            </w:r>
            <w:proofErr w:type="spellEnd"/>
            <w:r w:rsidRPr="008E1614">
              <w:rPr>
                <w:b/>
                <w:i/>
                <w:szCs w:val="24"/>
              </w:rPr>
              <w:t>)</w:t>
            </w:r>
          </w:p>
          <w:p w:rsidR="00524971" w:rsidRPr="008E1614" w:rsidRDefault="00524971" w:rsidP="008E1614">
            <w:pPr>
              <w:spacing w:before="120" w:after="120"/>
              <w:ind w:left="347" w:hanging="360"/>
              <w:contextualSpacing/>
              <w:jc w:val="both"/>
              <w:rPr>
                <w:b/>
                <w:i/>
                <w:sz w:val="22"/>
                <w:szCs w:val="22"/>
              </w:rPr>
            </w:pPr>
            <w:r w:rsidRPr="008E1614">
              <w:rPr>
                <w:sz w:val="22"/>
                <w:szCs w:val="24"/>
                <w:lang w:val="en-GB"/>
              </w:rPr>
              <w:sym w:font="Symbol" w:char="F0B7"/>
            </w:r>
            <w:r w:rsidRPr="008E1614">
              <w:rPr>
                <w:sz w:val="22"/>
                <w:szCs w:val="24"/>
              </w:rPr>
              <w:tab/>
            </w:r>
            <w:r w:rsidRPr="008E1614">
              <w:rPr>
                <w:b/>
                <w:i/>
                <w:szCs w:val="24"/>
              </w:rPr>
              <w:t xml:space="preserve">Całkowita liczebność grzybów (przy użyciu kopii regionu genów </w:t>
            </w:r>
            <w:proofErr w:type="spellStart"/>
            <w:r w:rsidRPr="008E1614">
              <w:rPr>
                <w:b/>
                <w:i/>
                <w:szCs w:val="24"/>
              </w:rPr>
              <w:t>18S</w:t>
            </w:r>
            <w:proofErr w:type="spellEnd"/>
            <w:r w:rsidRPr="008E1614">
              <w:rPr>
                <w:b/>
                <w:i/>
                <w:szCs w:val="24"/>
              </w:rPr>
              <w:t xml:space="preserve"> </w:t>
            </w:r>
            <w:proofErr w:type="spellStart"/>
            <w:r w:rsidRPr="008E1614">
              <w:rPr>
                <w:b/>
                <w:i/>
                <w:szCs w:val="24"/>
              </w:rPr>
              <w:t>rRNA</w:t>
            </w:r>
            <w:proofErr w:type="spellEnd"/>
            <w:r w:rsidRPr="008E1614">
              <w:rPr>
                <w:b/>
                <w:i/>
                <w:szCs w:val="24"/>
              </w:rPr>
              <w:t>)</w:t>
            </w:r>
          </w:p>
          <w:p w:rsidR="00524971" w:rsidRPr="008E1614" w:rsidRDefault="00524971" w:rsidP="008E1614">
            <w:pPr>
              <w:spacing w:before="120" w:after="120"/>
              <w:ind w:left="347" w:hanging="360"/>
              <w:contextualSpacing/>
              <w:jc w:val="both"/>
              <w:rPr>
                <w:b/>
                <w:i/>
                <w:sz w:val="22"/>
                <w:szCs w:val="22"/>
              </w:rPr>
            </w:pPr>
            <w:r w:rsidRPr="008E1614">
              <w:rPr>
                <w:sz w:val="22"/>
                <w:szCs w:val="24"/>
                <w:lang w:val="en-GB"/>
              </w:rPr>
              <w:sym w:font="Symbol" w:char="F0B7"/>
            </w:r>
            <w:r w:rsidRPr="008E1614">
              <w:rPr>
                <w:sz w:val="22"/>
                <w:szCs w:val="24"/>
              </w:rPr>
              <w:tab/>
            </w:r>
            <w:r w:rsidRPr="008E1614">
              <w:rPr>
                <w:b/>
                <w:i/>
                <w:szCs w:val="24"/>
              </w:rPr>
              <w:t>Całkowita liczba i odsetek grzybów chorobotwórczych</w:t>
            </w:r>
          </w:p>
          <w:p w:rsidR="00524971" w:rsidRPr="008E1614" w:rsidRDefault="00524971" w:rsidP="008E1614">
            <w:pPr>
              <w:spacing w:before="120" w:after="120"/>
              <w:ind w:left="347" w:hanging="360"/>
              <w:contextualSpacing/>
              <w:jc w:val="both"/>
              <w:rPr>
                <w:b/>
                <w:i/>
                <w:szCs w:val="24"/>
              </w:rPr>
            </w:pPr>
            <w:r w:rsidRPr="008E1614">
              <w:rPr>
                <w:szCs w:val="24"/>
                <w:lang w:val="en-GB"/>
              </w:rPr>
              <w:sym w:font="Symbol" w:char="F0B7"/>
            </w:r>
            <w:r w:rsidRPr="008E1614">
              <w:rPr>
                <w:szCs w:val="24"/>
              </w:rPr>
              <w:tab/>
            </w:r>
            <w:r w:rsidRPr="008E1614">
              <w:rPr>
                <w:b/>
                <w:i/>
                <w:sz w:val="22"/>
                <w:szCs w:val="24"/>
              </w:rPr>
              <w:t>Całkowita liczebność nicieni na grupę funkcjonalną na podstawie morfologii (odżywiające się bakteriami, odżywiające się grzybami, odżywiające się korzeniami, wszystkożerne, drapieżniki)</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 (opcjonalnie))</w:t>
            </w:r>
          </w:p>
        </w:tc>
      </w:tr>
      <w:tr w:rsidR="00524971" w:rsidRPr="008E1614" w:rsidTr="00524971">
        <w:tc>
          <w:tcPr>
            <w:tcW w:w="8926"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Siedlisko</w:t>
            </w:r>
            <w:proofErr w:type="spellEnd"/>
            <w:r w:rsidRPr="008E1614">
              <w:rPr>
                <w:b/>
                <w:i/>
                <w:sz w:val="22"/>
                <w:szCs w:val="24"/>
                <w:lang w:val="en-GB"/>
              </w:rPr>
              <w:t xml:space="preserve"> </w:t>
            </w:r>
            <w:proofErr w:type="spellStart"/>
            <w:r w:rsidRPr="008E1614">
              <w:rPr>
                <w:b/>
                <w:i/>
                <w:sz w:val="22"/>
                <w:szCs w:val="24"/>
                <w:lang w:val="en-GB"/>
              </w:rPr>
              <w:t>glebowe</w:t>
            </w:r>
            <w:proofErr w:type="spellEnd"/>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lastRenderedPageBreak/>
              <w:t>Cecha</w:t>
            </w:r>
            <w:proofErr w:type="spellEnd"/>
            <w:r w:rsidRPr="008E1614">
              <w:rPr>
                <w:b/>
                <w:i/>
                <w:sz w:val="22"/>
                <w:szCs w:val="24"/>
                <w:lang w:val="en-GB"/>
              </w:rPr>
              <w:t xml:space="preserve"> </w:t>
            </w:r>
            <w:proofErr w:type="spellStart"/>
            <w:r w:rsidRPr="008E1614">
              <w:rPr>
                <w:b/>
                <w:i/>
                <w:sz w:val="22"/>
                <w:szCs w:val="24"/>
                <w:lang w:val="en-GB"/>
              </w:rPr>
              <w:t>siedliska</w:t>
            </w:r>
            <w:proofErr w:type="spellEnd"/>
            <w:r w:rsidRPr="008E1614">
              <w:rPr>
                <w:b/>
                <w:i/>
                <w:sz w:val="22"/>
                <w:szCs w:val="24"/>
                <w:lang w:val="en-GB"/>
              </w:rPr>
              <w:t xml:space="preserve"> </w:t>
            </w:r>
            <w:proofErr w:type="spellStart"/>
            <w:r w:rsidRPr="008E1614">
              <w:rPr>
                <w:b/>
                <w:i/>
                <w:sz w:val="22"/>
                <w:szCs w:val="24"/>
                <w:lang w:val="en-GB"/>
              </w:rPr>
              <w:t>glebowego</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Wskaźnik</w:t>
            </w:r>
            <w:proofErr w:type="spellEnd"/>
            <w:r w:rsidRPr="008E1614">
              <w:rPr>
                <w:b/>
                <w:i/>
                <w:sz w:val="22"/>
                <w:szCs w:val="24"/>
                <w:lang w:val="en-GB"/>
              </w:rPr>
              <w:t xml:space="preserve"> </w:t>
            </w:r>
            <w:proofErr w:type="spellStart"/>
            <w:r w:rsidRPr="008E1614">
              <w:rPr>
                <w:b/>
                <w:i/>
                <w:sz w:val="22"/>
                <w:szCs w:val="24"/>
                <w:lang w:val="en-GB"/>
              </w:rPr>
              <w:t>glebowy</w:t>
            </w:r>
            <w:proofErr w:type="spellEnd"/>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Wyjątki</w:t>
            </w:r>
            <w:proofErr w:type="spellEnd"/>
          </w:p>
        </w:tc>
        <w:tc>
          <w:tcPr>
            <w:tcW w:w="1512"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jc w:val="both"/>
              <w:rPr>
                <w:b/>
                <w:bCs/>
                <w:i/>
                <w:iCs/>
                <w:sz w:val="22"/>
                <w:szCs w:val="22"/>
                <w:lang w:val="en-GB" w:eastAsia="en-US"/>
              </w:rPr>
            </w:pPr>
          </w:p>
        </w:tc>
      </w:tr>
      <w:tr w:rsidR="00524971" w:rsidRPr="008E1614" w:rsidTr="00524971">
        <w:tc>
          <w:tcPr>
            <w:tcW w:w="2674"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proofErr w:type="spellStart"/>
            <w:r w:rsidRPr="008E1614">
              <w:rPr>
                <w:b/>
                <w:i/>
                <w:sz w:val="22"/>
                <w:szCs w:val="24"/>
                <w:lang w:val="en-GB"/>
              </w:rPr>
              <w:t>Struktura</w:t>
            </w:r>
            <w:proofErr w:type="spellEnd"/>
            <w:r w:rsidRPr="008E1614">
              <w:rPr>
                <w:b/>
                <w:i/>
                <w:sz w:val="22"/>
                <w:szCs w:val="24"/>
                <w:lang w:val="en-GB"/>
              </w:rPr>
              <w:t xml:space="preserve"> </w:t>
            </w:r>
            <w:proofErr w:type="spellStart"/>
            <w:r w:rsidRPr="008E1614">
              <w:rPr>
                <w:b/>
                <w:i/>
                <w:sz w:val="22"/>
                <w:szCs w:val="24"/>
                <w:lang w:val="en-GB"/>
              </w:rPr>
              <w:t>gleby</w:t>
            </w:r>
            <w:proofErr w:type="spellEnd"/>
          </w:p>
        </w:tc>
        <w:tc>
          <w:tcPr>
            <w:tcW w:w="27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ind w:left="347" w:hanging="360"/>
              <w:contextualSpacing/>
              <w:jc w:val="both"/>
              <w:rPr>
                <w:b/>
                <w:i/>
                <w:sz w:val="22"/>
                <w:szCs w:val="22"/>
              </w:rPr>
            </w:pPr>
            <w:r w:rsidRPr="008E1614">
              <w:rPr>
                <w:sz w:val="22"/>
                <w:szCs w:val="24"/>
                <w:lang w:val="en-GB"/>
              </w:rPr>
              <w:sym w:font="Symbol" w:char="F0B7"/>
            </w:r>
            <w:r w:rsidRPr="008E1614">
              <w:rPr>
                <w:sz w:val="22"/>
                <w:szCs w:val="24"/>
              </w:rPr>
              <w:tab/>
            </w:r>
            <w:r w:rsidRPr="008E1614">
              <w:rPr>
                <w:b/>
                <w:i/>
                <w:sz w:val="22"/>
                <w:szCs w:val="24"/>
              </w:rPr>
              <w:t>Proporcje klas wielkości (piasek, muł, glina)</w:t>
            </w:r>
          </w:p>
          <w:p w:rsidR="00524971" w:rsidRPr="008E1614" w:rsidRDefault="00524971" w:rsidP="008E1614">
            <w:pPr>
              <w:spacing w:before="120" w:after="120"/>
              <w:ind w:left="347" w:hanging="360"/>
              <w:contextualSpacing/>
              <w:jc w:val="both"/>
              <w:rPr>
                <w:b/>
                <w:i/>
                <w:szCs w:val="24"/>
                <w:lang w:val="en-GB"/>
              </w:rPr>
            </w:pPr>
            <w:r w:rsidRPr="008E1614">
              <w:rPr>
                <w:szCs w:val="24"/>
                <w:lang w:val="en-GB"/>
              </w:rPr>
              <w:sym w:font="Symbol" w:char="F0B7"/>
            </w:r>
            <w:r w:rsidRPr="008E1614">
              <w:rPr>
                <w:szCs w:val="24"/>
                <w:lang w:val="en-GB"/>
              </w:rPr>
              <w:tab/>
            </w:r>
            <w:proofErr w:type="spellStart"/>
            <w:r w:rsidRPr="008E1614">
              <w:rPr>
                <w:b/>
                <w:i/>
                <w:sz w:val="22"/>
                <w:szCs w:val="24"/>
                <w:lang w:val="en-GB"/>
              </w:rPr>
              <w:t>Odsetek</w:t>
            </w:r>
            <w:proofErr w:type="spellEnd"/>
            <w:r w:rsidRPr="008E1614">
              <w:rPr>
                <w:b/>
                <w:i/>
                <w:sz w:val="22"/>
                <w:szCs w:val="24"/>
                <w:lang w:val="en-GB"/>
              </w:rPr>
              <w:t xml:space="preserve"> </w:t>
            </w:r>
            <w:proofErr w:type="spellStart"/>
            <w:r w:rsidRPr="008E1614">
              <w:rPr>
                <w:b/>
                <w:i/>
                <w:sz w:val="22"/>
                <w:szCs w:val="24"/>
                <w:lang w:val="en-GB"/>
              </w:rPr>
              <w:t>materiałów</w:t>
            </w:r>
            <w:proofErr w:type="spellEnd"/>
            <w:r w:rsidRPr="008E1614">
              <w:rPr>
                <w:b/>
                <w:i/>
                <w:sz w:val="22"/>
                <w:szCs w:val="24"/>
                <w:lang w:val="en-GB"/>
              </w:rPr>
              <w:t xml:space="preserve"> </w:t>
            </w:r>
            <w:proofErr w:type="spellStart"/>
            <w:r w:rsidRPr="008E1614">
              <w:rPr>
                <w:b/>
                <w:i/>
                <w:sz w:val="22"/>
                <w:szCs w:val="24"/>
                <w:lang w:val="en-GB"/>
              </w:rPr>
              <w:t>gruboziarnistych</w:t>
            </w:r>
            <w:proofErr w:type="spellEnd"/>
            <w:r w:rsidRPr="008E1614">
              <w:rPr>
                <w:b/>
                <w:i/>
                <w:sz w:val="22"/>
                <w:szCs w:val="24"/>
                <w:lang w:val="en-GB"/>
              </w:rPr>
              <w:t xml:space="preserve"> (&gt;2 mm)</w:t>
            </w:r>
          </w:p>
        </w:tc>
        <w:tc>
          <w:tcPr>
            <w:tcW w:w="201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lang w:val="en-GB"/>
              </w:rPr>
            </w:pPr>
            <w:r w:rsidRPr="008E1614">
              <w:rPr>
                <w:b/>
                <w:i/>
                <w:sz w:val="22"/>
                <w:szCs w:val="24"/>
                <w:lang w:val="en-GB"/>
              </w:rPr>
              <w:t>-</w:t>
            </w:r>
          </w:p>
        </w:tc>
        <w:tc>
          <w:tcPr>
            <w:tcW w:w="151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jc w:val="both"/>
              <w:rPr>
                <w:b/>
                <w:i/>
                <w:sz w:val="22"/>
                <w:szCs w:val="22"/>
              </w:rPr>
            </w:pPr>
            <w:r w:rsidRPr="008E1614">
              <w:rPr>
                <w:b/>
                <w:i/>
                <w:sz w:val="22"/>
                <w:szCs w:val="24"/>
              </w:rPr>
              <w:t>Należy przeprowadzić dla wierzchniej warstwy gleby (0–10 cm, 10–30 cm)</w:t>
            </w:r>
          </w:p>
        </w:tc>
      </w:tr>
    </w:tbl>
    <w:p w:rsidR="00524971" w:rsidRPr="008E1614" w:rsidRDefault="00524971" w:rsidP="008E1614">
      <w:pPr>
        <w:spacing w:before="120" w:after="120"/>
        <w:rPr>
          <w:b/>
          <w:szCs w:val="24"/>
          <w:lang w:val="en-GB" w:eastAsia="en-US"/>
        </w:rPr>
      </w:pPr>
      <w:r w:rsidRPr="008E1614">
        <w:rPr>
          <w:b/>
          <w:szCs w:val="24"/>
          <w:lang w:eastAsia="en-US"/>
        </w:rPr>
        <w:t xml:space="preserve"> </w:t>
      </w:r>
      <w:r w:rsidRPr="008E1614">
        <w:rPr>
          <w:b/>
          <w:szCs w:val="24"/>
          <w:lang w:val="en-GB" w:eastAsia="en-US"/>
        </w:rPr>
        <w:t>[</w:t>
      </w:r>
      <w:proofErr w:type="spellStart"/>
      <w:r w:rsidR="00134EB8">
        <w:rPr>
          <w:b/>
          <w:szCs w:val="24"/>
          <w:lang w:val="en-GB" w:eastAsia="en-US"/>
        </w:rPr>
        <w:t>Popr</w:t>
      </w:r>
      <w:proofErr w:type="spellEnd"/>
      <w:r w:rsidR="00134EB8">
        <w:rPr>
          <w:b/>
          <w:szCs w:val="24"/>
          <w:lang w:val="en-GB" w:eastAsia="en-US"/>
        </w:rPr>
        <w:t>.</w:t>
      </w:r>
      <w:r w:rsidRPr="008E1614">
        <w:rPr>
          <w:b/>
          <w:szCs w:val="24"/>
          <w:lang w:val="en-GB" w:eastAsia="en-US"/>
        </w:rPr>
        <w:t> 198]</w:t>
      </w:r>
    </w:p>
    <w:p w:rsidR="00524971" w:rsidRPr="008E1614" w:rsidRDefault="00524971" w:rsidP="008E1614">
      <w:pPr>
        <w:spacing w:before="120" w:after="120"/>
        <w:rPr>
          <w:szCs w:val="24"/>
          <w:lang w:val="en-GB" w:eastAsia="en-US"/>
        </w:rPr>
      </w:pPr>
      <w:r w:rsidRPr="008E1614">
        <w:rPr>
          <w:szCs w:val="24"/>
          <w:lang w:val="en-GB" w:eastAsia="en-US"/>
        </w:rPr>
        <w:br w:type="page"/>
      </w:r>
    </w:p>
    <w:tbl>
      <w:tblPr>
        <w:tblStyle w:val="TableGrid1"/>
        <w:tblW w:w="9039" w:type="dxa"/>
        <w:tblLook w:val="04A0" w:firstRow="1" w:lastRow="0" w:firstColumn="1" w:lastColumn="0" w:noHBand="0" w:noVBand="1"/>
      </w:tblPr>
      <w:tblGrid>
        <w:gridCol w:w="1909"/>
        <w:gridCol w:w="2096"/>
        <w:gridCol w:w="2732"/>
        <w:gridCol w:w="2302"/>
      </w:tblGrid>
      <w:tr w:rsidR="00524971" w:rsidRPr="008E1614" w:rsidTr="00524971">
        <w:trPr>
          <w:trHeight w:val="300"/>
          <w:tblHeader/>
        </w:trPr>
        <w:tc>
          <w:tcPr>
            <w:tcW w:w="9039" w:type="dxa"/>
            <w:gridSpan w:val="4"/>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b/>
                <w:i/>
                <w:strike/>
                <w:noProof/>
                <w:szCs w:val="24"/>
              </w:rPr>
              <w:lastRenderedPageBreak/>
              <w:t>Część B: wskaźniki glebowe z kryteriami zdrowego stanu gleby ustanowionymi na szczeblu państw członkowskich</w:t>
            </w:r>
          </w:p>
        </w:tc>
      </w:tr>
      <w:tr w:rsidR="00524971" w:rsidRPr="008E1614" w:rsidTr="00524971">
        <w:trPr>
          <w:trHeight w:val="300"/>
          <w:tblHeader/>
        </w:trPr>
        <w:tc>
          <w:tcPr>
            <w:tcW w:w="9039" w:type="dxa"/>
            <w:gridSpan w:val="4"/>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b/>
                <w:i/>
                <w:strike/>
                <w:noProof/>
                <w:sz w:val="22"/>
              </w:rPr>
            </w:pPr>
          </w:p>
        </w:tc>
      </w:tr>
      <w:tr w:rsidR="00524971" w:rsidRPr="008E1614" w:rsidTr="00524971">
        <w:trPr>
          <w:trHeight w:val="300"/>
          <w:tblHeader/>
        </w:trPr>
        <w:tc>
          <w:tcPr>
            <w:tcW w:w="190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Nadmierna zawartość składników odżywczych w glebie</w:t>
            </w:r>
          </w:p>
        </w:tc>
        <w:tc>
          <w:tcPr>
            <w:tcW w:w="2096"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Fosfor ekstrahowalny (w mg na kg)</w:t>
            </w:r>
          </w:p>
        </w:tc>
        <w:tc>
          <w:tcPr>
            <w:tcW w:w="2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&lt; „wartość maksymalna”; </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„Wartość maksymalną” ustala państwo członkowskie w przedziale 30–50 mg kg</w:t>
            </w:r>
            <w:r w:rsidRPr="008E1614">
              <w:rPr>
                <w:rFonts w:ascii="Times New Roman" w:hAnsi="Times New Roman"/>
                <w:strike/>
                <w:noProof/>
                <w:szCs w:val="24"/>
                <w:vertAlign w:val="superscript"/>
              </w:rPr>
              <w:t>-1</w:t>
            </w:r>
            <w:r w:rsidRPr="008E1614">
              <w:rPr>
                <w:rFonts w:ascii="Times New Roman" w:hAnsi="Times New Roman"/>
                <w:strike/>
                <w:noProof/>
                <w:szCs w:val="24"/>
              </w:rPr>
              <w:t xml:space="preserve"> </w:t>
            </w:r>
          </w:p>
        </w:tc>
        <w:tc>
          <w:tcPr>
            <w:tcW w:w="230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Brak wyłączenia</w:t>
            </w:r>
          </w:p>
        </w:tc>
      </w:tr>
      <w:tr w:rsidR="00524971" w:rsidRPr="008E1614" w:rsidTr="00524971">
        <w:trPr>
          <w:trHeight w:val="300"/>
          <w:tblHeader/>
        </w:trPr>
        <w:tc>
          <w:tcPr>
            <w:tcW w:w="190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Zanieczyszczenie gleby</w:t>
            </w:r>
          </w:p>
        </w:tc>
        <w:tc>
          <w:tcPr>
            <w:tcW w:w="2096"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 stężenie metali ciężkich w glebie: As, Sb, Cd, Co, Cr (ogółem), Cr (VI), Cu, Hg, Pb, Ni, Tl, V, Zn (w µg na kg) </w:t>
            </w:r>
            <w:r w:rsidRPr="008E1614">
              <w:rPr>
                <w:rFonts w:ascii="Times New Roman" w:hAnsi="Times New Roman"/>
                <w:strike/>
                <w:noProof/>
                <w:szCs w:val="24"/>
              </w:rPr>
              <w:br/>
              <w:t xml:space="preserve"> – stężenie wybranych zanieczyszczeń organicznych ustalone przez państwa członkowskie i z uwzględnieniem istniejących stężeń granicznych, np. w odniesieniu do jakości wody i emisji do powietrza, w przepisach Unii </w:t>
            </w:r>
          </w:p>
        </w:tc>
        <w:tc>
          <w:tcPr>
            <w:tcW w:w="2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vertAlign w:val="superscript"/>
              </w:rPr>
            </w:pPr>
            <w:r w:rsidRPr="008E1614">
              <w:rPr>
                <w:rFonts w:ascii="Times New Roman" w:hAnsi="Times New Roman"/>
                <w:strike/>
                <w:noProof/>
                <w:szCs w:val="24"/>
              </w:rPr>
              <w:t>Wystarczająca pewność, uzyskana na podstawie punktowego pobierania próbek gleby, identyfikacji i badania zanieczyszczonych terenów oraz wszelkich innych istotnych informacji, że nie istnieje niedopuszczalne ryzyko dla zdrowia ludzi i środowiska wynikające z zanieczyszczenia gleby.</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Siedliska o naturalnie wysokim stężeniu metali ciężkich wymienione w załączniku I do dyrektywy Rady 92/43/EWG</w:t>
            </w:r>
            <w:r w:rsidRPr="008E1614">
              <w:rPr>
                <w:rFonts w:ascii="Times New Roman" w:hAnsi="Times New Roman"/>
                <w:strike/>
                <w:noProof/>
                <w:szCs w:val="24"/>
                <w:vertAlign w:val="superscript"/>
                <w:lang w:val="en-US"/>
              </w:rPr>
              <w:footnoteReference w:id="61"/>
            </w:r>
            <w:r w:rsidRPr="008E1614">
              <w:rPr>
                <w:rFonts w:ascii="Times New Roman" w:hAnsi="Times New Roman"/>
                <w:strike/>
                <w:noProof/>
                <w:szCs w:val="24"/>
              </w:rPr>
              <w:t xml:space="preserve"> pozostają chronione.</w:t>
            </w:r>
          </w:p>
        </w:tc>
        <w:tc>
          <w:tcPr>
            <w:tcW w:w="230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Brak wyłączenia</w:t>
            </w:r>
          </w:p>
        </w:tc>
      </w:tr>
      <w:tr w:rsidR="00524971" w:rsidRPr="008E1614" w:rsidTr="00524971">
        <w:trPr>
          <w:trHeight w:val="300"/>
          <w:tblHeader/>
        </w:trPr>
        <w:tc>
          <w:tcPr>
            <w:tcW w:w="1909"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lastRenderedPageBreak/>
              <w:t>Zmniejszenie zdolności gleby do zatrzymywania wody</w:t>
            </w:r>
          </w:p>
        </w:tc>
        <w:tc>
          <w:tcPr>
            <w:tcW w:w="2096"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Pojemność wodna próbki gleby (w % objętości wody/objętość gleby nasyconej)</w:t>
            </w:r>
          </w:p>
        </w:tc>
        <w:tc>
          <w:tcPr>
            <w:tcW w:w="2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Szacunkowa wartość całkowitej pojemności wodnej okręgu glebowego w podziale na dorzecza lub zlewnie jest wyższa od minimalnego progu. </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Minimalny próg ustala (w tonach) państwo członkowskie na poziomie okręgu glebowego, dorzecza lub zlewni na poziomie takiej wartości, że skutki powodzi w następstwie intensywnych opadów deszczu lub okresów niskiej zawartości wilgoci w glebie spowodowanej suszą są łagodzone. </w:t>
            </w:r>
          </w:p>
        </w:tc>
        <w:tc>
          <w:tcPr>
            <w:tcW w:w="230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Brak wyłączenia</w:t>
            </w:r>
          </w:p>
        </w:tc>
      </w:tr>
    </w:tbl>
    <w:tbl>
      <w:tblPr>
        <w:tblStyle w:val="TableGrid2"/>
        <w:tblW w:w="9493" w:type="dxa"/>
        <w:tblInd w:w="113" w:type="dxa"/>
        <w:tblLook w:val="04A0" w:firstRow="1" w:lastRow="0" w:firstColumn="1" w:lastColumn="0" w:noHBand="0" w:noVBand="1"/>
      </w:tblPr>
      <w:tblGrid>
        <w:gridCol w:w="2867"/>
        <w:gridCol w:w="2743"/>
        <w:gridCol w:w="2151"/>
        <w:gridCol w:w="1732"/>
      </w:tblGrid>
      <w:tr w:rsidR="00524971" w:rsidRPr="008E1614" w:rsidTr="00524971">
        <w:tc>
          <w:tcPr>
            <w:tcW w:w="9493"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sz w:val="22"/>
                <w:szCs w:val="22"/>
              </w:rPr>
            </w:pPr>
            <w:r w:rsidRPr="008E1614">
              <w:rPr>
                <w:b/>
                <w:i/>
                <w:sz w:val="22"/>
              </w:rPr>
              <w:t>Część B: Poziom 2 projektu monitorowania gleb</w:t>
            </w:r>
          </w:p>
          <w:p w:rsidR="00524971" w:rsidRPr="008E1614" w:rsidRDefault="00524971" w:rsidP="008E1614">
            <w:pPr>
              <w:spacing w:before="120"/>
              <w:jc w:val="both"/>
              <w:rPr>
                <w:b/>
                <w:i/>
                <w:iCs/>
                <w:sz w:val="22"/>
                <w:szCs w:val="22"/>
              </w:rPr>
            </w:pPr>
            <w:r w:rsidRPr="008E1614">
              <w:rPr>
                <w:b/>
                <w:i/>
                <w:sz w:val="22"/>
              </w:rPr>
              <w:t>Państwo członkowskie zostaje zakwalifikowane do poziomu 2 projektu monitorowania gleb, jeżeli:</w:t>
            </w:r>
          </w:p>
          <w:p w:rsidR="00524971" w:rsidRPr="008E1614" w:rsidRDefault="00524971" w:rsidP="008E1614">
            <w:pPr>
              <w:spacing w:before="120"/>
              <w:jc w:val="both"/>
              <w:rPr>
                <w:b/>
                <w:i/>
                <w:iCs/>
                <w:sz w:val="22"/>
                <w:szCs w:val="22"/>
              </w:rPr>
            </w:pPr>
            <w:r w:rsidRPr="008E1614">
              <w:rPr>
                <w:b/>
                <w:i/>
                <w:sz w:val="22"/>
              </w:rPr>
              <w:t xml:space="preserve">- obejmuje łącznie wszystkie wskaźniki glebowe dla poziomu 1 oraz kryteria określone w kolumnie 2 na potrzeby projektu pobierania próbek w części B i obejmuje co najmniej 50 % wskaźników glebowych określonych w części B, lub </w:t>
            </w:r>
          </w:p>
          <w:p w:rsidR="00524971" w:rsidRPr="008E1614" w:rsidRDefault="00524971" w:rsidP="008E1614">
            <w:pPr>
              <w:spacing w:before="120"/>
              <w:jc w:val="both"/>
              <w:rPr>
                <w:b/>
                <w:bCs/>
                <w:i/>
                <w:sz w:val="22"/>
                <w:szCs w:val="22"/>
              </w:rPr>
            </w:pPr>
            <w:r w:rsidRPr="008E1614">
              <w:rPr>
                <w:b/>
                <w:i/>
                <w:sz w:val="22"/>
              </w:rPr>
              <w:t>- spełnia łącznie wszystkie kryteria projektu pobierania próbek gleby w ramach poziomu 1 i obejmuje wszystkie wskaźniki glebowe określone w częściach A i B.</w:t>
            </w:r>
          </w:p>
        </w:tc>
      </w:tr>
      <w:tr w:rsidR="00524971" w:rsidRPr="008E1614" w:rsidTr="00524971">
        <w:tc>
          <w:tcPr>
            <w:tcW w:w="9493"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sz w:val="22"/>
                <w:szCs w:val="22"/>
              </w:rPr>
            </w:pPr>
            <w:r w:rsidRPr="008E1614">
              <w:rPr>
                <w:b/>
                <w:i/>
                <w:sz w:val="22"/>
              </w:rPr>
              <w:t>Projekt pobierania próbek</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Metodyka referencyjna</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Kryteria do spełnienia</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Wyjątki</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Uwagi</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Systematyczne losowanie warstwowe z wykorzystaniem siatki przestrzennej, aby zapewnić jednolite pokrycie terytorium państwa członkowskiego w przypadku wszystkich rodzajów gruntów. Informacje pomocnicze, takie jak strefy środowiskowe lub typy gleby, można również wykorzystać do dalszego udoskonalenia projektu pobierania próbek.</w:t>
            </w:r>
          </w:p>
          <w:p w:rsidR="00524971" w:rsidRPr="008E1614" w:rsidRDefault="00524971" w:rsidP="008E1614">
            <w:pPr>
              <w:spacing w:before="120"/>
              <w:jc w:val="both"/>
              <w:rPr>
                <w:b/>
                <w:i/>
                <w:sz w:val="22"/>
                <w:szCs w:val="22"/>
              </w:rPr>
            </w:pPr>
            <w:r w:rsidRPr="008E1614">
              <w:rPr>
                <w:b/>
                <w:i/>
                <w:sz w:val="22"/>
              </w:rPr>
              <w:t xml:space="preserve">W miarę możliwości państwa członkowskie koordynują przydział punktów pobierania próbek z innymi istniejącymi programami monitorowania, takimi jak krajowe inwentaryzacje roślinności i lasów. To samo dotyczy </w:t>
            </w:r>
            <w:r w:rsidRPr="008E1614">
              <w:rPr>
                <w:b/>
                <w:i/>
                <w:sz w:val="22"/>
              </w:rPr>
              <w:lastRenderedPageBreak/>
              <w:t>innych rodzajów spisów powszechnych, takich jak spis rolny, aby umożliwić lepsze gromadzenie danych dotyczących praktyk zarządzania i optymalizację kosztów.</w:t>
            </w:r>
          </w:p>
          <w:p w:rsidR="00524971" w:rsidRPr="008E1614" w:rsidRDefault="00524971" w:rsidP="008E1614">
            <w:pPr>
              <w:spacing w:before="120"/>
              <w:jc w:val="both"/>
              <w:rPr>
                <w:b/>
                <w:i/>
                <w:sz w:val="22"/>
                <w:szCs w:val="22"/>
              </w:rPr>
            </w:pPr>
            <w:r w:rsidRPr="008E1614">
              <w:rPr>
                <w:b/>
                <w:i/>
                <w:sz w:val="22"/>
              </w:rPr>
              <w:t xml:space="preserve">Przydział i wielkość próby określa się za pomocą naukowo ustalonych metod w odniesieniu do zastosowanego projektu pobierania próbek, takich jak te, o których mowa w </w:t>
            </w:r>
            <w:proofErr w:type="spellStart"/>
            <w:r w:rsidRPr="008E1614">
              <w:rPr>
                <w:b/>
                <w:i/>
                <w:sz w:val="22"/>
              </w:rPr>
              <w:t>Bethel</w:t>
            </w:r>
            <w:proofErr w:type="spellEnd"/>
            <w:r w:rsidRPr="008E1614">
              <w:rPr>
                <w:b/>
                <w:i/>
                <w:sz w:val="22"/>
              </w:rPr>
              <w:t xml:space="preserve"> (1989) w przypadku losowania warstwowego próby.</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proofErr w:type="gramStart"/>
            <w:r w:rsidRPr="008E1614">
              <w:rPr>
                <w:b/>
                <w:i/>
                <w:sz w:val="22"/>
              </w:rPr>
              <w:lastRenderedPageBreak/>
              <w:t>a</w:t>
            </w:r>
            <w:proofErr w:type="gramEnd"/>
            <w:r w:rsidRPr="008E1614">
              <w:rPr>
                <w:b/>
                <w:i/>
                <w:sz w:val="22"/>
              </w:rPr>
              <w:t xml:space="preserve">) Zapewnienie jednolitego pokrycia terytorium państwa członkowskiego w przypadku wszystkich rodzajów gruntów, np. przez wdrożenie systematycznego </w:t>
            </w:r>
            <w:proofErr w:type="spellStart"/>
            <w:r w:rsidRPr="008E1614">
              <w:rPr>
                <w:b/>
                <w:i/>
                <w:sz w:val="22"/>
              </w:rPr>
              <w:t>stratyfikatora</w:t>
            </w:r>
            <w:proofErr w:type="spellEnd"/>
            <w:r w:rsidRPr="008E1614">
              <w:rPr>
                <w:b/>
                <w:i/>
                <w:sz w:val="22"/>
              </w:rPr>
              <w:t xml:space="preserve"> (np. siatki </w:t>
            </w:r>
            <w:r w:rsidRPr="008E1614">
              <w:rPr>
                <w:b/>
                <w:bCs/>
                <w:i/>
                <w:sz w:val="22"/>
              </w:rPr>
              <w:t>ciągłej</w:t>
            </w:r>
            <w:r w:rsidRPr="008E1614">
              <w:rPr>
                <w:b/>
                <w:i/>
                <w:sz w:val="22"/>
              </w:rPr>
              <w:t>) w ramach projektu doboru próby.</w:t>
            </w:r>
          </w:p>
          <w:p w:rsidR="00524971" w:rsidRPr="008E1614" w:rsidRDefault="00524971" w:rsidP="008E1614">
            <w:pPr>
              <w:spacing w:before="120"/>
              <w:jc w:val="both"/>
              <w:rPr>
                <w:b/>
                <w:i/>
                <w:sz w:val="22"/>
                <w:szCs w:val="22"/>
              </w:rPr>
            </w:pPr>
            <w:proofErr w:type="gramStart"/>
            <w:r w:rsidRPr="008E1614">
              <w:rPr>
                <w:b/>
                <w:i/>
                <w:sz w:val="22"/>
              </w:rPr>
              <w:t>b</w:t>
            </w:r>
            <w:proofErr w:type="gramEnd"/>
            <w:r w:rsidRPr="008E1614">
              <w:rPr>
                <w:b/>
                <w:i/>
                <w:sz w:val="22"/>
              </w:rPr>
              <w:t xml:space="preserve">) Losowanie warstwowe próby na podstawie rodzaju gruntów; </w:t>
            </w:r>
            <w:proofErr w:type="spellStart"/>
            <w:r w:rsidRPr="008E1614">
              <w:rPr>
                <w:b/>
                <w:i/>
                <w:sz w:val="22"/>
              </w:rPr>
              <w:t>stratyfikatory</w:t>
            </w:r>
            <w:proofErr w:type="spellEnd"/>
            <w:r w:rsidRPr="008E1614">
              <w:rPr>
                <w:b/>
                <w:i/>
                <w:sz w:val="22"/>
              </w:rPr>
              <w:t xml:space="preserve"> mogą obejmować warunki klimatyczne, typ gleby, rodzaj gruntów i regiony administracyjne zgodnie z art. 4.</w:t>
            </w:r>
          </w:p>
          <w:p w:rsidR="00524971" w:rsidRPr="008E1614" w:rsidRDefault="00524971" w:rsidP="008E1614">
            <w:pPr>
              <w:spacing w:before="120"/>
              <w:jc w:val="both"/>
              <w:rPr>
                <w:b/>
                <w:i/>
                <w:sz w:val="22"/>
                <w:szCs w:val="22"/>
              </w:rPr>
            </w:pPr>
            <w:proofErr w:type="gramStart"/>
            <w:r w:rsidRPr="008E1614">
              <w:rPr>
                <w:b/>
                <w:i/>
                <w:sz w:val="22"/>
              </w:rPr>
              <w:t>c</w:t>
            </w:r>
            <w:proofErr w:type="gramEnd"/>
            <w:r w:rsidRPr="008E1614">
              <w:rPr>
                <w:b/>
                <w:i/>
                <w:sz w:val="22"/>
              </w:rPr>
              <w:t xml:space="preserve">) Oszacowanie całkowitej minimalnej liczby próbek odbywa się zgodnie z </w:t>
            </w:r>
            <w:r w:rsidRPr="008E1614">
              <w:rPr>
                <w:b/>
                <w:i/>
                <w:sz w:val="22"/>
              </w:rPr>
              <w:lastRenderedPageBreak/>
              <w:t>procedurą określoną w ramach poziomu I.</w:t>
            </w:r>
          </w:p>
          <w:p w:rsidR="00524971" w:rsidRPr="008E1614" w:rsidRDefault="00524971" w:rsidP="008E1614">
            <w:pPr>
              <w:spacing w:before="120"/>
              <w:jc w:val="both"/>
              <w:rPr>
                <w:b/>
                <w:i/>
                <w:sz w:val="22"/>
                <w:szCs w:val="22"/>
              </w:rPr>
            </w:pPr>
            <w:proofErr w:type="gramStart"/>
            <w:r w:rsidRPr="008E1614">
              <w:rPr>
                <w:b/>
                <w:i/>
                <w:sz w:val="22"/>
              </w:rPr>
              <w:t>d</w:t>
            </w:r>
            <w:proofErr w:type="gramEnd"/>
            <w:r w:rsidRPr="008E1614">
              <w:rPr>
                <w:b/>
                <w:i/>
                <w:sz w:val="22"/>
              </w:rPr>
              <w:t>) Umożliwienie przeznaczenia 20 % miejsc pobierania próbek na celowe pobieranie próbek związane z badaniami lub oceną ryzyka.</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lastRenderedPageBreak/>
              <w:t>-</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iCs/>
                <w:sz w:val="22"/>
                <w:szCs w:val="22"/>
              </w:rPr>
            </w:pPr>
            <w:r w:rsidRPr="008E1614">
              <w:rPr>
                <w:b/>
                <w:i/>
                <w:sz w:val="22"/>
              </w:rPr>
              <w:t xml:space="preserve">Zaleca się, aby w opracowywaniu i wdrażaniu systemu monitorowania gleby uczestniczyły różne zainteresowane strony oraz, w razie potrzeby, brano pod uwagę międzynarodowe umowy graniczne, tak aby zagwarantować uwzględnienie opłacalnych środków i </w:t>
            </w:r>
            <w:r w:rsidRPr="008E1614">
              <w:rPr>
                <w:b/>
                <w:i/>
                <w:sz w:val="22"/>
              </w:rPr>
              <w:lastRenderedPageBreak/>
              <w:t>dostępnej wiedzy fachowej.</w:t>
            </w:r>
          </w:p>
        </w:tc>
      </w:tr>
      <w:tr w:rsidR="00524971" w:rsidRPr="008E1614" w:rsidTr="00524971">
        <w:tc>
          <w:tcPr>
            <w:tcW w:w="9493"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lastRenderedPageBreak/>
              <w:t>Współczynniki rozkładu</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iCs/>
                <w:sz w:val="22"/>
                <w:szCs w:val="22"/>
              </w:rPr>
            </w:pPr>
            <w:r w:rsidRPr="008E1614">
              <w:rPr>
                <w:b/>
                <w:i/>
                <w:sz w:val="22"/>
              </w:rPr>
              <w:t>Współczynnik rozkładu</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Wskaźnik glebowy</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Wyjątki</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Uwagi</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Zasolenie</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rPr>
              <w:t xml:space="preserve">Przewodność elektryczna (w </w:t>
            </w:r>
            <w:proofErr w:type="spellStart"/>
            <w:r w:rsidRPr="008E1614">
              <w:rPr>
                <w:b/>
                <w:i/>
              </w:rPr>
              <w:t>siemensach</w:t>
            </w:r>
            <w:proofErr w:type="spellEnd"/>
            <w:r w:rsidRPr="008E1614">
              <w:rPr>
                <w:b/>
                <w:i/>
              </w:rPr>
              <w:t xml:space="preserve"> na metr (S m</w:t>
            </w:r>
            <w:r w:rsidRPr="008E1614">
              <w:rPr>
                <w:b/>
                <w:i/>
                <w:vertAlign w:val="superscript"/>
              </w:rPr>
              <w:t>-1</w:t>
            </w:r>
            <w:r w:rsidRPr="008E1614">
              <w:rPr>
                <w:b/>
                <w:i/>
              </w:rPr>
              <w:t>))</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rPr>
          <w:trHeight w:val="359"/>
        </w:trPr>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rPr>
            </w:pPr>
            <w:r w:rsidRPr="008E1614">
              <w:rPr>
                <w:b/>
                <w:i/>
                <w:sz w:val="22"/>
              </w:rPr>
              <w:t>Przejmowanie gruntów</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rPr>
              <w:t>Uszczelnianie gleby (jako odsetek gruntów uszczelnionych jakimkolwiek rodzajem infrastruktury stworzonej przez człowieka na 100 m²)</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rPr>
            </w:pPr>
            <w:r w:rsidRPr="008E1614">
              <w:rPr>
                <w:b/>
                <w:i/>
              </w:rPr>
              <w:t>-</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iCs/>
              </w:rPr>
            </w:pPr>
            <w:r w:rsidRPr="008E1614">
              <w:rPr>
                <w:b/>
                <w:i/>
                <w:sz w:val="22"/>
              </w:rPr>
              <w:t>Jako punkt odniesienia miejsce pobierania próbek należy uznać za środek ciężkości tej oceny.</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Zanieczyszczenie gleby</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rPr>
              <w:t>Produkty farmaceutyczne i weterynaryjne</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732"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jc w:val="both"/>
              <w:rPr>
                <w:b/>
                <w:i/>
                <w:sz w:val="22"/>
                <w:szCs w:val="22"/>
              </w:rPr>
            </w:pP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Kompakcja gleby</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60"/>
              <w:ind w:left="346" w:hanging="360"/>
              <w:contextualSpacing/>
              <w:rPr>
                <w:b/>
                <w:i/>
                <w:sz w:val="22"/>
                <w:szCs w:val="22"/>
              </w:rPr>
            </w:pPr>
            <w:r w:rsidRPr="008E1614">
              <w:rPr>
                <w:sz w:val="22"/>
              </w:rPr>
              <w:sym w:font="Symbol" w:char="F0B7"/>
            </w:r>
            <w:r w:rsidRPr="008E1614">
              <w:rPr>
                <w:sz w:val="22"/>
              </w:rPr>
              <w:tab/>
            </w:r>
            <w:r w:rsidRPr="008E1614">
              <w:rPr>
                <w:b/>
                <w:i/>
                <w:sz w:val="22"/>
              </w:rPr>
              <w:t>Gęstość objętościowa podglebia; Państwa członkowskie mogą zastąpić ten wskaźnik równoważnym parametrem (w g na cm</w:t>
            </w:r>
            <w:r w:rsidRPr="008E1614">
              <w:rPr>
                <w:b/>
                <w:i/>
                <w:sz w:val="22"/>
                <w:vertAlign w:val="superscript"/>
              </w:rPr>
              <w:t>3</w:t>
            </w:r>
            <w:r w:rsidRPr="008E1614">
              <w:rPr>
                <w:b/>
                <w:i/>
                <w:sz w:val="22"/>
              </w:rPr>
              <w:t>)</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rPr>
                <w:b/>
                <w:i/>
                <w:sz w:val="22"/>
                <w:szCs w:val="22"/>
              </w:rPr>
            </w:pPr>
            <w:r w:rsidRPr="008E1614">
              <w:rPr>
                <w:b/>
                <w:i/>
                <w:sz w:val="22"/>
              </w:rPr>
              <w:t>Gleby niezagospodarowane na obszarach gruntów naturalnych</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podglebia (30–50 cm, 50–100 cm)</w:t>
            </w:r>
          </w:p>
        </w:tc>
      </w:tr>
      <w:tr w:rsidR="00524971" w:rsidRPr="008E1614" w:rsidTr="00524971">
        <w:tc>
          <w:tcPr>
            <w:tcW w:w="9493"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Funkcje ekologiczne gleby</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Funkcja ekologiczna</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Wskaźnik glebowy</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Wyjątki</w:t>
            </w:r>
          </w:p>
        </w:tc>
        <w:tc>
          <w:tcPr>
            <w:tcW w:w="1732"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jc w:val="both"/>
              <w:rPr>
                <w:b/>
                <w:bCs/>
                <w:i/>
                <w:iCs/>
                <w:sz w:val="22"/>
                <w:szCs w:val="22"/>
              </w:rPr>
            </w:pP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Obieg składników odżywczych</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proofErr w:type="gramStart"/>
            <w:r w:rsidRPr="008E1614">
              <w:rPr>
                <w:b/>
                <w:i/>
              </w:rPr>
              <w:t>mineralizacja</w:t>
            </w:r>
            <w:proofErr w:type="gramEnd"/>
            <w:r w:rsidRPr="008E1614">
              <w:rPr>
                <w:b/>
                <w:i/>
              </w:rPr>
              <w:t xml:space="preserve"> azotu,</w:t>
            </w:r>
            <w:r w:rsidRPr="008E1614">
              <w:rPr>
                <w:b/>
                <w:i/>
                <w:sz w:val="22"/>
              </w:rPr>
              <w:t xml:space="preserve"> </w:t>
            </w:r>
          </w:p>
          <w:p w:rsidR="00524971" w:rsidRPr="008E1614" w:rsidRDefault="00524971" w:rsidP="008E1614">
            <w:pPr>
              <w:spacing w:before="120"/>
              <w:ind w:left="347" w:hanging="360"/>
              <w:contextualSpacing/>
              <w:jc w:val="both"/>
              <w:rPr>
                <w:b/>
                <w:i/>
              </w:rPr>
            </w:pPr>
            <w:r w:rsidRPr="008E1614">
              <w:sym w:font="Symbol" w:char="F0B7"/>
            </w:r>
            <w:r w:rsidRPr="008E1614">
              <w:tab/>
            </w:r>
            <w:proofErr w:type="gramStart"/>
            <w:r w:rsidRPr="008E1614">
              <w:rPr>
                <w:b/>
                <w:i/>
                <w:sz w:val="22"/>
              </w:rPr>
              <w:t>dostępność</w:t>
            </w:r>
            <w:proofErr w:type="gramEnd"/>
            <w:r w:rsidRPr="008E1614">
              <w:rPr>
                <w:b/>
                <w:i/>
                <w:sz w:val="22"/>
              </w:rPr>
              <w:t xml:space="preserve"> azotu</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 xml:space="preserve">Należy przeprowadzić dla wierzchniej warstwy gleby (0–10 cm, 10–30 cm </w:t>
            </w:r>
            <w:r w:rsidRPr="008E1614">
              <w:rPr>
                <w:b/>
                <w:i/>
                <w:sz w:val="22"/>
              </w:rPr>
              <w:lastRenderedPageBreak/>
              <w:t>(opcjonalnie))</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lastRenderedPageBreak/>
              <w:t>Agregacja gleby</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proofErr w:type="gramStart"/>
            <w:r w:rsidRPr="008E1614">
              <w:rPr>
                <w:b/>
                <w:i/>
              </w:rPr>
              <w:t>frakcja</w:t>
            </w:r>
            <w:proofErr w:type="gramEnd"/>
            <w:r w:rsidRPr="008E1614">
              <w:rPr>
                <w:b/>
                <w:i/>
              </w:rPr>
              <w:t xml:space="preserve"> stabilna w wodzie – materia gruboziarnista</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Aktywność enzymatyczna</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63" w:hanging="360"/>
              <w:contextualSpacing/>
              <w:jc w:val="both"/>
              <w:rPr>
                <w:b/>
                <w:i/>
                <w:sz w:val="22"/>
                <w:szCs w:val="22"/>
              </w:rPr>
            </w:pPr>
            <w:r w:rsidRPr="008E1614">
              <w:rPr>
                <w:sz w:val="22"/>
              </w:rPr>
              <w:sym w:font="Symbol" w:char="F0B7"/>
            </w:r>
            <w:r w:rsidRPr="008E1614">
              <w:rPr>
                <w:sz w:val="22"/>
              </w:rPr>
              <w:tab/>
            </w:r>
            <w:r w:rsidRPr="008E1614">
              <w:rPr>
                <w:b/>
                <w:i/>
                <w:sz w:val="22"/>
              </w:rPr>
              <w:t>Potencjał aktywności enzymatycznej dla fosfatazy kwaśnej (EC 3.13.2)</w:t>
            </w:r>
          </w:p>
          <w:p w:rsidR="00524971" w:rsidRPr="008E1614" w:rsidRDefault="00524971" w:rsidP="008E1614">
            <w:pPr>
              <w:spacing w:before="120"/>
              <w:ind w:left="363" w:hanging="360"/>
              <w:contextualSpacing/>
              <w:jc w:val="both"/>
              <w:rPr>
                <w:b/>
                <w:i/>
                <w:sz w:val="22"/>
                <w:szCs w:val="22"/>
              </w:rPr>
            </w:pPr>
            <w:r w:rsidRPr="008E1614">
              <w:rPr>
                <w:sz w:val="22"/>
              </w:rPr>
              <w:sym w:font="Symbol" w:char="F0B7"/>
            </w:r>
            <w:r w:rsidRPr="008E1614">
              <w:rPr>
                <w:sz w:val="22"/>
              </w:rPr>
              <w:tab/>
            </w:r>
            <w:r w:rsidRPr="008E1614">
              <w:rPr>
                <w:b/>
                <w:i/>
                <w:sz w:val="22"/>
              </w:rPr>
              <w:t>Potencjał aktywności enzymatycznej dla N-</w:t>
            </w:r>
            <w:proofErr w:type="spellStart"/>
            <w:r w:rsidRPr="008E1614">
              <w:rPr>
                <w:b/>
                <w:i/>
                <w:sz w:val="22"/>
              </w:rPr>
              <w:t>acetyloglukozaminidazy</w:t>
            </w:r>
            <w:proofErr w:type="spellEnd"/>
            <w:r w:rsidRPr="008E1614">
              <w:rPr>
                <w:b/>
                <w:i/>
                <w:sz w:val="22"/>
              </w:rPr>
              <w:t xml:space="preserve"> (EC 3.2.1.50)</w:t>
            </w:r>
          </w:p>
          <w:p w:rsidR="00524971" w:rsidRPr="008E1614" w:rsidRDefault="00524971" w:rsidP="008E1614">
            <w:pPr>
              <w:spacing w:before="120"/>
              <w:ind w:left="363" w:hanging="360"/>
              <w:contextualSpacing/>
              <w:jc w:val="both"/>
              <w:rPr>
                <w:b/>
                <w:i/>
                <w:sz w:val="22"/>
                <w:szCs w:val="22"/>
              </w:rPr>
            </w:pPr>
            <w:r w:rsidRPr="008E1614">
              <w:rPr>
                <w:sz w:val="22"/>
              </w:rPr>
              <w:sym w:font="Symbol" w:char="F0B7"/>
            </w:r>
            <w:r w:rsidRPr="008E1614">
              <w:rPr>
                <w:sz w:val="22"/>
              </w:rPr>
              <w:tab/>
            </w:r>
            <w:r w:rsidRPr="008E1614">
              <w:rPr>
                <w:b/>
                <w:i/>
                <w:sz w:val="22"/>
              </w:rPr>
              <w:t xml:space="preserve">Potencjał aktywności enzymatycznej dla </w:t>
            </w:r>
            <w:proofErr w:type="spellStart"/>
            <w:r w:rsidRPr="008E1614">
              <w:rPr>
                <w:b/>
                <w:i/>
                <w:sz w:val="22"/>
              </w:rPr>
              <w:t>ksylozydazy</w:t>
            </w:r>
            <w:proofErr w:type="spellEnd"/>
            <w:r w:rsidRPr="008E1614">
              <w:rPr>
                <w:b/>
                <w:i/>
                <w:sz w:val="22"/>
              </w:rPr>
              <w:t xml:space="preserve"> (EC 3.2.1.37)</w:t>
            </w:r>
          </w:p>
          <w:p w:rsidR="00524971" w:rsidRPr="008E1614" w:rsidRDefault="00524971" w:rsidP="008E1614">
            <w:pPr>
              <w:spacing w:before="120"/>
              <w:ind w:left="363" w:hanging="360"/>
              <w:contextualSpacing/>
              <w:jc w:val="both"/>
              <w:rPr>
                <w:b/>
                <w:i/>
                <w:sz w:val="22"/>
                <w:szCs w:val="22"/>
              </w:rPr>
            </w:pPr>
            <w:r w:rsidRPr="008E1614">
              <w:rPr>
                <w:sz w:val="22"/>
              </w:rPr>
              <w:sym w:font="Symbol" w:char="F0B7"/>
            </w:r>
            <w:r w:rsidRPr="008E1614">
              <w:rPr>
                <w:sz w:val="22"/>
              </w:rPr>
              <w:tab/>
            </w:r>
            <w:r w:rsidRPr="008E1614">
              <w:rPr>
                <w:b/>
                <w:i/>
                <w:sz w:val="22"/>
              </w:rPr>
              <w:t xml:space="preserve">Potencjał aktywności enzymatycznej dla </w:t>
            </w:r>
            <w:proofErr w:type="spellStart"/>
            <w:r w:rsidRPr="008E1614">
              <w:rPr>
                <w:b/>
                <w:i/>
                <w:sz w:val="22"/>
              </w:rPr>
              <w:t>cellobiohydrolazy</w:t>
            </w:r>
            <w:proofErr w:type="spellEnd"/>
            <w:r w:rsidRPr="008E1614">
              <w:rPr>
                <w:b/>
                <w:i/>
                <w:sz w:val="22"/>
              </w:rPr>
              <w:t xml:space="preserve"> (EC 3.2.1.91)</w:t>
            </w:r>
          </w:p>
          <w:p w:rsidR="00524971" w:rsidRPr="008E1614" w:rsidRDefault="00524971" w:rsidP="008E1614">
            <w:pPr>
              <w:spacing w:before="120"/>
              <w:ind w:left="363" w:hanging="360"/>
              <w:contextualSpacing/>
              <w:jc w:val="both"/>
              <w:rPr>
                <w:b/>
                <w:i/>
                <w:sz w:val="22"/>
                <w:szCs w:val="22"/>
              </w:rPr>
            </w:pPr>
            <w:r w:rsidRPr="008E1614">
              <w:rPr>
                <w:sz w:val="22"/>
              </w:rPr>
              <w:sym w:font="Symbol" w:char="F0B7"/>
            </w:r>
            <w:r w:rsidRPr="008E1614">
              <w:rPr>
                <w:sz w:val="22"/>
              </w:rPr>
              <w:tab/>
            </w:r>
            <w:r w:rsidRPr="008E1614">
              <w:rPr>
                <w:b/>
                <w:i/>
                <w:sz w:val="22"/>
              </w:rPr>
              <w:t>Potencjał aktywności enzymatycznej dla β-</w:t>
            </w:r>
            <w:proofErr w:type="spellStart"/>
            <w:r w:rsidRPr="008E1614">
              <w:rPr>
                <w:b/>
                <w:i/>
                <w:sz w:val="22"/>
              </w:rPr>
              <w:t>glukozydazy</w:t>
            </w:r>
            <w:proofErr w:type="spellEnd"/>
            <w:r w:rsidRPr="008E1614">
              <w:rPr>
                <w:b/>
                <w:i/>
                <w:sz w:val="22"/>
              </w:rPr>
              <w:t xml:space="preserve"> (EC 3.2.1.21)</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Biomasa gleby</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 xml:space="preserve">Biomasa drobnoustrojów wskazana za pomocą markerów kwasów tłuszczowych (biomasa na mikrobiologiczną grupę funkcjonalną; w </w:t>
            </w:r>
            <w:proofErr w:type="spellStart"/>
            <w:r w:rsidRPr="008E1614">
              <w:rPr>
                <w:b/>
                <w:i/>
                <w:sz w:val="22"/>
              </w:rPr>
              <w:t>ng</w:t>
            </w:r>
            <w:proofErr w:type="spellEnd"/>
            <w:r w:rsidRPr="008E1614">
              <w:rPr>
                <w:b/>
                <w:i/>
                <w:sz w:val="22"/>
              </w:rPr>
              <w:t xml:space="preserve"> FAME g</w:t>
            </w:r>
            <w:r w:rsidRPr="008E1614">
              <w:rPr>
                <w:b/>
                <w:i/>
                <w:sz w:val="22"/>
                <w:vertAlign w:val="superscript"/>
              </w:rPr>
              <w:t>-1</w:t>
            </w:r>
            <w:r w:rsidRPr="008E1614">
              <w:rPr>
                <w:b/>
                <w:i/>
                <w:sz w:val="22"/>
              </w:rPr>
              <w:t xml:space="preserve"> suchej masy gleby)</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9493"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sz w:val="22"/>
                <w:szCs w:val="22"/>
              </w:rPr>
            </w:pPr>
            <w:r w:rsidRPr="008E1614">
              <w:rPr>
                <w:b/>
                <w:i/>
                <w:sz w:val="22"/>
              </w:rPr>
              <w:t>Różnorodność biologiczna gleb</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Cecha różnorodności biologicznej gleb</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Wskaźnik glebowy</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Wyjątki</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Uwagi</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Różnorodność taksonomiczna</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Różnorodność (bogactwo) zwierząt glebowych na grupę na podstawie metod morfologicznych; może również obejmować identyfikację obrazów (nicieni (w przypadku nicieni należy dokonać klasyfikacji co najmniej do poziomu rodziny) i dżdżownic (w przypadku dżdżownic należy dokonać klasyfikacji do poziomu gatunku))</w:t>
            </w:r>
          </w:p>
          <w:p w:rsidR="00524971" w:rsidRPr="008E1614" w:rsidRDefault="00524971" w:rsidP="008E1614">
            <w:pPr>
              <w:spacing w:before="120"/>
              <w:ind w:left="347" w:hanging="360"/>
              <w:contextualSpacing/>
              <w:jc w:val="both"/>
              <w:rPr>
                <w:b/>
                <w:i/>
                <w:sz w:val="22"/>
                <w:szCs w:val="22"/>
              </w:rPr>
            </w:pPr>
            <w:r w:rsidRPr="008E1614">
              <w:rPr>
                <w:sz w:val="22"/>
              </w:rPr>
              <w:lastRenderedPageBreak/>
              <w:sym w:font="Symbol" w:char="F0B7"/>
            </w:r>
            <w:r w:rsidRPr="008E1614">
              <w:rPr>
                <w:sz w:val="22"/>
              </w:rPr>
              <w:tab/>
            </w:r>
            <w:r w:rsidRPr="008E1614">
              <w:rPr>
                <w:b/>
                <w:i/>
                <w:sz w:val="22"/>
              </w:rPr>
              <w:t xml:space="preserve">Liczby taksonomiczne różnorodności biologicznej gleb oparte na </w:t>
            </w:r>
            <w:proofErr w:type="spellStart"/>
            <w:r w:rsidRPr="008E1614">
              <w:rPr>
                <w:b/>
                <w:i/>
                <w:sz w:val="22"/>
              </w:rPr>
              <w:t>metagenomie</w:t>
            </w:r>
            <w:proofErr w:type="spellEnd"/>
            <w:r w:rsidRPr="008E1614">
              <w:rPr>
                <w:b/>
                <w:i/>
                <w:sz w:val="22"/>
              </w:rPr>
              <w:t xml:space="preserve"> na grupę taksonomiczną</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lastRenderedPageBreak/>
              <w:t>-</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Liczebność populacji</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Całkowita liczebność grzybów (przy użyciu regionu wewnętrznej transkrybowanej sekwencji rozdzielającej (ITS))</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9493"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Siedlisko glebowe</w:t>
            </w:r>
          </w:p>
        </w:tc>
      </w:tr>
      <w:tr w:rsidR="00524971" w:rsidRPr="008E1614" w:rsidTr="00524971">
        <w:tc>
          <w:tcPr>
            <w:tcW w:w="286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Cecha siedliska glebowego</w:t>
            </w:r>
          </w:p>
        </w:tc>
        <w:tc>
          <w:tcPr>
            <w:tcW w:w="2743"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Wskaźnik glebowy</w:t>
            </w:r>
          </w:p>
        </w:tc>
        <w:tc>
          <w:tcPr>
            <w:tcW w:w="215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Wyjątki</w:t>
            </w:r>
          </w:p>
        </w:tc>
        <w:tc>
          <w:tcPr>
            <w:tcW w:w="173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Uwagi</w:t>
            </w:r>
          </w:p>
        </w:tc>
      </w:tr>
    </w:tbl>
    <w:p w:rsidR="00524971" w:rsidRPr="008E1614" w:rsidRDefault="00524971" w:rsidP="008E1614">
      <w:pPr>
        <w:spacing w:before="120" w:after="120"/>
        <w:rPr>
          <w:b/>
          <w:noProof/>
          <w:szCs w:val="24"/>
          <w:lang w:val="en-GB" w:eastAsia="en-US"/>
        </w:rPr>
      </w:pPr>
      <w:r w:rsidRPr="008E1614">
        <w:rPr>
          <w:b/>
          <w:noProof/>
          <w:szCs w:val="24"/>
          <w:lang w:val="en-GB" w:eastAsia="en-US"/>
        </w:rPr>
        <w:t xml:space="preserve"> [</w:t>
      </w:r>
      <w:r w:rsidR="00134EB8">
        <w:rPr>
          <w:b/>
          <w:noProof/>
          <w:szCs w:val="24"/>
          <w:lang w:val="en-GB" w:eastAsia="en-US"/>
        </w:rPr>
        <w:t>Popr.</w:t>
      </w:r>
      <w:r w:rsidRPr="008E1614">
        <w:rPr>
          <w:b/>
          <w:noProof/>
          <w:szCs w:val="24"/>
          <w:lang w:val="en-GB" w:eastAsia="en-US"/>
        </w:rPr>
        <w:t> 199]</w:t>
      </w:r>
    </w:p>
    <w:p w:rsidR="00524971" w:rsidRPr="008E1614" w:rsidRDefault="00524971" w:rsidP="008E1614">
      <w:pPr>
        <w:spacing w:before="120" w:after="120"/>
        <w:rPr>
          <w:i/>
          <w:noProof/>
          <w:szCs w:val="24"/>
          <w:lang w:val="en-GB" w:eastAsia="en-US"/>
        </w:rPr>
      </w:pPr>
    </w:p>
    <w:tbl>
      <w:tblPr>
        <w:tblStyle w:val="TableGrid1"/>
        <w:tblW w:w="0" w:type="auto"/>
        <w:tblLook w:val="04A0" w:firstRow="1" w:lastRow="0" w:firstColumn="1" w:lastColumn="0" w:noHBand="0" w:noVBand="1"/>
      </w:tblPr>
      <w:tblGrid>
        <w:gridCol w:w="3433"/>
        <w:gridCol w:w="5630"/>
      </w:tblGrid>
      <w:tr w:rsidR="00524971" w:rsidRPr="008E1614" w:rsidTr="00524971">
        <w:tc>
          <w:tcPr>
            <w:tcW w:w="9289" w:type="dxa"/>
            <w:gridSpan w:val="2"/>
          </w:tcPr>
          <w:p w:rsidR="00524971" w:rsidRPr="008E1614" w:rsidRDefault="00524971" w:rsidP="008E1614">
            <w:pPr>
              <w:spacing w:before="120" w:after="120"/>
              <w:rPr>
                <w:rFonts w:ascii="Times New Roman" w:hAnsi="Times New Roman"/>
                <w:b/>
                <w:strike/>
                <w:noProof/>
                <w:szCs w:val="24"/>
              </w:rPr>
            </w:pPr>
            <w:r w:rsidRPr="008E1614">
              <w:rPr>
                <w:rFonts w:ascii="Times New Roman" w:hAnsi="Times New Roman"/>
                <w:b/>
                <w:i/>
                <w:strike/>
                <w:noProof/>
                <w:szCs w:val="24"/>
              </w:rPr>
              <w:t>Część C: wskaźniki glebowe bez kryteriów</w:t>
            </w:r>
          </w:p>
        </w:tc>
      </w:tr>
      <w:tr w:rsidR="00524971" w:rsidRPr="008E1614" w:rsidTr="00524971">
        <w:tc>
          <w:tcPr>
            <w:tcW w:w="3510" w:type="dxa"/>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t>Aspekt degradacji gleby</w:t>
            </w:r>
          </w:p>
        </w:tc>
        <w:tc>
          <w:tcPr>
            <w:tcW w:w="5779" w:type="dxa"/>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t>Wskaźnik glebowy</w:t>
            </w:r>
          </w:p>
        </w:tc>
      </w:tr>
      <w:tr w:rsidR="00524971" w:rsidRPr="008E1614" w:rsidTr="00524971">
        <w:tc>
          <w:tcPr>
            <w:tcW w:w="3510" w:type="dxa"/>
          </w:tcPr>
          <w:p w:rsidR="00524971" w:rsidRPr="008E1614" w:rsidRDefault="00524971" w:rsidP="008E1614">
            <w:pPr>
              <w:spacing w:before="120" w:after="120"/>
              <w:rPr>
                <w:rFonts w:ascii="Times New Roman" w:hAnsi="Times New Roman"/>
                <w:i/>
                <w:strike/>
                <w:noProof/>
                <w:szCs w:val="24"/>
              </w:rPr>
            </w:pPr>
            <w:r w:rsidRPr="008E1614">
              <w:rPr>
                <w:rFonts w:ascii="Times New Roman" w:hAnsi="Times New Roman"/>
                <w:strike/>
                <w:noProof/>
                <w:szCs w:val="24"/>
              </w:rPr>
              <w:t>Nadmierna zawartość składników odżywczych w glebie</w:t>
            </w:r>
          </w:p>
        </w:tc>
        <w:tc>
          <w:tcPr>
            <w:tcW w:w="5779" w:type="dxa"/>
          </w:tcPr>
          <w:p w:rsidR="00524971" w:rsidRPr="008E1614" w:rsidRDefault="00524971" w:rsidP="008E1614">
            <w:pPr>
              <w:spacing w:before="120" w:after="120"/>
              <w:rPr>
                <w:rFonts w:ascii="Times New Roman" w:hAnsi="Times New Roman"/>
                <w:i/>
                <w:strike/>
                <w:noProof/>
                <w:szCs w:val="24"/>
              </w:rPr>
            </w:pPr>
            <w:r w:rsidRPr="008E1614">
              <w:rPr>
                <w:rFonts w:ascii="Times New Roman" w:hAnsi="Times New Roman"/>
                <w:strike/>
                <w:noProof/>
                <w:szCs w:val="24"/>
              </w:rPr>
              <w:t>Azot w glebie (w mg g</w:t>
            </w:r>
            <w:r w:rsidRPr="008E1614">
              <w:rPr>
                <w:rFonts w:ascii="Times New Roman" w:hAnsi="Times New Roman"/>
                <w:strike/>
                <w:noProof/>
                <w:szCs w:val="24"/>
                <w:vertAlign w:val="superscript"/>
              </w:rPr>
              <w:t>-1</w:t>
            </w:r>
            <w:r w:rsidRPr="008E1614">
              <w:rPr>
                <w:rFonts w:ascii="Times New Roman" w:hAnsi="Times New Roman"/>
                <w:strike/>
                <w:noProof/>
                <w:szCs w:val="24"/>
              </w:rPr>
              <w:t>)</w:t>
            </w:r>
          </w:p>
        </w:tc>
      </w:tr>
      <w:tr w:rsidR="00524971" w:rsidRPr="008E1614" w:rsidTr="00524971">
        <w:tc>
          <w:tcPr>
            <w:tcW w:w="3510" w:type="dxa"/>
          </w:tcPr>
          <w:p w:rsidR="00524971" w:rsidRPr="008E1614" w:rsidRDefault="00524971" w:rsidP="008E1614">
            <w:pPr>
              <w:spacing w:before="120" w:after="120"/>
              <w:rPr>
                <w:rFonts w:ascii="Times New Roman" w:hAnsi="Times New Roman"/>
                <w:i/>
                <w:strike/>
                <w:noProof/>
                <w:szCs w:val="24"/>
                <w:lang w:val="en-US"/>
              </w:rPr>
            </w:pPr>
            <w:r w:rsidRPr="008E1614">
              <w:rPr>
                <w:rFonts w:ascii="Times New Roman" w:hAnsi="Times New Roman"/>
                <w:strike/>
                <w:noProof/>
                <w:szCs w:val="24"/>
                <w:lang w:val="en-US"/>
              </w:rPr>
              <w:t>Zakwaszenie</w:t>
            </w:r>
          </w:p>
        </w:tc>
        <w:tc>
          <w:tcPr>
            <w:tcW w:w="5779" w:type="dxa"/>
          </w:tcPr>
          <w:p w:rsidR="00524971" w:rsidRPr="008E1614" w:rsidRDefault="00524971" w:rsidP="008E1614">
            <w:pPr>
              <w:spacing w:before="120" w:after="120"/>
              <w:rPr>
                <w:rFonts w:ascii="Times New Roman" w:hAnsi="Times New Roman"/>
                <w:i/>
                <w:strike/>
                <w:noProof/>
                <w:szCs w:val="24"/>
                <w:lang w:val="en-US"/>
              </w:rPr>
            </w:pPr>
            <w:r w:rsidRPr="008E1614">
              <w:rPr>
                <w:rFonts w:ascii="Times New Roman" w:hAnsi="Times New Roman"/>
                <w:strike/>
                <w:noProof/>
                <w:szCs w:val="24"/>
                <w:lang w:val="en-US"/>
              </w:rPr>
              <w:t>Kwasowość gleby (pH)</w:t>
            </w:r>
          </w:p>
        </w:tc>
      </w:tr>
      <w:tr w:rsidR="00524971" w:rsidRPr="008E1614" w:rsidTr="00524971">
        <w:tc>
          <w:tcPr>
            <w:tcW w:w="3510" w:type="dxa"/>
          </w:tcPr>
          <w:p w:rsidR="00524971" w:rsidRPr="008E1614" w:rsidRDefault="00524971" w:rsidP="008E1614">
            <w:pPr>
              <w:spacing w:before="120" w:after="120"/>
              <w:rPr>
                <w:rFonts w:ascii="Times New Roman" w:hAnsi="Times New Roman"/>
                <w:i/>
                <w:strike/>
                <w:noProof/>
                <w:szCs w:val="24"/>
                <w:lang w:val="en-US"/>
              </w:rPr>
            </w:pPr>
            <w:r w:rsidRPr="008E1614">
              <w:rPr>
                <w:rFonts w:ascii="Times New Roman" w:hAnsi="Times New Roman"/>
                <w:strike/>
                <w:noProof/>
                <w:szCs w:val="24"/>
                <w:lang w:val="en-US"/>
              </w:rPr>
              <w:t>Kompakcja poziomu próchniczego gleby</w:t>
            </w:r>
          </w:p>
        </w:tc>
        <w:tc>
          <w:tcPr>
            <w:tcW w:w="5779" w:type="dxa"/>
          </w:tcPr>
          <w:p w:rsidR="00524971" w:rsidRPr="008E1614" w:rsidRDefault="00524971" w:rsidP="008E1614">
            <w:pPr>
              <w:spacing w:before="120" w:after="120"/>
              <w:rPr>
                <w:rFonts w:ascii="Times New Roman" w:hAnsi="Times New Roman"/>
                <w:i/>
                <w:strike/>
                <w:noProof/>
                <w:szCs w:val="24"/>
              </w:rPr>
            </w:pPr>
            <w:r w:rsidRPr="008E1614">
              <w:rPr>
                <w:rFonts w:ascii="Times New Roman" w:hAnsi="Times New Roman"/>
                <w:strike/>
                <w:noProof/>
                <w:szCs w:val="24"/>
              </w:rPr>
              <w:t>Gęstość objętościowa poziomu próchniczego gleby (horyzont A</w:t>
            </w:r>
            <w:r w:rsidRPr="008E1614">
              <w:rPr>
                <w:rFonts w:ascii="Times New Roman" w:hAnsi="Times New Roman"/>
                <w:strike/>
                <w:noProof/>
                <w:szCs w:val="24"/>
                <w:vertAlign w:val="superscript"/>
                <w:lang w:val="en-US"/>
              </w:rPr>
              <w:footnoteReference w:id="62"/>
            </w:r>
            <w:r w:rsidRPr="008E1614">
              <w:rPr>
                <w:rFonts w:ascii="Times New Roman" w:hAnsi="Times New Roman"/>
                <w:strike/>
                <w:noProof/>
                <w:szCs w:val="24"/>
              </w:rPr>
              <w:t>) (w g cm</w:t>
            </w:r>
            <w:r w:rsidRPr="008E1614">
              <w:rPr>
                <w:rFonts w:ascii="Times New Roman" w:hAnsi="Times New Roman"/>
                <w:strike/>
                <w:noProof/>
                <w:szCs w:val="24"/>
                <w:vertAlign w:val="superscript"/>
              </w:rPr>
              <w:t>-3</w:t>
            </w:r>
            <w:r w:rsidRPr="008E1614">
              <w:rPr>
                <w:rFonts w:ascii="Times New Roman" w:hAnsi="Times New Roman"/>
                <w:strike/>
                <w:noProof/>
                <w:szCs w:val="24"/>
              </w:rPr>
              <w:t>)</w:t>
            </w:r>
          </w:p>
        </w:tc>
      </w:tr>
      <w:tr w:rsidR="00524971" w:rsidRPr="008E1614" w:rsidTr="00524971">
        <w:tc>
          <w:tcPr>
            <w:tcW w:w="3510" w:type="dxa"/>
          </w:tcPr>
          <w:p w:rsidR="00524971" w:rsidRPr="008E1614" w:rsidRDefault="00524971" w:rsidP="008E1614">
            <w:pPr>
              <w:spacing w:before="120" w:after="120"/>
              <w:rPr>
                <w:rFonts w:ascii="Times New Roman" w:hAnsi="Times New Roman"/>
                <w:i/>
                <w:strike/>
                <w:noProof/>
                <w:szCs w:val="24"/>
                <w:lang w:val="en-US"/>
              </w:rPr>
            </w:pPr>
            <w:r w:rsidRPr="008E1614">
              <w:rPr>
                <w:rFonts w:ascii="Times New Roman" w:hAnsi="Times New Roman"/>
                <w:strike/>
                <w:noProof/>
                <w:szCs w:val="24"/>
                <w:lang w:val="en-US"/>
              </w:rPr>
              <w:t>Utrata różnorodności biologicznej gleby</w:t>
            </w:r>
          </w:p>
        </w:tc>
        <w:tc>
          <w:tcPr>
            <w:tcW w:w="5779" w:type="dxa"/>
          </w:tcPr>
          <w:p w:rsid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Oddychanie podstawowe gleby ((mm</w:t>
            </w:r>
            <w:r w:rsidRPr="008E1614">
              <w:rPr>
                <w:rFonts w:ascii="Times New Roman" w:hAnsi="Times New Roman"/>
                <w:strike/>
                <w:noProof/>
                <w:szCs w:val="24"/>
                <w:vertAlign w:val="superscript"/>
              </w:rPr>
              <w:t>3</w:t>
            </w:r>
            <w:r w:rsidRPr="008E1614">
              <w:rPr>
                <w:rFonts w:ascii="Times New Roman" w:hAnsi="Times New Roman"/>
                <w:strike/>
                <w:noProof/>
                <w:szCs w:val="24"/>
              </w:rPr>
              <w:t xml:space="preserve"> O</w:t>
            </w:r>
            <w:r w:rsidRPr="008E1614">
              <w:rPr>
                <w:rFonts w:ascii="Times New Roman" w:hAnsi="Times New Roman"/>
                <w:strike/>
                <w:noProof/>
                <w:szCs w:val="24"/>
                <w:vertAlign w:val="subscript"/>
              </w:rPr>
              <w:t>2</w:t>
            </w:r>
            <w:r w:rsidRPr="008E1614">
              <w:rPr>
                <w:rFonts w:ascii="Times New Roman" w:hAnsi="Times New Roman"/>
                <w:strike/>
                <w:noProof/>
                <w:szCs w:val="24"/>
              </w:rPr>
              <w:t xml:space="preserve"> g</w:t>
            </w:r>
            <w:r w:rsidRPr="008E1614">
              <w:rPr>
                <w:rFonts w:ascii="Times New Roman" w:hAnsi="Times New Roman"/>
                <w:strike/>
                <w:noProof/>
                <w:szCs w:val="24"/>
                <w:vertAlign w:val="superscript"/>
              </w:rPr>
              <w:t>-1</w:t>
            </w:r>
            <w:r w:rsidRPr="008E1614">
              <w:rPr>
                <w:rFonts w:ascii="Times New Roman" w:hAnsi="Times New Roman"/>
                <w:strike/>
                <w:noProof/>
                <w:szCs w:val="24"/>
              </w:rPr>
              <w:t xml:space="preserve"> hr</w:t>
            </w:r>
            <w:r w:rsidRPr="008E1614">
              <w:rPr>
                <w:rFonts w:ascii="Times New Roman" w:hAnsi="Times New Roman"/>
                <w:strike/>
                <w:noProof/>
                <w:szCs w:val="24"/>
                <w:vertAlign w:val="superscript"/>
              </w:rPr>
              <w:t>-1</w:t>
            </w:r>
            <w:r w:rsidRPr="008E1614">
              <w:rPr>
                <w:rFonts w:ascii="Times New Roman" w:hAnsi="Times New Roman"/>
                <w:strike/>
                <w:noProof/>
                <w:szCs w:val="24"/>
              </w:rPr>
              <w:t>) w glebie suchej</w:t>
            </w:r>
          </w:p>
          <w:p w:rsidR="00524971" w:rsidRPr="008E1614" w:rsidRDefault="00524971" w:rsidP="008E1614">
            <w:pPr>
              <w:spacing w:before="120" w:after="120"/>
              <w:contextualSpacing/>
              <w:rPr>
                <w:rFonts w:ascii="Times New Roman" w:hAnsi="Times New Roman"/>
                <w:strike/>
                <w:noProof/>
                <w:szCs w:val="24"/>
              </w:rPr>
            </w:pPr>
            <w:r w:rsidRPr="008E1614">
              <w:rPr>
                <w:rFonts w:ascii="Times New Roman" w:hAnsi="Times New Roman"/>
                <w:strike/>
                <w:noProof/>
                <w:szCs w:val="24"/>
              </w:rPr>
              <w:t xml:space="preserve">Państwa członkowskie mogą również wybrać inne opcjonalne wskaźniki glebowe do celów różnorodności biologicznej, takie jak: </w:t>
            </w:r>
            <w:r w:rsidRPr="008E1614">
              <w:rPr>
                <w:rFonts w:ascii="Times New Roman" w:hAnsi="Times New Roman"/>
                <w:strike/>
                <w:noProof/>
                <w:szCs w:val="24"/>
              </w:rPr>
              <w:br/>
              <w:t xml:space="preserve"> – metabarkodowanie bakterii, grzybów, protistów i zwierząt; </w:t>
            </w:r>
            <w:r w:rsidRPr="008E1614">
              <w:rPr>
                <w:rFonts w:ascii="Times New Roman" w:hAnsi="Times New Roman"/>
                <w:strike/>
                <w:noProof/>
                <w:szCs w:val="24"/>
              </w:rPr>
              <w:br/>
              <w:t xml:space="preserve"> – liczebność i różnorodność nicieni; </w:t>
            </w:r>
            <w:r w:rsidRPr="008E1614">
              <w:rPr>
                <w:rFonts w:ascii="Times New Roman" w:hAnsi="Times New Roman"/>
                <w:strike/>
                <w:noProof/>
                <w:szCs w:val="24"/>
              </w:rPr>
              <w:br/>
              <w:t xml:space="preserve"> – biomasa mikroorganizmów; </w:t>
            </w:r>
            <w:r w:rsidRPr="008E1614">
              <w:rPr>
                <w:rFonts w:ascii="Times New Roman" w:hAnsi="Times New Roman"/>
                <w:strike/>
                <w:noProof/>
                <w:szCs w:val="24"/>
              </w:rPr>
              <w:br/>
              <w:t xml:space="preserve"> – liczebność i różnorodność dżdżownic (na gruntach uprawnych);</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inwazyjne gatunki obce i agrofagi roślin</w:t>
            </w:r>
          </w:p>
        </w:tc>
      </w:tr>
    </w:tbl>
    <w:tbl>
      <w:tblPr>
        <w:tblStyle w:val="TableGrid3"/>
        <w:tblW w:w="9715" w:type="dxa"/>
        <w:tblInd w:w="113" w:type="dxa"/>
        <w:tblLook w:val="04A0" w:firstRow="1" w:lastRow="0" w:firstColumn="1" w:lastColumn="0" w:noHBand="0" w:noVBand="1"/>
      </w:tblPr>
      <w:tblGrid>
        <w:gridCol w:w="3055"/>
        <w:gridCol w:w="2610"/>
        <w:gridCol w:w="2160"/>
        <w:gridCol w:w="1890"/>
      </w:tblGrid>
      <w:tr w:rsidR="00524971" w:rsidRPr="008E1614" w:rsidTr="00524971">
        <w:tc>
          <w:tcPr>
            <w:tcW w:w="9715"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sz w:val="22"/>
                <w:szCs w:val="22"/>
              </w:rPr>
            </w:pPr>
            <w:r w:rsidRPr="008E1614">
              <w:rPr>
                <w:b/>
                <w:i/>
                <w:sz w:val="22"/>
              </w:rPr>
              <w:t>Część C: Poziom 3 projektu monitorowania gleb</w:t>
            </w:r>
          </w:p>
          <w:p w:rsidR="00524971" w:rsidRPr="008E1614" w:rsidRDefault="00524971" w:rsidP="008E1614">
            <w:pPr>
              <w:spacing w:before="120"/>
              <w:jc w:val="both"/>
              <w:rPr>
                <w:b/>
                <w:bCs/>
                <w:i/>
                <w:sz w:val="22"/>
                <w:szCs w:val="22"/>
              </w:rPr>
            </w:pPr>
            <w:r w:rsidRPr="008E1614">
              <w:rPr>
                <w:b/>
                <w:i/>
                <w:sz w:val="22"/>
              </w:rPr>
              <w:t>Państwo członkowskie zostaje zakwalifikowane do poziomu 3 projektu monitorowania gleb, jeżeli spełnia warunki w ramach poziomu 2 i uwzględnia co najmniej 50 % wskaźników glebowych określonych w części C.</w:t>
            </w:r>
          </w:p>
        </w:tc>
      </w:tr>
      <w:tr w:rsidR="00524971" w:rsidRPr="008E1614" w:rsidTr="00524971">
        <w:tc>
          <w:tcPr>
            <w:tcW w:w="9715"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Współczynniki rozkładu</w:t>
            </w:r>
          </w:p>
        </w:tc>
      </w:tr>
      <w:tr w:rsidR="00524971" w:rsidRPr="008E1614" w:rsidTr="00524971">
        <w:tc>
          <w:tcPr>
            <w:tcW w:w="305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rPr>
            </w:pPr>
            <w:r w:rsidRPr="008E1614">
              <w:rPr>
                <w:b/>
                <w:i/>
                <w:sz w:val="22"/>
              </w:rPr>
              <w:lastRenderedPageBreak/>
              <w:t>Współczynnik rozkładu</w:t>
            </w:r>
          </w:p>
        </w:tc>
        <w:tc>
          <w:tcPr>
            <w:tcW w:w="261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rPr>
            </w:pPr>
            <w:r w:rsidRPr="008E1614">
              <w:rPr>
                <w:b/>
                <w:i/>
                <w:sz w:val="22"/>
              </w:rPr>
              <w:t>Wskaźnik glebowy</w:t>
            </w:r>
          </w:p>
        </w:tc>
        <w:tc>
          <w:tcPr>
            <w:tcW w:w="21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rPr>
            </w:pPr>
            <w:r w:rsidRPr="008E1614">
              <w:rPr>
                <w:b/>
                <w:i/>
                <w:sz w:val="22"/>
              </w:rPr>
              <w:t>Wyjątki</w:t>
            </w:r>
          </w:p>
        </w:tc>
        <w:tc>
          <w:tcPr>
            <w:tcW w:w="18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Uwagi</w:t>
            </w:r>
          </w:p>
        </w:tc>
      </w:tr>
      <w:tr w:rsidR="00524971" w:rsidRPr="008E1614" w:rsidTr="00524971">
        <w:tc>
          <w:tcPr>
            <w:tcW w:w="305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rPr>
            </w:pPr>
            <w:r w:rsidRPr="008E1614">
              <w:rPr>
                <w:b/>
                <w:i/>
                <w:sz w:val="22"/>
              </w:rPr>
              <w:t>Zanieczyszczenie gleby</w:t>
            </w:r>
          </w:p>
        </w:tc>
        <w:tc>
          <w:tcPr>
            <w:tcW w:w="261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rPr>
            </w:pPr>
            <w:r w:rsidRPr="008E1614">
              <w:sym w:font="Symbol" w:char="F0B7"/>
            </w:r>
            <w:r w:rsidRPr="008E1614">
              <w:tab/>
            </w:r>
            <w:r w:rsidRPr="008E1614">
              <w:rPr>
                <w:b/>
                <w:i/>
                <w:sz w:val="22"/>
              </w:rPr>
              <w:t xml:space="preserve">Stężenie </w:t>
            </w:r>
            <w:proofErr w:type="spellStart"/>
            <w:r w:rsidRPr="008E1614">
              <w:rPr>
                <w:b/>
                <w:i/>
                <w:sz w:val="22"/>
              </w:rPr>
              <w:t>mikrodrobin</w:t>
            </w:r>
            <w:proofErr w:type="spellEnd"/>
            <w:r w:rsidRPr="008E1614">
              <w:rPr>
                <w:b/>
                <w:i/>
                <w:sz w:val="22"/>
              </w:rPr>
              <w:t xml:space="preserve"> plastiku i </w:t>
            </w:r>
            <w:proofErr w:type="spellStart"/>
            <w:r w:rsidRPr="008E1614">
              <w:rPr>
                <w:b/>
                <w:i/>
                <w:sz w:val="22"/>
              </w:rPr>
              <w:t>nanodrobin</w:t>
            </w:r>
            <w:proofErr w:type="spellEnd"/>
            <w:r w:rsidRPr="008E1614">
              <w:rPr>
                <w:b/>
                <w:i/>
                <w:sz w:val="22"/>
              </w:rPr>
              <w:t xml:space="preserve"> plastiku</w:t>
            </w:r>
          </w:p>
        </w:tc>
        <w:tc>
          <w:tcPr>
            <w:tcW w:w="21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rPr>
            </w:pPr>
            <w:r w:rsidRPr="008E1614">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9715"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Funkcje ekologiczne gleby</w:t>
            </w:r>
          </w:p>
        </w:tc>
      </w:tr>
      <w:tr w:rsidR="00524971" w:rsidRPr="008E1614" w:rsidTr="00524971">
        <w:tc>
          <w:tcPr>
            <w:tcW w:w="305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Funkcja ekologiczna</w:t>
            </w:r>
          </w:p>
        </w:tc>
        <w:tc>
          <w:tcPr>
            <w:tcW w:w="261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Wskaźnik glebowy</w:t>
            </w:r>
          </w:p>
        </w:tc>
        <w:tc>
          <w:tcPr>
            <w:tcW w:w="21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Wyjątki</w:t>
            </w:r>
          </w:p>
        </w:tc>
        <w:tc>
          <w:tcPr>
            <w:tcW w:w="18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Uwagi</w:t>
            </w:r>
          </w:p>
        </w:tc>
      </w:tr>
      <w:tr w:rsidR="00524971" w:rsidRPr="008E1614" w:rsidTr="00524971">
        <w:tc>
          <w:tcPr>
            <w:tcW w:w="305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Biomasa gleby</w:t>
            </w:r>
          </w:p>
        </w:tc>
        <w:tc>
          <w:tcPr>
            <w:tcW w:w="261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Biomasa zwierząt glebowych (na grupę taksonomiczną (nicienie i dżdżownice); w mg mokrej masy (dla nicieni) / suchej masy (dla dżdżownic) na g suchej gleby)</w:t>
            </w:r>
          </w:p>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rPr>
              <w:t>Biomasa korzeni (w mg suchej masy na g suchej masy gleby)</w:t>
            </w:r>
          </w:p>
        </w:tc>
        <w:tc>
          <w:tcPr>
            <w:tcW w:w="21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305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Cechy wspólne korzeni</w:t>
            </w:r>
          </w:p>
        </w:tc>
        <w:tc>
          <w:tcPr>
            <w:tcW w:w="261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Całkowita zawartość azotu w korzeniach</w:t>
            </w:r>
          </w:p>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Gęstość korzeni</w:t>
            </w:r>
          </w:p>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Średnia średnica korzeni</w:t>
            </w:r>
          </w:p>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Odchylenia średnicy korzeni</w:t>
            </w:r>
          </w:p>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Zawartość suchej masy korzeni</w:t>
            </w:r>
          </w:p>
        </w:tc>
        <w:tc>
          <w:tcPr>
            <w:tcW w:w="21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7825" w:type="dxa"/>
            <w:gridSpan w:val="3"/>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Różnorodność biologiczna gleb</w:t>
            </w:r>
          </w:p>
        </w:tc>
        <w:tc>
          <w:tcPr>
            <w:tcW w:w="1890"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jc w:val="both"/>
              <w:rPr>
                <w:b/>
                <w:bCs/>
                <w:i/>
                <w:sz w:val="22"/>
                <w:szCs w:val="22"/>
              </w:rPr>
            </w:pPr>
          </w:p>
        </w:tc>
      </w:tr>
      <w:tr w:rsidR="00524971" w:rsidRPr="008E1614" w:rsidTr="00524971">
        <w:tc>
          <w:tcPr>
            <w:tcW w:w="305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Cecha różnorodności biologicznej gleb</w:t>
            </w:r>
          </w:p>
        </w:tc>
        <w:tc>
          <w:tcPr>
            <w:tcW w:w="261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Wskaźnik glebowy</w:t>
            </w:r>
          </w:p>
        </w:tc>
        <w:tc>
          <w:tcPr>
            <w:tcW w:w="21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Wyjątki</w:t>
            </w:r>
          </w:p>
        </w:tc>
        <w:tc>
          <w:tcPr>
            <w:tcW w:w="18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Uwagi</w:t>
            </w:r>
          </w:p>
        </w:tc>
      </w:tr>
      <w:tr w:rsidR="00524971" w:rsidRPr="008E1614" w:rsidTr="00524971">
        <w:tc>
          <w:tcPr>
            <w:tcW w:w="305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Różnorodność taksonomiczna</w:t>
            </w:r>
          </w:p>
        </w:tc>
        <w:tc>
          <w:tcPr>
            <w:tcW w:w="261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rPr>
              <w:t>Różnorodność (bogactwo) zwierząt glebowych na grupę (skoczogonków i roztoczy)</w:t>
            </w:r>
          </w:p>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Obecność inwazyjnych gatunków obcych</w:t>
            </w:r>
          </w:p>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sz w:val="22"/>
              </w:rPr>
              <w:t xml:space="preserve">Różnorodność wirusów na podstawie podejść </w:t>
            </w:r>
            <w:proofErr w:type="spellStart"/>
            <w:r w:rsidRPr="008E1614">
              <w:rPr>
                <w:b/>
                <w:i/>
                <w:sz w:val="22"/>
              </w:rPr>
              <w:t>metagenomicznych</w:t>
            </w:r>
            <w:proofErr w:type="spellEnd"/>
          </w:p>
        </w:tc>
        <w:tc>
          <w:tcPr>
            <w:tcW w:w="21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305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Liczebność populacji</w:t>
            </w:r>
          </w:p>
        </w:tc>
        <w:tc>
          <w:tcPr>
            <w:tcW w:w="261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ind w:left="347" w:hanging="360"/>
              <w:contextualSpacing/>
              <w:jc w:val="both"/>
              <w:rPr>
                <w:b/>
                <w:i/>
                <w:sz w:val="22"/>
                <w:szCs w:val="22"/>
              </w:rPr>
            </w:pPr>
            <w:r w:rsidRPr="008E1614">
              <w:rPr>
                <w:sz w:val="22"/>
              </w:rPr>
              <w:sym w:font="Symbol" w:char="F0B7"/>
            </w:r>
            <w:r w:rsidRPr="008E1614">
              <w:rPr>
                <w:sz w:val="22"/>
              </w:rPr>
              <w:tab/>
            </w:r>
            <w:r w:rsidRPr="008E1614">
              <w:rPr>
                <w:b/>
                <w:i/>
              </w:rPr>
              <w:t>Całkowita liczebność zwierząt glebowych na takson (nicieni i dżdżownic)</w:t>
            </w:r>
          </w:p>
        </w:tc>
        <w:tc>
          <w:tcPr>
            <w:tcW w:w="21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Należy przeprowadzić dla wierzchniej warstwy gleby (0–10 cm, 10–30 cm (opcjonalnie))</w:t>
            </w:r>
          </w:p>
        </w:tc>
      </w:tr>
      <w:tr w:rsidR="00524971" w:rsidRPr="008E1614" w:rsidTr="00524971">
        <w:tc>
          <w:tcPr>
            <w:tcW w:w="9715" w:type="dxa"/>
            <w:gridSpan w:val="4"/>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Siedlisko glebowe</w:t>
            </w:r>
          </w:p>
        </w:tc>
      </w:tr>
      <w:tr w:rsidR="00524971" w:rsidRPr="008E1614" w:rsidTr="00524971">
        <w:tc>
          <w:tcPr>
            <w:tcW w:w="3055"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lastRenderedPageBreak/>
              <w:t>Cecha siedliska glebowego</w:t>
            </w:r>
          </w:p>
        </w:tc>
        <w:tc>
          <w:tcPr>
            <w:tcW w:w="261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Wskaźnik glebowy</w:t>
            </w:r>
          </w:p>
        </w:tc>
        <w:tc>
          <w:tcPr>
            <w:tcW w:w="216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i/>
                <w:sz w:val="22"/>
                <w:szCs w:val="22"/>
              </w:rPr>
            </w:pPr>
            <w:r w:rsidRPr="008E1614">
              <w:rPr>
                <w:b/>
                <w:i/>
                <w:sz w:val="22"/>
              </w:rPr>
              <w:t>Wyjątki</w:t>
            </w:r>
          </w:p>
        </w:tc>
        <w:tc>
          <w:tcPr>
            <w:tcW w:w="18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jc w:val="both"/>
              <w:rPr>
                <w:b/>
                <w:bCs/>
                <w:i/>
                <w:iCs/>
                <w:sz w:val="22"/>
                <w:szCs w:val="22"/>
              </w:rPr>
            </w:pPr>
            <w:r w:rsidRPr="008E1614">
              <w:rPr>
                <w:b/>
                <w:i/>
                <w:sz w:val="22"/>
              </w:rPr>
              <w:t>Uwagi</w:t>
            </w:r>
          </w:p>
        </w:tc>
      </w:tr>
    </w:tbl>
    <w:p w:rsidR="00524971" w:rsidRPr="008E1614" w:rsidRDefault="00524971" w:rsidP="008E1614">
      <w:pPr>
        <w:spacing w:before="120" w:after="120"/>
        <w:rPr>
          <w:b/>
          <w:noProof/>
          <w:szCs w:val="24"/>
          <w:lang w:eastAsia="en-US"/>
        </w:rPr>
      </w:pPr>
      <w:r w:rsidRPr="008E1614">
        <w:rPr>
          <w:b/>
          <w:noProof/>
          <w:szCs w:val="24"/>
          <w:lang w:eastAsia="en-US"/>
        </w:rPr>
        <w:t xml:space="preserve"> [</w:t>
      </w:r>
      <w:r w:rsidR="00134EB8">
        <w:rPr>
          <w:b/>
          <w:noProof/>
          <w:szCs w:val="24"/>
          <w:lang w:eastAsia="en-US"/>
        </w:rPr>
        <w:t>Popr.</w:t>
      </w:r>
      <w:r w:rsidRPr="008E1614">
        <w:rPr>
          <w:b/>
          <w:noProof/>
          <w:szCs w:val="24"/>
          <w:lang w:eastAsia="en-US"/>
        </w:rPr>
        <w:t> 200]</w:t>
      </w:r>
    </w:p>
    <w:p w:rsidR="00524971" w:rsidRPr="008E1614" w:rsidRDefault="00524971" w:rsidP="008E1614">
      <w:pPr>
        <w:spacing w:before="120" w:after="120"/>
        <w:rPr>
          <w:i/>
          <w:noProof/>
          <w:szCs w:val="24"/>
          <w:lang w:eastAsia="en-US"/>
        </w:rPr>
      </w:pPr>
    </w:p>
    <w:tbl>
      <w:tblPr>
        <w:tblStyle w:val="TableGrid1"/>
        <w:tblW w:w="9606" w:type="dxa"/>
        <w:tblLook w:val="04A0" w:firstRow="1" w:lastRow="0" w:firstColumn="1" w:lastColumn="0" w:noHBand="0" w:noVBand="1"/>
      </w:tblPr>
      <w:tblGrid>
        <w:gridCol w:w="2518"/>
        <w:gridCol w:w="7088"/>
      </w:tblGrid>
      <w:tr w:rsidR="00524971" w:rsidRPr="008E1614" w:rsidTr="00524971">
        <w:tc>
          <w:tcPr>
            <w:tcW w:w="9606" w:type="dxa"/>
            <w:gridSpan w:val="2"/>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noProof/>
                <w:szCs w:val="24"/>
              </w:rPr>
            </w:pPr>
            <w:r w:rsidRPr="008E1614">
              <w:rPr>
                <w:rFonts w:ascii="Times New Roman" w:hAnsi="Times New Roman"/>
                <w:b/>
                <w:i/>
                <w:noProof/>
                <w:szCs w:val="24"/>
              </w:rPr>
              <w:t>Część D: wskaźniki przejmowania gruntów i uszczelniania gleby</w:t>
            </w:r>
          </w:p>
        </w:tc>
      </w:tr>
      <w:tr w:rsidR="00524971" w:rsidRPr="008E1614" w:rsidTr="00524971">
        <w:tc>
          <w:tcPr>
            <w:tcW w:w="2518"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noProof/>
                <w:szCs w:val="24"/>
                <w:lang w:val="en-US"/>
              </w:rPr>
            </w:pPr>
            <w:r w:rsidRPr="008E1614">
              <w:rPr>
                <w:rFonts w:ascii="Times New Roman" w:hAnsi="Times New Roman"/>
                <w:b/>
                <w:noProof/>
                <w:szCs w:val="24"/>
                <w:lang w:val="en-US"/>
              </w:rPr>
              <w:t>Aspekt degradacji gleby</w:t>
            </w:r>
          </w:p>
        </w:tc>
        <w:tc>
          <w:tcPr>
            <w:tcW w:w="7088"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noProof/>
                <w:szCs w:val="24"/>
              </w:rPr>
            </w:pPr>
            <w:r w:rsidRPr="008E1614">
              <w:rPr>
                <w:rFonts w:ascii="Times New Roman" w:hAnsi="Times New Roman"/>
                <w:b/>
                <w:noProof/>
                <w:szCs w:val="24"/>
              </w:rPr>
              <w:t>Wskaźniki przejmowania gruntów i uszczelniania gleby</w:t>
            </w:r>
          </w:p>
        </w:tc>
      </w:tr>
      <w:tr w:rsidR="00524971" w:rsidRPr="008E1614" w:rsidTr="00524971">
        <w:tc>
          <w:tcPr>
            <w:tcW w:w="2518"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noProof/>
                <w:szCs w:val="24"/>
              </w:rPr>
            </w:pPr>
            <w:r w:rsidRPr="008E1614">
              <w:rPr>
                <w:rFonts w:ascii="Times New Roman" w:hAnsi="Times New Roman"/>
                <w:noProof/>
                <w:szCs w:val="24"/>
              </w:rPr>
              <w:t>Przejmowanie gruntów i uszczelnianie gleby</w:t>
            </w:r>
          </w:p>
        </w:tc>
        <w:tc>
          <w:tcPr>
            <w:tcW w:w="7088"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noProof/>
                <w:szCs w:val="24"/>
              </w:rPr>
            </w:pPr>
            <w:r w:rsidRPr="008E1614">
              <w:rPr>
                <w:rFonts w:ascii="Times New Roman" w:hAnsi="Times New Roman"/>
                <w:noProof/>
                <w:szCs w:val="24"/>
              </w:rPr>
              <w:t>Grunty sztuczne ogółem (w km² i % powierzchni państwa członkowskiego)</w:t>
            </w:r>
          </w:p>
          <w:p w:rsidR="00524971" w:rsidRPr="008E1614" w:rsidRDefault="00524971" w:rsidP="008E1614">
            <w:pPr>
              <w:spacing w:before="120" w:after="120"/>
              <w:rPr>
                <w:rFonts w:ascii="Times New Roman" w:hAnsi="Times New Roman"/>
                <w:noProof/>
                <w:szCs w:val="24"/>
              </w:rPr>
            </w:pPr>
            <w:r w:rsidRPr="008E1614">
              <w:rPr>
                <w:rFonts w:ascii="Times New Roman" w:hAnsi="Times New Roman"/>
                <w:noProof/>
                <w:szCs w:val="24"/>
              </w:rPr>
              <w:t>Przejmowanie gruntów, odwrotne przejmowanie gruntów, przejmowanie gruntów netto (średnio rocznie – w km² i % powierzchni państwa członkowskiego)</w:t>
            </w:r>
          </w:p>
          <w:p w:rsidR="008E1614" w:rsidRDefault="00524971" w:rsidP="008E1614">
            <w:pPr>
              <w:spacing w:before="120" w:after="120"/>
              <w:rPr>
                <w:rFonts w:ascii="Times New Roman" w:hAnsi="Times New Roman"/>
                <w:noProof/>
                <w:szCs w:val="24"/>
              </w:rPr>
            </w:pPr>
            <w:r w:rsidRPr="008E1614">
              <w:rPr>
                <w:rFonts w:ascii="Times New Roman" w:hAnsi="Times New Roman"/>
                <w:noProof/>
                <w:szCs w:val="24"/>
              </w:rPr>
              <w:t>Uszczelnianie gleby (w km² ogółem i % powierzchni państwa członkowskiego)</w:t>
            </w:r>
          </w:p>
          <w:p w:rsidR="00524971" w:rsidRPr="008E1614" w:rsidRDefault="00524971" w:rsidP="008E1614">
            <w:pPr>
              <w:spacing w:before="120" w:after="120"/>
              <w:rPr>
                <w:rFonts w:ascii="Times New Roman" w:hAnsi="Times New Roman"/>
                <w:noProof/>
                <w:szCs w:val="24"/>
              </w:rPr>
            </w:pPr>
            <w:r w:rsidRPr="008E1614">
              <w:rPr>
                <w:rFonts w:ascii="Times New Roman" w:hAnsi="Times New Roman"/>
                <w:noProof/>
                <w:szCs w:val="24"/>
              </w:rPr>
              <w:t xml:space="preserve">Państwa członkowskie mogą również mierzyć inne powiązane wskaźniki nieobowiązkowe, takie jak: </w:t>
            </w:r>
          </w:p>
          <w:p w:rsidR="00524971" w:rsidRPr="008E1614" w:rsidRDefault="00524971" w:rsidP="008E1614">
            <w:pPr>
              <w:spacing w:before="120" w:after="120"/>
              <w:rPr>
                <w:rFonts w:ascii="Times New Roman" w:hAnsi="Times New Roman"/>
                <w:noProof/>
                <w:szCs w:val="24"/>
              </w:rPr>
            </w:pPr>
            <w:r w:rsidRPr="008E1614">
              <w:rPr>
                <w:rFonts w:ascii="Times New Roman" w:hAnsi="Times New Roman"/>
                <w:noProof/>
                <w:szCs w:val="24"/>
              </w:rPr>
              <w:t xml:space="preserve">– rozdrobnienie gruntów </w:t>
            </w:r>
          </w:p>
          <w:p w:rsidR="00524971" w:rsidRPr="008E1614" w:rsidRDefault="00524971" w:rsidP="008E1614">
            <w:pPr>
              <w:spacing w:before="120" w:after="120"/>
              <w:rPr>
                <w:rFonts w:ascii="Times New Roman" w:hAnsi="Times New Roman"/>
                <w:noProof/>
                <w:szCs w:val="24"/>
              </w:rPr>
            </w:pPr>
            <w:r w:rsidRPr="008E1614">
              <w:rPr>
                <w:rFonts w:ascii="Times New Roman" w:hAnsi="Times New Roman"/>
                <w:noProof/>
                <w:szCs w:val="24"/>
              </w:rPr>
              <w:t xml:space="preserve">– współczynnik recyklingu gruntów </w:t>
            </w:r>
          </w:p>
          <w:p w:rsidR="00524971" w:rsidRPr="008E1614" w:rsidRDefault="00524971" w:rsidP="008E1614">
            <w:pPr>
              <w:spacing w:before="120" w:after="120"/>
              <w:rPr>
                <w:rFonts w:ascii="Times New Roman" w:hAnsi="Times New Roman"/>
                <w:noProof/>
                <w:szCs w:val="24"/>
              </w:rPr>
            </w:pPr>
            <w:r w:rsidRPr="008E1614">
              <w:rPr>
                <w:rFonts w:ascii="Times New Roman" w:hAnsi="Times New Roman"/>
                <w:noProof/>
                <w:szCs w:val="24"/>
              </w:rPr>
              <w:t>– grunty przejęte pod działalność handlową, węzły logistyczne, odnawialne źródła energii, powierzchnie takie jak porty lotnicze, drogi, kopalnie</w:t>
            </w:r>
          </w:p>
          <w:p w:rsidR="00524971" w:rsidRPr="008E1614" w:rsidRDefault="00524971" w:rsidP="008E1614">
            <w:pPr>
              <w:spacing w:before="120" w:after="120"/>
              <w:rPr>
                <w:rFonts w:ascii="Times New Roman" w:hAnsi="Times New Roman"/>
                <w:noProof/>
                <w:szCs w:val="24"/>
              </w:rPr>
            </w:pPr>
            <w:r w:rsidRPr="008E1614">
              <w:rPr>
                <w:rFonts w:ascii="Times New Roman" w:hAnsi="Times New Roman"/>
                <w:noProof/>
                <w:szCs w:val="24"/>
              </w:rPr>
              <w:t xml:space="preserve"> – konsekwencje przejmowania gruntów, takie jak ilościowe określenie utraty usług ekosystemowych, zmiana intensywności powodzi.</w:t>
            </w:r>
          </w:p>
        </w:tc>
      </w:tr>
    </w:tbl>
    <w:p w:rsidR="00524971" w:rsidRPr="008E1614" w:rsidRDefault="00524971" w:rsidP="008E1614">
      <w:pPr>
        <w:spacing w:before="120" w:after="120"/>
        <w:rPr>
          <w:noProof/>
          <w:szCs w:val="24"/>
          <w:lang w:eastAsia="en-US"/>
        </w:rPr>
        <w:sectPr w:rsidR="00524971" w:rsidRPr="008E1614" w:rsidSect="00524971">
          <w:footerReference w:type="default" r:id="rId12"/>
          <w:footerReference w:type="first" r:id="rId13"/>
          <w:footnotePr>
            <w:numRestart w:val="eachSect"/>
          </w:footnotePr>
          <w:pgSz w:w="11907" w:h="16839"/>
          <w:pgMar w:top="1134" w:right="1417" w:bottom="1134" w:left="1417" w:header="709" w:footer="709" w:gutter="0"/>
          <w:cols w:space="720"/>
          <w:docGrid w:linePitch="360"/>
        </w:sectPr>
      </w:pPr>
    </w:p>
    <w:p w:rsidR="008E1614" w:rsidRDefault="00524971" w:rsidP="008E1614">
      <w:pPr>
        <w:widowControl/>
        <w:spacing w:before="120" w:after="120"/>
        <w:jc w:val="center"/>
        <w:rPr>
          <w:rFonts w:eastAsia="Calibri"/>
          <w:b/>
          <w:noProof/>
          <w:color w:val="0000FF"/>
          <w:szCs w:val="24"/>
          <w:u w:val="single"/>
          <w:lang w:eastAsia="en-US"/>
        </w:rPr>
      </w:pPr>
      <w:r w:rsidRPr="008E1614">
        <w:rPr>
          <w:rFonts w:eastAsia="Calibri"/>
          <w:b/>
          <w:noProof/>
          <w:szCs w:val="24"/>
          <w:u w:val="single"/>
          <w:lang w:eastAsia="en-US"/>
        </w:rPr>
        <w:lastRenderedPageBreak/>
        <w:t xml:space="preserve">ZAŁĄCZNIK II </w:t>
      </w:r>
      <w:r w:rsidRPr="008E1614">
        <w:rPr>
          <w:rFonts w:eastAsia="Calibri"/>
          <w:b/>
          <w:noProof/>
          <w:szCs w:val="24"/>
          <w:u w:val="single"/>
          <w:lang w:eastAsia="en-US"/>
        </w:rPr>
        <w:br/>
        <w:t xml:space="preserve"> </w:t>
      </w:r>
      <w:r w:rsidRPr="008E1614">
        <w:rPr>
          <w:rFonts w:eastAsia="Calibri"/>
          <w:b/>
          <w:noProof/>
          <w:szCs w:val="24"/>
          <w:u w:val="single"/>
          <w:lang w:eastAsia="en-US"/>
        </w:rPr>
        <w:br/>
        <w:t xml:space="preserve">METODYKI </w:t>
      </w:r>
    </w:p>
    <w:p w:rsidR="00524971" w:rsidRPr="008E1614" w:rsidRDefault="00524971" w:rsidP="008E1614">
      <w:pPr>
        <w:spacing w:before="120" w:after="120"/>
        <w:rPr>
          <w:strike/>
          <w:noProof/>
          <w:szCs w:val="24"/>
          <w:lang w:eastAsia="en-US"/>
        </w:rPr>
      </w:pPr>
      <w:r w:rsidRPr="008E1614">
        <w:rPr>
          <w:strike/>
          <w:noProof/>
          <w:szCs w:val="24"/>
          <w:lang w:eastAsia="en-US"/>
        </w:rPr>
        <w:t>Część A: Metodyka wyznaczania punktów pobierania próbek</w:t>
      </w:r>
    </w:p>
    <w:tbl>
      <w:tblPr>
        <w:tblStyle w:val="TableGrid1"/>
        <w:tblW w:w="9322" w:type="dxa"/>
        <w:tblLook w:val="04A0" w:firstRow="1" w:lastRow="0" w:firstColumn="1" w:lastColumn="0" w:noHBand="0" w:noVBand="1"/>
      </w:tblPr>
      <w:tblGrid>
        <w:gridCol w:w="3492"/>
        <w:gridCol w:w="5830"/>
      </w:tblGrid>
      <w:tr w:rsidR="00524971" w:rsidRPr="008E1614" w:rsidTr="00524971">
        <w:tc>
          <w:tcPr>
            <w:tcW w:w="349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t>Działanie</w:t>
            </w:r>
          </w:p>
        </w:tc>
        <w:tc>
          <w:tcPr>
            <w:tcW w:w="583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t>Minimalne kryteria metodyki</w:t>
            </w:r>
          </w:p>
        </w:tc>
      </w:tr>
      <w:tr w:rsidR="00524971" w:rsidRPr="008E1614" w:rsidTr="00524971">
        <w:tc>
          <w:tcPr>
            <w:tcW w:w="3492"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Wyznaczanie punktów pobierania próbek gleby (badanie reprezentacyjne)</w:t>
            </w:r>
          </w:p>
        </w:tc>
        <w:tc>
          <w:tcPr>
            <w:tcW w:w="583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Badanie reprezentacyjne projektuje się na podstawie kompletnego operatu losowania zawierającego najlepsze dostępne informacje na temat rozkładu właściwości gleby, w tym między innymi informacje wynikające z poprzednich pomiarów krajowych i pomiarów w ramach programu LUCAS.</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Schemat losowania próby jest losowaniem warstwowym zoptymalizowanym według wskaźników zdrowia gleb. </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Wielkość próby krajowej musi spełniać wymóg maksymalnego procentowego błędu (lub współczynnika zmienności) wynoszący 5 % przy ocenie obszaru o zdrowych glebach.</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Próba Komisji na potrzeby badania określona w art. 6 ust. 4 może stanowić maksymalnie 20 % wielkości prób krajowych.</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Alokację i wielkość próby określa się, stosując algorytm Bethela (Bethel, 1989)</w:t>
            </w:r>
            <w:r w:rsidRPr="008E1614">
              <w:rPr>
                <w:rFonts w:ascii="Times New Roman" w:hAnsi="Times New Roman"/>
                <w:strike/>
                <w:noProof/>
                <w:szCs w:val="24"/>
                <w:vertAlign w:val="superscript"/>
                <w:lang w:val="en-US"/>
              </w:rPr>
              <w:footnoteReference w:id="63"/>
            </w:r>
            <w:r w:rsidRPr="008E1614">
              <w:rPr>
                <w:rFonts w:ascii="Times New Roman" w:hAnsi="Times New Roman"/>
                <w:strike/>
                <w:noProof/>
                <w:szCs w:val="24"/>
              </w:rPr>
              <w:t xml:space="preserve"> uwzględniający wymagany maksymalny błąd oszacowania. </w:t>
            </w:r>
          </w:p>
        </w:tc>
      </w:tr>
    </w:tbl>
    <w:p w:rsidR="00524971" w:rsidRPr="008E1614" w:rsidRDefault="00524971" w:rsidP="008E1614">
      <w:pPr>
        <w:spacing w:after="60"/>
        <w:rPr>
          <w:b/>
          <w:bCs/>
          <w:i/>
          <w:sz w:val="22"/>
          <w:szCs w:val="22"/>
        </w:rPr>
      </w:pPr>
      <w:r w:rsidRPr="008E1614">
        <w:rPr>
          <w:b/>
          <w:i/>
          <w:sz w:val="22"/>
        </w:rPr>
        <w:t>Część A: Ogólne metody pobierania próbek celem zbadania różnorodności biologicznej gleb i funkcji ekologicznych gleby</w:t>
      </w:r>
    </w:p>
    <w:tbl>
      <w:tblPr>
        <w:tblStyle w:val="2"/>
        <w:tblW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524971" w:rsidRPr="008E1614" w:rsidTr="00524971">
        <w:tc>
          <w:tcPr>
            <w:tcW w:w="3389"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Działanie</w:t>
            </w:r>
          </w:p>
        </w:tc>
        <w:tc>
          <w:tcPr>
            <w:tcW w:w="5971"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Kryteria referencyjne na potrzeby metodyki</w:t>
            </w:r>
          </w:p>
        </w:tc>
      </w:tr>
      <w:tr w:rsidR="00524971" w:rsidRPr="008E1614" w:rsidTr="00524971">
        <w:tc>
          <w:tcPr>
            <w:tcW w:w="3389"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Monitorowanie ekologiczne gleby</w:t>
            </w:r>
          </w:p>
        </w:tc>
        <w:tc>
          <w:tcPr>
            <w:tcW w:w="5971"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bCs/>
                <w:i/>
                <w:sz w:val="22"/>
              </w:rPr>
            </w:pPr>
            <w:r w:rsidRPr="008E1614">
              <w:rPr>
                <w:b/>
                <w:i/>
                <w:sz w:val="22"/>
              </w:rPr>
              <w:t>Celem jest zastosowanie prostego protokołu pobierania próbek gleby, za pomocą którego można znormalizować ekologiczne pobieranie próbek gleby we wszystkich państwach członkowskich i który ma zastosowanie do wszystkich ekologicznych wskaźników glebowych poziomu 1 i poziomu 2 (wskaźniki ekologicznych funkcji gleb, różnorodności biologicznej gleb i siedliska gleb), z wyjątkiem wskaźników fauny glebowej.</w:t>
            </w:r>
          </w:p>
          <w:p w:rsidR="00524971" w:rsidRPr="008E1614" w:rsidRDefault="00524971" w:rsidP="008E1614">
            <w:pPr>
              <w:rPr>
                <w:b/>
                <w:bCs/>
                <w:i/>
                <w:sz w:val="22"/>
              </w:rPr>
            </w:pPr>
            <w:r w:rsidRPr="008E1614">
              <w:rPr>
                <w:b/>
                <w:i/>
                <w:sz w:val="22"/>
              </w:rPr>
              <w:t xml:space="preserve">Zgodnie z protokołem pobierania próbek przyjętym w odniesieniu do </w:t>
            </w:r>
            <w:proofErr w:type="spellStart"/>
            <w:r w:rsidRPr="008E1614">
              <w:rPr>
                <w:b/>
                <w:i/>
                <w:sz w:val="22"/>
              </w:rPr>
              <w:t>SoilBON</w:t>
            </w:r>
            <w:proofErr w:type="spellEnd"/>
            <w:r w:rsidRPr="008E1614">
              <w:rPr>
                <w:b/>
                <w:i/>
                <w:sz w:val="22"/>
              </w:rPr>
              <w:t xml:space="preserve">, biorąc pod uwagę jednorodny kwadratowy obszar o wymiarach 30x30 metrów, ustanowiono dziewięć </w:t>
            </w:r>
            <w:proofErr w:type="spellStart"/>
            <w:r w:rsidRPr="008E1614">
              <w:rPr>
                <w:b/>
                <w:i/>
                <w:sz w:val="22"/>
              </w:rPr>
              <w:t>podpróbek</w:t>
            </w:r>
            <w:proofErr w:type="spellEnd"/>
            <w:r w:rsidRPr="008E1614">
              <w:rPr>
                <w:b/>
                <w:i/>
                <w:sz w:val="22"/>
              </w:rPr>
              <w:t xml:space="preserve"> odpowiadających narożnikom kwadratów, jego centrum i punktom pośrednim. Za pomocą metalowego próbnika lub podobnego narzędzia pobrać próbkę gleby o średnicy 5 cm i głębokości 10 cm. Głębokość gleby można zwiększyć do 30 cm, ale pierwszą (do 10 cm) i drugą warstwę należy oddzielić. </w:t>
            </w:r>
          </w:p>
        </w:tc>
      </w:tr>
      <w:tr w:rsidR="00524971" w:rsidRPr="008E1614" w:rsidTr="00524971">
        <w:tc>
          <w:tcPr>
            <w:tcW w:w="3389"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Monitorowanie fauny glebowej</w:t>
            </w:r>
          </w:p>
        </w:tc>
        <w:tc>
          <w:tcPr>
            <w:tcW w:w="5971"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bCs/>
                <w:i/>
                <w:sz w:val="22"/>
              </w:rPr>
            </w:pPr>
            <w:r w:rsidRPr="008E1614">
              <w:rPr>
                <w:b/>
                <w:i/>
                <w:sz w:val="22"/>
              </w:rPr>
              <w:t xml:space="preserve">W przypadku dżdżownic: sortowanie ręczne przy użyciu protokołów zgodnych z protokołem pobierania próbek </w:t>
            </w:r>
            <w:r w:rsidRPr="008E1614">
              <w:rPr>
                <w:b/>
                <w:i/>
                <w:sz w:val="22"/>
              </w:rPr>
              <w:lastRenderedPageBreak/>
              <w:t xml:space="preserve">określonym w: </w:t>
            </w:r>
            <w:proofErr w:type="spellStart"/>
            <w:r w:rsidRPr="008E1614">
              <w:rPr>
                <w:b/>
                <w:i/>
                <w:sz w:val="22"/>
              </w:rPr>
              <w:t>Briones</w:t>
            </w:r>
            <w:proofErr w:type="spellEnd"/>
            <w:r w:rsidRPr="008E1614">
              <w:rPr>
                <w:b/>
                <w:i/>
                <w:sz w:val="22"/>
              </w:rPr>
              <w:t xml:space="preserve"> i in., 2020.</w:t>
            </w:r>
          </w:p>
          <w:p w:rsidR="00524971" w:rsidRPr="008E1614" w:rsidRDefault="00524971" w:rsidP="008E1614">
            <w:pPr>
              <w:rPr>
                <w:b/>
                <w:bCs/>
                <w:i/>
                <w:sz w:val="22"/>
              </w:rPr>
            </w:pPr>
            <w:r w:rsidRPr="008E1614">
              <w:rPr>
                <w:b/>
                <w:i/>
                <w:sz w:val="22"/>
              </w:rPr>
              <w:t xml:space="preserve">W przypadku nicieni: zgodnie z kryteriami ustalonymi w standardowym protokole pobierania próbek </w:t>
            </w:r>
            <w:proofErr w:type="spellStart"/>
            <w:r w:rsidRPr="008E1614">
              <w:rPr>
                <w:b/>
                <w:i/>
                <w:sz w:val="22"/>
              </w:rPr>
              <w:t>SoilBON</w:t>
            </w:r>
            <w:proofErr w:type="spellEnd"/>
            <w:r w:rsidRPr="008E1614">
              <w:rPr>
                <w:b/>
                <w:i/>
                <w:sz w:val="22"/>
              </w:rPr>
              <w:t xml:space="preserve"> .</w:t>
            </w:r>
          </w:p>
          <w:p w:rsidR="00524971" w:rsidRPr="008E1614" w:rsidRDefault="00524971" w:rsidP="008E1614">
            <w:pPr>
              <w:rPr>
                <w:b/>
                <w:bCs/>
                <w:i/>
                <w:sz w:val="22"/>
              </w:rPr>
            </w:pPr>
            <w:r w:rsidRPr="008E1614">
              <w:rPr>
                <w:b/>
                <w:i/>
                <w:sz w:val="22"/>
              </w:rPr>
              <w:t xml:space="preserve">W przypadku skoczogonków i roztoczy: należy postępować zgodnie z protokołami ustanowionymi w </w:t>
            </w:r>
            <w:proofErr w:type="spellStart"/>
            <w:r w:rsidRPr="008E1614">
              <w:rPr>
                <w:b/>
                <w:i/>
                <w:sz w:val="22"/>
              </w:rPr>
              <w:t>Potapov</w:t>
            </w:r>
            <w:proofErr w:type="spellEnd"/>
            <w:r w:rsidRPr="008E1614">
              <w:rPr>
                <w:b/>
                <w:i/>
                <w:sz w:val="22"/>
              </w:rPr>
              <w:t xml:space="preserve"> i in. 2022.</w:t>
            </w:r>
          </w:p>
        </w:tc>
      </w:tr>
      <w:tr w:rsidR="00524971" w:rsidRPr="008E1614" w:rsidTr="00524971">
        <w:tc>
          <w:tcPr>
            <w:tcW w:w="3389"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lastRenderedPageBreak/>
              <w:t>Inne punktowe wskaźniki glebowe</w:t>
            </w:r>
          </w:p>
        </w:tc>
        <w:tc>
          <w:tcPr>
            <w:tcW w:w="5971"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bCs/>
                <w:i/>
                <w:sz w:val="22"/>
              </w:rPr>
            </w:pPr>
            <w:r w:rsidRPr="008E1614">
              <w:rPr>
                <w:b/>
                <w:i/>
                <w:sz w:val="22"/>
              </w:rPr>
              <w:t>Państwa członkowskie stosują metodykę gleb LUCAS jako metodykę referencyjną do celów pobierania próbek gleby.</w:t>
            </w:r>
          </w:p>
        </w:tc>
      </w:tr>
    </w:tbl>
    <w:p w:rsidR="00524971" w:rsidRPr="008E1614" w:rsidRDefault="00524971" w:rsidP="008E1614">
      <w:pPr>
        <w:spacing w:before="120" w:after="120"/>
        <w:rPr>
          <w:b/>
          <w:noProof/>
          <w:szCs w:val="24"/>
          <w:lang w:eastAsia="en-US"/>
        </w:rPr>
      </w:pPr>
      <w:r w:rsidRPr="008E1614">
        <w:rPr>
          <w:b/>
          <w:noProof/>
          <w:szCs w:val="24"/>
          <w:lang w:eastAsia="en-US"/>
        </w:rPr>
        <w:t xml:space="preserve"> [</w:t>
      </w:r>
      <w:r w:rsidR="00134EB8">
        <w:rPr>
          <w:b/>
          <w:noProof/>
          <w:szCs w:val="24"/>
          <w:lang w:eastAsia="en-US"/>
        </w:rPr>
        <w:t>Popr.</w:t>
      </w:r>
      <w:r w:rsidRPr="008E1614">
        <w:rPr>
          <w:b/>
          <w:noProof/>
          <w:szCs w:val="24"/>
          <w:lang w:eastAsia="en-US"/>
        </w:rPr>
        <w:t> 201]</w:t>
      </w:r>
    </w:p>
    <w:p w:rsidR="00524971" w:rsidRPr="008E1614" w:rsidRDefault="00524971" w:rsidP="008E1614">
      <w:pPr>
        <w:spacing w:before="120" w:after="120"/>
        <w:rPr>
          <w:noProof/>
          <w:szCs w:val="24"/>
          <w:lang w:eastAsia="en-US"/>
        </w:rPr>
      </w:pPr>
      <w:r w:rsidRPr="008E1614">
        <w:rPr>
          <w:noProof/>
          <w:szCs w:val="24"/>
          <w:lang w:eastAsia="en-US"/>
        </w:rPr>
        <w:t>Część B: Metodyka ustalania lub szacowania wartości wskaźników glebowych</w:t>
      </w:r>
    </w:p>
    <w:p w:rsidR="00524971" w:rsidRPr="008E1614" w:rsidRDefault="00524971" w:rsidP="008E1614">
      <w:pPr>
        <w:spacing w:before="120" w:after="120"/>
        <w:rPr>
          <w:noProof/>
          <w:szCs w:val="24"/>
          <w:lang w:eastAsia="en-US"/>
        </w:rPr>
      </w:pPr>
      <w:r w:rsidRPr="008E1614">
        <w:rPr>
          <w:noProof/>
          <w:szCs w:val="24"/>
          <w:lang w:eastAsia="en-US"/>
        </w:rPr>
        <w:t>W przypadku gdy ustalona jest metodyka referencyjna, stosuje się metodykę referencyjną lub inną metodykę, pod warunkiem że jest ona dostępna w literaturze naukowej lub dostępna publicznie oraz że dostępna jest zwalidowana funkcja przejścia.</w:t>
      </w:r>
    </w:p>
    <w:tbl>
      <w:tblPr>
        <w:tblStyle w:val="TableGrid1"/>
        <w:tblW w:w="10031" w:type="dxa"/>
        <w:tblLook w:val="04A0" w:firstRow="1" w:lastRow="0" w:firstColumn="1" w:lastColumn="0" w:noHBand="0" w:noVBand="1"/>
      </w:tblPr>
      <w:tblGrid>
        <w:gridCol w:w="2122"/>
        <w:gridCol w:w="2799"/>
        <w:gridCol w:w="3269"/>
        <w:gridCol w:w="1841"/>
      </w:tblGrid>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t>Wskaźnik glebowy</w:t>
            </w:r>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t>Metodyka referencyjna</w:t>
            </w:r>
          </w:p>
        </w:tc>
        <w:tc>
          <w:tcPr>
            <w:tcW w:w="32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b/>
                <w:strike/>
                <w:noProof/>
                <w:szCs w:val="24"/>
                <w:lang w:val="en-US"/>
              </w:rPr>
              <w:t>Minimalne kryteria metodologiczne</w:t>
            </w: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b/>
                <w:strike/>
                <w:noProof/>
                <w:szCs w:val="24"/>
              </w:rPr>
            </w:pPr>
            <w:r w:rsidRPr="008E1614">
              <w:rPr>
                <w:rFonts w:ascii="Times New Roman" w:hAnsi="Times New Roman"/>
                <w:b/>
                <w:strike/>
                <w:noProof/>
                <w:szCs w:val="24"/>
              </w:rPr>
              <w:t>Wymagana zwalidowana funkcja przejścia (jeżeli stosowana jest metodyka inna niż metodyka referencyjna</w:t>
            </w:r>
            <w:r w:rsidRPr="008E1614">
              <w:rPr>
                <w:rFonts w:ascii="Times New Roman" w:hAnsi="Times New Roman"/>
                <w:b/>
                <w:strike/>
                <w:noProof/>
                <w:szCs w:val="24"/>
                <w:vertAlign w:val="superscript"/>
                <w:lang w:val="en-US"/>
              </w:rPr>
              <w:footnoteReference w:id="64"/>
            </w:r>
            <w:r w:rsidRPr="008E1614">
              <w:rPr>
                <w:rFonts w:ascii="Times New Roman" w:hAnsi="Times New Roman"/>
                <w:b/>
                <w:strike/>
                <w:noProof/>
                <w:szCs w:val="24"/>
              </w:rPr>
              <w:t xml:space="preserve">)? </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Tekstura gleby (zawartość iłu, pyłu i piasku – niezbędna do ustalenia innych wskaźników i powiązanych zakresów)</w:t>
            </w:r>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Metoda preferowana: ISO 11277:1998 Oznaczanie składu granulometrycznego w mineralnym materiale glebowym – Metoda sitowa i sedymentacyjna</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Metoda alternatywna: ISO 13320:2009 Analiza wielkości cząstek – metoda dyfrakcji laserowej</w:t>
            </w:r>
          </w:p>
        </w:tc>
        <w:tc>
          <w:tcPr>
            <w:tcW w:w="3290"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TAK</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strike/>
                <w:noProof/>
                <w:szCs w:val="24"/>
                <w:lang w:val="en-US"/>
              </w:rPr>
              <w:t>Przewodność elektryczna</w:t>
            </w:r>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Wariant 1: metoda pomiaru nasyconego ekstraktu glebowego (eEC) (FAO SOP: GLOSOLAN-SOP-08</w:t>
            </w:r>
            <w:r w:rsidRPr="008E1614">
              <w:rPr>
                <w:rFonts w:ascii="Times New Roman" w:hAnsi="Times New Roman"/>
                <w:strike/>
                <w:noProof/>
                <w:szCs w:val="24"/>
                <w:vertAlign w:val="superscript"/>
                <w:lang w:val="en-US"/>
              </w:rPr>
              <w:footnoteReference w:id="65"/>
            </w:r>
            <w:r w:rsidRPr="008E1614">
              <w:rPr>
                <w:rFonts w:ascii="Times New Roman" w:hAnsi="Times New Roman"/>
                <w:strike/>
                <w:noProof/>
                <w:szCs w:val="24"/>
                <w:lang w:val="en-US"/>
              </w:rPr>
              <w:t>)</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Wariant 2: ISO 11265:1994 Oznaczanie przewodności elektrycznej właściwej; </w:t>
            </w:r>
          </w:p>
        </w:tc>
        <w:tc>
          <w:tcPr>
            <w:tcW w:w="3290"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TAK</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b/>
                <w:strike/>
                <w:noProof/>
                <w:szCs w:val="24"/>
                <w:lang w:val="en-US"/>
              </w:rPr>
            </w:pPr>
            <w:r w:rsidRPr="008E1614">
              <w:rPr>
                <w:rFonts w:ascii="Times New Roman" w:hAnsi="Times New Roman"/>
                <w:strike/>
                <w:noProof/>
                <w:szCs w:val="24"/>
                <w:lang w:val="en-US"/>
              </w:rPr>
              <w:lastRenderedPageBreak/>
              <w:t>Wskaźnik erozji gleby</w:t>
            </w:r>
          </w:p>
        </w:tc>
        <w:tc>
          <w:tcPr>
            <w:tcW w:w="2827"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p>
        </w:tc>
        <w:tc>
          <w:tcPr>
            <w:tcW w:w="32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W oszacowaniu wskaźnika erozji gleby uwzględnia się wszystkie działania podjęte w celu ograniczenia lub zrekompensowania ryzyka erozji, w tym środki ograniczające ryzyko erozji po pożarze.</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Oszacowanie wskaźnika erozji gleby obejmuje wszystkie istotne procesy erozji, takie jak erozja powodowana przez wodę, wiatr, żniwa i orkę.</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Erozję gleby powodowaną przez wodę ocenia się z uwzględnieniem następujących czynników: </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rPr>
            </w:pPr>
            <w:r w:rsidRPr="008E1614">
              <w:rPr>
                <w:rFonts w:ascii="Times New Roman" w:hAnsi="Times New Roman"/>
                <w:strike/>
                <w:noProof/>
                <w:szCs w:val="24"/>
              </w:rPr>
              <w:t xml:space="preserve">właściwości gleby (np. podatność na erozję, powstawanie skorupy glebowej, chropowatość gleby), </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rPr>
            </w:pPr>
            <w:r w:rsidRPr="008E1614">
              <w:rPr>
                <w:rFonts w:ascii="Times New Roman" w:hAnsi="Times New Roman"/>
                <w:strike/>
                <w:noProof/>
                <w:szCs w:val="24"/>
              </w:rPr>
              <w:t xml:space="preserve">klimat (np. erozyjność deszczów – intensywność i czas trwania, z uwzględnieniem odpowiednich prognoz zmiany klimatu dla danego obszaru), </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rPr>
            </w:pPr>
            <w:r w:rsidRPr="008E1614">
              <w:rPr>
                <w:rFonts w:ascii="Times New Roman" w:hAnsi="Times New Roman"/>
                <w:strike/>
                <w:noProof/>
                <w:szCs w:val="24"/>
              </w:rPr>
              <w:t xml:space="preserve">topografia (np. stromość i długość nachylenia), </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rPr>
            </w:pPr>
            <w:r w:rsidRPr="008E1614">
              <w:rPr>
                <w:rFonts w:ascii="Times New Roman" w:hAnsi="Times New Roman"/>
                <w:strike/>
                <w:noProof/>
                <w:szCs w:val="24"/>
              </w:rPr>
              <w:t>pokrywa roślinna, rodzaj upraw, użytkowania gruntów i praktyk gospodarowania gruntami mające na celu kontrolę lub ograniczenie erozji,</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rPr>
            </w:pPr>
            <w:r w:rsidRPr="008E1614">
              <w:rPr>
                <w:rFonts w:ascii="Times New Roman" w:hAnsi="Times New Roman"/>
                <w:strike/>
                <w:noProof/>
                <w:szCs w:val="24"/>
              </w:rPr>
              <w:t>praktyki gospodarowania (np. uprawy okrywowe, uprawa zredukowana, ściółkowanie itp.),</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lang w:val="en-US"/>
              </w:rPr>
            </w:pPr>
            <w:r w:rsidRPr="008E1614">
              <w:rPr>
                <w:rFonts w:ascii="Times New Roman" w:hAnsi="Times New Roman"/>
                <w:strike/>
                <w:noProof/>
                <w:szCs w:val="24"/>
                <w:lang w:val="en-US"/>
              </w:rPr>
              <w:t>obszary spalone.</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Erozję gleby powodowaną przez wiatr ocenia się z uwzględnieniem następujących czynników: </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rPr>
            </w:pPr>
            <w:r w:rsidRPr="008E1614">
              <w:rPr>
                <w:rFonts w:ascii="Times New Roman" w:hAnsi="Times New Roman"/>
                <w:strike/>
                <w:noProof/>
                <w:szCs w:val="24"/>
              </w:rPr>
              <w:lastRenderedPageBreak/>
              <w:t xml:space="preserve">właściwości gleby (np. podatność na erozję), </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rPr>
            </w:pPr>
            <w:r w:rsidRPr="008E1614">
              <w:rPr>
                <w:rFonts w:ascii="Times New Roman" w:hAnsi="Times New Roman"/>
                <w:strike/>
                <w:noProof/>
                <w:szCs w:val="24"/>
              </w:rPr>
              <w:t xml:space="preserve">klimat (np. wilgotność gleby, prędkość wiatru, parowanie), </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lang w:val="en-US"/>
              </w:rPr>
            </w:pPr>
            <w:r w:rsidRPr="008E1614">
              <w:rPr>
                <w:rFonts w:ascii="Times New Roman" w:hAnsi="Times New Roman"/>
                <w:strike/>
                <w:noProof/>
                <w:szCs w:val="24"/>
                <w:lang w:val="en-US"/>
              </w:rPr>
              <w:t>roślinność (np. rodzaj upraw),</w:t>
            </w:r>
          </w:p>
          <w:p w:rsidR="00524971" w:rsidRPr="008E1614" w:rsidRDefault="00524971" w:rsidP="008E1614">
            <w:pPr>
              <w:widowControl/>
              <w:numPr>
                <w:ilvl w:val="0"/>
                <w:numId w:val="7"/>
              </w:numPr>
              <w:spacing w:before="120" w:after="120"/>
              <w:ind w:left="492"/>
              <w:jc w:val="both"/>
              <w:rPr>
                <w:rFonts w:ascii="Times New Roman" w:hAnsi="Times New Roman"/>
                <w:strike/>
                <w:noProof/>
                <w:szCs w:val="24"/>
              </w:rPr>
            </w:pPr>
            <w:r w:rsidRPr="008E1614">
              <w:rPr>
                <w:rFonts w:ascii="Times New Roman" w:hAnsi="Times New Roman"/>
                <w:strike/>
                <w:noProof/>
                <w:szCs w:val="24"/>
              </w:rPr>
              <w:t>praktyki gospodarowania gruntami mające na celu kontrolę lub ograniczenie erozji (np. wiatrochrony).</w:t>
            </w: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lastRenderedPageBreak/>
              <w:t>nd.</w:t>
            </w:r>
          </w:p>
        </w:tc>
      </w:tr>
      <w:tr w:rsidR="00524971" w:rsidRPr="008E1614" w:rsidTr="00524971">
        <w:trPr>
          <w:trHeight w:val="662"/>
        </w:trPr>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Węgiel organiczny w glebie</w:t>
            </w:r>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ISO 10694:1995 Oznaczanie zawartości węgla organicznego i całkowitej zawartości węgla po suchym spalaniu</w:t>
            </w:r>
          </w:p>
        </w:tc>
        <w:tc>
          <w:tcPr>
            <w:tcW w:w="3290"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TAK</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Gęstość objętościowa podglebia (horyzont B</w:t>
            </w:r>
            <w:r w:rsidRPr="008E1614">
              <w:rPr>
                <w:rFonts w:ascii="Times New Roman" w:hAnsi="Times New Roman"/>
                <w:strike/>
                <w:noProof/>
                <w:szCs w:val="24"/>
                <w:vertAlign w:val="superscript"/>
                <w:lang w:val="en-US"/>
              </w:rPr>
              <w:footnoteReference w:id="66"/>
            </w:r>
            <w:r w:rsidRPr="008E1614">
              <w:rPr>
                <w:rFonts w:ascii="Times New Roman" w:hAnsi="Times New Roman"/>
                <w:strike/>
                <w:noProof/>
                <w:szCs w:val="24"/>
              </w:rPr>
              <w:t>) lub równoważny</w:t>
            </w:r>
            <w:r w:rsidRPr="008E1614">
              <w:rPr>
                <w:rFonts w:ascii="Times New Roman" w:hAnsi="Times New Roman"/>
                <w:strike/>
                <w:noProof/>
                <w:szCs w:val="24"/>
                <w:vertAlign w:val="superscript"/>
                <w:lang w:val="en-US"/>
              </w:rPr>
              <w:footnoteReference w:id="67"/>
            </w:r>
            <w:r w:rsidRPr="008E1614">
              <w:rPr>
                <w:rFonts w:ascii="Times New Roman" w:hAnsi="Times New Roman"/>
                <w:strike/>
                <w:noProof/>
                <w:szCs w:val="24"/>
              </w:rPr>
              <w:t xml:space="preserve"> parametr wybrany przez państwa członkowskie</w:t>
            </w:r>
          </w:p>
        </w:tc>
        <w:tc>
          <w:tcPr>
            <w:tcW w:w="2827" w:type="dxa"/>
            <w:tcBorders>
              <w:top w:val="single" w:sz="4" w:space="0" w:color="auto"/>
              <w:left w:val="single" w:sz="4" w:space="0" w:color="auto"/>
              <w:bottom w:val="single" w:sz="4" w:space="0" w:color="auto"/>
              <w:right w:val="single" w:sz="4" w:space="0" w:color="auto"/>
            </w:tcBorders>
          </w:tcPr>
          <w:p w:rsid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ISO 11272:2017 do celów oznaczania gęstości objętościowej gleby suchej </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W przypadku wyboru równoważnego parametru metodyką jest norma europejska lub międzynarodowa jeżeli jest dostępna. Jeżeli taka norma nie jest dostępna, wybrana metodyka musi być dostępna w literaturze naukowej lub dostępna publicznie. </w:t>
            </w:r>
          </w:p>
        </w:tc>
        <w:tc>
          <w:tcPr>
            <w:tcW w:w="3290"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TAK</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Fosfor ekstrahowalny</w:t>
            </w:r>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ISO 11263:1994 do celów spektrometrycznego oznaczania fosforu rozpuszczalnego w roztworze wodorowęglanu sodu (P-Olsen)</w:t>
            </w:r>
          </w:p>
        </w:tc>
        <w:tc>
          <w:tcPr>
            <w:tcW w:w="3290"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TAK</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stężenie metali ciężkich w glebie:</w:t>
            </w:r>
            <w:bookmarkStart w:id="16" w:name="_Hlk125991502"/>
            <w:r w:rsidRPr="008E1614">
              <w:rPr>
                <w:rFonts w:ascii="Times New Roman" w:hAnsi="Times New Roman"/>
                <w:strike/>
                <w:noProof/>
                <w:szCs w:val="24"/>
              </w:rPr>
              <w:t xml:space="preserve"> As, Sb, Cd, Co, Cr </w:t>
            </w:r>
            <w:r w:rsidRPr="008E1614">
              <w:rPr>
                <w:rFonts w:ascii="Times New Roman" w:hAnsi="Times New Roman"/>
                <w:strike/>
                <w:noProof/>
                <w:szCs w:val="24"/>
              </w:rPr>
              <w:lastRenderedPageBreak/>
              <w:t>(ogółem), Cr (VI), Cu, Hg, Pb, Ni, Tl, V, Zn (w µg na kg)</w:t>
            </w:r>
            <w:bookmarkEnd w:id="16"/>
            <w:r w:rsidRPr="008E1614">
              <w:rPr>
                <w:rFonts w:ascii="Times New Roman" w:hAnsi="Times New Roman"/>
                <w:strike/>
                <w:noProof/>
                <w:szCs w:val="24"/>
              </w:rPr>
              <w:t xml:space="preserve"> </w:t>
            </w:r>
            <w:r w:rsidRPr="008E1614">
              <w:rPr>
                <w:rFonts w:ascii="Times New Roman" w:hAnsi="Times New Roman"/>
                <w:strike/>
                <w:noProof/>
                <w:szCs w:val="24"/>
              </w:rPr>
              <w:br/>
              <w:t xml:space="preserve"> – stężenie wybranych zanieczyszczeń organicznych ustalone przez państwa członkowskie i z uwzględnieniem obowiązujących przepisów UE (np. dotyczących jakości wody lub pestycydów)</w:t>
            </w:r>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lastRenderedPageBreak/>
              <w:t xml:space="preserve">Potencjalna środowiskowa dostępna zawartość metali ciężkich w glebach na </w:t>
            </w:r>
            <w:r w:rsidRPr="008E1614">
              <w:rPr>
                <w:rFonts w:ascii="Times New Roman" w:hAnsi="Times New Roman"/>
                <w:strike/>
                <w:noProof/>
                <w:szCs w:val="24"/>
              </w:rPr>
              <w:lastRenderedPageBreak/>
              <w:t>podstawie ISO 17586:2016 z wykorzystaniem rozcieńczonego kwasu azotowego.</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 </w:t>
            </w:r>
          </w:p>
        </w:tc>
        <w:tc>
          <w:tcPr>
            <w:tcW w:w="3290" w:type="dxa"/>
            <w:tcBorders>
              <w:top w:val="single" w:sz="4" w:space="0" w:color="auto"/>
              <w:left w:val="single" w:sz="4" w:space="0" w:color="auto"/>
              <w:bottom w:val="single" w:sz="4" w:space="0" w:color="auto"/>
              <w:right w:val="single" w:sz="4" w:space="0" w:color="auto"/>
            </w:tcBorders>
          </w:tcPr>
          <w:p w:rsidR="008E1614" w:rsidRDefault="008E1614" w:rsidP="008E1614">
            <w:pPr>
              <w:spacing w:before="120" w:after="120"/>
              <w:rPr>
                <w:rFonts w:ascii="Times New Roman" w:hAnsi="Times New Roman"/>
                <w:strike/>
                <w:noProof/>
                <w:szCs w:val="24"/>
              </w:rPr>
            </w:pP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Należy stosować normy europejskie lub </w:t>
            </w:r>
            <w:r w:rsidRPr="008E1614">
              <w:rPr>
                <w:rFonts w:ascii="Times New Roman" w:hAnsi="Times New Roman"/>
                <w:strike/>
                <w:noProof/>
                <w:szCs w:val="24"/>
              </w:rPr>
              <w:lastRenderedPageBreak/>
              <w:t>międzynarodowe, jeżeli są dostępne. Jeżeli taka norma nie jest dostępna, wybrana metodyka musi być dostępna w literaturze naukowej lub dostępna publicznie</w:t>
            </w:r>
          </w:p>
        </w:tc>
        <w:tc>
          <w:tcPr>
            <w:tcW w:w="1843" w:type="dxa"/>
            <w:tcBorders>
              <w:top w:val="single" w:sz="4" w:space="0" w:color="auto"/>
              <w:left w:val="single" w:sz="4" w:space="0" w:color="auto"/>
              <w:bottom w:val="single" w:sz="4" w:space="0" w:color="auto"/>
              <w:right w:val="single" w:sz="4" w:space="0" w:color="auto"/>
            </w:tcBorders>
          </w:tcPr>
          <w:p w:rsid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lastRenderedPageBreak/>
              <w:t>TAK</w:t>
            </w:r>
          </w:p>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nie dotyczy</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bookmarkStart w:id="17" w:name="_Hlk125991626"/>
            <w:r w:rsidRPr="008E1614">
              <w:rPr>
                <w:rFonts w:ascii="Times New Roman" w:hAnsi="Times New Roman"/>
                <w:strike/>
                <w:noProof/>
                <w:szCs w:val="24"/>
                <w:lang w:val="en-US"/>
              </w:rPr>
              <w:t>Pojemność wodna gleby</w:t>
            </w:r>
            <w:bookmarkEnd w:id="17"/>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Metodyka określania wartości dla jednego punktu pobierania próbek:</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Wariant 1: METODA LABORATORYJNA: ISO 11274:2019 do celów oznaczania charakterystyki retencji wodnej.                    </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Wariant 2: OSZACOWANIE: zastosowanie metodyki opisanej w artykule naukowym „New generation of hydraulic pedotransfer functions for Europe”</w:t>
            </w:r>
            <w:r w:rsidRPr="008E1614">
              <w:rPr>
                <w:rFonts w:ascii="Times New Roman" w:hAnsi="Times New Roman"/>
                <w:strike/>
                <w:noProof/>
                <w:szCs w:val="24"/>
                <w:vertAlign w:val="superscript"/>
                <w:lang w:val="en-US"/>
              </w:rPr>
              <w:footnoteReference w:id="68"/>
            </w:r>
            <w:r w:rsidRPr="008E1614">
              <w:rPr>
                <w:rFonts w:ascii="Times New Roman" w:hAnsi="Times New Roman"/>
                <w:strike/>
                <w:noProof/>
                <w:szCs w:val="24"/>
              </w:rPr>
              <w:t xml:space="preserve"> [„Nowa generacja funkcji pedotransferu dla Europy”] do określania właściwości hydraulicznych w oparciu o teksturę (lub rozkład wielkości cząstek) i węgiel organiczny w glebie.</w:t>
            </w:r>
          </w:p>
        </w:tc>
        <w:tc>
          <w:tcPr>
            <w:tcW w:w="3290"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bookmarkStart w:id="18" w:name="_Hlk126165520"/>
            <w:r w:rsidRPr="008E1614">
              <w:rPr>
                <w:rFonts w:ascii="Times New Roman" w:hAnsi="Times New Roman"/>
                <w:strike/>
                <w:noProof/>
                <w:szCs w:val="24"/>
              </w:rPr>
              <w:t>Minimalne kryteria szacowania całkowitej pojemności wodnej okręgu glebowego w skali dorzecza lub zlewni:</w:t>
            </w:r>
          </w:p>
          <w:p w:rsidR="00524971" w:rsidRPr="008E1614" w:rsidRDefault="00524971" w:rsidP="008E1614">
            <w:pPr>
              <w:widowControl/>
              <w:numPr>
                <w:ilvl w:val="0"/>
                <w:numId w:val="7"/>
              </w:numPr>
              <w:spacing w:before="120" w:after="120"/>
              <w:jc w:val="both"/>
              <w:rPr>
                <w:rFonts w:ascii="Times New Roman" w:hAnsi="Times New Roman"/>
                <w:strike/>
                <w:noProof/>
                <w:szCs w:val="24"/>
              </w:rPr>
            </w:pPr>
            <w:r w:rsidRPr="008E1614">
              <w:rPr>
                <w:rFonts w:ascii="Times New Roman" w:hAnsi="Times New Roman"/>
                <w:strike/>
                <w:noProof/>
                <w:szCs w:val="24"/>
              </w:rPr>
              <w:t xml:space="preserve">w odniesieniu do powierzchni gruntów nieprzejętych szacuje się całkowitą wartość pojemności wodnej gleby; </w:t>
            </w:r>
          </w:p>
          <w:p w:rsidR="00524971" w:rsidRPr="008E1614" w:rsidRDefault="00524971" w:rsidP="008E1614">
            <w:pPr>
              <w:widowControl/>
              <w:numPr>
                <w:ilvl w:val="0"/>
                <w:numId w:val="7"/>
              </w:numPr>
              <w:spacing w:before="120" w:after="120"/>
              <w:jc w:val="both"/>
              <w:rPr>
                <w:rFonts w:ascii="Times New Roman" w:hAnsi="Times New Roman"/>
                <w:strike/>
                <w:noProof/>
                <w:szCs w:val="24"/>
              </w:rPr>
            </w:pPr>
            <w:r w:rsidRPr="008E1614">
              <w:rPr>
                <w:rFonts w:ascii="Times New Roman" w:hAnsi="Times New Roman"/>
                <w:strike/>
                <w:noProof/>
                <w:szCs w:val="24"/>
              </w:rPr>
              <w:t>w odniesieniu do powierzchni gruntów przejętych należy rozważyć ustalenie pojemności wodnej obszarów nieprzepuszczalnych na zero i przypisanie proporcjonalnie wartości pośrednich obszarom półprzepuszczalnym i innym obszarom sztucznym.</w:t>
            </w:r>
            <w:bookmarkEnd w:id="18"/>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TAK (dla wartości punktowej)</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 xml:space="preserve">Azot w glebie </w:t>
            </w:r>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ISO 11261:1995 do celów oznaczania azotu ogólnego w glebie zmodyfikowaną metodą Kjeldahla</w:t>
            </w:r>
          </w:p>
        </w:tc>
        <w:tc>
          <w:tcPr>
            <w:tcW w:w="3290"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TAK</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lastRenderedPageBreak/>
              <w:t>Kwasowość gleby</w:t>
            </w:r>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ISO 10390:2005 do celów oznaczania pH w H2O i ekstrakcie CaCl2 (pH-H2O i pH-CaCl2)</w:t>
            </w:r>
          </w:p>
        </w:tc>
        <w:tc>
          <w:tcPr>
            <w:tcW w:w="3290"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TAK</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Gęstość objętościowa poziomu próchniczego gleby (horyzont A</w:t>
            </w:r>
            <w:r w:rsidRPr="008E1614">
              <w:rPr>
                <w:rFonts w:ascii="Times New Roman" w:hAnsi="Times New Roman"/>
                <w:strike/>
                <w:noProof/>
                <w:szCs w:val="24"/>
                <w:vertAlign w:val="superscript"/>
                <w:lang w:val="en-US"/>
              </w:rPr>
              <w:footnoteReference w:id="69"/>
            </w:r>
            <w:r w:rsidRPr="008E1614">
              <w:rPr>
                <w:rFonts w:ascii="Times New Roman" w:hAnsi="Times New Roman"/>
                <w:strike/>
                <w:noProof/>
                <w:szCs w:val="24"/>
              </w:rPr>
              <w:t>)</w:t>
            </w:r>
          </w:p>
        </w:tc>
        <w:tc>
          <w:tcPr>
            <w:tcW w:w="2827" w:type="dxa"/>
            <w:tcBorders>
              <w:top w:val="single" w:sz="4" w:space="0" w:color="auto"/>
              <w:left w:val="single" w:sz="4" w:space="0" w:color="auto"/>
              <w:bottom w:val="single" w:sz="4" w:space="0" w:color="auto"/>
              <w:right w:val="single" w:sz="4" w:space="0" w:color="auto"/>
            </w:tcBorders>
            <w:hideMark/>
          </w:tcPr>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ISO 11272:2017 do celów oznaczania gęstości objętościowej gleby suchej </w:t>
            </w:r>
          </w:p>
          <w:p w:rsidR="00524971" w:rsidRPr="008E1614" w:rsidRDefault="00524971" w:rsidP="008E1614">
            <w:pPr>
              <w:spacing w:before="120" w:after="120"/>
              <w:rPr>
                <w:rFonts w:ascii="Times New Roman" w:hAnsi="Times New Roman"/>
                <w:strike/>
                <w:noProof/>
                <w:szCs w:val="24"/>
              </w:rPr>
            </w:pPr>
          </w:p>
        </w:tc>
        <w:tc>
          <w:tcPr>
            <w:tcW w:w="3290"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524971" w:rsidRPr="008E1614" w:rsidRDefault="00524971" w:rsidP="008E1614">
            <w:pPr>
              <w:spacing w:before="120" w:after="120"/>
              <w:rPr>
                <w:rFonts w:ascii="Times New Roman" w:hAnsi="Times New Roman"/>
                <w:strike/>
                <w:noProof/>
                <w:szCs w:val="24"/>
                <w:lang w:val="en-US"/>
              </w:rPr>
            </w:pPr>
            <w:r w:rsidRPr="008E1614">
              <w:rPr>
                <w:rFonts w:ascii="Times New Roman" w:hAnsi="Times New Roman"/>
                <w:strike/>
                <w:noProof/>
                <w:szCs w:val="24"/>
                <w:lang w:val="en-US"/>
              </w:rPr>
              <w:t>TAK</w:t>
            </w:r>
          </w:p>
        </w:tc>
      </w:tr>
      <w:tr w:rsidR="00524971" w:rsidRPr="008E1614" w:rsidTr="00524971">
        <w:tc>
          <w:tcPr>
            <w:tcW w:w="2071" w:type="dxa"/>
            <w:tcBorders>
              <w:top w:val="single" w:sz="4" w:space="0" w:color="auto"/>
              <w:left w:val="single" w:sz="4" w:space="0" w:color="auto"/>
              <w:bottom w:val="single" w:sz="4" w:space="0" w:color="auto"/>
              <w:right w:val="single" w:sz="4" w:space="0" w:color="auto"/>
            </w:tcBorders>
          </w:tcPr>
          <w:p w:rsid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Oddychanie podstawowe gleby</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Państwa członkowskie mogą również wybrać opcjonalne wskaźniki różnorodności biologicznej gleby, takie jak: </w:t>
            </w:r>
            <w:r w:rsidRPr="008E1614">
              <w:rPr>
                <w:rFonts w:ascii="Times New Roman" w:hAnsi="Times New Roman"/>
                <w:strike/>
                <w:noProof/>
                <w:szCs w:val="24"/>
              </w:rPr>
              <w:br/>
              <w:t>– metabarkodowanie</w:t>
            </w:r>
            <w:r w:rsidRPr="008E1614">
              <w:rPr>
                <w:rFonts w:ascii="Times New Roman" w:hAnsi="Times New Roman"/>
                <w:strike/>
                <w:noProof/>
                <w:szCs w:val="24"/>
                <w:vertAlign w:val="superscript"/>
                <w:lang w:val="en-US"/>
              </w:rPr>
              <w:footnoteReference w:id="70"/>
            </w:r>
            <w:r w:rsidRPr="008E1614">
              <w:rPr>
                <w:rFonts w:ascii="Times New Roman" w:hAnsi="Times New Roman"/>
                <w:strike/>
                <w:noProof/>
                <w:szCs w:val="24"/>
              </w:rPr>
              <w:t xml:space="preserve"> bakterii, grzybów, protistów i zwierząt; </w:t>
            </w:r>
            <w:r w:rsidRPr="008E1614">
              <w:rPr>
                <w:rFonts w:ascii="Times New Roman" w:hAnsi="Times New Roman"/>
                <w:strike/>
                <w:noProof/>
                <w:szCs w:val="24"/>
              </w:rPr>
              <w:br/>
              <w:t xml:space="preserve"> – liczebność i różnorodność nicieni; </w:t>
            </w:r>
            <w:r w:rsidRPr="008E1614">
              <w:rPr>
                <w:rFonts w:ascii="Times New Roman" w:hAnsi="Times New Roman"/>
                <w:strike/>
                <w:noProof/>
                <w:szCs w:val="24"/>
              </w:rPr>
              <w:br/>
              <w:t xml:space="preserve"> – biomasa mikroorganizmów; </w:t>
            </w:r>
            <w:r w:rsidRPr="008E1614">
              <w:rPr>
                <w:rFonts w:ascii="Times New Roman" w:hAnsi="Times New Roman"/>
                <w:strike/>
                <w:noProof/>
                <w:szCs w:val="24"/>
              </w:rPr>
              <w:br/>
              <w:t xml:space="preserve"> – liczebność i różnorodność dżdżownic (na gruntach uprawnych);</w:t>
            </w:r>
          </w:p>
        </w:tc>
        <w:tc>
          <w:tcPr>
            <w:tcW w:w="2827" w:type="dxa"/>
            <w:tcBorders>
              <w:top w:val="single" w:sz="4" w:space="0" w:color="auto"/>
              <w:left w:val="single" w:sz="4" w:space="0" w:color="auto"/>
              <w:bottom w:val="single" w:sz="4" w:space="0" w:color="auto"/>
              <w:right w:val="single" w:sz="4" w:space="0" w:color="auto"/>
            </w:tcBorders>
          </w:tcPr>
          <w:p w:rsid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 xml:space="preserve"> Postępowanie zgodnie ze wskazówkami opisanymi w artykule naukowym „Microbial biomass and activities in soil as affected by frozen and cold storage”</w:t>
            </w:r>
            <w:r w:rsidRPr="008E1614">
              <w:rPr>
                <w:rFonts w:ascii="Times New Roman" w:hAnsi="Times New Roman"/>
                <w:strike/>
                <w:noProof/>
                <w:szCs w:val="24"/>
                <w:vertAlign w:val="superscript"/>
                <w:lang w:val="en-US"/>
              </w:rPr>
              <w:footnoteReference w:id="71"/>
            </w:r>
            <w:r w:rsidRPr="008E1614">
              <w:rPr>
                <w:rFonts w:ascii="Times New Roman" w:hAnsi="Times New Roman"/>
                <w:strike/>
                <w:noProof/>
                <w:szCs w:val="24"/>
              </w:rPr>
              <w:t xml:space="preserve"> [„Biomasa i aktywność mikroorganizmów w glebie pod wpływem przechowywania w zamrożeniu i w chłodni”].</w:t>
            </w:r>
          </w:p>
          <w:p w:rsidR="00524971" w:rsidRPr="008E1614" w:rsidRDefault="00524971" w:rsidP="008E1614">
            <w:pPr>
              <w:spacing w:before="120" w:after="120"/>
              <w:rPr>
                <w:rFonts w:ascii="Times New Roman" w:hAnsi="Times New Roman"/>
                <w:strike/>
                <w:noProof/>
                <w:szCs w:val="24"/>
              </w:rPr>
            </w:pPr>
          </w:p>
        </w:tc>
        <w:tc>
          <w:tcPr>
            <w:tcW w:w="3290" w:type="dxa"/>
            <w:tcBorders>
              <w:top w:val="single" w:sz="4" w:space="0" w:color="auto"/>
              <w:left w:val="single" w:sz="4" w:space="0" w:color="auto"/>
              <w:bottom w:val="single" w:sz="4" w:space="0" w:color="auto"/>
              <w:right w:val="single" w:sz="4" w:space="0" w:color="auto"/>
            </w:tcBorders>
          </w:tcPr>
          <w:p w:rsidR="008E1614" w:rsidRDefault="008E1614" w:rsidP="008E1614">
            <w:pPr>
              <w:spacing w:before="120" w:after="120"/>
              <w:rPr>
                <w:rFonts w:ascii="Times New Roman" w:hAnsi="Times New Roman"/>
                <w:strike/>
                <w:noProof/>
                <w:szCs w:val="24"/>
              </w:rPr>
            </w:pPr>
          </w:p>
          <w:p w:rsid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Należy stosować normy europejskie lub międzynarodowe, jeżeli są dostępne. Jeżeli taka norma nie jest dostępna, wybrana metodyka musi być dostępna w literaturze naukowej lub dostępna publicznie.</w:t>
            </w:r>
          </w:p>
          <w:p w:rsidR="00524971" w:rsidRPr="008E1614" w:rsidRDefault="00524971" w:rsidP="008E1614">
            <w:pPr>
              <w:spacing w:before="120" w:after="120"/>
              <w:rPr>
                <w:rFonts w:ascii="Times New Roman" w:hAnsi="Times New Roman"/>
                <w:strike/>
                <w:noProof/>
                <w:szCs w:val="24"/>
              </w:rPr>
            </w:pPr>
          </w:p>
        </w:tc>
        <w:tc>
          <w:tcPr>
            <w:tcW w:w="1843" w:type="dxa"/>
            <w:tcBorders>
              <w:top w:val="single" w:sz="4" w:space="0" w:color="auto"/>
              <w:left w:val="single" w:sz="4" w:space="0" w:color="auto"/>
              <w:bottom w:val="single" w:sz="4" w:space="0" w:color="auto"/>
              <w:right w:val="single" w:sz="4" w:space="0" w:color="auto"/>
            </w:tcBorders>
          </w:tcPr>
          <w:p w:rsid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TAK</w:t>
            </w:r>
          </w:p>
          <w:p w:rsidR="00524971" w:rsidRPr="008E1614" w:rsidRDefault="00524971" w:rsidP="008E1614">
            <w:pPr>
              <w:spacing w:before="120" w:after="120"/>
              <w:rPr>
                <w:rFonts w:ascii="Times New Roman" w:hAnsi="Times New Roman"/>
                <w:strike/>
                <w:noProof/>
                <w:szCs w:val="24"/>
              </w:rPr>
            </w:pPr>
            <w:r w:rsidRPr="008E1614">
              <w:rPr>
                <w:rFonts w:ascii="Times New Roman" w:hAnsi="Times New Roman"/>
                <w:strike/>
                <w:noProof/>
                <w:szCs w:val="24"/>
              </w:rPr>
              <w:t>W przypadku innych wskaźników różnorodności biologicznej gleby: nie dotyczy</w:t>
            </w:r>
          </w:p>
        </w:tc>
      </w:tr>
    </w:tbl>
    <w:tbl>
      <w:tblPr>
        <w:tblStyle w:val="1"/>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Wskaźnik glebowy</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Metodyka referencyjna</w:t>
            </w:r>
          </w:p>
        </w:tc>
        <w:tc>
          <w:tcPr>
            <w:tcW w:w="315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Minimalne kryteria metodologiczne</w:t>
            </w: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Wymagana </w:t>
            </w:r>
            <w:proofErr w:type="spellStart"/>
            <w:r w:rsidRPr="008E1614">
              <w:rPr>
                <w:b/>
                <w:i/>
                <w:sz w:val="22"/>
              </w:rPr>
              <w:t>zwalidowana</w:t>
            </w:r>
            <w:proofErr w:type="spellEnd"/>
            <w:r w:rsidRPr="008E1614">
              <w:rPr>
                <w:b/>
                <w:i/>
                <w:sz w:val="22"/>
              </w:rPr>
              <w:t xml:space="preserve"> funkcja przejścia (jeżeli stosowana jest metodyka inna niż metodyka referencyjna)</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lastRenderedPageBreak/>
              <w:t>Tekstura gleby (zawartość iłu, pyłu i piasku – niezbędna do ustalenia innych wskaźników i powiązanych zakresów)</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Metoda preferowana: ISO</w:t>
            </w:r>
            <w:proofErr w:type="gramStart"/>
            <w:r w:rsidRPr="008E1614">
              <w:rPr>
                <w:b/>
                <w:i/>
                <w:sz w:val="22"/>
              </w:rPr>
              <w:t xml:space="preserve"> 11277:1998 Oznaczanie</w:t>
            </w:r>
            <w:proofErr w:type="gramEnd"/>
            <w:r w:rsidRPr="008E1614">
              <w:rPr>
                <w:b/>
                <w:i/>
                <w:sz w:val="22"/>
              </w:rPr>
              <w:t xml:space="preserve"> składu granulometrycznego w mineralnym materiale glebowym – Metoda sitowa i sedymentacyjna</w:t>
            </w:r>
          </w:p>
          <w:p w:rsidR="00524971" w:rsidRPr="008E1614" w:rsidRDefault="00524971" w:rsidP="008E1614">
            <w:pPr>
              <w:rPr>
                <w:b/>
                <w:i/>
                <w:sz w:val="22"/>
              </w:rPr>
            </w:pPr>
            <w:r w:rsidRPr="008E1614">
              <w:rPr>
                <w:b/>
                <w:i/>
                <w:sz w:val="22"/>
              </w:rPr>
              <w:t>Metoda alternatywna: ISO</w:t>
            </w:r>
            <w:proofErr w:type="gramStart"/>
            <w:r w:rsidRPr="008E1614">
              <w:rPr>
                <w:b/>
                <w:i/>
                <w:sz w:val="22"/>
              </w:rPr>
              <w:t xml:space="preserve"> 13320:2009 Analiza</w:t>
            </w:r>
            <w:proofErr w:type="gramEnd"/>
            <w:r w:rsidRPr="008E1614">
              <w:rPr>
                <w:b/>
                <w:i/>
                <w:sz w:val="22"/>
              </w:rPr>
              <w:t xml:space="preserve"> wielkości cząstek – metoda dyfrakcji laserowej</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Przewodność elektryczna</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Wariant 1: metoda pomiaru nasyconego ekstraktu glebowego (</w:t>
            </w:r>
            <w:proofErr w:type="spellStart"/>
            <w:r w:rsidRPr="008E1614">
              <w:rPr>
                <w:b/>
                <w:i/>
                <w:sz w:val="22"/>
              </w:rPr>
              <w:t>eEC</w:t>
            </w:r>
            <w:proofErr w:type="spellEnd"/>
            <w:r w:rsidRPr="008E1614">
              <w:rPr>
                <w:b/>
                <w:i/>
                <w:sz w:val="22"/>
              </w:rPr>
              <w:t xml:space="preserve">) (FAO </w:t>
            </w:r>
            <w:proofErr w:type="spellStart"/>
            <w:proofErr w:type="gramStart"/>
            <w:r w:rsidRPr="008E1614">
              <w:rPr>
                <w:b/>
                <w:i/>
                <w:sz w:val="22"/>
              </w:rPr>
              <w:t>SOP</w:t>
            </w:r>
            <w:proofErr w:type="spellEnd"/>
            <w:r w:rsidRPr="008E1614">
              <w:rPr>
                <w:b/>
                <w:i/>
                <w:sz w:val="22"/>
              </w:rPr>
              <w:t xml:space="preserve">:  </w:t>
            </w:r>
            <w:proofErr w:type="spellStart"/>
            <w:r w:rsidRPr="008E1614">
              <w:rPr>
                <w:b/>
                <w:i/>
                <w:sz w:val="22"/>
              </w:rPr>
              <w:t>GLOSOLAN</w:t>
            </w:r>
            <w:proofErr w:type="spellEnd"/>
            <w:r w:rsidRPr="008E1614">
              <w:rPr>
                <w:b/>
                <w:i/>
                <w:sz w:val="22"/>
              </w:rPr>
              <w:t>-</w:t>
            </w:r>
            <w:proofErr w:type="spellStart"/>
            <w:r w:rsidRPr="008E1614">
              <w:rPr>
                <w:b/>
                <w:i/>
                <w:sz w:val="22"/>
              </w:rPr>
              <w:t>SOP</w:t>
            </w:r>
            <w:proofErr w:type="spellEnd"/>
            <w:r w:rsidRPr="008E1614">
              <w:rPr>
                <w:b/>
                <w:i/>
                <w:sz w:val="22"/>
              </w:rPr>
              <w:t>-</w:t>
            </w:r>
            <w:proofErr w:type="gramEnd"/>
            <w:r w:rsidRPr="008E1614">
              <w:rPr>
                <w:b/>
                <w:i/>
                <w:sz w:val="22"/>
              </w:rPr>
              <w:t>08</w:t>
            </w:r>
            <w:r w:rsidR="009A0269">
              <w:rPr>
                <w:rStyle w:val="FootnoteReference"/>
                <w:b/>
                <w:i/>
                <w:sz w:val="22"/>
              </w:rPr>
              <w:footnoteReference w:id="72"/>
            </w:r>
            <w:r w:rsidRPr="008E1614">
              <w:rPr>
                <w:b/>
                <w:i/>
                <w:sz w:val="22"/>
              </w:rPr>
              <w:t>)</w:t>
            </w:r>
          </w:p>
          <w:p w:rsidR="00524971" w:rsidRPr="008E1614" w:rsidRDefault="00524971" w:rsidP="008E1614">
            <w:pPr>
              <w:rPr>
                <w:b/>
                <w:i/>
                <w:sz w:val="22"/>
              </w:rPr>
            </w:pPr>
            <w:r w:rsidRPr="008E1614">
              <w:rPr>
                <w:b/>
                <w:i/>
                <w:sz w:val="22"/>
              </w:rPr>
              <w:t>Wariant 2: ISO</w:t>
            </w:r>
            <w:proofErr w:type="gramStart"/>
            <w:r w:rsidRPr="008E1614">
              <w:rPr>
                <w:b/>
                <w:i/>
                <w:sz w:val="22"/>
              </w:rPr>
              <w:t xml:space="preserve"> 11265:1994 Oznaczanie</w:t>
            </w:r>
            <w:proofErr w:type="gramEnd"/>
            <w:r w:rsidRPr="008E1614">
              <w:rPr>
                <w:b/>
                <w:i/>
                <w:sz w:val="22"/>
              </w:rPr>
              <w:t xml:space="preserve"> przewodności elektrycznej właściwej;  </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Wskaźnik erozji gleby</w:t>
            </w:r>
          </w:p>
        </w:tc>
        <w:tc>
          <w:tcPr>
            <w:tcW w:w="2622"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315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W oszacowaniu wskaźnika erozji gleby uwzględnia się wszystkie działania podjęte w celu ograniczenia lub zrekompensowania ryzyka erozji, w tym środki ograniczające ryzyko erozji po pożarze.</w:t>
            </w:r>
          </w:p>
          <w:p w:rsidR="00524971" w:rsidRPr="008E1614" w:rsidRDefault="00524971" w:rsidP="008E1614">
            <w:pPr>
              <w:rPr>
                <w:b/>
                <w:i/>
                <w:sz w:val="22"/>
              </w:rPr>
            </w:pPr>
            <w:r w:rsidRPr="008E1614">
              <w:rPr>
                <w:b/>
                <w:i/>
                <w:sz w:val="22"/>
              </w:rPr>
              <w:t>Oszacowanie wskaźnika erozji gleby obejmuje wszystkie istotne procesy erozji, takie jak erozja powodowana przez wodę, wiatr, żniwa i orkę.</w:t>
            </w:r>
          </w:p>
          <w:p w:rsidR="00524971" w:rsidRPr="008E1614" w:rsidRDefault="00524971" w:rsidP="008E1614">
            <w:pPr>
              <w:rPr>
                <w:b/>
                <w:i/>
                <w:sz w:val="22"/>
              </w:rPr>
            </w:pPr>
            <w:r w:rsidRPr="008E1614">
              <w:rPr>
                <w:b/>
                <w:i/>
                <w:sz w:val="22"/>
              </w:rPr>
              <w:t xml:space="preserve">Erozję gleby powodowaną przez wodę ocenia się z uwzględnieniem następujących czynników: </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 xml:space="preserve">właściwości gleby (np. podatność na erozję, powstawanie skorupy glebowej, chropowatość gleby), </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 xml:space="preserve">klimat (np. erozyjność deszczów – intensywność i czas trwania, z uwzględnieniem odpowiednich prognoz zmiany klimatu dla danego obszaru), </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 xml:space="preserve">topografia (np. stromość </w:t>
            </w:r>
            <w:r w:rsidRPr="008E1614">
              <w:rPr>
                <w:b/>
                <w:i/>
                <w:sz w:val="22"/>
              </w:rPr>
              <w:lastRenderedPageBreak/>
              <w:t xml:space="preserve">i długość nachylenia), </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pokrywa roślinna, rodzaj upraw i typ lasu oraz rodzaj użytkowania gruntów i praktyk gospodarowania gruntami mające na celu kontrolę lub ograniczenie erozji,</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praktyki gospodarowania (np. uprawy okrywowe, uprawa zredukowana, ściółkowanie itp.),</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obszary spalone.</w:t>
            </w:r>
          </w:p>
          <w:p w:rsidR="00524971" w:rsidRPr="008E1614" w:rsidRDefault="00524971" w:rsidP="008E1614">
            <w:pPr>
              <w:rPr>
                <w:b/>
                <w:i/>
                <w:sz w:val="22"/>
              </w:rPr>
            </w:pPr>
            <w:r w:rsidRPr="008E1614">
              <w:rPr>
                <w:b/>
                <w:i/>
                <w:sz w:val="22"/>
              </w:rPr>
              <w:t xml:space="preserve">Erozję gleby powodowaną przez wiatr ocenia się z uwzględnieniem następujących czynników: </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 xml:space="preserve">właściwości gleby (np. podatność na erozję), </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 xml:space="preserve">klimat (np. wilgotność gleby, prędkość wiatru, parowanie), </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roślinność (np. rodzaj upraw),</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praktyki gospodarowania gruntami mające na celu kontrolę lub ograniczenie erozji (np. wiatrochrony).</w:t>
            </w:r>
          </w:p>
          <w:p w:rsidR="00524971" w:rsidRPr="008E1614" w:rsidRDefault="00524971" w:rsidP="008E1614">
            <w:pPr>
              <w:ind w:left="492" w:hanging="360"/>
              <w:rPr>
                <w:b/>
                <w:i/>
                <w:sz w:val="22"/>
              </w:rPr>
            </w:pPr>
            <w:r w:rsidRPr="008E1614">
              <w:rPr>
                <w:sz w:val="22"/>
              </w:rPr>
              <w:t>-</w:t>
            </w:r>
            <w:r w:rsidRPr="008E1614">
              <w:rPr>
                <w:sz w:val="22"/>
              </w:rPr>
              <w:tab/>
            </w:r>
            <w:r w:rsidRPr="008E1614">
              <w:rPr>
                <w:b/>
                <w:i/>
                <w:sz w:val="22"/>
              </w:rPr>
              <w:t>obszary spalone.</w:t>
            </w: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proofErr w:type="spellStart"/>
            <w:proofErr w:type="gramStart"/>
            <w:r w:rsidRPr="008E1614">
              <w:rPr>
                <w:b/>
                <w:i/>
                <w:sz w:val="22"/>
              </w:rPr>
              <w:lastRenderedPageBreak/>
              <w:t>nd</w:t>
            </w:r>
            <w:proofErr w:type="spellEnd"/>
            <w:proofErr w:type="gramEnd"/>
            <w:r w:rsidRPr="008E1614">
              <w:rPr>
                <w:b/>
                <w:i/>
                <w:sz w:val="22"/>
              </w:rPr>
              <w:t>.</w:t>
            </w:r>
          </w:p>
        </w:tc>
      </w:tr>
      <w:tr w:rsidR="00524971" w:rsidRPr="008E1614" w:rsidTr="00524971">
        <w:trPr>
          <w:trHeight w:val="662"/>
        </w:trPr>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Węgiel organiczny w glebie</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ISO</w:t>
            </w:r>
            <w:proofErr w:type="gramStart"/>
            <w:r w:rsidRPr="008E1614">
              <w:rPr>
                <w:b/>
                <w:i/>
                <w:sz w:val="22"/>
              </w:rPr>
              <w:t xml:space="preserve"> 10694:1995 Oznaczanie</w:t>
            </w:r>
            <w:proofErr w:type="gramEnd"/>
            <w:r w:rsidRPr="008E1614">
              <w:rPr>
                <w:b/>
                <w:i/>
                <w:sz w:val="22"/>
              </w:rPr>
              <w:t xml:space="preserve"> zawartości węgla organicznego i całkowitej zawartości węgla po suchym spalaniu</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Gęstość objętościowa podglebia lub równoważny</w:t>
            </w:r>
            <w:r w:rsidR="009A0269">
              <w:rPr>
                <w:rStyle w:val="FootnoteReference"/>
                <w:b/>
                <w:i/>
                <w:sz w:val="22"/>
              </w:rPr>
              <w:footnoteReference w:id="73"/>
            </w:r>
            <w:r w:rsidRPr="008E1614">
              <w:rPr>
                <w:b/>
                <w:i/>
                <w:sz w:val="22"/>
              </w:rPr>
              <w:t xml:space="preserve"> parametr wybrany przez państwa członkowskie</w:t>
            </w:r>
          </w:p>
        </w:tc>
        <w:tc>
          <w:tcPr>
            <w:tcW w:w="2622" w:type="dxa"/>
            <w:tcBorders>
              <w:top w:val="single" w:sz="4" w:space="0" w:color="000000"/>
              <w:left w:val="single" w:sz="4" w:space="0" w:color="000000"/>
              <w:bottom w:val="single" w:sz="4" w:space="0" w:color="000000"/>
              <w:right w:val="single" w:sz="4" w:space="0" w:color="000000"/>
            </w:tcBorders>
          </w:tcPr>
          <w:p w:rsidR="008E1614" w:rsidRDefault="00524971" w:rsidP="008E1614">
            <w:pPr>
              <w:rPr>
                <w:b/>
                <w:i/>
                <w:sz w:val="22"/>
              </w:rPr>
            </w:pPr>
            <w:r w:rsidRPr="008E1614">
              <w:rPr>
                <w:b/>
                <w:i/>
                <w:sz w:val="22"/>
              </w:rPr>
              <w:t>ISO</w:t>
            </w:r>
            <w:proofErr w:type="gramStart"/>
            <w:r w:rsidRPr="008E1614">
              <w:rPr>
                <w:b/>
                <w:i/>
                <w:sz w:val="22"/>
              </w:rPr>
              <w:t xml:space="preserve"> 11272:2017 do</w:t>
            </w:r>
            <w:proofErr w:type="gramEnd"/>
            <w:r w:rsidRPr="008E1614">
              <w:rPr>
                <w:b/>
                <w:i/>
                <w:sz w:val="22"/>
              </w:rPr>
              <w:t xml:space="preserve"> celów oznaczania gęstości objętościowej gleby suchej </w:t>
            </w:r>
          </w:p>
          <w:p w:rsidR="00524971" w:rsidRPr="008E1614" w:rsidRDefault="00524971" w:rsidP="008E1614">
            <w:pPr>
              <w:rPr>
                <w:b/>
                <w:i/>
                <w:sz w:val="22"/>
              </w:rPr>
            </w:pPr>
            <w:r w:rsidRPr="008E1614">
              <w:rPr>
                <w:b/>
                <w:i/>
                <w:sz w:val="22"/>
              </w:rPr>
              <w:t xml:space="preserve">W przypadku wyboru równoważnego parametru metodyką jest norma europejska lub międzynarodowa jeżeli jest dostępna. Jeżeli taka norma nie jest dostępna, wybrana metodyka musi być dostępna w literaturze naukowej lub dostępna </w:t>
            </w:r>
            <w:r w:rsidRPr="008E1614">
              <w:rPr>
                <w:b/>
                <w:i/>
                <w:sz w:val="22"/>
              </w:rPr>
              <w:lastRenderedPageBreak/>
              <w:t xml:space="preserve">publicznie. </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Fosfor </w:t>
            </w:r>
            <w:proofErr w:type="spellStart"/>
            <w:r w:rsidRPr="008E1614">
              <w:rPr>
                <w:b/>
                <w:i/>
                <w:sz w:val="22"/>
              </w:rPr>
              <w:t>ekstrahowalny</w:t>
            </w:r>
            <w:proofErr w:type="spellEnd"/>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ISO</w:t>
            </w:r>
            <w:proofErr w:type="gramStart"/>
            <w:r w:rsidRPr="008E1614">
              <w:rPr>
                <w:b/>
                <w:i/>
                <w:sz w:val="22"/>
              </w:rPr>
              <w:t xml:space="preserve"> 11263:1994 do</w:t>
            </w:r>
            <w:proofErr w:type="gramEnd"/>
            <w:r w:rsidRPr="008E1614">
              <w:rPr>
                <w:b/>
                <w:i/>
                <w:sz w:val="22"/>
              </w:rPr>
              <w:t xml:space="preserve"> celów spektrometrycznego oznaczania fosforu rozpuszczalnego w roztworze wodorowęglanu sodu (P-Olsen)</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stężenie metali ciężkich w glebie: As, Sb, Cd, Co, Cr (ogółem), Cr (VI), Cu, Hg, Pb, Ni, Tl, V, Zn</w:t>
            </w:r>
            <w:r w:rsidRPr="008E1614">
              <w:rPr>
                <w:b/>
                <w:i/>
                <w:sz w:val="22"/>
              </w:rPr>
              <w:br/>
              <w:t>- stężenie wybranych zanieczyszczeń organicznych ustalone przez państwa członkowskie i z uwzględnieniem obowiązujących przepisów UE (np. dotyczących jakości wody lub pestycydów)</w:t>
            </w:r>
          </w:p>
          <w:p w:rsidR="00524971" w:rsidRPr="008E1614" w:rsidRDefault="00524971" w:rsidP="008E1614">
            <w:pPr>
              <w:rPr>
                <w:b/>
                <w:i/>
                <w:sz w:val="22"/>
              </w:rPr>
            </w:pPr>
            <w:r w:rsidRPr="008E1614">
              <w:rPr>
                <w:b/>
                <w:i/>
                <w:sz w:val="22"/>
              </w:rPr>
              <w:t>- pozostałości pestycydów i produktów biobójczych, produkty weterynaryjne</w:t>
            </w:r>
          </w:p>
          <w:p w:rsidR="00524971" w:rsidRPr="008E1614" w:rsidRDefault="00524971" w:rsidP="008E1614">
            <w:pPr>
              <w:rPr>
                <w:b/>
                <w:i/>
                <w:sz w:val="22"/>
              </w:rPr>
            </w:pPr>
            <w:r w:rsidRPr="008E1614">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Potencjalna środowiskowa dostępna zawartość metali ciężkich w glebach na podstawie ISO</w:t>
            </w:r>
            <w:proofErr w:type="gramStart"/>
            <w:r w:rsidRPr="008E1614">
              <w:rPr>
                <w:b/>
                <w:i/>
                <w:sz w:val="22"/>
              </w:rPr>
              <w:t xml:space="preserve"> 17586:2016 z</w:t>
            </w:r>
            <w:proofErr w:type="gramEnd"/>
            <w:r w:rsidRPr="008E1614">
              <w:rPr>
                <w:b/>
                <w:i/>
                <w:sz w:val="22"/>
              </w:rPr>
              <w:t> wykorzystaniem rozcieńczonego kwasu azotowego.</w:t>
            </w:r>
          </w:p>
          <w:p w:rsidR="00524971" w:rsidRPr="008E1614" w:rsidRDefault="00524971" w:rsidP="008E1614">
            <w:pPr>
              <w:rPr>
                <w:b/>
                <w:i/>
                <w:sz w:val="22"/>
              </w:rPr>
            </w:pPr>
            <w:r w:rsidRPr="008E1614">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rsidR="008E1614" w:rsidRDefault="008E1614" w:rsidP="008E1614">
            <w:pPr>
              <w:rPr>
                <w:b/>
                <w:i/>
                <w:sz w:val="22"/>
              </w:rPr>
            </w:pPr>
          </w:p>
          <w:p w:rsidR="00524971" w:rsidRPr="008E1614" w:rsidRDefault="00524971" w:rsidP="008E1614">
            <w:pPr>
              <w:rPr>
                <w:b/>
                <w:i/>
                <w:sz w:val="22"/>
              </w:rPr>
            </w:pPr>
            <w:r w:rsidRPr="008E1614">
              <w:rPr>
                <w:b/>
                <w:i/>
                <w:sz w:val="22"/>
              </w:rPr>
              <w:t>Należy stosować normy europejskie lub międzynarodowe, jeżeli są dostępne. Jeżeli taka norma nie jest dostępna, wybrana metodyka musi być dostępna w literaturze naukowej lub dostępna publicznie</w:t>
            </w:r>
          </w:p>
        </w:tc>
        <w:tc>
          <w:tcPr>
            <w:tcW w:w="1620" w:type="dxa"/>
            <w:tcBorders>
              <w:top w:val="single" w:sz="4" w:space="0" w:color="000000"/>
              <w:left w:val="single" w:sz="4" w:space="0" w:color="000000"/>
              <w:bottom w:val="single" w:sz="4" w:space="0" w:color="000000"/>
              <w:right w:val="single" w:sz="4" w:space="0" w:color="000000"/>
            </w:tcBorders>
          </w:tcPr>
          <w:p w:rsidR="008E1614" w:rsidRDefault="00524971" w:rsidP="008E1614">
            <w:pPr>
              <w:rPr>
                <w:b/>
                <w:i/>
                <w:sz w:val="22"/>
              </w:rPr>
            </w:pPr>
            <w:r w:rsidRPr="008E1614">
              <w:rPr>
                <w:b/>
                <w:i/>
                <w:sz w:val="22"/>
              </w:rPr>
              <w:t>TAK</w:t>
            </w:r>
          </w:p>
          <w:p w:rsidR="00524971" w:rsidRPr="008E1614" w:rsidRDefault="00524971" w:rsidP="008E1614">
            <w:pPr>
              <w:rPr>
                <w:b/>
                <w:i/>
                <w:sz w:val="22"/>
              </w:rPr>
            </w:pPr>
            <w:proofErr w:type="spellStart"/>
            <w:proofErr w:type="gramStart"/>
            <w:r w:rsidRPr="008E1614">
              <w:rPr>
                <w:b/>
                <w:i/>
                <w:sz w:val="22"/>
              </w:rPr>
              <w:t>nd</w:t>
            </w:r>
            <w:proofErr w:type="spellEnd"/>
            <w:proofErr w:type="gramEnd"/>
            <w:r w:rsidRPr="008E1614">
              <w:rPr>
                <w:b/>
                <w:i/>
                <w:sz w:val="22"/>
              </w:rPr>
              <w:t>.</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Pojemność wodna gleby</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Metodyka określania wartości dla jednego punktu pobierania próbek:</w:t>
            </w:r>
          </w:p>
          <w:p w:rsidR="00524971" w:rsidRPr="008E1614" w:rsidRDefault="00524971" w:rsidP="008E1614">
            <w:pPr>
              <w:rPr>
                <w:b/>
                <w:i/>
                <w:sz w:val="22"/>
              </w:rPr>
            </w:pPr>
            <w:r w:rsidRPr="008E1614">
              <w:rPr>
                <w:b/>
                <w:i/>
                <w:sz w:val="22"/>
              </w:rPr>
              <w:t>Wariant 1: METODA LABORATORYJNA: ISO</w:t>
            </w:r>
            <w:proofErr w:type="gramStart"/>
            <w:r w:rsidRPr="008E1614">
              <w:rPr>
                <w:b/>
                <w:i/>
                <w:sz w:val="22"/>
              </w:rPr>
              <w:t xml:space="preserve"> 11274:2019 do</w:t>
            </w:r>
            <w:proofErr w:type="gramEnd"/>
            <w:r w:rsidRPr="008E1614">
              <w:rPr>
                <w:b/>
                <w:i/>
                <w:sz w:val="22"/>
              </w:rPr>
              <w:t xml:space="preserve"> celów oznaczania charakterystyki retencji wodnej.                    </w:t>
            </w:r>
          </w:p>
          <w:p w:rsidR="00524971" w:rsidRPr="008E1614" w:rsidRDefault="00524971" w:rsidP="008E1614">
            <w:pPr>
              <w:rPr>
                <w:b/>
                <w:i/>
                <w:sz w:val="22"/>
              </w:rPr>
            </w:pPr>
            <w:r w:rsidRPr="008E1614">
              <w:rPr>
                <w:b/>
                <w:i/>
                <w:sz w:val="22"/>
              </w:rPr>
              <w:t xml:space="preserve">Wariant 2: OSZACOWANIE: zastosowanie metodyki opisanej w artykule naukowym „New </w:t>
            </w:r>
            <w:proofErr w:type="spellStart"/>
            <w:r w:rsidRPr="008E1614">
              <w:rPr>
                <w:b/>
                <w:i/>
                <w:sz w:val="22"/>
              </w:rPr>
              <w:t>generation</w:t>
            </w:r>
            <w:proofErr w:type="spellEnd"/>
            <w:r w:rsidRPr="008E1614">
              <w:rPr>
                <w:b/>
                <w:i/>
                <w:sz w:val="22"/>
              </w:rPr>
              <w:t xml:space="preserve"> of </w:t>
            </w:r>
            <w:proofErr w:type="spellStart"/>
            <w:r w:rsidRPr="008E1614">
              <w:rPr>
                <w:b/>
                <w:i/>
                <w:sz w:val="22"/>
              </w:rPr>
              <w:t>hydraulic</w:t>
            </w:r>
            <w:proofErr w:type="spellEnd"/>
            <w:r w:rsidRPr="008E1614">
              <w:rPr>
                <w:b/>
                <w:i/>
                <w:sz w:val="22"/>
              </w:rPr>
              <w:t xml:space="preserve"> </w:t>
            </w:r>
            <w:proofErr w:type="spellStart"/>
            <w:r w:rsidRPr="008E1614">
              <w:rPr>
                <w:b/>
                <w:i/>
                <w:sz w:val="22"/>
              </w:rPr>
              <w:t>pedotransfer</w:t>
            </w:r>
            <w:proofErr w:type="spellEnd"/>
            <w:r w:rsidRPr="008E1614">
              <w:rPr>
                <w:b/>
                <w:i/>
                <w:sz w:val="22"/>
              </w:rPr>
              <w:t xml:space="preserve"> </w:t>
            </w:r>
            <w:proofErr w:type="spellStart"/>
            <w:r w:rsidRPr="008E1614">
              <w:rPr>
                <w:b/>
                <w:i/>
                <w:sz w:val="22"/>
              </w:rPr>
              <w:t>functions</w:t>
            </w:r>
            <w:proofErr w:type="spellEnd"/>
            <w:r w:rsidRPr="008E1614">
              <w:rPr>
                <w:b/>
                <w:i/>
                <w:sz w:val="22"/>
              </w:rPr>
              <w:t xml:space="preserve"> for Europe” [„Nowa generacja funkcji </w:t>
            </w:r>
            <w:proofErr w:type="spellStart"/>
            <w:r w:rsidRPr="008E1614">
              <w:rPr>
                <w:b/>
                <w:i/>
                <w:sz w:val="22"/>
              </w:rPr>
              <w:t>pedotransferu</w:t>
            </w:r>
            <w:proofErr w:type="spellEnd"/>
            <w:r w:rsidRPr="008E1614">
              <w:rPr>
                <w:b/>
                <w:i/>
                <w:sz w:val="22"/>
              </w:rPr>
              <w:t xml:space="preserve"> dla Europy”] do określania </w:t>
            </w:r>
            <w:r w:rsidRPr="008E1614">
              <w:rPr>
                <w:b/>
                <w:i/>
                <w:sz w:val="22"/>
              </w:rPr>
              <w:lastRenderedPageBreak/>
              <w:t>właściwości hydraulicznych w oparciu o teksturę (lub rozkład wielkości cząstek) i węgiel organiczny w glebie.</w:t>
            </w:r>
          </w:p>
        </w:tc>
        <w:tc>
          <w:tcPr>
            <w:tcW w:w="315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lastRenderedPageBreak/>
              <w:t>Minimalne kryteria szacowania całkowitej pojemności wodnej okręgu glebowego w skali dorzecza lub zlewni:</w:t>
            </w:r>
          </w:p>
          <w:p w:rsidR="00524971" w:rsidRPr="008E1614" w:rsidRDefault="00524971" w:rsidP="008E1614">
            <w:pPr>
              <w:ind w:left="720" w:hanging="360"/>
              <w:rPr>
                <w:b/>
                <w:i/>
                <w:sz w:val="22"/>
              </w:rPr>
            </w:pPr>
            <w:r w:rsidRPr="008E1614">
              <w:rPr>
                <w:sz w:val="22"/>
              </w:rPr>
              <w:t>-</w:t>
            </w:r>
            <w:r w:rsidRPr="008E1614">
              <w:rPr>
                <w:sz w:val="22"/>
              </w:rPr>
              <w:tab/>
            </w:r>
            <w:r w:rsidRPr="008E1614">
              <w:rPr>
                <w:b/>
                <w:i/>
                <w:sz w:val="22"/>
              </w:rPr>
              <w:t xml:space="preserve">w odniesieniu do powierzchni gruntów nieprzejętych szacuje się całkowitą wartość pojemności wodnej gleby; </w:t>
            </w:r>
          </w:p>
          <w:p w:rsidR="00524971" w:rsidRPr="008E1614" w:rsidRDefault="00524971" w:rsidP="008E1614">
            <w:pPr>
              <w:ind w:left="720" w:hanging="360"/>
              <w:rPr>
                <w:b/>
                <w:i/>
                <w:sz w:val="22"/>
              </w:rPr>
            </w:pPr>
            <w:r w:rsidRPr="008E1614">
              <w:rPr>
                <w:sz w:val="22"/>
              </w:rPr>
              <w:t>-</w:t>
            </w:r>
            <w:r w:rsidRPr="008E1614">
              <w:rPr>
                <w:sz w:val="22"/>
              </w:rPr>
              <w:tab/>
            </w:r>
            <w:r w:rsidRPr="008E1614">
              <w:rPr>
                <w:b/>
                <w:i/>
                <w:sz w:val="22"/>
              </w:rPr>
              <w:t xml:space="preserve">w odniesieniu do powierzchni gruntów przejętych należy rozważyć ustalenie pojemności wodnej obszarów nieprzepuszczalnych na zero i przypisanie proporcjonalnie wartości pośrednich </w:t>
            </w:r>
            <w:r w:rsidRPr="008E1614">
              <w:rPr>
                <w:b/>
                <w:i/>
                <w:sz w:val="22"/>
              </w:rPr>
              <w:lastRenderedPageBreak/>
              <w:t>obszarom półprzepuszczalnym i innym obszarom sztucznym.</w:t>
            </w: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lastRenderedPageBreak/>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Azot w glebie </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ISO</w:t>
            </w:r>
            <w:proofErr w:type="gramStart"/>
            <w:r w:rsidRPr="008E1614">
              <w:rPr>
                <w:b/>
                <w:i/>
                <w:sz w:val="22"/>
              </w:rPr>
              <w:t xml:space="preserve"> 11261:1995 do</w:t>
            </w:r>
            <w:proofErr w:type="gramEnd"/>
            <w:r w:rsidRPr="008E1614">
              <w:rPr>
                <w:b/>
                <w:i/>
                <w:sz w:val="22"/>
              </w:rPr>
              <w:t xml:space="preserve"> celów oznaczania azotu ogólnego w glebie zmodyfikowaną metodą </w:t>
            </w:r>
            <w:proofErr w:type="spellStart"/>
            <w:r w:rsidRPr="008E1614">
              <w:rPr>
                <w:b/>
                <w:i/>
                <w:sz w:val="22"/>
              </w:rPr>
              <w:t>Kjeldahla</w:t>
            </w:r>
            <w:proofErr w:type="spellEnd"/>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Kwasowość gleby</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ISO</w:t>
            </w:r>
            <w:proofErr w:type="gramStart"/>
            <w:r w:rsidRPr="008E1614">
              <w:rPr>
                <w:b/>
                <w:i/>
                <w:sz w:val="22"/>
              </w:rPr>
              <w:t xml:space="preserve"> 10390:2005 do</w:t>
            </w:r>
            <w:proofErr w:type="gramEnd"/>
            <w:r w:rsidRPr="008E1614">
              <w:rPr>
                <w:b/>
                <w:i/>
                <w:sz w:val="22"/>
              </w:rPr>
              <w:t xml:space="preserve"> celów oznaczania </w:t>
            </w:r>
            <w:proofErr w:type="spellStart"/>
            <w:r w:rsidRPr="008E1614">
              <w:rPr>
                <w:b/>
                <w:i/>
                <w:sz w:val="22"/>
              </w:rPr>
              <w:t>pH</w:t>
            </w:r>
            <w:proofErr w:type="spellEnd"/>
            <w:r w:rsidRPr="008E1614">
              <w:rPr>
                <w:b/>
                <w:i/>
                <w:sz w:val="22"/>
              </w:rPr>
              <w:t xml:space="preserve"> w </w:t>
            </w:r>
            <w:proofErr w:type="spellStart"/>
            <w:r w:rsidRPr="008E1614">
              <w:rPr>
                <w:b/>
                <w:i/>
                <w:sz w:val="22"/>
              </w:rPr>
              <w:t>H2O</w:t>
            </w:r>
            <w:proofErr w:type="spellEnd"/>
            <w:r w:rsidRPr="008E1614">
              <w:rPr>
                <w:b/>
                <w:i/>
                <w:sz w:val="22"/>
              </w:rPr>
              <w:t xml:space="preserve"> i ekstrakcie CaCl2 (pH-H2O i pH-CaCl2)</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Gęstość objętościowa poziomu próchniczego gleby</w:t>
            </w:r>
          </w:p>
        </w:tc>
        <w:tc>
          <w:tcPr>
            <w:tcW w:w="2622"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r w:rsidRPr="008E1614">
              <w:rPr>
                <w:b/>
                <w:i/>
                <w:sz w:val="22"/>
              </w:rPr>
              <w:t>ISO</w:t>
            </w:r>
            <w:proofErr w:type="gramStart"/>
            <w:r w:rsidRPr="008E1614">
              <w:rPr>
                <w:b/>
                <w:i/>
                <w:sz w:val="22"/>
              </w:rPr>
              <w:t xml:space="preserve"> 11272:2017 do</w:t>
            </w:r>
            <w:proofErr w:type="gramEnd"/>
            <w:r w:rsidRPr="008E1614">
              <w:rPr>
                <w:b/>
                <w:i/>
                <w:sz w:val="22"/>
              </w:rPr>
              <w:t xml:space="preserve"> celów oznaczania gęstości objętościowej gleby suchej </w:t>
            </w:r>
          </w:p>
          <w:p w:rsidR="00524971" w:rsidRPr="008E1614" w:rsidRDefault="00524971" w:rsidP="008E1614">
            <w:pPr>
              <w:rPr>
                <w:b/>
                <w:i/>
                <w:sz w:val="22"/>
              </w:rPr>
            </w:pP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Obieg składników odżywczych</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Aby umożliwić mineralizację azotu, wysuszone na powietrzu próbki gleby są ponownie zwilżane, aby osiągnąć 80 % ich zdolności zatrzymywania wody i poddawane inkubacji w laboratorium przez 14 dni w temperaturze 30 ºC. Potencjalny wskaźnik mineralizacji netto N szacuje się jako różnicę między początkowym i końcowym nieorganicznym N. Dostępność składników odżywczych w glebie oblicza się za pomocą symulatorów korzeni, a dostępny N i P określa się za pomocą oznaczenia kolorymetrycznego za pomocą reakcji z molibdenianem amonu.</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Agregacja gleby</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Te wskaźniki glebowe podlegają zgłoszeniu jako </w:t>
            </w:r>
            <w:proofErr w:type="spellStart"/>
            <w:r w:rsidRPr="008E1614">
              <w:rPr>
                <w:b/>
                <w:i/>
                <w:sz w:val="22"/>
              </w:rPr>
              <w:t>wodostabilne</w:t>
            </w:r>
            <w:proofErr w:type="spellEnd"/>
            <w:r w:rsidRPr="008E1614">
              <w:rPr>
                <w:b/>
                <w:i/>
                <w:sz w:val="22"/>
              </w:rPr>
              <w:t xml:space="preserve"> agregaty glebowe, które poddaje się ocenie przez określenie odporności agregatów glebowych na działanie wody jako siły dezintegrującej, stosując podejście zmodyfikowane z: </w:t>
            </w:r>
            <w:proofErr w:type="spellStart"/>
            <w:r w:rsidRPr="008E1614">
              <w:rPr>
                <w:b/>
                <w:i/>
                <w:sz w:val="22"/>
              </w:rPr>
              <w:t>Kemper</w:t>
            </w:r>
            <w:proofErr w:type="spellEnd"/>
            <w:r w:rsidRPr="008E1614">
              <w:rPr>
                <w:b/>
                <w:i/>
                <w:sz w:val="22"/>
              </w:rPr>
              <w:t xml:space="preserve"> i </w:t>
            </w:r>
            <w:proofErr w:type="spellStart"/>
            <w:r w:rsidRPr="008E1614">
              <w:rPr>
                <w:b/>
                <w:i/>
                <w:sz w:val="22"/>
              </w:rPr>
              <w:t>Rosenau</w:t>
            </w:r>
            <w:proofErr w:type="spellEnd"/>
            <w:r w:rsidRPr="008E1614">
              <w:rPr>
                <w:b/>
                <w:i/>
                <w:sz w:val="22"/>
              </w:rPr>
              <w:t xml:space="preserve"> </w:t>
            </w:r>
            <w:r w:rsidRPr="008E1614">
              <w:rPr>
                <w:b/>
                <w:i/>
                <w:sz w:val="22"/>
              </w:rPr>
              <w:lastRenderedPageBreak/>
              <w:t xml:space="preserve">(1986). Otrzymany wskaźnik reprezentuje odsetek agregatów </w:t>
            </w:r>
            <w:proofErr w:type="spellStart"/>
            <w:r w:rsidRPr="008E1614">
              <w:rPr>
                <w:b/>
                <w:i/>
                <w:sz w:val="22"/>
              </w:rPr>
              <w:t>wodostabilnych</w:t>
            </w:r>
            <w:proofErr w:type="spellEnd"/>
          </w:p>
          <w:p w:rsidR="00524971" w:rsidRPr="008E1614" w:rsidRDefault="00524971" w:rsidP="008E1614">
            <w:pPr>
              <w:rPr>
                <w:b/>
                <w:i/>
                <w:sz w:val="22"/>
              </w:rPr>
            </w:pPr>
            <w:r w:rsidRPr="008E1614">
              <w:rPr>
                <w:b/>
                <w:i/>
                <w:sz w:val="22"/>
              </w:rPr>
              <w:t xml:space="preserve">o średnicy mniejszej niż 4 mm. Dodatkowo aby prawidłowo określić frakcję agregatów </w:t>
            </w:r>
            <w:proofErr w:type="spellStart"/>
            <w:r w:rsidRPr="008E1614">
              <w:rPr>
                <w:b/>
                <w:i/>
                <w:sz w:val="22"/>
              </w:rPr>
              <w:t>wodostabilnych</w:t>
            </w:r>
            <w:proofErr w:type="spellEnd"/>
            <w:r w:rsidRPr="008E1614">
              <w:rPr>
                <w:b/>
                <w:i/>
                <w:sz w:val="22"/>
              </w:rPr>
              <w:t xml:space="preserve"> (</w:t>
            </w:r>
            <w:proofErr w:type="spellStart"/>
            <w:r w:rsidRPr="008E1614">
              <w:rPr>
                <w:b/>
                <w:i/>
                <w:sz w:val="22"/>
              </w:rPr>
              <w:t>WSA</w:t>
            </w:r>
            <w:proofErr w:type="spellEnd"/>
            <w:r w:rsidRPr="008E1614">
              <w:rPr>
                <w:b/>
                <w:i/>
                <w:sz w:val="22"/>
              </w:rPr>
              <w:t xml:space="preserve">) próbki, zanieczyszczenia (tj. gruboziarnista materia) zostaną oddzielone od frakcji </w:t>
            </w:r>
            <w:proofErr w:type="spellStart"/>
            <w:r w:rsidRPr="008E1614">
              <w:rPr>
                <w:b/>
                <w:i/>
                <w:sz w:val="22"/>
              </w:rPr>
              <w:t>wodostabilnej</w:t>
            </w:r>
            <w:proofErr w:type="spellEnd"/>
            <w:r w:rsidRPr="008E1614">
              <w:rPr>
                <w:b/>
                <w:i/>
                <w:sz w:val="22"/>
              </w:rPr>
              <w:t xml:space="preserve">: % </w:t>
            </w:r>
            <w:proofErr w:type="spellStart"/>
            <w:r w:rsidRPr="008E1614">
              <w:rPr>
                <w:b/>
                <w:i/>
                <w:sz w:val="22"/>
              </w:rPr>
              <w:t>WSA</w:t>
            </w:r>
            <w:proofErr w:type="spellEnd"/>
            <w:r w:rsidRPr="008E1614">
              <w:rPr>
                <w:b/>
                <w:i/>
                <w:sz w:val="22"/>
              </w:rPr>
              <w:t xml:space="preserve"> = (frakcja </w:t>
            </w:r>
            <w:proofErr w:type="spellStart"/>
            <w:r w:rsidRPr="008E1614">
              <w:rPr>
                <w:b/>
                <w:i/>
                <w:sz w:val="22"/>
              </w:rPr>
              <w:t>wodostabilna</w:t>
            </w:r>
            <w:proofErr w:type="spellEnd"/>
            <w:r w:rsidRPr="008E1614">
              <w:rPr>
                <w:b/>
                <w:i/>
                <w:sz w:val="22"/>
              </w:rPr>
              <w:t xml:space="preserve"> – materia gruboziarnista</w:t>
            </w:r>
            <w:proofErr w:type="gramStart"/>
            <w:r w:rsidRPr="008E1614">
              <w:rPr>
                <w:b/>
                <w:i/>
                <w:sz w:val="22"/>
              </w:rPr>
              <w:t>)/(4 g</w:t>
            </w:r>
            <w:proofErr w:type="gramEnd"/>
            <w:r w:rsidRPr="008E1614">
              <w:rPr>
                <w:b/>
                <w:i/>
                <w:sz w:val="22"/>
              </w:rPr>
              <w:t xml:space="preserve"> – materia gruboziarnista).</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Aktywność enzymatyczna</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Należy postępować zgodnie ze wskazówkami opisanymi w Zeiss i in., 2022.</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Oddychanie gleby</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Postępowanie zgodnie ze wskazówkami opisanymi w artykule naukowym „</w:t>
            </w:r>
            <w:proofErr w:type="spellStart"/>
            <w:r w:rsidRPr="008E1614">
              <w:rPr>
                <w:b/>
                <w:i/>
                <w:sz w:val="22"/>
              </w:rPr>
              <w:t>Microbial</w:t>
            </w:r>
            <w:proofErr w:type="spellEnd"/>
            <w:r w:rsidRPr="008E1614">
              <w:rPr>
                <w:b/>
                <w:i/>
                <w:sz w:val="22"/>
              </w:rPr>
              <w:t xml:space="preserve"> </w:t>
            </w:r>
            <w:proofErr w:type="spellStart"/>
            <w:r w:rsidRPr="008E1614">
              <w:rPr>
                <w:b/>
                <w:i/>
                <w:sz w:val="22"/>
              </w:rPr>
              <w:t>biomass</w:t>
            </w:r>
            <w:proofErr w:type="spellEnd"/>
            <w:r w:rsidRPr="008E1614">
              <w:rPr>
                <w:b/>
                <w:i/>
                <w:sz w:val="22"/>
              </w:rPr>
              <w:t xml:space="preserve"> and </w:t>
            </w:r>
            <w:proofErr w:type="spellStart"/>
            <w:r w:rsidRPr="008E1614">
              <w:rPr>
                <w:b/>
                <w:i/>
                <w:sz w:val="22"/>
              </w:rPr>
              <w:t>activities</w:t>
            </w:r>
            <w:proofErr w:type="spellEnd"/>
            <w:r w:rsidRPr="008E1614">
              <w:rPr>
                <w:b/>
                <w:i/>
                <w:sz w:val="22"/>
              </w:rPr>
              <w:t xml:space="preserve"> in </w:t>
            </w:r>
            <w:proofErr w:type="spellStart"/>
            <w:r w:rsidRPr="008E1614">
              <w:rPr>
                <w:b/>
                <w:i/>
                <w:sz w:val="22"/>
              </w:rPr>
              <w:t>soil</w:t>
            </w:r>
            <w:proofErr w:type="spellEnd"/>
            <w:r w:rsidRPr="008E1614">
              <w:rPr>
                <w:b/>
                <w:i/>
                <w:sz w:val="22"/>
              </w:rPr>
              <w:t xml:space="preserve"> as </w:t>
            </w:r>
            <w:proofErr w:type="spellStart"/>
            <w:r w:rsidRPr="008E1614">
              <w:rPr>
                <w:b/>
                <w:i/>
                <w:sz w:val="22"/>
              </w:rPr>
              <w:t>affected</w:t>
            </w:r>
            <w:proofErr w:type="spellEnd"/>
            <w:r w:rsidRPr="008E1614">
              <w:rPr>
                <w:b/>
                <w:i/>
                <w:sz w:val="22"/>
              </w:rPr>
              <w:t xml:space="preserve"> by </w:t>
            </w:r>
            <w:proofErr w:type="spellStart"/>
            <w:r w:rsidRPr="008E1614">
              <w:rPr>
                <w:b/>
                <w:i/>
                <w:sz w:val="22"/>
              </w:rPr>
              <w:t>frozen</w:t>
            </w:r>
            <w:proofErr w:type="spellEnd"/>
            <w:r w:rsidRPr="008E1614">
              <w:rPr>
                <w:b/>
                <w:i/>
                <w:sz w:val="22"/>
              </w:rPr>
              <w:t xml:space="preserve"> and </w:t>
            </w:r>
            <w:proofErr w:type="spellStart"/>
            <w:r w:rsidRPr="008E1614">
              <w:rPr>
                <w:b/>
                <w:i/>
                <w:sz w:val="22"/>
              </w:rPr>
              <w:t>cold</w:t>
            </w:r>
            <w:proofErr w:type="spellEnd"/>
            <w:r w:rsidRPr="008E1614">
              <w:rPr>
                <w:b/>
                <w:i/>
                <w:sz w:val="22"/>
              </w:rPr>
              <w:t xml:space="preserve"> </w:t>
            </w:r>
            <w:proofErr w:type="spellStart"/>
            <w:r w:rsidRPr="008E1614">
              <w:rPr>
                <w:b/>
                <w:i/>
                <w:sz w:val="22"/>
              </w:rPr>
              <w:t>storage</w:t>
            </w:r>
            <w:proofErr w:type="spellEnd"/>
            <w:r w:rsidRPr="008E1614">
              <w:rPr>
                <w:b/>
                <w:i/>
                <w:sz w:val="22"/>
              </w:rPr>
              <w:t>” [„Biomasa i aktywność mikroorganizmów w glebie pod wpływem przechowywania w zamrożeniu i w chłodni”]</w:t>
            </w:r>
            <w:r w:rsidR="009A0269">
              <w:rPr>
                <w:rStyle w:val="FootnoteReference"/>
                <w:b/>
                <w:i/>
                <w:sz w:val="22"/>
              </w:rPr>
              <w:footnoteReference w:id="74"/>
            </w:r>
            <w:r w:rsidRPr="008E1614">
              <w:rPr>
                <w:b/>
                <w:i/>
                <w:sz w:val="22"/>
              </w:rPr>
              <w:t>.</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Rozkład ściółki</w:t>
            </w:r>
          </w:p>
        </w:tc>
        <w:tc>
          <w:tcPr>
            <w:tcW w:w="2622"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315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Należy stosować normy europejskie lub międzynarodowe, jeżeli są dostępne. Jeżeli taka norma nie jest dostępna, wybrana metodyka musi być dostępna w literaturze naukowej lub dostępna publicznie.</w:t>
            </w: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proofErr w:type="spellStart"/>
            <w:proofErr w:type="gramStart"/>
            <w:r w:rsidRPr="008E1614">
              <w:rPr>
                <w:b/>
                <w:i/>
                <w:sz w:val="22"/>
              </w:rPr>
              <w:t>nd</w:t>
            </w:r>
            <w:proofErr w:type="spellEnd"/>
            <w:proofErr w:type="gramEnd"/>
            <w:r w:rsidRPr="008E1614">
              <w:rPr>
                <w:b/>
                <w:i/>
                <w:sz w:val="22"/>
              </w:rPr>
              <w:t>.</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Biomasa gleby</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Należy postępować zgodnie ze wskazówkami opisanymi w </w:t>
            </w:r>
            <w:proofErr w:type="spellStart"/>
            <w:r w:rsidRPr="008E1614">
              <w:rPr>
                <w:b/>
                <w:i/>
                <w:sz w:val="22"/>
              </w:rPr>
              <w:t>Guerra</w:t>
            </w:r>
            <w:proofErr w:type="spellEnd"/>
            <w:r w:rsidRPr="008E1614">
              <w:rPr>
                <w:b/>
                <w:i/>
                <w:sz w:val="22"/>
              </w:rPr>
              <w:t xml:space="preserve"> i in., 2021, </w:t>
            </w:r>
            <w:proofErr w:type="spellStart"/>
            <w:r w:rsidRPr="008E1614">
              <w:rPr>
                <w:b/>
                <w:i/>
                <w:sz w:val="22"/>
              </w:rPr>
              <w:t>Briones</w:t>
            </w:r>
            <w:proofErr w:type="spellEnd"/>
            <w:r w:rsidRPr="008E1614">
              <w:rPr>
                <w:b/>
                <w:i/>
                <w:sz w:val="22"/>
              </w:rPr>
              <w:t xml:space="preserve"> i in., 2020, i </w:t>
            </w:r>
            <w:proofErr w:type="spellStart"/>
            <w:r w:rsidRPr="008E1614">
              <w:rPr>
                <w:b/>
                <w:i/>
                <w:sz w:val="22"/>
              </w:rPr>
              <w:t>Potapov</w:t>
            </w:r>
            <w:proofErr w:type="spellEnd"/>
            <w:r w:rsidRPr="008E1614">
              <w:rPr>
                <w:b/>
                <w:i/>
                <w:sz w:val="22"/>
              </w:rPr>
              <w:t xml:space="preserve"> i in. 2022. </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Cechy wspólne korzeni</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Należy postępować zgodnie ze wskazówkami opisanymi w </w:t>
            </w:r>
            <w:proofErr w:type="spellStart"/>
            <w:r w:rsidRPr="008E1614">
              <w:rPr>
                <w:b/>
                <w:i/>
                <w:sz w:val="22"/>
              </w:rPr>
              <w:t>Guerra</w:t>
            </w:r>
            <w:proofErr w:type="spellEnd"/>
            <w:r w:rsidRPr="008E1614">
              <w:rPr>
                <w:b/>
                <w:i/>
                <w:sz w:val="22"/>
              </w:rPr>
              <w:t xml:space="preserve"> i in., 2021.</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lastRenderedPageBreak/>
              <w:t>Różnorodność taksonomiczna</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Należy postępować zgodnie ze wskazówkami opisanymi w </w:t>
            </w:r>
            <w:proofErr w:type="spellStart"/>
            <w:r w:rsidRPr="008E1614">
              <w:rPr>
                <w:b/>
                <w:i/>
                <w:sz w:val="22"/>
              </w:rPr>
              <w:t>Guerra</w:t>
            </w:r>
            <w:proofErr w:type="spellEnd"/>
            <w:r w:rsidRPr="008E1614">
              <w:rPr>
                <w:b/>
                <w:i/>
                <w:sz w:val="22"/>
              </w:rPr>
              <w:t xml:space="preserve"> i in., 2021.</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Liczebność populacji</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Należy postępować zgodnie ze wskazówkami opisanymi w </w:t>
            </w:r>
            <w:proofErr w:type="spellStart"/>
            <w:r w:rsidRPr="008E1614">
              <w:rPr>
                <w:b/>
                <w:i/>
                <w:sz w:val="22"/>
              </w:rPr>
              <w:t>Guerra</w:t>
            </w:r>
            <w:proofErr w:type="spellEnd"/>
            <w:r w:rsidRPr="008E1614">
              <w:rPr>
                <w:b/>
                <w:i/>
                <w:sz w:val="22"/>
              </w:rPr>
              <w:t xml:space="preserve"> i in., 2021.</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Wewnątrzgatunkowa różnorodność genetyczna</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Należy postępować zgodnie ze wskazówkami opisanymi w </w:t>
            </w:r>
            <w:proofErr w:type="spellStart"/>
            <w:r w:rsidRPr="008E1614">
              <w:rPr>
                <w:b/>
                <w:i/>
                <w:sz w:val="22"/>
              </w:rPr>
              <w:t>Guerra</w:t>
            </w:r>
            <w:proofErr w:type="spellEnd"/>
            <w:r w:rsidRPr="008E1614">
              <w:rPr>
                <w:b/>
                <w:i/>
                <w:sz w:val="22"/>
              </w:rPr>
              <w:t xml:space="preserve"> i in., 2021.</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r w:rsidR="00524971" w:rsidRPr="008E1614" w:rsidTr="00524971">
        <w:tc>
          <w:tcPr>
            <w:tcW w:w="1968"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Struktura gleby</w:t>
            </w:r>
          </w:p>
        </w:tc>
        <w:tc>
          <w:tcPr>
            <w:tcW w:w="2622"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 xml:space="preserve">Analizę granulometryczną przeprowadza się na przesianej glebie (Ø &lt; 2 mm), po zniszczeniu materii organicznej za pomocą H2O2. Dyspersję sporządza się za pomocą roztworu </w:t>
            </w:r>
            <w:proofErr w:type="spellStart"/>
            <w:r w:rsidRPr="008E1614">
              <w:rPr>
                <w:b/>
                <w:i/>
                <w:sz w:val="22"/>
              </w:rPr>
              <w:t>heksametafosforanu</w:t>
            </w:r>
            <w:proofErr w:type="spellEnd"/>
            <w:r w:rsidRPr="008E1614">
              <w:rPr>
                <w:b/>
                <w:i/>
                <w:sz w:val="22"/>
              </w:rPr>
              <w:t xml:space="preserve">/węglanu sodu i miesza się ją przez 16 godzin. Rozpatrywane frakcje granulometryczne to frakcje zalecane przez Międzynarodową Unię Towarzystw Gleboznawczych (Skala </w:t>
            </w:r>
            <w:proofErr w:type="spellStart"/>
            <w:r w:rsidRPr="008E1614">
              <w:rPr>
                <w:b/>
                <w:i/>
                <w:sz w:val="22"/>
              </w:rPr>
              <w:t>Atterberga</w:t>
            </w:r>
            <w:proofErr w:type="spellEnd"/>
            <w:r w:rsidRPr="008E1614">
              <w:rPr>
                <w:b/>
                <w:i/>
                <w:sz w:val="22"/>
              </w:rPr>
              <w:t>), obejmujące piasek gruboziarnisty (2 &gt; Ø &gt; 0,2 mm), piasek drobnoziarnisty (0,2 &gt; Ø &gt; 0,02 mm), muł (0,02 &gt; Ø &gt; 0,002 mm) i glinę (Ø &lt; 0,002 mm</w:t>
            </w:r>
            <w:proofErr w:type="gramStart"/>
            <w:r w:rsidRPr="008E1614">
              <w:rPr>
                <w:b/>
                <w:i/>
                <w:sz w:val="22"/>
              </w:rPr>
              <w:t>). Gruboziarnistą</w:t>
            </w:r>
            <w:proofErr w:type="gramEnd"/>
            <w:r w:rsidRPr="008E1614">
              <w:rPr>
                <w:b/>
                <w:i/>
                <w:sz w:val="22"/>
              </w:rPr>
              <w:t xml:space="preserve"> frakcję piasku określa się za pomocą przesiewania, frakcje mułu i gliny określa się za pomocą sedymentacji i pipetowania, korzystając z pipety Robinsona, a drobny piasek za pomocą sedymentacji i dekantacji. Czasy sedymentacji oblicza się za pomocą prawa Stokesa.</w:t>
            </w:r>
          </w:p>
        </w:tc>
        <w:tc>
          <w:tcPr>
            <w:tcW w:w="3150" w:type="dxa"/>
            <w:tcBorders>
              <w:top w:val="single" w:sz="4" w:space="0" w:color="000000"/>
              <w:left w:val="single" w:sz="4" w:space="0" w:color="000000"/>
              <w:bottom w:val="single" w:sz="4" w:space="0" w:color="000000"/>
              <w:right w:val="single" w:sz="4" w:space="0" w:color="000000"/>
            </w:tcBorders>
          </w:tcPr>
          <w:p w:rsidR="00524971" w:rsidRPr="008E1614" w:rsidRDefault="00524971" w:rsidP="008E1614">
            <w:pPr>
              <w:rPr>
                <w:b/>
                <w:i/>
                <w:sz w:val="22"/>
              </w:rPr>
            </w:pPr>
          </w:p>
        </w:tc>
        <w:tc>
          <w:tcPr>
            <w:tcW w:w="1620" w:type="dxa"/>
            <w:tcBorders>
              <w:top w:val="single" w:sz="4" w:space="0" w:color="000000"/>
              <w:left w:val="single" w:sz="4" w:space="0" w:color="000000"/>
              <w:bottom w:val="single" w:sz="4" w:space="0" w:color="000000"/>
              <w:right w:val="single" w:sz="4" w:space="0" w:color="000000"/>
            </w:tcBorders>
            <w:hideMark/>
          </w:tcPr>
          <w:p w:rsidR="00524971" w:rsidRPr="008E1614" w:rsidRDefault="00524971" w:rsidP="008E1614">
            <w:pPr>
              <w:rPr>
                <w:b/>
                <w:i/>
                <w:sz w:val="22"/>
              </w:rPr>
            </w:pPr>
            <w:r w:rsidRPr="008E1614">
              <w:rPr>
                <w:b/>
                <w:i/>
                <w:sz w:val="22"/>
              </w:rPr>
              <w:t>TAK</w:t>
            </w:r>
          </w:p>
        </w:tc>
      </w:tr>
    </w:tbl>
    <w:p w:rsidR="00524971" w:rsidRPr="008E1614" w:rsidRDefault="00524971" w:rsidP="008E1614">
      <w:pPr>
        <w:spacing w:before="120" w:after="120"/>
        <w:rPr>
          <w:b/>
          <w:noProof/>
          <w:szCs w:val="24"/>
          <w:lang w:eastAsia="en-US"/>
        </w:rPr>
      </w:pPr>
      <w:r w:rsidRPr="008E1614">
        <w:rPr>
          <w:b/>
          <w:noProof/>
          <w:szCs w:val="24"/>
          <w:lang w:eastAsia="en-US"/>
        </w:rPr>
        <w:t>[</w:t>
      </w:r>
      <w:r w:rsidR="00134EB8">
        <w:rPr>
          <w:b/>
          <w:noProof/>
          <w:szCs w:val="24"/>
          <w:lang w:eastAsia="en-US"/>
        </w:rPr>
        <w:t>Popr.</w:t>
      </w:r>
      <w:r w:rsidRPr="008E1614">
        <w:rPr>
          <w:b/>
          <w:noProof/>
          <w:szCs w:val="24"/>
          <w:lang w:eastAsia="en-US"/>
        </w:rPr>
        <w:t> 202]</w:t>
      </w:r>
    </w:p>
    <w:p w:rsidR="00524971" w:rsidRPr="008E1614" w:rsidRDefault="00524971" w:rsidP="008E1614">
      <w:pPr>
        <w:spacing w:before="120" w:after="120"/>
        <w:rPr>
          <w:b/>
          <w:noProof/>
          <w:szCs w:val="24"/>
          <w:lang w:eastAsia="en-US"/>
        </w:rPr>
      </w:pPr>
      <w:r w:rsidRPr="008E1614">
        <w:rPr>
          <w:b/>
          <w:noProof/>
          <w:szCs w:val="24"/>
          <w:lang w:eastAsia="en-US"/>
        </w:rPr>
        <w:t>Część C: minimalne kryteria metodologiczne ustalania wartości wskaźników przejmowania gruntów i uszczelniania gleby</w:t>
      </w:r>
    </w:p>
    <w:p w:rsidR="00524971" w:rsidRPr="008E1614" w:rsidRDefault="00524971" w:rsidP="008E1614">
      <w:pPr>
        <w:spacing w:before="120" w:after="120"/>
        <w:rPr>
          <w:noProof/>
          <w:szCs w:val="24"/>
          <w:lang w:eastAsia="en-US"/>
        </w:rPr>
      </w:pPr>
      <w:r w:rsidRPr="008E1614">
        <w:rPr>
          <w:noProof/>
          <w:szCs w:val="24"/>
          <w:lang w:eastAsia="en-US"/>
        </w:rPr>
        <w:t xml:space="preserve">– W przypadku przejmowania gruntów, odwrotnego przejmowania gruntów i przejmowania </w:t>
      </w:r>
      <w:r w:rsidRPr="008E1614">
        <w:rPr>
          <w:noProof/>
          <w:szCs w:val="24"/>
          <w:lang w:eastAsia="en-US"/>
        </w:rPr>
        <w:lastRenderedPageBreak/>
        <w:t>gruntów netto stosowane metodyki powinny być zgodne z definicjami określonymi w art. 3 i załączniku I.</w:t>
      </w:r>
    </w:p>
    <w:p w:rsidR="00524971" w:rsidRPr="008E1614" w:rsidRDefault="00524971" w:rsidP="008E1614">
      <w:pPr>
        <w:spacing w:before="120" w:after="120"/>
        <w:rPr>
          <w:noProof/>
          <w:szCs w:val="24"/>
          <w:lang w:eastAsia="en-US"/>
        </w:rPr>
      </w:pPr>
      <w:r w:rsidRPr="008E1614">
        <w:rPr>
          <w:noProof/>
          <w:szCs w:val="24"/>
          <w:lang w:eastAsia="en-US"/>
        </w:rPr>
        <w:t>– Uszczelnianie gleby wyraża się jako odsetek powierzchni uszczelnionej w stosunku do powierzchni całkowitej.</w:t>
      </w:r>
    </w:p>
    <w:p w:rsidR="00524971" w:rsidRPr="008E1614" w:rsidRDefault="00524971" w:rsidP="008E1614">
      <w:pPr>
        <w:spacing w:before="120" w:after="120"/>
        <w:rPr>
          <w:noProof/>
          <w:szCs w:val="24"/>
          <w:lang w:eastAsia="en-US"/>
        </w:rPr>
      </w:pPr>
      <w:r w:rsidRPr="008E1614">
        <w:rPr>
          <w:noProof/>
          <w:szCs w:val="24"/>
          <w:lang w:eastAsia="en-US"/>
        </w:rPr>
        <w:t>– Wybrane metodyki muszą być dostępne w literaturze naukowej lub dostępne publicznie.</w:t>
      </w:r>
    </w:p>
    <w:p w:rsidR="00524971" w:rsidRPr="008E1614" w:rsidRDefault="00524971" w:rsidP="008E1614">
      <w:pPr>
        <w:spacing w:before="120" w:after="120"/>
        <w:rPr>
          <w:noProof/>
          <w:szCs w:val="24"/>
          <w:lang w:eastAsia="en-US"/>
        </w:rPr>
        <w:sectPr w:rsidR="00524971" w:rsidRPr="008E1614" w:rsidSect="00524971">
          <w:footnotePr>
            <w:numRestart w:val="eachSect"/>
          </w:footnotePr>
          <w:pgSz w:w="11907" w:h="16839"/>
          <w:pgMar w:top="1134" w:right="1417" w:bottom="1134" w:left="1417" w:header="709" w:footer="709" w:gutter="0"/>
          <w:cols w:space="720"/>
          <w:docGrid w:linePitch="360"/>
        </w:sectPr>
      </w:pPr>
    </w:p>
    <w:p w:rsidR="008E1614" w:rsidRDefault="00524971" w:rsidP="008E1614">
      <w:pPr>
        <w:widowControl/>
        <w:spacing w:before="120" w:after="120"/>
        <w:jc w:val="center"/>
        <w:rPr>
          <w:rFonts w:eastAsia="Calibri"/>
          <w:strike/>
          <w:noProof/>
          <w:szCs w:val="24"/>
          <w:lang w:eastAsia="en-US"/>
        </w:rPr>
      </w:pPr>
      <w:r w:rsidRPr="008E1614">
        <w:rPr>
          <w:rFonts w:eastAsia="Calibri"/>
          <w:strike/>
          <w:noProof/>
          <w:szCs w:val="24"/>
          <w:lang w:eastAsia="en-US"/>
        </w:rPr>
        <w:lastRenderedPageBreak/>
        <w:t xml:space="preserve">ZAŁĄCZNIK III </w:t>
      </w:r>
      <w:r w:rsidRPr="008E1614">
        <w:rPr>
          <w:rFonts w:eastAsia="Calibri"/>
          <w:strike/>
          <w:noProof/>
          <w:szCs w:val="24"/>
          <w:lang w:eastAsia="en-US"/>
        </w:rPr>
        <w:br/>
        <w:t xml:space="preserve"> </w:t>
      </w:r>
      <w:r w:rsidRPr="008E1614">
        <w:rPr>
          <w:rFonts w:eastAsia="Calibri"/>
          <w:strike/>
          <w:noProof/>
          <w:szCs w:val="24"/>
          <w:lang w:eastAsia="en-US"/>
        </w:rPr>
        <w:br/>
        <w:t xml:space="preserve">ZASADY ZRÓWNOWAŻONEGO GOSPODAROWANIA GLEBAMI </w:t>
      </w:r>
    </w:p>
    <w:p w:rsidR="00524971" w:rsidRPr="008E1614" w:rsidRDefault="00524971" w:rsidP="008E1614">
      <w:pPr>
        <w:spacing w:before="120" w:after="120"/>
        <w:rPr>
          <w:strike/>
          <w:noProof/>
          <w:szCs w:val="24"/>
          <w:lang w:eastAsia="en-US"/>
        </w:rPr>
      </w:pPr>
      <w:r w:rsidRPr="008E1614">
        <w:rPr>
          <w:strike/>
          <w:noProof/>
          <w:szCs w:val="24"/>
          <w:lang w:eastAsia="en-US"/>
        </w:rPr>
        <w:t>Zastosowanie mają następujące zasady:</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a)</w:t>
      </w:r>
      <w:r w:rsidRPr="008E1614">
        <w:rPr>
          <w:rFonts w:eastAsia="Calibri"/>
          <w:strike/>
          <w:noProof/>
          <w:szCs w:val="24"/>
          <w:lang w:eastAsia="en-US"/>
        </w:rPr>
        <w:tab/>
        <w:t>unikać pozostawiania nieosłoniętej gleby przez tworzenie i utrzymywanie pokrywy roślinnej gleby, zwłaszcza w okresach wrażliwych pod względem środowiskowym;</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b)</w:t>
      </w:r>
      <w:r w:rsidRPr="008E1614">
        <w:rPr>
          <w:rFonts w:eastAsia="Calibri"/>
          <w:strike/>
          <w:noProof/>
          <w:szCs w:val="24"/>
          <w:lang w:eastAsia="en-US"/>
        </w:rPr>
        <w:tab/>
        <w:t>minimalizować fizyczne naruszanie gleby;</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c)</w:t>
      </w:r>
      <w:r w:rsidRPr="008E1614">
        <w:rPr>
          <w:rFonts w:eastAsia="Calibri"/>
          <w:strike/>
          <w:noProof/>
          <w:szCs w:val="24"/>
          <w:lang w:eastAsia="en-US"/>
        </w:rPr>
        <w:tab/>
        <w:t>unikać wprowadzania lub uwalniania do gleby substancji, które mogą szkodzić zdrowiu ludzi lub środowisku, lub pogarszać stan zdrowia gleb;</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d)</w:t>
      </w:r>
      <w:r w:rsidRPr="008E1614">
        <w:rPr>
          <w:rFonts w:eastAsia="Calibri"/>
          <w:strike/>
          <w:noProof/>
          <w:szCs w:val="24"/>
          <w:lang w:eastAsia="en-US"/>
        </w:rPr>
        <w:tab/>
        <w:t>dopilnować, aby użytkowanie maszyn było dostosowane do wytrzymałości gleby oraz aby liczba i częstotliwość działań na glebach były ograniczone, tak by nie zagrażały one zdrowiu gleb;</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e)</w:t>
      </w:r>
      <w:r w:rsidRPr="008E1614">
        <w:rPr>
          <w:rFonts w:eastAsia="Calibri"/>
          <w:strike/>
          <w:noProof/>
          <w:szCs w:val="24"/>
          <w:lang w:eastAsia="en-US"/>
        </w:rPr>
        <w:tab/>
        <w:t>w przypadku nawożenia zapewnić dostosowanie do potrzeb roślin i drzew w danym miejscu i w danym okresie oraz do stanu gleby i priorytetowo traktować rozwiązania o obiegu zamkniętym, które wzbogacają zawartość organiczną;</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f)</w:t>
      </w:r>
      <w:r w:rsidRPr="008E1614">
        <w:rPr>
          <w:rFonts w:eastAsia="Calibri"/>
          <w:strike/>
          <w:noProof/>
          <w:szCs w:val="24"/>
          <w:lang w:eastAsia="en-US"/>
        </w:rPr>
        <w:tab/>
        <w:t>w przypadku nawadniania zmaksymalizować efektywność systemów nawadniania i zarządzania nawadnianiem oraz zapewnić, aby w przypadku stosowania ścieków poddanych recyklingowi jakość wody spełniała wymogi określone w załączniku I do rozporządzenia Parlamentu Europejskiego i Rady (UE) 2020/741</w:t>
      </w:r>
      <w:r w:rsidRPr="008E1614">
        <w:rPr>
          <w:rFonts w:eastAsia="Calibri"/>
          <w:strike/>
          <w:noProof/>
          <w:szCs w:val="24"/>
          <w:vertAlign w:val="superscript"/>
          <w:lang w:eastAsia="en-US"/>
        </w:rPr>
        <w:footnoteReference w:id="75"/>
      </w:r>
      <w:r w:rsidRPr="008E1614">
        <w:rPr>
          <w:rFonts w:eastAsia="Calibri"/>
          <w:strike/>
          <w:noProof/>
          <w:szCs w:val="24"/>
          <w:lang w:eastAsia="en-US"/>
        </w:rPr>
        <w:t>, a w przypadku wykorzystywania wody z innych źródeł – aby woda ta nie pogarszała stanu zdrowia gleb;</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g)</w:t>
      </w:r>
      <w:r w:rsidRPr="008E1614">
        <w:rPr>
          <w:rFonts w:eastAsia="Calibri"/>
          <w:strike/>
          <w:noProof/>
          <w:szCs w:val="24"/>
          <w:lang w:eastAsia="en-US"/>
        </w:rPr>
        <w:tab/>
        <w:t>zapewnić ochronę gleb przez tworzenie i utrzymywanie odpowiednich elementów krajobrazu na poziomie krajobrazu</w:t>
      </w:r>
      <w:r w:rsidRPr="008E1614">
        <w:rPr>
          <w:rFonts w:eastAsia="Calibri"/>
          <w:strike/>
          <w:noProof/>
          <w:szCs w:val="24"/>
          <w:vertAlign w:val="superscript"/>
          <w:lang w:eastAsia="en-US"/>
        </w:rPr>
        <w:footnoteReference w:id="76"/>
      </w:r>
      <w:r w:rsidRPr="008E1614">
        <w:rPr>
          <w:rFonts w:eastAsia="Calibri"/>
          <w:strike/>
          <w:noProof/>
          <w:szCs w:val="24"/>
          <w:lang w:eastAsia="en-US"/>
        </w:rPr>
        <w:t>;</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h)</w:t>
      </w:r>
      <w:r w:rsidRPr="008E1614">
        <w:rPr>
          <w:rFonts w:eastAsia="Calibri"/>
          <w:strike/>
          <w:noProof/>
          <w:szCs w:val="24"/>
          <w:lang w:eastAsia="en-US"/>
        </w:rPr>
        <w:tab/>
        <w:t xml:space="preserve">wykorzystywać gatunki dostosowane do danego terenu do celów uprawy roślin, roślin lub drzew, jeżeli może to zapobiec degradacji gleby lub przyczynić się do poprawy stanu zdrowia gleb, również z uwzględnieniem przystosowania się do zmiany klimatu; </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i)</w:t>
      </w:r>
      <w:r w:rsidRPr="008E1614">
        <w:rPr>
          <w:rFonts w:eastAsia="Calibri"/>
          <w:strike/>
          <w:noProof/>
          <w:szCs w:val="24"/>
          <w:lang w:eastAsia="en-US"/>
        </w:rPr>
        <w:tab/>
        <w:t>zapewnić zoptymalizowany poziom wody w glebach organicznych, tak aby nie miało to negatywnego wpływu na strukturę i skład takich gleb</w:t>
      </w:r>
      <w:r w:rsidRPr="008E1614">
        <w:rPr>
          <w:rFonts w:eastAsia="Calibri"/>
          <w:strike/>
          <w:noProof/>
          <w:szCs w:val="24"/>
          <w:vertAlign w:val="superscript"/>
          <w:lang w:eastAsia="en-US"/>
        </w:rPr>
        <w:footnoteReference w:id="77"/>
      </w:r>
      <w:r w:rsidRPr="008E1614">
        <w:rPr>
          <w:rFonts w:eastAsia="Calibri"/>
          <w:strike/>
          <w:noProof/>
          <w:szCs w:val="24"/>
          <w:lang w:eastAsia="en-US"/>
        </w:rPr>
        <w:t>;</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j)</w:t>
      </w:r>
      <w:r w:rsidRPr="008E1614">
        <w:rPr>
          <w:rFonts w:eastAsia="Calibri"/>
          <w:strike/>
          <w:noProof/>
          <w:szCs w:val="24"/>
          <w:lang w:eastAsia="en-US"/>
        </w:rPr>
        <w:tab/>
        <w:t>w przypadku uprawy zapewnić płodozmian i różnorodność upraw z uwzględnieniem różnych rodzin upraw, systemów korzeniowych, potrzeb w zakresie wody i składników odżywczych oraz zintegrowanej ochrony przed szkodnikami;</w:t>
      </w:r>
    </w:p>
    <w:p w:rsidR="00524971" w:rsidRPr="008E1614" w:rsidRDefault="00524971" w:rsidP="008E1614">
      <w:pPr>
        <w:widowControl/>
        <w:spacing w:before="120" w:after="120"/>
        <w:ind w:left="850" w:hanging="850"/>
        <w:jc w:val="both"/>
        <w:rPr>
          <w:rFonts w:eastAsia="Calibri"/>
          <w:strike/>
          <w:noProof/>
          <w:szCs w:val="24"/>
          <w:lang w:eastAsia="en-US"/>
        </w:rPr>
      </w:pPr>
      <w:r w:rsidRPr="008E1614">
        <w:rPr>
          <w:rFonts w:eastAsia="Calibri"/>
          <w:strike/>
          <w:noProof/>
          <w:szCs w:val="24"/>
          <w:lang w:eastAsia="en-US"/>
        </w:rPr>
        <w:t>k)</w:t>
      </w:r>
      <w:r w:rsidRPr="008E1614">
        <w:rPr>
          <w:rFonts w:eastAsia="Calibri"/>
          <w:strike/>
          <w:noProof/>
          <w:szCs w:val="24"/>
          <w:lang w:eastAsia="en-US"/>
        </w:rPr>
        <w:tab/>
        <w:t>dostosować przemieszczanie się zwierząt gospodarskich i czas ich wypasu z uwzględnieniem rodzajów zwierząt i gęstości obsady, tak aby zdrowie gleb nie było zagrożone i aby zdolność gleby do dostarczania zielonki nie była zmniejszona;</w:t>
      </w:r>
    </w:p>
    <w:p w:rsidR="008E1614" w:rsidRDefault="00524971" w:rsidP="008E1614">
      <w:pPr>
        <w:widowControl/>
        <w:spacing w:before="120" w:after="120"/>
        <w:ind w:left="850" w:hanging="850"/>
        <w:jc w:val="both"/>
        <w:rPr>
          <w:rFonts w:eastAsia="Calibri"/>
          <w:b/>
          <w:noProof/>
          <w:szCs w:val="24"/>
          <w:lang w:eastAsia="en-US"/>
        </w:rPr>
      </w:pPr>
      <w:r w:rsidRPr="008E1614">
        <w:rPr>
          <w:rFonts w:eastAsia="Calibri"/>
          <w:strike/>
          <w:noProof/>
          <w:szCs w:val="24"/>
          <w:lang w:eastAsia="en-US"/>
        </w:rPr>
        <w:t>l)</w:t>
      </w:r>
      <w:r w:rsidRPr="008E1614">
        <w:rPr>
          <w:rFonts w:eastAsia="Calibri"/>
          <w:strike/>
          <w:noProof/>
          <w:szCs w:val="24"/>
          <w:lang w:eastAsia="en-US"/>
        </w:rPr>
        <w:tab/>
        <w:t>w przypadku znanej nieproporcjonalnej utraty co najmniej jednej funkcji, która znacznie zmniejszają zdolność gleby do zapewniania usług ekosystemowych, stosować środki ukierunkowane na regenerację tych funkcji gleby.</w:t>
      </w:r>
      <w:r w:rsidRPr="008E1614">
        <w:rPr>
          <w:rFonts w:eastAsia="Calibri"/>
          <w:b/>
          <w:noProof/>
          <w:szCs w:val="24"/>
          <w:lang w:eastAsia="en-US"/>
        </w:rPr>
        <w:t xml:space="preserve"> [</w:t>
      </w:r>
      <w:r w:rsidR="00134EB8">
        <w:rPr>
          <w:rFonts w:eastAsia="Calibri"/>
          <w:b/>
          <w:noProof/>
          <w:szCs w:val="24"/>
          <w:lang w:eastAsia="en-US"/>
        </w:rPr>
        <w:t>Popr.</w:t>
      </w:r>
      <w:r w:rsidRPr="008E1614">
        <w:rPr>
          <w:rFonts w:eastAsia="Calibri"/>
          <w:b/>
          <w:noProof/>
          <w:szCs w:val="24"/>
          <w:lang w:eastAsia="en-US"/>
        </w:rPr>
        <w:t> 260]</w:t>
      </w:r>
    </w:p>
    <w:p w:rsidR="00524971" w:rsidRPr="008E1614" w:rsidRDefault="00524971" w:rsidP="008E1614">
      <w:pPr>
        <w:spacing w:before="120" w:after="120"/>
        <w:rPr>
          <w:noProof/>
          <w:szCs w:val="24"/>
          <w:lang w:eastAsia="en-US"/>
        </w:rPr>
        <w:sectPr w:rsidR="00524971" w:rsidRPr="008E1614" w:rsidSect="00524971">
          <w:footnotePr>
            <w:numRestart w:val="eachSect"/>
          </w:footnotePr>
          <w:pgSz w:w="11907" w:h="16839"/>
          <w:pgMar w:top="1134" w:right="1417" w:bottom="1134" w:left="1417" w:header="709" w:footer="709" w:gutter="0"/>
          <w:cols w:space="720"/>
          <w:docGrid w:linePitch="360"/>
        </w:sectPr>
      </w:pPr>
    </w:p>
    <w:p w:rsidR="00524971" w:rsidRPr="008E1614" w:rsidRDefault="008E1614" w:rsidP="008E1614">
      <w:pPr>
        <w:widowControl/>
        <w:spacing w:before="120" w:after="120" w:line="360" w:lineRule="auto"/>
        <w:jc w:val="center"/>
        <w:rPr>
          <w:rFonts w:eastAsia="Calibri"/>
          <w:noProof/>
          <w:szCs w:val="24"/>
          <w:lang w:eastAsia="en-US"/>
        </w:rPr>
      </w:pPr>
      <w:r>
        <w:rPr>
          <w:rFonts w:eastAsia="Calibri"/>
          <w:noProof/>
          <w:szCs w:val="24"/>
          <w:lang w:eastAsia="en-US"/>
        </w:rPr>
        <w:lastRenderedPageBreak/>
        <w:t xml:space="preserve">ZAŁĄCZNIK IV </w:t>
      </w:r>
      <w:r>
        <w:rPr>
          <w:rFonts w:eastAsia="Calibri"/>
          <w:noProof/>
          <w:szCs w:val="24"/>
          <w:lang w:eastAsia="en-US"/>
        </w:rPr>
        <w:br/>
      </w:r>
      <w:r w:rsidR="00524971" w:rsidRPr="008E1614">
        <w:rPr>
          <w:rFonts w:eastAsia="Calibri"/>
          <w:noProof/>
          <w:szCs w:val="24"/>
          <w:lang w:eastAsia="en-US"/>
        </w:rPr>
        <w:t xml:space="preserve">PROGRAMY, PLANY, CELE I ŚRODKI, O KTÓRYCH MOWA W ART. 10 </w:t>
      </w:r>
    </w:p>
    <w:p w:rsidR="00524971" w:rsidRPr="008E1614" w:rsidRDefault="00524971" w:rsidP="008E1614">
      <w:pPr>
        <w:spacing w:before="120" w:after="120" w:line="360" w:lineRule="auto"/>
        <w:rPr>
          <w:b/>
          <w:noProof/>
          <w:szCs w:val="24"/>
          <w:lang w:eastAsia="en-US"/>
        </w:rPr>
      </w:pPr>
      <w:r w:rsidRPr="008E1614">
        <w:rPr>
          <w:b/>
          <w:i/>
          <w:szCs w:val="24"/>
          <w:lang w:eastAsia="en-US"/>
        </w:rPr>
        <w:t>Uwzględnia się następujący orientacyjny wykaz programów, planów, celów i środków:</w:t>
      </w:r>
      <w:r w:rsidRPr="008E1614">
        <w:rPr>
          <w:b/>
          <w:szCs w:val="24"/>
          <w:lang w:eastAsia="en-US"/>
        </w:rPr>
        <w:t xml:space="preserve"> [</w:t>
      </w:r>
      <w:r w:rsidR="00134EB8">
        <w:rPr>
          <w:b/>
          <w:szCs w:val="24"/>
          <w:lang w:eastAsia="en-US"/>
        </w:rPr>
        <w:t>Popr.</w:t>
      </w:r>
      <w:r w:rsidRPr="008E1614">
        <w:rPr>
          <w:b/>
          <w:szCs w:val="24"/>
          <w:lang w:eastAsia="en-US"/>
        </w:rPr>
        <w:t> 2141]</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1)</w:t>
      </w:r>
      <w:r w:rsidRPr="008E1614">
        <w:rPr>
          <w:rFonts w:eastAsia="Calibri"/>
          <w:noProof/>
          <w:szCs w:val="24"/>
          <w:lang w:eastAsia="en-US"/>
        </w:rPr>
        <w:tab/>
        <w:t>Krajowe plany odbudowy przygotowane zgodnie z rozporządzeniem …/…</w:t>
      </w:r>
      <w:r w:rsidRPr="008E1614">
        <w:rPr>
          <w:rFonts w:eastAsia="Calibri"/>
          <w:noProof/>
          <w:szCs w:val="24"/>
          <w:vertAlign w:val="superscript"/>
          <w:lang w:eastAsia="en-US"/>
        </w:rPr>
        <w:footnoteReference w:id="78"/>
      </w:r>
      <w:r w:rsidRPr="008E1614">
        <w:rPr>
          <w:rFonts w:eastAsia="Calibri"/>
          <w:noProof/>
          <w:szCs w:val="24"/>
          <w:lang w:eastAsia="en-US"/>
        </w:rPr>
        <w:t>+.</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2)</w:t>
      </w:r>
      <w:r w:rsidRPr="008E1614">
        <w:rPr>
          <w:rFonts w:eastAsia="Calibri"/>
          <w:noProof/>
          <w:szCs w:val="24"/>
          <w:lang w:eastAsia="en-US"/>
        </w:rPr>
        <w:tab/>
        <w:t>Plany strategiczne, które państwa członkowskie mają sporządzić w ramach wspólnej polityki rolnej zgodnie z rozporządzeniem (UE) 2021/2115.</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3)</w:t>
      </w:r>
      <w:r w:rsidRPr="008E1614">
        <w:rPr>
          <w:rFonts w:eastAsia="Calibri"/>
          <w:noProof/>
          <w:szCs w:val="24"/>
          <w:lang w:eastAsia="en-US"/>
        </w:rPr>
        <w:tab/>
        <w:t>Kodeks Dobrej Praktyki Rolniczej oraz programy działania w odniesieniu do wyznaczonych stref zagrożenia przyjęte zgodnie z dyrektywą 91/676/EWG.</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4)</w:t>
      </w:r>
      <w:r w:rsidRPr="008E1614">
        <w:rPr>
          <w:rFonts w:eastAsia="Calibri"/>
          <w:noProof/>
          <w:szCs w:val="24"/>
          <w:lang w:eastAsia="en-US"/>
        </w:rPr>
        <w:tab/>
        <w:t>Środki ochronne i priorytetowe ramy działania ustanowione dla obszarów Natura 2000 zgodnie z dyrektywą 92/43/EWG.</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5)</w:t>
      </w:r>
      <w:r w:rsidRPr="008E1614">
        <w:rPr>
          <w:rFonts w:eastAsia="Calibri"/>
          <w:noProof/>
          <w:szCs w:val="24"/>
          <w:lang w:eastAsia="en-US"/>
        </w:rPr>
        <w:tab/>
        <w:t>Środki mające na celu osiągnięcie dobrego stanu ekologicznego i chemicznego jednolitych części wód powierzchniowych oraz dobrego stanu chemicznego i ilościowego jednolitych części wód podziemnych zawarte w planach gospodarowania wodami w dorzeczu przygotowanych zgodnie z dyrektywą 2000/60/WE.</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6)</w:t>
      </w:r>
      <w:r w:rsidRPr="008E1614">
        <w:rPr>
          <w:rFonts w:eastAsia="Calibri"/>
          <w:noProof/>
          <w:szCs w:val="24"/>
          <w:lang w:eastAsia="en-US"/>
        </w:rPr>
        <w:tab/>
        <w:t>Środki zarządzania ryzykiem powodziowym zawarte w planach zarządzania ryzykiem powodziowym przygotowanych zgodnie z dyrektywą 2007/60/WE.</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7)</w:t>
      </w:r>
      <w:r w:rsidRPr="008E1614">
        <w:rPr>
          <w:rFonts w:eastAsia="Calibri"/>
          <w:noProof/>
          <w:szCs w:val="24"/>
          <w:lang w:eastAsia="en-US"/>
        </w:rPr>
        <w:tab/>
        <w:t xml:space="preserve">Plany postępowania w przypadku suszy, o których mowa w strategii UE w zakresie przystosowania się do zmiany klimatu. </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8)</w:t>
      </w:r>
      <w:r w:rsidRPr="008E1614">
        <w:rPr>
          <w:rFonts w:eastAsia="Calibri"/>
          <w:noProof/>
          <w:szCs w:val="24"/>
          <w:lang w:eastAsia="en-US"/>
        </w:rPr>
        <w:tab/>
        <w:t>Krajowe programy działania ustanowione zgodnie z Konwencją Narodów Zjednoczonych w sprawie zwalczania pustynnienia.</w:t>
      </w:r>
    </w:p>
    <w:p w:rsidR="00524971" w:rsidRPr="008E1614" w:rsidRDefault="00524971" w:rsidP="008E1614">
      <w:pPr>
        <w:widowControl/>
        <w:spacing w:before="120" w:after="120" w:line="360" w:lineRule="auto"/>
        <w:ind w:left="850" w:hanging="850"/>
        <w:jc w:val="both"/>
        <w:rPr>
          <w:rFonts w:eastAsia="Calibri"/>
          <w:b/>
          <w:noProof/>
          <w:szCs w:val="24"/>
          <w:lang w:eastAsia="en-US"/>
        </w:rPr>
      </w:pPr>
      <w:r w:rsidRPr="008E1614">
        <w:rPr>
          <w:rFonts w:eastAsia="Calibri"/>
          <w:b/>
          <w:i/>
          <w:szCs w:val="22"/>
          <w:lang w:eastAsia="en-US"/>
        </w:rPr>
        <w:t>8a</w:t>
      </w:r>
      <w:proofErr w:type="gramStart"/>
      <w:r w:rsidRPr="008E1614">
        <w:rPr>
          <w:rFonts w:eastAsia="Calibri"/>
          <w:b/>
          <w:i/>
          <w:szCs w:val="22"/>
          <w:lang w:eastAsia="en-US"/>
        </w:rPr>
        <w:t>)</w:t>
      </w:r>
      <w:r w:rsidRPr="008E1614">
        <w:rPr>
          <w:rFonts w:eastAsia="Calibri"/>
          <w:szCs w:val="22"/>
          <w:lang w:eastAsia="en-US"/>
        </w:rPr>
        <w:tab/>
      </w:r>
      <w:r w:rsidRPr="008E1614">
        <w:rPr>
          <w:rFonts w:eastAsia="Calibri"/>
          <w:b/>
          <w:i/>
          <w:szCs w:val="22"/>
          <w:lang w:eastAsia="en-US"/>
        </w:rPr>
        <w:t>Krajowe</w:t>
      </w:r>
      <w:proofErr w:type="gramEnd"/>
      <w:r w:rsidRPr="008E1614">
        <w:rPr>
          <w:rFonts w:eastAsia="Calibri"/>
          <w:b/>
          <w:i/>
          <w:szCs w:val="22"/>
          <w:lang w:eastAsia="en-US"/>
        </w:rPr>
        <w:t xml:space="preserve"> strategie na rzecz różnorodności biologicznej i plany działania ustanowione zgodnie z art. 6 Konwencji ONZ o różnorodności biologicznej.</w:t>
      </w:r>
      <w:r w:rsidRPr="008E1614">
        <w:rPr>
          <w:rFonts w:eastAsia="Calibri"/>
          <w:b/>
          <w:szCs w:val="22"/>
          <w:lang w:eastAsia="en-US"/>
        </w:rPr>
        <w:t xml:space="preserve"> [</w:t>
      </w:r>
      <w:r w:rsidR="00134EB8">
        <w:rPr>
          <w:rFonts w:eastAsia="Calibri"/>
          <w:b/>
          <w:szCs w:val="22"/>
          <w:lang w:eastAsia="en-US"/>
        </w:rPr>
        <w:t>Popr.</w:t>
      </w:r>
      <w:r w:rsidRPr="008E1614">
        <w:rPr>
          <w:rFonts w:eastAsia="Calibri"/>
          <w:b/>
          <w:szCs w:val="22"/>
          <w:lang w:eastAsia="en-US"/>
        </w:rPr>
        <w:t> 215]</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9)</w:t>
      </w:r>
      <w:r w:rsidRPr="008E1614">
        <w:rPr>
          <w:rFonts w:eastAsia="Calibri"/>
          <w:noProof/>
          <w:szCs w:val="24"/>
          <w:lang w:eastAsia="en-US"/>
        </w:rPr>
        <w:tab/>
        <w:t>Cele określone w rozporządzeniu (UE) 2018/841.</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10)</w:t>
      </w:r>
      <w:r w:rsidRPr="008E1614">
        <w:rPr>
          <w:rFonts w:eastAsia="Calibri"/>
          <w:noProof/>
          <w:szCs w:val="24"/>
          <w:lang w:eastAsia="en-US"/>
        </w:rPr>
        <w:tab/>
        <w:t>Cele określone w rozporządzeniu (UE) 2018/842.</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11)</w:t>
      </w:r>
      <w:r w:rsidRPr="008E1614">
        <w:rPr>
          <w:rFonts w:eastAsia="Calibri"/>
          <w:noProof/>
          <w:szCs w:val="24"/>
          <w:lang w:eastAsia="en-US"/>
        </w:rPr>
        <w:tab/>
        <w:t xml:space="preserve">Krajowe programy ograniczania zanieczyszczenia powietrza przygotowane na podstawie dyrektywy (UE) 2016/2284 oraz dane z monitorowania wpływu zanieczyszczenia powietrza na ekosystemy przekazane na podstawie tej dyrektywy. </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lastRenderedPageBreak/>
        <w:t>12)</w:t>
      </w:r>
      <w:r w:rsidRPr="008E1614">
        <w:rPr>
          <w:rFonts w:eastAsia="Calibri"/>
          <w:noProof/>
          <w:szCs w:val="24"/>
          <w:lang w:eastAsia="en-US"/>
        </w:rPr>
        <w:tab/>
        <w:t xml:space="preserve">Zintegrowany krajowy plan w dziedzinie energii i klimatu ustanowiony zgodnie z rozporządzeniem (UE) 2018/1999. </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13)</w:t>
      </w:r>
      <w:r w:rsidRPr="008E1614">
        <w:rPr>
          <w:rFonts w:eastAsia="Calibri"/>
          <w:noProof/>
          <w:szCs w:val="24"/>
          <w:lang w:eastAsia="en-US"/>
        </w:rPr>
        <w:tab/>
        <w:t>Oceny ryzyka i planowanie zarządzania ryzykiem związanym z klęskami lub katastrofami zgodnie z decyzją nr 1313/2013/UE.</w:t>
      </w:r>
    </w:p>
    <w:p w:rsidR="008E1614" w:rsidRDefault="00524971" w:rsidP="008E1614">
      <w:pPr>
        <w:widowControl/>
        <w:spacing w:before="120" w:after="120" w:line="360" w:lineRule="auto"/>
        <w:ind w:left="850" w:hanging="850"/>
        <w:jc w:val="both"/>
        <w:rPr>
          <w:rFonts w:eastAsia="Calibri"/>
          <w:b/>
          <w:noProof/>
          <w:szCs w:val="24"/>
          <w:lang w:eastAsia="en-US"/>
        </w:rPr>
      </w:pPr>
      <w:r w:rsidRPr="008E1614">
        <w:rPr>
          <w:rFonts w:eastAsia="Calibri"/>
          <w:noProof/>
          <w:szCs w:val="24"/>
          <w:lang w:eastAsia="en-US"/>
        </w:rPr>
        <w:t>14)</w:t>
      </w:r>
      <w:r w:rsidRPr="008E1614">
        <w:rPr>
          <w:rFonts w:eastAsia="Calibri"/>
          <w:noProof/>
          <w:szCs w:val="24"/>
          <w:lang w:eastAsia="en-US"/>
        </w:rPr>
        <w:tab/>
        <w:t>Krajowe plany działania przyjęte zgodnie z art. </w:t>
      </w:r>
      <w:r w:rsidRPr="008E1614">
        <w:rPr>
          <w:rFonts w:eastAsia="Calibri"/>
          <w:strike/>
          <w:noProof/>
          <w:szCs w:val="24"/>
          <w:lang w:eastAsia="en-US"/>
        </w:rPr>
        <w:t>8 rozporządzenia …/…</w:t>
      </w:r>
      <w:r w:rsidRPr="008E1614">
        <w:rPr>
          <w:rFonts w:eastAsia="Calibri"/>
          <w:strike/>
          <w:noProof/>
          <w:szCs w:val="24"/>
          <w:vertAlign w:val="superscript"/>
          <w:lang w:eastAsia="en-US"/>
        </w:rPr>
        <w:footnoteReference w:id="79"/>
      </w:r>
      <w:r w:rsidRPr="008E1614">
        <w:rPr>
          <w:rFonts w:eastAsia="Calibri"/>
          <w:strike/>
          <w:noProof/>
          <w:szCs w:val="24"/>
          <w:lang w:eastAsia="en-US"/>
        </w:rPr>
        <w:t>+</w:t>
      </w:r>
      <w:r w:rsidRPr="008E1614">
        <w:rPr>
          <w:rFonts w:eastAsia="Calibri"/>
          <w:b/>
          <w:i/>
          <w:szCs w:val="22"/>
          <w:lang w:eastAsia="en-US"/>
        </w:rPr>
        <w:t>4 dyrektywy 2009/128</w:t>
      </w:r>
      <w:r w:rsidRPr="008E1614">
        <w:rPr>
          <w:rFonts w:eastAsia="Calibri"/>
          <w:szCs w:val="22"/>
          <w:lang w:eastAsia="en-US"/>
        </w:rPr>
        <w:t>/</w:t>
      </w:r>
      <w:r w:rsidRPr="008E1614">
        <w:rPr>
          <w:rFonts w:eastAsia="Calibri"/>
          <w:b/>
          <w:i/>
          <w:szCs w:val="22"/>
          <w:lang w:eastAsia="en-US"/>
        </w:rPr>
        <w:t>WE</w:t>
      </w:r>
      <w:r w:rsidRPr="008E1614">
        <w:rPr>
          <w:rFonts w:eastAsia="Calibri"/>
          <w:noProof/>
          <w:szCs w:val="24"/>
          <w:lang w:eastAsia="en-US"/>
        </w:rPr>
        <w:t xml:space="preserve">. </w:t>
      </w:r>
      <w:r w:rsidRPr="008E1614">
        <w:rPr>
          <w:rFonts w:eastAsia="Calibri"/>
          <w:b/>
          <w:noProof/>
          <w:szCs w:val="24"/>
          <w:lang w:eastAsia="en-US"/>
        </w:rPr>
        <w:t xml:space="preserve"> [</w:t>
      </w:r>
      <w:r w:rsidR="00134EB8">
        <w:rPr>
          <w:rFonts w:eastAsia="Calibri"/>
          <w:b/>
          <w:noProof/>
          <w:szCs w:val="24"/>
          <w:lang w:eastAsia="en-US"/>
        </w:rPr>
        <w:t>Popr.</w:t>
      </w:r>
      <w:r w:rsidRPr="008E1614">
        <w:rPr>
          <w:rFonts w:eastAsia="Calibri"/>
          <w:b/>
          <w:noProof/>
          <w:szCs w:val="24"/>
          <w:lang w:eastAsia="en-US"/>
        </w:rPr>
        <w:t> 216]</w:t>
      </w:r>
    </w:p>
    <w:p w:rsidR="00524971" w:rsidRPr="008E1614" w:rsidRDefault="00524971" w:rsidP="008E1614">
      <w:pPr>
        <w:spacing w:before="120" w:after="120"/>
        <w:rPr>
          <w:noProof/>
          <w:szCs w:val="24"/>
          <w:lang w:eastAsia="en-US"/>
        </w:rPr>
        <w:sectPr w:rsidR="00524971" w:rsidRPr="008E1614" w:rsidSect="00524971">
          <w:footnotePr>
            <w:numRestart w:val="eachSect"/>
          </w:footnotePr>
          <w:pgSz w:w="11907" w:h="16839"/>
          <w:pgMar w:top="1134" w:right="1417" w:bottom="1134" w:left="1417" w:header="709" w:footer="709" w:gutter="0"/>
          <w:cols w:space="720"/>
          <w:docGrid w:linePitch="360"/>
        </w:sectPr>
      </w:pPr>
    </w:p>
    <w:p w:rsidR="008E1614" w:rsidRPr="008E1614" w:rsidRDefault="00524971" w:rsidP="008E1614">
      <w:pPr>
        <w:widowControl/>
        <w:spacing w:before="120" w:after="120" w:line="360" w:lineRule="auto"/>
        <w:jc w:val="center"/>
        <w:rPr>
          <w:rFonts w:eastAsia="Calibri"/>
          <w:noProof/>
          <w:szCs w:val="24"/>
          <w:lang w:eastAsia="en-US"/>
        </w:rPr>
      </w:pPr>
      <w:r w:rsidRPr="008E1614">
        <w:rPr>
          <w:rFonts w:eastAsia="Calibri"/>
          <w:noProof/>
          <w:szCs w:val="24"/>
          <w:lang w:eastAsia="en-US"/>
        </w:rPr>
        <w:lastRenderedPageBreak/>
        <w:t xml:space="preserve">ZAŁĄCZNIK V </w:t>
      </w:r>
      <w:r w:rsidRPr="008E1614">
        <w:rPr>
          <w:rFonts w:eastAsia="Calibri"/>
          <w:noProof/>
          <w:szCs w:val="24"/>
          <w:lang w:eastAsia="en-US"/>
        </w:rPr>
        <w:br/>
        <w:t xml:space="preserve"> ORIENTACYJNY WYKAZ ŚRODKÓW ZMNIEJSZAJĄCYCH RYZYKO</w:t>
      </w:r>
    </w:p>
    <w:p w:rsid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1)</w:t>
      </w:r>
      <w:r w:rsidRPr="008E1614">
        <w:rPr>
          <w:rFonts w:eastAsia="Calibri"/>
          <w:noProof/>
          <w:szCs w:val="24"/>
          <w:lang w:eastAsia="en-US"/>
        </w:rPr>
        <w:tab/>
        <w:t xml:space="preserve">Techniki remediacji na potrzeby remediacji </w:t>
      </w:r>
      <w:r w:rsidRPr="008E1614">
        <w:rPr>
          <w:rFonts w:eastAsia="Calibri"/>
          <w:i/>
          <w:iCs/>
          <w:noProof/>
          <w:szCs w:val="24"/>
          <w:lang w:eastAsia="en-US"/>
        </w:rPr>
        <w:t>in situ</w:t>
      </w:r>
      <w:r w:rsidRPr="008E1614">
        <w:rPr>
          <w:rFonts w:eastAsia="Calibri"/>
          <w:noProof/>
          <w:szCs w:val="24"/>
          <w:lang w:eastAsia="en-US"/>
        </w:rPr>
        <w:t xml:space="preserve"> lub </w:t>
      </w:r>
      <w:r w:rsidRPr="008E1614">
        <w:rPr>
          <w:rFonts w:eastAsia="Calibri"/>
          <w:i/>
          <w:iCs/>
          <w:noProof/>
          <w:szCs w:val="24"/>
          <w:lang w:eastAsia="en-US"/>
        </w:rPr>
        <w:t>ex situ</w:t>
      </w:r>
      <w:r w:rsidRPr="008E1614">
        <w:rPr>
          <w:rFonts w:eastAsia="Calibri"/>
          <w:noProof/>
          <w:szCs w:val="24"/>
          <w:lang w:eastAsia="en-US"/>
        </w:rPr>
        <w:t>:</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a)</w:t>
      </w:r>
      <w:r w:rsidRPr="008E1614">
        <w:rPr>
          <w:rFonts w:eastAsia="Calibri"/>
          <w:noProof/>
          <w:szCs w:val="24"/>
          <w:lang w:eastAsia="en-US"/>
        </w:rPr>
        <w:tab/>
        <w:t>Techniki remediacji fizycznej:</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a)</w:t>
      </w:r>
      <w:r w:rsidRPr="008E1614">
        <w:rPr>
          <w:rFonts w:eastAsia="Calibri"/>
          <w:noProof/>
          <w:szCs w:val="24"/>
          <w:lang w:eastAsia="en-US"/>
        </w:rPr>
        <w:tab/>
        <w:t>ekstrakcja par, wzbudzanie powietrzem;</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b)</w:t>
      </w:r>
      <w:r w:rsidRPr="008E1614">
        <w:rPr>
          <w:rFonts w:eastAsia="Calibri"/>
          <w:noProof/>
          <w:szCs w:val="24"/>
          <w:lang w:eastAsia="en-US"/>
        </w:rPr>
        <w:tab/>
        <w:t>obróbka termiczna, wtrysk pary, desorpcja termiczna, witryfikacja;</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c)</w:t>
      </w:r>
      <w:r w:rsidRPr="008E1614">
        <w:rPr>
          <w:rFonts w:eastAsia="Calibri"/>
          <w:noProof/>
          <w:szCs w:val="24"/>
          <w:lang w:eastAsia="en-US"/>
        </w:rPr>
        <w:tab/>
        <w:t>odmywanie gleby i przemywanie gleby;</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d)</w:t>
      </w:r>
      <w:r w:rsidRPr="008E1614">
        <w:rPr>
          <w:rFonts w:eastAsia="Calibri"/>
          <w:noProof/>
          <w:szCs w:val="24"/>
          <w:lang w:eastAsia="en-US"/>
        </w:rPr>
        <w:tab/>
        <w:t>ekstrakcja elektrokinetyczna;</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e)</w:t>
      </w:r>
      <w:r w:rsidRPr="008E1614">
        <w:rPr>
          <w:rFonts w:eastAsia="Calibri"/>
          <w:noProof/>
          <w:szCs w:val="24"/>
          <w:lang w:eastAsia="en-US"/>
        </w:rPr>
        <w:tab/>
        <w:t>usunięcie warstwy płynnej;</w:t>
      </w:r>
    </w:p>
    <w:p w:rsid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f)</w:t>
      </w:r>
      <w:r w:rsidRPr="008E1614">
        <w:rPr>
          <w:rFonts w:eastAsia="Calibri"/>
          <w:noProof/>
          <w:szCs w:val="24"/>
          <w:lang w:eastAsia="en-US"/>
        </w:rPr>
        <w:tab/>
        <w:t>wywiezienie zanieczyszczonej gleby.</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b)</w:t>
      </w:r>
      <w:r w:rsidRPr="008E1614">
        <w:rPr>
          <w:rFonts w:eastAsia="Calibri"/>
          <w:noProof/>
          <w:szCs w:val="24"/>
          <w:lang w:eastAsia="en-US"/>
        </w:rPr>
        <w:tab/>
        <w:t>Techniki remediacji biologicznej:</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a)</w:t>
      </w:r>
      <w:r w:rsidRPr="008E1614">
        <w:rPr>
          <w:rFonts w:eastAsia="Calibri"/>
          <w:noProof/>
          <w:szCs w:val="24"/>
          <w:lang w:eastAsia="en-US"/>
        </w:rPr>
        <w:tab/>
        <w:t>stymulacja degradacji tlenowej lub beztlenowej: bioremediacja, biostymulacja, bioaugmentacja, biowentylacja, przedmuchiwanie powietrzem;</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b)</w:t>
      </w:r>
      <w:r w:rsidRPr="008E1614">
        <w:rPr>
          <w:rFonts w:eastAsia="Calibri"/>
          <w:noProof/>
          <w:szCs w:val="24"/>
          <w:lang w:eastAsia="en-US"/>
        </w:rPr>
        <w:tab/>
        <w:t>fitoekstrakcja, fitowolatyzacja, fitodegradacja;</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c)</w:t>
      </w:r>
      <w:r w:rsidRPr="008E1614">
        <w:rPr>
          <w:rFonts w:eastAsia="Calibri"/>
          <w:noProof/>
          <w:szCs w:val="24"/>
          <w:lang w:eastAsia="en-US"/>
        </w:rPr>
        <w:tab/>
        <w:t>kompostowanie, dodatki do gleb, obróbka agrotechniczna i systemy bioreaktorów;</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d)</w:t>
      </w:r>
      <w:r w:rsidRPr="008E1614">
        <w:rPr>
          <w:rFonts w:eastAsia="Calibri"/>
          <w:noProof/>
          <w:szCs w:val="24"/>
          <w:lang w:eastAsia="en-US"/>
        </w:rPr>
        <w:tab/>
        <w:t>biofiltracja, oczyszczanie biologiczne na terenach podmokłych i stanowiska typu biobed;</w:t>
      </w:r>
    </w:p>
    <w:p w:rsid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e)</w:t>
      </w:r>
      <w:r w:rsidRPr="008E1614">
        <w:rPr>
          <w:rFonts w:eastAsia="Calibri"/>
          <w:noProof/>
          <w:szCs w:val="24"/>
          <w:lang w:eastAsia="en-US"/>
        </w:rPr>
        <w:tab/>
        <w:t>naturalna atenuacja.</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c)</w:t>
      </w:r>
      <w:r w:rsidRPr="008E1614">
        <w:rPr>
          <w:rFonts w:eastAsia="Calibri"/>
          <w:noProof/>
          <w:szCs w:val="24"/>
          <w:lang w:eastAsia="en-US"/>
        </w:rPr>
        <w:tab/>
        <w:t>Techniki remediacji chemicznej:</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a)</w:t>
      </w:r>
      <w:r w:rsidRPr="008E1614">
        <w:rPr>
          <w:rFonts w:eastAsia="Calibri"/>
          <w:noProof/>
          <w:szCs w:val="24"/>
          <w:lang w:eastAsia="en-US"/>
        </w:rPr>
        <w:tab/>
        <w:t>utlenianie chemiczne;</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b)</w:t>
      </w:r>
      <w:r w:rsidRPr="008E1614">
        <w:rPr>
          <w:rFonts w:eastAsia="Calibri"/>
          <w:noProof/>
          <w:szCs w:val="24"/>
          <w:lang w:eastAsia="en-US"/>
        </w:rPr>
        <w:tab/>
        <w:t>redukcja chemiczna i reakcje redukcji-utleniania (redoks);</w:t>
      </w:r>
    </w:p>
    <w:p w:rsid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c)</w:t>
      </w:r>
      <w:r w:rsidRPr="008E1614">
        <w:rPr>
          <w:rFonts w:eastAsia="Calibri"/>
          <w:noProof/>
          <w:szCs w:val="24"/>
          <w:lang w:eastAsia="en-US"/>
        </w:rPr>
        <w:tab/>
        <w:t>pompowanie i oczyszczanie wód gruntowych.</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d)</w:t>
      </w:r>
      <w:r w:rsidRPr="008E1614">
        <w:rPr>
          <w:rFonts w:eastAsia="Calibri"/>
          <w:noProof/>
          <w:szCs w:val="24"/>
          <w:lang w:eastAsia="en-US"/>
        </w:rPr>
        <w:tab/>
        <w:t>Techniki remediacji w zakresie izolacji, ograniczania rozprzestrzeniania i monitorowania:</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a)</w:t>
      </w:r>
      <w:r w:rsidRPr="008E1614">
        <w:rPr>
          <w:rFonts w:eastAsia="Calibri"/>
          <w:noProof/>
          <w:szCs w:val="24"/>
          <w:lang w:eastAsia="en-US"/>
        </w:rPr>
        <w:tab/>
        <w:t>przykrycie powierzchni, bariery reaktywne, enkapsulacja;</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b)</w:t>
      </w:r>
      <w:r w:rsidRPr="008E1614">
        <w:rPr>
          <w:rFonts w:eastAsia="Calibri"/>
          <w:noProof/>
          <w:szCs w:val="24"/>
          <w:lang w:eastAsia="en-US"/>
        </w:rPr>
        <w:tab/>
        <w:t xml:space="preserve">stabilizacja chemiczna, zestalanie i unieruchamianie; </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c)</w:t>
      </w:r>
      <w:r w:rsidRPr="008E1614">
        <w:rPr>
          <w:rFonts w:eastAsia="Calibri"/>
          <w:noProof/>
          <w:szCs w:val="24"/>
          <w:lang w:eastAsia="en-US"/>
        </w:rPr>
        <w:tab/>
        <w:t>izolacja geohydrologiczna i ograniczanie rozprzestrzeniania;</w:t>
      </w:r>
    </w:p>
    <w:p w:rsidR="00524971" w:rsidRP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lastRenderedPageBreak/>
        <w:t>d)</w:t>
      </w:r>
      <w:r w:rsidRPr="008E1614">
        <w:rPr>
          <w:rFonts w:eastAsia="Calibri"/>
          <w:noProof/>
          <w:szCs w:val="24"/>
          <w:lang w:eastAsia="en-US"/>
        </w:rPr>
        <w:tab/>
        <w:t xml:space="preserve">fitostabilizacja; </w:t>
      </w:r>
    </w:p>
    <w:p w:rsidR="008E1614" w:rsidRDefault="00524971" w:rsidP="008E1614">
      <w:pPr>
        <w:widowControl/>
        <w:spacing w:before="120" w:after="120" w:line="360" w:lineRule="auto"/>
        <w:ind w:left="1984" w:hanging="567"/>
        <w:jc w:val="both"/>
        <w:rPr>
          <w:rFonts w:eastAsia="Calibri"/>
          <w:noProof/>
          <w:szCs w:val="24"/>
          <w:lang w:eastAsia="en-US"/>
        </w:rPr>
      </w:pPr>
      <w:r w:rsidRPr="008E1614">
        <w:rPr>
          <w:rFonts w:eastAsia="Calibri"/>
          <w:noProof/>
          <w:szCs w:val="24"/>
          <w:lang w:eastAsia="en-US"/>
        </w:rPr>
        <w:t>e)</w:t>
      </w:r>
      <w:r w:rsidRPr="008E1614">
        <w:rPr>
          <w:rFonts w:eastAsia="Calibri"/>
          <w:noProof/>
          <w:szCs w:val="24"/>
          <w:lang w:eastAsia="en-US"/>
        </w:rPr>
        <w:tab/>
        <w:t xml:space="preserve">kontrola i opieka poeksploatacyjna przy użyciu odwiertów monitorujących. </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2)</w:t>
      </w:r>
      <w:r w:rsidRPr="008E1614">
        <w:rPr>
          <w:rFonts w:eastAsia="Calibri"/>
          <w:noProof/>
          <w:szCs w:val="24"/>
          <w:lang w:eastAsia="en-US"/>
        </w:rPr>
        <w:tab/>
        <w:t>Środki zmniejszające ryzyko inne niż remediacja:</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a)</w:t>
      </w:r>
      <w:r w:rsidRPr="008E1614">
        <w:rPr>
          <w:rFonts w:eastAsia="Calibri"/>
          <w:noProof/>
          <w:szCs w:val="24"/>
          <w:lang w:eastAsia="en-US"/>
        </w:rPr>
        <w:tab/>
        <w:t xml:space="preserve">ograniczenie uprawy i konsumpcji upraw i warzyw; </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b)</w:t>
      </w:r>
      <w:r w:rsidRPr="008E1614">
        <w:rPr>
          <w:rFonts w:eastAsia="Calibri"/>
          <w:noProof/>
          <w:szCs w:val="24"/>
          <w:lang w:eastAsia="en-US"/>
        </w:rPr>
        <w:tab/>
        <w:t xml:space="preserve">ograniczenie spożycia jaj; </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c)</w:t>
      </w:r>
      <w:r w:rsidRPr="008E1614">
        <w:rPr>
          <w:rFonts w:eastAsia="Calibri"/>
          <w:noProof/>
          <w:szCs w:val="24"/>
          <w:lang w:eastAsia="en-US"/>
        </w:rPr>
        <w:tab/>
        <w:t>ograniczenie dostępu zwierząt domowych lub gospodarskich;</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d)</w:t>
      </w:r>
      <w:r w:rsidRPr="008E1614">
        <w:rPr>
          <w:rFonts w:eastAsia="Calibri"/>
          <w:noProof/>
          <w:szCs w:val="24"/>
          <w:lang w:eastAsia="en-US"/>
        </w:rPr>
        <w:tab/>
        <w:t>ograniczenie wydobycia lub wykorzystywania wód gruntowych do picia, higieny osobistej lub do celów przemysłowych;</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e)</w:t>
      </w:r>
      <w:r w:rsidRPr="008E1614">
        <w:rPr>
          <w:rFonts w:eastAsia="Calibri"/>
          <w:noProof/>
          <w:szCs w:val="24"/>
          <w:lang w:eastAsia="en-US"/>
        </w:rPr>
        <w:tab/>
        <w:t>ograniczenie rozbiórki, rozszczelniania lub budowy na danym terenie;</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f)</w:t>
      </w:r>
      <w:r w:rsidRPr="008E1614">
        <w:rPr>
          <w:rFonts w:eastAsia="Calibri"/>
          <w:noProof/>
          <w:szCs w:val="24"/>
          <w:lang w:eastAsia="en-US"/>
        </w:rPr>
        <w:tab/>
        <w:t>ograniczenie dostępu do danego terenu lub w jego sąsiedztwie (np. przy użyciu ogrodzenia);</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g)</w:t>
      </w:r>
      <w:r w:rsidRPr="008E1614">
        <w:rPr>
          <w:rFonts w:eastAsia="Calibri"/>
          <w:noProof/>
          <w:szCs w:val="24"/>
          <w:lang w:eastAsia="en-US"/>
        </w:rPr>
        <w:tab/>
        <w:t>ograniczenie użytkowania gruntów lub zmiany użytkowania gruntów;</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h)</w:t>
      </w:r>
      <w:r w:rsidRPr="008E1614">
        <w:rPr>
          <w:rFonts w:eastAsia="Calibri"/>
          <w:noProof/>
          <w:szCs w:val="24"/>
          <w:lang w:eastAsia="en-US"/>
        </w:rPr>
        <w:tab/>
        <w:t xml:space="preserve">ograniczenie kopania, wiercenia lub wydobycia; </w:t>
      </w:r>
    </w:p>
    <w:p w:rsidR="00524971" w:rsidRPr="008E1614" w:rsidRDefault="00524971" w:rsidP="008E1614">
      <w:pPr>
        <w:widowControl/>
        <w:spacing w:before="120" w:after="120" w:line="360" w:lineRule="auto"/>
        <w:ind w:left="1417" w:hanging="567"/>
        <w:jc w:val="both"/>
        <w:rPr>
          <w:rFonts w:eastAsia="Calibri"/>
          <w:noProof/>
          <w:szCs w:val="24"/>
          <w:lang w:eastAsia="en-US"/>
        </w:rPr>
      </w:pPr>
      <w:r w:rsidRPr="008E1614">
        <w:rPr>
          <w:rFonts w:eastAsia="Calibri"/>
          <w:noProof/>
          <w:szCs w:val="24"/>
          <w:lang w:eastAsia="en-US"/>
        </w:rPr>
        <w:t>i)</w:t>
      </w:r>
      <w:r w:rsidRPr="008E1614">
        <w:rPr>
          <w:rFonts w:eastAsia="Calibri"/>
          <w:noProof/>
          <w:szCs w:val="24"/>
          <w:lang w:eastAsia="en-US"/>
        </w:rPr>
        <w:tab/>
        <w:t>ograniczenie mające na celu uniknięcie kontaktu z glebą, pyłem lub powietrzem w pomieszczeniach oraz stosowanie środków ostrożności w celu ochrony zdrowia ludzi (np. maski oddechowe, rękawice, czyszczenie na mokro itp.).</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3)</w:t>
      </w:r>
      <w:r w:rsidRPr="008E1614">
        <w:rPr>
          <w:rFonts w:eastAsia="Calibri"/>
          <w:noProof/>
          <w:szCs w:val="24"/>
          <w:lang w:eastAsia="en-US"/>
        </w:rPr>
        <w:tab/>
        <w:t>Najlepsze dostępne techniki, o których mowa w dyrektywie 2010/75/UE.</w:t>
      </w:r>
    </w:p>
    <w:p w:rsid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4)</w:t>
      </w:r>
      <w:r w:rsidRPr="008E1614">
        <w:rPr>
          <w:rFonts w:eastAsia="Calibri"/>
          <w:noProof/>
          <w:szCs w:val="24"/>
          <w:lang w:eastAsia="en-US"/>
        </w:rPr>
        <w:tab/>
        <w:t>Środki wprowadzone przez właściwe organy i operatorów przemysłowych w następstwie poważnej awarii zgodnie z dyrektywą 2012/18/UE.</w:t>
      </w:r>
    </w:p>
    <w:p w:rsidR="00524971" w:rsidRPr="008E1614" w:rsidRDefault="00524971" w:rsidP="008E1614">
      <w:pPr>
        <w:spacing w:before="120" w:after="120"/>
        <w:rPr>
          <w:noProof/>
          <w:szCs w:val="24"/>
          <w:lang w:eastAsia="en-US"/>
        </w:rPr>
        <w:sectPr w:rsidR="00524971" w:rsidRPr="008E1614" w:rsidSect="00524971">
          <w:footnotePr>
            <w:numRestart w:val="eachSect"/>
          </w:footnotePr>
          <w:pgSz w:w="11907" w:h="16839"/>
          <w:pgMar w:top="1134" w:right="1417" w:bottom="1134" w:left="1417" w:header="709" w:footer="709" w:gutter="0"/>
          <w:cols w:space="720"/>
          <w:docGrid w:linePitch="360"/>
        </w:sectPr>
      </w:pPr>
    </w:p>
    <w:p w:rsidR="008E1614" w:rsidRDefault="008E1614" w:rsidP="008E1614">
      <w:pPr>
        <w:widowControl/>
        <w:spacing w:before="120" w:after="120" w:line="360" w:lineRule="auto"/>
        <w:jc w:val="center"/>
        <w:rPr>
          <w:rFonts w:eastAsia="Calibri"/>
          <w:noProof/>
          <w:szCs w:val="24"/>
          <w:lang w:eastAsia="en-US"/>
        </w:rPr>
      </w:pPr>
      <w:r>
        <w:rPr>
          <w:rFonts w:eastAsia="Calibri"/>
          <w:noProof/>
          <w:szCs w:val="24"/>
          <w:lang w:eastAsia="en-US"/>
        </w:rPr>
        <w:lastRenderedPageBreak/>
        <w:t xml:space="preserve">ZAŁĄCZNIK VI </w:t>
      </w:r>
      <w:r>
        <w:rPr>
          <w:rFonts w:eastAsia="Calibri"/>
          <w:noProof/>
          <w:szCs w:val="24"/>
          <w:lang w:eastAsia="en-US"/>
        </w:rPr>
        <w:br/>
      </w:r>
      <w:r w:rsidR="00524971" w:rsidRPr="008E1614">
        <w:rPr>
          <w:rFonts w:eastAsia="Calibri"/>
          <w:noProof/>
          <w:szCs w:val="24"/>
          <w:lang w:eastAsia="en-US"/>
        </w:rPr>
        <w:t>ETAPY I WYMOGI DOTYCZĄCE OCENY RYZYKA SPECYFICZNEGO DLA DANEGO TERENU</w:t>
      </w:r>
    </w:p>
    <w:p w:rsidR="00524971" w:rsidRPr="008E1614" w:rsidRDefault="00524971" w:rsidP="008E1614">
      <w:pPr>
        <w:spacing w:before="120" w:after="120" w:line="360" w:lineRule="auto"/>
        <w:ind w:left="851" w:hanging="851"/>
        <w:rPr>
          <w:noProof/>
          <w:szCs w:val="24"/>
          <w:lang w:eastAsia="en-US"/>
        </w:rPr>
      </w:pPr>
      <w:r w:rsidRPr="008E1614">
        <w:rPr>
          <w:noProof/>
          <w:szCs w:val="24"/>
          <w:lang w:eastAsia="en-US"/>
        </w:rPr>
        <w:t>1.</w:t>
      </w:r>
      <w:r w:rsidRPr="008E1614">
        <w:rPr>
          <w:noProof/>
          <w:szCs w:val="24"/>
          <w:lang w:eastAsia="en-US"/>
        </w:rPr>
        <w:tab/>
        <w:t>Charakterystyka zanieczyszczenia wymaga zidentyfikowania substancji zanieczyszczających obecnych na danym terenie i określenia ich źródła, stężenia, postaci chemicznej i rozmieszczenia w glebie i wodach gruntowych. Obecność i stężenie substancji zanieczyszczających określa się w drodze pobierania próbek i badania gleby.</w:t>
      </w:r>
    </w:p>
    <w:p w:rsidR="00524971" w:rsidRPr="008E1614" w:rsidRDefault="00524971" w:rsidP="008E1614">
      <w:pPr>
        <w:spacing w:before="120" w:after="120" w:line="360" w:lineRule="auto"/>
        <w:ind w:left="851" w:hanging="851"/>
        <w:rPr>
          <w:noProof/>
          <w:szCs w:val="24"/>
          <w:lang w:eastAsia="en-US"/>
        </w:rPr>
      </w:pPr>
      <w:r w:rsidRPr="008E1614">
        <w:rPr>
          <w:noProof/>
          <w:szCs w:val="24"/>
          <w:lang w:eastAsia="en-US"/>
        </w:rPr>
        <w:t>2.</w:t>
      </w:r>
      <w:r w:rsidRPr="008E1614">
        <w:rPr>
          <w:noProof/>
          <w:szCs w:val="24"/>
          <w:lang w:eastAsia="en-US"/>
        </w:rPr>
        <w:tab/>
        <w:t>Ocena narażenia służy wskazaniu drogi, którą substancje zanieczyszczające glebę mogą docierać do receptorów. Drogi narażenia mogą obejmować wdychanie, spożycie, kontakt ze skórą, wchłanianie przez rośliny, migrację do wód gruntowych lub inne sposoby. Informacje te łączy się z częstotliwością i czasem trwania narażenia oraz cechami receptora, takimi jak wiek, płeć i stan zdrowia, aby oszacować absorpcję substancji zanieczyszczającej. Powiązania źródło-droga-receptor są podsumowane w formie graficznej, schematycznej i uproszczonej: jako koncepcyjny model terenu.</w:t>
      </w:r>
    </w:p>
    <w:p w:rsidR="00524971" w:rsidRPr="008E1614" w:rsidRDefault="00524971" w:rsidP="008E1614">
      <w:pPr>
        <w:spacing w:before="120" w:after="120" w:line="360" w:lineRule="auto"/>
        <w:ind w:left="851" w:hanging="851"/>
        <w:rPr>
          <w:noProof/>
          <w:szCs w:val="24"/>
          <w:lang w:eastAsia="en-US"/>
        </w:rPr>
      </w:pPr>
      <w:r w:rsidRPr="008E1614">
        <w:rPr>
          <w:noProof/>
          <w:szCs w:val="24"/>
          <w:lang w:eastAsia="en-US"/>
        </w:rPr>
        <w:t>3.</w:t>
      </w:r>
      <w:r w:rsidRPr="008E1614">
        <w:rPr>
          <w:noProof/>
          <w:szCs w:val="24"/>
          <w:lang w:eastAsia="en-US"/>
        </w:rPr>
        <w:tab/>
        <w:t>Ocena toksyczności lub zagrożenia obejmuje ocenę potencjalnego wpływu substancji zanieczyszczających na zdrowie i środowisko na podstawie dawki i czasu trwania narażenia. W ocenie toksyczności lub zagrożenia uwzględnia się nieodłączną toksyczność substancji zanieczyszczających oraz podatność różnych populacji, takich jak zwierzęta, mikroorganizmy, rośliny, dzieci, kobiety ciężarne, osoby starsze itp. Informacje toksykologiczne wykorzystuje się do oszacowania dawek referencyjnych lub stężeń, które wykorzystuje się do charakterystyki ryzyka.</w:t>
      </w:r>
    </w:p>
    <w:p w:rsidR="008E1614" w:rsidRDefault="00524971" w:rsidP="008E1614">
      <w:pPr>
        <w:spacing w:before="120" w:after="120" w:line="360" w:lineRule="auto"/>
        <w:ind w:left="851" w:hanging="851"/>
        <w:rPr>
          <w:noProof/>
          <w:szCs w:val="24"/>
          <w:lang w:eastAsia="en-US"/>
        </w:rPr>
      </w:pPr>
      <w:r w:rsidRPr="008E1614">
        <w:rPr>
          <w:noProof/>
          <w:szCs w:val="24"/>
          <w:lang w:eastAsia="en-US"/>
        </w:rPr>
        <w:t>4.</w:t>
      </w:r>
      <w:r w:rsidRPr="008E1614">
        <w:rPr>
          <w:noProof/>
          <w:szCs w:val="24"/>
          <w:lang w:eastAsia="en-US"/>
        </w:rPr>
        <w:tab/>
        <w:t>Charakterystyka ryzyka wymaga zintegrowania informacji z poprzednich etapów w celu oszacowania skali i prawdopodobieństwa wystąpienia niekorzystnego wpływu zanieczyszczonego terenu na zdrowie ludzi i środowisko, w tym wskutek migracji zanieczyszczenia do innych mediów środowiskowych. Charakterystyka ryzyka pomaga w ustaleniu priorytetów w zakresie potrzeby wprowadzenia środków zmniejszających ryzyko i środków remediacji. Może ona również pomóc w określeniu celów remediacji lub zarządzania w odniesieniu do danego terenu, np. aby osiągnąć maksymalne dopuszczalne limity lub wartości przesiewowe oparte na analizie ryzyka specyficznego dla danego terenu.</w:t>
      </w:r>
    </w:p>
    <w:p w:rsidR="00524971" w:rsidRPr="008E1614" w:rsidRDefault="00524971" w:rsidP="008E1614">
      <w:pPr>
        <w:spacing w:before="120" w:after="120"/>
        <w:rPr>
          <w:noProof/>
          <w:szCs w:val="24"/>
          <w:lang w:eastAsia="en-US"/>
        </w:rPr>
        <w:sectPr w:rsidR="00524971" w:rsidRPr="008E1614" w:rsidSect="00524971">
          <w:footnotePr>
            <w:numRestart w:val="eachSect"/>
          </w:footnotePr>
          <w:pgSz w:w="11907" w:h="16839"/>
          <w:pgMar w:top="1134" w:right="1417" w:bottom="1134" w:left="1417" w:header="709" w:footer="709" w:gutter="0"/>
          <w:cols w:space="720"/>
          <w:docGrid w:linePitch="360"/>
        </w:sectPr>
      </w:pPr>
    </w:p>
    <w:p w:rsidR="008E1614" w:rsidRDefault="008E1614" w:rsidP="008E1614">
      <w:pPr>
        <w:widowControl/>
        <w:spacing w:before="120" w:after="120" w:line="360" w:lineRule="auto"/>
        <w:jc w:val="center"/>
        <w:rPr>
          <w:rFonts w:eastAsia="Calibri"/>
          <w:noProof/>
          <w:szCs w:val="24"/>
          <w:lang w:eastAsia="en-US"/>
        </w:rPr>
      </w:pPr>
      <w:r>
        <w:rPr>
          <w:rFonts w:eastAsia="Calibri"/>
          <w:noProof/>
          <w:szCs w:val="24"/>
          <w:lang w:eastAsia="en-US"/>
        </w:rPr>
        <w:lastRenderedPageBreak/>
        <w:t xml:space="preserve">ZAŁĄCZNIK VII </w:t>
      </w:r>
      <w:r>
        <w:rPr>
          <w:rFonts w:eastAsia="Calibri"/>
          <w:noProof/>
          <w:szCs w:val="24"/>
          <w:lang w:eastAsia="en-US"/>
        </w:rPr>
        <w:br/>
      </w:r>
      <w:r w:rsidR="00524971" w:rsidRPr="008E1614">
        <w:rPr>
          <w:rFonts w:eastAsia="Calibri"/>
          <w:noProof/>
          <w:szCs w:val="24"/>
          <w:lang w:eastAsia="en-US"/>
        </w:rPr>
        <w:t xml:space="preserve">ZAWARTOŚĆ REJESTRU POTENCJALNIE ZANIECZYSZCZONYCH I ZANIECZYSZCZONYCH TERENÓW </w:t>
      </w:r>
    </w:p>
    <w:p w:rsidR="00524971" w:rsidRPr="008E1614" w:rsidRDefault="00524971" w:rsidP="008E1614">
      <w:pPr>
        <w:spacing w:before="120" w:after="120" w:line="360" w:lineRule="auto"/>
        <w:rPr>
          <w:noProof/>
          <w:szCs w:val="24"/>
          <w:lang w:eastAsia="en-US"/>
        </w:rPr>
      </w:pPr>
      <w:r w:rsidRPr="008E1614">
        <w:rPr>
          <w:noProof/>
          <w:szCs w:val="24"/>
          <w:lang w:eastAsia="en-US"/>
        </w:rPr>
        <w:t>Projekt i prezentacja danych w rejestrze umożliwiają społeczeństwu śledzenie postępów w zarządzaniu potencjalnie zanieczyszczonymi terenami i zanieczyszczonymi terenami. Rejestr zawiera i przedstawia następujące informacje na poziomie terenu w odniesieniu do znanych potencjalnie zanieczyszczonych terenów, zanieczyszczonych terenów, zanieczyszczonych terenów wymagających dalszych działań oraz zanieczyszczonych terenów, na których podjęto lub podejmuje się działania:</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a)</w:t>
      </w:r>
      <w:r w:rsidRPr="008E1614">
        <w:rPr>
          <w:rFonts w:eastAsia="Calibri"/>
          <w:noProof/>
          <w:szCs w:val="24"/>
          <w:lang w:eastAsia="en-US"/>
        </w:rPr>
        <w:tab/>
        <w:t xml:space="preserve">współrzędne, adres lub działki katastralne danego terenu zgodnie z dyrektywami (UE) 2019/1024 i 2007/2/WE; </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b)</w:t>
      </w:r>
      <w:r w:rsidRPr="008E1614">
        <w:rPr>
          <w:rFonts w:eastAsia="Calibri"/>
          <w:noProof/>
          <w:szCs w:val="24"/>
          <w:lang w:eastAsia="en-US"/>
        </w:rPr>
        <w:tab/>
        <w:t xml:space="preserve">rok wprowadzenia do rejestru; </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c)</w:t>
      </w:r>
      <w:r w:rsidRPr="008E1614">
        <w:rPr>
          <w:rFonts w:eastAsia="Calibri"/>
          <w:noProof/>
          <w:szCs w:val="24"/>
          <w:lang w:eastAsia="en-US"/>
        </w:rPr>
        <w:tab/>
        <w:t xml:space="preserve">działalność stwarzająca ryzyko zanieczyszczenia lub potencjalnego zanieczyszczenia, która była lub jest prowadzona na danym terenie; </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d)</w:t>
      </w:r>
      <w:r w:rsidRPr="008E1614">
        <w:rPr>
          <w:rFonts w:eastAsia="Calibri"/>
          <w:noProof/>
          <w:szCs w:val="24"/>
          <w:lang w:eastAsia="en-US"/>
        </w:rPr>
        <w:tab/>
        <w:t>status zarządzania danym terenem;</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e)</w:t>
      </w:r>
      <w:r w:rsidRPr="008E1614">
        <w:rPr>
          <w:rFonts w:eastAsia="Calibri"/>
          <w:noProof/>
          <w:szCs w:val="24"/>
          <w:lang w:eastAsia="en-US"/>
        </w:rPr>
        <w:tab/>
        <w:t>wnioski dotyczące obecności lub braku zanieczyszczenia, jego stężenia i rodzaju oraz ryzyka zanieczyszczenia (lub pozostałego zanieczyszczenia po remediacji), jeżeli informacje na temat tych elementów są już dostępne na podstawie badań gleby i oceny ryzyka, o których mowa w art. 14 i 15;</w:t>
      </w:r>
    </w:p>
    <w:p w:rsid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f)</w:t>
      </w:r>
      <w:r w:rsidRPr="008E1614">
        <w:rPr>
          <w:rFonts w:eastAsia="Calibri"/>
          <w:noProof/>
          <w:szCs w:val="24"/>
          <w:lang w:eastAsia="en-US"/>
        </w:rPr>
        <w:tab/>
        <w:t>kolejne wymagane działania i etapy zarządzania, o których mowa w art. 14 i 15, w tym ich harmonogr</w:t>
      </w:r>
      <w:r w:rsidR="00134EB8">
        <w:rPr>
          <w:rFonts w:eastAsia="Calibri"/>
          <w:noProof/>
          <w:szCs w:val="24"/>
          <w:lang w:eastAsia="en-US"/>
        </w:rPr>
        <w:t>Popr.</w:t>
      </w:r>
    </w:p>
    <w:p w:rsidR="00524971" w:rsidRPr="008E1614" w:rsidRDefault="00524971" w:rsidP="008E1614">
      <w:pPr>
        <w:spacing w:before="120" w:after="120" w:line="360" w:lineRule="auto"/>
        <w:rPr>
          <w:noProof/>
          <w:szCs w:val="24"/>
          <w:lang w:eastAsia="en-US"/>
        </w:rPr>
      </w:pPr>
      <w:r w:rsidRPr="008E1614">
        <w:rPr>
          <w:noProof/>
          <w:szCs w:val="24"/>
          <w:lang w:eastAsia="en-US"/>
        </w:rPr>
        <w:t xml:space="preserve">Rejestr może również zawierać następujące informacje na poziomie terenu w odniesieniu do znanych potencjalnie zanieczyszczonych terenów, zanieczyszczonych terenów, zanieczyszczonych terenów wymagających dalszych działań oraz zanieczyszczonych terenów, na których podjęto lub podejmuje się działania, jeżeli informacje te są dostępne: </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a)</w:t>
      </w:r>
      <w:r w:rsidRPr="008E1614">
        <w:rPr>
          <w:rFonts w:eastAsia="Calibri"/>
          <w:noProof/>
          <w:szCs w:val="24"/>
          <w:lang w:eastAsia="en-US"/>
        </w:rPr>
        <w:tab/>
        <w:t>informacje na temat pozwoleń środowiskowych wydanych w odniesieniu do danego terenu, w tym rok rozpoczęcia i zakończenia działalności;</w:t>
      </w:r>
    </w:p>
    <w:p w:rsidR="00524971" w:rsidRPr="008E1614" w:rsidRDefault="00524971" w:rsidP="008E1614">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b)</w:t>
      </w:r>
      <w:r w:rsidRPr="008E1614">
        <w:rPr>
          <w:rFonts w:eastAsia="Calibri"/>
          <w:noProof/>
          <w:szCs w:val="24"/>
          <w:lang w:eastAsia="en-US"/>
        </w:rPr>
        <w:tab/>
        <w:t>obecne i planowane użytkowanie gruntów;</w:t>
      </w:r>
    </w:p>
    <w:p w:rsidR="00E365E1" w:rsidRPr="00992D11" w:rsidRDefault="00524971" w:rsidP="00992D11">
      <w:pPr>
        <w:widowControl/>
        <w:spacing w:before="120" w:after="120" w:line="360" w:lineRule="auto"/>
        <w:ind w:left="850" w:hanging="850"/>
        <w:jc w:val="both"/>
        <w:rPr>
          <w:rFonts w:eastAsia="Calibri"/>
          <w:noProof/>
          <w:szCs w:val="24"/>
          <w:lang w:eastAsia="en-US"/>
        </w:rPr>
      </w:pPr>
      <w:r w:rsidRPr="008E1614">
        <w:rPr>
          <w:rFonts w:eastAsia="Calibri"/>
          <w:noProof/>
          <w:szCs w:val="24"/>
          <w:lang w:eastAsia="en-US"/>
        </w:rPr>
        <w:t>c)</w:t>
      </w:r>
      <w:r w:rsidRPr="008E1614">
        <w:rPr>
          <w:rFonts w:eastAsia="Calibri"/>
          <w:noProof/>
          <w:szCs w:val="24"/>
          <w:lang w:eastAsia="en-US"/>
        </w:rPr>
        <w:tab/>
        <w:t xml:space="preserve">wyniki badań gleby i sprawozdań dotyczących remediacji, takie jak stężenia i linie warstwicowe zanieczyszczenia, koncepcyjny model terenu, metodyka oceny ryzyka, </w:t>
      </w:r>
      <w:r w:rsidRPr="008E1614">
        <w:rPr>
          <w:rFonts w:eastAsia="Calibri"/>
          <w:noProof/>
          <w:szCs w:val="24"/>
          <w:lang w:eastAsia="en-US"/>
        </w:rPr>
        <w:lastRenderedPageBreak/>
        <w:t>zastosowane lub planowane techniki, skuteczność i oszacowanie kosztów środków zmniejszających ryzyko.</w:t>
      </w:r>
    </w:p>
    <w:sectPr w:rsidR="00E365E1" w:rsidRPr="00992D11" w:rsidSect="004B277A">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B3E" w:rsidRPr="004B277A" w:rsidRDefault="00863B3E">
      <w:r w:rsidRPr="004B277A">
        <w:separator/>
      </w:r>
    </w:p>
  </w:endnote>
  <w:endnote w:type="continuationSeparator" w:id="0">
    <w:p w:rsidR="00863B3E" w:rsidRPr="004B277A" w:rsidRDefault="00863B3E">
      <w:r w:rsidRPr="004B27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B3E" w:rsidRDefault="00863B3E">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B3E" w:rsidRPr="00524971" w:rsidRDefault="00863B3E" w:rsidP="005249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B3E" w:rsidRDefault="00863B3E">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B3E" w:rsidRPr="00524971" w:rsidRDefault="00863B3E" w:rsidP="005249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B3E" w:rsidRPr="000D570E" w:rsidRDefault="00863B3E" w:rsidP="005249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B3E" w:rsidRPr="004B277A" w:rsidRDefault="00863B3E">
      <w:r w:rsidRPr="004B277A">
        <w:separator/>
      </w:r>
    </w:p>
  </w:footnote>
  <w:footnote w:type="continuationSeparator" w:id="0">
    <w:p w:rsidR="00863B3E" w:rsidRPr="004B277A" w:rsidRDefault="00863B3E">
      <w:r w:rsidRPr="004B277A">
        <w:continuationSeparator/>
      </w:r>
    </w:p>
  </w:footnote>
  <w:footnote w:id="1">
    <w:p w:rsidR="00863B3E" w:rsidRPr="00741F29" w:rsidRDefault="00863B3E" w:rsidP="004B277A">
      <w:pPr>
        <w:pStyle w:val="FootnoteText"/>
        <w:ind w:left="567" w:hanging="567"/>
        <w:rPr>
          <w:sz w:val="24"/>
          <w:szCs w:val="24"/>
          <w:lang w:val="fi-FI"/>
        </w:rPr>
      </w:pPr>
      <w:r w:rsidRPr="004B277A">
        <w:rPr>
          <w:rStyle w:val="FootnoteReference"/>
          <w:sz w:val="24"/>
          <w:szCs w:val="24"/>
          <w:lang w:val="pl-PL"/>
        </w:rPr>
        <w:footnoteRef/>
      </w:r>
      <w:r w:rsidRPr="00741F29">
        <w:rPr>
          <w:sz w:val="24"/>
          <w:lang w:val="fi-FI"/>
        </w:rPr>
        <w:t xml:space="preserve"> </w:t>
      </w:r>
      <w:r w:rsidRPr="00741F29">
        <w:rPr>
          <w:sz w:val="24"/>
          <w:lang w:val="fi-FI"/>
        </w:rPr>
        <w:tab/>
      </w:r>
      <w:proofErr w:type="spellStart"/>
      <w:r w:rsidRPr="00741F29">
        <w:rPr>
          <w:sz w:val="24"/>
          <w:lang w:val="fi-FI"/>
        </w:rPr>
        <w:t>Dz.U</w:t>
      </w:r>
      <w:proofErr w:type="spellEnd"/>
      <w:r w:rsidRPr="00741F29">
        <w:rPr>
          <w:sz w:val="24"/>
          <w:lang w:val="fi-FI"/>
        </w:rPr>
        <w:t>. C, C/2024/887, 6.2.2024, ELI: http://data.europa.eu/eli/C/2024/887/oj.</w:t>
      </w:r>
    </w:p>
  </w:footnote>
  <w:footnote w:id="2">
    <w:p w:rsidR="00863B3E" w:rsidRPr="000D0EDB" w:rsidRDefault="00863B3E" w:rsidP="00524971">
      <w:pPr>
        <w:pStyle w:val="FootnoteTextForceStyle"/>
        <w:rPr>
          <w:lang w:val="pl-PL"/>
        </w:rPr>
      </w:pPr>
      <w:r>
        <w:rPr>
          <w:vertAlign w:val="superscript"/>
        </w:rPr>
        <w:footnoteRef/>
      </w:r>
      <w:r w:rsidRPr="000D0EDB">
        <w:rPr>
          <w:lang w:val="pl-PL"/>
        </w:rPr>
        <w:tab/>
        <w:t>Dz.U. C […] z […], s. […].</w:t>
      </w:r>
    </w:p>
  </w:footnote>
  <w:footnote w:id="3">
    <w:p w:rsidR="00863B3E" w:rsidRPr="000D0EDB" w:rsidRDefault="00863B3E" w:rsidP="00524971">
      <w:pPr>
        <w:pStyle w:val="FootnoteTextForceStyle"/>
        <w:rPr>
          <w:lang w:val="pl-PL"/>
        </w:rPr>
      </w:pPr>
      <w:r>
        <w:rPr>
          <w:vertAlign w:val="superscript"/>
        </w:rPr>
        <w:footnoteRef/>
      </w:r>
      <w:r w:rsidRPr="000D0EDB">
        <w:rPr>
          <w:lang w:val="pl-PL"/>
        </w:rPr>
        <w:tab/>
        <w:t>Dz.U. C […] z […], s. […].</w:t>
      </w:r>
    </w:p>
  </w:footnote>
  <w:footnote w:id="4">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do Parlamentu Europejskiego, Rady Europejskiej, Rady, Europejskiego Komitetu Ekonomiczno-Społecznego i Komitetu Regionów „Europejski Zielony Ład”, COM(2019) 640 </w:t>
      </w:r>
      <w:proofErr w:type="spellStart"/>
      <w:r w:rsidRPr="000D0EDB">
        <w:rPr>
          <w:lang w:val="pl-PL"/>
        </w:rPr>
        <w:t>final</w:t>
      </w:r>
      <w:proofErr w:type="spellEnd"/>
      <w:r w:rsidRPr="000D0EDB">
        <w:rPr>
          <w:lang w:val="pl-PL"/>
        </w:rPr>
        <w:t>.</w:t>
      </w:r>
    </w:p>
  </w:footnote>
  <w:footnote w:id="5">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do Parlamentu Europejskiego, Rady, Europejskiego Komitetu Ekonomiczno-Społecznego i Komitetu Regionów „Unijna strategia na rzecz bioróżnorodności 2030 – Przywracanie przyrody do naszego życia”, COM(2020) 380 </w:t>
      </w:r>
      <w:proofErr w:type="spellStart"/>
      <w:r w:rsidRPr="000D0EDB">
        <w:rPr>
          <w:lang w:val="pl-PL"/>
        </w:rPr>
        <w:t>final</w:t>
      </w:r>
      <w:proofErr w:type="spellEnd"/>
      <w:r w:rsidRPr="000D0EDB">
        <w:rPr>
          <w:lang w:val="pl-PL"/>
        </w:rPr>
        <w:t>.</w:t>
      </w:r>
    </w:p>
  </w:footnote>
  <w:footnote w:id="6">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do Parlamentu Europejskiego, Rady, Europejskiego Komitetu Ekonomiczno-Społecznego i Komitetu Regionów „Strategia »Od pola do stołu« na rzecz sprawiedliwego, zdrowego i przyjaznego dla środowiska systemu żywnościowego”, COM(2020) 381 </w:t>
      </w:r>
      <w:proofErr w:type="spellStart"/>
      <w:r w:rsidRPr="000D0EDB">
        <w:rPr>
          <w:lang w:val="pl-PL"/>
        </w:rPr>
        <w:t>final</w:t>
      </w:r>
      <w:proofErr w:type="spellEnd"/>
      <w:r w:rsidRPr="000D0EDB">
        <w:rPr>
          <w:lang w:val="pl-PL"/>
        </w:rPr>
        <w:t>.</w:t>
      </w:r>
    </w:p>
  </w:footnote>
  <w:footnote w:id="7">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do Parlamentu Europejskiego, Rady, Europejskiego Komitetu Ekonomiczno-Społecznego i Komitetu Regionów „Droga do zdrowej planety dla wszystkich – Plan działania UE na rzecz eliminacji zanieczyszczeń wody, powietrza i gleby”, COM(2021) 400 </w:t>
      </w:r>
      <w:proofErr w:type="spellStart"/>
      <w:r w:rsidRPr="000D0EDB">
        <w:rPr>
          <w:lang w:val="pl-PL"/>
        </w:rPr>
        <w:t>final</w:t>
      </w:r>
      <w:proofErr w:type="spellEnd"/>
      <w:r w:rsidRPr="000D0EDB">
        <w:rPr>
          <w:lang w:val="pl-PL"/>
        </w:rPr>
        <w:t>.</w:t>
      </w:r>
    </w:p>
  </w:footnote>
  <w:footnote w:id="8">
    <w:p w:rsidR="00863B3E" w:rsidRPr="000D0EDB" w:rsidRDefault="00863B3E" w:rsidP="00524971">
      <w:pPr>
        <w:pStyle w:val="FootnoteTextForceStyle"/>
        <w:rPr>
          <w:lang w:val="pl-PL"/>
        </w:rPr>
      </w:pPr>
      <w:r>
        <w:rPr>
          <w:vertAlign w:val="superscript"/>
        </w:rPr>
        <w:footnoteRef/>
      </w:r>
      <w:r w:rsidRPr="000D0EDB">
        <w:rPr>
          <w:lang w:val="pl-PL"/>
        </w:rPr>
        <w:tab/>
        <w:t>Komunikat Komisji do Parlamentu Europejskiego, Rady, Europejskiego Komitetu Ekonomiczno-Społecznego i Komitetu Regionów „Budując Europę odporną na zmianę klimatu – nowa Strategia w zakresie przystosowania do zmiany klimatu”, COM</w:t>
      </w:r>
      <w:proofErr w:type="gramStart"/>
      <w:r w:rsidRPr="000D0EDB">
        <w:rPr>
          <w:lang w:val="pl-PL"/>
        </w:rPr>
        <w:t xml:space="preserve">(2021)82 </w:t>
      </w:r>
      <w:proofErr w:type="spellStart"/>
      <w:r w:rsidRPr="000D0EDB">
        <w:rPr>
          <w:lang w:val="pl-PL"/>
        </w:rPr>
        <w:t>final</w:t>
      </w:r>
      <w:proofErr w:type="spellEnd"/>
      <w:proofErr w:type="gramEnd"/>
      <w:r w:rsidRPr="000D0EDB">
        <w:rPr>
          <w:lang w:val="pl-PL"/>
        </w:rPr>
        <w:t>.</w:t>
      </w:r>
    </w:p>
  </w:footnote>
  <w:footnote w:id="9">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do Parlamentu Europejskiego, Rady, Europejskiego Komitetu Ekonomiczno-Społecznego i Komitetu Regionów „Strategia UE na rzecz ochrony gleb 2030 – Korzyści ze zdrowych gleb dla ludzi, żywności, przyrody i klimatu”, COM(2021) 699 </w:t>
      </w:r>
      <w:proofErr w:type="spellStart"/>
      <w:r w:rsidRPr="000D0EDB">
        <w:rPr>
          <w:lang w:val="pl-PL"/>
        </w:rPr>
        <w:t>final</w:t>
      </w:r>
      <w:proofErr w:type="spellEnd"/>
      <w:r w:rsidRPr="000D0EDB">
        <w:rPr>
          <w:lang w:val="pl-PL"/>
        </w:rPr>
        <w:t>.</w:t>
      </w:r>
    </w:p>
  </w:footnote>
  <w:footnote w:id="10">
    <w:p w:rsidR="00863B3E" w:rsidRPr="000D0EDB" w:rsidRDefault="00863B3E" w:rsidP="00524971">
      <w:pPr>
        <w:pStyle w:val="FootnoteTextForceStyle"/>
        <w:rPr>
          <w:lang w:val="pl-PL"/>
        </w:rPr>
      </w:pPr>
      <w:r>
        <w:rPr>
          <w:vertAlign w:val="superscript"/>
        </w:rPr>
        <w:footnoteRef/>
      </w:r>
      <w:r w:rsidRPr="000D0EDB">
        <w:rPr>
          <w:lang w:val="pl-PL"/>
        </w:rPr>
        <w:tab/>
        <w:t>https</w:t>
      </w:r>
      <w:proofErr w:type="gramStart"/>
      <w:r w:rsidRPr="000D0EDB">
        <w:rPr>
          <w:lang w:val="pl-PL"/>
        </w:rPr>
        <w:t>://sdgs</w:t>
      </w:r>
      <w:proofErr w:type="gramEnd"/>
      <w:r w:rsidRPr="000D0EDB">
        <w:rPr>
          <w:lang w:val="pl-PL"/>
        </w:rPr>
        <w:t>.</w:t>
      </w:r>
      <w:proofErr w:type="gramStart"/>
      <w:r w:rsidRPr="000D0EDB">
        <w:rPr>
          <w:lang w:val="pl-PL"/>
        </w:rPr>
        <w:t>un</w:t>
      </w:r>
      <w:proofErr w:type="gramEnd"/>
      <w:r w:rsidRPr="000D0EDB">
        <w:rPr>
          <w:lang w:val="pl-PL"/>
        </w:rPr>
        <w:t>.</w:t>
      </w:r>
      <w:proofErr w:type="gramStart"/>
      <w:r w:rsidRPr="000D0EDB">
        <w:rPr>
          <w:lang w:val="pl-PL"/>
        </w:rPr>
        <w:t>org</w:t>
      </w:r>
      <w:proofErr w:type="gramEnd"/>
      <w:r w:rsidRPr="000D0EDB">
        <w:rPr>
          <w:lang w:val="pl-PL"/>
        </w:rPr>
        <w:t>/goals</w:t>
      </w:r>
    </w:p>
  </w:footnote>
  <w:footnote w:id="11">
    <w:p w:rsidR="00863B3E" w:rsidRPr="000D0EDB" w:rsidRDefault="00863B3E" w:rsidP="00524971">
      <w:pPr>
        <w:pStyle w:val="FootnoteTextForceStyle"/>
        <w:rPr>
          <w:lang w:val="pl-PL"/>
        </w:rPr>
      </w:pPr>
      <w:r>
        <w:rPr>
          <w:vertAlign w:val="superscript"/>
        </w:rPr>
        <w:footnoteRef/>
      </w:r>
      <w:r w:rsidRPr="000D0EDB">
        <w:rPr>
          <w:lang w:val="pl-PL"/>
        </w:rPr>
        <w:tab/>
        <w:t xml:space="preserve">Decyzja Rady z dnia 25 października 1993 r. dotycząca zawarcia Konwencji o różnorodności biologicznej (93/626/EWG) (Dz.U. L 309 z 13.12.1993, </w:t>
      </w:r>
      <w:proofErr w:type="gramStart"/>
      <w:r w:rsidRPr="000D0EDB">
        <w:rPr>
          <w:lang w:val="pl-PL"/>
        </w:rPr>
        <w:t>s</w:t>
      </w:r>
      <w:proofErr w:type="gramEnd"/>
      <w:r w:rsidRPr="000D0EDB">
        <w:rPr>
          <w:lang w:val="pl-PL"/>
        </w:rPr>
        <w:t>. 1).</w:t>
      </w:r>
    </w:p>
  </w:footnote>
  <w:footnote w:id="12">
    <w:p w:rsidR="00863B3E" w:rsidRPr="000D0EDB" w:rsidRDefault="00863B3E" w:rsidP="00524971">
      <w:pPr>
        <w:pStyle w:val="FootnoteTextForceStyle"/>
        <w:rPr>
          <w:lang w:val="pl-PL"/>
        </w:rPr>
      </w:pPr>
      <w:r>
        <w:rPr>
          <w:vertAlign w:val="superscript"/>
        </w:rPr>
        <w:footnoteRef/>
      </w:r>
      <w:r w:rsidRPr="000D0EDB">
        <w:rPr>
          <w:lang w:val="pl-PL"/>
        </w:rPr>
        <w:tab/>
        <w:t>Decyzja przyjęta przez Konferencję Stron Konwencji o różnorodności biologicznej w dniu 19 grudnia 2022 r., 15/4. Globalne ramy różnorodności biologicznej na okres po 2020 roku.</w:t>
      </w:r>
    </w:p>
  </w:footnote>
  <w:footnote w:id="13">
    <w:p w:rsidR="00863B3E" w:rsidRPr="000D0EDB" w:rsidRDefault="00863B3E" w:rsidP="00524971">
      <w:pPr>
        <w:pStyle w:val="FootnoteTextForceStyle"/>
        <w:rPr>
          <w:lang w:val="pl-PL"/>
        </w:rPr>
      </w:pPr>
      <w:r>
        <w:rPr>
          <w:vertAlign w:val="superscript"/>
        </w:rPr>
        <w:footnoteRef/>
      </w:r>
      <w:r w:rsidRPr="000D0EDB">
        <w:rPr>
          <w:lang w:val="pl-PL"/>
        </w:rPr>
        <w:tab/>
        <w:t xml:space="preserve">Decyzja Rady z dnia 9 marca 1998 r. dotycząca zawarcia, w imieniu Wspólnoty Europejskiej, Konwencji Narodów Zjednoczonych w sprawie walki z pustynnieniem w krajach poważnie dotkniętych suszą i/lub pustynnieniem, zwłaszcza w Afryce (Dz.U. L 83 z 19.3.1998, </w:t>
      </w:r>
      <w:proofErr w:type="gramStart"/>
      <w:r w:rsidRPr="000D0EDB">
        <w:rPr>
          <w:lang w:val="pl-PL"/>
        </w:rPr>
        <w:t>s</w:t>
      </w:r>
      <w:proofErr w:type="gramEnd"/>
      <w:r w:rsidRPr="000D0EDB">
        <w:rPr>
          <w:lang w:val="pl-PL"/>
        </w:rPr>
        <w:t>. 1).</w:t>
      </w:r>
    </w:p>
  </w:footnote>
  <w:footnote w:id="14">
    <w:p w:rsidR="00863B3E" w:rsidRPr="000D0EDB" w:rsidRDefault="00863B3E" w:rsidP="00524971">
      <w:pPr>
        <w:pStyle w:val="FootnoteTextForceStyle"/>
        <w:rPr>
          <w:lang w:val="pl-PL"/>
        </w:rPr>
      </w:pPr>
      <w:r>
        <w:rPr>
          <w:vertAlign w:val="superscript"/>
        </w:rPr>
        <w:footnoteRef/>
      </w:r>
      <w:r w:rsidRPr="000D0EDB">
        <w:rPr>
          <w:lang w:val="pl-PL"/>
        </w:rPr>
        <w:tab/>
        <w:t>Bułgaria, Chorwacja, Cypr, Grecja, Hiszpania, Łotwa, Malta, Portugalia, Rumunia, Słowacja, Słowenia, Węgry i Włochy.</w:t>
      </w:r>
    </w:p>
  </w:footnote>
  <w:footnote w:id="15">
    <w:p w:rsidR="00863B3E" w:rsidRPr="000D0EDB" w:rsidRDefault="00863B3E" w:rsidP="00524971">
      <w:pPr>
        <w:pStyle w:val="FootnoteTextForceStyle"/>
        <w:rPr>
          <w:lang w:val="pl-PL"/>
        </w:rPr>
      </w:pPr>
      <w:r>
        <w:rPr>
          <w:vertAlign w:val="superscript"/>
        </w:rPr>
        <w:footnoteRef/>
      </w:r>
      <w:r w:rsidRPr="000D0EDB">
        <w:rPr>
          <w:lang w:val="pl-PL"/>
        </w:rPr>
        <w:tab/>
        <w:t>Rezolucja Parlamentu Europejskiego z dnia 28 kwietnia 2021 r. w sprawie ochrony gleb (2021/2548(RSP)).</w:t>
      </w:r>
    </w:p>
  </w:footnote>
  <w:footnote w:id="16">
    <w:p w:rsidR="00863B3E" w:rsidRPr="000D0EDB" w:rsidRDefault="00863B3E" w:rsidP="00524971">
      <w:pPr>
        <w:pStyle w:val="FootnoteTextForceStyle"/>
        <w:rPr>
          <w:lang w:val="pl-PL"/>
        </w:rPr>
      </w:pPr>
      <w:r>
        <w:rPr>
          <w:vertAlign w:val="superscript"/>
        </w:rPr>
        <w:footnoteRef/>
      </w:r>
      <w:r w:rsidRPr="000D0EDB">
        <w:rPr>
          <w:lang w:val="pl-PL"/>
        </w:rPr>
        <w:tab/>
        <w:t>Konkluzje Rady pt. „Różnorodność biologiczna – potrzeba podjęcia pilnych działań”, 12210/20.</w:t>
      </w:r>
    </w:p>
  </w:footnote>
  <w:footnote w:id="17">
    <w:p w:rsidR="00863B3E" w:rsidRPr="000D0EDB" w:rsidRDefault="00863B3E" w:rsidP="00524971">
      <w:pPr>
        <w:pStyle w:val="FootnoteTextForceStyle"/>
        <w:rPr>
          <w:lang w:val="pl-PL"/>
        </w:rPr>
      </w:pPr>
      <w:r>
        <w:rPr>
          <w:vertAlign w:val="superscript"/>
        </w:rPr>
        <w:footnoteRef/>
      </w:r>
      <w:r w:rsidRPr="000D0EDB">
        <w:rPr>
          <w:lang w:val="pl-PL"/>
        </w:rPr>
        <w:tab/>
        <w:t xml:space="preserve">Rozporządzenie Parlamentu Europejskiego i Rady (UE) 2021/1119 z dnia 30 czerwca 2021 r. w sprawie ustanowienia ram na potrzeby osiągnięcia neutralności klimatycznej i zmiany rozporządzeń (WE) nr 401/2009 i (UE) 2018/1999 (Europejskie prawo o klimacie) (Dz.U. L 243 z 9.7.2021, </w:t>
      </w:r>
      <w:proofErr w:type="gramStart"/>
      <w:r w:rsidRPr="000D0EDB">
        <w:rPr>
          <w:lang w:val="pl-PL"/>
        </w:rPr>
        <w:t>s</w:t>
      </w:r>
      <w:proofErr w:type="gramEnd"/>
      <w:r w:rsidRPr="000D0EDB">
        <w:rPr>
          <w:lang w:val="pl-PL"/>
        </w:rPr>
        <w:t>. 1).</w:t>
      </w:r>
    </w:p>
  </w:footnote>
  <w:footnote w:id="18">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Europejskiej do Parlamentu Europejskiego, Rady, Europejskiego Komitetu Ekonomiczno-Społecznego i Komitetu Regionów „Zrównoważony obieg węgla”, COM(2021) 800 </w:t>
      </w:r>
      <w:proofErr w:type="spellStart"/>
      <w:r w:rsidRPr="000D0EDB">
        <w:rPr>
          <w:lang w:val="pl-PL"/>
        </w:rPr>
        <w:t>final</w:t>
      </w:r>
      <w:proofErr w:type="spellEnd"/>
      <w:r w:rsidRPr="000D0EDB">
        <w:rPr>
          <w:lang w:val="pl-PL"/>
        </w:rPr>
        <w:t>.</w:t>
      </w:r>
    </w:p>
  </w:footnote>
  <w:footnote w:id="19">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Europejskiej do Parlamentu Europejskiego, Rady, Europejskiego Komitetu Ekonomiczno-Społecznego i Komitetu Regionów „Budując Europę odporną na zmianę klimatu – nowa Strategia w zakresie przystosowania do zmiany klimatu”, COM(2021) 82 </w:t>
      </w:r>
      <w:proofErr w:type="spellStart"/>
      <w:r w:rsidRPr="000D0EDB">
        <w:rPr>
          <w:lang w:val="pl-PL"/>
        </w:rPr>
        <w:t>final</w:t>
      </w:r>
      <w:proofErr w:type="spellEnd"/>
      <w:r w:rsidRPr="000D0EDB">
        <w:rPr>
          <w:lang w:val="pl-PL"/>
        </w:rPr>
        <w:t>.</w:t>
      </w:r>
    </w:p>
  </w:footnote>
  <w:footnote w:id="20">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do Parlamentu Europejskiego, Rady Europejskiej, Rady, Europejskiego Komitetu Ekonomiczno-Społecznego i Komitetu Regionów „Zapewnienie bezpieczeństwa żywnościowego i zwiększenie odporności systemów żywnościowych”, COM(2022) 133 </w:t>
      </w:r>
      <w:proofErr w:type="spellStart"/>
      <w:r w:rsidRPr="000D0EDB">
        <w:rPr>
          <w:lang w:val="pl-PL"/>
        </w:rPr>
        <w:t>final</w:t>
      </w:r>
      <w:proofErr w:type="spellEnd"/>
      <w:r w:rsidRPr="000D0EDB">
        <w:rPr>
          <w:lang w:val="pl-PL"/>
        </w:rPr>
        <w:t>.</w:t>
      </w:r>
    </w:p>
  </w:footnote>
  <w:footnote w:id="21">
    <w:p w:rsidR="00863B3E" w:rsidRPr="00524971" w:rsidRDefault="00863B3E">
      <w:pPr>
        <w:pStyle w:val="FootnoteText"/>
        <w:rPr>
          <w:lang w:val="pl-PL"/>
        </w:rPr>
      </w:pPr>
      <w:r w:rsidRPr="00524971">
        <w:rPr>
          <w:rStyle w:val="FootnoteReference"/>
          <w:strike/>
          <w:lang w:val="pl-PL"/>
        </w:rPr>
        <w:t>+</w:t>
      </w:r>
      <w:r w:rsidRPr="00524971">
        <w:rPr>
          <w:strike/>
          <w:lang w:val="pl-PL"/>
        </w:rPr>
        <w:t xml:space="preserve"> </w:t>
      </w:r>
      <w:r w:rsidRPr="00524971">
        <w:rPr>
          <w:lang w:val="pl-PL"/>
        </w:rPr>
        <w:tab/>
      </w:r>
      <w:r w:rsidRPr="000D0EDB">
        <w:rPr>
          <w:strike/>
          <w:lang w:val="pl-PL"/>
        </w:rPr>
        <w:t xml:space="preserve">URZĄD PUBLIKACJI: proszę wstawić w tekście numer rozporządzenia w sprawie certyfikacji usuwania dwutlenku węgla, zawartego w dokumencie COM (2022) 672 </w:t>
      </w:r>
      <w:proofErr w:type="spellStart"/>
      <w:r w:rsidRPr="000D0EDB">
        <w:rPr>
          <w:strike/>
          <w:lang w:val="pl-PL"/>
        </w:rPr>
        <w:t>final</w:t>
      </w:r>
      <w:proofErr w:type="spellEnd"/>
      <w:r w:rsidRPr="000D0EDB">
        <w:rPr>
          <w:strike/>
          <w:lang w:val="pl-PL"/>
        </w:rPr>
        <w:t>, oraz wstawić w przypisie numer, datę, tytuł tej dyrektywy i odniesienie do Dz.U.</w:t>
      </w:r>
    </w:p>
  </w:footnote>
  <w:footnote w:id="22">
    <w:p w:rsidR="00863B3E" w:rsidRPr="000D0EDB" w:rsidRDefault="00863B3E" w:rsidP="00524971">
      <w:pPr>
        <w:pStyle w:val="FootnoteTextForceStyle"/>
        <w:rPr>
          <w:lang w:val="pl-PL"/>
        </w:rPr>
      </w:pPr>
      <w:r>
        <w:rPr>
          <w:vertAlign w:val="superscript"/>
        </w:rPr>
        <w:footnoteRef/>
      </w:r>
      <w:r w:rsidRPr="000D0EDB">
        <w:rPr>
          <w:lang w:val="pl-PL"/>
        </w:rPr>
        <w:tab/>
        <w:t xml:space="preserve">Rozporządzenie (WE) nr 1059/2003 Parlamentu Europejskiego i Rady z dnia 26 maja 2003 roku w sprawie ustalenia wspólnej klasyfikacji jednostek terytorialnych do celów statystycznych (NUTS) (Dz.U. L 154 z 21.6.2003, </w:t>
      </w:r>
      <w:proofErr w:type="gramStart"/>
      <w:r w:rsidRPr="000D0EDB">
        <w:rPr>
          <w:lang w:val="pl-PL"/>
        </w:rPr>
        <w:t>s</w:t>
      </w:r>
      <w:proofErr w:type="gramEnd"/>
      <w:r w:rsidRPr="000D0EDB">
        <w:rPr>
          <w:lang w:val="pl-PL"/>
        </w:rPr>
        <w:t>. 1).</w:t>
      </w:r>
    </w:p>
  </w:footnote>
  <w:footnote w:id="23">
    <w:p w:rsidR="00863B3E" w:rsidRPr="000D0EDB" w:rsidRDefault="00863B3E" w:rsidP="00524971">
      <w:pPr>
        <w:pStyle w:val="FootnoteTextForceStyle"/>
        <w:rPr>
          <w:lang w:val="pl-PL"/>
        </w:rPr>
      </w:pPr>
      <w:r w:rsidRPr="00524971">
        <w:rPr>
          <w:strike/>
          <w:vertAlign w:val="superscript"/>
        </w:rPr>
        <w:footnoteRef/>
      </w:r>
      <w:r w:rsidRPr="000D0EDB">
        <w:rPr>
          <w:lang w:val="pl-PL"/>
        </w:rPr>
        <w:tab/>
      </w:r>
      <w:r w:rsidRPr="000D0EDB">
        <w:rPr>
          <w:strike/>
          <w:lang w:val="pl-PL"/>
        </w:rPr>
        <w:t xml:space="preserve">Dyrektywa Parlamentu Europejskiego i Rady (UE) 2018/2001 z dnia 11 grudnia 2018 r. w sprawie promowania stosowania energii ze źródeł odnawialnych (wersja przekształcona) (Dz.U. L 328 z 21.12.2018, </w:t>
      </w:r>
      <w:proofErr w:type="gramStart"/>
      <w:r w:rsidRPr="000D0EDB">
        <w:rPr>
          <w:strike/>
          <w:lang w:val="pl-PL"/>
        </w:rPr>
        <w:t>s</w:t>
      </w:r>
      <w:proofErr w:type="gramEnd"/>
      <w:r w:rsidRPr="000D0EDB">
        <w:rPr>
          <w:strike/>
          <w:lang w:val="pl-PL"/>
        </w:rPr>
        <w:t>. 82).</w:t>
      </w:r>
    </w:p>
  </w:footnote>
  <w:footnote w:id="24">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do Parlamentu Europejskiego, Rady, Europejskiego Komitetu Ekonomiczno-Społecznego i Komitetu Regionów „Europejska strategia w zakresie danych”, COM(2020) 66 </w:t>
      </w:r>
      <w:proofErr w:type="spellStart"/>
      <w:r w:rsidRPr="000D0EDB">
        <w:rPr>
          <w:lang w:val="pl-PL"/>
        </w:rPr>
        <w:t>final</w:t>
      </w:r>
      <w:proofErr w:type="spellEnd"/>
      <w:r w:rsidRPr="000D0EDB">
        <w:rPr>
          <w:lang w:val="pl-PL"/>
        </w:rPr>
        <w:t>.</w:t>
      </w:r>
    </w:p>
  </w:footnote>
  <w:footnote w:id="25">
    <w:p w:rsidR="00863B3E" w:rsidRPr="000D0EDB" w:rsidRDefault="00863B3E" w:rsidP="00524971">
      <w:pPr>
        <w:pStyle w:val="FootnoteTextForceStyle"/>
        <w:rPr>
          <w:lang w:val="pl-PL"/>
        </w:rPr>
      </w:pPr>
      <w:r>
        <w:rPr>
          <w:vertAlign w:val="superscript"/>
        </w:rPr>
        <w:footnoteRef/>
      </w:r>
      <w:r w:rsidRPr="000D0EDB">
        <w:rPr>
          <w:lang w:val="pl-PL"/>
        </w:rPr>
        <w:tab/>
        <w:t xml:space="preserve">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 (Dz.U. L 435 z 6.12.2021, </w:t>
      </w:r>
      <w:proofErr w:type="gramStart"/>
      <w:r w:rsidRPr="000D0EDB">
        <w:rPr>
          <w:lang w:val="pl-PL"/>
        </w:rPr>
        <w:t>s</w:t>
      </w:r>
      <w:proofErr w:type="gramEnd"/>
      <w:r w:rsidRPr="000D0EDB">
        <w:rPr>
          <w:lang w:val="pl-PL"/>
        </w:rPr>
        <w:t>. 1).</w:t>
      </w:r>
    </w:p>
  </w:footnote>
  <w:footnote w:id="26">
    <w:p w:rsidR="00863B3E" w:rsidRPr="000D0EDB" w:rsidRDefault="00863B3E" w:rsidP="00524971">
      <w:pPr>
        <w:pStyle w:val="FootnoteTextForceStyle"/>
        <w:rPr>
          <w:lang w:val="pl-PL"/>
        </w:rPr>
      </w:pPr>
      <w:r>
        <w:rPr>
          <w:vertAlign w:val="superscript"/>
        </w:rPr>
        <w:footnoteRef/>
      </w:r>
      <w:r w:rsidRPr="000D0EDB">
        <w:rPr>
          <w:lang w:val="pl-PL"/>
        </w:rPr>
        <w:tab/>
        <w:t>URZĄD PUBLIKACJI: proszę wstawić w tekście numer rozporządzenia w sprawie odbudowy zasobów przyrodniczych, zawartego w dokumencie COM(2022) 304, oraz wstawić w przypisie numer, datę, tytuł tego rozporządzenia i odniesienie do Dz.U. Rozporządzenie (UE) .../... Parlamentu Europejskiego i Rady w sprawie odbudowy zasobów przyrodniczych.</w:t>
      </w:r>
    </w:p>
  </w:footnote>
  <w:footnote w:id="27">
    <w:p w:rsidR="00863B3E" w:rsidRPr="000D0EDB" w:rsidRDefault="00863B3E" w:rsidP="00524971">
      <w:pPr>
        <w:pStyle w:val="FootnoteTextForceStyle"/>
        <w:rPr>
          <w:lang w:val="pl-PL"/>
        </w:rPr>
      </w:pPr>
      <w:r>
        <w:rPr>
          <w:vertAlign w:val="superscript"/>
        </w:rPr>
        <w:footnoteRef/>
      </w:r>
      <w:r w:rsidRPr="000D0EDB">
        <w:rPr>
          <w:lang w:val="pl-PL"/>
        </w:rPr>
        <w:tab/>
        <w:t xml:space="preserve">Dyrektywa Rady 91/676/EWG z dnia 12 grudnia 1991 r. dotycząca ochrony wód przed zanieczyszczeniami powodowanymi przez azotany pochodzenia rolniczego (Dz.U. L 375 z 31.12.1991, </w:t>
      </w:r>
      <w:proofErr w:type="gramStart"/>
      <w:r w:rsidRPr="000D0EDB">
        <w:rPr>
          <w:lang w:val="pl-PL"/>
        </w:rPr>
        <w:t>s</w:t>
      </w:r>
      <w:proofErr w:type="gramEnd"/>
      <w:r w:rsidRPr="000D0EDB">
        <w:rPr>
          <w:lang w:val="pl-PL"/>
        </w:rPr>
        <w:t>. 1).</w:t>
      </w:r>
    </w:p>
  </w:footnote>
  <w:footnote w:id="28">
    <w:p w:rsidR="00863B3E" w:rsidRPr="000D0EDB" w:rsidRDefault="00863B3E" w:rsidP="00524971">
      <w:pPr>
        <w:pStyle w:val="FootnoteTextForceStyle"/>
        <w:rPr>
          <w:lang w:val="pl-PL"/>
        </w:rPr>
      </w:pPr>
      <w:r>
        <w:rPr>
          <w:vertAlign w:val="superscript"/>
        </w:rPr>
        <w:footnoteRef/>
      </w:r>
      <w:r w:rsidRPr="000D0EDB">
        <w:rPr>
          <w:lang w:val="pl-PL"/>
        </w:rPr>
        <w:tab/>
        <w:t xml:space="preserve">Dyrektywa Rady 92/43/EWG z dnia 21 maja 1992 r. w sprawie ochrony siedlisk przyrodniczych oraz dzikiej fauny i flory (Dz.U. L 206 z 22.7.1992, </w:t>
      </w:r>
      <w:proofErr w:type="gramStart"/>
      <w:r w:rsidRPr="000D0EDB">
        <w:rPr>
          <w:lang w:val="pl-PL"/>
        </w:rPr>
        <w:t>s</w:t>
      </w:r>
      <w:proofErr w:type="gramEnd"/>
      <w:r w:rsidRPr="000D0EDB">
        <w:rPr>
          <w:lang w:val="pl-PL"/>
        </w:rPr>
        <w:t>. 7).</w:t>
      </w:r>
    </w:p>
  </w:footnote>
  <w:footnote w:id="29">
    <w:p w:rsidR="00863B3E" w:rsidRPr="000D0EDB" w:rsidRDefault="00863B3E" w:rsidP="00524971">
      <w:pPr>
        <w:pStyle w:val="FootnoteTextForceStyle"/>
        <w:rPr>
          <w:lang w:val="pl-PL"/>
        </w:rPr>
      </w:pPr>
      <w:r>
        <w:rPr>
          <w:vertAlign w:val="superscript"/>
        </w:rPr>
        <w:footnoteRef/>
      </w:r>
      <w:r w:rsidRPr="000D0EDB">
        <w:rPr>
          <w:lang w:val="pl-PL"/>
        </w:rPr>
        <w:tab/>
        <w:t xml:space="preserve">Dyrektywa 2000/60/WE Parlamentu Europejskiego i Rady z dnia 23 października 2000 r. ustanawiająca ramy wspólnotowego działania w dziedzinie polityki wodnej (Dz.U. L 327 z 22.12.2000, </w:t>
      </w:r>
      <w:proofErr w:type="gramStart"/>
      <w:r w:rsidRPr="000D0EDB">
        <w:rPr>
          <w:lang w:val="pl-PL"/>
        </w:rPr>
        <w:t>s</w:t>
      </w:r>
      <w:proofErr w:type="gramEnd"/>
      <w:r w:rsidRPr="000D0EDB">
        <w:rPr>
          <w:lang w:val="pl-PL"/>
        </w:rPr>
        <w:t>. 1).</w:t>
      </w:r>
    </w:p>
  </w:footnote>
  <w:footnote w:id="30">
    <w:p w:rsidR="00863B3E" w:rsidRPr="000D0EDB" w:rsidRDefault="00863B3E" w:rsidP="00524971">
      <w:pPr>
        <w:pStyle w:val="FootnoteTextForceStyle"/>
        <w:rPr>
          <w:lang w:val="pl-PL"/>
        </w:rPr>
      </w:pPr>
      <w:r>
        <w:rPr>
          <w:vertAlign w:val="superscript"/>
        </w:rPr>
        <w:footnoteRef/>
      </w:r>
      <w:r w:rsidRPr="000D0EDB">
        <w:rPr>
          <w:lang w:val="pl-PL"/>
        </w:rPr>
        <w:tab/>
        <w:t xml:space="preserve">Dyrektywa 2007/60/WE Parlamentu Europejskiego i Rady z dnia 23 października 2007 r. w sprawie oceny ryzyka powodziowego i zarządzania nim (Dz.U. L 288 z 6.11.2007, </w:t>
      </w:r>
      <w:proofErr w:type="gramStart"/>
      <w:r w:rsidRPr="000D0EDB">
        <w:rPr>
          <w:lang w:val="pl-PL"/>
        </w:rPr>
        <w:t>s</w:t>
      </w:r>
      <w:proofErr w:type="gramEnd"/>
      <w:r w:rsidRPr="000D0EDB">
        <w:rPr>
          <w:lang w:val="pl-PL"/>
        </w:rPr>
        <w:t>. 27).</w:t>
      </w:r>
    </w:p>
  </w:footnote>
  <w:footnote w:id="31">
    <w:p w:rsidR="00863B3E" w:rsidRPr="000D0EDB" w:rsidRDefault="00863B3E" w:rsidP="00524971">
      <w:pPr>
        <w:pStyle w:val="FootnoteTextForceStyle"/>
        <w:rPr>
          <w:lang w:val="pl-PL"/>
        </w:rPr>
      </w:pPr>
      <w:r>
        <w:rPr>
          <w:vertAlign w:val="superscript"/>
        </w:rPr>
        <w:footnoteRef/>
      </w:r>
      <w:r w:rsidRPr="000D0EDB">
        <w:rPr>
          <w:lang w:val="pl-PL"/>
        </w:rPr>
        <w:tab/>
        <w:t xml:space="preserve">Komunikat Komisji Europejskiej do Parlamentu Europejskiego, Rady, Europejskiego Komitetu Ekonomiczno-Społecznego i Komitetu Regionów „Budując Europę odporną na zmianę klimatu – nowa Strategia w zakresie przystosowania do zmiany klimatu”, COM(2021) 82 </w:t>
      </w:r>
      <w:proofErr w:type="spellStart"/>
      <w:r w:rsidRPr="000D0EDB">
        <w:rPr>
          <w:lang w:val="pl-PL"/>
        </w:rPr>
        <w:t>final</w:t>
      </w:r>
      <w:proofErr w:type="spellEnd"/>
      <w:r w:rsidRPr="000D0EDB">
        <w:rPr>
          <w:lang w:val="pl-PL"/>
        </w:rPr>
        <w:t>.</w:t>
      </w:r>
    </w:p>
  </w:footnote>
  <w:footnote w:id="32">
    <w:p w:rsidR="00863B3E" w:rsidRPr="000D0EDB" w:rsidRDefault="00863B3E" w:rsidP="00524971">
      <w:pPr>
        <w:pStyle w:val="FootnoteTextForceStyle"/>
        <w:rPr>
          <w:lang w:val="pl-PL"/>
        </w:rPr>
      </w:pPr>
      <w:r>
        <w:rPr>
          <w:vertAlign w:val="superscript"/>
        </w:rPr>
        <w:footnoteRef/>
      </w:r>
      <w:r w:rsidRPr="000D0EDB">
        <w:rPr>
          <w:lang w:val="pl-PL"/>
        </w:rPr>
        <w:tab/>
        <w:t xml:space="preserve">Rozporządzenie Parlamentu Europejskiego i Rady (UE) 2018/841 z dnia 30 maja 2018 r. w sprawie włączenia emisji i pochłaniania gazów cieplarnianych w wyniku działalności związanej z użytkowaniem gruntów, zmianą użytkowania gruntów i leśnictwem do ram polityki klimatyczno-energetycznej do roku 2030 i zmieniające rozporządzenie (UE) nr 525/2013 oraz decyzję nr 529/2013/UE (Dz.U. L 156 z 19.6.2018, </w:t>
      </w:r>
      <w:proofErr w:type="gramStart"/>
      <w:r w:rsidRPr="000D0EDB">
        <w:rPr>
          <w:lang w:val="pl-PL"/>
        </w:rPr>
        <w:t>s</w:t>
      </w:r>
      <w:proofErr w:type="gramEnd"/>
      <w:r w:rsidRPr="000D0EDB">
        <w:rPr>
          <w:lang w:val="pl-PL"/>
        </w:rPr>
        <w:t>. 1).</w:t>
      </w:r>
    </w:p>
  </w:footnote>
  <w:footnote w:id="33">
    <w:p w:rsidR="00863B3E" w:rsidRPr="000D0EDB" w:rsidRDefault="00863B3E" w:rsidP="00524971">
      <w:pPr>
        <w:pStyle w:val="FootnoteTextForceStyle"/>
        <w:rPr>
          <w:lang w:val="pl-PL"/>
        </w:rPr>
      </w:pPr>
      <w:r>
        <w:rPr>
          <w:vertAlign w:val="superscript"/>
        </w:rPr>
        <w:footnoteRef/>
      </w:r>
      <w:r w:rsidRPr="000D0EDB">
        <w:rPr>
          <w:lang w:val="pl-PL"/>
        </w:rPr>
        <w:tab/>
        <w:t xml:space="preserve">Rozporządzenie Parlamentu Europejskiego i Rady (UE) 2018/842 z dnia 30 maja 2018 r. w sprawie wiążących rocznych redukcji emisji gazów cieplarnianych przez państwa członkowskie od 2021 r. do 2030 r. przyczyniających się do działań na rzecz klimatu w celu wywiązania się z zobowiązań wynikających z Porozumienia paryskiego oraz zmieniające rozporządzenie (UE) nr 525/2013 (Dz.U. L 156 z 19.6.2018, </w:t>
      </w:r>
      <w:proofErr w:type="gramStart"/>
      <w:r w:rsidRPr="000D0EDB">
        <w:rPr>
          <w:lang w:val="pl-PL"/>
        </w:rPr>
        <w:t>s</w:t>
      </w:r>
      <w:proofErr w:type="gramEnd"/>
      <w:r w:rsidRPr="000D0EDB">
        <w:rPr>
          <w:lang w:val="pl-PL"/>
        </w:rPr>
        <w:t>. 26).</w:t>
      </w:r>
    </w:p>
  </w:footnote>
  <w:footnote w:id="34">
    <w:p w:rsidR="00863B3E" w:rsidRPr="000D0EDB" w:rsidRDefault="00863B3E" w:rsidP="00524971">
      <w:pPr>
        <w:pStyle w:val="FootnoteTextForceStyle"/>
        <w:rPr>
          <w:lang w:val="pl-PL"/>
        </w:rPr>
      </w:pPr>
      <w:r>
        <w:rPr>
          <w:vertAlign w:val="superscript"/>
        </w:rPr>
        <w:footnoteRef/>
      </w:r>
      <w:r w:rsidRPr="000D0EDB">
        <w:rPr>
          <w:lang w:val="pl-PL"/>
        </w:rPr>
        <w:tab/>
        <w:t xml:space="preserve">Rozporządzenie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(UE) 2015/652 oraz uchylenia rozporządzenia Parlamentu Europejskiego i Rady (UE) nr 525/2013 (Dz.U. L 328 z 21.12.2018, </w:t>
      </w:r>
      <w:proofErr w:type="gramStart"/>
      <w:r w:rsidRPr="000D0EDB">
        <w:rPr>
          <w:lang w:val="pl-PL"/>
        </w:rPr>
        <w:t>s</w:t>
      </w:r>
      <w:proofErr w:type="gramEnd"/>
      <w:r w:rsidRPr="000D0EDB">
        <w:rPr>
          <w:lang w:val="pl-PL"/>
        </w:rPr>
        <w:t>. 1).</w:t>
      </w:r>
    </w:p>
  </w:footnote>
  <w:footnote w:id="35">
    <w:p w:rsidR="00863B3E" w:rsidRPr="000D0EDB" w:rsidRDefault="00863B3E" w:rsidP="00524971">
      <w:pPr>
        <w:pStyle w:val="FootnoteTextForceStyle"/>
        <w:rPr>
          <w:lang w:val="pl-PL"/>
        </w:rPr>
      </w:pPr>
      <w:r>
        <w:rPr>
          <w:vertAlign w:val="superscript"/>
        </w:rPr>
        <w:footnoteRef/>
      </w:r>
      <w:r w:rsidRPr="000D0EDB">
        <w:rPr>
          <w:lang w:val="pl-PL"/>
        </w:rPr>
        <w:tab/>
        <w:t xml:space="preserve">Dyrektywa Parlamentu Europejskiego i Rady (UE) 2016/2284 z dnia 14 grudnia 2016 r. w sprawie redukcji krajowych emisji niektórych rodzajów zanieczyszczeń atmosferycznych, zmiany dyrektywy 2003/35/WE oraz uchylenia dyrektywy 2001/81/WE (Dz.U. L 344 z 17.12.2016, </w:t>
      </w:r>
      <w:proofErr w:type="gramStart"/>
      <w:r w:rsidRPr="000D0EDB">
        <w:rPr>
          <w:lang w:val="pl-PL"/>
        </w:rPr>
        <w:t>s</w:t>
      </w:r>
      <w:proofErr w:type="gramEnd"/>
      <w:r w:rsidRPr="000D0EDB">
        <w:rPr>
          <w:lang w:val="pl-PL"/>
        </w:rPr>
        <w:t>. 1).</w:t>
      </w:r>
    </w:p>
  </w:footnote>
  <w:footnote w:id="36">
    <w:p w:rsidR="00863B3E" w:rsidRPr="000D0EDB" w:rsidRDefault="00863B3E" w:rsidP="00524971">
      <w:pPr>
        <w:pStyle w:val="FootnoteTextForceStyle"/>
        <w:rPr>
          <w:lang w:val="pl-PL"/>
        </w:rPr>
      </w:pPr>
      <w:r>
        <w:rPr>
          <w:vertAlign w:val="superscript"/>
        </w:rPr>
        <w:footnoteRef/>
      </w:r>
      <w:r w:rsidRPr="000D0EDB">
        <w:rPr>
          <w:lang w:val="pl-PL"/>
        </w:rPr>
        <w:tab/>
        <w:t xml:space="preserve">Decyzja Parlamentu Europejskiego i Rady nr 1313/2013/UE z dnia 17 grudnia 2013 r. w sprawie Unijnego Mechanizmu Ochrony Ludności (Dz.U. L 347 z 20.12.2013, </w:t>
      </w:r>
      <w:proofErr w:type="gramStart"/>
      <w:r w:rsidRPr="000D0EDB">
        <w:rPr>
          <w:lang w:val="pl-PL"/>
        </w:rPr>
        <w:t>s</w:t>
      </w:r>
      <w:proofErr w:type="gramEnd"/>
      <w:r w:rsidRPr="000D0EDB">
        <w:rPr>
          <w:lang w:val="pl-PL"/>
        </w:rPr>
        <w:t>. 924).</w:t>
      </w:r>
    </w:p>
  </w:footnote>
  <w:footnote w:id="37">
    <w:p w:rsidR="00863B3E" w:rsidRPr="000D0EDB" w:rsidRDefault="00863B3E" w:rsidP="00524971">
      <w:pPr>
        <w:pStyle w:val="FootnoteTextForceStyle"/>
        <w:rPr>
          <w:lang w:val="pl-PL"/>
        </w:rPr>
      </w:pPr>
      <w:r w:rsidRPr="003430F6">
        <w:rPr>
          <w:strike/>
          <w:vertAlign w:val="superscript"/>
        </w:rPr>
        <w:footnoteRef/>
      </w:r>
      <w:r w:rsidRPr="000D0EDB">
        <w:rPr>
          <w:lang w:val="pl-PL"/>
        </w:rPr>
        <w:tab/>
      </w:r>
      <w:r w:rsidRPr="000D0EDB">
        <w:rPr>
          <w:strike/>
          <w:lang w:val="pl-PL"/>
        </w:rPr>
        <w:t>+ URZĄD PUBLIKACJI: proszę wstawić w tekście numer rozporządzenia w sprawie zrównoważonego stosowania środków ochrony roślin i w sprawie zmiany rozporządzenia (UE) 2021/2115, zawartego w dokumencie COM(2022) 305, oraz wstawić w przypisie numer, datę, tytuł i odniesienie do tej dyrektywy w Dz.U.</w:t>
      </w:r>
    </w:p>
  </w:footnote>
  <w:footnote w:id="38">
    <w:p w:rsidR="00863B3E" w:rsidRPr="000D0EDB" w:rsidRDefault="00863B3E" w:rsidP="00524971">
      <w:pPr>
        <w:pStyle w:val="FootnoteTextForceStyle"/>
        <w:rPr>
          <w:lang w:val="pl-PL"/>
        </w:rPr>
      </w:pPr>
      <w:r>
        <w:rPr>
          <w:vertAlign w:val="superscript"/>
        </w:rPr>
        <w:footnoteRef/>
      </w:r>
      <w:r w:rsidRPr="000D0EDB">
        <w:rPr>
          <w:lang w:val="pl-PL"/>
        </w:rPr>
        <w:tab/>
        <w:t>Rozporządzenie (UE) 2022/2379 w sprawie statystyk dotyczących nakładów i produkcji w rolnictwie.</w:t>
      </w:r>
    </w:p>
  </w:footnote>
  <w:footnote w:id="39">
    <w:p w:rsidR="00863B3E" w:rsidRPr="000D0EDB" w:rsidRDefault="00863B3E" w:rsidP="00524971">
      <w:pPr>
        <w:pStyle w:val="FootnoteTextForceStyle"/>
        <w:rPr>
          <w:lang w:val="pl-PL"/>
        </w:rPr>
      </w:pPr>
      <w:r>
        <w:rPr>
          <w:vertAlign w:val="superscript"/>
        </w:rPr>
        <w:footnoteRef/>
      </w:r>
      <w:r w:rsidRPr="000D0EDB">
        <w:rPr>
          <w:lang w:val="pl-PL"/>
        </w:rPr>
        <w:tab/>
        <w:t xml:space="preserve">Dyrektywa Parlamentu Europejskiego i Rady 2010/75/UE z dnia 24 listopada 2010 r. w sprawie emisji przemysłowych, (Dz.U. L 334 z 17.12.2010, </w:t>
      </w:r>
      <w:proofErr w:type="gramStart"/>
      <w:r w:rsidRPr="000D0EDB">
        <w:rPr>
          <w:lang w:val="pl-PL"/>
        </w:rPr>
        <w:t>s</w:t>
      </w:r>
      <w:proofErr w:type="gramEnd"/>
      <w:r w:rsidRPr="000D0EDB">
        <w:rPr>
          <w:lang w:val="pl-PL"/>
        </w:rPr>
        <w:t>. 17).</w:t>
      </w:r>
    </w:p>
  </w:footnote>
  <w:footnote w:id="40">
    <w:p w:rsidR="00863B3E" w:rsidRPr="000D0EDB" w:rsidRDefault="00863B3E" w:rsidP="00524971">
      <w:pPr>
        <w:pStyle w:val="FootnoteTextForceStyle"/>
        <w:rPr>
          <w:lang w:val="pl-PL"/>
        </w:rPr>
      </w:pPr>
      <w:r>
        <w:rPr>
          <w:vertAlign w:val="superscript"/>
        </w:rPr>
        <w:footnoteRef/>
      </w:r>
      <w:r w:rsidRPr="000D0EDB">
        <w:rPr>
          <w:lang w:val="pl-PL"/>
        </w:rPr>
        <w:tab/>
        <w:t xml:space="preserve">+ URZĄD PUBLIKACJI: proszę wstawić w tekście numer rozporządzenia ustanawiającego ramy na potrzeby zapewnienia bezpiecznych i zrównoważonych dostaw surowców krytycznych oraz zmieniającego rozporządzenia (UE) nr 168/2013, (UE) 2018/858, (UE) 2018/1724 i (UE) 2019/1020, zawartego w dokumencie COM(2023) 160, oraz wstawić w przypisie numer, datę, tytuł i odniesienie do Dz.U. </w:t>
      </w:r>
      <w:proofErr w:type="gramStart"/>
      <w:r w:rsidRPr="000D0EDB">
        <w:rPr>
          <w:lang w:val="pl-PL"/>
        </w:rPr>
        <w:t>tej</w:t>
      </w:r>
      <w:proofErr w:type="gramEnd"/>
      <w:r w:rsidRPr="000D0EDB">
        <w:rPr>
          <w:lang w:val="pl-PL"/>
        </w:rPr>
        <w:t xml:space="preserve"> dyrektywy.</w:t>
      </w:r>
    </w:p>
  </w:footnote>
  <w:footnote w:id="41">
    <w:p w:rsidR="00863B3E" w:rsidRPr="000D0EDB" w:rsidRDefault="00863B3E" w:rsidP="00524971">
      <w:pPr>
        <w:pStyle w:val="FootnoteTextForceStyle"/>
        <w:rPr>
          <w:lang w:val="pl-PL"/>
        </w:rPr>
      </w:pPr>
      <w:r>
        <w:rPr>
          <w:vertAlign w:val="superscript"/>
        </w:rPr>
        <w:footnoteRef/>
      </w:r>
      <w:r w:rsidRPr="000D0EDB">
        <w:rPr>
          <w:lang w:val="pl-PL"/>
        </w:rPr>
        <w:tab/>
        <w:t>Konwencja o dostępie do informacji, udziale społeczeństwa w podejmowaniu decyzji oraz dostępie do sprawiedliwości w sprawach dotyczących środowiska – Deklaracje (Dz.U. L 124 z 17.5.2005).</w:t>
      </w:r>
    </w:p>
  </w:footnote>
  <w:footnote w:id="42">
    <w:p w:rsidR="00863B3E" w:rsidRPr="000D0EDB" w:rsidRDefault="00863B3E" w:rsidP="00524971">
      <w:pPr>
        <w:pStyle w:val="FootnoteTextForceStyle"/>
        <w:rPr>
          <w:lang w:val="pl-PL"/>
        </w:rPr>
      </w:pPr>
      <w:r>
        <w:rPr>
          <w:vertAlign w:val="superscript"/>
        </w:rPr>
        <w:footnoteRef/>
      </w:r>
      <w:r w:rsidRPr="000D0EDB">
        <w:rPr>
          <w:lang w:val="pl-PL"/>
        </w:rPr>
        <w:tab/>
        <w:t xml:space="preserve">Dyrektywa Parlamentu Europejskiego i Rady (UE) 2019/1024 z dnia 20 czerwca 2019 r. w sprawie otwartych danych i ponownego wykorzystywania informacji sektora publicznego (Dz.U. L 172 z 26.6.2019, </w:t>
      </w:r>
      <w:proofErr w:type="gramStart"/>
      <w:r w:rsidRPr="000D0EDB">
        <w:rPr>
          <w:lang w:val="pl-PL"/>
        </w:rPr>
        <w:t>s</w:t>
      </w:r>
      <w:proofErr w:type="gramEnd"/>
      <w:r w:rsidRPr="000D0EDB">
        <w:rPr>
          <w:lang w:val="pl-PL"/>
        </w:rPr>
        <w:t>. 56).</w:t>
      </w:r>
    </w:p>
  </w:footnote>
  <w:footnote w:id="43">
    <w:p w:rsidR="00863B3E" w:rsidRPr="000D0EDB" w:rsidRDefault="00863B3E" w:rsidP="00524971">
      <w:pPr>
        <w:pStyle w:val="FootnoteTextForceStyle"/>
        <w:rPr>
          <w:lang w:val="pl-PL"/>
        </w:rPr>
      </w:pPr>
      <w:r>
        <w:rPr>
          <w:vertAlign w:val="superscript"/>
        </w:rPr>
        <w:footnoteRef/>
      </w:r>
      <w:r w:rsidRPr="000D0EDB">
        <w:rPr>
          <w:lang w:val="pl-PL"/>
        </w:rPr>
        <w:tab/>
        <w:t xml:space="preserve">Dyrektywa 2003/4/WE Parlamentu Europejskiego i Rady z dnia 28 stycznia 2003 r. w sprawie publicznego dostępu do informacji dotyczących środowiska i uchylająca dyrektywę Rady 90/313/EWG (Dz.U. L 41 z 14.2.2003, </w:t>
      </w:r>
      <w:proofErr w:type="gramStart"/>
      <w:r w:rsidRPr="000D0EDB">
        <w:rPr>
          <w:lang w:val="pl-PL"/>
        </w:rPr>
        <w:t>s</w:t>
      </w:r>
      <w:proofErr w:type="gramEnd"/>
      <w:r w:rsidRPr="000D0EDB">
        <w:rPr>
          <w:lang w:val="pl-PL"/>
        </w:rPr>
        <w:t>. 26).</w:t>
      </w:r>
    </w:p>
  </w:footnote>
  <w:footnote w:id="44">
    <w:p w:rsidR="00863B3E" w:rsidRPr="000D0EDB" w:rsidRDefault="00863B3E" w:rsidP="00524971">
      <w:pPr>
        <w:pStyle w:val="FootnoteTextForceStyle"/>
        <w:rPr>
          <w:lang w:val="pl-PL"/>
        </w:rPr>
      </w:pPr>
      <w:r>
        <w:rPr>
          <w:vertAlign w:val="superscript"/>
        </w:rPr>
        <w:footnoteRef/>
      </w:r>
      <w:r w:rsidRPr="000D0EDB">
        <w:rPr>
          <w:lang w:val="pl-PL"/>
        </w:rPr>
        <w:tab/>
        <w:t xml:space="preserve">Dyrektywa 2007/2/WE Parlamentu Europejskiego i Rady z dnia 14 marca 2007 r. ustanawiająca infrastrukturę informacji przestrzennej we Wspólnocie Europejskiej (INSPIRE) (Dz.U. L 108 z 25.4.2007, </w:t>
      </w:r>
      <w:proofErr w:type="gramStart"/>
      <w:r w:rsidRPr="000D0EDB">
        <w:rPr>
          <w:lang w:val="pl-PL"/>
        </w:rPr>
        <w:t>s</w:t>
      </w:r>
      <w:proofErr w:type="gramEnd"/>
      <w:r w:rsidRPr="000D0EDB">
        <w:rPr>
          <w:lang w:val="pl-PL"/>
        </w:rPr>
        <w:t>. 1).</w:t>
      </w:r>
    </w:p>
  </w:footnote>
  <w:footnote w:id="45">
    <w:p w:rsidR="00863B3E" w:rsidRPr="000D0EDB" w:rsidRDefault="00863B3E" w:rsidP="00524971">
      <w:pPr>
        <w:pStyle w:val="FootnoteTextForceStyle"/>
        <w:rPr>
          <w:lang w:val="pl-PL"/>
        </w:rPr>
      </w:pPr>
      <w:r>
        <w:rPr>
          <w:vertAlign w:val="superscript"/>
        </w:rPr>
        <w:footnoteRef/>
      </w:r>
      <w:r w:rsidRPr="000D0EDB">
        <w:rPr>
          <w:lang w:val="pl-PL"/>
        </w:rPr>
        <w:tab/>
        <w:t xml:space="preserve">Porozumienie międzyinstytucjonalne pomiędzy Parlamentem Europejskim, Radą Unii Europejskiej a Komisją Europejską z dnia 13 kwietnia 2016 r. w sprawie lepszego stanowienia prawa (Dz.U. L 123 z 12.5.2016, </w:t>
      </w:r>
      <w:proofErr w:type="gramStart"/>
      <w:r w:rsidRPr="000D0EDB">
        <w:rPr>
          <w:lang w:val="pl-PL"/>
        </w:rPr>
        <w:t>s</w:t>
      </w:r>
      <w:proofErr w:type="gramEnd"/>
      <w:r w:rsidRPr="000D0EDB">
        <w:rPr>
          <w:lang w:val="pl-PL"/>
        </w:rPr>
        <w:t>. 1).</w:t>
      </w:r>
    </w:p>
  </w:footnote>
  <w:footnote w:id="46">
    <w:p w:rsidR="00863B3E" w:rsidRPr="000D0EDB" w:rsidRDefault="00863B3E" w:rsidP="00524971">
      <w:pPr>
        <w:pStyle w:val="FootnoteTextForceStyle"/>
        <w:rPr>
          <w:lang w:val="pl-PL"/>
        </w:rPr>
      </w:pPr>
      <w:r>
        <w:rPr>
          <w:vertAlign w:val="superscript"/>
        </w:rPr>
        <w:footnoteRef/>
      </w:r>
      <w:r w:rsidRPr="000D0EDB">
        <w:rPr>
          <w:lang w:val="pl-PL"/>
        </w:rPr>
        <w:tab/>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0D0EDB">
        <w:rPr>
          <w:lang w:val="pl-PL"/>
        </w:rPr>
        <w:t>s</w:t>
      </w:r>
      <w:proofErr w:type="gramEnd"/>
      <w:r w:rsidRPr="000D0EDB">
        <w:rPr>
          <w:lang w:val="pl-PL"/>
        </w:rPr>
        <w:t>. 13).</w:t>
      </w:r>
    </w:p>
  </w:footnote>
  <w:footnote w:id="47">
    <w:p w:rsidR="00863B3E" w:rsidRPr="000D0EDB" w:rsidRDefault="00863B3E" w:rsidP="00524971">
      <w:pPr>
        <w:pStyle w:val="FootnoteTextForceStyle"/>
        <w:rPr>
          <w:lang w:val="pl-PL"/>
        </w:rPr>
      </w:pPr>
      <w:r>
        <w:rPr>
          <w:vertAlign w:val="superscript"/>
        </w:rPr>
        <w:footnoteRef/>
      </w:r>
      <w:r w:rsidRPr="000D0EDB">
        <w:rPr>
          <w:lang w:val="pl-PL"/>
        </w:rPr>
        <w:tab/>
        <w:t xml:space="preserve">Dz.U. C 369 z 17.12.2011, </w:t>
      </w:r>
      <w:proofErr w:type="gramStart"/>
      <w:r w:rsidRPr="000D0EDB">
        <w:rPr>
          <w:lang w:val="pl-PL"/>
        </w:rPr>
        <w:t>s</w:t>
      </w:r>
      <w:proofErr w:type="gramEnd"/>
      <w:r w:rsidRPr="000D0EDB">
        <w:rPr>
          <w:lang w:val="pl-PL"/>
        </w:rPr>
        <w:t>. 14.</w:t>
      </w:r>
    </w:p>
  </w:footnote>
  <w:footnote w:id="48">
    <w:p w:rsidR="00863B3E" w:rsidRPr="000D0EDB" w:rsidRDefault="00863B3E" w:rsidP="00524971">
      <w:pPr>
        <w:pStyle w:val="FootnoteTextForceStyle"/>
        <w:rPr>
          <w:lang w:val="pl-PL"/>
        </w:rPr>
      </w:pPr>
      <w:r>
        <w:rPr>
          <w:vertAlign w:val="superscript"/>
        </w:rPr>
        <w:footnoteRef/>
      </w:r>
      <w:r w:rsidRPr="000D0EDB">
        <w:rPr>
          <w:lang w:val="pl-PL"/>
        </w:rPr>
        <w:tab/>
        <w:t>https</w:t>
      </w:r>
      <w:proofErr w:type="gramStart"/>
      <w:r w:rsidRPr="000D0EDB">
        <w:rPr>
          <w:lang w:val="pl-PL"/>
        </w:rPr>
        <w:t>://www</w:t>
      </w:r>
      <w:proofErr w:type="gramEnd"/>
      <w:r w:rsidRPr="000D0EDB">
        <w:rPr>
          <w:lang w:val="pl-PL"/>
        </w:rPr>
        <w:t>.</w:t>
      </w:r>
      <w:proofErr w:type="gramStart"/>
      <w:r w:rsidRPr="000D0EDB">
        <w:rPr>
          <w:lang w:val="pl-PL"/>
        </w:rPr>
        <w:t>fao</w:t>
      </w:r>
      <w:proofErr w:type="gramEnd"/>
      <w:r w:rsidRPr="000D0EDB">
        <w:rPr>
          <w:lang w:val="pl-PL"/>
        </w:rPr>
        <w:t>.org/soils-portal/data-hub/soil-classification/world-reference-base/en/</w:t>
      </w:r>
    </w:p>
  </w:footnote>
  <w:footnote w:id="49">
    <w:p w:rsidR="00863B3E" w:rsidRPr="000D0EDB" w:rsidRDefault="00863B3E" w:rsidP="00524971">
      <w:pPr>
        <w:pStyle w:val="FootnoteTextForceStyle"/>
        <w:rPr>
          <w:lang w:val="pl-PL"/>
        </w:rPr>
      </w:pPr>
      <w:r>
        <w:rPr>
          <w:vertAlign w:val="superscript"/>
        </w:rPr>
        <w:footnoteRef/>
      </w:r>
      <w:r w:rsidRPr="000D0EDB">
        <w:rPr>
          <w:lang w:val="pl-PL"/>
        </w:rPr>
        <w:tab/>
      </w:r>
      <w:proofErr w:type="spellStart"/>
      <w:r w:rsidRPr="000D0EDB">
        <w:rPr>
          <w:lang w:val="pl-PL"/>
        </w:rPr>
        <w:t>M.J</w:t>
      </w:r>
      <w:proofErr w:type="spellEnd"/>
      <w:r w:rsidRPr="000D0EDB">
        <w:rPr>
          <w:lang w:val="pl-PL"/>
        </w:rPr>
        <w:t xml:space="preserve">. Metzger, A.D. </w:t>
      </w:r>
      <w:proofErr w:type="spellStart"/>
      <w:r w:rsidRPr="000D0EDB">
        <w:rPr>
          <w:lang w:val="pl-PL"/>
        </w:rPr>
        <w:t>Shkaruba</w:t>
      </w:r>
      <w:proofErr w:type="spellEnd"/>
      <w:r w:rsidRPr="000D0EDB">
        <w:rPr>
          <w:lang w:val="pl-PL"/>
        </w:rPr>
        <w:t xml:space="preserve">, </w:t>
      </w:r>
      <w:proofErr w:type="spellStart"/>
      <w:r w:rsidRPr="000D0EDB">
        <w:rPr>
          <w:lang w:val="pl-PL"/>
        </w:rPr>
        <w:t>R.H.G</w:t>
      </w:r>
      <w:proofErr w:type="spellEnd"/>
      <w:r w:rsidRPr="000D0EDB">
        <w:rPr>
          <w:lang w:val="pl-PL"/>
        </w:rPr>
        <w:t xml:space="preserve">. </w:t>
      </w:r>
      <w:proofErr w:type="spellStart"/>
      <w:r w:rsidRPr="000D0EDB">
        <w:rPr>
          <w:lang w:val="pl-PL"/>
        </w:rPr>
        <w:t>Jongman</w:t>
      </w:r>
      <w:proofErr w:type="spellEnd"/>
      <w:r w:rsidRPr="000D0EDB">
        <w:rPr>
          <w:lang w:val="pl-PL"/>
        </w:rPr>
        <w:t xml:space="preserve"> i </w:t>
      </w:r>
      <w:proofErr w:type="spellStart"/>
      <w:r w:rsidRPr="000D0EDB">
        <w:rPr>
          <w:lang w:val="pl-PL"/>
        </w:rPr>
        <w:t>R.G.H</w:t>
      </w:r>
      <w:proofErr w:type="spellEnd"/>
      <w:r w:rsidRPr="000D0EDB">
        <w:rPr>
          <w:lang w:val="pl-PL"/>
        </w:rPr>
        <w:t xml:space="preserve">. </w:t>
      </w:r>
      <w:proofErr w:type="spellStart"/>
      <w:r w:rsidRPr="000D0EDB">
        <w:rPr>
          <w:lang w:val="pl-PL"/>
        </w:rPr>
        <w:t>Bunce</w:t>
      </w:r>
      <w:proofErr w:type="spellEnd"/>
      <w:r w:rsidRPr="000D0EDB">
        <w:rPr>
          <w:lang w:val="pl-PL"/>
        </w:rPr>
        <w:t>, „</w:t>
      </w:r>
      <w:proofErr w:type="spellStart"/>
      <w:r w:rsidRPr="000D0EDB">
        <w:rPr>
          <w:lang w:val="pl-PL"/>
        </w:rPr>
        <w:t>Descriptions</w:t>
      </w:r>
      <w:proofErr w:type="spellEnd"/>
      <w:r w:rsidRPr="000D0EDB">
        <w:rPr>
          <w:lang w:val="pl-PL"/>
        </w:rPr>
        <w:t xml:space="preserve"> of the </w:t>
      </w:r>
      <w:proofErr w:type="spellStart"/>
      <w:r w:rsidRPr="000D0EDB">
        <w:rPr>
          <w:lang w:val="pl-PL"/>
        </w:rPr>
        <w:t>European</w:t>
      </w:r>
      <w:proofErr w:type="spellEnd"/>
      <w:r w:rsidRPr="000D0EDB">
        <w:rPr>
          <w:lang w:val="pl-PL"/>
        </w:rPr>
        <w:t xml:space="preserve"> </w:t>
      </w:r>
      <w:proofErr w:type="spellStart"/>
      <w:r w:rsidRPr="000D0EDB">
        <w:rPr>
          <w:lang w:val="pl-PL"/>
        </w:rPr>
        <w:t>Environmental</w:t>
      </w:r>
      <w:proofErr w:type="spellEnd"/>
      <w:r w:rsidRPr="000D0EDB">
        <w:rPr>
          <w:lang w:val="pl-PL"/>
        </w:rPr>
        <w:t xml:space="preserve"> </w:t>
      </w:r>
      <w:proofErr w:type="spellStart"/>
      <w:r w:rsidRPr="000D0EDB">
        <w:rPr>
          <w:lang w:val="pl-PL"/>
        </w:rPr>
        <w:t>Zones</w:t>
      </w:r>
      <w:proofErr w:type="spellEnd"/>
      <w:r w:rsidRPr="000D0EDB">
        <w:rPr>
          <w:lang w:val="pl-PL"/>
        </w:rPr>
        <w:t xml:space="preserve"> and Strata” [„Opisy europejskich stref i warstw środowiskowych”], sprawozdanie </w:t>
      </w:r>
      <w:proofErr w:type="spellStart"/>
      <w:r w:rsidRPr="000D0EDB">
        <w:rPr>
          <w:lang w:val="pl-PL"/>
        </w:rPr>
        <w:t>Alterra</w:t>
      </w:r>
      <w:proofErr w:type="spellEnd"/>
      <w:r w:rsidRPr="000D0EDB">
        <w:rPr>
          <w:lang w:val="pl-PL"/>
        </w:rPr>
        <w:t xml:space="preserve"> 2281 ISSN 1566-7197.</w:t>
      </w:r>
    </w:p>
  </w:footnote>
  <w:footnote w:id="50">
    <w:p w:rsidR="00863B3E" w:rsidRPr="000D0EDB" w:rsidRDefault="00863B3E" w:rsidP="00524971">
      <w:pPr>
        <w:pStyle w:val="FootnoteTextForceStyle"/>
        <w:rPr>
          <w:lang w:val="pl-PL"/>
        </w:rPr>
      </w:pPr>
      <w:r>
        <w:rPr>
          <w:vertAlign w:val="superscript"/>
        </w:rPr>
        <w:footnoteRef/>
      </w:r>
      <w:r w:rsidRPr="000D0EDB">
        <w:rPr>
          <w:lang w:val="pl-PL"/>
        </w:rPr>
        <w:tab/>
      </w:r>
      <w:r w:rsidRPr="000D0EDB">
        <w:rPr>
          <w:b/>
          <w:i/>
          <w:lang w:val="pl-PL"/>
        </w:rPr>
        <w:t xml:space="preserve">Rozporządzenie Parlamentu Europejskiego i Rady (WE) nr 223/2009 z dnia 11 marca 2009 r. w sprawie statystyki europejskiej oraz uchylające rozporządzenie Parlamentu Europejskiego i Rady (WE, </w:t>
      </w:r>
      <w:proofErr w:type="spellStart"/>
      <w:r w:rsidRPr="000D0EDB">
        <w:rPr>
          <w:b/>
          <w:i/>
          <w:lang w:val="pl-PL"/>
        </w:rPr>
        <w:t>Euratom</w:t>
      </w:r>
      <w:proofErr w:type="spellEnd"/>
      <w:r w:rsidRPr="000D0EDB">
        <w:rPr>
          <w:b/>
          <w:i/>
          <w:lang w:val="pl-PL"/>
        </w:rPr>
        <w:t xml:space="preserve">) nr 1101/2008 w sprawie przekazywania do Urzędu Statystycznego Wspólnot Europejskich danych statystycznych objętych zasadą poufności, rozporządzenie Rady (WE) nr 322/97 w sprawie statystyk Wspólnoty oraz decyzję Rady 89/382/EWG, </w:t>
      </w:r>
      <w:proofErr w:type="spellStart"/>
      <w:r w:rsidRPr="000D0EDB">
        <w:rPr>
          <w:b/>
          <w:i/>
          <w:lang w:val="pl-PL"/>
        </w:rPr>
        <w:t>Euratom</w:t>
      </w:r>
      <w:proofErr w:type="spellEnd"/>
      <w:r w:rsidRPr="000D0EDB">
        <w:rPr>
          <w:b/>
          <w:i/>
          <w:lang w:val="pl-PL"/>
        </w:rPr>
        <w:t xml:space="preserve"> w sprawie ustanowienia Komitetu ds. Programów Statystycznych Wspólnot Europejskich (Dz.U. L 087 z 31.3.2009, </w:t>
      </w:r>
      <w:proofErr w:type="gramStart"/>
      <w:r w:rsidRPr="000D0EDB">
        <w:rPr>
          <w:b/>
          <w:i/>
          <w:lang w:val="pl-PL"/>
        </w:rPr>
        <w:t>s</w:t>
      </w:r>
      <w:proofErr w:type="gramEnd"/>
      <w:r w:rsidRPr="000D0EDB">
        <w:rPr>
          <w:b/>
          <w:i/>
          <w:lang w:val="pl-PL"/>
        </w:rPr>
        <w:t>. 164).</w:t>
      </w:r>
    </w:p>
  </w:footnote>
  <w:footnote w:id="51">
    <w:p w:rsidR="00863B3E" w:rsidRPr="000D0EDB" w:rsidRDefault="00863B3E" w:rsidP="00524971">
      <w:pPr>
        <w:pStyle w:val="FootnoteTextForceStyle"/>
        <w:rPr>
          <w:lang w:val="pl-PL"/>
        </w:rPr>
      </w:pPr>
      <w:r>
        <w:rPr>
          <w:vertAlign w:val="superscript"/>
        </w:rPr>
        <w:footnoteRef/>
      </w:r>
      <w:r w:rsidRPr="000D0EDB">
        <w:rPr>
          <w:lang w:val="pl-PL"/>
        </w:rPr>
        <w:tab/>
        <w:t xml:space="preserve">Dyrektywa Parlamentu Europejskiego i Rady 2012/18/UE z dnia 4 lipca 2012 r. w sprawie kontroli zagrożeń poważnymi awariami związanymi z substancjami niebezpiecznymi, zmieniająca, a następnie uchylająca dyrektywę Rady 96/82/WE (Dz.U. L 197 z 24.7.2012, </w:t>
      </w:r>
      <w:proofErr w:type="gramStart"/>
      <w:r w:rsidRPr="000D0EDB">
        <w:rPr>
          <w:lang w:val="pl-PL"/>
        </w:rPr>
        <w:t>s</w:t>
      </w:r>
      <w:proofErr w:type="gramEnd"/>
      <w:r w:rsidRPr="000D0EDB">
        <w:rPr>
          <w:lang w:val="pl-PL"/>
        </w:rPr>
        <w:t>. 1).</w:t>
      </w:r>
    </w:p>
  </w:footnote>
  <w:footnote w:id="52">
    <w:p w:rsidR="00863B3E" w:rsidRPr="000D0EDB" w:rsidRDefault="00863B3E" w:rsidP="00524971">
      <w:pPr>
        <w:pStyle w:val="FootnoteTextForceStyle"/>
        <w:rPr>
          <w:lang w:val="pl-PL"/>
        </w:rPr>
      </w:pPr>
      <w:r w:rsidRPr="00863B3E">
        <w:rPr>
          <w:strike/>
          <w:vertAlign w:val="superscript"/>
        </w:rPr>
        <w:footnoteRef/>
      </w:r>
      <w:r w:rsidRPr="000D0EDB">
        <w:rPr>
          <w:lang w:val="pl-PL"/>
        </w:rPr>
        <w:tab/>
      </w:r>
      <w:r w:rsidRPr="000D0EDB">
        <w:rPr>
          <w:strike/>
          <w:lang w:val="pl-PL"/>
        </w:rPr>
        <w:t xml:space="preserve">Dyrektywa 2004/35/WE Parlamentu Europejskiego i Rady z dnia 21 kwietnia 2004 r. w sprawie odpowiedzialności za środowisko w odniesieniu do zapobiegania i zaradzania szkodom wyrządzonym środowisku naturalnemu (Dz.U. L 143 z 30.4.2004, </w:t>
      </w:r>
      <w:proofErr w:type="gramStart"/>
      <w:r w:rsidRPr="000D0EDB">
        <w:rPr>
          <w:strike/>
          <w:lang w:val="pl-PL"/>
        </w:rPr>
        <w:t>s</w:t>
      </w:r>
      <w:proofErr w:type="gramEnd"/>
      <w:r w:rsidRPr="000D0EDB">
        <w:rPr>
          <w:strike/>
          <w:lang w:val="pl-PL"/>
        </w:rPr>
        <w:t>. 56).</w:t>
      </w:r>
    </w:p>
  </w:footnote>
  <w:footnote w:id="53">
    <w:p w:rsidR="00863B3E" w:rsidRPr="000D0EDB" w:rsidRDefault="00863B3E" w:rsidP="00524971">
      <w:pPr>
        <w:pStyle w:val="FootnoteTextForceStyle"/>
        <w:rPr>
          <w:lang w:val="pl-PL"/>
        </w:rPr>
      </w:pPr>
      <w:r>
        <w:rPr>
          <w:vertAlign w:val="superscript"/>
        </w:rPr>
        <w:footnoteRef/>
      </w:r>
      <w:r w:rsidRPr="000D0EDB">
        <w:rPr>
          <w:lang w:val="pl-PL"/>
        </w:rPr>
        <w:tab/>
        <w:t xml:space="preserve">Dyrektywa 2003/4/WE Parlamentu Europejskiego i Rady z dnia 28 stycznia 2003 r. w sprawie publicznego dostępu do informacji dotyczących środowiska i uchylająca dyrektywę Rady 90/313/EWG (Dz.U. L 41 z 14.2.2003, </w:t>
      </w:r>
      <w:proofErr w:type="gramStart"/>
      <w:r w:rsidRPr="000D0EDB">
        <w:rPr>
          <w:lang w:val="pl-PL"/>
        </w:rPr>
        <w:t>s</w:t>
      </w:r>
      <w:proofErr w:type="gramEnd"/>
      <w:r w:rsidRPr="000D0EDB">
        <w:rPr>
          <w:lang w:val="pl-PL"/>
        </w:rPr>
        <w:t>. 26).</w:t>
      </w:r>
    </w:p>
  </w:footnote>
  <w:footnote w:id="54">
    <w:p w:rsidR="00863B3E" w:rsidRPr="000D0EDB" w:rsidRDefault="00863B3E" w:rsidP="00524971">
      <w:pPr>
        <w:pStyle w:val="FootnoteTextForceStyle"/>
        <w:rPr>
          <w:lang w:val="pl-PL"/>
        </w:rPr>
      </w:pPr>
      <w:r>
        <w:rPr>
          <w:vertAlign w:val="superscript"/>
        </w:rPr>
        <w:footnoteRef/>
      </w:r>
      <w:r w:rsidRPr="000D0EDB">
        <w:rPr>
          <w:lang w:val="pl-PL"/>
        </w:rPr>
        <w:tab/>
        <w:t xml:space="preserve">Dyrektywa 2007/2/WE Parlamentu Europejskiego i Rady z dnia 14 marca 2007 r. ustanawiająca infrastrukturę informacji przestrzennej we Wspólnocie Europejskiej (INSPIRE) (Dz.U. L 108 z 25.4.2007, </w:t>
      </w:r>
      <w:proofErr w:type="gramStart"/>
      <w:r w:rsidRPr="000D0EDB">
        <w:rPr>
          <w:lang w:val="pl-PL"/>
        </w:rPr>
        <w:t>s</w:t>
      </w:r>
      <w:proofErr w:type="gramEnd"/>
      <w:r w:rsidRPr="000D0EDB">
        <w:rPr>
          <w:lang w:val="pl-PL"/>
        </w:rPr>
        <w:t>. 1).</w:t>
      </w:r>
    </w:p>
  </w:footnote>
  <w:footnote w:id="55">
    <w:p w:rsidR="00863B3E" w:rsidRPr="000D0EDB" w:rsidRDefault="00863B3E" w:rsidP="00524971">
      <w:pPr>
        <w:pStyle w:val="FootnoteTextForceStyle"/>
        <w:rPr>
          <w:lang w:val="pl-PL"/>
        </w:rPr>
      </w:pPr>
      <w:r>
        <w:rPr>
          <w:vertAlign w:val="superscript"/>
        </w:rPr>
        <w:footnoteRef/>
      </w:r>
      <w:r w:rsidRPr="000D0EDB">
        <w:rPr>
          <w:lang w:val="pl-PL"/>
        </w:rPr>
        <w:tab/>
        <w:t xml:space="preserve">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w:t>
      </w:r>
      <w:proofErr w:type="gramStart"/>
      <w:r w:rsidRPr="000D0EDB">
        <w:rPr>
          <w:lang w:val="pl-PL"/>
        </w:rPr>
        <w:t>s</w:t>
      </w:r>
      <w:proofErr w:type="gramEnd"/>
      <w:r w:rsidRPr="000D0EDB">
        <w:rPr>
          <w:lang w:val="pl-PL"/>
        </w:rPr>
        <w:t>. 39).</w:t>
      </w:r>
    </w:p>
  </w:footnote>
  <w:footnote w:id="56">
    <w:p w:rsidR="00863B3E" w:rsidRPr="000D0EDB" w:rsidRDefault="00863B3E" w:rsidP="00524971">
      <w:pPr>
        <w:pStyle w:val="FootnoteTextForceStyle"/>
        <w:rPr>
          <w:lang w:val="pl-PL"/>
        </w:rPr>
      </w:pPr>
      <w:r>
        <w:rPr>
          <w:vertAlign w:val="superscript"/>
        </w:rPr>
        <w:footnoteRef/>
      </w:r>
      <w:r w:rsidRPr="000D0EDB">
        <w:rPr>
          <w:lang w:val="pl-PL"/>
        </w:rPr>
        <w:tab/>
        <w:t xml:space="preserve">Rozporządzenie (WE) nr 1367/2006 Parlamentu Europejskiego i Rady z dnia 6 września 2006 r. w sprawie zastosowania postanowień Konwencji z </w:t>
      </w:r>
      <w:proofErr w:type="spellStart"/>
      <w:r w:rsidRPr="000D0EDB">
        <w:rPr>
          <w:lang w:val="pl-PL"/>
        </w:rPr>
        <w:t>Aarhus</w:t>
      </w:r>
      <w:proofErr w:type="spellEnd"/>
      <w:r w:rsidRPr="000D0EDB">
        <w:rPr>
          <w:lang w:val="pl-PL"/>
        </w:rPr>
        <w:t xml:space="preserve"> o dostępie do informacji, udziale społeczeństwa w podejmowaniu decyzji oraz dostępie do sprawiedliwości w sprawach dotyczących środowiska do instytucji i organów Wspólnoty (Dz.U. L 264 z 25.9.2006, </w:t>
      </w:r>
      <w:proofErr w:type="gramStart"/>
      <w:r w:rsidRPr="000D0EDB">
        <w:rPr>
          <w:lang w:val="pl-PL"/>
        </w:rPr>
        <w:t>s</w:t>
      </w:r>
      <w:proofErr w:type="gramEnd"/>
      <w:r w:rsidRPr="000D0EDB">
        <w:rPr>
          <w:lang w:val="pl-PL"/>
        </w:rPr>
        <w:t>. 13).</w:t>
      </w:r>
    </w:p>
  </w:footnote>
  <w:footnote w:id="57">
    <w:p w:rsidR="00863B3E" w:rsidRPr="000D0EDB" w:rsidRDefault="00863B3E" w:rsidP="00524971">
      <w:pPr>
        <w:pStyle w:val="FootnoteTextForceStyle"/>
        <w:rPr>
          <w:lang w:val="pl-PL"/>
        </w:rPr>
      </w:pPr>
      <w:r>
        <w:rPr>
          <w:vertAlign w:val="superscript"/>
        </w:rPr>
        <w:footnoteRef/>
      </w:r>
      <w:r w:rsidRPr="000D0EDB">
        <w:rPr>
          <w:lang w:val="pl-PL"/>
        </w:rPr>
        <w:tab/>
        <w:t xml:space="preserve">Dyrektywa Parlamentu Europejskiego i Rady (UE) 2019/1024 z dnia 20 czerwca 2019 r. w sprawie otwartych danych i ponownego wykorzystywania informacji sektora publicznego (Dz.U. L 172 z 26.6.2019, </w:t>
      </w:r>
      <w:proofErr w:type="gramStart"/>
      <w:r w:rsidRPr="000D0EDB">
        <w:rPr>
          <w:lang w:val="pl-PL"/>
        </w:rPr>
        <w:t>s</w:t>
      </w:r>
      <w:proofErr w:type="gramEnd"/>
      <w:r w:rsidRPr="000D0EDB">
        <w:rPr>
          <w:lang w:val="pl-PL"/>
        </w:rPr>
        <w:t>. 56).</w:t>
      </w:r>
    </w:p>
  </w:footnote>
  <w:footnote w:id="58">
    <w:p w:rsidR="00863B3E" w:rsidRPr="00524971" w:rsidRDefault="00863B3E" w:rsidP="00524971">
      <w:pPr>
        <w:pStyle w:val="FootnoteText"/>
        <w:rPr>
          <w:strike/>
          <w:lang w:val="pl-PL"/>
        </w:rPr>
      </w:pPr>
      <w:r w:rsidRPr="00524971">
        <w:rPr>
          <w:rStyle w:val="FootnoteReference"/>
          <w:lang w:val="pl-PL"/>
        </w:rPr>
        <w:t>+</w:t>
      </w:r>
      <w:r w:rsidRPr="00524971">
        <w:rPr>
          <w:lang w:val="pl-PL"/>
        </w:rPr>
        <w:tab/>
      </w:r>
      <w:r w:rsidRPr="00524971">
        <w:rPr>
          <w:strike/>
          <w:lang w:val="pl-PL"/>
        </w:rPr>
        <w:t xml:space="preserve">Urząd Publikacji: proszę wstawić w tekście numer rozporządzenia w sprawie odbudowy zasobów przyrodniczych, zawartego w dokumencie COM(2022) 304. </w:t>
      </w:r>
    </w:p>
  </w:footnote>
  <w:footnote w:id="59">
    <w:p w:rsidR="00863B3E" w:rsidRPr="008E1614" w:rsidRDefault="00863B3E" w:rsidP="00524971">
      <w:pPr>
        <w:pStyle w:val="FootnoteText"/>
        <w:rPr>
          <w:strike/>
          <w:lang w:val="pl-PL"/>
        </w:rPr>
      </w:pPr>
      <w:r w:rsidRPr="008E1614">
        <w:rPr>
          <w:rStyle w:val="FootnoteReference"/>
          <w:strike/>
        </w:rPr>
        <w:footnoteRef/>
      </w:r>
      <w:r w:rsidRPr="008E1614">
        <w:rPr>
          <w:strike/>
          <w:lang w:val="pl-PL"/>
        </w:rPr>
        <w:tab/>
        <w:t>Zgodnie z definicją zawartą w wytycznych FAO dotyczących opisu gleby, rozdział 5 (</w:t>
      </w:r>
      <w:hyperlink r:id="rId1" w:history="1">
        <w:r w:rsidRPr="008E1614">
          <w:rPr>
            <w:rStyle w:val="Hyperlink"/>
            <w:strike/>
            <w:lang w:val="pl-PL"/>
          </w:rPr>
          <w:t>https://www.fao.org/3/a0541e/a0541e.pdf</w:t>
        </w:r>
      </w:hyperlink>
      <w:r w:rsidRPr="008E1614">
        <w:rPr>
          <w:strike/>
          <w:lang w:val="pl-PL"/>
        </w:rPr>
        <w:t>).</w:t>
      </w:r>
    </w:p>
  </w:footnote>
  <w:footnote w:id="60">
    <w:p w:rsidR="00863B3E" w:rsidRPr="008E1614" w:rsidRDefault="00863B3E" w:rsidP="00524971">
      <w:pPr>
        <w:pStyle w:val="FootnoteText"/>
        <w:rPr>
          <w:strike/>
          <w:lang w:val="pl-PL"/>
        </w:rPr>
      </w:pPr>
      <w:r w:rsidRPr="008E1614">
        <w:rPr>
          <w:rStyle w:val="FootnoteReference"/>
          <w:strike/>
        </w:rPr>
        <w:footnoteRef/>
      </w:r>
      <w:r w:rsidRPr="008E1614">
        <w:rPr>
          <w:strike/>
          <w:lang w:val="pl-PL"/>
        </w:rPr>
        <w:tab/>
        <w:t xml:space="preserve">Zgodnie z definicją w: </w:t>
      </w:r>
      <w:proofErr w:type="spellStart"/>
      <w:r w:rsidRPr="008E1614">
        <w:rPr>
          <w:strike/>
          <w:lang w:val="pl-PL"/>
        </w:rPr>
        <w:t>Arshad</w:t>
      </w:r>
      <w:proofErr w:type="spellEnd"/>
      <w:r w:rsidRPr="008E1614">
        <w:rPr>
          <w:strike/>
          <w:lang w:val="pl-PL"/>
        </w:rPr>
        <w:t xml:space="preserve">, </w:t>
      </w:r>
      <w:proofErr w:type="spellStart"/>
      <w:r w:rsidRPr="008E1614">
        <w:rPr>
          <w:strike/>
          <w:lang w:val="pl-PL"/>
        </w:rPr>
        <w:t>M.A</w:t>
      </w:r>
      <w:proofErr w:type="spellEnd"/>
      <w:r w:rsidRPr="008E1614">
        <w:rPr>
          <w:strike/>
          <w:lang w:val="pl-PL"/>
        </w:rPr>
        <w:t xml:space="preserve">., B. </w:t>
      </w:r>
      <w:proofErr w:type="spellStart"/>
      <w:r w:rsidRPr="008E1614">
        <w:rPr>
          <w:strike/>
          <w:lang w:val="pl-PL"/>
        </w:rPr>
        <w:t>Lowery</w:t>
      </w:r>
      <w:proofErr w:type="spellEnd"/>
      <w:r w:rsidRPr="008E1614">
        <w:rPr>
          <w:strike/>
          <w:lang w:val="pl-PL"/>
        </w:rPr>
        <w:t xml:space="preserve"> i B. Grossman. 1996. </w:t>
      </w:r>
      <w:proofErr w:type="spellStart"/>
      <w:r w:rsidRPr="008E1614">
        <w:rPr>
          <w:strike/>
          <w:lang w:val="pl-PL"/>
        </w:rPr>
        <w:t>Physical</w:t>
      </w:r>
      <w:proofErr w:type="spellEnd"/>
      <w:r w:rsidRPr="008E1614">
        <w:rPr>
          <w:strike/>
          <w:lang w:val="pl-PL"/>
        </w:rPr>
        <w:t xml:space="preserve"> </w:t>
      </w:r>
      <w:proofErr w:type="spellStart"/>
      <w:r w:rsidRPr="008E1614">
        <w:rPr>
          <w:strike/>
          <w:lang w:val="pl-PL"/>
        </w:rPr>
        <w:t>tests</w:t>
      </w:r>
      <w:proofErr w:type="spellEnd"/>
      <w:r w:rsidRPr="008E1614">
        <w:rPr>
          <w:strike/>
          <w:lang w:val="pl-PL"/>
        </w:rPr>
        <w:t xml:space="preserve"> for monitoring </w:t>
      </w:r>
      <w:proofErr w:type="spellStart"/>
      <w:r w:rsidRPr="008E1614">
        <w:rPr>
          <w:strike/>
          <w:lang w:val="pl-PL"/>
        </w:rPr>
        <w:t>soil</w:t>
      </w:r>
      <w:proofErr w:type="spellEnd"/>
      <w:r w:rsidRPr="008E1614">
        <w:rPr>
          <w:strike/>
          <w:lang w:val="pl-PL"/>
        </w:rPr>
        <w:t xml:space="preserve"> </w:t>
      </w:r>
      <w:proofErr w:type="spellStart"/>
      <w:r w:rsidRPr="008E1614">
        <w:rPr>
          <w:strike/>
          <w:lang w:val="pl-PL"/>
        </w:rPr>
        <w:t>quality</w:t>
      </w:r>
      <w:proofErr w:type="spellEnd"/>
      <w:r w:rsidRPr="008E1614">
        <w:rPr>
          <w:strike/>
          <w:lang w:val="pl-PL"/>
        </w:rPr>
        <w:t xml:space="preserve"> [Badania fizyczne do celów monitorowania jakości gleby], s. 123–142. </w:t>
      </w:r>
      <w:r w:rsidRPr="008E1614">
        <w:rPr>
          <w:strike/>
          <w:lang w:val="en-IE"/>
        </w:rPr>
        <w:t xml:space="preserve">[W:] J.W. Doran </w:t>
      </w:r>
      <w:proofErr w:type="spellStart"/>
      <w:r w:rsidRPr="008E1614">
        <w:rPr>
          <w:strike/>
          <w:lang w:val="en-IE"/>
        </w:rPr>
        <w:t>i</w:t>
      </w:r>
      <w:proofErr w:type="spellEnd"/>
      <w:r w:rsidRPr="008E1614">
        <w:rPr>
          <w:strike/>
          <w:lang w:val="en-IE"/>
        </w:rPr>
        <w:t xml:space="preserve"> </w:t>
      </w:r>
      <w:proofErr w:type="spellStart"/>
      <w:r w:rsidRPr="008E1614">
        <w:rPr>
          <w:strike/>
          <w:lang w:val="en-IE"/>
        </w:rPr>
        <w:t>A.J</w:t>
      </w:r>
      <w:proofErr w:type="spellEnd"/>
      <w:r w:rsidRPr="008E1614">
        <w:rPr>
          <w:strike/>
          <w:lang w:val="en-IE"/>
        </w:rPr>
        <w:t>. Jones (red.). Methods for assessing soil quality [</w:t>
      </w:r>
      <w:proofErr w:type="spellStart"/>
      <w:r w:rsidRPr="008E1614">
        <w:rPr>
          <w:strike/>
          <w:lang w:val="en-IE"/>
        </w:rPr>
        <w:t>Metody</w:t>
      </w:r>
      <w:proofErr w:type="spellEnd"/>
      <w:r w:rsidRPr="008E1614">
        <w:rPr>
          <w:strike/>
          <w:lang w:val="en-IE"/>
        </w:rPr>
        <w:t xml:space="preserve"> </w:t>
      </w:r>
      <w:proofErr w:type="spellStart"/>
      <w:r w:rsidRPr="008E1614">
        <w:rPr>
          <w:strike/>
          <w:lang w:val="en-IE"/>
        </w:rPr>
        <w:t>oceny</w:t>
      </w:r>
      <w:proofErr w:type="spellEnd"/>
      <w:r w:rsidRPr="008E1614">
        <w:rPr>
          <w:strike/>
          <w:lang w:val="en-IE"/>
        </w:rPr>
        <w:t xml:space="preserve"> </w:t>
      </w:r>
      <w:proofErr w:type="spellStart"/>
      <w:r w:rsidRPr="008E1614">
        <w:rPr>
          <w:strike/>
          <w:lang w:val="en-IE"/>
        </w:rPr>
        <w:t>jakości</w:t>
      </w:r>
      <w:proofErr w:type="spellEnd"/>
      <w:r w:rsidRPr="008E1614">
        <w:rPr>
          <w:strike/>
          <w:lang w:val="en-IE"/>
        </w:rPr>
        <w:t xml:space="preserve"> </w:t>
      </w:r>
      <w:proofErr w:type="spellStart"/>
      <w:r w:rsidRPr="008E1614">
        <w:rPr>
          <w:strike/>
          <w:lang w:val="en-IE"/>
        </w:rPr>
        <w:t>gleby</w:t>
      </w:r>
      <w:proofErr w:type="spellEnd"/>
      <w:r w:rsidRPr="008E1614">
        <w:rPr>
          <w:strike/>
          <w:lang w:val="en-IE"/>
        </w:rPr>
        <w:t xml:space="preserve">]. </w:t>
      </w:r>
      <w:proofErr w:type="spellStart"/>
      <w:r w:rsidRPr="008E1614">
        <w:rPr>
          <w:strike/>
          <w:lang w:val="pl-PL"/>
        </w:rPr>
        <w:t>Soil</w:t>
      </w:r>
      <w:proofErr w:type="spellEnd"/>
      <w:r w:rsidRPr="008E1614">
        <w:rPr>
          <w:strike/>
          <w:lang w:val="pl-PL"/>
        </w:rPr>
        <w:t xml:space="preserve"> </w:t>
      </w:r>
      <w:proofErr w:type="spellStart"/>
      <w:r w:rsidRPr="008E1614">
        <w:rPr>
          <w:strike/>
          <w:lang w:val="pl-PL"/>
        </w:rPr>
        <w:t>Sci</w:t>
      </w:r>
      <w:proofErr w:type="spellEnd"/>
      <w:r w:rsidRPr="008E1614">
        <w:rPr>
          <w:strike/>
          <w:lang w:val="pl-PL"/>
        </w:rPr>
        <w:t xml:space="preserve">. </w:t>
      </w:r>
      <w:proofErr w:type="spellStart"/>
      <w:r w:rsidRPr="008E1614">
        <w:rPr>
          <w:strike/>
          <w:lang w:val="pl-PL"/>
        </w:rPr>
        <w:t>Soc</w:t>
      </w:r>
      <w:proofErr w:type="spellEnd"/>
      <w:r w:rsidRPr="008E1614">
        <w:rPr>
          <w:strike/>
          <w:lang w:val="pl-PL"/>
        </w:rPr>
        <w:t xml:space="preserve">. </w:t>
      </w:r>
      <w:r w:rsidR="00134EB8">
        <w:rPr>
          <w:strike/>
          <w:lang w:val="pl-PL"/>
        </w:rPr>
        <w:t>Popr.</w:t>
      </w:r>
      <w:r w:rsidRPr="008E1614">
        <w:rPr>
          <w:strike/>
          <w:lang w:val="pl-PL"/>
        </w:rPr>
        <w:t xml:space="preserve"> Spec. </w:t>
      </w:r>
      <w:proofErr w:type="spellStart"/>
      <w:r w:rsidRPr="008E1614">
        <w:rPr>
          <w:strike/>
          <w:lang w:val="pl-PL"/>
        </w:rPr>
        <w:t>Publ</w:t>
      </w:r>
      <w:proofErr w:type="spellEnd"/>
      <w:r w:rsidRPr="008E1614">
        <w:rPr>
          <w:strike/>
          <w:lang w:val="pl-PL"/>
        </w:rPr>
        <w:t>. 49. SSSA, Madison, WI.</w:t>
      </w:r>
    </w:p>
  </w:footnote>
  <w:footnote w:id="61">
    <w:p w:rsidR="00863B3E" w:rsidRPr="00524971" w:rsidRDefault="00863B3E" w:rsidP="00524971">
      <w:pPr>
        <w:pStyle w:val="FootnoteText"/>
        <w:rPr>
          <w:strike/>
          <w:lang w:val="pl-PL"/>
        </w:rPr>
      </w:pPr>
      <w:r w:rsidRPr="00F53A20">
        <w:rPr>
          <w:rStyle w:val="FootnoteReference"/>
          <w:strike/>
        </w:rPr>
        <w:footnoteRef/>
      </w:r>
      <w:r w:rsidRPr="00524971">
        <w:rPr>
          <w:strike/>
          <w:lang w:val="pl-PL"/>
        </w:rPr>
        <w:tab/>
        <w:t xml:space="preserve">Dyrektywa Rady 92/43/EWG z dnia 21 maja 1992 r. w sprawie ochrony siedlisk przyrodniczych oraz dzikiej fauny i flory (Dz.U. L 206 z 22.7.1992, </w:t>
      </w:r>
      <w:proofErr w:type="gramStart"/>
      <w:r w:rsidRPr="00524971">
        <w:rPr>
          <w:strike/>
          <w:lang w:val="pl-PL"/>
        </w:rPr>
        <w:t>s</w:t>
      </w:r>
      <w:proofErr w:type="gramEnd"/>
      <w:r w:rsidRPr="00524971">
        <w:rPr>
          <w:strike/>
          <w:lang w:val="pl-PL"/>
        </w:rPr>
        <w:t>. 7).</w:t>
      </w:r>
    </w:p>
  </w:footnote>
  <w:footnote w:id="62">
    <w:p w:rsidR="00863B3E" w:rsidRPr="00524971" w:rsidRDefault="00863B3E" w:rsidP="00524971">
      <w:pPr>
        <w:pStyle w:val="FootnoteText"/>
        <w:rPr>
          <w:strike/>
          <w:lang w:val="pl-PL"/>
        </w:rPr>
      </w:pPr>
      <w:r w:rsidRPr="00F53A20">
        <w:rPr>
          <w:rStyle w:val="FootnoteReference"/>
          <w:strike/>
        </w:rPr>
        <w:footnoteRef/>
      </w:r>
      <w:r w:rsidRPr="00524971">
        <w:rPr>
          <w:strike/>
          <w:lang w:val="pl-PL"/>
        </w:rPr>
        <w:tab/>
        <w:t>Zgodnie z definicją zawartą w wytycznych FAO dotyczących opisu gleby, rozdział 5 (</w:t>
      </w:r>
      <w:hyperlink r:id="rId2" w:history="1">
        <w:r w:rsidRPr="00524971">
          <w:rPr>
            <w:rStyle w:val="Hyperlink"/>
            <w:strike/>
            <w:lang w:val="pl-PL"/>
          </w:rPr>
          <w:t>https://www.fao.org/3/a0541e/a0541e.pdf</w:t>
        </w:r>
      </w:hyperlink>
      <w:r w:rsidRPr="00524971">
        <w:rPr>
          <w:strike/>
          <w:lang w:val="pl-PL"/>
        </w:rPr>
        <w:t>).</w:t>
      </w:r>
    </w:p>
  </w:footnote>
  <w:footnote w:id="63">
    <w:p w:rsidR="00863B3E" w:rsidRPr="00524971" w:rsidRDefault="00863B3E" w:rsidP="00524971">
      <w:pPr>
        <w:pStyle w:val="FootnoteText"/>
        <w:rPr>
          <w:rFonts w:ascii="Calibri" w:hAnsi="Calibri"/>
          <w:strike/>
          <w:lang w:val="pl-PL"/>
        </w:rPr>
      </w:pPr>
      <w:r w:rsidRPr="00360040">
        <w:rPr>
          <w:rStyle w:val="FootnoteReference"/>
          <w:strike/>
        </w:rPr>
        <w:footnoteRef/>
      </w:r>
      <w:r w:rsidRPr="00524971">
        <w:rPr>
          <w:strike/>
          <w:lang w:val="pl-PL"/>
        </w:rPr>
        <w:tab/>
      </w:r>
      <w:proofErr w:type="spellStart"/>
      <w:r w:rsidRPr="00524971">
        <w:rPr>
          <w:strike/>
          <w:lang w:val="pl-PL"/>
        </w:rPr>
        <w:t>Bethel</w:t>
      </w:r>
      <w:proofErr w:type="spellEnd"/>
      <w:r w:rsidRPr="00524971">
        <w:rPr>
          <w:strike/>
          <w:lang w:val="pl-PL"/>
        </w:rPr>
        <w:t>, J. 1989. „</w:t>
      </w:r>
      <w:proofErr w:type="spellStart"/>
      <w:r w:rsidRPr="00524971">
        <w:rPr>
          <w:strike/>
          <w:lang w:val="pl-PL"/>
        </w:rPr>
        <w:t>Sample</w:t>
      </w:r>
      <w:proofErr w:type="spellEnd"/>
      <w:r w:rsidRPr="00524971">
        <w:rPr>
          <w:strike/>
          <w:lang w:val="pl-PL"/>
        </w:rPr>
        <w:t xml:space="preserve"> </w:t>
      </w:r>
      <w:proofErr w:type="spellStart"/>
      <w:r w:rsidRPr="00524971">
        <w:rPr>
          <w:strike/>
          <w:lang w:val="pl-PL"/>
        </w:rPr>
        <w:t>Allocation</w:t>
      </w:r>
      <w:proofErr w:type="spellEnd"/>
      <w:r w:rsidRPr="00524971">
        <w:rPr>
          <w:strike/>
          <w:lang w:val="pl-PL"/>
        </w:rPr>
        <w:t xml:space="preserve"> in </w:t>
      </w:r>
      <w:proofErr w:type="spellStart"/>
      <w:r w:rsidRPr="00524971">
        <w:rPr>
          <w:strike/>
          <w:lang w:val="pl-PL"/>
        </w:rPr>
        <w:t>Multivariate</w:t>
      </w:r>
      <w:proofErr w:type="spellEnd"/>
      <w:r w:rsidRPr="00524971">
        <w:rPr>
          <w:strike/>
          <w:lang w:val="pl-PL"/>
        </w:rPr>
        <w:t xml:space="preserve"> </w:t>
      </w:r>
      <w:proofErr w:type="spellStart"/>
      <w:r w:rsidRPr="00524971">
        <w:rPr>
          <w:strike/>
          <w:lang w:val="pl-PL"/>
        </w:rPr>
        <w:t>Surveys</w:t>
      </w:r>
      <w:proofErr w:type="spellEnd"/>
      <w:r w:rsidRPr="00524971">
        <w:rPr>
          <w:strike/>
          <w:lang w:val="pl-PL"/>
        </w:rPr>
        <w:t xml:space="preserve">” [„Alokacja próby w badaniach </w:t>
      </w:r>
      <w:proofErr w:type="spellStart"/>
      <w:r w:rsidRPr="00524971">
        <w:rPr>
          <w:strike/>
          <w:lang w:val="pl-PL"/>
        </w:rPr>
        <w:t>wielozmiennowych</w:t>
      </w:r>
      <w:proofErr w:type="spellEnd"/>
      <w:r w:rsidRPr="00524971">
        <w:rPr>
          <w:strike/>
          <w:lang w:val="pl-PL"/>
        </w:rPr>
        <w:t xml:space="preserve">”]. </w:t>
      </w:r>
      <w:proofErr w:type="spellStart"/>
      <w:r w:rsidRPr="00524971">
        <w:rPr>
          <w:strike/>
          <w:lang w:val="pl-PL"/>
        </w:rPr>
        <w:t>Survey</w:t>
      </w:r>
      <w:proofErr w:type="spellEnd"/>
      <w:r w:rsidRPr="00524971">
        <w:rPr>
          <w:strike/>
          <w:lang w:val="pl-PL"/>
        </w:rPr>
        <w:t xml:space="preserve"> </w:t>
      </w:r>
      <w:proofErr w:type="spellStart"/>
      <w:r w:rsidRPr="00524971">
        <w:rPr>
          <w:strike/>
          <w:lang w:val="pl-PL"/>
        </w:rPr>
        <w:t>Methodology</w:t>
      </w:r>
      <w:proofErr w:type="spellEnd"/>
      <w:r w:rsidRPr="00524971">
        <w:rPr>
          <w:strike/>
          <w:lang w:val="pl-PL"/>
        </w:rPr>
        <w:t xml:space="preserve"> 15: 47–57.</w:t>
      </w:r>
    </w:p>
  </w:footnote>
  <w:footnote w:id="64">
    <w:p w:rsidR="00863B3E" w:rsidRPr="008E1614" w:rsidRDefault="00863B3E" w:rsidP="00524971">
      <w:pPr>
        <w:pStyle w:val="FootnoteText"/>
        <w:rPr>
          <w:strike/>
          <w:lang w:val="pl-PL"/>
        </w:rPr>
      </w:pPr>
      <w:r w:rsidRPr="008E1614">
        <w:rPr>
          <w:rStyle w:val="FootnoteReference"/>
          <w:strike/>
        </w:rPr>
        <w:footnoteRef/>
      </w:r>
      <w:r w:rsidRPr="008E1614">
        <w:rPr>
          <w:strike/>
          <w:lang w:val="pl-PL"/>
        </w:rPr>
        <w:tab/>
        <w:t>Metodyki inne niż metodyki referencyjne muszą być dostępne w literaturze naukowej lub dostępne publicznie.</w:t>
      </w:r>
    </w:p>
  </w:footnote>
  <w:footnote w:id="65">
    <w:p w:rsidR="00863B3E" w:rsidRPr="008E1614" w:rsidRDefault="00863B3E" w:rsidP="00524971">
      <w:pPr>
        <w:pStyle w:val="FootnoteText"/>
        <w:rPr>
          <w:strike/>
          <w:lang w:val="pl-PL"/>
        </w:rPr>
      </w:pPr>
      <w:r w:rsidRPr="008E1614">
        <w:rPr>
          <w:rStyle w:val="FootnoteReference"/>
          <w:strike/>
        </w:rPr>
        <w:footnoteRef/>
      </w:r>
      <w:r w:rsidRPr="008E1614">
        <w:rPr>
          <w:strike/>
          <w:lang w:val="pl-PL"/>
        </w:rPr>
        <w:tab/>
      </w:r>
      <w:hyperlink r:id="rId3" w:history="1">
        <w:r w:rsidRPr="008E1614">
          <w:rPr>
            <w:rStyle w:val="Hyperlink"/>
            <w:strike/>
            <w:lang w:val="pl-PL"/>
          </w:rPr>
          <w:t>https://www.fao.org/3/cb3355en/cb3355en.pdf</w:t>
        </w:r>
      </w:hyperlink>
      <w:r w:rsidRPr="008E1614">
        <w:rPr>
          <w:strike/>
          <w:lang w:val="pl-PL"/>
        </w:rPr>
        <w:t xml:space="preserve"> </w:t>
      </w:r>
    </w:p>
  </w:footnote>
  <w:footnote w:id="66">
    <w:p w:rsidR="00863B3E" w:rsidRPr="008E1614" w:rsidRDefault="00863B3E" w:rsidP="00524971">
      <w:pPr>
        <w:pStyle w:val="FootnoteText"/>
        <w:rPr>
          <w:rFonts w:ascii="Calibri" w:hAnsi="Calibri"/>
          <w:strike/>
          <w:lang w:val="pl-PL"/>
        </w:rPr>
      </w:pPr>
      <w:r w:rsidRPr="008E1614">
        <w:rPr>
          <w:rStyle w:val="FootnoteReference"/>
          <w:strike/>
        </w:rPr>
        <w:footnoteRef/>
      </w:r>
      <w:r w:rsidRPr="008E1614">
        <w:rPr>
          <w:strike/>
          <w:lang w:val="pl-PL"/>
        </w:rPr>
        <w:tab/>
        <w:t>Zgodnie z definicją zawartą w wytycznych FAO dotyczących opisu gleby, rozdział 5 (</w:t>
      </w:r>
      <w:hyperlink r:id="rId4" w:history="1">
        <w:r w:rsidRPr="008E1614">
          <w:rPr>
            <w:rStyle w:val="Hyperlink"/>
            <w:strike/>
            <w:lang w:val="pl-PL"/>
          </w:rPr>
          <w:t>https://www.fao.org/3/a0541e/a0541e.pdf</w:t>
        </w:r>
      </w:hyperlink>
      <w:r w:rsidRPr="008E1614">
        <w:rPr>
          <w:strike/>
          <w:lang w:val="pl-PL"/>
        </w:rPr>
        <w:t xml:space="preserve">). </w:t>
      </w:r>
    </w:p>
  </w:footnote>
  <w:footnote w:id="67">
    <w:p w:rsidR="00863B3E" w:rsidRPr="008E1614" w:rsidRDefault="00863B3E" w:rsidP="00524971">
      <w:pPr>
        <w:pStyle w:val="FootnoteText"/>
        <w:rPr>
          <w:strike/>
          <w:lang w:val="pl-PL"/>
        </w:rPr>
      </w:pPr>
      <w:r w:rsidRPr="008E1614">
        <w:rPr>
          <w:rStyle w:val="FootnoteReference"/>
          <w:strike/>
        </w:rPr>
        <w:footnoteRef/>
      </w:r>
      <w:r w:rsidRPr="008E1614">
        <w:rPr>
          <w:strike/>
          <w:lang w:val="pl-PL"/>
        </w:rPr>
        <w:tab/>
        <w:t xml:space="preserve">Równoważny zgodnie ze sprawozdaniem EEA: </w:t>
      </w:r>
      <w:hyperlink r:id="rId5" w:history="1">
        <w:proofErr w:type="spellStart"/>
        <w:r w:rsidRPr="008E1614">
          <w:rPr>
            <w:rStyle w:val="Hyperlink"/>
            <w:strike/>
            <w:lang w:val="pl-PL"/>
          </w:rPr>
          <w:t>Soil</w:t>
        </w:r>
        <w:proofErr w:type="spellEnd"/>
        <w:r w:rsidRPr="008E1614">
          <w:rPr>
            <w:rStyle w:val="Hyperlink"/>
            <w:strike/>
            <w:lang w:val="pl-PL"/>
          </w:rPr>
          <w:t xml:space="preserve"> monitoring in Europe – </w:t>
        </w:r>
        <w:proofErr w:type="spellStart"/>
        <w:r w:rsidRPr="008E1614">
          <w:rPr>
            <w:rStyle w:val="Hyperlink"/>
            <w:strike/>
            <w:lang w:val="pl-PL"/>
          </w:rPr>
          <w:t>Indicators</w:t>
        </w:r>
        <w:proofErr w:type="spellEnd"/>
        <w:r w:rsidRPr="008E1614">
          <w:rPr>
            <w:rStyle w:val="Hyperlink"/>
            <w:strike/>
            <w:lang w:val="pl-PL"/>
          </w:rPr>
          <w:t xml:space="preserve"> and </w:t>
        </w:r>
        <w:proofErr w:type="spellStart"/>
        <w:r w:rsidRPr="008E1614">
          <w:rPr>
            <w:rStyle w:val="Hyperlink"/>
            <w:strike/>
            <w:lang w:val="pl-PL"/>
          </w:rPr>
          <w:t>thresholds</w:t>
        </w:r>
        <w:proofErr w:type="spellEnd"/>
        <w:r w:rsidRPr="008E1614">
          <w:rPr>
            <w:rStyle w:val="Hyperlink"/>
            <w:strike/>
            <w:lang w:val="pl-PL"/>
          </w:rPr>
          <w:t xml:space="preserve"> for </w:t>
        </w:r>
        <w:proofErr w:type="spellStart"/>
        <w:r w:rsidRPr="008E1614">
          <w:rPr>
            <w:rStyle w:val="Hyperlink"/>
            <w:strike/>
            <w:lang w:val="pl-PL"/>
          </w:rPr>
          <w:t>soil</w:t>
        </w:r>
        <w:proofErr w:type="spellEnd"/>
        <w:r w:rsidRPr="008E1614">
          <w:rPr>
            <w:rStyle w:val="Hyperlink"/>
            <w:strike/>
            <w:lang w:val="pl-PL"/>
          </w:rPr>
          <w:t xml:space="preserve"> </w:t>
        </w:r>
        <w:proofErr w:type="spellStart"/>
        <w:r w:rsidRPr="008E1614">
          <w:rPr>
            <w:rStyle w:val="Hyperlink"/>
            <w:strike/>
            <w:lang w:val="pl-PL"/>
          </w:rPr>
          <w:t>health</w:t>
        </w:r>
        <w:proofErr w:type="spellEnd"/>
        <w:r w:rsidRPr="008E1614">
          <w:rPr>
            <w:rStyle w:val="Hyperlink"/>
            <w:strike/>
            <w:lang w:val="pl-PL"/>
          </w:rPr>
          <w:t xml:space="preserve"> </w:t>
        </w:r>
        <w:proofErr w:type="spellStart"/>
        <w:r w:rsidRPr="008E1614">
          <w:rPr>
            <w:rStyle w:val="Hyperlink"/>
            <w:strike/>
            <w:lang w:val="pl-PL"/>
          </w:rPr>
          <w:t>assessments</w:t>
        </w:r>
        <w:proofErr w:type="spellEnd"/>
        <w:r w:rsidRPr="008E1614">
          <w:rPr>
            <w:rStyle w:val="Hyperlink"/>
            <w:strike/>
            <w:lang w:val="pl-PL"/>
          </w:rPr>
          <w:t xml:space="preserve"> [Monitorowanie gleb w Europie – Wskaźniki i progi na potrzeby oceny zdrowia gleb], Europejska </w:t>
        </w:r>
        <w:proofErr w:type="spellStart"/>
        <w:r w:rsidRPr="008E1614">
          <w:rPr>
            <w:rStyle w:val="Hyperlink"/>
            <w:strike/>
            <w:lang w:val="pl-PL"/>
          </w:rPr>
          <w:t>Agecja</w:t>
        </w:r>
        <w:proofErr w:type="spellEnd"/>
        <w:r w:rsidRPr="008E1614">
          <w:rPr>
            <w:rStyle w:val="Hyperlink"/>
            <w:strike/>
            <w:lang w:val="pl-PL"/>
          </w:rPr>
          <w:t xml:space="preserve"> Środowiska</w:t>
        </w:r>
      </w:hyperlink>
    </w:p>
  </w:footnote>
  <w:footnote w:id="68">
    <w:p w:rsidR="00863B3E" w:rsidRPr="008E1614" w:rsidRDefault="00863B3E" w:rsidP="00524971">
      <w:pPr>
        <w:pStyle w:val="FootnoteText"/>
        <w:rPr>
          <w:strike/>
        </w:rPr>
      </w:pPr>
      <w:r w:rsidRPr="008E1614">
        <w:rPr>
          <w:rStyle w:val="FootnoteReference"/>
          <w:strike/>
        </w:rPr>
        <w:footnoteRef/>
      </w:r>
      <w:r w:rsidRPr="008E1614">
        <w:rPr>
          <w:strike/>
        </w:rPr>
        <w:tab/>
      </w:r>
    </w:p>
  </w:footnote>
  <w:footnote w:id="69">
    <w:p w:rsidR="00863B3E" w:rsidRPr="00524971" w:rsidRDefault="00863B3E" w:rsidP="00524971">
      <w:pPr>
        <w:pStyle w:val="FootnoteText"/>
        <w:rPr>
          <w:strike/>
          <w:lang w:val="pl-PL"/>
        </w:rPr>
      </w:pPr>
      <w:r w:rsidRPr="00360040">
        <w:rPr>
          <w:rStyle w:val="FootnoteReference"/>
          <w:strike/>
        </w:rPr>
        <w:footnoteRef/>
      </w:r>
      <w:r w:rsidRPr="00524971">
        <w:rPr>
          <w:strike/>
          <w:lang w:val="pl-PL"/>
        </w:rPr>
        <w:tab/>
        <w:t>Zgodnie z definicją zawartą w wytycznych FAO dotyczących opisu gleby, rozdział 5 (</w:t>
      </w:r>
      <w:hyperlink r:id="rId6" w:history="1">
        <w:r w:rsidRPr="00524971">
          <w:rPr>
            <w:rStyle w:val="Hyperlink"/>
            <w:strike/>
            <w:lang w:val="pl-PL"/>
          </w:rPr>
          <w:t>https://www.fao.org/3/a0541e/a0541e.pdf</w:t>
        </w:r>
      </w:hyperlink>
      <w:r w:rsidRPr="00524971">
        <w:rPr>
          <w:strike/>
          <w:lang w:val="pl-PL"/>
        </w:rPr>
        <w:t xml:space="preserve">). </w:t>
      </w:r>
    </w:p>
  </w:footnote>
  <w:footnote w:id="70">
    <w:p w:rsidR="00863B3E" w:rsidRPr="00524971" w:rsidRDefault="00863B3E" w:rsidP="00524971">
      <w:pPr>
        <w:pStyle w:val="FootnoteText"/>
        <w:rPr>
          <w:strike/>
          <w:lang w:val="pl-PL"/>
        </w:rPr>
      </w:pPr>
      <w:r w:rsidRPr="00360040">
        <w:rPr>
          <w:rStyle w:val="FootnoteReference"/>
          <w:strike/>
        </w:rPr>
        <w:footnoteRef/>
      </w:r>
      <w:r w:rsidRPr="00524971">
        <w:rPr>
          <w:strike/>
          <w:lang w:val="pl-PL"/>
        </w:rPr>
        <w:tab/>
        <w:t xml:space="preserve">Sekwencjonowanie </w:t>
      </w:r>
      <w:proofErr w:type="spellStart"/>
      <w:r w:rsidRPr="00524971">
        <w:rPr>
          <w:strike/>
          <w:lang w:val="pl-PL"/>
        </w:rPr>
        <w:t>barkodów</w:t>
      </w:r>
      <w:proofErr w:type="spellEnd"/>
      <w:r w:rsidRPr="00524971">
        <w:rPr>
          <w:strike/>
          <w:lang w:val="pl-PL"/>
        </w:rPr>
        <w:t xml:space="preserve"> DNA do pomiaru taksonomicznej i funkcjonalnej różnorodności </w:t>
      </w:r>
      <w:proofErr w:type="spellStart"/>
      <w:r w:rsidRPr="00524971">
        <w:rPr>
          <w:strike/>
          <w:lang w:val="pl-PL"/>
        </w:rPr>
        <w:t>archeonów</w:t>
      </w:r>
      <w:proofErr w:type="spellEnd"/>
      <w:r w:rsidRPr="00524971">
        <w:rPr>
          <w:strike/>
          <w:lang w:val="pl-PL"/>
        </w:rPr>
        <w:t xml:space="preserve">, bakterii, grzybów i innych </w:t>
      </w:r>
      <w:proofErr w:type="spellStart"/>
      <w:r w:rsidRPr="00524971">
        <w:rPr>
          <w:strike/>
          <w:lang w:val="pl-PL"/>
        </w:rPr>
        <w:t>eukariotów</w:t>
      </w:r>
      <w:proofErr w:type="spellEnd"/>
      <w:r w:rsidRPr="00524971">
        <w:rPr>
          <w:strike/>
          <w:lang w:val="pl-PL"/>
        </w:rPr>
        <w:t xml:space="preserve">, jak w przypadku badania LUCAS dotyczącego różnorodności biologicznej gleb na podstawie </w:t>
      </w:r>
      <w:hyperlink r:id="rId7" w:history="1">
        <w:r w:rsidRPr="00524971">
          <w:rPr>
            <w:rStyle w:val="Hyperlink"/>
            <w:strike/>
            <w:lang w:val="pl-PL"/>
          </w:rPr>
          <w:t>https://doi.org/10.1111/ejss.13299</w:t>
        </w:r>
      </w:hyperlink>
      <w:r w:rsidRPr="00524971">
        <w:rPr>
          <w:strike/>
          <w:lang w:val="pl-PL"/>
        </w:rPr>
        <w:t xml:space="preserve"> </w:t>
      </w:r>
    </w:p>
  </w:footnote>
  <w:footnote w:id="71">
    <w:p w:rsidR="00863B3E" w:rsidRPr="00524971" w:rsidRDefault="00863B3E" w:rsidP="00524971">
      <w:pPr>
        <w:pStyle w:val="FootnoteText"/>
        <w:rPr>
          <w:strike/>
          <w:lang w:val="pl-PL"/>
        </w:rPr>
      </w:pPr>
      <w:r w:rsidRPr="00360040">
        <w:rPr>
          <w:rStyle w:val="FootnoteReference"/>
          <w:strike/>
        </w:rPr>
        <w:footnoteRef/>
      </w:r>
      <w:r w:rsidRPr="00524971">
        <w:rPr>
          <w:strike/>
          <w:lang w:val="pl-PL"/>
        </w:rPr>
        <w:tab/>
      </w:r>
      <w:hyperlink r:id="rId8" w:history="1">
        <w:r w:rsidRPr="00524971">
          <w:rPr>
            <w:rStyle w:val="Hyperlink"/>
            <w:strike/>
            <w:lang w:val="pl-PL"/>
          </w:rPr>
          <w:t>https://www.sciencedirect.com/science/article/abs/pii/S0038071797001259</w:t>
        </w:r>
      </w:hyperlink>
      <w:r w:rsidRPr="00524971">
        <w:rPr>
          <w:strike/>
          <w:color w:val="000000"/>
          <w:sz w:val="16"/>
          <w:lang w:val="pl-PL"/>
        </w:rPr>
        <w:t xml:space="preserve"> </w:t>
      </w:r>
    </w:p>
  </w:footnote>
  <w:footnote w:id="72">
    <w:p w:rsidR="009A0269" w:rsidRPr="009A0269" w:rsidRDefault="009A0269">
      <w:pPr>
        <w:pStyle w:val="FootnoteText"/>
        <w:rPr>
          <w:lang w:val="pl-PL"/>
        </w:rPr>
      </w:pPr>
      <w:r>
        <w:rPr>
          <w:rStyle w:val="FootnoteReference"/>
        </w:rPr>
        <w:footnoteRef/>
      </w:r>
      <w:r w:rsidRPr="009A0269">
        <w:rPr>
          <w:lang w:val="pl-PL"/>
        </w:rPr>
        <w:t xml:space="preserve"> </w:t>
      </w:r>
      <w:r w:rsidRPr="009A0269">
        <w:rPr>
          <w:lang w:val="pl-PL"/>
        </w:rPr>
        <w:tab/>
      </w:r>
      <w:r w:rsidRPr="009A0269">
        <w:rPr>
          <w:b/>
          <w:i/>
          <w:lang w:val="pl-PL"/>
        </w:rPr>
        <w:t xml:space="preserve"> </w:t>
      </w:r>
      <w:hyperlink r:id="rId9" w:history="1">
        <w:r w:rsidRPr="009A0269">
          <w:rPr>
            <w:b/>
            <w:i/>
            <w:lang w:val="pl-PL"/>
          </w:rPr>
          <w:t>https://www.fao.org/3/cb3355en/cb3355en.pdf</w:t>
        </w:r>
      </w:hyperlink>
    </w:p>
  </w:footnote>
  <w:footnote w:id="73">
    <w:p w:rsidR="009A0269" w:rsidRPr="009A0269" w:rsidRDefault="009A0269">
      <w:pPr>
        <w:pStyle w:val="FootnoteText"/>
        <w:rPr>
          <w:lang w:val="pl-PL"/>
        </w:rPr>
      </w:pPr>
      <w:r>
        <w:rPr>
          <w:rStyle w:val="FootnoteReference"/>
        </w:rPr>
        <w:footnoteRef/>
      </w:r>
      <w:r w:rsidRPr="009A0269">
        <w:rPr>
          <w:lang w:val="pl-PL"/>
        </w:rPr>
        <w:t xml:space="preserve"> </w:t>
      </w:r>
      <w:r w:rsidRPr="009A0269">
        <w:rPr>
          <w:lang w:val="pl-PL"/>
        </w:rPr>
        <w:tab/>
      </w:r>
      <w:r w:rsidRPr="009A0269">
        <w:rPr>
          <w:b/>
          <w:i/>
          <w:lang w:val="pl-PL"/>
        </w:rPr>
        <w:t xml:space="preserve">Równoważny zgodnie ze sprawozdaniem EEA: </w:t>
      </w:r>
      <w:hyperlink r:id="rId10" w:history="1">
        <w:proofErr w:type="spellStart"/>
        <w:r w:rsidRPr="009A0269">
          <w:rPr>
            <w:b/>
            <w:i/>
            <w:lang w:val="pl-PL"/>
          </w:rPr>
          <w:t>Soil</w:t>
        </w:r>
        <w:proofErr w:type="spellEnd"/>
        <w:r w:rsidRPr="009A0269">
          <w:rPr>
            <w:b/>
            <w:i/>
            <w:lang w:val="pl-PL"/>
          </w:rPr>
          <w:t xml:space="preserve"> monitoring in Europe – </w:t>
        </w:r>
        <w:proofErr w:type="spellStart"/>
        <w:r w:rsidRPr="009A0269">
          <w:rPr>
            <w:b/>
            <w:i/>
            <w:lang w:val="pl-PL"/>
          </w:rPr>
          <w:t>Indicators</w:t>
        </w:r>
        <w:proofErr w:type="spellEnd"/>
        <w:r w:rsidRPr="009A0269">
          <w:rPr>
            <w:b/>
            <w:i/>
            <w:lang w:val="pl-PL"/>
          </w:rPr>
          <w:t xml:space="preserve"> and </w:t>
        </w:r>
        <w:proofErr w:type="spellStart"/>
        <w:r w:rsidRPr="009A0269">
          <w:rPr>
            <w:b/>
            <w:i/>
            <w:lang w:val="pl-PL"/>
          </w:rPr>
          <w:t>thresholds</w:t>
        </w:r>
        <w:proofErr w:type="spellEnd"/>
        <w:r w:rsidRPr="009A0269">
          <w:rPr>
            <w:b/>
            <w:i/>
            <w:lang w:val="pl-PL"/>
          </w:rPr>
          <w:t xml:space="preserve"> for </w:t>
        </w:r>
        <w:proofErr w:type="spellStart"/>
        <w:r w:rsidRPr="009A0269">
          <w:rPr>
            <w:b/>
            <w:i/>
            <w:lang w:val="pl-PL"/>
          </w:rPr>
          <w:t>soil</w:t>
        </w:r>
        <w:proofErr w:type="spellEnd"/>
        <w:r w:rsidRPr="009A0269">
          <w:rPr>
            <w:b/>
            <w:i/>
            <w:lang w:val="pl-PL"/>
          </w:rPr>
          <w:t xml:space="preserve"> </w:t>
        </w:r>
        <w:proofErr w:type="spellStart"/>
        <w:r w:rsidRPr="009A0269">
          <w:rPr>
            <w:b/>
            <w:i/>
            <w:lang w:val="pl-PL"/>
          </w:rPr>
          <w:t>health</w:t>
        </w:r>
        <w:proofErr w:type="spellEnd"/>
        <w:r w:rsidRPr="009A0269">
          <w:rPr>
            <w:b/>
            <w:i/>
            <w:lang w:val="pl-PL"/>
          </w:rPr>
          <w:t xml:space="preserve"> </w:t>
        </w:r>
        <w:proofErr w:type="spellStart"/>
        <w:r w:rsidRPr="009A0269">
          <w:rPr>
            <w:b/>
            <w:i/>
            <w:lang w:val="pl-PL"/>
          </w:rPr>
          <w:t>assessments</w:t>
        </w:r>
        <w:proofErr w:type="spellEnd"/>
        <w:r w:rsidRPr="009A0269">
          <w:rPr>
            <w:b/>
            <w:i/>
            <w:lang w:val="pl-PL"/>
          </w:rPr>
          <w:t xml:space="preserve"> [Monitorowanie gleb w Europie – Wskaźniki i progi na potrzeby oceny zdrowia gleb], Europejska </w:t>
        </w:r>
        <w:proofErr w:type="spellStart"/>
        <w:r w:rsidRPr="009A0269">
          <w:rPr>
            <w:b/>
            <w:i/>
            <w:lang w:val="pl-PL"/>
          </w:rPr>
          <w:t>Agecja</w:t>
        </w:r>
        <w:proofErr w:type="spellEnd"/>
        <w:r w:rsidRPr="009A0269">
          <w:rPr>
            <w:b/>
            <w:i/>
            <w:lang w:val="pl-PL"/>
          </w:rPr>
          <w:t xml:space="preserve"> Środowiska</w:t>
        </w:r>
      </w:hyperlink>
      <w:r w:rsidRPr="009A0269">
        <w:rPr>
          <w:b/>
          <w:i/>
          <w:lang w:val="pl-PL"/>
        </w:rPr>
        <w:t>.</w:t>
      </w:r>
    </w:p>
  </w:footnote>
  <w:footnote w:id="74">
    <w:p w:rsidR="009A0269" w:rsidRPr="009A0269" w:rsidRDefault="009A0269">
      <w:pPr>
        <w:pStyle w:val="FootnoteText"/>
        <w:rPr>
          <w:lang w:val="pl-PL"/>
        </w:rPr>
      </w:pPr>
      <w:r>
        <w:rPr>
          <w:rStyle w:val="FootnoteReference"/>
        </w:rPr>
        <w:footnoteRef/>
      </w:r>
      <w:r w:rsidRPr="009A0269">
        <w:rPr>
          <w:lang w:val="pl-PL"/>
        </w:rPr>
        <w:t xml:space="preserve"> </w:t>
      </w:r>
      <w:r w:rsidRPr="009A0269">
        <w:rPr>
          <w:lang w:val="pl-PL"/>
        </w:rPr>
        <w:tab/>
      </w:r>
      <w:hyperlink r:id="rId11" w:history="1">
        <w:r w:rsidRPr="009A0269">
          <w:rPr>
            <w:b/>
            <w:i/>
            <w:lang w:val="pl-PL"/>
          </w:rPr>
          <w:t>https://www.sciencedirect.com/science/article/abs/pii/S0038071797001259</w:t>
        </w:r>
      </w:hyperlink>
      <w:r w:rsidRPr="009A0269">
        <w:rPr>
          <w:b/>
          <w:i/>
          <w:lang w:val="pl-PL"/>
        </w:rPr>
        <w:t>.</w:t>
      </w:r>
    </w:p>
  </w:footnote>
  <w:footnote w:id="75">
    <w:p w:rsidR="00863B3E" w:rsidRPr="00524971" w:rsidRDefault="00863B3E" w:rsidP="00524971">
      <w:pPr>
        <w:pStyle w:val="FootnoteText"/>
        <w:rPr>
          <w:strike/>
          <w:lang w:val="pl-PL"/>
        </w:rPr>
      </w:pPr>
      <w:r w:rsidRPr="00360040">
        <w:rPr>
          <w:rStyle w:val="FootnoteReference"/>
          <w:strike/>
        </w:rPr>
        <w:footnoteRef/>
      </w:r>
      <w:r w:rsidRPr="00524971">
        <w:rPr>
          <w:strike/>
          <w:lang w:val="pl-PL"/>
        </w:rPr>
        <w:tab/>
        <w:t xml:space="preserve">Rozporządzenie Parlamentu Europejskiego i Rady (UE) 2020/741 z dnia 25 maja 2020 r. w sprawie minimalnych wymogów dotyczących ponownego wykorzystania wody (Dz.U. L 177 z 5.6.2020, </w:t>
      </w:r>
      <w:proofErr w:type="gramStart"/>
      <w:r w:rsidRPr="00524971">
        <w:rPr>
          <w:strike/>
          <w:lang w:val="pl-PL"/>
        </w:rPr>
        <w:t>s</w:t>
      </w:r>
      <w:proofErr w:type="gramEnd"/>
      <w:r w:rsidRPr="00524971">
        <w:rPr>
          <w:strike/>
          <w:lang w:val="pl-PL"/>
        </w:rPr>
        <w:t>. 32).</w:t>
      </w:r>
    </w:p>
  </w:footnote>
  <w:footnote w:id="76">
    <w:p w:rsidR="00863B3E" w:rsidRPr="00524971" w:rsidRDefault="00863B3E" w:rsidP="00524971">
      <w:pPr>
        <w:pStyle w:val="FootnoteText"/>
        <w:rPr>
          <w:strike/>
          <w:lang w:val="pl-PL"/>
        </w:rPr>
      </w:pPr>
      <w:r w:rsidRPr="00360040">
        <w:rPr>
          <w:rStyle w:val="FootnoteReference"/>
          <w:strike/>
        </w:rPr>
        <w:footnoteRef/>
      </w:r>
      <w:r w:rsidRPr="00524971">
        <w:rPr>
          <w:strike/>
          <w:lang w:val="pl-PL"/>
        </w:rPr>
        <w:tab/>
        <w:t>Zasada ta nie ma zastosowania do gleb leśnych.</w:t>
      </w:r>
    </w:p>
  </w:footnote>
  <w:footnote w:id="77">
    <w:p w:rsidR="00863B3E" w:rsidRPr="00524971" w:rsidRDefault="00863B3E" w:rsidP="00524971">
      <w:pPr>
        <w:pStyle w:val="FootnoteText"/>
        <w:rPr>
          <w:strike/>
          <w:lang w:val="pl-PL"/>
        </w:rPr>
      </w:pPr>
      <w:r w:rsidRPr="00360040">
        <w:rPr>
          <w:rStyle w:val="FootnoteReference"/>
          <w:strike/>
        </w:rPr>
        <w:footnoteRef/>
      </w:r>
      <w:r w:rsidRPr="00524971">
        <w:rPr>
          <w:strike/>
          <w:lang w:val="pl-PL"/>
        </w:rPr>
        <w:tab/>
        <w:t>Zasada ta nie ma zastosowania do gleb miejskich.</w:t>
      </w:r>
    </w:p>
  </w:footnote>
  <w:footnote w:id="78">
    <w:p w:rsidR="00863B3E" w:rsidRPr="00524971" w:rsidRDefault="00863B3E" w:rsidP="00524971">
      <w:pPr>
        <w:pStyle w:val="FootnoteText"/>
        <w:rPr>
          <w:lang w:val="pl-PL"/>
        </w:rPr>
      </w:pPr>
      <w:r>
        <w:rPr>
          <w:rStyle w:val="FootnoteReference"/>
        </w:rPr>
        <w:footnoteRef/>
      </w:r>
      <w:r w:rsidRPr="00524971">
        <w:rPr>
          <w:lang w:val="pl-PL"/>
        </w:rPr>
        <w:tab/>
        <w:t xml:space="preserve">+ Urząd Publikacji: proszę wstawić w tekście numer rozporządzenia w sprawie odbudowy zasobów przyrodniczych, zawartego w dokumencie COM(2022) 304. </w:t>
      </w:r>
    </w:p>
  </w:footnote>
  <w:footnote w:id="79">
    <w:p w:rsidR="00863B3E" w:rsidRPr="00524971" w:rsidRDefault="00863B3E" w:rsidP="00524971">
      <w:pPr>
        <w:pStyle w:val="FootnoteText"/>
        <w:rPr>
          <w:strike/>
          <w:lang w:val="pl-PL"/>
        </w:rPr>
      </w:pPr>
      <w:r w:rsidRPr="00360040">
        <w:rPr>
          <w:rStyle w:val="FootnoteReference"/>
          <w:strike/>
        </w:rPr>
        <w:footnoteRef/>
      </w:r>
      <w:r w:rsidRPr="00524971">
        <w:rPr>
          <w:strike/>
          <w:lang w:val="pl-PL"/>
        </w:rPr>
        <w:tab/>
        <w:t>+ Urząd Publikacji: proszę wstawić w tekście numer rozporządzenia Parlamentu Europejskiego i Rady w sprawie zrównoważonego stosowania środków ochrony roślin i w sprawie zmiany rozporządzenia (UE) 2021/2115, zawartego w dokumencie COM(2022) 305.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1787FF4"/>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55E99C2"/>
    <w:lvl w:ilvl="0">
      <w:start w:val="1"/>
      <w:numFmt w:val="bullet"/>
      <w:pStyle w:val="ListBullet31"/>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B8AA33C"/>
    <w:lvl w:ilvl="0">
      <w:start w:val="1"/>
      <w:numFmt w:val="bullet"/>
      <w:pStyle w:val="ListBullet21"/>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F143D72"/>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15:restartNumberingAfterBreak="0">
    <w:nsid w:val="7CBE4812"/>
    <w:multiLevelType w:val="singleLevel"/>
    <w:tmpl w:val="23C821E4"/>
    <w:name w:val="Considérant"/>
    <w:lvl w:ilvl="0">
      <w:start w:val="1"/>
      <w:numFmt w:val="decimal"/>
      <w:lvlRestart w:val="0"/>
      <w:pStyle w:val="Point4letter"/>
      <w:lvlText w:val="(%1)"/>
      <w:lvlJc w:val="left"/>
      <w:pPr>
        <w:tabs>
          <w:tab w:val="num" w:pos="709"/>
        </w:tabs>
        <w:ind w:left="709" w:hanging="709"/>
      </w:pPr>
    </w:lvl>
  </w:abstractNum>
  <w:num w:numId="1">
    <w:abstractNumId w:val="4"/>
  </w:num>
  <w:num w:numId="2">
    <w:abstractNumId w:val="10"/>
  </w:num>
  <w:num w:numId="3">
    <w:abstractNumId w:val="3"/>
  </w:num>
  <w:num w:numId="4">
    <w:abstractNumId w:val="2"/>
  </w:num>
  <w:num w:numId="5">
    <w:abstractNumId w:val="1"/>
  </w:num>
  <w:num w:numId="6">
    <w:abstractNumId w:val="0"/>
  </w:num>
  <w:num w:numId="7">
    <w:abstractNumId w:val="5"/>
  </w:num>
  <w:num w:numId="8">
    <w:abstractNumId w:val="18"/>
  </w:num>
  <w:num w:numId="9">
    <w:abstractNumId w:val="11"/>
  </w:num>
  <w:num w:numId="10">
    <w:abstractNumId w:val="20"/>
  </w:num>
  <w:num w:numId="11">
    <w:abstractNumId w:val="9"/>
  </w:num>
  <w:num w:numId="12">
    <w:abstractNumId w:val="12"/>
  </w:num>
  <w:num w:numId="13">
    <w:abstractNumId w:val="13"/>
  </w:num>
  <w:num w:numId="14">
    <w:abstractNumId w:val="7"/>
  </w:num>
  <w:num w:numId="15">
    <w:abstractNumId w:val="19"/>
  </w:num>
  <w:num w:numId="16">
    <w:abstractNumId w:val="6"/>
  </w:num>
  <w:num w:numId="17">
    <w:abstractNumId w:val="14"/>
  </w:num>
  <w:num w:numId="18">
    <w:abstractNumId w:val="16"/>
  </w:num>
  <w:num w:numId="19">
    <w:abstractNumId w:val="17"/>
  </w:num>
  <w:num w:numId="20">
    <w:abstractNumId w:val="8"/>
  </w:num>
  <w:num w:numId="21">
    <w:abstractNumId w:val="15"/>
  </w:num>
  <w:num w:numId="2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PL"/>
    <w:docVar w:name="dvnumam" w:val="0"/>
    <w:docVar w:name="dvpe" w:val="754.698"/>
    <w:docVar w:name="dvrapporteur" w:val="Sprawozdawca: "/>
    <w:docVar w:name="dvstar" w:val="***I"/>
    <w:docVar w:name="dvtitre" w:val="Rezolucja ustawodawcza Parlamentu Europejskiego z dnia  2024 r. w sprawie wniosku dotyczącego dyrektywy Parlamentu Europejskiego i Rady w sprawie monitorowania i odporności gleb (prawo o monitorowaniu gleb)(COM(2023)0416 – C9-0234/2023 – 2023/0232(COD))"/>
  </w:docVars>
  <w:rsids>
    <w:rsidRoot w:val="00593173"/>
    <w:rsid w:val="00002272"/>
    <w:rsid w:val="00064002"/>
    <w:rsid w:val="000677B9"/>
    <w:rsid w:val="000831BA"/>
    <w:rsid w:val="000A42CC"/>
    <w:rsid w:val="000A4547"/>
    <w:rsid w:val="000E7DD9"/>
    <w:rsid w:val="0010095E"/>
    <w:rsid w:val="00125B37"/>
    <w:rsid w:val="00134EB8"/>
    <w:rsid w:val="00187494"/>
    <w:rsid w:val="001F32AE"/>
    <w:rsid w:val="002767FF"/>
    <w:rsid w:val="002B18FE"/>
    <w:rsid w:val="002B5493"/>
    <w:rsid w:val="002C7C68"/>
    <w:rsid w:val="003430F6"/>
    <w:rsid w:val="00343214"/>
    <w:rsid w:val="00361C00"/>
    <w:rsid w:val="00395FA1"/>
    <w:rsid w:val="003A0DC0"/>
    <w:rsid w:val="003E15D4"/>
    <w:rsid w:val="00411CCE"/>
    <w:rsid w:val="0041666E"/>
    <w:rsid w:val="00421060"/>
    <w:rsid w:val="0044115F"/>
    <w:rsid w:val="00471C19"/>
    <w:rsid w:val="004867E3"/>
    <w:rsid w:val="00494A28"/>
    <w:rsid w:val="004A46CB"/>
    <w:rsid w:val="004B277A"/>
    <w:rsid w:val="004C0004"/>
    <w:rsid w:val="004C5D52"/>
    <w:rsid w:val="0050519A"/>
    <w:rsid w:val="005072A1"/>
    <w:rsid w:val="00514517"/>
    <w:rsid w:val="00524971"/>
    <w:rsid w:val="00545827"/>
    <w:rsid w:val="00560270"/>
    <w:rsid w:val="00593173"/>
    <w:rsid w:val="005C2568"/>
    <w:rsid w:val="006037C0"/>
    <w:rsid w:val="00620BD1"/>
    <w:rsid w:val="00642079"/>
    <w:rsid w:val="006631B6"/>
    <w:rsid w:val="00680577"/>
    <w:rsid w:val="006C06B1"/>
    <w:rsid w:val="006F74FA"/>
    <w:rsid w:val="00731ADD"/>
    <w:rsid w:val="00734777"/>
    <w:rsid w:val="00741F29"/>
    <w:rsid w:val="00747932"/>
    <w:rsid w:val="00751A4A"/>
    <w:rsid w:val="00756632"/>
    <w:rsid w:val="00762C74"/>
    <w:rsid w:val="00786EC0"/>
    <w:rsid w:val="007A35B0"/>
    <w:rsid w:val="007D1690"/>
    <w:rsid w:val="007E22AD"/>
    <w:rsid w:val="00817416"/>
    <w:rsid w:val="00842779"/>
    <w:rsid w:val="00863B3E"/>
    <w:rsid w:val="00865F67"/>
    <w:rsid w:val="00881A7B"/>
    <w:rsid w:val="008840E5"/>
    <w:rsid w:val="00887B3E"/>
    <w:rsid w:val="008C2AC6"/>
    <w:rsid w:val="008E1614"/>
    <w:rsid w:val="00906B79"/>
    <w:rsid w:val="00930C23"/>
    <w:rsid w:val="0093193B"/>
    <w:rsid w:val="009509D8"/>
    <w:rsid w:val="00950B64"/>
    <w:rsid w:val="00981893"/>
    <w:rsid w:val="00992D11"/>
    <w:rsid w:val="009A0269"/>
    <w:rsid w:val="00A1687D"/>
    <w:rsid w:val="00A43E52"/>
    <w:rsid w:val="00A4678D"/>
    <w:rsid w:val="00A778C7"/>
    <w:rsid w:val="00A77A94"/>
    <w:rsid w:val="00AB441E"/>
    <w:rsid w:val="00AB6293"/>
    <w:rsid w:val="00AC5881"/>
    <w:rsid w:val="00AE0928"/>
    <w:rsid w:val="00AF3B82"/>
    <w:rsid w:val="00B12E95"/>
    <w:rsid w:val="00B22876"/>
    <w:rsid w:val="00B558F0"/>
    <w:rsid w:val="00B572F4"/>
    <w:rsid w:val="00BD48FE"/>
    <w:rsid w:val="00BD7BD8"/>
    <w:rsid w:val="00BE6ADC"/>
    <w:rsid w:val="00C05BFE"/>
    <w:rsid w:val="00C23CD4"/>
    <w:rsid w:val="00C26DFD"/>
    <w:rsid w:val="00C61C0C"/>
    <w:rsid w:val="00C941CB"/>
    <w:rsid w:val="00CC2357"/>
    <w:rsid w:val="00CF071A"/>
    <w:rsid w:val="00D058B8"/>
    <w:rsid w:val="00D56C11"/>
    <w:rsid w:val="00D834A0"/>
    <w:rsid w:val="00D872DF"/>
    <w:rsid w:val="00D91E21"/>
    <w:rsid w:val="00DA7FCD"/>
    <w:rsid w:val="00E24A83"/>
    <w:rsid w:val="00E365E1"/>
    <w:rsid w:val="00E820A4"/>
    <w:rsid w:val="00EB006A"/>
    <w:rsid w:val="00EB4772"/>
    <w:rsid w:val="00EB774C"/>
    <w:rsid w:val="00ED169E"/>
    <w:rsid w:val="00ED4235"/>
    <w:rsid w:val="00F04346"/>
    <w:rsid w:val="00F075DC"/>
    <w:rsid w:val="00F149E9"/>
    <w:rsid w:val="00F5134D"/>
    <w:rsid w:val="00F74202"/>
    <w:rsid w:val="00F87713"/>
    <w:rsid w:val="00FB4360"/>
    <w:rsid w:val="00FB6E1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F7BD1"/>
  <w15:chartTrackingRefBased/>
  <w15:docId w15:val="{93947287-0CA3-4779-B7CC-D4D445726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C7C68"/>
    <w:rPr>
      <w:b/>
      <w:kern w:val="28"/>
      <w:sz w:val="28"/>
      <w:lang w:val="fr-FR" w:eastAsia="fr-FR"/>
    </w:rPr>
  </w:style>
  <w:style w:type="character" w:customStyle="1" w:styleId="Heading2Char">
    <w:name w:val="Heading 2 Char"/>
    <w:basedOn w:val="DefaultParagraphFont"/>
    <w:link w:val="Heading2"/>
    <w:uiPriority w:val="9"/>
    <w:semiHidden/>
    <w:rsid w:val="002C7C68"/>
    <w:rPr>
      <w:sz w:val="24"/>
      <w:lang w:val="fr-FR" w:eastAsia="fr-FR"/>
    </w:rPr>
  </w:style>
  <w:style w:type="character" w:customStyle="1" w:styleId="Heading3Char">
    <w:name w:val="Heading 3 Char"/>
    <w:basedOn w:val="DefaultParagraphFont"/>
    <w:link w:val="Heading3"/>
    <w:uiPriority w:val="9"/>
    <w:semiHidden/>
    <w:rsid w:val="002C7C68"/>
    <w:rPr>
      <w:rFonts w:ascii="Arial" w:hAnsi="Arial"/>
      <w:sz w:val="24"/>
      <w:lang w:val="fr-FR" w:eastAsia="fr-FR"/>
    </w:rPr>
  </w:style>
  <w:style w:type="character" w:customStyle="1" w:styleId="Heading4Char">
    <w:name w:val="Heading 4 Char"/>
    <w:basedOn w:val="DefaultParagraphFont"/>
    <w:link w:val="Heading4"/>
    <w:uiPriority w:val="9"/>
    <w:semiHidden/>
    <w:rsid w:val="002C7C68"/>
    <w:rPr>
      <w:sz w:val="24"/>
      <w:lang w:val="en-US" w:eastAsia="fr-FR"/>
    </w:rPr>
  </w:style>
  <w:style w:type="character" w:customStyle="1" w:styleId="Heading5Char">
    <w:name w:val="Heading 5 Char"/>
    <w:basedOn w:val="DefaultParagraphFont"/>
    <w:link w:val="Heading5"/>
    <w:uiPriority w:val="9"/>
    <w:semiHidden/>
    <w:rsid w:val="002C7C68"/>
    <w:rPr>
      <w:sz w:val="24"/>
      <w:lang w:val="en-US" w:eastAsia="fr-FR"/>
    </w:rPr>
  </w:style>
  <w:style w:type="character" w:customStyle="1" w:styleId="Heading6Char">
    <w:name w:val="Heading 6 Char"/>
    <w:basedOn w:val="DefaultParagraphFont"/>
    <w:link w:val="Heading6"/>
    <w:uiPriority w:val="9"/>
    <w:semiHidden/>
    <w:rsid w:val="002C7C68"/>
    <w:rPr>
      <w:i/>
      <w:sz w:val="22"/>
      <w:lang w:val="pl-PL"/>
    </w:rPr>
  </w:style>
  <w:style w:type="character" w:customStyle="1" w:styleId="Heading7Char">
    <w:name w:val="Heading 7 Char"/>
    <w:basedOn w:val="DefaultParagraphFont"/>
    <w:link w:val="Heading7"/>
    <w:uiPriority w:val="9"/>
    <w:semiHidden/>
    <w:rsid w:val="002C7C68"/>
    <w:rPr>
      <w:rFonts w:ascii="Arial" w:hAnsi="Arial"/>
      <w:sz w:val="24"/>
      <w:lang w:val="pl-PL"/>
    </w:rPr>
  </w:style>
  <w:style w:type="character" w:customStyle="1" w:styleId="Heading8Char">
    <w:name w:val="Heading 8 Char"/>
    <w:basedOn w:val="DefaultParagraphFont"/>
    <w:link w:val="Heading8"/>
    <w:semiHidden/>
    <w:rsid w:val="002C7C68"/>
    <w:rPr>
      <w:rFonts w:ascii="Arial" w:hAnsi="Arial"/>
      <w:i/>
      <w:sz w:val="24"/>
      <w:lang w:val="pl-PL"/>
    </w:rPr>
  </w:style>
  <w:style w:type="character" w:customStyle="1" w:styleId="Heading9Char">
    <w:name w:val="Heading 9 Char"/>
    <w:basedOn w:val="DefaultParagraphFont"/>
    <w:link w:val="Heading9"/>
    <w:semiHidden/>
    <w:rsid w:val="002C7C68"/>
    <w:rPr>
      <w:rFonts w:ascii="Arial" w:hAnsi="Arial"/>
      <w:b/>
      <w:i/>
      <w:sz w:val="18"/>
      <w:lang w:val="pl-PL"/>
    </w:rPr>
  </w:style>
  <w:style w:type="paragraph" w:styleId="TOCHeading">
    <w:name w:val="TOC Heading"/>
    <w:basedOn w:val="Normal"/>
    <w:next w:val="Normal"/>
    <w:uiPriority w:val="39"/>
    <w:unhideWhenUsed/>
    <w:qFormat/>
    <w:rsid w:val="002C7C68"/>
    <w:pPr>
      <w:widowControl/>
      <w:spacing w:after="240"/>
    </w:pPr>
    <w:rPr>
      <w:lang w:val="en-GB"/>
    </w:rPr>
  </w:style>
  <w:style w:type="paragraph" w:customStyle="1" w:styleId="EPFooter2">
    <w:name w:val="EPFooter2"/>
    <w:basedOn w:val="Normal"/>
    <w:next w:val="Normal"/>
    <w:rsid w:val="002C7C6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C7C68"/>
    <w:pPr>
      <w:keepNext/>
      <w:spacing w:after="240"/>
      <w:jc w:val="right"/>
    </w:pPr>
    <w:rPr>
      <w:rFonts w:ascii="Arial" w:hAnsi="Arial"/>
      <w:b/>
    </w:rPr>
  </w:style>
  <w:style w:type="paragraph" w:customStyle="1" w:styleId="Normal6a">
    <w:name w:val="Normal6a"/>
    <w:basedOn w:val="Normal"/>
    <w:rsid w:val="002C7C68"/>
    <w:pPr>
      <w:spacing w:after="120"/>
    </w:pPr>
  </w:style>
  <w:style w:type="paragraph" w:customStyle="1" w:styleId="PageHeading">
    <w:name w:val="PageHeading"/>
    <w:basedOn w:val="Normal"/>
    <w:rsid w:val="002C7C68"/>
    <w:pPr>
      <w:keepNext/>
      <w:spacing w:after="480"/>
      <w:jc w:val="center"/>
    </w:pPr>
    <w:rPr>
      <w:rFonts w:ascii="Arial" w:hAnsi="Arial" w:cs="Arial"/>
      <w:b/>
    </w:rPr>
  </w:style>
  <w:style w:type="paragraph" w:customStyle="1" w:styleId="NormalBold">
    <w:name w:val="NormalBold"/>
    <w:basedOn w:val="Normal"/>
    <w:link w:val="NormalBoldChar"/>
    <w:rsid w:val="002C7C68"/>
    <w:rPr>
      <w:b/>
    </w:rPr>
  </w:style>
  <w:style w:type="character" w:customStyle="1" w:styleId="NormalBoldChar">
    <w:name w:val="NormalBold Char"/>
    <w:basedOn w:val="DefaultParagraphFont"/>
    <w:link w:val="NormalBold"/>
    <w:locked/>
    <w:rsid w:val="002C7C68"/>
    <w:rPr>
      <w:b/>
      <w:sz w:val="24"/>
      <w:lang w:val="pl-PL"/>
    </w:rPr>
  </w:style>
  <w:style w:type="paragraph" w:customStyle="1" w:styleId="NormalBold12a">
    <w:name w:val="NormalBold12a"/>
    <w:basedOn w:val="Normal"/>
    <w:rsid w:val="002C7C68"/>
    <w:pPr>
      <w:spacing w:after="240"/>
    </w:pPr>
    <w:rPr>
      <w:b/>
    </w:rPr>
  </w:style>
  <w:style w:type="paragraph" w:customStyle="1" w:styleId="AmJustText">
    <w:name w:val="AmJustText"/>
    <w:basedOn w:val="Normal"/>
    <w:rsid w:val="002C7C68"/>
    <w:pPr>
      <w:spacing w:after="240"/>
    </w:pPr>
    <w:rPr>
      <w:i/>
    </w:rPr>
  </w:style>
  <w:style w:type="paragraph" w:customStyle="1" w:styleId="NormalHanging12a">
    <w:name w:val="NormalHanging12a"/>
    <w:basedOn w:val="Normal"/>
    <w:rsid w:val="002C7C68"/>
    <w:pPr>
      <w:spacing w:after="240"/>
      <w:ind w:left="567" w:hanging="567"/>
    </w:pPr>
  </w:style>
  <w:style w:type="paragraph" w:customStyle="1" w:styleId="CoverNormal24a">
    <w:name w:val="CoverNormal24a"/>
    <w:basedOn w:val="Normal"/>
    <w:rsid w:val="002C7C68"/>
    <w:pPr>
      <w:spacing w:after="480"/>
      <w:ind w:left="1417"/>
    </w:pPr>
  </w:style>
  <w:style w:type="paragraph" w:customStyle="1" w:styleId="CoverNormal">
    <w:name w:val="CoverNormal"/>
    <w:basedOn w:val="Normal"/>
    <w:rsid w:val="002C7C68"/>
    <w:pPr>
      <w:ind w:left="1418"/>
    </w:pPr>
  </w:style>
  <w:style w:type="paragraph" w:customStyle="1" w:styleId="AmCrossRef">
    <w:name w:val="AmCrossRef"/>
    <w:basedOn w:val="Normal"/>
    <w:rsid w:val="002C7C68"/>
    <w:pPr>
      <w:spacing w:before="240" w:after="240"/>
      <w:jc w:val="center"/>
    </w:pPr>
    <w:rPr>
      <w:i/>
    </w:rPr>
  </w:style>
  <w:style w:type="paragraph" w:customStyle="1" w:styleId="AmJustTitle">
    <w:name w:val="AmJustTitle"/>
    <w:basedOn w:val="Normal"/>
    <w:next w:val="AmJustText"/>
    <w:rsid w:val="002C7C68"/>
    <w:pPr>
      <w:keepNext/>
      <w:spacing w:before="240" w:after="240"/>
      <w:jc w:val="center"/>
    </w:pPr>
    <w:rPr>
      <w:i/>
    </w:rPr>
  </w:style>
  <w:style w:type="paragraph" w:customStyle="1" w:styleId="CoverReference">
    <w:name w:val="CoverReference"/>
    <w:basedOn w:val="Normal"/>
    <w:rsid w:val="002C7C68"/>
    <w:pPr>
      <w:spacing w:before="1080"/>
      <w:jc w:val="right"/>
    </w:pPr>
    <w:rPr>
      <w:rFonts w:ascii="Arial" w:hAnsi="Arial" w:cs="Arial"/>
      <w:b/>
    </w:rPr>
  </w:style>
  <w:style w:type="paragraph" w:customStyle="1" w:styleId="CoverDocType">
    <w:name w:val="CoverDocType"/>
    <w:basedOn w:val="Normal"/>
    <w:rsid w:val="002C7C68"/>
    <w:pPr>
      <w:ind w:left="1418"/>
    </w:pPr>
    <w:rPr>
      <w:rFonts w:ascii="Arial" w:hAnsi="Arial"/>
      <w:b/>
      <w:sz w:val="48"/>
    </w:rPr>
  </w:style>
  <w:style w:type="paragraph" w:customStyle="1" w:styleId="CoverDocType24a">
    <w:name w:val="CoverDocType24a"/>
    <w:basedOn w:val="Normal"/>
    <w:rsid w:val="002C7C68"/>
    <w:pPr>
      <w:spacing w:after="480"/>
      <w:ind w:left="1418"/>
    </w:pPr>
    <w:rPr>
      <w:rFonts w:ascii="Arial" w:hAnsi="Arial"/>
      <w:b/>
      <w:sz w:val="48"/>
    </w:rPr>
  </w:style>
  <w:style w:type="paragraph" w:customStyle="1" w:styleId="CoverDate">
    <w:name w:val="CoverDate"/>
    <w:basedOn w:val="Normal"/>
    <w:rsid w:val="002C7C68"/>
    <w:pPr>
      <w:spacing w:before="240" w:after="1200"/>
    </w:pPr>
  </w:style>
  <w:style w:type="paragraph" w:styleId="Header">
    <w:name w:val="header"/>
    <w:basedOn w:val="Normal"/>
    <w:link w:val="HeaderChar"/>
    <w:uiPriority w:val="99"/>
    <w:rsid w:val="002C7C68"/>
    <w:pPr>
      <w:tabs>
        <w:tab w:val="center" w:pos="4513"/>
        <w:tab w:val="right" w:pos="9026"/>
      </w:tabs>
    </w:pPr>
  </w:style>
  <w:style w:type="character" w:customStyle="1" w:styleId="HeaderChar">
    <w:name w:val="Header Char"/>
    <w:basedOn w:val="DefaultParagraphFont"/>
    <w:link w:val="Header"/>
    <w:uiPriority w:val="99"/>
    <w:rsid w:val="002C7C68"/>
    <w:rPr>
      <w:sz w:val="24"/>
      <w:lang w:val="pl-PL"/>
    </w:rPr>
  </w:style>
  <w:style w:type="paragraph" w:customStyle="1" w:styleId="AmOrLang">
    <w:name w:val="AmOrLang"/>
    <w:basedOn w:val="Normal"/>
    <w:rsid w:val="002C7C68"/>
    <w:pPr>
      <w:spacing w:before="240" w:after="240"/>
      <w:jc w:val="right"/>
    </w:pPr>
  </w:style>
  <w:style w:type="paragraph" w:customStyle="1" w:styleId="AmColumnHeading">
    <w:name w:val="AmColumnHeading"/>
    <w:basedOn w:val="Normal"/>
    <w:rsid w:val="002C7C68"/>
    <w:pPr>
      <w:spacing w:after="240"/>
      <w:jc w:val="center"/>
    </w:pPr>
    <w:rPr>
      <w:i/>
    </w:rPr>
  </w:style>
  <w:style w:type="paragraph" w:customStyle="1" w:styleId="AmNumberTabs">
    <w:name w:val="AmNumberTabs"/>
    <w:basedOn w:val="Normal"/>
    <w:link w:val="AmNumberTabsChar"/>
    <w:rsid w:val="002C7C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C7C68"/>
    <w:rPr>
      <w:b/>
      <w:sz w:val="24"/>
      <w:lang w:val="pl-PL"/>
    </w:rPr>
  </w:style>
  <w:style w:type="paragraph" w:customStyle="1" w:styleId="NormalBold12b">
    <w:name w:val="NormalBold12b"/>
    <w:basedOn w:val="Normal"/>
    <w:rsid w:val="002C7C68"/>
    <w:pPr>
      <w:spacing w:before="240"/>
    </w:pPr>
    <w:rPr>
      <w:b/>
    </w:rPr>
  </w:style>
  <w:style w:type="paragraph" w:customStyle="1" w:styleId="EPBody">
    <w:name w:val="EPBody"/>
    <w:basedOn w:val="Normal"/>
    <w:rsid w:val="002C7C68"/>
    <w:pPr>
      <w:jc w:val="center"/>
    </w:pPr>
    <w:rPr>
      <w:rFonts w:ascii="Arial" w:hAnsi="Arial" w:cs="Arial"/>
      <w:i/>
      <w:sz w:val="22"/>
      <w:szCs w:val="22"/>
    </w:rPr>
  </w:style>
  <w:style w:type="paragraph" w:customStyle="1" w:styleId="EPFooter">
    <w:name w:val="EPFooter"/>
    <w:basedOn w:val="Normal"/>
    <w:rsid w:val="002C7C68"/>
    <w:pPr>
      <w:tabs>
        <w:tab w:val="center" w:pos="4535"/>
        <w:tab w:val="right" w:pos="9071"/>
      </w:tabs>
      <w:spacing w:before="240" w:after="240"/>
    </w:pPr>
    <w:rPr>
      <w:color w:val="010000"/>
      <w:sz w:val="22"/>
    </w:rPr>
  </w:style>
  <w:style w:type="paragraph" w:customStyle="1" w:styleId="EPComma">
    <w:name w:val="EPComma"/>
    <w:basedOn w:val="Normal"/>
    <w:rsid w:val="002C7C68"/>
    <w:pPr>
      <w:spacing w:before="480" w:after="240"/>
    </w:pPr>
  </w:style>
  <w:style w:type="paragraph" w:customStyle="1" w:styleId="Lgendesigne">
    <w:name w:val="Légende signe"/>
    <w:basedOn w:val="Normal"/>
    <w:rsid w:val="002C7C68"/>
    <w:pPr>
      <w:tabs>
        <w:tab w:val="right" w:pos="454"/>
        <w:tab w:val="left" w:pos="737"/>
      </w:tabs>
      <w:ind w:left="737" w:hanging="737"/>
    </w:pPr>
    <w:rPr>
      <w:snapToGrid w:val="0"/>
      <w:sz w:val="18"/>
      <w:lang w:eastAsia="en-US"/>
    </w:rPr>
  </w:style>
  <w:style w:type="paragraph" w:customStyle="1" w:styleId="Lgendetitre">
    <w:name w:val="Légende titre"/>
    <w:basedOn w:val="Normal"/>
    <w:rsid w:val="002C7C68"/>
    <w:pPr>
      <w:spacing w:before="240" w:after="240"/>
    </w:pPr>
    <w:rPr>
      <w:b/>
      <w:i/>
      <w:snapToGrid w:val="0"/>
      <w:lang w:eastAsia="en-US"/>
    </w:rPr>
  </w:style>
  <w:style w:type="paragraph" w:customStyle="1" w:styleId="Lgendestandard">
    <w:name w:val="Légende standard"/>
    <w:basedOn w:val="Normal"/>
    <w:rsid w:val="002C7C68"/>
    <w:rPr>
      <w:sz w:val="18"/>
    </w:rPr>
  </w:style>
  <w:style w:type="character" w:styleId="Hyperlink">
    <w:name w:val="Hyperlink"/>
    <w:basedOn w:val="DefaultParagraphFont"/>
    <w:uiPriority w:val="99"/>
    <w:unhideWhenUsed/>
    <w:rsid w:val="002C7C68"/>
    <w:rPr>
      <w:color w:val="0000FF"/>
      <w:u w:val="single"/>
    </w:rPr>
  </w:style>
  <w:style w:type="character" w:customStyle="1" w:styleId="Normal12Char">
    <w:name w:val="Normal12 Char"/>
    <w:basedOn w:val="DefaultParagraphFont"/>
    <w:link w:val="Normal12"/>
    <w:locked/>
    <w:rsid w:val="002C7C68"/>
    <w:rPr>
      <w:noProof/>
      <w:sz w:val="24"/>
    </w:rPr>
  </w:style>
  <w:style w:type="paragraph" w:customStyle="1" w:styleId="Normal12">
    <w:name w:val="Normal12"/>
    <w:basedOn w:val="Normal"/>
    <w:link w:val="Normal12Char"/>
    <w:rsid w:val="002C7C68"/>
    <w:pPr>
      <w:spacing w:after="240"/>
    </w:pPr>
    <w:rPr>
      <w:noProof/>
      <w:lang w:val="en-GB"/>
    </w:rPr>
  </w:style>
  <w:style w:type="character" w:customStyle="1" w:styleId="Normal6Char">
    <w:name w:val="Normal6 Char"/>
    <w:basedOn w:val="DefaultParagraphFont"/>
    <w:link w:val="Normal6"/>
    <w:locked/>
    <w:rsid w:val="002C7C68"/>
    <w:rPr>
      <w:sz w:val="24"/>
      <w:lang w:val="pl-PL"/>
    </w:rPr>
  </w:style>
  <w:style w:type="paragraph" w:customStyle="1" w:styleId="Normal6">
    <w:name w:val="Normal6"/>
    <w:basedOn w:val="Normal"/>
    <w:link w:val="Normal6Char"/>
    <w:rsid w:val="002C7C68"/>
    <w:pPr>
      <w:spacing w:after="120"/>
    </w:pPr>
  </w:style>
  <w:style w:type="paragraph" w:customStyle="1" w:styleId="Normal12Italic">
    <w:name w:val="Normal12Italic"/>
    <w:basedOn w:val="Normal12"/>
    <w:rsid w:val="002C7C68"/>
    <w:rPr>
      <w:i/>
    </w:rPr>
  </w:style>
  <w:style w:type="paragraph" w:customStyle="1" w:styleId="EntPE">
    <w:name w:val="EntPE"/>
    <w:basedOn w:val="Normal12"/>
    <w:rsid w:val="002C7C68"/>
    <w:pPr>
      <w:jc w:val="center"/>
    </w:pPr>
    <w:rPr>
      <w:noProof w:val="0"/>
      <w:sz w:val="56"/>
    </w:rPr>
  </w:style>
  <w:style w:type="paragraph" w:customStyle="1" w:styleId="AMNumberTabs0">
    <w:name w:val="AMNumberTabs"/>
    <w:basedOn w:val="Normal"/>
    <w:rsid w:val="002C7C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C7C68"/>
    <w:pPr>
      <w:spacing w:after="240"/>
      <w:jc w:val="center"/>
    </w:pPr>
    <w:rPr>
      <w:i/>
    </w:rPr>
  </w:style>
  <w:style w:type="paragraph" w:customStyle="1" w:styleId="Olang">
    <w:name w:val="Olang"/>
    <w:basedOn w:val="Normal"/>
    <w:rsid w:val="002C7C68"/>
    <w:pPr>
      <w:spacing w:before="240" w:after="240"/>
      <w:jc w:val="right"/>
    </w:pPr>
    <w:rPr>
      <w:noProof/>
      <w:szCs w:val="24"/>
    </w:rPr>
  </w:style>
  <w:style w:type="paragraph" w:customStyle="1" w:styleId="JustificationTitle">
    <w:name w:val="JustificationTitle"/>
    <w:basedOn w:val="Normal"/>
    <w:next w:val="Normal12"/>
    <w:rsid w:val="002C7C68"/>
    <w:pPr>
      <w:keepNext/>
      <w:spacing w:before="240" w:after="240"/>
      <w:jc w:val="center"/>
    </w:pPr>
    <w:rPr>
      <w:i/>
      <w:noProof/>
    </w:rPr>
  </w:style>
  <w:style w:type="character" w:customStyle="1" w:styleId="ui-provider">
    <w:name w:val="ui-provider"/>
    <w:basedOn w:val="DefaultParagraphFont"/>
    <w:rsid w:val="002C7C68"/>
  </w:style>
  <w:style w:type="table" w:customStyle="1" w:styleId="3">
    <w:name w:val="3"/>
    <w:basedOn w:val="TableNormal"/>
    <w:rsid w:val="002C7C68"/>
    <w:pPr>
      <w:spacing w:before="120"/>
      <w:jc w:val="both"/>
    </w:pPr>
    <w:rPr>
      <w:sz w:val="24"/>
      <w:szCs w:val="24"/>
      <w:lang w:val="pl-PL" w:eastAsia="en-US"/>
    </w:rPr>
    <w:tblPr>
      <w:tblStyleRowBandSize w:val="1"/>
      <w:tblStyleColBandSize w:val="1"/>
    </w:tblPr>
  </w:style>
  <w:style w:type="paragraph" w:styleId="CommentText">
    <w:name w:val="annotation text"/>
    <w:basedOn w:val="Normal"/>
    <w:link w:val="CommentTextChar"/>
    <w:uiPriority w:val="99"/>
    <w:unhideWhenUsed/>
    <w:rsid w:val="002C7C68"/>
    <w:pPr>
      <w:widowControl/>
      <w:spacing w:before="120" w:after="120"/>
      <w:jc w:val="both"/>
    </w:pPr>
    <w:rPr>
      <w:sz w:val="20"/>
      <w:lang w:eastAsia="en-US"/>
    </w:rPr>
  </w:style>
  <w:style w:type="character" w:customStyle="1" w:styleId="CommentTextChar">
    <w:name w:val="Comment Text Char"/>
    <w:basedOn w:val="DefaultParagraphFont"/>
    <w:link w:val="CommentText"/>
    <w:uiPriority w:val="99"/>
    <w:rsid w:val="002C7C68"/>
    <w:rPr>
      <w:lang w:val="pl-PL" w:eastAsia="en-US"/>
    </w:rPr>
  </w:style>
  <w:style w:type="table" w:customStyle="1" w:styleId="2">
    <w:name w:val="2"/>
    <w:basedOn w:val="TableNormal"/>
    <w:rsid w:val="002C7C68"/>
    <w:pPr>
      <w:spacing w:before="120"/>
      <w:jc w:val="both"/>
    </w:pPr>
    <w:rPr>
      <w:sz w:val="24"/>
      <w:szCs w:val="24"/>
      <w:lang w:val="pl-PL" w:eastAsia="en-US"/>
    </w:rPr>
    <w:tblPr>
      <w:tblStyleRowBandSize w:val="1"/>
      <w:tblStyleColBandSize w:val="1"/>
    </w:tblPr>
  </w:style>
  <w:style w:type="table" w:customStyle="1" w:styleId="1">
    <w:name w:val="1"/>
    <w:basedOn w:val="TableNormal"/>
    <w:rsid w:val="002C7C68"/>
    <w:pPr>
      <w:spacing w:before="120"/>
      <w:jc w:val="both"/>
    </w:pPr>
    <w:rPr>
      <w:sz w:val="24"/>
      <w:szCs w:val="24"/>
      <w:lang w:val="pl-PL" w:eastAsia="en-US"/>
    </w:rPr>
    <w:tblPr>
      <w:tblStyleRowBandSize w:val="1"/>
      <w:tblStyleColBandSize w:val="1"/>
    </w:tblPr>
  </w:style>
  <w:style w:type="character" w:styleId="CommentReference">
    <w:name w:val="annotation reference"/>
    <w:basedOn w:val="DefaultParagraphFont"/>
    <w:uiPriority w:val="99"/>
    <w:rsid w:val="002C7C68"/>
    <w:rPr>
      <w:sz w:val="16"/>
      <w:szCs w:val="16"/>
    </w:rPr>
  </w:style>
  <w:style w:type="paragraph" w:styleId="CommentSubject">
    <w:name w:val="annotation subject"/>
    <w:basedOn w:val="CommentText"/>
    <w:next w:val="CommentText"/>
    <w:link w:val="CommentSubjectChar"/>
    <w:uiPriority w:val="99"/>
    <w:unhideWhenUsed/>
    <w:rsid w:val="002C7C68"/>
    <w:pPr>
      <w:widowControl w:val="0"/>
      <w:spacing w:before="0" w:after="0"/>
      <w:jc w:val="left"/>
    </w:pPr>
    <w:rPr>
      <w:b/>
      <w:bCs/>
      <w:lang w:eastAsia="en-GB"/>
    </w:rPr>
  </w:style>
  <w:style w:type="character" w:customStyle="1" w:styleId="CommentSubjectChar">
    <w:name w:val="Comment Subject Char"/>
    <w:basedOn w:val="CommentTextChar"/>
    <w:link w:val="CommentSubject"/>
    <w:uiPriority w:val="99"/>
    <w:rsid w:val="002C7C68"/>
    <w:rPr>
      <w:b/>
      <w:bCs/>
      <w:lang w:val="pl-PL" w:eastAsia="en-US"/>
    </w:rPr>
  </w:style>
  <w:style w:type="paragraph" w:styleId="BalloonText">
    <w:name w:val="Balloon Text"/>
    <w:basedOn w:val="Normal"/>
    <w:link w:val="BalloonTextChar"/>
    <w:unhideWhenUsed/>
    <w:rsid w:val="002C7C68"/>
    <w:rPr>
      <w:rFonts w:ascii="Segoe UI" w:hAnsi="Segoe UI" w:cs="Segoe UI"/>
      <w:sz w:val="18"/>
      <w:szCs w:val="18"/>
    </w:rPr>
  </w:style>
  <w:style w:type="character" w:customStyle="1" w:styleId="BalloonTextChar">
    <w:name w:val="Balloon Text Char"/>
    <w:basedOn w:val="DefaultParagraphFont"/>
    <w:link w:val="BalloonText"/>
    <w:rsid w:val="002C7C68"/>
    <w:rPr>
      <w:rFonts w:ascii="Segoe UI" w:hAnsi="Segoe UI" w:cs="Segoe UI"/>
      <w:sz w:val="18"/>
      <w:szCs w:val="18"/>
      <w:lang w:val="pl-PL"/>
    </w:rPr>
  </w:style>
  <w:style w:type="paragraph" w:styleId="ListParagraph">
    <w:name w:val="List Paragraph"/>
    <w:basedOn w:val="Normal"/>
    <w:uiPriority w:val="34"/>
    <w:qFormat/>
    <w:rsid w:val="002C7C68"/>
    <w:pPr>
      <w:ind w:left="720"/>
      <w:contextualSpacing/>
    </w:pPr>
  </w:style>
  <w:style w:type="paragraph" w:styleId="Revision">
    <w:name w:val="Revision"/>
    <w:hidden/>
    <w:uiPriority w:val="99"/>
    <w:semiHidden/>
    <w:rsid w:val="002C7C68"/>
    <w:rPr>
      <w:sz w:val="24"/>
      <w:lang w:val="pl-PL"/>
    </w:rPr>
  </w:style>
  <w:style w:type="character" w:styleId="FollowedHyperlink">
    <w:name w:val="FollowedHyperlink"/>
    <w:basedOn w:val="DefaultParagraphFont"/>
    <w:uiPriority w:val="99"/>
    <w:rsid w:val="002C7C68"/>
    <w:rPr>
      <w:color w:val="954F72" w:themeColor="followedHyperlink"/>
      <w:u w:val="single"/>
    </w:rPr>
  </w:style>
  <w:style w:type="paragraph" w:customStyle="1" w:styleId="Normal12a">
    <w:name w:val="Normal12a"/>
    <w:basedOn w:val="Normal"/>
    <w:rsid w:val="002C7C68"/>
    <w:pPr>
      <w:spacing w:after="240"/>
    </w:pPr>
  </w:style>
  <w:style w:type="paragraph" w:customStyle="1" w:styleId="RollCallVotes">
    <w:name w:val="RollCallVotes"/>
    <w:basedOn w:val="Normal"/>
    <w:rsid w:val="002C7C68"/>
    <w:pPr>
      <w:spacing w:before="120" w:after="120"/>
      <w:jc w:val="center"/>
    </w:pPr>
    <w:rPr>
      <w:b/>
      <w:bCs/>
      <w:snapToGrid w:val="0"/>
      <w:sz w:val="16"/>
      <w:lang w:eastAsia="en-US"/>
    </w:rPr>
  </w:style>
  <w:style w:type="paragraph" w:customStyle="1" w:styleId="RollCallTabs">
    <w:name w:val="RollCallTabs"/>
    <w:basedOn w:val="Normal"/>
    <w:qFormat/>
    <w:rsid w:val="002C7C68"/>
    <w:pPr>
      <w:tabs>
        <w:tab w:val="center" w:pos="284"/>
        <w:tab w:val="left" w:pos="426"/>
      </w:tabs>
    </w:pPr>
    <w:rPr>
      <w:snapToGrid w:val="0"/>
      <w:lang w:eastAsia="en-US"/>
    </w:rPr>
  </w:style>
  <w:style w:type="paragraph" w:customStyle="1" w:styleId="RollCallSymbols14pt">
    <w:name w:val="RollCallSymbols14pt"/>
    <w:basedOn w:val="Normal"/>
    <w:rsid w:val="002C7C68"/>
    <w:pPr>
      <w:spacing w:before="120" w:after="120"/>
      <w:jc w:val="center"/>
    </w:pPr>
    <w:rPr>
      <w:rFonts w:ascii="Arial" w:hAnsi="Arial"/>
      <w:b/>
      <w:bCs/>
      <w:snapToGrid w:val="0"/>
      <w:sz w:val="28"/>
      <w:lang w:eastAsia="en-US"/>
    </w:rPr>
  </w:style>
  <w:style w:type="paragraph" w:customStyle="1" w:styleId="RollCallTable">
    <w:name w:val="RollCallTable"/>
    <w:basedOn w:val="Normal"/>
    <w:rsid w:val="002C7C68"/>
    <w:pPr>
      <w:spacing w:before="120" w:after="120"/>
    </w:pPr>
    <w:rPr>
      <w:snapToGrid w:val="0"/>
      <w:sz w:val="16"/>
      <w:lang w:eastAsia="en-US"/>
    </w:rPr>
  </w:style>
  <w:style w:type="paragraph" w:customStyle="1" w:styleId="PageHeadingNotTOC">
    <w:name w:val="PageHeadingNotTOC"/>
    <w:basedOn w:val="Normal"/>
    <w:rsid w:val="002C7C68"/>
    <w:pPr>
      <w:keepNext/>
      <w:spacing w:after="480"/>
      <w:jc w:val="center"/>
    </w:pPr>
    <w:rPr>
      <w:rFonts w:ascii="Arial" w:hAnsi="Arial" w:cs="Arial"/>
      <w:b/>
    </w:rPr>
  </w:style>
  <w:style w:type="paragraph" w:customStyle="1" w:styleId="AmHeadingPA">
    <w:name w:val="AmHeadingPA"/>
    <w:basedOn w:val="Normal"/>
    <w:next w:val="Normal"/>
    <w:rsid w:val="002C7C68"/>
    <w:pPr>
      <w:spacing w:before="480" w:after="240"/>
      <w:jc w:val="center"/>
    </w:pPr>
    <w:rPr>
      <w:rFonts w:ascii="Arial" w:hAnsi="Arial"/>
      <w:b/>
      <w:caps/>
      <w:snapToGrid w:val="0"/>
      <w:szCs w:val="24"/>
      <w:lang w:eastAsia="en-US"/>
    </w:rPr>
  </w:style>
  <w:style w:type="paragraph" w:customStyle="1" w:styleId="TableParagraph">
    <w:name w:val="Table Paragraph"/>
    <w:uiPriority w:val="1"/>
    <w:qFormat/>
    <w:rsid w:val="002C7C68"/>
    <w:pPr>
      <w:widowControl w:val="0"/>
      <w:ind w:left="107"/>
    </w:pPr>
    <w:rPr>
      <w:rFonts w:eastAsia="Arial Unicode MS" w:cs="Arial Unicode MS"/>
      <w:color w:val="000000"/>
      <w:sz w:val="22"/>
      <w:szCs w:val="22"/>
      <w:u w:color="000000"/>
      <w:lang w:val="pl-PL" w:eastAsia="de-DE"/>
    </w:rPr>
  </w:style>
  <w:style w:type="character" w:customStyle="1" w:styleId="Ohne">
    <w:name w:val="Ohne"/>
    <w:rsid w:val="002C7C68"/>
  </w:style>
  <w:style w:type="paragraph" w:customStyle="1" w:styleId="CommitteeAM">
    <w:name w:val="CommitteeAM"/>
    <w:basedOn w:val="Normal"/>
    <w:rsid w:val="002C7C68"/>
    <w:pPr>
      <w:spacing w:before="240" w:after="600"/>
      <w:jc w:val="center"/>
    </w:pPr>
    <w:rPr>
      <w:i/>
    </w:rPr>
  </w:style>
  <w:style w:type="paragraph" w:customStyle="1" w:styleId="ZDateAM">
    <w:name w:val="ZDateAM"/>
    <w:basedOn w:val="Normal"/>
    <w:rsid w:val="002C7C68"/>
    <w:pPr>
      <w:tabs>
        <w:tab w:val="right" w:pos="9356"/>
      </w:tabs>
      <w:spacing w:after="480"/>
    </w:pPr>
    <w:rPr>
      <w:noProof/>
    </w:rPr>
  </w:style>
  <w:style w:type="paragraph" w:customStyle="1" w:styleId="ProjRap">
    <w:name w:val="ProjRap"/>
    <w:basedOn w:val="Normal"/>
    <w:rsid w:val="002C7C68"/>
    <w:pPr>
      <w:tabs>
        <w:tab w:val="right" w:pos="9356"/>
      </w:tabs>
    </w:pPr>
    <w:rPr>
      <w:b/>
      <w:noProof/>
    </w:rPr>
  </w:style>
  <w:style w:type="paragraph" w:customStyle="1" w:styleId="PELeft">
    <w:name w:val="PELeft"/>
    <w:basedOn w:val="Normal"/>
    <w:rsid w:val="002C7C68"/>
    <w:pPr>
      <w:spacing w:before="40" w:after="40"/>
    </w:pPr>
    <w:rPr>
      <w:rFonts w:ascii="Arial" w:hAnsi="Arial" w:cs="Arial"/>
      <w:sz w:val="22"/>
      <w:szCs w:val="22"/>
    </w:rPr>
  </w:style>
  <w:style w:type="paragraph" w:customStyle="1" w:styleId="PERight">
    <w:name w:val="PERight"/>
    <w:basedOn w:val="Normal"/>
    <w:next w:val="Normal"/>
    <w:rsid w:val="002C7C68"/>
    <w:pPr>
      <w:jc w:val="right"/>
    </w:pPr>
    <w:rPr>
      <w:rFonts w:ascii="Arial" w:hAnsi="Arial" w:cs="Arial"/>
      <w:sz w:val="22"/>
      <w:szCs w:val="22"/>
    </w:rPr>
  </w:style>
  <w:style w:type="paragraph" w:customStyle="1" w:styleId="CrossRef">
    <w:name w:val="CrossRef"/>
    <w:basedOn w:val="Normal"/>
    <w:rsid w:val="002C7C68"/>
    <w:pPr>
      <w:spacing w:before="240"/>
      <w:jc w:val="center"/>
    </w:pPr>
    <w:rPr>
      <w:i/>
    </w:rPr>
  </w:style>
  <w:style w:type="character" w:customStyle="1" w:styleId="Footer2Middle">
    <w:name w:val="Footer2Middle"/>
    <w:rsid w:val="002C7C68"/>
    <w:rPr>
      <w:rFonts w:ascii="Arial" w:cs="Arial"/>
      <w:b w:val="0"/>
      <w:i/>
      <w:color w:val="C0C0C0"/>
      <w:sz w:val="22"/>
    </w:rPr>
  </w:style>
  <w:style w:type="paragraph" w:customStyle="1" w:styleId="Text1">
    <w:name w:val="Text 1"/>
    <w:basedOn w:val="Normal"/>
    <w:rsid w:val="002C7C68"/>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2C7C68"/>
    <w:pPr>
      <w:spacing w:after="480"/>
    </w:pPr>
  </w:style>
  <w:style w:type="character" w:customStyle="1" w:styleId="Normal24aChar">
    <w:name w:val="Normal24a Char"/>
    <w:basedOn w:val="DefaultParagraphFont"/>
    <w:link w:val="Normal24a"/>
    <w:rsid w:val="002C7C68"/>
    <w:rPr>
      <w:sz w:val="24"/>
      <w:lang w:val="pl-PL"/>
    </w:rPr>
  </w:style>
  <w:style w:type="paragraph" w:styleId="EndnoteText">
    <w:name w:val="endnote text"/>
    <w:basedOn w:val="Normal"/>
    <w:link w:val="EndnoteTextChar"/>
    <w:rsid w:val="002C7C68"/>
    <w:rPr>
      <w:sz w:val="20"/>
    </w:rPr>
  </w:style>
  <w:style w:type="character" w:customStyle="1" w:styleId="EndnoteTextChar">
    <w:name w:val="Endnote Text Char"/>
    <w:basedOn w:val="DefaultParagraphFont"/>
    <w:link w:val="EndnoteText"/>
    <w:rsid w:val="002C7C68"/>
    <w:rPr>
      <w:lang w:val="pl-PL"/>
    </w:rPr>
  </w:style>
  <w:style w:type="character" w:styleId="EndnoteReference">
    <w:name w:val="endnote reference"/>
    <w:basedOn w:val="DefaultParagraphFont"/>
    <w:rsid w:val="002C7C68"/>
    <w:rPr>
      <w:vertAlign w:val="superscript"/>
    </w:rPr>
  </w:style>
  <w:style w:type="paragraph" w:customStyle="1" w:styleId="HideTWBExtn">
    <w:name w:val="HideTWBExtn"/>
    <w:basedOn w:val="NormalBold"/>
    <w:rsid w:val="002C7C68"/>
  </w:style>
  <w:style w:type="paragraph" w:customStyle="1" w:styleId="msonormal0">
    <w:name w:val="msonormal"/>
    <w:basedOn w:val="Normal"/>
    <w:rsid w:val="002C7C68"/>
    <w:pPr>
      <w:widowControl/>
      <w:spacing w:before="100" w:beforeAutospacing="1" w:after="100" w:afterAutospacing="1"/>
    </w:pPr>
    <w:rPr>
      <w:szCs w:val="24"/>
    </w:rPr>
  </w:style>
  <w:style w:type="paragraph" w:styleId="Footer">
    <w:name w:val="footer"/>
    <w:basedOn w:val="Normal"/>
    <w:link w:val="FooterChar"/>
    <w:uiPriority w:val="99"/>
    <w:rsid w:val="002C7C68"/>
    <w:pPr>
      <w:tabs>
        <w:tab w:val="center" w:pos="4513"/>
        <w:tab w:val="right" w:pos="9026"/>
      </w:tabs>
    </w:pPr>
  </w:style>
  <w:style w:type="character" w:customStyle="1" w:styleId="FooterChar">
    <w:name w:val="Footer Char"/>
    <w:basedOn w:val="DefaultParagraphFont"/>
    <w:link w:val="Footer"/>
    <w:uiPriority w:val="99"/>
    <w:rsid w:val="002C7C68"/>
    <w:rPr>
      <w:sz w:val="24"/>
      <w:lang w:val="pl-PL"/>
    </w:rPr>
  </w:style>
  <w:style w:type="paragraph" w:customStyle="1" w:styleId="Default">
    <w:name w:val="Default"/>
    <w:rsid w:val="002C7C68"/>
    <w:pPr>
      <w:autoSpaceDE w:val="0"/>
      <w:autoSpaceDN w:val="0"/>
      <w:adjustRightInd w:val="0"/>
    </w:pPr>
    <w:rPr>
      <w:color w:val="000000"/>
      <w:sz w:val="24"/>
      <w:szCs w:val="24"/>
      <w:lang w:val="pl-PL"/>
    </w:rPr>
  </w:style>
  <w:style w:type="paragraph" w:customStyle="1" w:styleId="AmDocTypeTab">
    <w:name w:val="AmDocTypeTab"/>
    <w:basedOn w:val="Normal"/>
    <w:rsid w:val="007A35B0"/>
    <w:pPr>
      <w:tabs>
        <w:tab w:val="right" w:pos="9070"/>
      </w:tabs>
    </w:pPr>
    <w:rPr>
      <w:b/>
      <w:szCs w:val="24"/>
      <w:lang w:eastAsia="en-US"/>
    </w:rPr>
  </w:style>
  <w:style w:type="paragraph" w:customStyle="1" w:styleId="FootnoteTextForceStyle">
    <w:name w:val="Footnote Text ForceStyle"/>
    <w:rsid w:val="003A0DC0"/>
    <w:pPr>
      <w:keepLines/>
      <w:widowControl w:val="0"/>
      <w:ind w:left="850" w:hanging="850"/>
    </w:pPr>
    <w:rPr>
      <w:sz w:val="24"/>
      <w:lang w:eastAsia="en-US"/>
    </w:rPr>
  </w:style>
  <w:style w:type="numbering" w:customStyle="1" w:styleId="NoList1">
    <w:name w:val="No List1"/>
    <w:next w:val="NoList"/>
    <w:uiPriority w:val="99"/>
    <w:semiHidden/>
    <w:unhideWhenUsed/>
    <w:rsid w:val="00524971"/>
  </w:style>
  <w:style w:type="paragraph" w:customStyle="1" w:styleId="SignaturePersonne">
    <w:name w:val="Signature Personne"/>
    <w:basedOn w:val="Normal"/>
    <w:rsid w:val="00524971"/>
    <w:pPr>
      <w:widowControl/>
      <w:tabs>
        <w:tab w:val="left" w:pos="4252"/>
      </w:tabs>
      <w:spacing w:line="360" w:lineRule="auto"/>
    </w:pPr>
    <w:rPr>
      <w:i/>
      <w:szCs w:val="24"/>
      <w:lang w:val="en-GB" w:eastAsia="en-US"/>
    </w:rPr>
  </w:style>
  <w:style w:type="paragraph" w:customStyle="1" w:styleId="Considrant">
    <w:name w:val="Considérant"/>
    <w:basedOn w:val="Normal"/>
    <w:rsid w:val="00524971"/>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524971"/>
    <w:pPr>
      <w:keepNext/>
      <w:spacing w:before="600" w:after="120" w:line="360" w:lineRule="auto"/>
    </w:pPr>
    <w:rPr>
      <w:szCs w:val="24"/>
      <w:lang w:val="en-GB" w:eastAsia="en-US"/>
    </w:rPr>
  </w:style>
  <w:style w:type="paragraph" w:customStyle="1" w:styleId="Institutionquisigne">
    <w:name w:val="Institution qui signe"/>
    <w:basedOn w:val="Normal"/>
    <w:next w:val="Normal"/>
    <w:rsid w:val="00524971"/>
    <w:pPr>
      <w:keepNext/>
      <w:tabs>
        <w:tab w:val="left" w:pos="4252"/>
      </w:tabs>
      <w:spacing w:before="720" w:line="360" w:lineRule="auto"/>
    </w:pPr>
    <w:rPr>
      <w:i/>
      <w:szCs w:val="24"/>
      <w:lang w:val="en-GB" w:eastAsia="en-US"/>
    </w:rPr>
  </w:style>
  <w:style w:type="paragraph" w:customStyle="1" w:styleId="Fait">
    <w:name w:val="Fait à"/>
    <w:basedOn w:val="Normal"/>
    <w:rsid w:val="00524971"/>
    <w:pPr>
      <w:keepNext/>
      <w:widowControl/>
      <w:spacing w:before="120" w:line="360" w:lineRule="auto"/>
    </w:pPr>
    <w:rPr>
      <w:szCs w:val="24"/>
      <w:lang w:val="en-GB" w:eastAsia="en-US"/>
    </w:rPr>
  </w:style>
  <w:style w:type="character" w:customStyle="1" w:styleId="Footer2">
    <w:name w:val="Footer2"/>
    <w:rsid w:val="00524971"/>
    <w:rPr>
      <w:rFonts w:ascii="Arial" w:hAnsi="Arial"/>
      <w:b/>
      <w:sz w:val="48"/>
    </w:rPr>
  </w:style>
  <w:style w:type="paragraph" w:customStyle="1" w:styleId="Applicationdirecte">
    <w:name w:val="Application directe"/>
    <w:basedOn w:val="Normal"/>
    <w:next w:val="Normal"/>
    <w:rsid w:val="00524971"/>
    <w:pPr>
      <w:spacing w:before="120" w:after="120" w:line="360" w:lineRule="auto"/>
    </w:pPr>
    <w:rPr>
      <w:szCs w:val="24"/>
      <w:lang w:val="en-GB" w:eastAsia="en-US"/>
    </w:rPr>
  </w:style>
  <w:style w:type="paragraph" w:customStyle="1" w:styleId="Normale">
    <w:name w:val="Normale"/>
    <w:rsid w:val="00524971"/>
    <w:pPr>
      <w:widowControl w:val="0"/>
      <w:spacing w:before="120" w:after="120" w:line="360" w:lineRule="auto"/>
    </w:pPr>
    <w:rPr>
      <w:sz w:val="24"/>
      <w:lang w:eastAsia="en-US"/>
    </w:rPr>
  </w:style>
  <w:style w:type="paragraph" w:customStyle="1" w:styleId="Formuledadoption">
    <w:name w:val="Formule d'adoption"/>
    <w:basedOn w:val="Normal"/>
    <w:next w:val="Normal"/>
    <w:rsid w:val="00524971"/>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524971"/>
    <w:pPr>
      <w:widowControl/>
      <w:spacing w:after="240" w:line="360" w:lineRule="auto"/>
      <w:ind w:left="5102"/>
    </w:pPr>
    <w:rPr>
      <w:szCs w:val="24"/>
      <w:lang w:val="en-GB" w:eastAsia="en-US"/>
    </w:rPr>
  </w:style>
  <w:style w:type="paragraph" w:customStyle="1" w:styleId="Footer1">
    <w:name w:val="Footer1"/>
    <w:basedOn w:val="Normal"/>
    <w:rsid w:val="00524971"/>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524971"/>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524971"/>
    <w:pPr>
      <w:widowControl/>
      <w:spacing w:before="840" w:line="360" w:lineRule="auto"/>
      <w:jc w:val="center"/>
    </w:pPr>
    <w:rPr>
      <w:szCs w:val="24"/>
      <w:lang w:val="en-GB" w:eastAsia="en-US"/>
    </w:rPr>
  </w:style>
  <w:style w:type="paragraph" w:customStyle="1" w:styleId="Typedudocument">
    <w:name w:val="Type du document"/>
    <w:basedOn w:val="Normal"/>
    <w:next w:val="Normal"/>
    <w:rsid w:val="00524971"/>
    <w:pPr>
      <w:widowControl/>
      <w:spacing w:before="360" w:line="360" w:lineRule="auto"/>
      <w:jc w:val="center"/>
    </w:pPr>
    <w:rPr>
      <w:b/>
      <w:szCs w:val="24"/>
      <w:lang w:val="en-GB" w:eastAsia="en-US"/>
    </w:rPr>
  </w:style>
  <w:style w:type="paragraph" w:customStyle="1" w:styleId="Titreobjet">
    <w:name w:val="Titre objet"/>
    <w:basedOn w:val="Normal"/>
    <w:next w:val="Normal"/>
    <w:rsid w:val="00524971"/>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524971"/>
    <w:pPr>
      <w:widowControl/>
      <w:spacing w:before="360" w:after="240" w:line="360" w:lineRule="auto"/>
      <w:jc w:val="center"/>
    </w:pPr>
    <w:rPr>
      <w:szCs w:val="24"/>
      <w:lang w:val="en-GB" w:eastAsia="en-US"/>
    </w:rPr>
  </w:style>
  <w:style w:type="character" w:customStyle="1" w:styleId="CMissingStyle">
    <w:name w:val="C_MissingStyle"/>
    <w:rsid w:val="00524971"/>
    <w:rPr>
      <w:color w:val="FFFFFF"/>
      <w:sz w:val="22"/>
      <w:shd w:val="clear" w:color="000000" w:fill="000000"/>
    </w:rPr>
  </w:style>
  <w:style w:type="paragraph" w:customStyle="1" w:styleId="PMissingStyle">
    <w:name w:val="P_MissingStyle"/>
    <w:basedOn w:val="Normal"/>
    <w:rsid w:val="00524971"/>
    <w:pPr>
      <w:spacing w:before="120" w:after="120" w:line="360" w:lineRule="auto"/>
    </w:pPr>
    <w:rPr>
      <w:color w:val="FFFFFF"/>
      <w:szCs w:val="24"/>
      <w:shd w:val="clear" w:color="000000" w:fill="000000"/>
      <w:lang w:val="en-GB" w:eastAsia="en-US"/>
    </w:rPr>
  </w:style>
  <w:style w:type="character" w:customStyle="1" w:styleId="Heading1Char1">
    <w:name w:val="Heading 1 Char1"/>
    <w:basedOn w:val="DefaultParagraphFont"/>
    <w:rsid w:val="00524971"/>
    <w:rPr>
      <w:rFonts w:ascii="Cambria" w:eastAsia="Times New Roman" w:hAnsi="Cambria" w:cs="Times New Roman"/>
      <w:color w:val="365F91"/>
      <w:sz w:val="32"/>
      <w:szCs w:val="32"/>
    </w:rPr>
  </w:style>
  <w:style w:type="character" w:customStyle="1" w:styleId="Heading2Char1">
    <w:name w:val="Heading 2 Char1"/>
    <w:basedOn w:val="DefaultParagraphFont"/>
    <w:semiHidden/>
    <w:rsid w:val="00524971"/>
    <w:rPr>
      <w:rFonts w:ascii="Cambria" w:eastAsia="Times New Roman" w:hAnsi="Cambria" w:cs="Times New Roman"/>
      <w:color w:val="365F91"/>
      <w:sz w:val="26"/>
      <w:szCs w:val="26"/>
    </w:rPr>
  </w:style>
  <w:style w:type="character" w:customStyle="1" w:styleId="Heading3Char1">
    <w:name w:val="Heading 3 Char1"/>
    <w:basedOn w:val="DefaultParagraphFont"/>
    <w:semiHidden/>
    <w:rsid w:val="00524971"/>
    <w:rPr>
      <w:rFonts w:ascii="Cambria" w:eastAsia="Times New Roman" w:hAnsi="Cambria" w:cs="Times New Roman"/>
      <w:color w:val="243F60"/>
      <w:sz w:val="24"/>
      <w:szCs w:val="24"/>
    </w:rPr>
  </w:style>
  <w:style w:type="character" w:customStyle="1" w:styleId="Heading4Char1">
    <w:name w:val="Heading 4 Char1"/>
    <w:basedOn w:val="DefaultParagraphFont"/>
    <w:semiHidden/>
    <w:rsid w:val="00524971"/>
    <w:rPr>
      <w:rFonts w:ascii="Cambria" w:eastAsia="Times New Roman" w:hAnsi="Cambria" w:cs="Times New Roman"/>
      <w:i/>
      <w:iCs/>
      <w:color w:val="365F91"/>
      <w:sz w:val="24"/>
      <w:szCs w:val="24"/>
    </w:rPr>
  </w:style>
  <w:style w:type="paragraph" w:customStyle="1" w:styleId="ListBullet1">
    <w:name w:val="List Bullet1"/>
    <w:basedOn w:val="Normal"/>
    <w:next w:val="ListBullet"/>
    <w:uiPriority w:val="99"/>
    <w:semiHidden/>
    <w:unhideWhenUsed/>
    <w:rsid w:val="00524971"/>
    <w:pPr>
      <w:widowControl/>
      <w:numPr>
        <w:numId w:val="3"/>
      </w:numPr>
      <w:spacing w:before="120" w:after="12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524971"/>
    <w:pPr>
      <w:widowControl/>
      <w:numPr>
        <w:numId w:val="4"/>
      </w:numPr>
      <w:tabs>
        <w:tab w:val="clear" w:pos="643"/>
        <w:tab w:val="num" w:pos="360"/>
      </w:tabs>
      <w:spacing w:before="120" w:after="120"/>
      <w:ind w:left="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524971"/>
    <w:pPr>
      <w:widowControl/>
      <w:numPr>
        <w:numId w:val="5"/>
      </w:numPr>
      <w:tabs>
        <w:tab w:val="clear" w:pos="926"/>
        <w:tab w:val="num" w:pos="360"/>
      </w:tabs>
      <w:spacing w:before="120" w:after="120"/>
      <w:ind w:left="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524971"/>
    <w:pPr>
      <w:widowControl/>
      <w:numPr>
        <w:numId w:val="6"/>
      </w:numPr>
      <w:tabs>
        <w:tab w:val="clear" w:pos="1209"/>
        <w:tab w:val="num" w:pos="643"/>
      </w:tabs>
      <w:spacing w:before="120" w:after="120"/>
      <w:ind w:left="643"/>
      <w:contextualSpacing/>
      <w:jc w:val="both"/>
    </w:pPr>
    <w:rPr>
      <w:rFonts w:eastAsia="Calibri"/>
      <w:szCs w:val="22"/>
      <w:lang w:eastAsia="en-US"/>
    </w:rPr>
  </w:style>
  <w:style w:type="table" w:customStyle="1" w:styleId="TableGrid1">
    <w:name w:val="Table Grid1"/>
    <w:basedOn w:val="TableNormal"/>
    <w:next w:val="TableGrid"/>
    <w:uiPriority w:val="39"/>
    <w:rsid w:val="00524971"/>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524971"/>
    <w:rPr>
      <w:color w:val="605E5C"/>
      <w:shd w:val="clear" w:color="auto" w:fill="E1DFDD"/>
    </w:rPr>
  </w:style>
  <w:style w:type="character" w:customStyle="1" w:styleId="Mention1">
    <w:name w:val="Mention1"/>
    <w:basedOn w:val="DefaultParagraphFont"/>
    <w:uiPriority w:val="99"/>
    <w:unhideWhenUsed/>
    <w:rsid w:val="00524971"/>
    <w:rPr>
      <w:color w:val="2B579A"/>
      <w:shd w:val="clear" w:color="auto" w:fill="E1DFDD"/>
    </w:rPr>
  </w:style>
  <w:style w:type="paragraph" w:customStyle="1" w:styleId="Bulet1">
    <w:name w:val="Bulet 1"/>
    <w:basedOn w:val="Normal"/>
    <w:rsid w:val="00524971"/>
    <w:pPr>
      <w:widowControl/>
      <w:spacing w:before="120" w:after="120"/>
      <w:jc w:val="both"/>
    </w:pPr>
    <w:rPr>
      <w:rFonts w:eastAsia="Calibri"/>
      <w:szCs w:val="22"/>
      <w:lang w:eastAsia="en-US"/>
    </w:rPr>
  </w:style>
  <w:style w:type="paragraph" w:customStyle="1" w:styleId="paragraph">
    <w:name w:val="paragraph"/>
    <w:basedOn w:val="Normal"/>
    <w:rsid w:val="00524971"/>
    <w:pPr>
      <w:widowControl/>
    </w:pPr>
    <w:rPr>
      <w:rFonts w:ascii="Calibri" w:eastAsia="Calibri" w:hAnsi="Calibri" w:cs="Calibri"/>
      <w:sz w:val="22"/>
      <w:szCs w:val="22"/>
      <w:lang w:eastAsia="en-US"/>
    </w:rPr>
  </w:style>
  <w:style w:type="character" w:customStyle="1" w:styleId="normaltextrun">
    <w:name w:val="normaltextrun"/>
    <w:basedOn w:val="DefaultParagraphFont"/>
    <w:rsid w:val="00524971"/>
  </w:style>
  <w:style w:type="character" w:customStyle="1" w:styleId="eop">
    <w:name w:val="eop"/>
    <w:basedOn w:val="DefaultParagraphFont"/>
    <w:rsid w:val="00524971"/>
  </w:style>
  <w:style w:type="paragraph" w:customStyle="1" w:styleId="Point2">
    <w:name w:val="Point 2"/>
    <w:basedOn w:val="Normal"/>
    <w:rsid w:val="00524971"/>
    <w:pPr>
      <w:widowControl/>
      <w:spacing w:before="120" w:after="120"/>
      <w:ind w:left="1984" w:hanging="567"/>
      <w:jc w:val="both"/>
    </w:pPr>
    <w:rPr>
      <w:rFonts w:eastAsia="Calibri"/>
      <w:szCs w:val="22"/>
      <w:lang w:eastAsia="en-US"/>
    </w:rPr>
  </w:style>
  <w:style w:type="character" w:customStyle="1" w:styleId="FooterChar1">
    <w:name w:val="Footer Char1"/>
    <w:basedOn w:val="DefaultParagraphFont"/>
    <w:semiHidden/>
    <w:rsid w:val="00524971"/>
    <w:rPr>
      <w:sz w:val="24"/>
      <w:szCs w:val="24"/>
    </w:rPr>
  </w:style>
  <w:style w:type="paragraph" w:customStyle="1" w:styleId="TOC41">
    <w:name w:val="TOC 41"/>
    <w:basedOn w:val="Normal"/>
    <w:next w:val="Normal"/>
    <w:uiPriority w:val="39"/>
    <w:semiHidden/>
    <w:unhideWhenUsed/>
    <w:rsid w:val="00524971"/>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524971"/>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524971"/>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524971"/>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524971"/>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524971"/>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524971"/>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524971"/>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52497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524971"/>
    <w:pPr>
      <w:widowControl/>
      <w:spacing w:after="120"/>
      <w:jc w:val="right"/>
    </w:pPr>
    <w:rPr>
      <w:rFonts w:eastAsia="Calibri"/>
      <w:sz w:val="28"/>
      <w:szCs w:val="22"/>
      <w:lang w:eastAsia="en-US"/>
    </w:rPr>
  </w:style>
  <w:style w:type="paragraph" w:customStyle="1" w:styleId="FooterSensitivity">
    <w:name w:val="Footer Sensitivity"/>
    <w:basedOn w:val="Normal"/>
    <w:rsid w:val="0052497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2">
    <w:name w:val="Text 2"/>
    <w:basedOn w:val="Normal"/>
    <w:rsid w:val="00524971"/>
    <w:pPr>
      <w:widowControl/>
      <w:spacing w:before="120" w:after="120"/>
      <w:ind w:left="1417"/>
      <w:jc w:val="both"/>
    </w:pPr>
    <w:rPr>
      <w:rFonts w:eastAsia="Calibri"/>
      <w:szCs w:val="22"/>
      <w:lang w:eastAsia="en-US"/>
    </w:rPr>
  </w:style>
  <w:style w:type="paragraph" w:customStyle="1" w:styleId="Text3">
    <w:name w:val="Text 3"/>
    <w:basedOn w:val="Normal"/>
    <w:rsid w:val="00524971"/>
    <w:pPr>
      <w:widowControl/>
      <w:spacing w:before="120" w:after="120"/>
      <w:ind w:left="1984"/>
      <w:jc w:val="both"/>
    </w:pPr>
    <w:rPr>
      <w:rFonts w:eastAsia="Calibri"/>
      <w:szCs w:val="22"/>
      <w:lang w:eastAsia="en-US"/>
    </w:rPr>
  </w:style>
  <w:style w:type="paragraph" w:customStyle="1" w:styleId="Text4">
    <w:name w:val="Text 4"/>
    <w:basedOn w:val="Normal"/>
    <w:rsid w:val="00524971"/>
    <w:pPr>
      <w:widowControl/>
      <w:spacing w:before="120" w:after="120"/>
      <w:ind w:left="2551"/>
      <w:jc w:val="both"/>
    </w:pPr>
    <w:rPr>
      <w:rFonts w:eastAsia="Calibri"/>
      <w:szCs w:val="22"/>
      <w:lang w:eastAsia="en-US"/>
    </w:rPr>
  </w:style>
  <w:style w:type="paragraph" w:customStyle="1" w:styleId="Text5">
    <w:name w:val="Text 5"/>
    <w:basedOn w:val="Normal"/>
    <w:rsid w:val="00524971"/>
    <w:pPr>
      <w:widowControl/>
      <w:spacing w:before="120" w:after="120"/>
      <w:ind w:left="3118"/>
      <w:jc w:val="both"/>
    </w:pPr>
    <w:rPr>
      <w:rFonts w:eastAsia="Calibri"/>
      <w:szCs w:val="22"/>
      <w:lang w:eastAsia="en-US"/>
    </w:rPr>
  </w:style>
  <w:style w:type="paragraph" w:customStyle="1" w:styleId="Text6">
    <w:name w:val="Text 6"/>
    <w:basedOn w:val="Normal"/>
    <w:rsid w:val="00524971"/>
    <w:pPr>
      <w:widowControl/>
      <w:spacing w:before="120" w:after="120"/>
      <w:ind w:left="3685"/>
      <w:jc w:val="both"/>
    </w:pPr>
    <w:rPr>
      <w:rFonts w:eastAsia="Calibri"/>
      <w:szCs w:val="22"/>
      <w:lang w:eastAsia="en-US"/>
    </w:rPr>
  </w:style>
  <w:style w:type="paragraph" w:customStyle="1" w:styleId="NormalCentered">
    <w:name w:val="Normal Centered"/>
    <w:basedOn w:val="Normal"/>
    <w:rsid w:val="00524971"/>
    <w:pPr>
      <w:widowControl/>
      <w:spacing w:before="120" w:after="120"/>
      <w:jc w:val="center"/>
    </w:pPr>
    <w:rPr>
      <w:rFonts w:eastAsia="Calibri"/>
      <w:szCs w:val="22"/>
      <w:lang w:eastAsia="en-US"/>
    </w:rPr>
  </w:style>
  <w:style w:type="paragraph" w:customStyle="1" w:styleId="NormalLeft">
    <w:name w:val="Normal Left"/>
    <w:basedOn w:val="Normal"/>
    <w:rsid w:val="00524971"/>
    <w:pPr>
      <w:widowControl/>
      <w:spacing w:before="120" w:after="120"/>
    </w:pPr>
    <w:rPr>
      <w:rFonts w:eastAsia="Calibri"/>
      <w:szCs w:val="22"/>
      <w:lang w:eastAsia="en-US"/>
    </w:rPr>
  </w:style>
  <w:style w:type="paragraph" w:customStyle="1" w:styleId="NormalRight">
    <w:name w:val="Normal Right"/>
    <w:basedOn w:val="Normal"/>
    <w:rsid w:val="00524971"/>
    <w:pPr>
      <w:widowControl/>
      <w:spacing w:before="120" w:after="120"/>
      <w:jc w:val="right"/>
    </w:pPr>
    <w:rPr>
      <w:rFonts w:eastAsia="Calibri"/>
      <w:szCs w:val="22"/>
      <w:lang w:eastAsia="en-US"/>
    </w:rPr>
  </w:style>
  <w:style w:type="paragraph" w:customStyle="1" w:styleId="QuotedText">
    <w:name w:val="Quoted Text"/>
    <w:basedOn w:val="Normal"/>
    <w:rsid w:val="00524971"/>
    <w:pPr>
      <w:widowControl/>
      <w:spacing w:before="120" w:after="120"/>
      <w:ind w:left="1417"/>
      <w:jc w:val="both"/>
    </w:pPr>
    <w:rPr>
      <w:rFonts w:eastAsia="Calibri"/>
      <w:szCs w:val="22"/>
      <w:lang w:eastAsia="en-US"/>
    </w:rPr>
  </w:style>
  <w:style w:type="paragraph" w:customStyle="1" w:styleId="Point0">
    <w:name w:val="Point 0"/>
    <w:basedOn w:val="Normal"/>
    <w:rsid w:val="00524971"/>
    <w:pPr>
      <w:widowControl/>
      <w:spacing w:before="120" w:after="120"/>
      <w:ind w:left="850" w:hanging="850"/>
      <w:jc w:val="both"/>
    </w:pPr>
    <w:rPr>
      <w:rFonts w:eastAsia="Calibri"/>
      <w:szCs w:val="22"/>
      <w:lang w:eastAsia="en-US"/>
    </w:rPr>
  </w:style>
  <w:style w:type="paragraph" w:customStyle="1" w:styleId="Point1">
    <w:name w:val="Point 1"/>
    <w:basedOn w:val="Normal"/>
    <w:rsid w:val="00524971"/>
    <w:pPr>
      <w:widowControl/>
      <w:spacing w:before="120" w:after="120"/>
      <w:ind w:left="1417" w:hanging="567"/>
      <w:jc w:val="both"/>
    </w:pPr>
    <w:rPr>
      <w:rFonts w:eastAsia="Calibri"/>
      <w:szCs w:val="22"/>
      <w:lang w:eastAsia="en-US"/>
    </w:rPr>
  </w:style>
  <w:style w:type="paragraph" w:customStyle="1" w:styleId="Point3">
    <w:name w:val="Point 3"/>
    <w:basedOn w:val="Normal"/>
    <w:rsid w:val="00524971"/>
    <w:pPr>
      <w:widowControl/>
      <w:spacing w:before="120" w:after="120"/>
      <w:ind w:left="2551" w:hanging="567"/>
      <w:jc w:val="both"/>
    </w:pPr>
    <w:rPr>
      <w:rFonts w:eastAsia="Calibri"/>
      <w:szCs w:val="22"/>
      <w:lang w:eastAsia="en-US"/>
    </w:rPr>
  </w:style>
  <w:style w:type="paragraph" w:customStyle="1" w:styleId="Point4">
    <w:name w:val="Point 4"/>
    <w:basedOn w:val="Normal"/>
    <w:rsid w:val="00524971"/>
    <w:pPr>
      <w:widowControl/>
      <w:spacing w:before="120" w:after="120"/>
      <w:ind w:left="3118" w:hanging="567"/>
      <w:jc w:val="both"/>
    </w:pPr>
    <w:rPr>
      <w:rFonts w:eastAsia="Calibri"/>
      <w:szCs w:val="22"/>
      <w:lang w:eastAsia="en-US"/>
    </w:rPr>
  </w:style>
  <w:style w:type="paragraph" w:customStyle="1" w:styleId="Point5">
    <w:name w:val="Point 5"/>
    <w:basedOn w:val="Normal"/>
    <w:rsid w:val="00524971"/>
    <w:pPr>
      <w:widowControl/>
      <w:spacing w:before="120" w:after="120"/>
      <w:ind w:left="3685" w:hanging="567"/>
      <w:jc w:val="both"/>
    </w:pPr>
    <w:rPr>
      <w:rFonts w:eastAsia="Calibri"/>
      <w:szCs w:val="22"/>
      <w:lang w:eastAsia="en-US"/>
    </w:rPr>
  </w:style>
  <w:style w:type="paragraph" w:customStyle="1" w:styleId="Tiret0">
    <w:name w:val="Tiret 0"/>
    <w:basedOn w:val="Point0"/>
    <w:rsid w:val="00524971"/>
    <w:pPr>
      <w:numPr>
        <w:numId w:val="8"/>
      </w:numPr>
      <w:tabs>
        <w:tab w:val="clear" w:pos="850"/>
        <w:tab w:val="num" w:pos="1209"/>
      </w:tabs>
      <w:ind w:left="1209" w:hanging="360"/>
    </w:pPr>
  </w:style>
  <w:style w:type="paragraph" w:customStyle="1" w:styleId="Tiret1">
    <w:name w:val="Tiret 1"/>
    <w:basedOn w:val="Point1"/>
    <w:rsid w:val="00524971"/>
    <w:pPr>
      <w:numPr>
        <w:numId w:val="9"/>
      </w:numPr>
      <w:tabs>
        <w:tab w:val="clear" w:pos="1417"/>
      </w:tabs>
      <w:ind w:left="720" w:hanging="360"/>
    </w:pPr>
  </w:style>
  <w:style w:type="paragraph" w:customStyle="1" w:styleId="Tiret2">
    <w:name w:val="Tiret 2"/>
    <w:basedOn w:val="Point2"/>
    <w:rsid w:val="00524971"/>
    <w:pPr>
      <w:numPr>
        <w:numId w:val="10"/>
      </w:numPr>
      <w:tabs>
        <w:tab w:val="clear" w:pos="1984"/>
        <w:tab w:val="num" w:pos="850"/>
      </w:tabs>
      <w:ind w:left="850" w:hanging="850"/>
    </w:pPr>
  </w:style>
  <w:style w:type="paragraph" w:customStyle="1" w:styleId="Tiret3">
    <w:name w:val="Tiret 3"/>
    <w:basedOn w:val="Point3"/>
    <w:rsid w:val="00524971"/>
    <w:pPr>
      <w:numPr>
        <w:numId w:val="11"/>
      </w:numPr>
      <w:tabs>
        <w:tab w:val="clear" w:pos="2551"/>
        <w:tab w:val="num" w:pos="1417"/>
      </w:tabs>
      <w:ind w:left="1417"/>
    </w:pPr>
  </w:style>
  <w:style w:type="paragraph" w:customStyle="1" w:styleId="Tiret4">
    <w:name w:val="Tiret 4"/>
    <w:basedOn w:val="Point4"/>
    <w:rsid w:val="00524971"/>
    <w:pPr>
      <w:numPr>
        <w:numId w:val="12"/>
      </w:numPr>
      <w:tabs>
        <w:tab w:val="clear" w:pos="3118"/>
        <w:tab w:val="num" w:pos="1984"/>
      </w:tabs>
      <w:ind w:left="1984"/>
    </w:pPr>
  </w:style>
  <w:style w:type="paragraph" w:customStyle="1" w:styleId="Tiret5">
    <w:name w:val="Tiret 5"/>
    <w:basedOn w:val="Point5"/>
    <w:rsid w:val="00524971"/>
    <w:pPr>
      <w:numPr>
        <w:numId w:val="13"/>
      </w:numPr>
      <w:tabs>
        <w:tab w:val="clear" w:pos="3685"/>
        <w:tab w:val="num" w:pos="2551"/>
      </w:tabs>
      <w:ind w:left="2551"/>
    </w:pPr>
  </w:style>
  <w:style w:type="paragraph" w:customStyle="1" w:styleId="PointDouble0">
    <w:name w:val="PointDouble 0"/>
    <w:basedOn w:val="Normal"/>
    <w:rsid w:val="00524971"/>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524971"/>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524971"/>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524971"/>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524971"/>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524971"/>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524971"/>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524971"/>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524971"/>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524971"/>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524971"/>
    <w:pPr>
      <w:widowControl/>
      <w:numPr>
        <w:numId w:val="14"/>
      </w:numPr>
      <w:tabs>
        <w:tab w:val="clear" w:pos="850"/>
        <w:tab w:val="num" w:pos="3118"/>
      </w:tabs>
      <w:spacing w:before="120" w:after="120"/>
      <w:ind w:left="3118" w:hanging="567"/>
      <w:jc w:val="both"/>
    </w:pPr>
    <w:rPr>
      <w:rFonts w:eastAsia="Calibri"/>
      <w:szCs w:val="22"/>
      <w:lang w:eastAsia="en-US"/>
    </w:rPr>
  </w:style>
  <w:style w:type="paragraph" w:customStyle="1" w:styleId="NumPar2">
    <w:name w:val="NumPar 2"/>
    <w:basedOn w:val="Normal"/>
    <w:next w:val="Text1"/>
    <w:rsid w:val="00524971"/>
    <w:pPr>
      <w:widowControl/>
      <w:numPr>
        <w:ilvl w:val="1"/>
        <w:numId w:val="14"/>
      </w:numPr>
      <w:tabs>
        <w:tab w:val="clear" w:pos="850"/>
        <w:tab w:val="num" w:pos="3118"/>
      </w:tabs>
      <w:spacing w:before="120" w:after="120"/>
      <w:ind w:left="3118" w:hanging="567"/>
      <w:jc w:val="both"/>
    </w:pPr>
    <w:rPr>
      <w:rFonts w:eastAsia="Calibri"/>
      <w:szCs w:val="22"/>
      <w:lang w:eastAsia="en-US"/>
    </w:rPr>
  </w:style>
  <w:style w:type="paragraph" w:customStyle="1" w:styleId="NumPar3">
    <w:name w:val="NumPar 3"/>
    <w:basedOn w:val="Normal"/>
    <w:next w:val="Text1"/>
    <w:rsid w:val="00524971"/>
    <w:pPr>
      <w:widowControl/>
      <w:numPr>
        <w:ilvl w:val="2"/>
        <w:numId w:val="14"/>
      </w:numPr>
      <w:tabs>
        <w:tab w:val="clear" w:pos="850"/>
        <w:tab w:val="num" w:pos="3118"/>
      </w:tabs>
      <w:spacing w:before="120" w:after="120"/>
      <w:ind w:left="3118" w:hanging="567"/>
      <w:jc w:val="both"/>
    </w:pPr>
    <w:rPr>
      <w:rFonts w:eastAsia="Calibri"/>
      <w:szCs w:val="22"/>
      <w:lang w:eastAsia="en-US"/>
    </w:rPr>
  </w:style>
  <w:style w:type="paragraph" w:customStyle="1" w:styleId="NumPar4">
    <w:name w:val="NumPar 4"/>
    <w:basedOn w:val="Normal"/>
    <w:next w:val="Text1"/>
    <w:rsid w:val="00524971"/>
    <w:pPr>
      <w:widowControl/>
      <w:numPr>
        <w:ilvl w:val="3"/>
        <w:numId w:val="14"/>
      </w:numPr>
      <w:tabs>
        <w:tab w:val="clear" w:pos="850"/>
        <w:tab w:val="num" w:pos="3118"/>
      </w:tabs>
      <w:spacing w:before="120" w:after="120"/>
      <w:ind w:left="3118" w:hanging="567"/>
      <w:jc w:val="both"/>
    </w:pPr>
    <w:rPr>
      <w:rFonts w:eastAsia="Calibri"/>
      <w:szCs w:val="22"/>
      <w:lang w:eastAsia="en-US"/>
    </w:rPr>
  </w:style>
  <w:style w:type="paragraph" w:customStyle="1" w:styleId="NumPar5">
    <w:name w:val="NumPar 5"/>
    <w:basedOn w:val="Normal"/>
    <w:next w:val="Text2"/>
    <w:rsid w:val="00524971"/>
    <w:pPr>
      <w:widowControl/>
      <w:numPr>
        <w:ilvl w:val="4"/>
        <w:numId w:val="14"/>
      </w:numPr>
      <w:tabs>
        <w:tab w:val="clear" w:pos="1417"/>
        <w:tab w:val="num" w:pos="3118"/>
      </w:tabs>
      <w:spacing w:before="120" w:after="120"/>
      <w:ind w:left="3118" w:hanging="567"/>
      <w:jc w:val="both"/>
    </w:pPr>
    <w:rPr>
      <w:rFonts w:eastAsia="Calibri"/>
      <w:szCs w:val="22"/>
      <w:lang w:eastAsia="en-US"/>
    </w:rPr>
  </w:style>
  <w:style w:type="paragraph" w:customStyle="1" w:styleId="NumPar6">
    <w:name w:val="NumPar 6"/>
    <w:basedOn w:val="Normal"/>
    <w:next w:val="Text2"/>
    <w:rsid w:val="00524971"/>
    <w:pPr>
      <w:widowControl/>
      <w:numPr>
        <w:ilvl w:val="5"/>
        <w:numId w:val="14"/>
      </w:numPr>
      <w:tabs>
        <w:tab w:val="clear" w:pos="1417"/>
        <w:tab w:val="num" w:pos="3118"/>
      </w:tabs>
      <w:spacing w:before="120" w:after="120"/>
      <w:ind w:left="3118" w:hanging="567"/>
      <w:jc w:val="both"/>
    </w:pPr>
    <w:rPr>
      <w:rFonts w:eastAsia="Calibri"/>
      <w:szCs w:val="22"/>
      <w:lang w:eastAsia="en-US"/>
    </w:rPr>
  </w:style>
  <w:style w:type="paragraph" w:customStyle="1" w:styleId="NumPar7">
    <w:name w:val="NumPar 7"/>
    <w:basedOn w:val="Normal"/>
    <w:next w:val="Text2"/>
    <w:rsid w:val="00524971"/>
    <w:pPr>
      <w:widowControl/>
      <w:numPr>
        <w:ilvl w:val="6"/>
        <w:numId w:val="14"/>
      </w:numPr>
      <w:tabs>
        <w:tab w:val="clear" w:pos="1417"/>
        <w:tab w:val="num" w:pos="3118"/>
      </w:tabs>
      <w:spacing w:before="120" w:after="120"/>
      <w:ind w:left="3118" w:hanging="567"/>
      <w:jc w:val="both"/>
    </w:pPr>
    <w:rPr>
      <w:rFonts w:eastAsia="Calibri"/>
      <w:szCs w:val="22"/>
      <w:lang w:eastAsia="en-US"/>
    </w:rPr>
  </w:style>
  <w:style w:type="paragraph" w:customStyle="1" w:styleId="ManualNumPar1">
    <w:name w:val="Manual NumPar 1"/>
    <w:basedOn w:val="Normal"/>
    <w:next w:val="Text1"/>
    <w:rsid w:val="0052497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52497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52497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52497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524971"/>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524971"/>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524971"/>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524971"/>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52497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52497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52497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52497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524971"/>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524971"/>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524971"/>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524971"/>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524971"/>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52497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524971"/>
    <w:pPr>
      <w:widowControl/>
      <w:spacing w:before="120" w:after="120"/>
      <w:jc w:val="center"/>
    </w:pPr>
    <w:rPr>
      <w:rFonts w:eastAsia="Calibri"/>
      <w:b/>
      <w:szCs w:val="22"/>
      <w:lang w:eastAsia="en-US"/>
    </w:rPr>
  </w:style>
  <w:style w:type="character" w:customStyle="1" w:styleId="Marker">
    <w:name w:val="Marker"/>
    <w:basedOn w:val="DefaultParagraphFont"/>
    <w:rsid w:val="00524971"/>
    <w:rPr>
      <w:color w:val="0000FF"/>
      <w:shd w:val="clear" w:color="auto" w:fill="auto"/>
    </w:rPr>
  </w:style>
  <w:style w:type="character" w:customStyle="1" w:styleId="Marker1">
    <w:name w:val="Marker1"/>
    <w:basedOn w:val="DefaultParagraphFont"/>
    <w:rsid w:val="00524971"/>
    <w:rPr>
      <w:color w:val="008000"/>
      <w:shd w:val="clear" w:color="auto" w:fill="auto"/>
    </w:rPr>
  </w:style>
  <w:style w:type="character" w:customStyle="1" w:styleId="Marker2">
    <w:name w:val="Marker2"/>
    <w:basedOn w:val="DefaultParagraphFont"/>
    <w:rsid w:val="00524971"/>
    <w:rPr>
      <w:color w:val="FF0000"/>
      <w:shd w:val="clear" w:color="auto" w:fill="auto"/>
    </w:rPr>
  </w:style>
  <w:style w:type="paragraph" w:customStyle="1" w:styleId="Point0number">
    <w:name w:val="Point 0 (number)"/>
    <w:basedOn w:val="Normal"/>
    <w:rsid w:val="00524971"/>
    <w:pPr>
      <w:widowControl/>
      <w:numPr>
        <w:numId w:val="16"/>
      </w:numPr>
      <w:spacing w:before="120" w:after="120"/>
      <w:jc w:val="both"/>
    </w:pPr>
    <w:rPr>
      <w:rFonts w:eastAsia="Calibri"/>
      <w:szCs w:val="22"/>
      <w:lang w:eastAsia="en-US"/>
    </w:rPr>
  </w:style>
  <w:style w:type="paragraph" w:customStyle="1" w:styleId="Point1number">
    <w:name w:val="Point 1 (number)"/>
    <w:basedOn w:val="Normal"/>
    <w:rsid w:val="00524971"/>
    <w:pPr>
      <w:widowControl/>
      <w:numPr>
        <w:ilvl w:val="2"/>
        <w:numId w:val="16"/>
      </w:numPr>
      <w:tabs>
        <w:tab w:val="clear" w:pos="1417"/>
        <w:tab w:val="num" w:pos="850"/>
      </w:tabs>
      <w:spacing w:before="120" w:after="120"/>
      <w:ind w:left="850" w:hanging="850"/>
      <w:jc w:val="both"/>
    </w:pPr>
    <w:rPr>
      <w:rFonts w:eastAsia="Calibri"/>
      <w:szCs w:val="22"/>
      <w:lang w:eastAsia="en-US"/>
    </w:rPr>
  </w:style>
  <w:style w:type="paragraph" w:customStyle="1" w:styleId="Point2number">
    <w:name w:val="Point 2 (number)"/>
    <w:basedOn w:val="Normal"/>
    <w:rsid w:val="00524971"/>
    <w:pPr>
      <w:widowControl/>
      <w:numPr>
        <w:ilvl w:val="4"/>
        <w:numId w:val="16"/>
      </w:numPr>
      <w:tabs>
        <w:tab w:val="clear" w:pos="1984"/>
        <w:tab w:val="num" w:pos="1417"/>
      </w:tabs>
      <w:spacing w:before="120" w:after="120"/>
      <w:ind w:left="1417" w:hanging="1417"/>
      <w:jc w:val="both"/>
    </w:pPr>
    <w:rPr>
      <w:rFonts w:eastAsia="Calibri"/>
      <w:szCs w:val="22"/>
      <w:lang w:eastAsia="en-US"/>
    </w:rPr>
  </w:style>
  <w:style w:type="paragraph" w:customStyle="1" w:styleId="Point3number">
    <w:name w:val="Point 3 (number)"/>
    <w:basedOn w:val="Normal"/>
    <w:rsid w:val="00524971"/>
    <w:pPr>
      <w:widowControl/>
      <w:numPr>
        <w:ilvl w:val="6"/>
        <w:numId w:val="16"/>
      </w:numPr>
      <w:tabs>
        <w:tab w:val="clear" w:pos="2551"/>
        <w:tab w:val="num" w:pos="1417"/>
      </w:tabs>
      <w:spacing w:before="120" w:after="120"/>
      <w:ind w:left="1417" w:hanging="1417"/>
      <w:jc w:val="both"/>
    </w:pPr>
    <w:rPr>
      <w:rFonts w:eastAsia="Calibri"/>
      <w:szCs w:val="22"/>
      <w:lang w:eastAsia="en-US"/>
    </w:rPr>
  </w:style>
  <w:style w:type="paragraph" w:customStyle="1" w:styleId="Point0letter">
    <w:name w:val="Point 0 (letter)"/>
    <w:basedOn w:val="Normal"/>
    <w:rsid w:val="00524971"/>
    <w:pPr>
      <w:widowControl/>
      <w:numPr>
        <w:ilvl w:val="1"/>
        <w:numId w:val="16"/>
      </w:numPr>
      <w:spacing w:before="120" w:after="120"/>
      <w:jc w:val="both"/>
    </w:pPr>
    <w:rPr>
      <w:rFonts w:eastAsia="Calibri"/>
      <w:szCs w:val="22"/>
      <w:lang w:eastAsia="en-US"/>
    </w:rPr>
  </w:style>
  <w:style w:type="paragraph" w:customStyle="1" w:styleId="Point1letter">
    <w:name w:val="Point 1 (letter)"/>
    <w:basedOn w:val="Normal"/>
    <w:rsid w:val="00524971"/>
    <w:pPr>
      <w:widowControl/>
      <w:numPr>
        <w:ilvl w:val="3"/>
        <w:numId w:val="16"/>
      </w:numPr>
      <w:tabs>
        <w:tab w:val="clear" w:pos="1417"/>
        <w:tab w:val="num" w:pos="850"/>
      </w:tabs>
      <w:spacing w:before="120" w:after="120"/>
      <w:ind w:left="850" w:hanging="850"/>
      <w:jc w:val="both"/>
    </w:pPr>
    <w:rPr>
      <w:rFonts w:eastAsia="Calibri"/>
      <w:szCs w:val="22"/>
      <w:lang w:eastAsia="en-US"/>
    </w:rPr>
  </w:style>
  <w:style w:type="paragraph" w:customStyle="1" w:styleId="Point2letter">
    <w:name w:val="Point 2 (letter)"/>
    <w:basedOn w:val="Normal"/>
    <w:rsid w:val="00524971"/>
    <w:pPr>
      <w:widowControl/>
      <w:numPr>
        <w:ilvl w:val="5"/>
        <w:numId w:val="16"/>
      </w:numPr>
      <w:tabs>
        <w:tab w:val="clear" w:pos="1984"/>
        <w:tab w:val="num" w:pos="1417"/>
      </w:tabs>
      <w:spacing w:before="120" w:after="120"/>
      <w:ind w:left="1417" w:hanging="1417"/>
      <w:jc w:val="both"/>
    </w:pPr>
    <w:rPr>
      <w:rFonts w:eastAsia="Calibri"/>
      <w:szCs w:val="22"/>
      <w:lang w:eastAsia="en-US"/>
    </w:rPr>
  </w:style>
  <w:style w:type="paragraph" w:customStyle="1" w:styleId="Point3letter">
    <w:name w:val="Point 3 (letter)"/>
    <w:basedOn w:val="Normal"/>
    <w:rsid w:val="00524971"/>
    <w:pPr>
      <w:widowControl/>
      <w:numPr>
        <w:ilvl w:val="7"/>
        <w:numId w:val="16"/>
      </w:numPr>
      <w:tabs>
        <w:tab w:val="clear" w:pos="2551"/>
      </w:tabs>
      <w:spacing w:before="120" w:after="120"/>
      <w:ind w:left="2880" w:hanging="360"/>
      <w:jc w:val="both"/>
    </w:pPr>
    <w:rPr>
      <w:rFonts w:eastAsia="Calibri"/>
      <w:szCs w:val="22"/>
      <w:lang w:eastAsia="en-US"/>
    </w:rPr>
  </w:style>
  <w:style w:type="paragraph" w:customStyle="1" w:styleId="Point4letter">
    <w:name w:val="Point 4 (letter)"/>
    <w:basedOn w:val="Normal"/>
    <w:rsid w:val="00524971"/>
    <w:pPr>
      <w:widowControl/>
      <w:numPr>
        <w:numId w:val="22"/>
      </w:numPr>
      <w:tabs>
        <w:tab w:val="clear" w:pos="709"/>
      </w:tabs>
      <w:spacing w:before="120" w:after="120"/>
      <w:ind w:left="3240" w:hanging="360"/>
      <w:jc w:val="both"/>
    </w:pPr>
    <w:rPr>
      <w:rFonts w:eastAsia="Calibri"/>
      <w:szCs w:val="22"/>
      <w:lang w:eastAsia="en-US"/>
    </w:rPr>
  </w:style>
  <w:style w:type="paragraph" w:customStyle="1" w:styleId="Bullet0">
    <w:name w:val="Bullet 0"/>
    <w:basedOn w:val="Normal"/>
    <w:rsid w:val="00524971"/>
    <w:pPr>
      <w:widowControl/>
      <w:numPr>
        <w:numId w:val="17"/>
      </w:numPr>
      <w:spacing w:before="120" w:after="120"/>
      <w:jc w:val="both"/>
    </w:pPr>
    <w:rPr>
      <w:rFonts w:eastAsia="Calibri"/>
      <w:szCs w:val="22"/>
      <w:lang w:eastAsia="en-US"/>
    </w:rPr>
  </w:style>
  <w:style w:type="paragraph" w:customStyle="1" w:styleId="Bullet1">
    <w:name w:val="Bullet 1"/>
    <w:basedOn w:val="Normal"/>
    <w:rsid w:val="00524971"/>
    <w:pPr>
      <w:widowControl/>
      <w:numPr>
        <w:numId w:val="18"/>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524971"/>
    <w:pPr>
      <w:widowControl/>
      <w:numPr>
        <w:numId w:val="19"/>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524971"/>
    <w:pPr>
      <w:widowControl/>
      <w:numPr>
        <w:numId w:val="20"/>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524971"/>
    <w:pPr>
      <w:widowControl/>
      <w:numPr>
        <w:numId w:val="21"/>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524971"/>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524971"/>
    <w:pPr>
      <w:widowControl/>
    </w:pPr>
    <w:rPr>
      <w:rFonts w:ascii="Arial" w:eastAsia="Calibri" w:hAnsi="Arial" w:cs="Arial"/>
      <w:szCs w:val="22"/>
      <w:lang w:eastAsia="en-US"/>
    </w:rPr>
  </w:style>
  <w:style w:type="paragraph" w:customStyle="1" w:styleId="Emission">
    <w:name w:val="Emission"/>
    <w:basedOn w:val="Normal"/>
    <w:next w:val="Rfrenceinstitutionnelle"/>
    <w:rsid w:val="00524971"/>
    <w:pPr>
      <w:widowControl/>
      <w:ind w:left="5103"/>
    </w:pPr>
    <w:rPr>
      <w:rFonts w:eastAsia="Calibri"/>
      <w:szCs w:val="22"/>
      <w:lang w:eastAsia="en-US"/>
    </w:rPr>
  </w:style>
  <w:style w:type="paragraph" w:customStyle="1" w:styleId="Pagedecouverture">
    <w:name w:val="Page de couverture"/>
    <w:basedOn w:val="Normal"/>
    <w:next w:val="Normal"/>
    <w:rsid w:val="00524971"/>
    <w:pPr>
      <w:widowControl/>
      <w:jc w:val="both"/>
    </w:pPr>
    <w:rPr>
      <w:rFonts w:eastAsia="Calibri"/>
      <w:szCs w:val="22"/>
      <w:lang w:eastAsia="en-US"/>
    </w:rPr>
  </w:style>
  <w:style w:type="paragraph" w:customStyle="1" w:styleId="Declassification">
    <w:name w:val="Declassification"/>
    <w:basedOn w:val="Normal"/>
    <w:next w:val="Normal"/>
    <w:rsid w:val="00524971"/>
    <w:pPr>
      <w:widowControl/>
      <w:jc w:val="both"/>
    </w:pPr>
    <w:rPr>
      <w:rFonts w:eastAsia="Calibri"/>
      <w:szCs w:val="22"/>
      <w:lang w:eastAsia="en-US"/>
    </w:rPr>
  </w:style>
  <w:style w:type="paragraph" w:customStyle="1" w:styleId="Disclaimer">
    <w:name w:val="Disclaimer"/>
    <w:basedOn w:val="Normal"/>
    <w:rsid w:val="0052497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524971"/>
    <w:pPr>
      <w:widowControl/>
      <w:spacing w:line="276" w:lineRule="auto"/>
      <w:ind w:left="5103"/>
    </w:pPr>
    <w:rPr>
      <w:rFonts w:eastAsia="Calibri"/>
      <w:sz w:val="28"/>
      <w:szCs w:val="22"/>
      <w:lang w:eastAsia="en-US"/>
    </w:rPr>
  </w:style>
  <w:style w:type="paragraph" w:customStyle="1" w:styleId="DateMarking">
    <w:name w:val="DateMarking"/>
    <w:basedOn w:val="Normal"/>
    <w:rsid w:val="00524971"/>
    <w:pPr>
      <w:widowControl/>
      <w:spacing w:line="276" w:lineRule="auto"/>
      <w:ind w:left="5103"/>
    </w:pPr>
    <w:rPr>
      <w:rFonts w:eastAsia="Calibri"/>
      <w:i/>
      <w:sz w:val="28"/>
      <w:szCs w:val="22"/>
      <w:lang w:eastAsia="en-US"/>
    </w:rPr>
  </w:style>
  <w:style w:type="paragraph" w:customStyle="1" w:styleId="ReleasableTo">
    <w:name w:val="ReleasableTo"/>
    <w:basedOn w:val="Normal"/>
    <w:rsid w:val="00524971"/>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524971"/>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524971"/>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524971"/>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524971"/>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524971"/>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524971"/>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524971"/>
    <w:pPr>
      <w:widowControl/>
      <w:spacing w:after="240"/>
    </w:pPr>
    <w:rPr>
      <w:rFonts w:eastAsia="Calibri"/>
      <w:szCs w:val="22"/>
      <w:lang w:eastAsia="en-US"/>
    </w:rPr>
  </w:style>
  <w:style w:type="paragraph" w:customStyle="1" w:styleId="Datedadoption">
    <w:name w:val="Date d'adoption"/>
    <w:basedOn w:val="Normal"/>
    <w:next w:val="IntrtEEE"/>
    <w:rsid w:val="00524971"/>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524971"/>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524971"/>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524971"/>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524971"/>
    <w:pPr>
      <w:widowControl/>
      <w:ind w:left="5103"/>
    </w:pPr>
    <w:rPr>
      <w:rFonts w:eastAsia="Calibri"/>
      <w:szCs w:val="22"/>
      <w:lang w:eastAsia="en-US"/>
    </w:rPr>
  </w:style>
  <w:style w:type="paragraph" w:customStyle="1" w:styleId="Rfrenceinterne">
    <w:name w:val="Référence interne"/>
    <w:basedOn w:val="Normal"/>
    <w:next w:val="Rfrenceinterinstitutionnelle"/>
    <w:rsid w:val="00524971"/>
    <w:pPr>
      <w:widowControl/>
      <w:ind w:left="5103"/>
    </w:pPr>
    <w:rPr>
      <w:rFonts w:eastAsia="Calibri"/>
      <w:szCs w:val="22"/>
      <w:lang w:eastAsia="en-US"/>
    </w:rPr>
  </w:style>
  <w:style w:type="paragraph" w:customStyle="1" w:styleId="Titrearticle">
    <w:name w:val="Titre article"/>
    <w:basedOn w:val="Normal"/>
    <w:next w:val="Normal"/>
    <w:rsid w:val="00524971"/>
    <w:pPr>
      <w:keepNext/>
      <w:widowControl/>
      <w:spacing w:before="360" w:after="120"/>
      <w:jc w:val="center"/>
    </w:pPr>
    <w:rPr>
      <w:rFonts w:eastAsia="Calibri"/>
      <w:i/>
      <w:szCs w:val="22"/>
      <w:lang w:eastAsia="en-US"/>
    </w:rPr>
  </w:style>
  <w:style w:type="character" w:customStyle="1" w:styleId="Added">
    <w:name w:val="Added"/>
    <w:basedOn w:val="DefaultParagraphFont"/>
    <w:rsid w:val="00524971"/>
    <w:rPr>
      <w:b/>
      <w:u w:val="single"/>
      <w:shd w:val="clear" w:color="auto" w:fill="auto"/>
    </w:rPr>
  </w:style>
  <w:style w:type="character" w:customStyle="1" w:styleId="Deleted">
    <w:name w:val="Deleted"/>
    <w:basedOn w:val="DefaultParagraphFont"/>
    <w:rsid w:val="00524971"/>
    <w:rPr>
      <w:strike/>
      <w:dstrike w:val="0"/>
      <w:shd w:val="clear" w:color="auto" w:fill="auto"/>
    </w:rPr>
  </w:style>
  <w:style w:type="paragraph" w:customStyle="1" w:styleId="Address">
    <w:name w:val="Address"/>
    <w:basedOn w:val="Normal"/>
    <w:next w:val="Normal"/>
    <w:rsid w:val="00524971"/>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24971"/>
    <w:pPr>
      <w:widowControl/>
      <w:spacing w:before="120" w:after="120"/>
      <w:jc w:val="both"/>
    </w:pPr>
    <w:rPr>
      <w:rFonts w:eastAsia="Calibri"/>
      <w:i/>
      <w:caps/>
      <w:szCs w:val="22"/>
      <w:lang w:eastAsia="en-US"/>
    </w:rPr>
  </w:style>
  <w:style w:type="paragraph" w:customStyle="1" w:styleId="Supertitre">
    <w:name w:val="Supertitre"/>
    <w:basedOn w:val="Normal"/>
    <w:next w:val="Normal"/>
    <w:rsid w:val="00524971"/>
    <w:pPr>
      <w:widowControl/>
      <w:spacing w:after="600"/>
      <w:jc w:val="center"/>
    </w:pPr>
    <w:rPr>
      <w:rFonts w:eastAsia="Calibri"/>
      <w:b/>
      <w:szCs w:val="22"/>
      <w:lang w:eastAsia="en-US"/>
    </w:rPr>
  </w:style>
  <w:style w:type="paragraph" w:customStyle="1" w:styleId="Languesfaisantfoi">
    <w:name w:val="Langues faisant foi"/>
    <w:basedOn w:val="Normal"/>
    <w:next w:val="Normal"/>
    <w:rsid w:val="00524971"/>
    <w:pPr>
      <w:widowControl/>
      <w:spacing w:before="360"/>
      <w:jc w:val="center"/>
    </w:pPr>
    <w:rPr>
      <w:rFonts w:eastAsia="Calibri"/>
      <w:szCs w:val="22"/>
      <w:lang w:eastAsia="en-US"/>
    </w:rPr>
  </w:style>
  <w:style w:type="paragraph" w:customStyle="1" w:styleId="Rfrencecroise">
    <w:name w:val="Référence croisée"/>
    <w:basedOn w:val="Normal"/>
    <w:rsid w:val="00524971"/>
    <w:pPr>
      <w:widowControl/>
      <w:jc w:val="center"/>
    </w:pPr>
    <w:rPr>
      <w:rFonts w:eastAsia="Calibri"/>
      <w:szCs w:val="22"/>
      <w:lang w:eastAsia="en-US"/>
    </w:rPr>
  </w:style>
  <w:style w:type="paragraph" w:customStyle="1" w:styleId="Fichefinanciretitre">
    <w:name w:val="Fiche financière titre"/>
    <w:basedOn w:val="Normal"/>
    <w:next w:val="Normal"/>
    <w:rsid w:val="00524971"/>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524971"/>
  </w:style>
  <w:style w:type="paragraph" w:customStyle="1" w:styleId="RfrenceinterinstitutionnellePagedecouverture">
    <w:name w:val="Référence interinstitutionnelle (Page de couverture)"/>
    <w:basedOn w:val="Rfrenceinterinstitutionnelle"/>
    <w:next w:val="Confidentialit"/>
    <w:rsid w:val="00524971"/>
  </w:style>
  <w:style w:type="paragraph" w:customStyle="1" w:styleId="StatutPagedecouverture">
    <w:name w:val="Statut (Page de couverture)"/>
    <w:basedOn w:val="Statut"/>
    <w:next w:val="TypedudocumentPagedecouverture"/>
    <w:rsid w:val="00524971"/>
    <w:pPr>
      <w:spacing w:before="0" w:after="240" w:line="240" w:lineRule="auto"/>
    </w:pPr>
    <w:rPr>
      <w:rFonts w:eastAsia="Calibri"/>
      <w:szCs w:val="22"/>
      <w:lang w:val="pl-PL"/>
    </w:rPr>
  </w:style>
  <w:style w:type="paragraph" w:customStyle="1" w:styleId="TypedudocumentPagedecouverture">
    <w:name w:val="Type du document (Page de couverture)"/>
    <w:basedOn w:val="Typedudocument"/>
    <w:next w:val="AccompagnantPagedecouverture"/>
    <w:rsid w:val="00524971"/>
    <w:pPr>
      <w:spacing w:after="180" w:line="240" w:lineRule="auto"/>
    </w:pPr>
    <w:rPr>
      <w:rFonts w:eastAsia="Calibri"/>
      <w:szCs w:val="22"/>
      <w:lang w:val="pl-PL"/>
    </w:rPr>
  </w:style>
  <w:style w:type="paragraph" w:customStyle="1" w:styleId="Volume">
    <w:name w:val="Volume"/>
    <w:basedOn w:val="Normal"/>
    <w:next w:val="Confidentialit"/>
    <w:rsid w:val="00524971"/>
    <w:pPr>
      <w:widowControl/>
      <w:spacing w:after="240"/>
      <w:ind w:left="5103"/>
    </w:pPr>
    <w:rPr>
      <w:rFonts w:eastAsia="Calibri"/>
      <w:szCs w:val="22"/>
      <w:lang w:eastAsia="en-US"/>
    </w:rPr>
  </w:style>
  <w:style w:type="paragraph" w:customStyle="1" w:styleId="Accompagnant">
    <w:name w:val="Accompagnant"/>
    <w:basedOn w:val="Normal"/>
    <w:next w:val="Typeacteprincipal"/>
    <w:rsid w:val="00524971"/>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524971"/>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524971"/>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524971"/>
    <w:pPr>
      <w:spacing w:line="240" w:lineRule="auto"/>
    </w:pPr>
    <w:rPr>
      <w:rFonts w:eastAsia="Calibri"/>
      <w:szCs w:val="22"/>
      <w:lang w:val="pl-PL"/>
    </w:rPr>
  </w:style>
  <w:style w:type="paragraph" w:customStyle="1" w:styleId="AccompagnantPagedecouverture">
    <w:name w:val="Accompagnant (Page de couverture)"/>
    <w:basedOn w:val="Accompagnant"/>
    <w:next w:val="TypeacteprincipalPagedecouverture"/>
    <w:rsid w:val="00524971"/>
  </w:style>
  <w:style w:type="paragraph" w:customStyle="1" w:styleId="TypeacteprincipalPagedecouverture">
    <w:name w:val="Type acte principal (Page de couverture)"/>
    <w:basedOn w:val="Typeacteprincipal"/>
    <w:next w:val="ObjetacteprincipalPagedecouverture"/>
    <w:rsid w:val="00524971"/>
  </w:style>
  <w:style w:type="paragraph" w:customStyle="1" w:styleId="ObjetacteprincipalPagedecouverture">
    <w:name w:val="Objet acte principal (Page de couverture)"/>
    <w:basedOn w:val="Objetacteprincipal"/>
    <w:next w:val="Rfrencecroise"/>
    <w:rsid w:val="00524971"/>
  </w:style>
  <w:style w:type="paragraph" w:customStyle="1" w:styleId="LanguesfaisantfoiPagedecouverture">
    <w:name w:val="Langues faisant foi (Page de couverture)"/>
    <w:basedOn w:val="Normal"/>
    <w:next w:val="Normal"/>
    <w:rsid w:val="00524971"/>
    <w:pPr>
      <w:widowControl/>
      <w:spacing w:before="360"/>
      <w:jc w:val="center"/>
    </w:pPr>
    <w:rPr>
      <w:rFonts w:eastAsia="Calibri"/>
      <w:szCs w:val="22"/>
      <w:lang w:eastAsia="en-US"/>
    </w:rPr>
  </w:style>
  <w:style w:type="table" w:customStyle="1" w:styleId="TableGrid11">
    <w:name w:val="Table Grid11"/>
    <w:basedOn w:val="TableNormal"/>
    <w:next w:val="TableGrid"/>
    <w:uiPriority w:val="39"/>
    <w:rsid w:val="0052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2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2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524971"/>
    <w:pPr>
      <w:tabs>
        <w:tab w:val="num" w:pos="360"/>
      </w:tabs>
      <w:ind w:left="360" w:hanging="360"/>
      <w:contextualSpacing/>
    </w:pPr>
  </w:style>
  <w:style w:type="paragraph" w:styleId="ListBullet2">
    <w:name w:val="List Bullet 2"/>
    <w:basedOn w:val="Normal"/>
    <w:rsid w:val="00524971"/>
    <w:pPr>
      <w:tabs>
        <w:tab w:val="num" w:pos="643"/>
      </w:tabs>
      <w:ind w:left="643" w:hanging="360"/>
      <w:contextualSpacing/>
    </w:pPr>
  </w:style>
  <w:style w:type="paragraph" w:styleId="ListBullet3">
    <w:name w:val="List Bullet 3"/>
    <w:basedOn w:val="Normal"/>
    <w:rsid w:val="00524971"/>
    <w:pPr>
      <w:tabs>
        <w:tab w:val="num" w:pos="926"/>
      </w:tabs>
      <w:ind w:left="926" w:hanging="360"/>
      <w:contextualSpacing/>
    </w:pPr>
  </w:style>
  <w:style w:type="paragraph" w:styleId="ListBullet4">
    <w:name w:val="List Bullet 4"/>
    <w:basedOn w:val="Normal"/>
    <w:rsid w:val="00524971"/>
    <w:pPr>
      <w:tabs>
        <w:tab w:val="num" w:pos="1209"/>
      </w:tabs>
      <w:ind w:left="1209"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abs/pii/S0038071797001259" TargetMode="External"/><Relationship Id="rId3" Type="http://schemas.openxmlformats.org/officeDocument/2006/relationships/hyperlink" Target="https://www.fao.org/3/cb3355en/cb3355en.pdf" TargetMode="External"/><Relationship Id="rId7" Type="http://schemas.openxmlformats.org/officeDocument/2006/relationships/hyperlink" Target="https://doi.org/10.1111/ejss.13299" TargetMode="External"/><Relationship Id="rId2" Type="http://schemas.openxmlformats.org/officeDocument/2006/relationships/hyperlink" Target="https://www.fao.org/3/a0541e/a0541e.pdf" TargetMode="External"/><Relationship Id="rId1" Type="http://schemas.openxmlformats.org/officeDocument/2006/relationships/hyperlink" Target="https://www.fao.org/3/a0541e/a0541e.pdf" TargetMode="External"/><Relationship Id="rId6" Type="http://schemas.openxmlformats.org/officeDocument/2006/relationships/hyperlink" Target="https://www.fao.org/3/a0541e/a0541e.pdf" TargetMode="External"/><Relationship Id="rId11" Type="http://schemas.openxmlformats.org/officeDocument/2006/relationships/hyperlink" Target="https://www.sciencedirect.com/science/article/abs/pii/S0038071797001259" TargetMode="External"/><Relationship Id="rId5" Type="http://schemas.openxmlformats.org/officeDocument/2006/relationships/hyperlink" Target="https://www.eea.europa.eu/publications/soil-monitoring-in-europe" TargetMode="External"/><Relationship Id="rId10" Type="http://schemas.openxmlformats.org/officeDocument/2006/relationships/hyperlink" Target="https://www.eea.europa.eu/publications/soil-monitoring-in-europe" TargetMode="External"/><Relationship Id="rId4" Type="http://schemas.openxmlformats.org/officeDocument/2006/relationships/hyperlink" Target="https://www.fao.org/3/a0541e/a0541e.pdf" TargetMode="External"/><Relationship Id="rId9" Type="http://schemas.openxmlformats.org/officeDocument/2006/relationships/hyperlink" Target="https://www.fao.org/3/cb3355en/cb3355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DFA4E-7685-4865-AB4A-0A42EB6D5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147</Pages>
  <Words>22173</Words>
  <Characters>148863</Characters>
  <Application>Microsoft Office Word</Application>
  <DocSecurity>0</DocSecurity>
  <Lines>1240</Lines>
  <Paragraphs>341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LUKSITE Marija</cp:lastModifiedBy>
  <cp:revision>2</cp:revision>
  <cp:lastPrinted>2004-11-19T15:42:00Z</cp:lastPrinted>
  <dcterms:created xsi:type="dcterms:W3CDTF">2024-10-08T14:26:00Z</dcterms:created>
  <dcterms:modified xsi:type="dcterms:W3CDTF">2024-10-08T14:26:00Z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A9-0138/2024</vt:lpwstr>
  </property>
  <property fmtid="{D5CDD505-2E9C-101B-9397-08002B2CF9AE}" pid="4" name="&lt;Type&gt;">
    <vt:lpwstr>RR</vt:lpwstr>
  </property>
</Properties>
</file>