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7883">
        <w:trPr>
          <w:trHeight w:hRule="exact" w:val="1418"/>
        </w:trPr>
        <w:tc>
          <w:tcPr>
            <w:tcW w:w="6804" w:type="dxa"/>
            <w:shd w:val="clear" w:color="auto" w:fill="auto"/>
            <w:vAlign w:val="center"/>
          </w:tcPr>
          <w:p w:rsidR="009D7883" w:rsidRDefault="00AA63BB">
            <w:pPr>
              <w:pStyle w:val="EPName"/>
            </w:pPr>
            <w:r>
              <w:t>Európsky parlament</w:t>
            </w:r>
          </w:p>
          <w:p w:rsidR="009D7883" w:rsidRDefault="00AA63BB">
            <w:pPr>
              <w:pStyle w:val="EPTerm"/>
              <w:rPr>
                <w:rStyle w:val="HideTWBExt"/>
                <w:noProof w:val="0"/>
                <w:vanish w:val="0"/>
                <w:color w:val="auto"/>
              </w:rPr>
            </w:pPr>
            <w:r>
              <w:t>2019-2024</w:t>
            </w:r>
          </w:p>
        </w:tc>
        <w:tc>
          <w:tcPr>
            <w:tcW w:w="2268" w:type="dxa"/>
            <w:shd w:val="clear" w:color="auto" w:fill="auto"/>
          </w:tcPr>
          <w:p w:rsidR="009D7883" w:rsidRDefault="00AA63BB">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D7883" w:rsidRDefault="009D7883">
      <w:pPr>
        <w:pStyle w:val="LineTop"/>
      </w:pPr>
    </w:p>
    <w:p w:rsidR="009D7883" w:rsidRDefault="00AA63BB">
      <w:pPr>
        <w:pStyle w:val="EPBodyTA1"/>
      </w:pPr>
      <w:r>
        <w:t>PRIJATÉ TEXTY</w:t>
      </w:r>
    </w:p>
    <w:p w:rsidR="009D7883" w:rsidRDefault="009D7883">
      <w:pPr>
        <w:pStyle w:val="LineBottom"/>
      </w:pPr>
    </w:p>
    <w:p w:rsidR="009D7883" w:rsidRDefault="00AA63BB">
      <w:pPr>
        <w:pStyle w:val="ATHeading1"/>
      </w:pPr>
      <w:bookmarkStart w:id="0" w:name="TANumber"/>
      <w:r>
        <w:t>P9_TA(2024)0204</w:t>
      </w:r>
      <w:bookmarkEnd w:id="0"/>
    </w:p>
    <w:p w:rsidR="009D7883" w:rsidRDefault="00AA63BB">
      <w:pPr>
        <w:pStyle w:val="ATHeading2"/>
      </w:pPr>
      <w:bookmarkStart w:id="1" w:name="title"/>
      <w:r>
        <w:t>Monitorovanie a odolnosť pôdy (smernica o monitorovaní pôdy)</w:t>
      </w:r>
      <w:bookmarkEnd w:id="1"/>
    </w:p>
    <w:p w:rsidR="009D7883" w:rsidRDefault="00AA63BB">
      <w:pPr>
        <w:rPr>
          <w:i/>
          <w:vanish/>
        </w:rPr>
      </w:pPr>
      <w:r>
        <w:rPr>
          <w:i/>
        </w:rPr>
        <w:fldChar w:fldCharType="begin"/>
      </w:r>
      <w:r>
        <w:rPr>
          <w:i/>
        </w:rPr>
        <w:instrText xml:space="preserve"> TC"(</w:instrText>
      </w:r>
      <w:bookmarkStart w:id="2" w:name="DocNumber"/>
      <w:r>
        <w:rPr>
          <w:i/>
        </w:rPr>
        <w:instrText>A9-0138/2024</w:instrText>
      </w:r>
      <w:bookmarkEnd w:id="2"/>
      <w:r>
        <w:rPr>
          <w:i/>
        </w:rPr>
        <w:instrText xml:space="preserve"> - Spravodajca: Martin Hojsík)"\l3 \n&gt; \* MERGEFORMAT </w:instrText>
      </w:r>
      <w:r>
        <w:rPr>
          <w:i/>
        </w:rPr>
        <w:fldChar w:fldCharType="end"/>
      </w:r>
    </w:p>
    <w:p w:rsidR="009D7883" w:rsidRDefault="00AA63BB">
      <w:pPr>
        <w:rPr>
          <w:vanish/>
        </w:rPr>
      </w:pPr>
      <w:bookmarkStart w:id="3" w:name="Commission"/>
      <w:r>
        <w:rPr>
          <w:vanish/>
        </w:rPr>
        <w:t xml:space="preserve">Výbor pre životné prostredie, verejné zdravie a </w:t>
      </w:r>
      <w:r>
        <w:rPr>
          <w:vanish/>
        </w:rPr>
        <w:t>bezpečnosť potravín</w:t>
      </w:r>
      <w:bookmarkEnd w:id="3"/>
    </w:p>
    <w:p w:rsidR="009D7883" w:rsidRDefault="00AA63BB">
      <w:pPr>
        <w:rPr>
          <w:vanish/>
        </w:rPr>
      </w:pPr>
      <w:bookmarkStart w:id="4" w:name="PE"/>
      <w:r>
        <w:rPr>
          <w:vanish/>
        </w:rPr>
        <w:t>PE754.698</w:t>
      </w:r>
      <w:bookmarkEnd w:id="4"/>
    </w:p>
    <w:p w:rsidR="009D7883" w:rsidRDefault="00AA63BB">
      <w:pPr>
        <w:pStyle w:val="ATHeading3"/>
      </w:pPr>
      <w:bookmarkStart w:id="5" w:name="Sujet"/>
      <w:r>
        <w:t>Legislatívne uznesenie Európskeho parlamentu z 10. apríla 2024 o návrhu smernice Európskeho parlamentu a Rady o monitorovaní a odolnosti pôdy (smernica o monitorovaní pôdy)</w:t>
      </w:r>
      <w:bookmarkEnd w:id="5"/>
      <w:r>
        <w:t xml:space="preserve"> </w:t>
      </w:r>
      <w:bookmarkStart w:id="6" w:name="References"/>
      <w:r>
        <w:t>(COM(2023)0416 – C9-0234/2023 – 2023/0232(COD))</w:t>
      </w:r>
      <w:bookmarkEnd w:id="6"/>
    </w:p>
    <w:p w:rsidR="009D7883" w:rsidRDefault="00AA63BB">
      <w:pPr>
        <w:pStyle w:val="NormalBold"/>
      </w:pPr>
      <w:bookmarkStart w:id="7" w:name="TextBodyBegin"/>
      <w:bookmarkEnd w:id="7"/>
      <w:r>
        <w:t>(Ria</w:t>
      </w:r>
      <w:r>
        <w:t>dny legislatívny postup: prvé čítanie)</w:t>
      </w:r>
    </w:p>
    <w:p w:rsidR="009D7883" w:rsidRDefault="00AA63BB">
      <w:pPr>
        <w:pStyle w:val="EPComma"/>
      </w:pPr>
      <w:r>
        <w:rPr>
          <w:i/>
        </w:rPr>
        <w:t>Európsky parlament</w:t>
      </w:r>
      <w:r>
        <w:t>,</w:t>
      </w:r>
    </w:p>
    <w:p w:rsidR="009D7883" w:rsidRDefault="00AA63BB">
      <w:pPr>
        <w:pStyle w:val="NormalHanging12a"/>
      </w:pPr>
      <w:r>
        <w:t>–</w:t>
      </w:r>
      <w:r>
        <w:tab/>
        <w:t>so zreteľom na návrh Komisie pre Európsky parlament a Radu (COM(2023)0416),</w:t>
      </w:r>
    </w:p>
    <w:p w:rsidR="009D7883" w:rsidRDefault="00AA63BB">
      <w:pPr>
        <w:pStyle w:val="NormalHanging12a"/>
      </w:pPr>
      <w:r>
        <w:t>–</w:t>
      </w:r>
      <w:r>
        <w:tab/>
        <w:t xml:space="preserve">so zreteľom na článok 294 ods. 2 a článok 192 ods. 1 Zmluvy o fungovaní Európskej únie, v súlade s ktorými Komisia </w:t>
      </w:r>
      <w:r>
        <w:t>predložila návrh Európskemu parlamentu (C9</w:t>
      </w:r>
      <w:r>
        <w:noBreakHyphen/>
        <w:t>0234/2023),</w:t>
      </w:r>
    </w:p>
    <w:p w:rsidR="009D7883" w:rsidRDefault="00AA63BB">
      <w:pPr>
        <w:pStyle w:val="NormalHanging12a"/>
      </w:pPr>
      <w:r>
        <w:t>–</w:t>
      </w:r>
      <w:r>
        <w:tab/>
        <w:t>so zreteľom na článok 294 ods. 3 Zmluvy o fungovaní Európskej únie,</w:t>
      </w:r>
    </w:p>
    <w:p w:rsidR="009D7883" w:rsidRDefault="00AA63BB">
      <w:pPr>
        <w:pStyle w:val="NormalHanging12a"/>
      </w:pPr>
      <w:r>
        <w:t>–</w:t>
      </w:r>
      <w:r>
        <w:tab/>
        <w:t>so zreteľom na odôvodnené stanovisko predložené na základe Protokolu č. 2 o uplatňovaní zásad subsidiarity a proporcionality hola</w:t>
      </w:r>
      <w:r>
        <w:t>ndským Senátom a holandskou Snemovňou reprezentantov, ktoré tvrdia, že návrh legislatívneho aktu nie je v súlade so zásadou subsidiarity,</w:t>
      </w:r>
    </w:p>
    <w:p w:rsidR="009D7883" w:rsidRDefault="00AA63BB">
      <w:pPr>
        <w:pStyle w:val="NormalHanging12a"/>
      </w:pPr>
      <w:r>
        <w:t>–</w:t>
      </w:r>
      <w:r>
        <w:tab/>
        <w:t>so zreteľom na stanovisko Európskeho hospodárskeho a sociálneho výboru z 25. októbra 2023</w:t>
      </w:r>
      <w:r>
        <w:rPr>
          <w:rStyle w:val="FootnoteReference"/>
        </w:rPr>
        <w:footnoteReference w:id="1"/>
      </w:r>
      <w:r>
        <w:t>,</w:t>
      </w:r>
    </w:p>
    <w:p w:rsidR="009D7883" w:rsidRDefault="00AA63BB">
      <w:pPr>
        <w:pStyle w:val="NormalHanging12a"/>
      </w:pPr>
      <w:r>
        <w:t>–</w:t>
      </w:r>
      <w:r>
        <w:tab/>
        <w:t>po porade s Výborom re</w:t>
      </w:r>
      <w:r>
        <w:t>giónov,</w:t>
      </w:r>
    </w:p>
    <w:p w:rsidR="009D7883" w:rsidRDefault="00AA63BB">
      <w:pPr>
        <w:pStyle w:val="NormalHanging12a"/>
      </w:pPr>
      <w:r>
        <w:t>–</w:t>
      </w:r>
      <w:r>
        <w:tab/>
        <w:t>so zreteľom na článok 59 rokovacieho poriadku,</w:t>
      </w:r>
    </w:p>
    <w:p w:rsidR="009D7883" w:rsidRDefault="00AA63BB">
      <w:pPr>
        <w:pStyle w:val="NormalHanging12a"/>
      </w:pPr>
      <w:r>
        <w:t>–</w:t>
      </w:r>
      <w:r>
        <w:tab/>
        <w:t>so zreteľom na stanovisko Výboru pre poľnohospodárstvo a rozvoj vidieka,</w:t>
      </w:r>
    </w:p>
    <w:p w:rsidR="009D7883" w:rsidRDefault="00AA63BB">
      <w:pPr>
        <w:pStyle w:val="NormalHanging12a"/>
      </w:pPr>
      <w:r>
        <w:t>–</w:t>
      </w:r>
      <w:r>
        <w:tab/>
        <w:t>so zreteľom na správu Výboru pre životné prostredie, verejné zdravie a bezpečnosť potravín (A9-0138/2024),</w:t>
      </w:r>
    </w:p>
    <w:p w:rsidR="009D7883" w:rsidRDefault="00AA63BB">
      <w:pPr>
        <w:pStyle w:val="NormalHanging12a"/>
      </w:pPr>
      <w:r>
        <w:t>1.</w:t>
      </w:r>
      <w:r>
        <w:tab/>
        <w:t>prijíma nasl</w:t>
      </w:r>
      <w:r>
        <w:t>edujúcu pozíciu v prvom čítaní;</w:t>
      </w:r>
    </w:p>
    <w:p w:rsidR="009D7883" w:rsidRDefault="00AA63BB">
      <w:pPr>
        <w:pStyle w:val="NormalHanging12a"/>
      </w:pPr>
      <w:r>
        <w:lastRenderedPageBreak/>
        <w:t>2.</w:t>
      </w:r>
      <w:r>
        <w:tab/>
        <w:t>žiada Komisiu, aby mu vec znovu predložila, ak nahrádza, podstatne mení alebo má v úmysle podstatne zmeniť svoj návrh;</w:t>
      </w:r>
    </w:p>
    <w:p w:rsidR="009D7883" w:rsidRDefault="00AA63BB">
      <w:pPr>
        <w:pStyle w:val="NormalHanging12a"/>
      </w:pPr>
      <w:r>
        <w:t>3.</w:t>
      </w:r>
      <w:r>
        <w:tab/>
        <w:t>poveruje svoju predsedníčku, aby postúpila túto pozíciu Rade, Komisii a národným parlamentom.</w:t>
      </w:r>
    </w:p>
    <w:p w:rsidR="009D7883" w:rsidRDefault="009D7883">
      <w:pPr>
        <w:pStyle w:val="TOC1"/>
        <w:tabs>
          <w:tab w:val="right" w:leader="dot" w:pos="9060"/>
        </w:tabs>
        <w:rPr>
          <w:lang w:val="sk-SK"/>
        </w:rPr>
        <w:sectPr w:rsidR="009D7883">
          <w:footerReference w:type="even" r:id="rId9"/>
          <w:footerReference w:type="first" r:id="rId10"/>
          <w:footnotePr>
            <w:numRestart w:val="eachSect"/>
          </w:footnotePr>
          <w:pgSz w:w="11909" w:h="16834"/>
          <w:pgMar w:top="1134" w:right="1417" w:bottom="1417" w:left="1417" w:header="1134" w:footer="567" w:gutter="0"/>
          <w:cols w:space="720"/>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bookmarkEnd w:id="8"/>
    <w:bookmarkEnd w:id="9"/>
    <w:bookmarkEnd w:id="10"/>
    <w:bookmarkEnd w:id="11"/>
    <w:bookmarkEnd w:id="12"/>
    <w:bookmarkEnd w:id="13"/>
    <w:bookmarkEnd w:id="14"/>
    <w:p w:rsidR="009D7883" w:rsidRDefault="00AA63BB">
      <w:pPr>
        <w:pStyle w:val="Institutionquiagit"/>
        <w:keepNext w:val="0"/>
        <w:spacing w:before="0" w:after="240"/>
        <w:jc w:val="left"/>
        <w:outlineLvl w:val="0"/>
        <w:rPr>
          <w:b/>
        </w:rPr>
      </w:pPr>
      <w:r>
        <w:rPr>
          <w:b/>
        </w:rPr>
        <w:lastRenderedPageBreak/>
        <w:t>P9_TC1-COD(2023)0232</w:t>
      </w:r>
    </w:p>
    <w:p w:rsidR="009D7883" w:rsidRDefault="00AA63BB">
      <w:pPr>
        <w:pStyle w:val="AmNumberTabs"/>
      </w:pPr>
      <w:r>
        <w:t xml:space="preserve">Pozícia Európskeho parlamentu prijatá v prvom čítaní 10. apríla 2024 na účely prijatia smernice Európskeho parlamentu a </w:t>
      </w:r>
      <w:r>
        <w:t>Rady (EÚ) 2024/... o monitorovaní a odolnosti pôdy (smernica o monitorovaní pôdy)</w:t>
      </w:r>
    </w:p>
    <w:p w:rsidR="009D7883" w:rsidRDefault="00AA63BB">
      <w:pPr>
        <w:keepNext/>
        <w:spacing w:before="600" w:after="120" w:line="360" w:lineRule="auto"/>
        <w:rPr>
          <w:szCs w:val="24"/>
          <w:lang w:eastAsia="en-US"/>
        </w:rPr>
      </w:pPr>
      <w:r>
        <w:rPr>
          <w:szCs w:val="24"/>
          <w:lang w:eastAsia="en-US"/>
        </w:rPr>
        <w:t>EURÓPSKY PARLAMENT A RADA EURÓPSKEJ ÚNIE,</w:t>
      </w:r>
    </w:p>
    <w:p w:rsidR="009D7883" w:rsidRDefault="00AA63BB">
      <w:pPr>
        <w:spacing w:before="120" w:after="120" w:line="360" w:lineRule="auto"/>
        <w:rPr>
          <w:lang w:eastAsia="en-US"/>
        </w:rPr>
      </w:pPr>
      <w:r>
        <w:rPr>
          <w:lang w:eastAsia="en-US"/>
        </w:rPr>
        <w:t>so zreteľom na Zmluvu o fungovaní Európskej únie, a najmä na jej článok 192 ods. 1,</w:t>
      </w:r>
    </w:p>
    <w:p w:rsidR="009D7883" w:rsidRDefault="00AA63BB">
      <w:pPr>
        <w:spacing w:before="120" w:after="120" w:line="360" w:lineRule="auto"/>
        <w:rPr>
          <w:lang w:eastAsia="en-US"/>
        </w:rPr>
      </w:pPr>
      <w:r>
        <w:rPr>
          <w:lang w:eastAsia="en-US"/>
        </w:rPr>
        <w:t>so zreteľom na návrh Európskej komisie,</w:t>
      </w:r>
    </w:p>
    <w:p w:rsidR="009D7883" w:rsidRDefault="00AA63BB">
      <w:pPr>
        <w:spacing w:before="120" w:after="120" w:line="360" w:lineRule="auto"/>
        <w:rPr>
          <w:lang w:eastAsia="en-US"/>
        </w:rPr>
      </w:pPr>
      <w:r>
        <w:rPr>
          <w:lang w:eastAsia="en-US"/>
        </w:rPr>
        <w:t xml:space="preserve">po </w:t>
      </w:r>
      <w:r>
        <w:rPr>
          <w:lang w:eastAsia="en-US"/>
        </w:rPr>
        <w:t>postúpení návrhu legislatívneho aktu národným parlamentom,</w:t>
      </w:r>
    </w:p>
    <w:p w:rsidR="009D7883" w:rsidRDefault="00AA63BB">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rsidR="009D7883" w:rsidRDefault="00AA63BB">
      <w:pPr>
        <w:spacing w:before="120" w:after="120" w:line="360" w:lineRule="auto"/>
        <w:rPr>
          <w:lang w:eastAsia="en-US"/>
        </w:rPr>
      </w:pPr>
      <w:r>
        <w:rPr>
          <w:lang w:eastAsia="en-US"/>
        </w:rPr>
        <w:t>so zreteľom na stanovisko Výboru regiónov</w:t>
      </w:r>
      <w:r>
        <w:rPr>
          <w:vertAlign w:val="superscript"/>
          <w:lang w:eastAsia="en-US"/>
        </w:rPr>
        <w:footnoteReference w:id="3"/>
      </w:r>
      <w:r>
        <w:rPr>
          <w:lang w:eastAsia="en-US"/>
        </w:rPr>
        <w:t>,</w:t>
      </w:r>
    </w:p>
    <w:p w:rsidR="009D7883" w:rsidRDefault="00AA63BB">
      <w:pPr>
        <w:spacing w:before="120" w:after="120" w:line="360" w:lineRule="auto"/>
        <w:rPr>
          <w:lang w:eastAsia="en-US"/>
        </w:rPr>
      </w:pPr>
      <w:r>
        <w:rPr>
          <w:lang w:eastAsia="en-US"/>
        </w:rPr>
        <w:t>konajúc v súlade s riadnym legislatívnym postupom,</w:t>
      </w:r>
    </w:p>
    <w:p w:rsidR="009D7883" w:rsidRDefault="00AA63BB">
      <w:pPr>
        <w:widowControl/>
        <w:rPr>
          <w:lang w:eastAsia="en-US"/>
        </w:rPr>
      </w:pPr>
      <w:r>
        <w:rPr>
          <w:lang w:eastAsia="en-US"/>
        </w:rPr>
        <w:br w:type="page"/>
      </w:r>
    </w:p>
    <w:p w:rsidR="009D7883" w:rsidRDefault="00AA63BB">
      <w:pPr>
        <w:spacing w:before="120" w:after="120" w:line="360" w:lineRule="auto"/>
        <w:rPr>
          <w:lang w:eastAsia="en-US"/>
        </w:rPr>
      </w:pPr>
      <w:r>
        <w:rPr>
          <w:lang w:eastAsia="en-US"/>
        </w:rPr>
        <w:lastRenderedPageBreak/>
        <w:t>keďže:</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 xml:space="preserve">Pôda je životne </w:t>
      </w:r>
      <w:r>
        <w:rPr>
          <w:szCs w:val="24"/>
          <w:lang w:eastAsia="en-US"/>
        </w:rPr>
        <w:t>dôležitý, obmedzený, neobnoviteľný a nenahraditeľný zdroj, ktorý je kľúčový pre hospodárstvo, životné prostredie a spoločnosť.</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Zdravé pôdy sú v dobrom chemickom, biologickom a fyzickom stave, takže dokážu poskytovať ekosystémové služby, ktoré sú životn</w:t>
      </w:r>
      <w:r>
        <w:rPr>
          <w:szCs w:val="24"/>
          <w:lang w:eastAsia="en-US"/>
        </w:rPr>
        <w:t xml:space="preserve">e dôležité pre ľudí a životné prostredie, ako sú napríklad bezpečné a výživné potraviny v dostatočnom množstve, biomasa, čistá voda, kolobeh živín, ukladanie uhlíka a biotop pre biodiverzita. </w:t>
      </w:r>
      <w:r>
        <w:rPr>
          <w:b/>
          <w:i/>
          <w:szCs w:val="24"/>
          <w:lang w:eastAsia="en-US"/>
        </w:rPr>
        <w:t xml:space="preserve">Pôda je nevyhnutná na zaistenie potravinovej bezpečnosti. </w:t>
      </w:r>
      <w:r>
        <w:rPr>
          <w:szCs w:val="24"/>
          <w:lang w:eastAsia="en-US"/>
        </w:rPr>
        <w:t>V Únii</w:t>
      </w:r>
      <w:r>
        <w:rPr>
          <w:szCs w:val="24"/>
          <w:lang w:eastAsia="en-US"/>
        </w:rPr>
        <w:t xml:space="preserve"> má však</w:t>
      </w:r>
      <w:r>
        <w:rPr>
          <w:b/>
          <w:i/>
          <w:szCs w:val="24"/>
          <w:lang w:eastAsia="en-US"/>
        </w:rPr>
        <w:t xml:space="preserve"> podľa odhadov</w:t>
      </w:r>
      <w:r>
        <w:rPr>
          <w:szCs w:val="24"/>
          <w:lang w:eastAsia="en-US"/>
        </w:rPr>
        <w:t xml:space="preserve"> 60 % až 70 % pôd zhoršenú kvalitu a situácia sa naďalej zhoršuje.</w:t>
      </w:r>
      <w:r>
        <w:rPr>
          <w:b/>
          <w:szCs w:val="24"/>
          <w:lang w:eastAsia="en-US"/>
        </w:rPr>
        <w:t xml:space="preserve"> [PN 1]</w:t>
      </w:r>
    </w:p>
    <w:p w:rsidR="009D7883" w:rsidRDefault="00AA63BB">
      <w:pPr>
        <w:spacing w:before="120" w:after="120" w:line="360" w:lineRule="auto"/>
        <w:ind w:left="850" w:hanging="850"/>
        <w:rPr>
          <w:b/>
          <w:szCs w:val="24"/>
          <w:lang w:eastAsia="en-US"/>
        </w:rPr>
      </w:pPr>
      <w:r>
        <w:rPr>
          <w:szCs w:val="24"/>
          <w:lang w:eastAsia="en-US"/>
        </w:rPr>
        <w:t>(3)</w:t>
      </w:r>
      <w:r>
        <w:rPr>
          <w:szCs w:val="24"/>
          <w:lang w:eastAsia="en-US"/>
        </w:rPr>
        <w:tab/>
        <w:t>Degradácia pôdy stojí Úniu niekoľko desiatok miliárd eur ročne. Zdravie pôdy má vplyv na poskytovanie ekosystémových služieb, ktoré majú významnú ekonomickú</w:t>
      </w:r>
      <w:r>
        <w:rPr>
          <w:szCs w:val="24"/>
          <w:lang w:eastAsia="en-US"/>
        </w:rPr>
        <w:t xml:space="preserve"> návratnosť. </w:t>
      </w:r>
      <w:r>
        <w:rPr>
          <w:strike/>
          <w:szCs w:val="24"/>
          <w:lang w:eastAsia="en-US"/>
        </w:rPr>
        <w:t xml:space="preserve">Udržateľné obhospodarovanie a regenerácia pôd </w:t>
      </w:r>
      <w:proofErr w:type="spellStart"/>
      <w:r>
        <w:rPr>
          <w:strike/>
          <w:szCs w:val="24"/>
          <w:lang w:eastAsia="en-US"/>
        </w:rPr>
        <w:t>majú</w:t>
      </w:r>
      <w:r>
        <w:rPr>
          <w:b/>
          <w:i/>
          <w:szCs w:val="24"/>
          <w:lang w:eastAsia="en-US"/>
        </w:rPr>
        <w:t>Jeho</w:t>
      </w:r>
      <w:proofErr w:type="spellEnd"/>
      <w:r>
        <w:rPr>
          <w:b/>
          <w:i/>
          <w:szCs w:val="24"/>
          <w:lang w:eastAsia="en-US"/>
        </w:rPr>
        <w:t xml:space="preserve"> zlepšenie má</w:t>
      </w:r>
      <w:r>
        <w:rPr>
          <w:szCs w:val="24"/>
          <w:lang w:eastAsia="en-US"/>
        </w:rPr>
        <w:t xml:space="preserve"> preto z hospodárskeho hľadiska zmysel a ich vplyvom sa môže významne zvýšiť cena a hodnota krajiny v Únii.</w:t>
      </w:r>
      <w:r>
        <w:rPr>
          <w:b/>
          <w:i/>
          <w:szCs w:val="24"/>
          <w:lang w:eastAsia="en-US"/>
        </w:rPr>
        <w:t xml:space="preserve"> Navyše môže trvať až 1 000 rokov, kým sa vytvorí len jeden centimete</w:t>
      </w:r>
      <w:r>
        <w:rPr>
          <w:b/>
          <w:i/>
          <w:szCs w:val="24"/>
          <w:lang w:eastAsia="en-US"/>
        </w:rPr>
        <w:t>r ornice, zatiaľ čo k degradácii a úplnému úbytku pôdy môže dôjsť rýchlo.</w:t>
      </w:r>
      <w:r>
        <w:rPr>
          <w:b/>
          <w:szCs w:val="24"/>
          <w:lang w:eastAsia="en-US"/>
        </w:rPr>
        <w:t xml:space="preserve"> [PN 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(4)</w:t>
      </w:r>
      <w:r>
        <w:rPr>
          <w:szCs w:val="24"/>
          <w:lang w:eastAsia="en-US"/>
        </w:rPr>
        <w:tab/>
        <w:t>V Európskej zelenej dohode</w:t>
      </w:r>
      <w:r>
        <w:rPr>
          <w:szCs w:val="24"/>
          <w:vertAlign w:val="superscript"/>
          <w:lang w:eastAsia="en-US"/>
        </w:rPr>
        <w:footnoteReference w:id="4"/>
      </w:r>
      <w:r>
        <w:rPr>
          <w:szCs w:val="24"/>
          <w:lang w:eastAsia="en-US"/>
        </w:rPr>
        <w:t xml:space="preserve"> sa stanovuje ambiciózny plán na transformáciu Únie na spravodlivú a prosperujúcu spoločnosť s moderným a konkurencieschopným hospodárstvom, k</w:t>
      </w:r>
      <w:r>
        <w:rPr>
          <w:szCs w:val="24"/>
          <w:lang w:eastAsia="en-US"/>
        </w:rPr>
        <w:t>toré efektívne využíva zdroje, ktorého cieľom je chrániť, zachovávať a zveľaďovať prírodný kapitál Únie a chrániť zdravie a blaho občanov. V rámci Európskej zelenej dohody Komisia prijala stratégiu EÚ v oblasti biodiverzity do roku 2030</w:t>
      </w:r>
      <w:r>
        <w:rPr>
          <w:szCs w:val="24"/>
          <w:vertAlign w:val="superscript"/>
          <w:lang w:eastAsia="en-US"/>
        </w:rPr>
        <w:footnoteReference w:id="5"/>
      </w:r>
      <w:r>
        <w:rPr>
          <w:szCs w:val="24"/>
          <w:lang w:eastAsia="en-US"/>
        </w:rPr>
        <w:t>, stratégiu Z farmy</w:t>
      </w:r>
      <w:r>
        <w:rPr>
          <w:szCs w:val="24"/>
          <w:lang w:eastAsia="en-US"/>
        </w:rPr>
        <w:t xml:space="preserve"> na stôl</w:t>
      </w:r>
      <w:r>
        <w:rPr>
          <w:szCs w:val="24"/>
          <w:vertAlign w:val="superscript"/>
          <w:lang w:eastAsia="en-US"/>
        </w:rPr>
        <w:footnoteReference w:id="6"/>
      </w:r>
      <w:r>
        <w:rPr>
          <w:szCs w:val="24"/>
          <w:lang w:eastAsia="en-US"/>
        </w:rPr>
        <w:t>, akčný plán nulového znečistenia</w:t>
      </w:r>
      <w:r>
        <w:rPr>
          <w:szCs w:val="24"/>
          <w:vertAlign w:val="superscript"/>
          <w:lang w:eastAsia="en-US"/>
        </w:rPr>
        <w:footnoteReference w:id="7"/>
      </w:r>
      <w:r>
        <w:rPr>
          <w:szCs w:val="24"/>
          <w:lang w:eastAsia="en-US"/>
        </w:rPr>
        <w:t>, stratégiu EÚ pre adaptáciu na zmenu klímy</w:t>
      </w:r>
      <w:r>
        <w:rPr>
          <w:szCs w:val="24"/>
          <w:vertAlign w:val="superscript"/>
          <w:lang w:eastAsia="en-US"/>
        </w:rPr>
        <w:footnoteReference w:id="8"/>
      </w:r>
      <w:r>
        <w:rPr>
          <w:szCs w:val="24"/>
          <w:lang w:eastAsia="en-US"/>
        </w:rPr>
        <w:t xml:space="preserve"> a stratégiu EÚ v oblasti pôdy do roku 2030</w:t>
      </w:r>
      <w:r>
        <w:rPr>
          <w:szCs w:val="24"/>
          <w:vertAlign w:val="superscript"/>
          <w:lang w:eastAsia="en-US"/>
        </w:rPr>
        <w:footnoteReference w:id="9"/>
      </w:r>
      <w:r>
        <w:rPr>
          <w:szCs w:val="24"/>
          <w:lang w:eastAsia="en-US"/>
        </w:rPr>
        <w:t>.</w:t>
      </w:r>
    </w:p>
    <w:p w:rsidR="009D7883" w:rsidRDefault="00AA63BB">
      <w:pPr>
        <w:spacing w:before="120" w:after="120" w:line="360" w:lineRule="auto"/>
        <w:ind w:left="850" w:hanging="850"/>
        <w:rPr>
          <w:szCs w:val="24"/>
          <w:lang w:eastAsia="en-US"/>
        </w:rPr>
      </w:pPr>
      <w:r>
        <w:rPr>
          <w:szCs w:val="24"/>
          <w:lang w:eastAsia="en-US"/>
        </w:rPr>
        <w:t>(5)</w:t>
      </w:r>
      <w:r>
        <w:rPr>
          <w:szCs w:val="24"/>
          <w:lang w:eastAsia="en-US"/>
        </w:rPr>
        <w:tab/>
        <w:t>Únia má záväzky v súvislosti s Agendou 2030 pre udržateľný rozvoj a s jej cieľmi udržateľného rozvoja</w:t>
      </w:r>
      <w:r>
        <w:rPr>
          <w:szCs w:val="24"/>
          <w:vertAlign w:val="superscript"/>
          <w:lang w:eastAsia="en-US"/>
        </w:rPr>
        <w:footnoteReference w:id="10"/>
      </w:r>
      <w:r>
        <w:rPr>
          <w:szCs w:val="24"/>
          <w:lang w:eastAsia="en-US"/>
        </w:rPr>
        <w:t>. Zdravé pôdy pre</w:t>
      </w:r>
      <w:r>
        <w:rPr>
          <w:szCs w:val="24"/>
          <w:lang w:eastAsia="en-US"/>
        </w:rPr>
        <w:t xml:space="preserve">dstavujú priamy príspevok k splneniu niekoľkých cieľov udržateľného rozvoja, konkrétne k cieľu č. 2 (žiadny hlad), cieľu č. 3 (kvalita zdravia a života), cieľu č. 6 (čistá voda a hygiena), cieľu č. 11 (udržateľné mestá a komunity), cieľu č. 12 (zodpovedná </w:t>
      </w:r>
      <w:r>
        <w:rPr>
          <w:szCs w:val="24"/>
          <w:lang w:eastAsia="en-US"/>
        </w:rPr>
        <w:t xml:space="preserve">spotreba a výroba), cieľu č. 13 (ochrana klímy) a cieľu č. 15 (život na pevnine). Zámerom cieľa č. 15.3 je bojovať proti </w:t>
      </w:r>
      <w:proofErr w:type="spellStart"/>
      <w:r>
        <w:rPr>
          <w:szCs w:val="24"/>
          <w:lang w:eastAsia="en-US"/>
        </w:rPr>
        <w:t>dezertifikácii</w:t>
      </w:r>
      <w:proofErr w:type="spellEnd"/>
      <w:r>
        <w:rPr>
          <w:szCs w:val="24"/>
          <w:lang w:eastAsia="en-US"/>
        </w:rPr>
        <w:t xml:space="preserve">, obnovovať degradovanú krajinu a pôdu vrátane krajiny postihnutej </w:t>
      </w:r>
      <w:proofErr w:type="spellStart"/>
      <w:r>
        <w:rPr>
          <w:szCs w:val="24"/>
          <w:lang w:eastAsia="en-US"/>
        </w:rPr>
        <w:t>dezertifikáciou</w:t>
      </w:r>
      <w:proofErr w:type="spellEnd"/>
      <w:r>
        <w:rPr>
          <w:szCs w:val="24"/>
          <w:lang w:eastAsia="en-US"/>
        </w:rPr>
        <w:t>, suchom či povodňami a snažiť sa dosia</w:t>
      </w:r>
      <w:r>
        <w:rPr>
          <w:szCs w:val="24"/>
          <w:lang w:eastAsia="en-US"/>
        </w:rPr>
        <w:t>hnuť do roku 2030 svet, v ktorom už nedochádza k degradácii pôdy.</w:t>
      </w:r>
    </w:p>
    <w:p w:rsidR="009D7883" w:rsidRDefault="00AA63BB">
      <w:pPr>
        <w:spacing w:before="120" w:after="120" w:line="360" w:lineRule="auto"/>
        <w:ind w:left="850" w:hanging="850"/>
        <w:rPr>
          <w:szCs w:val="24"/>
          <w:lang w:eastAsia="en-US"/>
        </w:rPr>
      </w:pPr>
      <w:r>
        <w:rPr>
          <w:szCs w:val="24"/>
          <w:lang w:eastAsia="en-US"/>
        </w:rPr>
        <w:lastRenderedPageBreak/>
        <w:t>(6)</w:t>
      </w:r>
      <w:r>
        <w:rPr>
          <w:szCs w:val="24"/>
          <w:lang w:eastAsia="en-US"/>
        </w:rPr>
        <w:tab/>
        <w:t>Únia a jej členské štáty sa ako zmluvné strany Dohovoru o biologickej diverzite schváleného rozhodnutím Rady 93/626/EHS</w:t>
      </w:r>
      <w:r>
        <w:rPr>
          <w:szCs w:val="24"/>
          <w:vertAlign w:val="superscript"/>
          <w:lang w:eastAsia="en-US"/>
        </w:rPr>
        <w:footnoteReference w:id="11"/>
      </w:r>
      <w:r>
        <w:rPr>
          <w:szCs w:val="24"/>
          <w:lang w:eastAsia="en-US"/>
        </w:rPr>
        <w:t xml:space="preserve"> na 15. konferencii zmluvných strán dohodli na globálnom rámci pre</w:t>
      </w:r>
      <w:r>
        <w:rPr>
          <w:szCs w:val="24"/>
          <w:lang w:eastAsia="en-US"/>
        </w:rPr>
        <w:t xml:space="preserve"> biodiverzitu po roku 2020</w:t>
      </w:r>
      <w:r>
        <w:rPr>
          <w:szCs w:val="24"/>
          <w:vertAlign w:val="superscript"/>
          <w:lang w:eastAsia="en-US"/>
        </w:rPr>
        <w:footnoteReference w:id="12"/>
      </w:r>
      <w:r>
        <w:rPr>
          <w:szCs w:val="24"/>
          <w:lang w:eastAsia="en-US"/>
        </w:rPr>
        <w:t>, ktorý zahŕňa niekoľko svetových cieľov do roku 2030, ktoré sú orientované na akciu a sú relevantné pre zdravie pôdy. Prínos prírody pre ľudí vrátane zdravia pôdy by sa mal obnoviť, zachovať a zlepšiť.</w:t>
      </w:r>
    </w:p>
    <w:p w:rsidR="009D7883" w:rsidRDefault="00AA63BB">
      <w:pPr>
        <w:spacing w:before="120" w:after="120" w:line="360" w:lineRule="auto"/>
        <w:ind w:left="850" w:hanging="850"/>
        <w:rPr>
          <w:szCs w:val="24"/>
          <w:lang w:eastAsia="en-US"/>
        </w:rPr>
      </w:pPr>
      <w:r>
        <w:rPr>
          <w:szCs w:val="24"/>
          <w:lang w:eastAsia="en-US"/>
        </w:rPr>
        <w:t>(7)</w:t>
      </w:r>
      <w:r>
        <w:rPr>
          <w:szCs w:val="24"/>
          <w:lang w:eastAsia="en-US"/>
        </w:rPr>
        <w:tab/>
        <w:t>Únia a jej členské štá</w:t>
      </w:r>
      <w:r>
        <w:rPr>
          <w:szCs w:val="24"/>
          <w:lang w:eastAsia="en-US"/>
        </w:rPr>
        <w:t xml:space="preserve">ty ako zmluvné strany Dohovoru OSN o boji proti </w:t>
      </w:r>
      <w:proofErr w:type="spellStart"/>
      <w:r>
        <w:rPr>
          <w:szCs w:val="24"/>
          <w:lang w:eastAsia="en-US"/>
        </w:rPr>
        <w:t>dezertifikácii</w:t>
      </w:r>
      <w:proofErr w:type="spellEnd"/>
      <w:r>
        <w:rPr>
          <w:szCs w:val="24"/>
          <w:lang w:eastAsia="en-US"/>
        </w:rPr>
        <w:t xml:space="preserve"> (</w:t>
      </w:r>
      <w:proofErr w:type="spellStart"/>
      <w:r>
        <w:rPr>
          <w:szCs w:val="24"/>
          <w:lang w:eastAsia="en-US"/>
        </w:rPr>
        <w:t>UNCCD</w:t>
      </w:r>
      <w:proofErr w:type="spellEnd"/>
      <w:r>
        <w:rPr>
          <w:szCs w:val="24"/>
          <w:lang w:eastAsia="en-US"/>
        </w:rPr>
        <w:t>), ktorý bol schválený rozhodnutím Rady 98/216/ES</w:t>
      </w:r>
      <w:r>
        <w:rPr>
          <w:szCs w:val="24"/>
          <w:vertAlign w:val="superscript"/>
          <w:lang w:eastAsia="en-US"/>
        </w:rPr>
        <w:footnoteReference w:id="13"/>
      </w:r>
      <w:r>
        <w:rPr>
          <w:szCs w:val="24"/>
          <w:lang w:eastAsia="en-US"/>
        </w:rPr>
        <w:t xml:space="preserve">, sa zaviazali k boju proti </w:t>
      </w:r>
      <w:proofErr w:type="spellStart"/>
      <w:r>
        <w:rPr>
          <w:szCs w:val="24"/>
          <w:lang w:eastAsia="en-US"/>
        </w:rPr>
        <w:t>dezertifikácii</w:t>
      </w:r>
      <w:proofErr w:type="spellEnd"/>
      <w:r>
        <w:rPr>
          <w:szCs w:val="24"/>
          <w:lang w:eastAsia="en-US"/>
        </w:rPr>
        <w:t xml:space="preserve"> a k zmierňovaniu účinkov sucha v zasiahnutých krajinách. Trinásť členských štátov</w:t>
      </w:r>
      <w:r>
        <w:rPr>
          <w:szCs w:val="24"/>
          <w:vertAlign w:val="superscript"/>
          <w:lang w:eastAsia="en-US"/>
        </w:rPr>
        <w:footnoteReference w:id="14"/>
      </w:r>
      <w:r>
        <w:rPr>
          <w:szCs w:val="24"/>
          <w:lang w:eastAsia="en-US"/>
        </w:rPr>
        <w:t xml:space="preserve"> sa vyhlásilo za zmluvné strany zasiahnuté </w:t>
      </w:r>
      <w:proofErr w:type="spellStart"/>
      <w:r>
        <w:rPr>
          <w:szCs w:val="24"/>
          <w:lang w:eastAsia="en-US"/>
        </w:rPr>
        <w:t>dezertifikáciou</w:t>
      </w:r>
      <w:proofErr w:type="spellEnd"/>
      <w:r>
        <w:rPr>
          <w:szCs w:val="24"/>
          <w:lang w:eastAsia="en-US"/>
        </w:rPr>
        <w:t xml:space="preserve"> podľa </w:t>
      </w:r>
      <w:proofErr w:type="spellStart"/>
      <w:r>
        <w:rPr>
          <w:szCs w:val="24"/>
          <w:lang w:eastAsia="en-US"/>
        </w:rPr>
        <w:t>UNCCD</w:t>
      </w:r>
      <w:proofErr w:type="spellEnd"/>
      <w:r>
        <w:rPr>
          <w:szCs w:val="24"/>
          <w:lang w:eastAsia="en-US"/>
        </w:rPr>
        <w:t>.</w:t>
      </w:r>
    </w:p>
    <w:p w:rsidR="009D7883" w:rsidRDefault="00AA63BB">
      <w:pPr>
        <w:spacing w:before="120" w:after="120" w:line="360" w:lineRule="auto"/>
        <w:ind w:left="850" w:hanging="850"/>
        <w:rPr>
          <w:szCs w:val="24"/>
          <w:lang w:eastAsia="en-US"/>
        </w:rPr>
      </w:pPr>
      <w:r>
        <w:rPr>
          <w:szCs w:val="24"/>
          <w:lang w:eastAsia="en-US"/>
        </w:rPr>
        <w:t>(8)</w:t>
      </w:r>
      <w:r>
        <w:rPr>
          <w:szCs w:val="24"/>
          <w:lang w:eastAsia="en-US"/>
        </w:rPr>
        <w:tab/>
        <w:t>V kontexte Rámcového dohovoru Organizácie Spojených národov o zmene klímy (UNFCCC) sa krajina a pôda považuje za zdroj a zároveň za záchyt uhlíka. Únia a členské štáty sa ako zmluv</w:t>
      </w:r>
      <w:r>
        <w:rPr>
          <w:szCs w:val="24"/>
          <w:lang w:eastAsia="en-US"/>
        </w:rPr>
        <w:t>né strany zaviazali, že budú podporovať udržateľné obhospodarovanie, ochranu a posilnenie záchytov a rezervoárov uhlíka.</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(9)</w:t>
      </w:r>
      <w:r>
        <w:rPr>
          <w:szCs w:val="24"/>
          <w:lang w:eastAsia="en-US"/>
        </w:rPr>
        <w:tab/>
        <w:t>V stratégii EÚ v oblasti biodiverzity do roku 2030 sa uvádza, že je nevyhnutné zintenzívniť úsilie o ochranu úrodnosti pôdy, obme</w:t>
      </w:r>
      <w:r>
        <w:rPr>
          <w:szCs w:val="24"/>
          <w:lang w:eastAsia="en-US"/>
        </w:rPr>
        <w:t>dziť eróziu pôdy a zvýšiť obsah organickej hmoty v pôde prijatím postupov udržateľného obhospodarovania pôdy. Takisto sa v nej píše, že treba dosiahnuť výrazný pokrok pri identifikácii lokalít s kontaminovanou pôdou, obnove degradovanej pôdy, definovaní po</w:t>
      </w:r>
      <w:r>
        <w:rPr>
          <w:szCs w:val="24"/>
          <w:lang w:eastAsia="en-US"/>
        </w:rPr>
        <w:t>dmienok pre dobrý ekologický stav pôd, stanovení cieľov obnovy a zlepšení monitorovania zdravia pôdy.</w:t>
      </w:r>
    </w:p>
    <w:p w:rsidR="009D7883" w:rsidRDefault="00AA63BB">
      <w:pPr>
        <w:spacing w:before="120" w:after="120" w:line="360" w:lineRule="auto"/>
        <w:ind w:left="850" w:hanging="850"/>
        <w:rPr>
          <w:szCs w:val="24"/>
          <w:lang w:eastAsia="en-US"/>
        </w:rPr>
      </w:pPr>
      <w:r>
        <w:rPr>
          <w:szCs w:val="24"/>
          <w:lang w:eastAsia="en-US"/>
        </w:rPr>
        <w:t>(10)</w:t>
      </w:r>
      <w:r>
        <w:rPr>
          <w:szCs w:val="24"/>
          <w:lang w:eastAsia="en-US"/>
        </w:rPr>
        <w:tab/>
        <w:t xml:space="preserve">V stratégii EÚ v oblasti pôdy do roku 2030 sa stanovuje dlhodobá vízia, že do roku 2050 budú všetky pôdne ekosystémy EÚ v zdravom stave, a teda budú </w:t>
      </w:r>
      <w:r>
        <w:rPr>
          <w:szCs w:val="24"/>
          <w:lang w:eastAsia="en-US"/>
        </w:rPr>
        <w:t>odolnejšie. Zdravé pôdy ako kľúčové riešenie prispievajú k plneniu cieľov EÚ, ktorými sú dosiahnutie klimatickej neutrality a odolnosti voči zmene klímy, rozvoj čistého a obehového (bio-)hospodárstva, zvrátenie straty biodiverzity, ochrana ľudského zdravia</w:t>
      </w:r>
      <w:r>
        <w:rPr>
          <w:szCs w:val="24"/>
          <w:lang w:eastAsia="en-US"/>
        </w:rPr>
        <w:t xml:space="preserve">, zastavenie </w:t>
      </w:r>
      <w:proofErr w:type="spellStart"/>
      <w:r>
        <w:rPr>
          <w:szCs w:val="24"/>
          <w:lang w:eastAsia="en-US"/>
        </w:rPr>
        <w:t>dezertifikácie</w:t>
      </w:r>
      <w:proofErr w:type="spellEnd"/>
      <w:r>
        <w:rPr>
          <w:szCs w:val="24"/>
          <w:lang w:eastAsia="en-US"/>
        </w:rPr>
        <w:t xml:space="preserve"> a zvrátenie degradácie pôdy.</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(11)</w:t>
      </w:r>
      <w:r>
        <w:rPr>
          <w:szCs w:val="24"/>
          <w:lang w:eastAsia="en-US"/>
        </w:rPr>
        <w:tab/>
        <w:t>Na umožnenie prechodu k zdravým pôdam je nevyhnutné financovanie. Vo viacročnom finančnom rámci sa prezentuje niekoľko možností financovania, ktoré sú dostupné na ochranu, udržateľné obhospoda</w:t>
      </w:r>
      <w:r>
        <w:rPr>
          <w:szCs w:val="24"/>
          <w:lang w:eastAsia="en-US"/>
        </w:rPr>
        <w:t xml:space="preserve">rovanie a regeneráciu pôd. „Dohoda o pôde pre Európu“ je jednou z piatich misií EÚ v rámci programu Horizont Európa a osobitne sa zameriava na podporu zdravia pôdy. Misia na ochranu pôdy je kľúčovým nástrojom pre vykonávanie tejto smernice. Jej zámerom je </w:t>
      </w:r>
      <w:r>
        <w:rPr>
          <w:szCs w:val="24"/>
          <w:lang w:eastAsia="en-US"/>
        </w:rPr>
        <w:t>riadiť prechod k zdravým pôdam prostredníctvom financovania ambiciózneho programu výskumu a inovácií, vytvorenia siete 100 živých laboratórií a vlajkových projektov vo vidieckych a mestských oblastiach, pokroku vo vývoji harmonizovaného rámca monitorovania</w:t>
      </w:r>
      <w:r>
        <w:rPr>
          <w:szCs w:val="24"/>
          <w:lang w:eastAsia="en-US"/>
        </w:rPr>
        <w:t xml:space="preserve"> pôdy a zvýšenia povedomia o dôležitosti pôdy. Medzi ďalšie programy Únie, v ktorých sa predstavujú ciele </w:t>
      </w:r>
      <w:proofErr w:type="spellStart"/>
      <w:r>
        <w:rPr>
          <w:szCs w:val="24"/>
          <w:lang w:eastAsia="en-US"/>
        </w:rPr>
        <w:t>prispievajúce</w:t>
      </w:r>
      <w:proofErr w:type="spellEnd"/>
      <w:r>
        <w:rPr>
          <w:szCs w:val="24"/>
          <w:lang w:eastAsia="en-US"/>
        </w:rPr>
        <w:t xml:space="preserve"> k zdravým pôdam, patrí spoločná poľnohospodárska politika, fondy politiky súdržnosti, Program pre životné prostredie a ochranu klímy, pr</w:t>
      </w:r>
      <w:r>
        <w:rPr>
          <w:szCs w:val="24"/>
          <w:lang w:eastAsia="en-US"/>
        </w:rPr>
        <w:t xml:space="preserve">acovný program Horizont Európa, Nástroj technickej podpory, Mechanizmus na podporu obnovy a odolnosti a Program </w:t>
      </w:r>
      <w:proofErr w:type="spellStart"/>
      <w:r>
        <w:rPr>
          <w:szCs w:val="24"/>
          <w:lang w:eastAsia="en-US"/>
        </w:rPr>
        <w:t>InvestEU</w:t>
      </w:r>
      <w:proofErr w:type="spellEnd"/>
      <w:r>
        <w:rPr>
          <w:szCs w:val="24"/>
          <w:lang w:eastAsia="en-US"/>
        </w:rPr>
        <w:t>.</w:t>
      </w:r>
      <w:r>
        <w:rPr>
          <w:b/>
          <w:i/>
          <w:szCs w:val="24"/>
          <w:lang w:eastAsia="en-US"/>
        </w:rPr>
        <w:t xml:space="preserve"> Keďže cieľ dosiahnuť, aby boli všetky pôdy v Únii v zdravom stave, je vo všeobecnom záujme, treba zintenzívniť mobilizáciu zdrojov s c</w:t>
      </w:r>
      <w:r>
        <w:rPr>
          <w:b/>
          <w:i/>
          <w:szCs w:val="24"/>
          <w:lang w:eastAsia="en-US"/>
        </w:rPr>
        <w:t xml:space="preserve">ieľom podporiť zavádzanie postupov udržateľného obhospodarovania pôdy a regenerácie, a to aj zabezpečením podpory od Európskej investičnej banky prostredníctvom mechanizmov znižovania rizika. Komisia by mala posúdiť celkové finančné potreby a nedostatky a </w:t>
      </w:r>
      <w:r>
        <w:rPr>
          <w:b/>
          <w:i/>
          <w:szCs w:val="24"/>
          <w:lang w:eastAsia="en-US"/>
        </w:rPr>
        <w:t>v prípade potreby zaviesť dodatočné finančné zdroje na obdobie po roku 2027 v rámci viacročného finančného rámca a prijať opatrenia na zabezpečenie súdržnosti politík vo vzťahu k cieľom tejto smernice.</w:t>
      </w:r>
      <w:r>
        <w:rPr>
          <w:b/>
          <w:szCs w:val="24"/>
          <w:lang w:eastAsia="en-US"/>
        </w:rPr>
        <w:t xml:space="preserve"> [PN 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(12)</w:t>
      </w:r>
      <w:r>
        <w:rPr>
          <w:szCs w:val="24"/>
          <w:lang w:eastAsia="en-US"/>
        </w:rPr>
        <w:tab/>
        <w:t xml:space="preserve">V stratégii v oblasti pôdy do roku 2030 </w:t>
      </w:r>
      <w:r>
        <w:rPr>
          <w:szCs w:val="24"/>
          <w:lang w:eastAsia="en-US"/>
        </w:rPr>
        <w:t>sa oznámilo, že Komisia predloží legislatívny návrh o zdraví pôdy, aby bolo možné splniť ciele stratégie v oblasti pôdy a dosiahnuť do roku 2050 dobré zdravie pôdy v celej EÚ. Európsky parlament vo svojom uznesení z 28. apríla 2021 o ochrane pôdy</w:t>
      </w:r>
      <w:r>
        <w:rPr>
          <w:szCs w:val="24"/>
          <w:vertAlign w:val="superscript"/>
          <w:lang w:eastAsia="en-US"/>
        </w:rPr>
        <w:footnoteReference w:id="15"/>
      </w:r>
      <w:r>
        <w:rPr>
          <w:szCs w:val="24"/>
          <w:lang w:eastAsia="en-US"/>
        </w:rPr>
        <w:t xml:space="preserve"> zdôrazni</w:t>
      </w:r>
      <w:r>
        <w:rPr>
          <w:szCs w:val="24"/>
          <w:lang w:eastAsia="en-US"/>
        </w:rPr>
        <w:t>l význam ochrany pôdy a podpory zdravých pôd v Únii, pričom zohľadnil skutočnosť, že degradácia pokračuje aj napriek obmedzeným a nerovnakým opatreniam, ktoré prijali niektoré členské štáty. Európsky parlament vyzval Komisiu, aby navrhla spoločný právny rá</w:t>
      </w:r>
      <w:r>
        <w:rPr>
          <w:szCs w:val="24"/>
          <w:lang w:eastAsia="en-US"/>
        </w:rPr>
        <w:t>mec pre celú Úniu, pričom sa v plnej miere dodrží zásada subsidiarity, na účely ochrany a udržateľného využívania pôdy a na riešenie všetkých hlavných hrozieb pre pôdu.</w:t>
      </w:r>
      <w:r>
        <w:rPr>
          <w:b/>
          <w:i/>
          <w:szCs w:val="24"/>
          <w:lang w:eastAsia="en-US"/>
        </w:rPr>
        <w:t xml:space="preserve"> Čo je dôležitejšie, Európsky parlament zdôraznil riziká pre fungovanie vnútorného trhu,</w:t>
      </w:r>
      <w:r>
        <w:rPr>
          <w:b/>
          <w:i/>
          <w:szCs w:val="24"/>
          <w:lang w:eastAsia="en-US"/>
        </w:rPr>
        <w:t xml:space="preserve"> ktoré vyplývajú z neexistencie rovnakých podmienok medzi členskými štátmi a ich odlišných režimov ochrany pôdy, a silný potenciál podnecovať spravodlivú hospodársku súťaž v súkromnom sektore, rozvíjať inovatívne riešenia a know-how a posilniť vývoz techno</w:t>
      </w:r>
      <w:r>
        <w:rPr>
          <w:b/>
          <w:i/>
          <w:szCs w:val="24"/>
          <w:lang w:eastAsia="en-US"/>
        </w:rPr>
        <w:t>lógií mimo Únie.</w:t>
      </w:r>
      <w:r>
        <w:rPr>
          <w:b/>
          <w:szCs w:val="24"/>
          <w:lang w:eastAsia="en-US"/>
        </w:rPr>
        <w:t xml:space="preserve"> [PN 4]</w:t>
      </w:r>
    </w:p>
    <w:p w:rsidR="009D7883" w:rsidRDefault="00AA63BB">
      <w:pPr>
        <w:spacing w:before="120" w:after="120" w:line="360" w:lineRule="auto"/>
        <w:ind w:left="850" w:hanging="850"/>
        <w:rPr>
          <w:szCs w:val="24"/>
          <w:lang w:eastAsia="en-US"/>
        </w:rPr>
      </w:pPr>
      <w:r>
        <w:rPr>
          <w:szCs w:val="24"/>
          <w:lang w:eastAsia="en-US"/>
        </w:rPr>
        <w:t>(13)</w:t>
      </w:r>
      <w:r>
        <w:rPr>
          <w:szCs w:val="24"/>
          <w:lang w:eastAsia="en-US"/>
        </w:rPr>
        <w:tab/>
        <w:t>Rada vo svojich záveroch z 23. októbra 2020</w:t>
      </w:r>
      <w:r>
        <w:rPr>
          <w:szCs w:val="24"/>
          <w:vertAlign w:val="superscript"/>
          <w:lang w:eastAsia="en-US"/>
        </w:rPr>
        <w:footnoteReference w:id="16"/>
      </w:r>
      <w:r>
        <w:rPr>
          <w:szCs w:val="24"/>
          <w:lang w:eastAsia="en-US"/>
        </w:rPr>
        <w:t xml:space="preserve"> podporila Komisiu v zintenzívnení úsilia o lepšiu ochranu pôd a pôdnej biodiverzity, keďže predstavujú neobnoviteľný zdroj kľúčového významu.</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(14)</w:t>
      </w:r>
      <w:r>
        <w:rPr>
          <w:szCs w:val="24"/>
          <w:lang w:eastAsia="en-US"/>
        </w:rPr>
        <w:tab/>
        <w:t>V nariadení Európskeho parlamentu</w:t>
      </w:r>
      <w:r>
        <w:rPr>
          <w:szCs w:val="24"/>
          <w:lang w:eastAsia="en-US"/>
        </w:rPr>
        <w:t xml:space="preserve"> a Rady (EÚ) 2021/1119</w:t>
      </w:r>
      <w:r>
        <w:rPr>
          <w:szCs w:val="24"/>
          <w:vertAlign w:val="superscript"/>
          <w:lang w:eastAsia="en-US"/>
        </w:rPr>
        <w:footnoteReference w:id="17"/>
      </w:r>
      <w:r>
        <w:rPr>
          <w:szCs w:val="24"/>
          <w:lang w:eastAsia="en-US"/>
        </w:rPr>
        <w:t xml:space="preserve"> sa stanovuje záväzný cieľ dosiahnuť klimatickú neutralitu v Únii do roku 2050 a následne záporné emisie, ako aj uprednostniť rýchle a predvídateľné zníženie emisií a zároveň zintenzívniť ich odstraňovanie prirodzenými záchytmi uhlík</w:t>
      </w:r>
      <w:r>
        <w:rPr>
          <w:szCs w:val="24"/>
          <w:lang w:eastAsia="en-US"/>
        </w:rPr>
        <w:t>a. V dôsledku udržateľného obhospodarovania pôdy vzniká zvýšená sekvestrácia uhlíka a vo väčšine prípadov to má aj súvisiace prínosy pre ekosystémy a biodiverzitu. V oznámení Komisie s názvom Udržateľný kolobeh uhlíka</w:t>
      </w:r>
      <w:r>
        <w:rPr>
          <w:szCs w:val="24"/>
          <w:vertAlign w:val="superscript"/>
          <w:lang w:eastAsia="en-US"/>
        </w:rPr>
        <w:footnoteReference w:id="18"/>
      </w:r>
      <w:r>
        <w:rPr>
          <w:szCs w:val="24"/>
          <w:lang w:eastAsia="en-US"/>
        </w:rPr>
        <w:t xml:space="preserve"> bola zdôraznená potreba jasne a trans</w:t>
      </w:r>
      <w:r>
        <w:rPr>
          <w:szCs w:val="24"/>
          <w:lang w:eastAsia="en-US"/>
        </w:rPr>
        <w:t xml:space="preserve">parentne identifikovať činnosti, ktorými sa nesporne odstraňuje uhlík z atmosféry, ako je napríklad vývoj certifikačného rámca EÚ pre odstraňovanie uhlíka z prírodných ekosystémov vrátane pôd. Navyše sa v revidovanom nariadení o využívaní pôdy, zmenách vo </w:t>
      </w:r>
      <w:r>
        <w:rPr>
          <w:szCs w:val="24"/>
          <w:lang w:eastAsia="en-US"/>
        </w:rPr>
        <w:t>využívaní pôdy a lesnom hospodárstve uvádza, že uhlík v pôde je kľúčový pre dosiahnutie cieľov na ceste ku klimaticky neutrálnej Európe, a členské štáty sa vyzývajú na vypracovanie systému monitorovania zásob uhlíka v pôde, okrem iného s využitím súboru úd</w:t>
      </w:r>
      <w:r>
        <w:rPr>
          <w:szCs w:val="24"/>
          <w:lang w:eastAsia="en-US"/>
        </w:rPr>
        <w:t>ajov štatistického prieskumu o využívaní pôdy/krajinnej pokrývke (LUCAS).</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(15)</w:t>
      </w:r>
      <w:r>
        <w:rPr>
          <w:szCs w:val="24"/>
          <w:lang w:eastAsia="en-US"/>
        </w:rPr>
        <w:tab/>
        <w:t>V oznámení Komisie o adaptácii na zmenu klímy</w:t>
      </w:r>
      <w:r>
        <w:rPr>
          <w:szCs w:val="24"/>
          <w:vertAlign w:val="superscript"/>
          <w:lang w:eastAsia="en-US"/>
        </w:rPr>
        <w:footnoteReference w:id="19"/>
      </w:r>
      <w:r>
        <w:rPr>
          <w:szCs w:val="24"/>
          <w:lang w:eastAsia="en-US"/>
        </w:rPr>
        <w:t xml:space="preserve"> sa podčiarklo, že využívaním riešení blízkych prírode vo vnútrozemí vrátane obnovy </w:t>
      </w:r>
      <w:proofErr w:type="spellStart"/>
      <w:r>
        <w:rPr>
          <w:szCs w:val="24"/>
          <w:lang w:eastAsia="en-US"/>
        </w:rPr>
        <w:t>špongiovitej</w:t>
      </w:r>
      <w:proofErr w:type="spellEnd"/>
      <w:r>
        <w:rPr>
          <w:szCs w:val="24"/>
          <w:lang w:eastAsia="en-US"/>
        </w:rPr>
        <w:t xml:space="preserve"> funkcie pôdy sa posilnia dodávky</w:t>
      </w:r>
      <w:r>
        <w:rPr>
          <w:szCs w:val="24"/>
          <w:lang w:eastAsia="en-US"/>
        </w:rPr>
        <w:t xml:space="preserve"> čistej pitnej vody, vplyvy povodní sa znížia a zmiernia sa dôsledky sucha. Je dôležité maximalizovať schopnosť pôd zadržiavať a čistiť vodu a znižovať znečistenie.</w:t>
      </w:r>
    </w:p>
    <w:p w:rsidR="009D7883" w:rsidRDefault="00AA63BB">
      <w:pPr>
        <w:spacing w:before="120" w:after="120" w:line="360" w:lineRule="auto"/>
        <w:ind w:left="850" w:hanging="850"/>
        <w:rPr>
          <w:szCs w:val="24"/>
          <w:lang w:eastAsia="en-US"/>
        </w:rPr>
      </w:pPr>
      <w:r>
        <w:rPr>
          <w:szCs w:val="24"/>
          <w:lang w:eastAsia="en-US"/>
        </w:rPr>
        <w:t>(16)</w:t>
      </w:r>
      <w:r>
        <w:rPr>
          <w:szCs w:val="24"/>
          <w:lang w:eastAsia="en-US"/>
        </w:rPr>
        <w:tab/>
        <w:t xml:space="preserve">V akčnom pláne nulového znečistenia, ktorý prijala Komisia, sa stanovuje vízia na rok </w:t>
      </w:r>
      <w:r>
        <w:rPr>
          <w:szCs w:val="24"/>
          <w:lang w:eastAsia="en-US"/>
        </w:rPr>
        <w:t>2050, podľa ktorej sa znečistenie ovzdušia, vody a pôdy zníži na úroveň, ktorá sa už nepovažuje za škodlivú pre zdravie a prírodné ekosystémy a v rámci ktorej sa dodržiavajú limity, ktoré dokáže zvládnuť naša planéta, čím vznikne netoxické životné prostred</w:t>
      </w:r>
      <w:r>
        <w:rPr>
          <w:szCs w:val="24"/>
          <w:lang w:eastAsia="en-US"/>
        </w:rPr>
        <w:t>ie.</w:t>
      </w:r>
    </w:p>
    <w:p w:rsidR="009D7883" w:rsidRDefault="00AA63BB">
      <w:pPr>
        <w:spacing w:before="120" w:after="120" w:line="360" w:lineRule="auto"/>
        <w:ind w:left="850" w:hanging="850"/>
        <w:rPr>
          <w:szCs w:val="24"/>
          <w:lang w:eastAsia="en-US"/>
        </w:rPr>
      </w:pPr>
      <w:r>
        <w:rPr>
          <w:szCs w:val="24"/>
          <w:lang w:eastAsia="en-US"/>
        </w:rPr>
        <w:t>(17)</w:t>
      </w:r>
      <w:r>
        <w:rPr>
          <w:szCs w:val="24"/>
          <w:lang w:eastAsia="en-US"/>
        </w:rPr>
        <w:tab/>
        <w:t>V oznámení Komisie o zaistení potravinovej bezpečnosti a posilnení odolnosti potravinových systémov</w:t>
      </w:r>
      <w:r>
        <w:rPr>
          <w:szCs w:val="24"/>
          <w:vertAlign w:val="superscript"/>
          <w:lang w:eastAsia="en-US"/>
        </w:rPr>
        <w:footnoteReference w:id="20"/>
      </w:r>
      <w:r>
        <w:rPr>
          <w:szCs w:val="24"/>
          <w:lang w:eastAsia="en-US"/>
        </w:rPr>
        <w:t xml:space="preserve"> sa zdôraznilo, že potravinová udržateľnosť má zásadný význam pre potravinovú bezpečnosť. Zdravé pôdy prispievajú k odolnosti potravinového systému</w:t>
      </w:r>
      <w:r>
        <w:rPr>
          <w:szCs w:val="24"/>
          <w:lang w:eastAsia="en-US"/>
        </w:rPr>
        <w:t xml:space="preserve"> Únie, keďže tvoria základ pre výživné a dostatočné množstvo potravín.</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(18)</w:t>
      </w:r>
      <w:r>
        <w:rPr>
          <w:szCs w:val="24"/>
          <w:lang w:eastAsia="en-US"/>
        </w:rPr>
        <w:tab/>
        <w:t xml:space="preserve">Je nevyhnutné stanoviť </w:t>
      </w:r>
      <w:r>
        <w:rPr>
          <w:b/>
          <w:i/>
          <w:szCs w:val="24"/>
          <w:lang w:eastAsia="en-US"/>
        </w:rPr>
        <w:t xml:space="preserve">vhodné </w:t>
      </w:r>
      <w:r>
        <w:rPr>
          <w:szCs w:val="24"/>
          <w:lang w:eastAsia="en-US"/>
        </w:rPr>
        <w:t xml:space="preserve">opatrenia na </w:t>
      </w:r>
      <w:r>
        <w:rPr>
          <w:b/>
          <w:i/>
          <w:szCs w:val="24"/>
          <w:lang w:eastAsia="en-US"/>
        </w:rPr>
        <w:t xml:space="preserve">harmonizované </w:t>
      </w:r>
      <w:r>
        <w:rPr>
          <w:szCs w:val="24"/>
          <w:lang w:eastAsia="en-US"/>
        </w:rPr>
        <w:t>monitorovanie a posudzovanie zdravia pôdy</w:t>
      </w:r>
      <w:r>
        <w:rPr>
          <w:b/>
          <w:i/>
          <w:szCs w:val="24"/>
          <w:lang w:eastAsia="en-US"/>
        </w:rPr>
        <w:t xml:space="preserve"> v celej Únii</w:t>
      </w:r>
      <w:r>
        <w:rPr>
          <w:szCs w:val="24"/>
          <w:lang w:eastAsia="en-US"/>
        </w:rPr>
        <w:t>, udržateľné obhospodarovanie pôdy a riešenie problému kontaminovan</w:t>
      </w:r>
      <w:r>
        <w:rPr>
          <w:szCs w:val="24"/>
          <w:lang w:eastAsia="en-US"/>
        </w:rPr>
        <w:t xml:space="preserve">ých lokalít, aby sa dosiahli do roku 2050 zdravé pôdy, zachovali sa v zdravom stave a splnili sa ciele Únie týkajúce sa klímy a biodiverzity, aby predchádzalo suchám a prírodným katastrofám a reagovalo sa na </w:t>
      </w:r>
      <w:proofErr w:type="spellStart"/>
      <w:r>
        <w:rPr>
          <w:szCs w:val="24"/>
          <w:lang w:eastAsia="en-US"/>
        </w:rPr>
        <w:t>ne</w:t>
      </w:r>
      <w:proofErr w:type="spellEnd"/>
      <w:r>
        <w:rPr>
          <w:szCs w:val="24"/>
          <w:lang w:eastAsia="en-US"/>
        </w:rPr>
        <w:t>, aby sa chránilo ľudské zdravie a zabezpečila</w:t>
      </w:r>
      <w:r>
        <w:rPr>
          <w:szCs w:val="24"/>
          <w:lang w:eastAsia="en-US"/>
        </w:rPr>
        <w:t xml:space="preserve"> sa potravinová bezpečnosť a bezpečnosti potravín.</w:t>
      </w:r>
      <w:r>
        <w:rPr>
          <w:b/>
          <w:szCs w:val="24"/>
          <w:lang w:eastAsia="en-US"/>
        </w:rPr>
        <w:t xml:space="preserve"> [PN 5]</w:t>
      </w:r>
    </w:p>
    <w:p w:rsidR="009D7883" w:rsidRDefault="00AA63BB">
      <w:pPr>
        <w:spacing w:before="120" w:after="120" w:line="360" w:lineRule="auto"/>
        <w:ind w:left="850" w:hanging="850"/>
        <w:rPr>
          <w:b/>
          <w:szCs w:val="24"/>
          <w:lang w:eastAsia="en-US"/>
        </w:rPr>
      </w:pPr>
      <w:r>
        <w:rPr>
          <w:szCs w:val="24"/>
          <w:lang w:eastAsia="en-US"/>
        </w:rPr>
        <w:t>(19)</w:t>
      </w:r>
      <w:r>
        <w:rPr>
          <w:szCs w:val="24"/>
          <w:lang w:eastAsia="en-US"/>
        </w:rPr>
        <w:tab/>
        <w:t>V pôdach sa nachádza viac ako 25 % všetkej biodiverzity a takisto sú druhým najväčším úložiskom uhlíka na planéte. Zdravé pôdy vďaka svojej schopnosti zachytávať a ukladať uhlík prispievajú k s</w:t>
      </w:r>
      <w:r>
        <w:rPr>
          <w:szCs w:val="24"/>
          <w:lang w:eastAsia="en-US"/>
        </w:rPr>
        <w:t xml:space="preserve">plneniu cieľov Únie v oblasti zmeny klímy. </w:t>
      </w:r>
      <w:r>
        <w:rPr>
          <w:b/>
          <w:i/>
          <w:szCs w:val="24"/>
          <w:lang w:eastAsia="en-US"/>
        </w:rPr>
        <w:t xml:space="preserve">Súčasťou biodiverzity pôdy sú aj mikroorganizmy vrátane baktérií, húb, prvokov a </w:t>
      </w:r>
      <w:proofErr w:type="spellStart"/>
      <w:r>
        <w:rPr>
          <w:b/>
          <w:i/>
          <w:szCs w:val="24"/>
          <w:lang w:eastAsia="en-US"/>
        </w:rPr>
        <w:t>hlístovcov</w:t>
      </w:r>
      <w:proofErr w:type="spellEnd"/>
      <w:r>
        <w:rPr>
          <w:b/>
          <w:i/>
          <w:szCs w:val="24"/>
          <w:lang w:eastAsia="en-US"/>
        </w:rPr>
        <w:t>, ako aj väčšie organizmy, ako sú dážďovky, hmyz a korene rastlín, ktoré spoločne prispievajú k ekologickej a funkčnej roz</w:t>
      </w:r>
      <w:r>
        <w:rPr>
          <w:b/>
          <w:i/>
          <w:szCs w:val="24"/>
          <w:lang w:eastAsia="en-US"/>
        </w:rPr>
        <w:t xml:space="preserve">manitosti pôdnych ekosystémov. </w:t>
      </w:r>
      <w:r>
        <w:rPr>
          <w:szCs w:val="24"/>
          <w:lang w:eastAsia="en-US"/>
        </w:rPr>
        <w:t xml:space="preserve">Zdravé pôdy takisto poskytujú priaznivý biotop, v ktorom sa organizmom darí, a sú kľúčové pre zvýšenie biodiverzity a stability ekosystémov. Existuje úzke prepojenie medzi biodiverzitou pod zemou a nad zemou, pričom prebieha </w:t>
      </w:r>
      <w:r>
        <w:rPr>
          <w:szCs w:val="24"/>
          <w:lang w:eastAsia="en-US"/>
        </w:rPr>
        <w:t>interakcia prostredníctvom vzájomných vzťahov.</w:t>
      </w:r>
      <w:r>
        <w:rPr>
          <w:b/>
          <w:szCs w:val="24"/>
          <w:lang w:eastAsia="en-US"/>
        </w:rPr>
        <w:t xml:space="preserve"> [PN 6]</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(19a)</w:t>
      </w:r>
      <w:r>
        <w:rPr>
          <w:szCs w:val="24"/>
          <w:lang w:eastAsia="en-US"/>
        </w:rPr>
        <w:tab/>
      </w:r>
      <w:r>
        <w:rPr>
          <w:b/>
          <w:i/>
          <w:szCs w:val="24"/>
          <w:lang w:eastAsia="en-US"/>
        </w:rPr>
        <w:t xml:space="preserve">Pôdna organická hmota má zásadný význam z hľadiska zabezpečenia ekosystémových služieb a funkcií pôdy tým, že znižuje jej degradáciu, eróziu a zhutnenie a zároveň zvyšuje </w:t>
      </w:r>
      <w:proofErr w:type="spellStart"/>
      <w:r>
        <w:rPr>
          <w:b/>
          <w:i/>
          <w:szCs w:val="24"/>
          <w:lang w:eastAsia="en-US"/>
        </w:rPr>
        <w:t>pufrovaciu</w:t>
      </w:r>
      <w:proofErr w:type="spellEnd"/>
      <w:r>
        <w:rPr>
          <w:b/>
          <w:i/>
          <w:szCs w:val="24"/>
          <w:lang w:eastAsia="en-US"/>
        </w:rPr>
        <w:t xml:space="preserve">, </w:t>
      </w:r>
      <w:proofErr w:type="spellStart"/>
      <w:r>
        <w:rPr>
          <w:b/>
          <w:i/>
          <w:szCs w:val="24"/>
          <w:lang w:eastAsia="en-US"/>
        </w:rPr>
        <w:t>vodozádržnú</w:t>
      </w:r>
      <w:proofErr w:type="spellEnd"/>
      <w:r>
        <w:rPr>
          <w:b/>
          <w:i/>
          <w:szCs w:val="24"/>
          <w:lang w:eastAsia="en-US"/>
        </w:rPr>
        <w:t xml:space="preserve"> a katiónovú výmennú kapacitu pôdy a množstvo organického uhlíka v pôde, čo by v konečnom dôsledku mohlo zvýšiť výnosy plodín. Okrem toho pôdna organická hmota pozitívne ovplyvňuje biodiverzitu pôdy a mohla by zvýšiť sekvestráciu uhlíka v pôde, a tým prisp</w:t>
      </w:r>
      <w:r>
        <w:rPr>
          <w:b/>
          <w:i/>
          <w:szCs w:val="24"/>
          <w:lang w:eastAsia="en-US"/>
        </w:rPr>
        <w:t>ieť k zmierneniu zmeny klímy.</w:t>
      </w:r>
      <w:r>
        <w:rPr>
          <w:b/>
          <w:szCs w:val="24"/>
          <w:lang w:eastAsia="en-US"/>
        </w:rPr>
        <w:t xml:space="preserve"> [PN 7]</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(20)</w:t>
      </w:r>
      <w:r>
        <w:rPr>
          <w:szCs w:val="24"/>
          <w:lang w:eastAsia="en-US"/>
        </w:rPr>
        <w:tab/>
        <w:t>Povodne, prírodné požiare a extrémne výkyvy počasia predstavujú riziko prírodných katastrof, ktoré vyvolávajú najväčšie obavy v celej Európe. Naprieč Úniou narastajú obavy spojené so suchami a nedostatkom vody. V</w:t>
      </w:r>
      <w:r>
        <w:rPr>
          <w:szCs w:val="24"/>
          <w:lang w:eastAsia="en-US"/>
        </w:rPr>
        <w:t xml:space="preserve"> roku 2020 24 členských štátov považovalo suchá a nedostatok vody za najvýznamnejšie vznikajúce či klimatické riziká katastrof, pričom v roku 2015 to bolo len 11 členských štátov. Zdravé pôdy sú nástrojom na vybudovanie odolnosti voči suchám a prírodným ka</w:t>
      </w:r>
      <w:r>
        <w:rPr>
          <w:szCs w:val="24"/>
          <w:lang w:eastAsia="en-US"/>
        </w:rPr>
        <w:t>tastrofám. Postupy, ktorými sa posilňuje zadržiavanie vody a dostupnosť živín v pôdach, štruktúra pôdy, pôdna biodiverzita a sekvestrácia uhlíka, vedú k zvýšeniu odolnosti ekosystémov, rastlín a plodín, aby dokázali odolávať suchu, prírodným katastrofám, v</w:t>
      </w:r>
      <w:r>
        <w:rPr>
          <w:szCs w:val="24"/>
          <w:lang w:eastAsia="en-US"/>
        </w:rPr>
        <w:t>lnám horúčav a extrémnym výkyvom počasia, ktoré sa v budúcnosti vplyvom zmeny klímy budú vyskytovať častejšie, a následne sa obnoviť. A naopak platí, že bez správneho obhospodarovania pôdy spôsobujú suchá a prírodné katastrofy degradáciu pôdy a zhoršenie z</w:t>
      </w:r>
      <w:r>
        <w:rPr>
          <w:szCs w:val="24"/>
          <w:lang w:eastAsia="en-US"/>
        </w:rPr>
        <w:t xml:space="preserve">dravia pôd. Zlepšenie zdravia pôdy prispieva k zníženiu hospodárskych strát a počtu úmrtí súvisiacich s extrémnymi udalosťami spojenými s klímou, pričom za roky 1980 až 2021 Únia zaznamenala hospodárske straty vo výške približne 560 miliárd EUR a viac ako </w:t>
      </w:r>
      <w:r>
        <w:rPr>
          <w:szCs w:val="24"/>
          <w:lang w:eastAsia="en-US"/>
        </w:rPr>
        <w:t>182 000 strát na životoch.</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(21)</w:t>
      </w:r>
      <w:r>
        <w:rPr>
          <w:szCs w:val="24"/>
          <w:lang w:eastAsia="en-US"/>
        </w:rPr>
        <w:tab/>
        <w:t xml:space="preserve">Zdravie pôdy predstavuje priamy príspevok k ľudskému zdraviu a blahu. Zdravé pôdy zabezpečujú bezpečné a výživné potraviny a dokážu filtrovať kontaminanty, takže sa zachováva kvalita pitnej vody. Kontaminácia pôdy môže </w:t>
      </w:r>
      <w:r>
        <w:rPr>
          <w:szCs w:val="24"/>
          <w:lang w:eastAsia="en-US"/>
        </w:rPr>
        <w:t>škodiť ľudskému zdraviu prostredníctvom konzumácie, vdýchnutia alebo kontaktu s kožou. Keď sú ľudia vystavení zdravej populácii mikróbov v pôde, je to prospešné pre rozvoj ich imunitného systému a odolnosti voči určitým chorobám a alergiám. Zdravé pôdy pod</w:t>
      </w:r>
      <w:r>
        <w:rPr>
          <w:szCs w:val="24"/>
          <w:lang w:eastAsia="en-US"/>
        </w:rPr>
        <w:t>porujú rast stromov, kvetov a tráv a vytvárajú zelenú infraštruktúru, ktorá má estetickú hodnotu a prispieva k dobrým životným podmienkam a kvalite života.</w:t>
      </w:r>
    </w:p>
    <w:p w:rsidR="009D7883" w:rsidRDefault="00AA63BB">
      <w:pPr>
        <w:spacing w:before="120" w:after="120" w:line="360" w:lineRule="auto"/>
        <w:ind w:left="850" w:hanging="850"/>
        <w:rPr>
          <w:b/>
          <w:szCs w:val="24"/>
          <w:lang w:eastAsia="en-US"/>
        </w:rPr>
      </w:pPr>
      <w:r>
        <w:rPr>
          <w:b/>
          <w:i/>
          <w:szCs w:val="24"/>
          <w:lang w:eastAsia="en-US"/>
        </w:rPr>
        <w:t>(21a)</w:t>
      </w:r>
      <w:r>
        <w:rPr>
          <w:szCs w:val="24"/>
          <w:lang w:eastAsia="en-US"/>
        </w:rPr>
        <w:tab/>
      </w:r>
      <w:r>
        <w:rPr>
          <w:b/>
          <w:i/>
          <w:szCs w:val="24"/>
          <w:lang w:eastAsia="en-US"/>
        </w:rPr>
        <w:t xml:space="preserve">Často sa zistilo, že </w:t>
      </w:r>
      <w:proofErr w:type="spellStart"/>
      <w:r>
        <w:rPr>
          <w:b/>
          <w:i/>
          <w:szCs w:val="24"/>
          <w:lang w:eastAsia="en-US"/>
        </w:rPr>
        <w:t>perfluóralkylované</w:t>
      </w:r>
      <w:proofErr w:type="spellEnd"/>
      <w:r>
        <w:rPr>
          <w:b/>
          <w:i/>
          <w:szCs w:val="24"/>
          <w:lang w:eastAsia="en-US"/>
        </w:rPr>
        <w:t xml:space="preserve"> a </w:t>
      </w:r>
      <w:proofErr w:type="spellStart"/>
      <w:r>
        <w:rPr>
          <w:b/>
          <w:i/>
          <w:szCs w:val="24"/>
          <w:lang w:eastAsia="en-US"/>
        </w:rPr>
        <w:t>polyfluóralkylované</w:t>
      </w:r>
      <w:proofErr w:type="spellEnd"/>
      <w:r>
        <w:rPr>
          <w:b/>
          <w:i/>
          <w:szCs w:val="24"/>
          <w:lang w:eastAsia="en-US"/>
        </w:rPr>
        <w:t xml:space="preserve"> látky </w:t>
      </w:r>
      <w:r>
        <w:rPr>
          <w:b/>
          <w:i/>
          <w:sz w:val="26"/>
          <w:szCs w:val="24"/>
          <w:lang w:eastAsia="en-US"/>
        </w:rPr>
        <w:t>(</w:t>
      </w:r>
      <w:r>
        <w:rPr>
          <w:b/>
          <w:i/>
          <w:szCs w:val="24"/>
          <w:lang w:eastAsia="en-US"/>
        </w:rPr>
        <w:t>PFAS) kontaminujú podzemn</w:t>
      </w:r>
      <w:r>
        <w:rPr>
          <w:b/>
          <w:i/>
          <w:szCs w:val="24"/>
          <w:lang w:eastAsia="en-US"/>
        </w:rPr>
        <w:t>é a povrchové vody, ako aj pôdu. Môžu meniť vlastnosti a štruktúru pôdy, pričom niektoré z uvádzaných účinkov zahŕňajú zníženie respirácie pôdy a vo vode stabilných agregátov a zvýšenie pH pôdy.</w:t>
      </w:r>
      <w:r>
        <w:rPr>
          <w:b/>
          <w:szCs w:val="24"/>
          <w:lang w:eastAsia="en-US"/>
        </w:rPr>
        <w:t xml:space="preserve"> [PN 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(22)</w:t>
      </w:r>
      <w:r>
        <w:rPr>
          <w:szCs w:val="24"/>
          <w:lang w:eastAsia="en-US"/>
        </w:rPr>
        <w:tab/>
        <w:t>Degradácia pôdy má vplyv na plodnosť, výnosy, o</w:t>
      </w:r>
      <w:r>
        <w:rPr>
          <w:szCs w:val="24"/>
          <w:lang w:eastAsia="en-US"/>
        </w:rPr>
        <w:t>dolnosť voči škodcom a výživovú kvalitu potravín. Keďže sa 95 % našich potravín priamo či nepriamo produkuje na pôdach a svetová populácia naďalej rastie, je mimoriadne dôležité zachovať zdravie tohto neobnoviteľného prírodného zdroja, aby sa zabezpečila d</w:t>
      </w:r>
      <w:r>
        <w:rPr>
          <w:szCs w:val="24"/>
          <w:lang w:eastAsia="en-US"/>
        </w:rPr>
        <w:t xml:space="preserve">lhodobá potravinová bezpečnosť a produktivita a ziskovosť poľnohospodárstva Únie. Postupy udržateľného obhospodarovania pôdy </w:t>
      </w:r>
      <w:r>
        <w:rPr>
          <w:b/>
          <w:i/>
          <w:szCs w:val="24"/>
          <w:lang w:eastAsia="en-US"/>
        </w:rPr>
        <w:t xml:space="preserve">vrátane tých, ktoré stanovuje spoločná poľnohospodárska politika, </w:t>
      </w:r>
      <w:r>
        <w:rPr>
          <w:szCs w:val="24"/>
          <w:lang w:eastAsia="en-US"/>
        </w:rPr>
        <w:t>vedú k zachovaniu alebo posilneniu zdravia pôdy a prispievajú k u</w:t>
      </w:r>
      <w:r>
        <w:rPr>
          <w:szCs w:val="24"/>
          <w:lang w:eastAsia="en-US"/>
        </w:rPr>
        <w:t>držateľnosti a odolnosti potravinového systému.</w:t>
      </w:r>
      <w:r>
        <w:rPr>
          <w:b/>
          <w:i/>
          <w:szCs w:val="24"/>
          <w:lang w:eastAsia="en-US"/>
        </w:rPr>
        <w:t xml:space="preserve"> Zníženie strát živín a rezíduí pesticídov je v tejto súvislosti nevyhnutné.</w:t>
      </w:r>
      <w:r>
        <w:rPr>
          <w:b/>
          <w:szCs w:val="24"/>
          <w:lang w:eastAsia="en-US"/>
        </w:rPr>
        <w:t xml:space="preserve"> [PN 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(23)</w:t>
      </w:r>
      <w:r>
        <w:rPr>
          <w:szCs w:val="24"/>
          <w:lang w:eastAsia="en-US"/>
        </w:rPr>
        <w:tab/>
        <w:t>Dlhodobým cieľom smernice je dosiahnuť do roku 2050 zdravé pôdy</w:t>
      </w:r>
      <w:r>
        <w:rPr>
          <w:b/>
          <w:i/>
          <w:szCs w:val="24"/>
          <w:lang w:eastAsia="en-US"/>
        </w:rPr>
        <w:t xml:space="preserve"> v celej Únii</w:t>
      </w:r>
      <w:r>
        <w:rPr>
          <w:szCs w:val="24"/>
          <w:lang w:eastAsia="en-US"/>
        </w:rPr>
        <w:t xml:space="preserve">. Vzhľadom na obmedzené vedomosti o stave </w:t>
      </w:r>
      <w:r>
        <w:rPr>
          <w:szCs w:val="24"/>
          <w:lang w:eastAsia="en-US"/>
        </w:rPr>
        <w:t xml:space="preserve">pôd, účinnosti opatrení na regeneráciu ich zdravia a nákladoch na takéto opatrenia sa v smernici ako </w:t>
      </w:r>
      <w:proofErr w:type="spellStart"/>
      <w:r>
        <w:rPr>
          <w:szCs w:val="24"/>
          <w:lang w:eastAsia="en-US"/>
        </w:rPr>
        <w:t>medzikrok</w:t>
      </w:r>
      <w:proofErr w:type="spellEnd"/>
      <w:r>
        <w:rPr>
          <w:szCs w:val="24"/>
          <w:lang w:eastAsia="en-US"/>
        </w:rPr>
        <w:t xml:space="preserve"> prijíma viacfázový prístup. V prvej fáze je centrom záujmu vytvorenie rámca monitorovania pôdy a posúdenie situácie pôd v celej EÚ. </w:t>
      </w:r>
      <w:r>
        <w:rPr>
          <w:strike/>
          <w:szCs w:val="24"/>
          <w:lang w:eastAsia="en-US"/>
        </w:rPr>
        <w:t>Táto fáza zah</w:t>
      </w:r>
      <w:r>
        <w:rPr>
          <w:strike/>
          <w:szCs w:val="24"/>
          <w:lang w:eastAsia="en-US"/>
        </w:rPr>
        <w:t xml:space="preserve">ŕňa aj požiadavky na stanovenie opatrení v </w:t>
      </w:r>
      <w:proofErr w:type="spellStart"/>
      <w:r>
        <w:rPr>
          <w:strike/>
          <w:szCs w:val="24"/>
          <w:lang w:eastAsia="en-US"/>
        </w:rPr>
        <w:t>oblasti</w:t>
      </w:r>
      <w:r>
        <w:rPr>
          <w:b/>
          <w:i/>
          <w:szCs w:val="24"/>
          <w:lang w:eastAsia="en-US"/>
        </w:rPr>
        <w:t>Členské</w:t>
      </w:r>
      <w:proofErr w:type="spellEnd"/>
      <w:r>
        <w:rPr>
          <w:b/>
          <w:i/>
          <w:szCs w:val="24"/>
          <w:lang w:eastAsia="en-US"/>
        </w:rPr>
        <w:t xml:space="preserve"> štáty by mali vymedziť postupy</w:t>
      </w:r>
      <w:r>
        <w:rPr>
          <w:szCs w:val="24"/>
          <w:lang w:eastAsia="en-US"/>
        </w:rPr>
        <w:t xml:space="preserve"> udržateľného obhospodarovania pôdy </w:t>
      </w:r>
      <w:r>
        <w:rPr>
          <w:strike/>
          <w:szCs w:val="24"/>
          <w:lang w:eastAsia="en-US"/>
        </w:rPr>
        <w:t xml:space="preserve">a regenerácie nezdravých pôd, keď sa určí ich stav, ale neukladá sa povinnosť dosiahnuť zdravé </w:t>
      </w:r>
      <w:proofErr w:type="spellStart"/>
      <w:r>
        <w:rPr>
          <w:strike/>
          <w:szCs w:val="24"/>
          <w:lang w:eastAsia="en-US"/>
        </w:rPr>
        <w:t>pôdy</w:t>
      </w:r>
      <w:r>
        <w:rPr>
          <w:b/>
          <w:i/>
          <w:szCs w:val="24"/>
          <w:lang w:eastAsia="en-US"/>
        </w:rPr>
        <w:t>s</w:t>
      </w:r>
      <w:proofErr w:type="spellEnd"/>
      <w:r>
        <w:rPr>
          <w:b/>
          <w:i/>
          <w:szCs w:val="24"/>
          <w:lang w:eastAsia="en-US"/>
        </w:rPr>
        <w:t xml:space="preserve"> prihliadnutím na nezáväzné zása</w:t>
      </w:r>
      <w:r>
        <w:rPr>
          <w:b/>
          <w:i/>
          <w:szCs w:val="24"/>
          <w:lang w:eastAsia="en-US"/>
        </w:rPr>
        <w:t>dy stanovené v prílohe III k tejto smernici. Členským štátom sa poskytuje flexibilita pri rozhodovaní o konkrétnych postupoch, ktoré sa majú v prípade potreby uplatňovať a ktoré odrážajú miestne podmienky a ich uskutočniteľnosť, s cieľom uľahčiť dosiahnuti</w:t>
      </w:r>
      <w:r>
        <w:rPr>
          <w:b/>
          <w:i/>
          <w:szCs w:val="24"/>
          <w:lang w:eastAsia="en-US"/>
        </w:rPr>
        <w:t>e zdravých pôd</w:t>
      </w:r>
      <w:r>
        <w:rPr>
          <w:szCs w:val="24"/>
          <w:lang w:eastAsia="en-US"/>
        </w:rPr>
        <w:t xml:space="preserve"> do roku 2050</w:t>
      </w:r>
      <w:r>
        <w:rPr>
          <w:strike/>
          <w:szCs w:val="24"/>
          <w:lang w:eastAsia="en-US"/>
        </w:rPr>
        <w:t xml:space="preserve"> a nestanovujú sa žiadne prechodné ciele</w:t>
      </w:r>
      <w:r>
        <w:rPr>
          <w:szCs w:val="24"/>
          <w:lang w:eastAsia="en-US"/>
        </w:rPr>
        <w:t xml:space="preserve">. Týmto primeraným prístupom sa umožní dobrá príprava, podnietenie a spustenie udržateľného obhospodarovania pôdy a regenerácie </w:t>
      </w:r>
      <w:r>
        <w:rPr>
          <w:strike/>
          <w:szCs w:val="24"/>
          <w:lang w:eastAsia="en-US"/>
        </w:rPr>
        <w:t xml:space="preserve">nezdravých </w:t>
      </w:r>
      <w:r>
        <w:rPr>
          <w:szCs w:val="24"/>
          <w:lang w:eastAsia="en-US"/>
        </w:rPr>
        <w:t>pôd</w:t>
      </w:r>
      <w:r>
        <w:rPr>
          <w:b/>
          <w:i/>
          <w:szCs w:val="24"/>
          <w:lang w:eastAsia="en-US"/>
        </w:rPr>
        <w:t>, ktoré nie sú zdravé</w:t>
      </w:r>
      <w:r>
        <w:rPr>
          <w:szCs w:val="24"/>
          <w:lang w:eastAsia="en-US"/>
        </w:rPr>
        <w:t xml:space="preserve">. V druhej fáze, ktorá sa </w:t>
      </w:r>
      <w:r>
        <w:rPr>
          <w:szCs w:val="24"/>
          <w:lang w:eastAsia="en-US"/>
        </w:rPr>
        <w:t xml:space="preserve">začne hneď po sprístupnení výsledkov prvého posúdenia pôd a analýzy trendov, Komisia zhodnotí pokrok smerom k cieľu do roku 2050 a získané skúsenosti a navrhne preskúmanie smernice, ak je to nevyhnutné na </w:t>
      </w:r>
      <w:r>
        <w:rPr>
          <w:strike/>
          <w:szCs w:val="24"/>
          <w:lang w:eastAsia="en-US"/>
        </w:rPr>
        <w:t xml:space="preserve">urýchlenie pokroku pri </w:t>
      </w:r>
      <w:proofErr w:type="spellStart"/>
      <w:r>
        <w:rPr>
          <w:strike/>
          <w:szCs w:val="24"/>
          <w:lang w:eastAsia="en-US"/>
        </w:rPr>
        <w:t>plnení</w:t>
      </w:r>
      <w:r>
        <w:rPr>
          <w:b/>
          <w:i/>
          <w:szCs w:val="24"/>
          <w:lang w:eastAsia="en-US"/>
        </w:rPr>
        <w:t>splnenie</w:t>
      </w:r>
      <w:proofErr w:type="spellEnd"/>
      <w:r>
        <w:rPr>
          <w:szCs w:val="24"/>
          <w:lang w:eastAsia="en-US"/>
        </w:rPr>
        <w:t xml:space="preserve"> cieľa do roku</w:t>
      </w:r>
      <w:r>
        <w:rPr>
          <w:szCs w:val="24"/>
          <w:lang w:eastAsia="en-US"/>
        </w:rPr>
        <w:t xml:space="preserve"> 2050.</w:t>
      </w:r>
      <w:r>
        <w:rPr>
          <w:b/>
          <w:szCs w:val="24"/>
          <w:lang w:eastAsia="en-US"/>
        </w:rPr>
        <w:t xml:space="preserve"> [PN 10]</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(24)</w:t>
      </w:r>
      <w:r>
        <w:rPr>
          <w:szCs w:val="24"/>
          <w:lang w:eastAsia="en-US"/>
        </w:rPr>
        <w:tab/>
        <w:t>Na účely riešenia tlakov na pôdy a identifikácie vhodných opatrení na zachovanie alebo regeneráciu zdravia pôdy je potrebné vziať do úvahy rôznorodosť pôdnych typov, špecifické miestne a klimatické podmienky, využívanie pôdy či krajin</w:t>
      </w:r>
      <w:r>
        <w:rPr>
          <w:szCs w:val="24"/>
          <w:lang w:eastAsia="en-US"/>
        </w:rPr>
        <w:t>nú pokrývku. Preto je vhodné, aby členské štáty vytvorili pôdne okrsky</w:t>
      </w:r>
      <w:r>
        <w:rPr>
          <w:b/>
          <w:i/>
          <w:szCs w:val="24"/>
          <w:lang w:eastAsia="en-US"/>
        </w:rPr>
        <w:t>, ktoré budú schopné primerane zohľadňovať pôdno-klimatické podmienky a rôznorodosť pôdy na celom ich území</w:t>
      </w:r>
      <w:r>
        <w:rPr>
          <w:szCs w:val="24"/>
          <w:lang w:eastAsia="en-US"/>
        </w:rPr>
        <w:t>. Pôdne okrsky by mali byť základnými riadiacimi jednotkami na obhospodarovanie</w:t>
      </w:r>
      <w:r>
        <w:rPr>
          <w:szCs w:val="24"/>
          <w:lang w:eastAsia="en-US"/>
        </w:rPr>
        <w:t xml:space="preserve"> pôd a prijatie opatrení s cieľom dosiahnuť súlad s požiadavkami stanovenými v smernici, najmä pokiaľ ide o monitorovanie a posudzovanie zdravia pôdy.</w:t>
      </w:r>
      <w:r>
        <w:rPr>
          <w:strike/>
          <w:szCs w:val="24"/>
          <w:lang w:eastAsia="en-US"/>
        </w:rPr>
        <w:t xml:space="preserve"> Mal by sa určiť počet, geografický rozsah a hranice pôdnych okrskov v prípade každého členského štátu, ab</w:t>
      </w:r>
      <w:r>
        <w:rPr>
          <w:strike/>
          <w:szCs w:val="24"/>
          <w:lang w:eastAsia="en-US"/>
        </w:rPr>
        <w:t>y sa uľahčilo vykonávanie nariadenia Európskeho parlamentu a Rady (EÚ) …/…</w:t>
      </w:r>
      <w:r>
        <w:rPr>
          <w:rStyle w:val="FootnoteReference"/>
          <w:strike/>
          <w:szCs w:val="24"/>
          <w:lang w:eastAsia="en-US"/>
        </w:rPr>
        <w:footnoteReference w:customMarkFollows="1" w:id="21"/>
        <w:t>+</w:t>
      </w:r>
      <w:r>
        <w:rPr>
          <w:strike/>
          <w:szCs w:val="24"/>
          <w:lang w:eastAsia="en-US"/>
        </w:rPr>
        <w:t>.</w:t>
      </w:r>
      <w:r>
        <w:rPr>
          <w:szCs w:val="24"/>
          <w:lang w:eastAsia="en-US"/>
        </w:rPr>
        <w:t xml:space="preserve"> V každom členskom štáte by mal existovať minimálny počet pôdnych okrskov, pričom sa zohľadní veľkosť členského štátu. Minimálny počet pôdnych okrskov v každom členskom štáte by ma</w:t>
      </w:r>
      <w:r>
        <w:rPr>
          <w:szCs w:val="24"/>
          <w:lang w:eastAsia="en-US"/>
        </w:rPr>
        <w:t>l zodpovedať počtu územných jednotiek NUTS 1, ako sa stanovuje v nariadení Európskeho parlamentu a Rady (ES) č. 1059/2003</w:t>
      </w:r>
      <w:r>
        <w:rPr>
          <w:szCs w:val="24"/>
          <w:vertAlign w:val="superscript"/>
          <w:lang w:eastAsia="en-US"/>
        </w:rPr>
        <w:footnoteReference w:id="22"/>
      </w:r>
      <w:r>
        <w:rPr>
          <w:szCs w:val="24"/>
          <w:lang w:eastAsia="en-US"/>
        </w:rPr>
        <w:t>.</w:t>
      </w:r>
      <w:r>
        <w:rPr>
          <w:b/>
          <w:i/>
          <w:szCs w:val="24"/>
          <w:lang w:eastAsia="en-US"/>
        </w:rPr>
        <w:t xml:space="preserve"> Členské štáty sa môžu rozhodnúť zriadiť svoje pôdne okrsky podľa počtu územných jednotiek NUTS 2, aby lepšie odrážali ich miestne po</w:t>
      </w:r>
      <w:r>
        <w:rPr>
          <w:b/>
          <w:i/>
          <w:szCs w:val="24"/>
          <w:lang w:eastAsia="en-US"/>
        </w:rPr>
        <w:t>dmienky a právomoci ich vnútroštátnych orgánov.</w:t>
      </w:r>
      <w:r>
        <w:rPr>
          <w:b/>
          <w:szCs w:val="24"/>
          <w:lang w:eastAsia="en-US"/>
        </w:rPr>
        <w:t xml:space="preserve"> [PN 11]</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(24a)</w:t>
      </w:r>
      <w:r>
        <w:rPr>
          <w:szCs w:val="24"/>
          <w:lang w:eastAsia="en-US"/>
        </w:rPr>
        <w:tab/>
      </w:r>
      <w:r>
        <w:rPr>
          <w:b/>
          <w:i/>
          <w:szCs w:val="24"/>
          <w:lang w:eastAsia="en-US"/>
        </w:rPr>
        <w:t>Pôdne okrsky sú najvhodnejšou úrovňou na prijatie programov opatrení a tam, kde je to potrebné, priebežných cieľov, a to aj prostredníctvom miestnych plánov pôdnych okrskov, s prihliadnutím na</w:t>
      </w:r>
      <w:r>
        <w:rPr>
          <w:b/>
          <w:i/>
          <w:szCs w:val="24"/>
          <w:lang w:eastAsia="en-US"/>
        </w:rPr>
        <w:t xml:space="preserve"> miestne podmienky a názory miestnych zainteresovaných strán s cieľom zabezpečiť, aby si príslušné pôdy zlepšili klasifikáciu. Keďže obnova kriticky degradovaných pôd si vyžaduje viac času, mal by sa poskytnúť dostatočný časový rámec v trvaní až do 10 roko</w:t>
      </w:r>
      <w:r>
        <w:rPr>
          <w:b/>
          <w:i/>
          <w:szCs w:val="24"/>
          <w:lang w:eastAsia="en-US"/>
        </w:rPr>
        <w:t>v, aby sa zabezpečilo, že sa ich ekologická klasifikácia zlepší. Pre pôdy registrované ako kontaminované, na ktoré sa vzťahujú konkrétne plány obhospodarovania a zmierňovania, by sa mohol stanoviť iný časový rámec.</w:t>
      </w:r>
      <w:r>
        <w:rPr>
          <w:b/>
          <w:szCs w:val="24"/>
          <w:lang w:eastAsia="en-US"/>
        </w:rPr>
        <w:t xml:space="preserve"> [PN 12]</w:t>
      </w:r>
    </w:p>
    <w:p w:rsidR="009D7883" w:rsidRDefault="00AA63BB">
      <w:pPr>
        <w:spacing w:before="120" w:after="120" w:line="360" w:lineRule="auto"/>
        <w:ind w:left="850" w:hanging="850"/>
        <w:rPr>
          <w:b/>
          <w:szCs w:val="24"/>
          <w:lang w:eastAsia="en-US"/>
        </w:rPr>
      </w:pPr>
      <w:r>
        <w:rPr>
          <w:szCs w:val="24"/>
          <w:lang w:eastAsia="en-US"/>
        </w:rPr>
        <w:t>(25)</w:t>
      </w:r>
      <w:r>
        <w:rPr>
          <w:szCs w:val="24"/>
          <w:lang w:eastAsia="en-US"/>
        </w:rPr>
        <w:tab/>
        <w:t>Aby sa zabezpečilo primerané</w:t>
      </w:r>
      <w:r>
        <w:rPr>
          <w:szCs w:val="24"/>
          <w:lang w:eastAsia="en-US"/>
        </w:rPr>
        <w:t xml:space="preserve"> riadenie pôd, malo by sa od členských štátov vyžadovať, aby vymenovali príslušný orgán pre každý pôdny okrsok. Členské štáty by mali mať možnosť vymenovať dodatočný príslušný orgán na vhodnej úrovni vrátane vnútroštátnej či regionálnej úrovne</w:t>
      </w:r>
      <w:r>
        <w:rPr>
          <w:b/>
          <w:i/>
          <w:szCs w:val="24"/>
          <w:lang w:eastAsia="en-US"/>
        </w:rPr>
        <w:t xml:space="preserve"> a aj území č</w:t>
      </w:r>
      <w:r>
        <w:rPr>
          <w:b/>
          <w:i/>
          <w:szCs w:val="24"/>
          <w:lang w:eastAsia="en-US"/>
        </w:rPr>
        <w:t>lenských štátov</w:t>
      </w:r>
      <w:r>
        <w:rPr>
          <w:szCs w:val="24"/>
          <w:lang w:eastAsia="en-US"/>
        </w:rPr>
        <w:t>.</w:t>
      </w:r>
      <w:r>
        <w:rPr>
          <w:b/>
          <w:i/>
          <w:szCs w:val="24"/>
          <w:lang w:eastAsia="en-US"/>
        </w:rPr>
        <w:t xml:space="preserve"> S cieľom minimalizovať náklady by členské štáty mali v prvom rade vymenovať už zriadené orgány. Jeden orgán by mohol byť zodpovedný za niekoľko oblastí, čo by mohlo zlepšiť konzistentnosť pri vykonávaní tejto smernice. V prípade, že člensk</w:t>
      </w:r>
      <w:r>
        <w:rPr>
          <w:b/>
          <w:i/>
          <w:szCs w:val="24"/>
          <w:lang w:eastAsia="en-US"/>
        </w:rPr>
        <w:t>é štáty zmenia rozdelenie právomocí medzi príslušnými orgánmi, mali by tieto zmeny oznámiť Komisii, aby sa informácie aktualizovali.</w:t>
      </w:r>
      <w:r>
        <w:rPr>
          <w:b/>
          <w:szCs w:val="24"/>
          <w:lang w:eastAsia="en-US"/>
        </w:rPr>
        <w:t xml:space="preserve"> [PN 13]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(26)</w:t>
      </w:r>
      <w:r>
        <w:rPr>
          <w:szCs w:val="24"/>
          <w:lang w:eastAsia="en-US"/>
        </w:rPr>
        <w:tab/>
        <w:t xml:space="preserve">Na účely spoločného vymedzenia zdravého stavu pôdy je potrebné definovať minimálny spoločný súbor </w:t>
      </w:r>
      <w:r>
        <w:rPr>
          <w:szCs w:val="24"/>
          <w:lang w:eastAsia="en-US"/>
        </w:rPr>
        <w:t>merateľných kritérií. Ak sa tieto kritériá nedodržia, vedie to ku kritickej strate schopnosti pôdy fungovať ako životne dôležitý živý systém a poskytovať ekosystémové služby. Takéto kritériá by mali vychádzať zo súčasnej úrovne pôdoznaleckej vedy a mali by</w:t>
      </w:r>
      <w:r>
        <w:rPr>
          <w:szCs w:val="24"/>
          <w:lang w:eastAsia="en-US"/>
        </w:rPr>
        <w:t xml:space="preserve"> ju zohľadňovať.</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(27)</w:t>
      </w:r>
      <w:r>
        <w:rPr>
          <w:szCs w:val="24"/>
          <w:lang w:eastAsia="en-US"/>
        </w:rPr>
        <w:tab/>
      </w:r>
      <w:r>
        <w:rPr>
          <w:strike/>
          <w:szCs w:val="24"/>
          <w:lang w:eastAsia="en-US"/>
        </w:rPr>
        <w:t xml:space="preserve">Aby bolo možné opísať degradáciu pôdy, je nevyhnutné </w:t>
      </w:r>
      <w:proofErr w:type="spellStart"/>
      <w:r>
        <w:rPr>
          <w:strike/>
          <w:szCs w:val="24"/>
          <w:lang w:eastAsia="en-US"/>
        </w:rPr>
        <w:t>zaviesť</w:t>
      </w:r>
      <w:r>
        <w:rPr>
          <w:b/>
          <w:i/>
          <w:szCs w:val="24"/>
          <w:lang w:eastAsia="en-US"/>
        </w:rPr>
        <w:t>S</w:t>
      </w:r>
      <w:proofErr w:type="spellEnd"/>
      <w:r>
        <w:rPr>
          <w:b/>
          <w:i/>
          <w:szCs w:val="24"/>
          <w:lang w:eastAsia="en-US"/>
        </w:rPr>
        <w:t xml:space="preserve"> cieľom vytvoriť spoločný rámec a umožniť porovnateľnosť údajov by Komisia mala prostredníctvom delegovaných aktov prijať metodiku určovania prahových hodnôt pre</w:t>
      </w:r>
      <w:r>
        <w:rPr>
          <w:szCs w:val="24"/>
          <w:lang w:eastAsia="en-US"/>
        </w:rPr>
        <w:t xml:space="preserve"> pôdne </w:t>
      </w:r>
      <w:proofErr w:type="spellStart"/>
      <w:r>
        <w:rPr>
          <w:szCs w:val="24"/>
          <w:lang w:eastAsia="en-US"/>
        </w:rPr>
        <w:t>deskriptory</w:t>
      </w:r>
      <w:proofErr w:type="spellEnd"/>
      <w:r>
        <w:rPr>
          <w:strike/>
          <w:szCs w:val="24"/>
          <w:lang w:eastAsia="en-US"/>
        </w:rPr>
        <w:t>, ktoré možno zmerať alebo odhadnúť. Aj keď sú</w:t>
      </w:r>
      <w:r>
        <w:rPr>
          <w:b/>
          <w:i/>
          <w:szCs w:val="24"/>
          <w:lang w:eastAsia="en-US"/>
        </w:rPr>
        <w:t xml:space="preserve"> pre každý ekologický stav pôdy. Je dôležité, aby táto metodika zohľadňovala najnovšie vedecké dôkazy a poskytovala prostriedky na zohľadnenie rôznych klimatických podmienok a typov pôdy. Pomocou tej</w:t>
      </w:r>
      <w:r>
        <w:rPr>
          <w:b/>
          <w:i/>
          <w:szCs w:val="24"/>
          <w:lang w:eastAsia="en-US"/>
        </w:rPr>
        <w:t>to metodiky by členské štáty mali určiť navrhované prahové hodnoty pre</w:t>
      </w:r>
      <w:r>
        <w:rPr>
          <w:szCs w:val="24"/>
          <w:lang w:eastAsia="en-US"/>
        </w:rPr>
        <w:t xml:space="preserve"> pôdne </w:t>
      </w:r>
      <w:proofErr w:type="spellStart"/>
      <w:r>
        <w:rPr>
          <w:strike/>
          <w:szCs w:val="24"/>
          <w:lang w:eastAsia="en-US"/>
        </w:rPr>
        <w:t>typy,</w:t>
      </w:r>
      <w:r>
        <w:rPr>
          <w:b/>
          <w:i/>
          <w:szCs w:val="24"/>
          <w:lang w:eastAsia="en-US"/>
        </w:rPr>
        <w:t>deskriptory</w:t>
      </w:r>
      <w:proofErr w:type="spellEnd"/>
      <w:r>
        <w:rPr>
          <w:b/>
          <w:i/>
          <w:szCs w:val="24"/>
          <w:lang w:eastAsia="en-US"/>
        </w:rPr>
        <w:t xml:space="preserve"> pre každý ekologický stav pôdy s prihliadnutím na</w:t>
      </w:r>
      <w:r>
        <w:rPr>
          <w:szCs w:val="24"/>
          <w:lang w:eastAsia="en-US"/>
        </w:rPr>
        <w:t xml:space="preserve"> klimatické podmienky</w:t>
      </w:r>
      <w:r>
        <w:rPr>
          <w:strike/>
          <w:szCs w:val="24"/>
          <w:lang w:eastAsia="en-US"/>
        </w:rPr>
        <w:t xml:space="preserve"> a využitia pôdy v značnej miere rôznorodé, súčasné</w:t>
      </w:r>
      <w:r>
        <w:rPr>
          <w:b/>
          <w:i/>
          <w:szCs w:val="24"/>
          <w:lang w:eastAsia="en-US"/>
        </w:rPr>
        <w:t>, typ pôdy, typ pôdnej plochy a</w:t>
      </w:r>
      <w:r>
        <w:rPr>
          <w:szCs w:val="24"/>
          <w:lang w:eastAsia="en-US"/>
        </w:rPr>
        <w:t xml:space="preserve"> vedecké </w:t>
      </w:r>
      <w:r>
        <w:rPr>
          <w:strike/>
          <w:szCs w:val="24"/>
          <w:lang w:eastAsia="en-US"/>
        </w:rPr>
        <w:t>p</w:t>
      </w:r>
      <w:r>
        <w:rPr>
          <w:strike/>
          <w:szCs w:val="24"/>
          <w:lang w:eastAsia="en-US"/>
        </w:rPr>
        <w:t xml:space="preserve">oznatky umožňujú stanoviť v prípade niektorých pôdnych </w:t>
      </w:r>
      <w:proofErr w:type="spellStart"/>
      <w:r>
        <w:rPr>
          <w:strike/>
          <w:szCs w:val="24"/>
          <w:lang w:eastAsia="en-US"/>
        </w:rPr>
        <w:t>deskriptorov</w:t>
      </w:r>
      <w:proofErr w:type="spellEnd"/>
      <w:r>
        <w:rPr>
          <w:strike/>
          <w:szCs w:val="24"/>
          <w:lang w:eastAsia="en-US"/>
        </w:rPr>
        <w:t xml:space="preserve"> kritériá na úrovni </w:t>
      </w:r>
      <w:proofErr w:type="spellStart"/>
      <w:r>
        <w:rPr>
          <w:strike/>
          <w:szCs w:val="24"/>
          <w:lang w:eastAsia="en-US"/>
        </w:rPr>
        <w:t>Únie.</w:t>
      </w:r>
      <w:r>
        <w:rPr>
          <w:b/>
          <w:i/>
          <w:szCs w:val="24"/>
          <w:lang w:eastAsia="en-US"/>
        </w:rPr>
        <w:t>dôkazy</w:t>
      </w:r>
      <w:proofErr w:type="spellEnd"/>
      <w:r>
        <w:rPr>
          <w:b/>
          <w:i/>
          <w:szCs w:val="24"/>
          <w:lang w:eastAsia="en-US"/>
        </w:rPr>
        <w:t xml:space="preserve"> a predložiť ich Komisii. S cieľom zabezpečiť rovnaké podmienky pre</w:t>
      </w:r>
      <w:r>
        <w:rPr>
          <w:szCs w:val="24"/>
          <w:lang w:eastAsia="en-US"/>
        </w:rPr>
        <w:t xml:space="preserve"> členské štáty </w:t>
      </w:r>
      <w:r>
        <w:rPr>
          <w:b/>
          <w:i/>
          <w:szCs w:val="24"/>
          <w:lang w:eastAsia="en-US"/>
        </w:rPr>
        <w:t>a zabrániť tomu, aby členské štáty prijímali prahové hodnoty, ktoré umožňujú</w:t>
      </w:r>
      <w:r>
        <w:rPr>
          <w:b/>
          <w:i/>
          <w:szCs w:val="24"/>
          <w:lang w:eastAsia="en-US"/>
        </w:rPr>
        <w:t xml:space="preserve"> kategorizáciu podobnej pôdy veľmi odlišným spôsobom, čo by ovplyvnilo úsilie potrebné na zlepšenie ekologického stavu pôdy, by Komisia mala posúdiť návrh prahových hodnôt a ich vedecké odôvodnenie. Komisia by </w:t>
      </w:r>
      <w:proofErr w:type="spellStart"/>
      <w:r>
        <w:rPr>
          <w:b/>
          <w:i/>
          <w:szCs w:val="24"/>
          <w:lang w:eastAsia="en-US"/>
        </w:rPr>
        <w:t>mala</w:t>
      </w:r>
      <w:r>
        <w:rPr>
          <w:strike/>
          <w:szCs w:val="24"/>
          <w:lang w:eastAsia="en-US"/>
        </w:rPr>
        <w:t>by</w:t>
      </w:r>
      <w:proofErr w:type="spellEnd"/>
      <w:r>
        <w:rPr>
          <w:strike/>
          <w:szCs w:val="24"/>
          <w:lang w:eastAsia="en-US"/>
        </w:rPr>
        <w:t xml:space="preserve"> však mali</w:t>
      </w:r>
      <w:r>
        <w:rPr>
          <w:szCs w:val="24"/>
          <w:lang w:eastAsia="en-US"/>
        </w:rPr>
        <w:t xml:space="preserve"> mať možnosť </w:t>
      </w:r>
      <w:r>
        <w:rPr>
          <w:strike/>
          <w:szCs w:val="24"/>
          <w:lang w:eastAsia="en-US"/>
        </w:rPr>
        <w:t xml:space="preserve">upraviť kritériá </w:t>
      </w:r>
      <w:r>
        <w:rPr>
          <w:strike/>
          <w:szCs w:val="24"/>
          <w:lang w:eastAsia="en-US"/>
        </w:rPr>
        <w:t xml:space="preserve">pre niektoré z týchto pôdnych </w:t>
      </w:r>
      <w:proofErr w:type="spellStart"/>
      <w:r>
        <w:rPr>
          <w:strike/>
          <w:szCs w:val="24"/>
          <w:lang w:eastAsia="en-US"/>
        </w:rPr>
        <w:t>deskriptorov</w:t>
      </w:r>
      <w:proofErr w:type="spellEnd"/>
      <w:r>
        <w:rPr>
          <w:strike/>
          <w:szCs w:val="24"/>
          <w:lang w:eastAsia="en-US"/>
        </w:rPr>
        <w:t xml:space="preserve"> na základe špecifických </w:t>
      </w:r>
      <w:proofErr w:type="spellStart"/>
      <w:r>
        <w:rPr>
          <w:strike/>
          <w:szCs w:val="24"/>
          <w:lang w:eastAsia="en-US"/>
        </w:rPr>
        <w:t>vnútroštátnych</w:t>
      </w:r>
      <w:r>
        <w:rPr>
          <w:b/>
          <w:i/>
          <w:szCs w:val="24"/>
          <w:lang w:eastAsia="en-US"/>
        </w:rPr>
        <w:t>požiadať</w:t>
      </w:r>
      <w:proofErr w:type="spellEnd"/>
      <w:r>
        <w:rPr>
          <w:b/>
          <w:i/>
          <w:szCs w:val="24"/>
          <w:lang w:eastAsia="en-US"/>
        </w:rPr>
        <w:t xml:space="preserve"> členské štáty o dodatočné informácie</w:t>
      </w:r>
      <w:r>
        <w:rPr>
          <w:szCs w:val="24"/>
          <w:lang w:eastAsia="en-US"/>
        </w:rPr>
        <w:t xml:space="preserve"> alebo </w:t>
      </w:r>
      <w:r>
        <w:rPr>
          <w:strike/>
          <w:szCs w:val="24"/>
          <w:lang w:eastAsia="en-US"/>
        </w:rPr>
        <w:t xml:space="preserve">miestnych podmienok a určiť kritériá pre iné pôdne </w:t>
      </w:r>
      <w:proofErr w:type="spellStart"/>
      <w:r>
        <w:rPr>
          <w:strike/>
          <w:szCs w:val="24"/>
          <w:lang w:eastAsia="en-US"/>
        </w:rPr>
        <w:t>deskriptory</w:t>
      </w:r>
      <w:proofErr w:type="spellEnd"/>
      <w:r>
        <w:rPr>
          <w:strike/>
          <w:szCs w:val="24"/>
          <w:lang w:eastAsia="en-US"/>
        </w:rPr>
        <w:t>, pre ktoré v danej fáze nemožno stanoviť spoločné kritériá n</w:t>
      </w:r>
      <w:r>
        <w:rPr>
          <w:strike/>
          <w:szCs w:val="24"/>
          <w:lang w:eastAsia="en-US"/>
        </w:rPr>
        <w:t xml:space="preserve">a úrovni </w:t>
      </w:r>
      <w:proofErr w:type="spellStart"/>
      <w:r>
        <w:rPr>
          <w:strike/>
          <w:szCs w:val="24"/>
          <w:lang w:eastAsia="en-US"/>
        </w:rPr>
        <w:t>EÚ</w:t>
      </w:r>
      <w:r>
        <w:rPr>
          <w:b/>
          <w:i/>
          <w:szCs w:val="24"/>
          <w:lang w:eastAsia="en-US"/>
        </w:rPr>
        <w:t>o</w:t>
      </w:r>
      <w:proofErr w:type="spellEnd"/>
      <w:r>
        <w:rPr>
          <w:b/>
          <w:i/>
          <w:szCs w:val="24"/>
          <w:lang w:eastAsia="en-US"/>
        </w:rPr>
        <w:t xml:space="preserve"> revíziu nimi navrhovaných prahových hodnôt. Komisia by mala schváliť prahové hodnoty za predpokladu, že jej pripomienky boli primerane zohľadnené</w:t>
      </w:r>
      <w:r>
        <w:rPr>
          <w:szCs w:val="24"/>
          <w:lang w:eastAsia="en-US"/>
        </w:rPr>
        <w:t>.</w:t>
      </w:r>
      <w:r>
        <w:rPr>
          <w:strike/>
          <w:szCs w:val="24"/>
          <w:lang w:eastAsia="en-US"/>
        </w:rPr>
        <w:t xml:space="preserve"> V súvislosti s </w:t>
      </w:r>
      <w:proofErr w:type="spellStart"/>
      <w:r>
        <w:rPr>
          <w:strike/>
          <w:szCs w:val="24"/>
          <w:lang w:eastAsia="en-US"/>
        </w:rPr>
        <w:t>deskriptormi</w:t>
      </w:r>
      <w:proofErr w:type="spellEnd"/>
      <w:r>
        <w:rPr>
          <w:strike/>
          <w:szCs w:val="24"/>
          <w:lang w:eastAsia="en-US"/>
        </w:rPr>
        <w:t>, v prípade ktorých teraz nemožno určiť jasné kritériá na odlíšenie z</w:t>
      </w:r>
      <w:r>
        <w:rPr>
          <w:strike/>
          <w:szCs w:val="24"/>
          <w:lang w:eastAsia="en-US"/>
        </w:rPr>
        <w:t>dravého a nezdravého stavu, sa vyžaduje len monitorovanie a posúdenie. Tým sa uľahčí vypracovanie takýchto kritérií v budúcnosti.</w:t>
      </w:r>
      <w:r>
        <w:rPr>
          <w:b/>
          <w:strike/>
          <w:szCs w:val="24"/>
          <w:lang w:eastAsia="en-US"/>
        </w:rPr>
        <w:t xml:space="preserve"> </w:t>
      </w:r>
      <w:r>
        <w:rPr>
          <w:b/>
          <w:szCs w:val="24"/>
          <w:lang w:eastAsia="en-US"/>
        </w:rPr>
        <w:t>[PN 14]</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(27a)</w:t>
      </w:r>
      <w:r>
        <w:rPr>
          <w:szCs w:val="24"/>
          <w:lang w:eastAsia="en-US"/>
        </w:rPr>
        <w:tab/>
      </w:r>
      <w:r>
        <w:rPr>
          <w:b/>
          <w:i/>
          <w:szCs w:val="24"/>
          <w:lang w:eastAsia="en-US"/>
        </w:rPr>
        <w:t xml:space="preserve">Je potrebný integrovaný pohľad na hodnotenie zdravia pôdy, ktorý presahuje rámec skúmania faktorov degradácie </w:t>
      </w:r>
      <w:r>
        <w:rPr>
          <w:b/>
          <w:i/>
          <w:szCs w:val="24"/>
          <w:lang w:eastAsia="en-US"/>
        </w:rPr>
        <w:t>a poskytuje jasnú cestu k jeho zlepšeniu. Celkové hodnotenie ekologického stavu pôdy by sa preto malo roztriediť do kategórií podľa piatich tried od „veľmi dobrý ekologický stav pôdy“ cez „dobrý ekologický stav“, „primeraný ekologický stav“, „degradovaná p</w:t>
      </w:r>
      <w:r>
        <w:rPr>
          <w:b/>
          <w:i/>
          <w:szCs w:val="24"/>
          <w:lang w:eastAsia="en-US"/>
        </w:rPr>
        <w:t>ôda“ po „kriticky degradovaná pôda“, pričom by sa mali okrem iného zohľadniť aj prítomnosť faktorov degradácie a funkcie pôdy.</w:t>
      </w:r>
      <w:r>
        <w:rPr>
          <w:b/>
          <w:szCs w:val="24"/>
          <w:lang w:eastAsia="en-US"/>
        </w:rPr>
        <w:t xml:space="preserve"> [PN 15]</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(27b)</w:t>
      </w:r>
      <w:r>
        <w:rPr>
          <w:szCs w:val="24"/>
          <w:lang w:eastAsia="en-US"/>
        </w:rPr>
        <w:tab/>
      </w:r>
      <w:r>
        <w:rPr>
          <w:b/>
          <w:i/>
          <w:szCs w:val="24"/>
          <w:lang w:eastAsia="en-US"/>
        </w:rPr>
        <w:t>S cieľom rešpektovať autonómiu členských štátov, ktoré sú ochotné zaviesť komplexnejšie monitorovacie systémy, by</w:t>
      </w:r>
      <w:r>
        <w:rPr>
          <w:b/>
          <w:i/>
          <w:szCs w:val="24"/>
          <w:lang w:eastAsia="en-US"/>
        </w:rPr>
        <w:t xml:space="preserve"> členské štáty mali mať možnosť vybrať si spomedzi troch úrovní monitorovania. Úroveň 1 stanovuje minimálny súbor pôdnych </w:t>
      </w:r>
      <w:proofErr w:type="spellStart"/>
      <w:r>
        <w:rPr>
          <w:b/>
          <w:i/>
          <w:szCs w:val="24"/>
          <w:lang w:eastAsia="en-US"/>
        </w:rPr>
        <w:t>deskriptorov</w:t>
      </w:r>
      <w:proofErr w:type="spellEnd"/>
      <w:r>
        <w:rPr>
          <w:b/>
          <w:i/>
          <w:szCs w:val="24"/>
          <w:lang w:eastAsia="en-US"/>
        </w:rPr>
        <w:t>. Na úrovni 2 sa 20 % vzorkovacích miest určuje podľa programu LUCAS a dva vzorky sa odoberajú na účely nepretržitého moni</w:t>
      </w:r>
      <w:r>
        <w:rPr>
          <w:b/>
          <w:i/>
          <w:szCs w:val="24"/>
          <w:lang w:eastAsia="en-US"/>
        </w:rPr>
        <w:t xml:space="preserve">torovania a vytvorenia prenosových funkcií, zatiaľ čo zvyšných 80 % vzorkovacích miest určuje členský štát, a to aj na účely priebežného monitorovania a podľa kritérií stanovených v prílohách k tejto smernici. Na úrovniach 1 a 2 je 20 % vzorkovacích miest </w:t>
      </w:r>
      <w:r>
        <w:rPr>
          <w:b/>
          <w:i/>
          <w:szCs w:val="24"/>
          <w:lang w:eastAsia="en-US"/>
        </w:rPr>
        <w:t xml:space="preserve">určených na cielené monitorovanie, čo členským štátom umožňuje rozšíriť posúdenia založené na riziku, vykonávať vyšetrovania alebo sa zamerať na oblasti osobitného záujmu. Zavedením viacúrovňového prístupu sa zvyšuje počet hodnotených pôdnych </w:t>
      </w:r>
      <w:proofErr w:type="spellStart"/>
      <w:r>
        <w:rPr>
          <w:b/>
          <w:i/>
          <w:szCs w:val="24"/>
          <w:lang w:eastAsia="en-US"/>
        </w:rPr>
        <w:t>deskriptorov</w:t>
      </w:r>
      <w:proofErr w:type="spellEnd"/>
      <w:r>
        <w:rPr>
          <w:b/>
          <w:i/>
          <w:szCs w:val="24"/>
          <w:lang w:eastAsia="en-US"/>
        </w:rPr>
        <w:t>,</w:t>
      </w:r>
      <w:r>
        <w:rPr>
          <w:b/>
          <w:i/>
          <w:szCs w:val="24"/>
          <w:lang w:eastAsia="en-US"/>
        </w:rPr>
        <w:t xml:space="preserve"> ale aj úroveň samostatnosti, ktorú majú členské štáty pri určovaní prahových hodnôt súvisiacich s ekologickým stavom pôdy. Hlavným cieľom takéhoto viacúrovňového prístupu je umožniť všetkým členským štátom zaviesť svoje monitorovacie systémy a využiť všet</w:t>
      </w:r>
      <w:r>
        <w:rPr>
          <w:b/>
          <w:i/>
          <w:szCs w:val="24"/>
          <w:lang w:eastAsia="en-US"/>
        </w:rPr>
        <w:t xml:space="preserve">ky súčasné vnútroštátne systémy, ktoré už monitorujú pôdu. Úroveň 2 umožní vyplniť medzery v rozsahu a šírke zvažovaných pôdnych </w:t>
      </w:r>
      <w:proofErr w:type="spellStart"/>
      <w:r>
        <w:rPr>
          <w:b/>
          <w:i/>
          <w:szCs w:val="24"/>
          <w:lang w:eastAsia="en-US"/>
        </w:rPr>
        <w:t>deskriptorov</w:t>
      </w:r>
      <w:proofErr w:type="spellEnd"/>
      <w:r>
        <w:rPr>
          <w:b/>
          <w:i/>
          <w:szCs w:val="24"/>
          <w:lang w:eastAsia="en-US"/>
        </w:rPr>
        <w:t xml:space="preserve">. Na úrovni 3 sa počet pôdnych </w:t>
      </w:r>
      <w:proofErr w:type="spellStart"/>
      <w:r>
        <w:rPr>
          <w:b/>
          <w:i/>
          <w:szCs w:val="24"/>
          <w:lang w:eastAsia="en-US"/>
        </w:rPr>
        <w:t>deskriptorov</w:t>
      </w:r>
      <w:proofErr w:type="spellEnd"/>
      <w:r>
        <w:rPr>
          <w:b/>
          <w:i/>
          <w:szCs w:val="24"/>
          <w:lang w:eastAsia="en-US"/>
        </w:rPr>
        <w:t xml:space="preserve"> ďalej rozširuje s cieľom spresniť konkrétne aspekty systémov monitorova</w:t>
      </w:r>
      <w:r>
        <w:rPr>
          <w:b/>
          <w:i/>
          <w:szCs w:val="24"/>
          <w:lang w:eastAsia="en-US"/>
        </w:rPr>
        <w:t>nia pôdy.</w:t>
      </w:r>
      <w:r>
        <w:rPr>
          <w:b/>
          <w:szCs w:val="24"/>
          <w:lang w:eastAsia="en-US"/>
        </w:rPr>
        <w:t xml:space="preserve"> [PN 16]</w:t>
      </w:r>
    </w:p>
    <w:p w:rsidR="009D7883" w:rsidRDefault="00AA63BB">
      <w:pPr>
        <w:widowControl/>
        <w:rPr>
          <w:strike/>
          <w:szCs w:val="24"/>
          <w:lang w:eastAsia="en-US"/>
        </w:rPr>
      </w:pPr>
      <w:r>
        <w:rPr>
          <w:strike/>
          <w:szCs w:val="24"/>
          <w:lang w:eastAsia="en-US"/>
        </w:rPr>
        <w:br w:type="page"/>
      </w:r>
    </w:p>
    <w:p w:rsidR="009D7883" w:rsidRDefault="00AA63BB">
      <w:pPr>
        <w:spacing w:before="120" w:after="120" w:line="360" w:lineRule="auto"/>
        <w:ind w:left="850" w:hanging="850"/>
        <w:rPr>
          <w:b/>
          <w:szCs w:val="24"/>
          <w:lang w:eastAsia="en-US"/>
        </w:rPr>
      </w:pPr>
      <w:r>
        <w:rPr>
          <w:strike/>
          <w:szCs w:val="24"/>
          <w:lang w:eastAsia="en-US"/>
        </w:rPr>
        <w:lastRenderedPageBreak/>
        <w:t>(28)</w:t>
      </w:r>
      <w:r>
        <w:rPr>
          <w:szCs w:val="24"/>
          <w:lang w:eastAsia="en-US"/>
        </w:rPr>
        <w:tab/>
      </w:r>
      <w:r>
        <w:rPr>
          <w:strike/>
          <w:szCs w:val="24"/>
          <w:lang w:eastAsia="en-US"/>
        </w:rPr>
        <w:t>S cieľom vytvoriť stimuly by členské štáty mali zaviesť mechanizmy na uznanie úsilia vlastníkov pôdy a pôdohospodárov o udržiavanie zdravého stavu pôdy, a to aj vo forme certifikácie zdravia pôdy, ktorou sa dopĺňa regulačný rámec Ú</w:t>
      </w:r>
      <w:r>
        <w:rPr>
          <w:strike/>
          <w:szCs w:val="24"/>
          <w:lang w:eastAsia="en-US"/>
        </w:rPr>
        <w:t>nie pre odstraňovanie uhlíka a podporuje sa zavádzanie kritérií udržateľnosti pre energiu z obnoviteľných zdrojov, ktoré sú stanovené v článku 29 smernice Európskeho parlamentu a Rady (EÚ) 2018/2001</w:t>
      </w:r>
      <w:r>
        <w:rPr>
          <w:strike/>
          <w:szCs w:val="24"/>
          <w:vertAlign w:val="superscript"/>
          <w:lang w:eastAsia="en-US"/>
        </w:rPr>
        <w:footnoteReference w:id="23"/>
      </w:r>
      <w:r>
        <w:rPr>
          <w:strike/>
          <w:szCs w:val="24"/>
          <w:lang w:eastAsia="en-US"/>
        </w:rPr>
        <w:t>. Komisia by mala uľahčovať certifikáciu zdravia pôdy, ok</w:t>
      </w:r>
      <w:r>
        <w:rPr>
          <w:strike/>
          <w:szCs w:val="24"/>
          <w:lang w:eastAsia="en-US"/>
        </w:rPr>
        <w:t>rem iného aj výmenou informácií a podporou najlepších postupov, zvyšovaním povedomia a posudzovaním uskutočniteľnosti vypracovania uznávania systémov certifikácie na úrovni Únie. Synergie medzi rôznymi systémami certifikácie by sa mali v maximálnej miere v</w:t>
      </w:r>
      <w:r>
        <w:rPr>
          <w:strike/>
          <w:szCs w:val="24"/>
          <w:lang w:eastAsia="en-US"/>
        </w:rPr>
        <w:t>yužiť, aby sa znížila administratívna záťaž pre žiadateľov o príslušnú certifikáciu.</w:t>
      </w:r>
      <w:r>
        <w:rPr>
          <w:b/>
          <w:szCs w:val="24"/>
          <w:lang w:eastAsia="en-US"/>
        </w:rPr>
        <w:t xml:space="preserve"> [PN 17]</w:t>
      </w:r>
    </w:p>
    <w:p w:rsidR="009D7883" w:rsidRDefault="00AA63BB">
      <w:pPr>
        <w:spacing w:before="120" w:after="120" w:line="360" w:lineRule="auto"/>
        <w:ind w:left="850" w:hanging="850"/>
        <w:rPr>
          <w:szCs w:val="24"/>
          <w:lang w:eastAsia="en-US"/>
        </w:rPr>
      </w:pPr>
      <w:r>
        <w:rPr>
          <w:szCs w:val="24"/>
          <w:lang w:eastAsia="en-US"/>
        </w:rPr>
        <w:t>(29)</w:t>
      </w:r>
      <w:r>
        <w:rPr>
          <w:szCs w:val="24"/>
          <w:lang w:eastAsia="en-US"/>
        </w:rPr>
        <w:tab/>
        <w:t>Niektoré pôdy majú osobitné vlastnosti buď preto, že sú od prírody atypické a predstavujú vzácne biotopy pre biodiverzitu či jedinečné krajiny, alebo preto, ž</w:t>
      </w:r>
      <w:r>
        <w:rPr>
          <w:szCs w:val="24"/>
          <w:lang w:eastAsia="en-US"/>
        </w:rPr>
        <w:t>e ich ľudia významne zmenili. Tieto vlastnosti by sa mali zohľadniť v súvislosti s definíciou zdravých pôd a požiadavkami na dosiahnutie zdravého stavu pôdy.</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(30)</w:t>
      </w:r>
      <w:r>
        <w:rPr>
          <w:szCs w:val="24"/>
          <w:lang w:eastAsia="en-US"/>
        </w:rPr>
        <w:tab/>
        <w:t>Pôda je obmedzený zdroj a zároveň je vystavená neustále rastúcej konkurencii rôznych spôsob</w:t>
      </w:r>
      <w:r>
        <w:rPr>
          <w:szCs w:val="24"/>
          <w:lang w:eastAsia="en-US"/>
        </w:rPr>
        <w:t xml:space="preserve">ov využitia. Záber pôdy je proces, ktorý často spúšťajú potreby hospodárskeho rozvoja a ktorým sa prírodné alebo </w:t>
      </w:r>
      <w:proofErr w:type="spellStart"/>
      <w:r>
        <w:rPr>
          <w:szCs w:val="24"/>
          <w:lang w:eastAsia="en-US"/>
        </w:rPr>
        <w:t>poloprírodné</w:t>
      </w:r>
      <w:proofErr w:type="spellEnd"/>
      <w:r>
        <w:rPr>
          <w:szCs w:val="24"/>
          <w:lang w:eastAsia="en-US"/>
        </w:rPr>
        <w:t xml:space="preserve"> oblasti (vrátane poľnohospodárskej pôdy, lesnej pôdy, záhrad a parkov) transformujú na umelo vytvorenú krajinu, pričom sa pôda vyu</w:t>
      </w:r>
      <w:r>
        <w:rPr>
          <w:szCs w:val="24"/>
          <w:lang w:eastAsia="en-US"/>
        </w:rPr>
        <w:t>žíva ako platforma na výstavbu a infraštruktúru, ako priamy zdroj surovín alebo ako archív historického dedičstva. Takáto transformácia môže viesť k strate (často nezvratnej) schopnosti pôd poskytovať iné ekosystémové služby (poskytovanie potravy a biomasy</w:t>
      </w:r>
      <w:r>
        <w:rPr>
          <w:szCs w:val="24"/>
          <w:lang w:eastAsia="en-US"/>
        </w:rPr>
        <w:t>, kolobeh vody a živín, základ pre biodiverzitu a ukladanie uhlíka). Konkrétne sa záber pôdy často týka najúrodnejších poľnohospodárskych pôd, čo vedie k ohrozeniu potravinovej bezpečnosti. V dôsledku straty priepustnosti pôdy sú aj ľudské obydlia vystaven</w:t>
      </w:r>
      <w:r>
        <w:rPr>
          <w:szCs w:val="24"/>
          <w:lang w:eastAsia="en-US"/>
        </w:rPr>
        <w:t>é vyšším maximálnym stupňom povodní a intenzívnejším efektom teplotného ostrova. Preto je nevyhnutné monitorovať záber pôdy a stratu priepustnosti pôdy, ako aj ich vplyvy na schopnosť pôdy poskytovať ekosystémové služby. Rovnako je vhodné stanoviť určité z</w:t>
      </w:r>
      <w:r>
        <w:rPr>
          <w:szCs w:val="24"/>
          <w:lang w:eastAsia="en-US"/>
        </w:rPr>
        <w:t xml:space="preserve">ásady na zmiernenie vplyvu záberu pôdy </w:t>
      </w:r>
      <w:r>
        <w:rPr>
          <w:strike/>
          <w:szCs w:val="24"/>
          <w:lang w:eastAsia="en-US"/>
        </w:rPr>
        <w:t xml:space="preserve">v rámci udržateľného </w:t>
      </w:r>
      <w:proofErr w:type="spellStart"/>
      <w:r>
        <w:rPr>
          <w:strike/>
          <w:szCs w:val="24"/>
          <w:lang w:eastAsia="en-US"/>
        </w:rPr>
        <w:t>obhospodarovania</w:t>
      </w:r>
      <w:r>
        <w:rPr>
          <w:b/>
          <w:i/>
          <w:szCs w:val="24"/>
          <w:lang w:eastAsia="en-US"/>
        </w:rPr>
        <w:t>dopĺňajúce</w:t>
      </w:r>
      <w:proofErr w:type="spellEnd"/>
      <w:r>
        <w:rPr>
          <w:b/>
          <w:i/>
          <w:szCs w:val="24"/>
          <w:lang w:eastAsia="en-US"/>
        </w:rPr>
        <w:t xml:space="preserve"> udržateľné obhospodarovanie</w:t>
      </w:r>
      <w:r>
        <w:rPr>
          <w:szCs w:val="24"/>
          <w:lang w:eastAsia="en-US"/>
        </w:rPr>
        <w:t xml:space="preserve"> pôdy.</w:t>
      </w:r>
      <w:r>
        <w:rPr>
          <w:b/>
          <w:szCs w:val="24"/>
          <w:lang w:eastAsia="en-US"/>
        </w:rPr>
        <w:t xml:space="preserve"> [PN 18]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(31)</w:t>
      </w:r>
      <w:r>
        <w:rPr>
          <w:szCs w:val="24"/>
          <w:lang w:eastAsia="en-US"/>
        </w:rPr>
        <w:tab/>
      </w:r>
      <w:r>
        <w:rPr>
          <w:szCs w:val="24"/>
          <w:lang w:eastAsia="en-US"/>
        </w:rPr>
        <w:t>Posúdenie zdravia pôdy založené na monitorovacej sieti by malo byť presné, ale zároveň by sa náklady na takéto monitorovanie mali udržať na primeranej úrovni. Preto je vhodné stanoviť kritériá pre miesta odberu vzorky, ktoré sú reprezentatívne pre stav pôd</w:t>
      </w:r>
      <w:r>
        <w:rPr>
          <w:szCs w:val="24"/>
          <w:lang w:eastAsia="en-US"/>
        </w:rPr>
        <w:t xml:space="preserve">y v rámci rôznych pôdnych typov, klimatických podmienok a využití pôdy. Sieť miest odberu vzoriek by sa mala určiť pomocou </w:t>
      </w:r>
      <w:proofErr w:type="spellStart"/>
      <w:r>
        <w:rPr>
          <w:szCs w:val="24"/>
          <w:lang w:eastAsia="en-US"/>
        </w:rPr>
        <w:t>geoštatistických</w:t>
      </w:r>
      <w:proofErr w:type="spellEnd"/>
      <w:r>
        <w:rPr>
          <w:szCs w:val="24"/>
          <w:lang w:eastAsia="en-US"/>
        </w:rPr>
        <w:t xml:space="preserve"> metód a mala by byť dostatočne hustá na to, aby poskytla odhad plochy zdravých pôd na vnútroštátnej úrovni s nepresn</w:t>
      </w:r>
      <w:r>
        <w:rPr>
          <w:szCs w:val="24"/>
          <w:lang w:eastAsia="en-US"/>
        </w:rPr>
        <w:t>osťou najviac 5 %. Vo všeobecnosti sa predpokladá, že táto hodnota umožňuje štatisticky správny odhad a dostatočné uistenie, že cieľ bol splnený.</w:t>
      </w:r>
      <w:r>
        <w:rPr>
          <w:b/>
          <w:i/>
          <w:szCs w:val="24"/>
          <w:lang w:eastAsia="en-US"/>
        </w:rPr>
        <w:t xml:space="preserve"> Je dôležité, aby metodika a rámec monitorovania pôdy zahŕňali harmonizované kritériá odberu vzoriek vrátane hĺ</w:t>
      </w:r>
      <w:r>
        <w:rPr>
          <w:b/>
          <w:i/>
          <w:szCs w:val="24"/>
          <w:lang w:eastAsia="en-US"/>
        </w:rPr>
        <w:t>bky odberu vzoriek.</w:t>
      </w:r>
      <w:r>
        <w:rPr>
          <w:b/>
          <w:szCs w:val="24"/>
          <w:lang w:eastAsia="en-US"/>
        </w:rPr>
        <w:t xml:space="preserve"> [PN 19]</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(31a)</w:t>
      </w:r>
      <w:r>
        <w:rPr>
          <w:szCs w:val="24"/>
          <w:lang w:eastAsia="en-US"/>
        </w:rPr>
        <w:tab/>
      </w:r>
      <w:r>
        <w:rPr>
          <w:b/>
          <w:i/>
          <w:szCs w:val="24"/>
          <w:lang w:eastAsia="en-US"/>
        </w:rPr>
        <w:t>Pôdne archívy uchovávajú snímku pôdy z konkrétneho času a lokality, čo členským štátom umožňuje použiť jednu vzorku na rôzne účely a zefektívniť odber vzoriek, čím sa znížia dlhodobé náklady na monitorovanie in situ. Pôd</w:t>
      </w:r>
      <w:r>
        <w:rPr>
          <w:b/>
          <w:i/>
          <w:szCs w:val="24"/>
          <w:lang w:eastAsia="en-US"/>
        </w:rPr>
        <w:t xml:space="preserve">ne archívy okrem toho umožňujú výskumníkom prehodnotiť minulé pôdy v kontexte súčasnosti s cieľom lepšie pochopiť dlhodobú zmenu pôdy alebo na iné výskumné účely vrátane lekárskeho výskumu. Preto je nevyhnutné, aby Komisia vrátane útvarov, ako je Spoločné </w:t>
      </w:r>
      <w:r>
        <w:rPr>
          <w:b/>
          <w:i/>
          <w:szCs w:val="24"/>
          <w:lang w:eastAsia="en-US"/>
        </w:rPr>
        <w:t>výskumné centrum, spolu s členskými štátmi a Strediskom EÚ pre monitorovanie pôdy zabezpečila, že vzorky, extrakty DNA a nespracované údaje, ktoré boli odobraté na účely súladu s environmentálnymi právnymi predpismi Únie a členských štátov, sa dobre uchova</w:t>
      </w:r>
      <w:r>
        <w:rPr>
          <w:b/>
          <w:i/>
          <w:szCs w:val="24"/>
          <w:lang w:eastAsia="en-US"/>
        </w:rPr>
        <w:t>jú vo fyzických archívoch a že vzorky a nespracované údaje z týchto archívov budú naďalej k dispozícii na účely ďalšieho výskumu a inovácie.</w:t>
      </w:r>
      <w:r>
        <w:rPr>
          <w:b/>
          <w:szCs w:val="24"/>
          <w:lang w:eastAsia="en-US"/>
        </w:rPr>
        <w:t xml:space="preserve"> [PN 20]</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(32)</w:t>
      </w:r>
      <w:r>
        <w:rPr>
          <w:szCs w:val="24"/>
          <w:lang w:eastAsia="en-US"/>
        </w:rPr>
        <w:tab/>
      </w:r>
      <w:r>
        <w:rPr>
          <w:b/>
          <w:i/>
          <w:szCs w:val="24"/>
          <w:lang w:eastAsia="en-US"/>
        </w:rPr>
        <w:t xml:space="preserve">Ako doplnok k existujúcim národným inventárom by </w:t>
      </w:r>
      <w:r>
        <w:rPr>
          <w:szCs w:val="24"/>
          <w:lang w:eastAsia="en-US"/>
        </w:rPr>
        <w:t>Komisia</w:t>
      </w:r>
      <w:r>
        <w:rPr>
          <w:strike/>
          <w:szCs w:val="24"/>
          <w:lang w:eastAsia="en-US"/>
        </w:rPr>
        <w:t xml:space="preserve"> by </w:t>
      </w:r>
      <w:r>
        <w:rPr>
          <w:szCs w:val="24"/>
          <w:lang w:eastAsia="en-US"/>
        </w:rPr>
        <w:t xml:space="preserve">členským štátom mala poskytovať pomoc a </w:t>
      </w:r>
      <w:r>
        <w:rPr>
          <w:szCs w:val="24"/>
          <w:lang w:eastAsia="en-US"/>
        </w:rPr>
        <w:t>podporu pri monitorovaní zdravia pôdy tým, že bude naďalej vykonávať a zlepšovať pravidelné odbery vzoriek pôdy in situ a súvisiace pôdne merania (program LUCAS pre pôdu) v rámci programu štatistického prieskumu o využívaní pôdy/krajinnej pokrývke (LUCAS).</w:t>
      </w:r>
      <w:r>
        <w:rPr>
          <w:szCs w:val="24"/>
          <w:lang w:eastAsia="en-US"/>
        </w:rPr>
        <w:t xml:space="preserve"> Na tento účel </w:t>
      </w:r>
      <w:proofErr w:type="spellStart"/>
      <w:r>
        <w:rPr>
          <w:strike/>
          <w:szCs w:val="24"/>
          <w:lang w:eastAsia="en-US"/>
        </w:rPr>
        <w:t>treba</w:t>
      </w:r>
      <w:r>
        <w:rPr>
          <w:b/>
          <w:i/>
          <w:szCs w:val="24"/>
          <w:lang w:eastAsia="en-US"/>
        </w:rPr>
        <w:t>by</w:t>
      </w:r>
      <w:proofErr w:type="spellEnd"/>
      <w:r>
        <w:rPr>
          <w:b/>
          <w:i/>
          <w:szCs w:val="24"/>
          <w:lang w:eastAsia="en-US"/>
        </w:rPr>
        <w:t xml:space="preserve"> sa</w:t>
      </w:r>
      <w:r>
        <w:rPr>
          <w:szCs w:val="24"/>
          <w:lang w:eastAsia="en-US"/>
        </w:rPr>
        <w:t xml:space="preserve"> program </w:t>
      </w:r>
      <w:proofErr w:type="spellStart"/>
      <w:r>
        <w:rPr>
          <w:szCs w:val="24"/>
          <w:lang w:eastAsia="en-US"/>
        </w:rPr>
        <w:t>LUCAS</w:t>
      </w:r>
      <w:proofErr w:type="spellEnd"/>
      <w:r>
        <w:rPr>
          <w:b/>
          <w:i/>
          <w:szCs w:val="24"/>
          <w:lang w:eastAsia="en-US"/>
        </w:rPr>
        <w:t xml:space="preserve"> mal</w:t>
      </w:r>
      <w:r>
        <w:rPr>
          <w:szCs w:val="24"/>
          <w:lang w:eastAsia="en-US"/>
        </w:rPr>
        <w:t xml:space="preserve"> rozšíriť a vylepšiť, aby bol v úplnom súlade s osobitnými požiadavkami na kvalitu</w:t>
      </w:r>
      <w:r>
        <w:rPr>
          <w:b/>
          <w:i/>
          <w:szCs w:val="24"/>
          <w:lang w:eastAsia="en-US"/>
        </w:rPr>
        <w:t xml:space="preserve"> a všetkými </w:t>
      </w:r>
      <w:proofErr w:type="spellStart"/>
      <w:r>
        <w:rPr>
          <w:b/>
          <w:i/>
          <w:szCs w:val="24"/>
          <w:lang w:eastAsia="en-US"/>
        </w:rPr>
        <w:t>deskriptormi</w:t>
      </w:r>
      <w:proofErr w:type="spellEnd"/>
      <w:r>
        <w:rPr>
          <w:szCs w:val="24"/>
          <w:lang w:eastAsia="en-US"/>
        </w:rPr>
        <w:t>, ktoré treba splniť na účely smernice. S cieľom zmierniť záťaž by sa členským štátom malo umožniť zohľadne</w:t>
      </w:r>
      <w:r>
        <w:rPr>
          <w:szCs w:val="24"/>
          <w:lang w:eastAsia="en-US"/>
        </w:rPr>
        <w:t xml:space="preserve">nie údajov o zdraví pôdy, ktoré pochádzajú z prieskumu rozšíreného programu LUCAS pre pôdu. </w:t>
      </w:r>
      <w:r>
        <w:rPr>
          <w:b/>
          <w:i/>
          <w:szCs w:val="24"/>
          <w:lang w:eastAsia="en-US"/>
        </w:rPr>
        <w:t>V rámci programu LUCAS pre pôdu sa odoberie a zanalyzuje aspoň 20 % podielu vnútroštátnych vzoriek, čím sa prispeje k monitorovaniu, ktoré vykonávajú členské štáty.</w:t>
      </w:r>
      <w:r>
        <w:rPr>
          <w:b/>
          <w:i/>
          <w:szCs w:val="24"/>
          <w:lang w:eastAsia="en-US"/>
        </w:rPr>
        <w:t xml:space="preserve"> Analýza LUCAS je nevyhnutná na to, aby členské štáty mohli vypočítať a kalibrovať platné prenosové funkcie s cieľom umožniť im pokračovať v používaní alternatívnej koncepcie monitorovania v súlade s úrovňou 2. Komisia by mala na žiadosť členského štátu po</w:t>
      </w:r>
      <w:r>
        <w:rPr>
          <w:b/>
          <w:i/>
          <w:szCs w:val="24"/>
          <w:lang w:eastAsia="en-US"/>
        </w:rPr>
        <w:t>skytnúť ďalšiu pomoc až do výšky 50 % odberu vzoriek počas prvého kola vnútroštátneho monitorovania. Takto podporené členské štáty</w:t>
      </w:r>
      <w:r>
        <w:rPr>
          <w:strike/>
          <w:szCs w:val="24"/>
          <w:lang w:eastAsia="en-US"/>
        </w:rPr>
        <w:t>, ktoré získajú takúto podporu,</w:t>
      </w:r>
      <w:r>
        <w:rPr>
          <w:szCs w:val="24"/>
          <w:lang w:eastAsia="en-US"/>
        </w:rPr>
        <w:t xml:space="preserve"> by mali prijať nevyhnutné právne opatrenia, aby zabezpečili, že Komisia dokáže vykonávať uvede</w:t>
      </w:r>
      <w:r>
        <w:rPr>
          <w:szCs w:val="24"/>
          <w:lang w:eastAsia="en-US"/>
        </w:rPr>
        <w:t>né odbery vzoriek pôdy in situ, a to aj na poliach v súkromnom vlastníctve</w:t>
      </w:r>
      <w:r>
        <w:rPr>
          <w:b/>
          <w:i/>
          <w:szCs w:val="24"/>
          <w:lang w:eastAsia="en-US"/>
        </w:rPr>
        <w:t xml:space="preserve"> so súhlasom vlastníkov</w:t>
      </w:r>
      <w:r>
        <w:rPr>
          <w:szCs w:val="24"/>
          <w:lang w:eastAsia="en-US"/>
        </w:rPr>
        <w:t xml:space="preserve"> a v súlade s uplatniteľnými vnútroštátnymi právnymi predpismi či právnymi predpismi Únie.</w:t>
      </w:r>
      <w:r>
        <w:rPr>
          <w:b/>
          <w:szCs w:val="24"/>
          <w:lang w:eastAsia="en-US"/>
        </w:rPr>
        <w:t xml:space="preserve"> [PN 21]</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(33)</w:t>
      </w:r>
      <w:r>
        <w:rPr>
          <w:szCs w:val="24"/>
          <w:lang w:eastAsia="en-US"/>
        </w:rPr>
        <w:tab/>
        <w:t xml:space="preserve">Komisia vyvíja služby diaľkového snímania v kontexte </w:t>
      </w:r>
      <w:r>
        <w:rPr>
          <w:szCs w:val="24"/>
          <w:lang w:eastAsia="en-US"/>
        </w:rPr>
        <w:t xml:space="preserve">programu </w:t>
      </w:r>
      <w:proofErr w:type="spellStart"/>
      <w:r>
        <w:rPr>
          <w:szCs w:val="24"/>
          <w:lang w:eastAsia="en-US"/>
        </w:rPr>
        <w:t>Copernicus</w:t>
      </w:r>
      <w:proofErr w:type="spellEnd"/>
      <w:r>
        <w:rPr>
          <w:szCs w:val="24"/>
          <w:lang w:eastAsia="en-US"/>
        </w:rPr>
        <w:t xml:space="preserve">, čo je program, ktorý vychádza z potrieb používateľov, a tak zároveň podporuje členské štáty. S cieľom zvýšiť aktuálnosť a účinnosť monitorovania zdravia pôdy a v relevantných prípadoch by členské štáty mali používať údaje z diaľkového </w:t>
      </w:r>
      <w:r>
        <w:rPr>
          <w:szCs w:val="24"/>
          <w:lang w:eastAsia="en-US"/>
        </w:rPr>
        <w:t xml:space="preserve">snímania vrátane výstupov zo služieb </w:t>
      </w:r>
      <w:proofErr w:type="spellStart"/>
      <w:r>
        <w:rPr>
          <w:szCs w:val="24"/>
          <w:lang w:eastAsia="en-US"/>
        </w:rPr>
        <w:t>Copernicus</w:t>
      </w:r>
      <w:proofErr w:type="spellEnd"/>
      <w:r>
        <w:rPr>
          <w:szCs w:val="24"/>
          <w:lang w:eastAsia="en-US"/>
        </w:rPr>
        <w:t xml:space="preserve"> na monitorovanie príslušných pôdnych </w:t>
      </w:r>
      <w:proofErr w:type="spellStart"/>
      <w:r>
        <w:rPr>
          <w:szCs w:val="24"/>
          <w:lang w:eastAsia="en-US"/>
        </w:rPr>
        <w:t>deskriptorov</w:t>
      </w:r>
      <w:proofErr w:type="spellEnd"/>
      <w:r>
        <w:rPr>
          <w:szCs w:val="24"/>
          <w:lang w:eastAsia="en-US"/>
        </w:rPr>
        <w:t xml:space="preserve"> a posudzovanie zdravia pôdy. Komisia by spolu s Európskou environmentálnou agentúrou mala podporovať skúmanie a vyvíjanie produktov diaľkového snímania pôdy, </w:t>
      </w:r>
      <w:r>
        <w:rPr>
          <w:szCs w:val="24"/>
          <w:lang w:eastAsia="en-US"/>
        </w:rPr>
        <w:t xml:space="preserve">čo členským štátom pomôže s monitorovaním príslušných pôdnych </w:t>
      </w:r>
      <w:proofErr w:type="spellStart"/>
      <w:r>
        <w:rPr>
          <w:szCs w:val="24"/>
          <w:lang w:eastAsia="en-US"/>
        </w:rPr>
        <w:t>deskriptorov</w:t>
      </w:r>
      <w:proofErr w:type="spellEnd"/>
      <w:r>
        <w:rPr>
          <w:szCs w:val="24"/>
          <w:lang w:eastAsia="en-US"/>
        </w:rPr>
        <w:t>.</w:t>
      </w:r>
      <w:r>
        <w:rPr>
          <w:b/>
          <w:i/>
          <w:szCs w:val="24"/>
          <w:lang w:eastAsia="en-US"/>
        </w:rPr>
        <w:t xml:space="preserve"> Komisia a členské štáty by mali ďalej podporovať používanie spoľahlivých a dostupných digitálnych technológií, ako sú elektronické databázy, geografické informačné systémy, automat</w:t>
      </w:r>
      <w:r>
        <w:rPr>
          <w:b/>
          <w:i/>
          <w:szCs w:val="24"/>
          <w:lang w:eastAsia="en-US"/>
        </w:rPr>
        <w:t>izovaná identifikácia snímok alebo e-DNA, s cieľom zlepšiť výmenu poznatkov a transparentnosť v oblasti zdravia pôdy a znížiť náklady na merania a monitorovanie pôdy.</w:t>
      </w:r>
      <w:r>
        <w:rPr>
          <w:b/>
          <w:szCs w:val="24"/>
          <w:lang w:eastAsia="en-US"/>
        </w:rPr>
        <w:t xml:space="preserve"> [PN 22]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(34)</w:t>
      </w:r>
      <w:r>
        <w:rPr>
          <w:szCs w:val="24"/>
          <w:lang w:eastAsia="en-US"/>
        </w:rPr>
        <w:tab/>
        <w:t>Ďalšou prácou na súčasnom stredisku EÚ pre monitorovanie pôdy a jeho aktua</w:t>
      </w:r>
      <w:r>
        <w:rPr>
          <w:szCs w:val="24"/>
          <w:lang w:eastAsia="en-US"/>
        </w:rPr>
        <w:t>lizáciou by Komisia mala zriadiť digitálny portál s údajmi o zdraví pôdy, ktorý by mal byť kompatibilný s Európskou dátovou stratégiou</w:t>
      </w:r>
      <w:r>
        <w:rPr>
          <w:szCs w:val="24"/>
          <w:vertAlign w:val="superscript"/>
          <w:lang w:eastAsia="en-US"/>
        </w:rPr>
        <w:footnoteReference w:id="24"/>
      </w:r>
      <w:r>
        <w:rPr>
          <w:szCs w:val="24"/>
          <w:lang w:eastAsia="en-US"/>
        </w:rPr>
        <w:t xml:space="preserve"> a dátovými priestormi EÚ a takisto by mal fungovať ako centrum poskytujúce prístup k údajom o pôde pochádzajúcim z rôzny</w:t>
      </w:r>
      <w:r>
        <w:rPr>
          <w:szCs w:val="24"/>
          <w:lang w:eastAsia="en-US"/>
        </w:rPr>
        <w:t xml:space="preserve">ch zdrojov. </w:t>
      </w:r>
      <w:r>
        <w:rPr>
          <w:b/>
          <w:i/>
          <w:szCs w:val="24"/>
          <w:lang w:eastAsia="en-US"/>
        </w:rPr>
        <w:t>Údaje o zdraví pôdy by sa mali sprístupniť verejnosti vo formáte, ktorý môže používať výskumná obec, vlastníci a pôdohospodári, poradcovia pracujúci v poľnohospodárskom poradenskom systéme a verejnosť, čím sa zabezpečí súlad s právom Únie o och</w:t>
      </w:r>
      <w:r>
        <w:rPr>
          <w:b/>
          <w:i/>
          <w:szCs w:val="24"/>
          <w:lang w:eastAsia="en-US"/>
        </w:rPr>
        <w:t xml:space="preserve">rane osobných údajov. </w:t>
      </w:r>
      <w:r>
        <w:rPr>
          <w:szCs w:val="24"/>
          <w:lang w:eastAsia="en-US"/>
        </w:rPr>
        <w:t xml:space="preserve">Uvedený portál by mal v prvom rade zahŕňať </w:t>
      </w:r>
      <w:proofErr w:type="spellStart"/>
      <w:r>
        <w:rPr>
          <w:strike/>
          <w:szCs w:val="24"/>
          <w:lang w:eastAsia="en-US"/>
        </w:rPr>
        <w:t>všetky</w:t>
      </w:r>
      <w:r>
        <w:rPr>
          <w:b/>
          <w:i/>
          <w:szCs w:val="24"/>
          <w:lang w:eastAsia="en-US"/>
        </w:rPr>
        <w:t>relevantné</w:t>
      </w:r>
      <w:proofErr w:type="spellEnd"/>
      <w:r>
        <w:rPr>
          <w:szCs w:val="24"/>
          <w:lang w:eastAsia="en-US"/>
        </w:rPr>
        <w:t xml:space="preserve"> údaje, ktoré zozbierali členské štáty a Komisia, ako sa vyžaduje v tejto smernici</w:t>
      </w:r>
      <w:r>
        <w:rPr>
          <w:b/>
          <w:i/>
          <w:szCs w:val="24"/>
          <w:lang w:eastAsia="en-US"/>
        </w:rPr>
        <w:t>, a slúžiť ako platforma na vytvorenie súboru nástrojov udržateľného obhospodarovania pôdy, k</w:t>
      </w:r>
      <w:r>
        <w:rPr>
          <w:b/>
          <w:i/>
          <w:szCs w:val="24"/>
          <w:lang w:eastAsia="en-US"/>
        </w:rPr>
        <w:t>torý bude poskytovať aktuálne informácie špecifické pre daný kontext o postupoch udržateľného obhospodarovania pôdy v závislosti od rôznych pôdnych typov, využívania pôdy a klimatických podmienok</w:t>
      </w:r>
      <w:r>
        <w:rPr>
          <w:szCs w:val="24"/>
          <w:lang w:eastAsia="en-US"/>
        </w:rPr>
        <w:t xml:space="preserve">. Takisto by malo byť možné dobrovoľne do portálu integrovať </w:t>
      </w:r>
      <w:r>
        <w:rPr>
          <w:szCs w:val="24"/>
          <w:lang w:eastAsia="en-US"/>
        </w:rPr>
        <w:t>ďalšie relevantné údaje o pôde, ktoré zhromaždili členské štáty alebo iné strany (a hlavne údaje, ktoré sú výsledkom projektov v rámci programu Horizont Európa a misie „Dohoda o pôde pre Európu“), ak dané údaje spĺňajú isté požiadavky týkajúce sa formátu a</w:t>
      </w:r>
      <w:r>
        <w:rPr>
          <w:szCs w:val="24"/>
          <w:lang w:eastAsia="en-US"/>
        </w:rPr>
        <w:t xml:space="preserve"> špecifikácií. Takéto požiadavky by sa mali Komisia mala upresniť vo vykonávacích aktoch.</w:t>
      </w:r>
      <w:r>
        <w:rPr>
          <w:b/>
          <w:i/>
          <w:szCs w:val="24"/>
          <w:lang w:eastAsia="en-US"/>
        </w:rPr>
        <w:t xml:space="preserve"> Členské štáty a Komisia by mali zabezpečiť, aby výskumné inštitúcie mali k všetkým údajom jednoduchý a bezplatný prístup na požiadanie.</w:t>
      </w:r>
      <w:r>
        <w:rPr>
          <w:b/>
          <w:szCs w:val="24"/>
          <w:lang w:eastAsia="en-US"/>
        </w:rPr>
        <w:t xml:space="preserve"> [PN 23]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(35)</w:t>
      </w:r>
      <w:r>
        <w:rPr>
          <w:szCs w:val="24"/>
          <w:lang w:eastAsia="en-US"/>
        </w:rPr>
        <w:tab/>
        <w:t>Takisto je potr</w:t>
      </w:r>
      <w:r>
        <w:rPr>
          <w:szCs w:val="24"/>
          <w:lang w:eastAsia="en-US"/>
        </w:rPr>
        <w:t xml:space="preserve">ebné zlepšiť harmonizáciu systémov monitorovania pôdy používaných v členských štátoch a využiť synergie medzi Úniou a vnútroštátnymi systémami monitorovania </w:t>
      </w:r>
      <w:r>
        <w:rPr>
          <w:b/>
          <w:i/>
          <w:szCs w:val="24"/>
          <w:lang w:eastAsia="en-US"/>
        </w:rPr>
        <w:t xml:space="preserve">a plne využívať už existujúce harmonizované nástroje monitorovania, ako je program LUCAS, </w:t>
      </w:r>
      <w:r>
        <w:rPr>
          <w:szCs w:val="24"/>
          <w:lang w:eastAsia="en-US"/>
        </w:rPr>
        <w:t xml:space="preserve">s cieľom </w:t>
      </w:r>
      <w:r>
        <w:rPr>
          <w:szCs w:val="24"/>
          <w:lang w:eastAsia="en-US"/>
        </w:rPr>
        <w:t>získať lepšie porovnateľné údaje z celej Únie.</w:t>
      </w:r>
      <w:r>
        <w:rPr>
          <w:b/>
          <w:i/>
          <w:szCs w:val="24"/>
          <w:lang w:eastAsia="en-US"/>
        </w:rPr>
        <w:t xml:space="preserve"> Harmonizácia systémov monitorovania v členských štátoch by navyše pomohla zvýšiť investície do pokročilých techník a technológií monitorovania pôdy.</w:t>
      </w:r>
      <w:r>
        <w:rPr>
          <w:b/>
          <w:szCs w:val="24"/>
          <w:lang w:eastAsia="en-US"/>
        </w:rPr>
        <w:t xml:space="preserve"> [PN 24]</w:t>
      </w:r>
    </w:p>
    <w:p w:rsidR="009D7883" w:rsidRDefault="00AA63BB">
      <w:pPr>
        <w:spacing w:before="120" w:after="120" w:line="360" w:lineRule="auto"/>
        <w:ind w:left="850" w:hanging="850"/>
        <w:rPr>
          <w:b/>
          <w:szCs w:val="24"/>
          <w:lang w:eastAsia="en-US"/>
        </w:rPr>
      </w:pPr>
      <w:r>
        <w:rPr>
          <w:strike/>
          <w:szCs w:val="24"/>
          <w:lang w:eastAsia="en-US"/>
        </w:rPr>
        <w:t>(36)</w:t>
      </w:r>
      <w:r>
        <w:rPr>
          <w:szCs w:val="24"/>
          <w:lang w:eastAsia="en-US"/>
        </w:rPr>
        <w:tab/>
      </w:r>
      <w:r>
        <w:rPr>
          <w:strike/>
          <w:szCs w:val="24"/>
          <w:lang w:eastAsia="en-US"/>
        </w:rPr>
        <w:t>Aby sa údaje o zdraví pôdy, ktoré vyplývajú z m</w:t>
      </w:r>
      <w:r>
        <w:rPr>
          <w:strike/>
          <w:szCs w:val="24"/>
          <w:lang w:eastAsia="en-US"/>
        </w:rPr>
        <w:t>onitorovania vykonávaného v rámci tejto smernice, využívali v maximálnej možnej miere, členské štáty by mali byť povinné uľahčiť prístup k takýmto údajom príslušným zainteresovaným stranám, ako sú poľnohospodári, lesníci, vlastníci pôdy a miestne orgány.</w:t>
      </w:r>
      <w:r>
        <w:rPr>
          <w:b/>
          <w:szCs w:val="24"/>
          <w:lang w:eastAsia="en-US"/>
        </w:rPr>
        <w:t xml:space="preserve"> [</w:t>
      </w:r>
      <w:r>
        <w:rPr>
          <w:b/>
          <w:szCs w:val="24"/>
          <w:lang w:eastAsia="en-US"/>
        </w:rPr>
        <w:t>PN 25]</w:t>
      </w:r>
    </w:p>
    <w:p w:rsidR="009D7883" w:rsidRDefault="00AA63BB">
      <w:pPr>
        <w:spacing w:before="120" w:after="120" w:line="360" w:lineRule="auto"/>
        <w:ind w:left="850" w:hanging="850"/>
        <w:rPr>
          <w:b/>
          <w:szCs w:val="24"/>
          <w:lang w:eastAsia="en-US"/>
        </w:rPr>
      </w:pPr>
      <w:r>
        <w:rPr>
          <w:szCs w:val="24"/>
          <w:lang w:eastAsia="en-US"/>
        </w:rPr>
        <w:t>(37)</w:t>
      </w:r>
      <w:r>
        <w:rPr>
          <w:szCs w:val="24"/>
          <w:lang w:eastAsia="en-US"/>
        </w:rPr>
        <w:tab/>
        <w:t>Na zachovanie alebo posilnenie zdravie pôdy treba pôdy udržateľne obhospodarovať. Udržateľné obhospodarovanie pôdy umožní dlhodobé poskytovanie pôdnych služieb vrátane vyššej kvality ovzdušia a vody a potravinovej bezpečnosti. Preto je vhodné s</w:t>
      </w:r>
      <w:r>
        <w:rPr>
          <w:szCs w:val="24"/>
          <w:lang w:eastAsia="en-US"/>
        </w:rPr>
        <w:t xml:space="preserve">tanoviť </w:t>
      </w:r>
      <w:r>
        <w:rPr>
          <w:b/>
          <w:i/>
          <w:szCs w:val="24"/>
          <w:lang w:eastAsia="en-US"/>
        </w:rPr>
        <w:t xml:space="preserve">nepovinné </w:t>
      </w:r>
      <w:r>
        <w:rPr>
          <w:szCs w:val="24"/>
          <w:lang w:eastAsia="en-US"/>
        </w:rPr>
        <w:t>zásady udržateľného obhospodarovania pôdy na usmernenie postupov obhospodarovania pôdy.</w:t>
      </w:r>
      <w:r>
        <w:rPr>
          <w:b/>
          <w:szCs w:val="24"/>
          <w:lang w:eastAsia="en-US"/>
        </w:rPr>
        <w:t xml:space="preserve"> [PN 26]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(38)</w:t>
      </w:r>
      <w:r>
        <w:rPr>
          <w:szCs w:val="24"/>
          <w:lang w:eastAsia="en-US"/>
        </w:rPr>
        <w:tab/>
      </w:r>
      <w:r>
        <w:rPr>
          <w:szCs w:val="24"/>
          <w:lang w:eastAsia="en-US"/>
        </w:rPr>
        <w:t>Hospodárske nástroje vrátane nástrojov v rámci spoločnej poľnohospodárskej politiky (SPP), ktorými sa poskytuje podpora pre poľnohospodárov, zohrávajú kľúčovú úlohu pri prechode na udržateľné obhospodarovanie poľnohospodárskych pôd a v menšom meradle aj le</w:t>
      </w:r>
      <w:r>
        <w:rPr>
          <w:szCs w:val="24"/>
          <w:lang w:eastAsia="en-US"/>
        </w:rPr>
        <w:t xml:space="preserve">sných pôd. Cieľom SPP je podporovať zdravie pôdy prostredníctvom vykonávania </w:t>
      </w:r>
      <w:proofErr w:type="spellStart"/>
      <w:r>
        <w:rPr>
          <w:szCs w:val="24"/>
          <w:lang w:eastAsia="en-US"/>
        </w:rPr>
        <w:t>kondicionality</w:t>
      </w:r>
      <w:proofErr w:type="spellEnd"/>
      <w:r>
        <w:rPr>
          <w:szCs w:val="24"/>
          <w:lang w:eastAsia="en-US"/>
        </w:rPr>
        <w:t xml:space="preserve">, </w:t>
      </w:r>
      <w:proofErr w:type="spellStart"/>
      <w:r>
        <w:rPr>
          <w:szCs w:val="24"/>
          <w:lang w:eastAsia="en-US"/>
        </w:rPr>
        <w:t>ekoschém</w:t>
      </w:r>
      <w:proofErr w:type="spellEnd"/>
      <w:r>
        <w:rPr>
          <w:szCs w:val="24"/>
          <w:lang w:eastAsia="en-US"/>
        </w:rPr>
        <w:t xml:space="preserve"> a opatrení na rozvoj vidieka. Finančná podpora pre poľnohospodárov a lesníkov uplatňujúcich postupy udržateľného obhospodarovania pôdy môže pochádzať aj z</w:t>
      </w:r>
      <w:r>
        <w:rPr>
          <w:szCs w:val="24"/>
          <w:lang w:eastAsia="en-US"/>
        </w:rPr>
        <w:t>o súkromného sektora. Napríklad v potravinárskom priemysle, drevárskom priemysle, priemyselnom odvetví využívajúcom biologické materiály a v energetickom priemysle možno v rámci dobrovoľných značiek udržateľnosti, ktoré zaviedli súkromné zainteresované str</w:t>
      </w:r>
      <w:r>
        <w:rPr>
          <w:szCs w:val="24"/>
          <w:lang w:eastAsia="en-US"/>
        </w:rPr>
        <w:t xml:space="preserve">any, zohľadniť </w:t>
      </w:r>
      <w:r>
        <w:rPr>
          <w:strike/>
          <w:szCs w:val="24"/>
          <w:lang w:eastAsia="en-US"/>
        </w:rPr>
        <w:t xml:space="preserve">zásady udržateľného obhospodarovania pôdy stanovené v tejto </w:t>
      </w:r>
      <w:proofErr w:type="spellStart"/>
      <w:r>
        <w:rPr>
          <w:strike/>
          <w:szCs w:val="24"/>
          <w:lang w:eastAsia="en-US"/>
        </w:rPr>
        <w:t>smernici</w:t>
      </w:r>
      <w:r>
        <w:rPr>
          <w:b/>
          <w:i/>
          <w:szCs w:val="24"/>
          <w:lang w:eastAsia="en-US"/>
        </w:rPr>
        <w:t>príspevky</w:t>
      </w:r>
      <w:proofErr w:type="spellEnd"/>
      <w:r>
        <w:rPr>
          <w:b/>
          <w:i/>
          <w:szCs w:val="24"/>
          <w:lang w:eastAsia="en-US"/>
        </w:rPr>
        <w:t xml:space="preserve"> k zlepšeniu zdravia pôdy v súlade s touto smernicou</w:t>
      </w:r>
      <w:r>
        <w:rPr>
          <w:szCs w:val="24"/>
          <w:lang w:eastAsia="en-US"/>
        </w:rPr>
        <w:t>. Umožní sa tak, aby výrobcovia potravín, dreva a inej biomasy, ktorí vo výrobe dodržiavajú dané zásady, pretavi</w:t>
      </w:r>
      <w:r>
        <w:rPr>
          <w:szCs w:val="24"/>
          <w:lang w:eastAsia="en-US"/>
        </w:rPr>
        <w:t>li tieto zásady do hodnoty svojich výrobkov. Dodatočné financovanie siete fyzických lokalít na testovanie, preukazovanie a zlepšovanie riešení vrátane tých, ktoré súvisia s uhlíkovým poľnohospodárstvom, sprostredkujú živé laboratóriá a vlajkové projekty mi</w:t>
      </w:r>
      <w:r>
        <w:rPr>
          <w:szCs w:val="24"/>
          <w:lang w:eastAsia="en-US"/>
        </w:rPr>
        <w:t>sie na ochranu pôdy. Bez toho, aby bola dotknutá zásada „znečisťovateľ platí“, by členské štáty mali poskytovať podporu a poradenstvo, aby pomohli vlastníkom aj užívateľom pôdy, ktorých sa týkajú opatrenia prijaté v súlade s touto smernicou. Zohľadnia sa p</w:t>
      </w:r>
      <w:r>
        <w:rPr>
          <w:szCs w:val="24"/>
          <w:lang w:eastAsia="en-US"/>
        </w:rPr>
        <w:t>ritom najmä potreby a obmedzené kapacity malých a stredných podnikov.</w:t>
      </w:r>
      <w:r>
        <w:rPr>
          <w:b/>
          <w:szCs w:val="24"/>
          <w:lang w:eastAsia="en-US"/>
        </w:rPr>
        <w:t xml:space="preserve"> [PN 27]</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(39)</w:t>
      </w:r>
      <w:r>
        <w:rPr>
          <w:szCs w:val="24"/>
          <w:lang w:eastAsia="en-US"/>
        </w:rPr>
        <w:tab/>
        <w:t>Podľa nariadenia Európskeho parlamentu a Rady (EÚ) 2021/2115</w:t>
      </w:r>
      <w:r>
        <w:rPr>
          <w:szCs w:val="24"/>
          <w:vertAlign w:val="superscript"/>
          <w:lang w:eastAsia="en-US"/>
        </w:rPr>
        <w:footnoteReference w:id="25"/>
      </w:r>
      <w:r>
        <w:rPr>
          <w:szCs w:val="24"/>
          <w:lang w:eastAsia="en-US"/>
        </w:rPr>
        <w:t xml:space="preserve"> musia členské štáty vo svojich strategických plánoch SPP opísať, ako má environmentálna a klimatická architektúra plánov prispieť k dosiahnutiu dlhodobých vnútroštátnych cieľových hodnôt, ktoré boli stanovené v legislatívnych aktoch uvedených v prílohe XI</w:t>
      </w:r>
      <w:r>
        <w:rPr>
          <w:szCs w:val="24"/>
          <w:lang w:eastAsia="en-US"/>
        </w:rPr>
        <w:t>II k danému nariadeniu alebo ktoré z týchto aktov vychádzajú, a ako sú v súlade s týmito hodnotami.</w:t>
      </w:r>
    </w:p>
    <w:p w:rsidR="009D7883" w:rsidRDefault="00AA63BB">
      <w:pPr>
        <w:spacing w:before="120" w:after="120" w:line="360" w:lineRule="auto"/>
        <w:ind w:left="850" w:hanging="850"/>
        <w:rPr>
          <w:b/>
          <w:szCs w:val="24"/>
          <w:lang w:eastAsia="en-US"/>
        </w:rPr>
      </w:pPr>
      <w:r>
        <w:rPr>
          <w:b/>
          <w:i/>
          <w:szCs w:val="24"/>
          <w:lang w:eastAsia="en-US"/>
        </w:rPr>
        <w:t>(39a)</w:t>
      </w:r>
      <w:r>
        <w:rPr>
          <w:szCs w:val="24"/>
          <w:lang w:eastAsia="en-US"/>
        </w:rPr>
        <w:tab/>
      </w:r>
      <w:r>
        <w:rPr>
          <w:b/>
          <w:i/>
          <w:szCs w:val="24"/>
          <w:lang w:eastAsia="en-US"/>
        </w:rPr>
        <w:t>Normy dobrého poľnohospodárskeho a environmentálneho stavu (GAEC) 5, 6 a 7 stanovené v nariadení (EÚ) 2021/2115 zahŕňajú normy na zlepšenie riadenia o</w:t>
      </w:r>
      <w:r>
        <w:rPr>
          <w:b/>
          <w:i/>
          <w:szCs w:val="24"/>
          <w:lang w:eastAsia="en-US"/>
        </w:rPr>
        <w:t>rby s cieľom znížiť riziko degradácie a erózie pôdy vrátane zohľadnenia sklonu svahov a minimálneho obhospodarovania pôdy, ktoré odráža špecifické miestne podmienky s cieľom obmedziť eróziu, minimálne pokrytie pôdy s cieľom zabrániť obnaženiu pôdy, ochranu</w:t>
      </w:r>
      <w:r>
        <w:rPr>
          <w:b/>
          <w:i/>
          <w:szCs w:val="24"/>
          <w:lang w:eastAsia="en-US"/>
        </w:rPr>
        <w:t xml:space="preserve"> pôdy počas najcitlivejších období, ako aj striedanie plodín na ornej pôde. Okrem toho sú pre ochranu pôdy dôležité normy GAEC 1 o ochrane trvalých pasienkov a normy GAEC 2 o ochrane mokradí a rašelinísk a pôd bohatých na organickú hmotu.</w:t>
      </w:r>
      <w:r>
        <w:rPr>
          <w:b/>
          <w:szCs w:val="24"/>
          <w:lang w:eastAsia="en-US"/>
        </w:rPr>
        <w:t xml:space="preserve"> [PN 28]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(40)</w:t>
      </w:r>
      <w:r>
        <w:rPr>
          <w:szCs w:val="24"/>
          <w:lang w:eastAsia="en-US"/>
        </w:rPr>
        <w:tab/>
      </w:r>
      <w:r>
        <w:rPr>
          <w:strike/>
          <w:szCs w:val="24"/>
          <w:lang w:eastAsia="en-US"/>
        </w:rPr>
        <w:t>Ab</w:t>
      </w:r>
      <w:r>
        <w:rPr>
          <w:strike/>
          <w:szCs w:val="24"/>
          <w:lang w:eastAsia="en-US"/>
        </w:rPr>
        <w:t xml:space="preserve">y sa zabezpečilo vykonávanie najlepších postupov udržateľného obhospodarovania pôdy, </w:t>
      </w:r>
      <w:r>
        <w:rPr>
          <w:szCs w:val="24"/>
          <w:lang w:eastAsia="en-US"/>
        </w:rPr>
        <w:t>Členské štáty by mali byť povinné pozorne monitorovať vplyv postupov obhospodarovania pôdy a podľa potreby prispôsobiť postupy a odporúčania, pričom zohľadnia nové poznatk</w:t>
      </w:r>
      <w:r>
        <w:rPr>
          <w:szCs w:val="24"/>
          <w:lang w:eastAsia="en-US"/>
        </w:rPr>
        <w:t>y z výskumu a inovácií. V tejto súvislosti sa očakávajú cenné príspevky z misie „Dohoda o pôde pre Európu“ v rámci programu Horizont Európa, ktoré by mali pochádzať hlavne z jej živých laboratórií a činností na podporu monitorovania pôdy, vzdelávania o pôd</w:t>
      </w:r>
      <w:r>
        <w:rPr>
          <w:szCs w:val="24"/>
          <w:lang w:eastAsia="en-US"/>
        </w:rPr>
        <w:t>e a zapojenia občanov.</w:t>
      </w:r>
      <w:r>
        <w:rPr>
          <w:b/>
          <w:szCs w:val="24"/>
          <w:lang w:eastAsia="en-US"/>
        </w:rPr>
        <w:t xml:space="preserve"> [PN 29]</w:t>
      </w:r>
    </w:p>
    <w:p w:rsidR="009D7883" w:rsidRDefault="00AA63BB">
      <w:pPr>
        <w:spacing w:before="120" w:after="120" w:line="360" w:lineRule="auto"/>
        <w:ind w:left="850" w:hanging="850"/>
        <w:rPr>
          <w:szCs w:val="24"/>
          <w:lang w:eastAsia="en-US"/>
        </w:rPr>
      </w:pPr>
      <w:r>
        <w:rPr>
          <w:szCs w:val="24"/>
          <w:lang w:eastAsia="en-US"/>
        </w:rPr>
        <w:t>(41)</w:t>
      </w:r>
      <w:r>
        <w:rPr>
          <w:szCs w:val="24"/>
          <w:lang w:eastAsia="en-US"/>
        </w:rPr>
        <w:tab/>
        <w:t>Regeneráciou sa degradované pôdy vrátia do zdravého stavu. Od členských štátov by sa malo vyžadovať, aby pri určovaní opatrení na regeneráciu pôdy zvážili výsledok posúdenia zdravia pôdy a prispôsobili opatrenia na regen</w:t>
      </w:r>
      <w:r>
        <w:rPr>
          <w:szCs w:val="24"/>
          <w:lang w:eastAsia="en-US"/>
        </w:rPr>
        <w:t>eráciu špecifickým prvkom situácie, typu, využitiu a stavu pôdy, ako aj miestnym, klimatickým a environmentálnym podmienkam.</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(42)</w:t>
      </w:r>
      <w:r>
        <w:rPr>
          <w:szCs w:val="24"/>
          <w:lang w:eastAsia="en-US"/>
        </w:rPr>
        <w:tab/>
        <w:t>S cieľom zabezpečiť synergie medzi rôznymi opatreniami prijatými podľa ďalších právnych predpisov Únie, ktoré môžu mať vplyv</w:t>
      </w:r>
      <w:r>
        <w:rPr>
          <w:szCs w:val="24"/>
          <w:lang w:eastAsia="en-US"/>
        </w:rPr>
        <w:t xml:space="preserve"> na zdravie pôdy, a opatreniami, ktoré sa majú zaviesť na účely udržateľného obhospodarovania a regenerácie pôd v Únii, by členské štáty mali zaistiť súlad postupov udržateľného obhospodarovania pôdy a regenerácie s národnými plánmi obnovy prírody prijatým</w:t>
      </w:r>
      <w:r>
        <w:rPr>
          <w:szCs w:val="24"/>
          <w:lang w:eastAsia="en-US"/>
        </w:rPr>
        <w:t>i v zmysle nariadenia Európskeho parlamentu a Rady (EÚ) …/…</w:t>
      </w:r>
      <w:r>
        <w:rPr>
          <w:szCs w:val="24"/>
          <w:vertAlign w:val="superscript"/>
          <w:lang w:eastAsia="en-US"/>
        </w:rPr>
        <w:footnoteReference w:id="26"/>
      </w:r>
      <w:r>
        <w:rPr>
          <w:szCs w:val="24"/>
          <w:lang w:eastAsia="en-US"/>
        </w:rPr>
        <w:t xml:space="preserve">+; </w:t>
      </w:r>
      <w:r>
        <w:rPr>
          <w:b/>
          <w:i/>
          <w:szCs w:val="24"/>
          <w:lang w:eastAsia="en-US"/>
        </w:rPr>
        <w:t xml:space="preserve">s národnými stratégiami a akčnými plánmi v oblasti biodiverzity stanovenými v súlade s článkom 6 Dohovoru Organizácie Spojených národov o biologickej diverzite, </w:t>
      </w:r>
      <w:r>
        <w:rPr>
          <w:szCs w:val="24"/>
          <w:lang w:eastAsia="en-US"/>
        </w:rPr>
        <w:t>so strategickými plánmi, ktoré m</w:t>
      </w:r>
      <w:r>
        <w:rPr>
          <w:szCs w:val="24"/>
          <w:lang w:eastAsia="en-US"/>
        </w:rPr>
        <w:t>ajú členské štáty vypracovať v rámci spoločnej poľnohospodárskej politiky v zmysle nariadenia (EÚ) 2021/2115; s kódexmi vhodných postupov v poľnohospodárstve a akčnými programami pre označené ohrozené pásma, ktoré sa prijali v súlade so smernicou Rady 91/6</w:t>
      </w:r>
      <w:r>
        <w:rPr>
          <w:szCs w:val="24"/>
          <w:lang w:eastAsia="en-US"/>
        </w:rPr>
        <w:t>76/EHS</w:t>
      </w:r>
      <w:r>
        <w:rPr>
          <w:szCs w:val="24"/>
          <w:vertAlign w:val="superscript"/>
          <w:lang w:eastAsia="en-US"/>
        </w:rPr>
        <w:footnoteReference w:id="27"/>
      </w:r>
      <w:r>
        <w:rPr>
          <w:szCs w:val="24"/>
          <w:lang w:eastAsia="en-US"/>
        </w:rPr>
        <w:t>; ochrannými opatreniami a prioritným akčným rámcom, ktoré sa zaviedli pre lokality sústavy Natura 2000 podľa smernice Rady 92/43/EHS</w:t>
      </w:r>
      <w:r>
        <w:rPr>
          <w:szCs w:val="24"/>
          <w:vertAlign w:val="superscript"/>
          <w:lang w:eastAsia="en-US"/>
        </w:rPr>
        <w:footnoteReference w:id="28"/>
      </w:r>
      <w:r>
        <w:rPr>
          <w:szCs w:val="24"/>
          <w:lang w:eastAsia="en-US"/>
        </w:rPr>
        <w:t>; opatreniami na dosiahnutie dobrého ekologického a chemického stavu vodných útvarov zahrnutých do plánov manažment</w:t>
      </w:r>
      <w:r>
        <w:rPr>
          <w:szCs w:val="24"/>
          <w:lang w:eastAsia="en-US"/>
        </w:rPr>
        <w:t>u povodia, ktoré boli vypracované v súlade so smernicou Európskeho parlamentu a Rady 2000/60/ES</w:t>
      </w:r>
      <w:r>
        <w:rPr>
          <w:szCs w:val="24"/>
          <w:vertAlign w:val="superscript"/>
          <w:lang w:eastAsia="en-US"/>
        </w:rPr>
        <w:footnoteReference w:id="29"/>
      </w:r>
      <w:r>
        <w:rPr>
          <w:szCs w:val="24"/>
          <w:lang w:eastAsia="en-US"/>
        </w:rPr>
        <w:t>; opatreniami na manažment povodňových rizík zavedenými v súlade so smernicou Európskeho parlamentu a Rady 2007/60/ES</w:t>
      </w:r>
      <w:r>
        <w:rPr>
          <w:szCs w:val="24"/>
          <w:vertAlign w:val="superscript"/>
          <w:lang w:eastAsia="en-US"/>
        </w:rPr>
        <w:footnoteReference w:id="30"/>
      </w:r>
      <w:r>
        <w:rPr>
          <w:szCs w:val="24"/>
          <w:lang w:eastAsia="en-US"/>
        </w:rPr>
        <w:t>; plánmi manažmentu sucha, ktoré sa presad</w:t>
      </w:r>
      <w:r>
        <w:rPr>
          <w:szCs w:val="24"/>
          <w:lang w:eastAsia="en-US"/>
        </w:rPr>
        <w:t>zujú v stratégii EÚ pre adaptáciu na zmenu klímy</w:t>
      </w:r>
      <w:r>
        <w:rPr>
          <w:szCs w:val="24"/>
          <w:vertAlign w:val="superscript"/>
          <w:lang w:eastAsia="en-US"/>
        </w:rPr>
        <w:footnoteReference w:id="31"/>
      </w:r>
      <w:r>
        <w:rPr>
          <w:szCs w:val="24"/>
          <w:lang w:eastAsia="en-US"/>
        </w:rPr>
        <w:t xml:space="preserve">; národnými akčnými programami zavedenými podľa článku 10 Dohovoru OSN o boji proti </w:t>
      </w:r>
      <w:proofErr w:type="spellStart"/>
      <w:r>
        <w:rPr>
          <w:szCs w:val="24"/>
          <w:lang w:eastAsia="en-US"/>
        </w:rPr>
        <w:t>dezertifikácii</w:t>
      </w:r>
      <w:proofErr w:type="spellEnd"/>
      <w:r>
        <w:rPr>
          <w:szCs w:val="24"/>
          <w:lang w:eastAsia="en-US"/>
        </w:rPr>
        <w:t xml:space="preserve">; cieľmi stanovenými v rámci nariadenia Európskeho parlamentu a </w:t>
      </w:r>
      <w:r>
        <w:rPr>
          <w:szCs w:val="24"/>
          <w:lang w:eastAsia="en-US"/>
        </w:rPr>
        <w:lastRenderedPageBreak/>
        <w:t>Rady (EÚ) 2018/841</w:t>
      </w:r>
      <w:r>
        <w:rPr>
          <w:szCs w:val="24"/>
          <w:vertAlign w:val="superscript"/>
          <w:lang w:eastAsia="en-US"/>
        </w:rPr>
        <w:footnoteReference w:id="32"/>
      </w:r>
      <w:r>
        <w:rPr>
          <w:szCs w:val="24"/>
          <w:lang w:eastAsia="en-US"/>
        </w:rPr>
        <w:t xml:space="preserve"> a nariadenia Európskeho p</w:t>
      </w:r>
      <w:r>
        <w:rPr>
          <w:szCs w:val="24"/>
          <w:lang w:eastAsia="en-US"/>
        </w:rPr>
        <w:t>arlamentu a Rady (EÚ) 2018/842</w:t>
      </w:r>
      <w:r>
        <w:rPr>
          <w:szCs w:val="24"/>
          <w:vertAlign w:val="superscript"/>
          <w:lang w:eastAsia="en-US"/>
        </w:rPr>
        <w:footnoteReference w:id="33"/>
      </w:r>
      <w:r>
        <w:rPr>
          <w:szCs w:val="24"/>
          <w:lang w:eastAsia="en-US"/>
        </w:rPr>
        <w:t>; integrovanými národnými energetickými a klimatickými plánmi vytvorenými podľa nariadenia Európskeho parlamentu a Rady (EÚ) 2018/1999</w:t>
      </w:r>
      <w:r>
        <w:rPr>
          <w:szCs w:val="24"/>
          <w:vertAlign w:val="superscript"/>
          <w:lang w:eastAsia="en-US"/>
        </w:rPr>
        <w:footnoteReference w:id="34"/>
      </w:r>
      <w:r>
        <w:rPr>
          <w:szCs w:val="24"/>
          <w:lang w:eastAsia="en-US"/>
        </w:rPr>
        <w:t xml:space="preserve">; národnými programami riadenia znečisťovania ovzdušia pripravenými v súlade so smernicou </w:t>
      </w:r>
      <w:r>
        <w:rPr>
          <w:szCs w:val="24"/>
          <w:lang w:eastAsia="en-US"/>
        </w:rPr>
        <w:t>Európskeho parlamentu a Rady (EÚ) 2016/2284</w:t>
      </w:r>
      <w:r>
        <w:rPr>
          <w:szCs w:val="24"/>
          <w:vertAlign w:val="superscript"/>
          <w:lang w:eastAsia="en-US"/>
        </w:rPr>
        <w:footnoteReference w:id="35"/>
      </w:r>
      <w:r>
        <w:rPr>
          <w:szCs w:val="24"/>
          <w:lang w:eastAsia="en-US"/>
        </w:rPr>
        <w:t>; posúdeniami rizík a plánovaním riadenia rizika katastrof v zmysle rozhodnutia Európskeho parlamentu a Rady č. 1313/2013/EÚ</w:t>
      </w:r>
      <w:r>
        <w:rPr>
          <w:szCs w:val="24"/>
          <w:vertAlign w:val="superscript"/>
          <w:lang w:eastAsia="en-US"/>
        </w:rPr>
        <w:footnoteReference w:id="36"/>
      </w:r>
      <w:r>
        <w:rPr>
          <w:szCs w:val="24"/>
          <w:lang w:eastAsia="en-US"/>
        </w:rPr>
        <w:t xml:space="preserve"> a s národnými akčnými plánmi zavedenými v súlade </w:t>
      </w:r>
      <w:r>
        <w:rPr>
          <w:strike/>
          <w:szCs w:val="24"/>
          <w:lang w:eastAsia="en-US"/>
        </w:rPr>
        <w:t xml:space="preserve">s </w:t>
      </w:r>
      <w:proofErr w:type="spellStart"/>
      <w:r>
        <w:rPr>
          <w:strike/>
          <w:szCs w:val="24"/>
          <w:lang w:eastAsia="en-US"/>
        </w:rPr>
        <w:t>nariadením</w:t>
      </w:r>
      <w:r>
        <w:rPr>
          <w:b/>
          <w:i/>
          <w:szCs w:val="24"/>
          <w:lang w:eastAsia="en-US"/>
        </w:rPr>
        <w:t>so</w:t>
      </w:r>
      <w:proofErr w:type="spellEnd"/>
      <w:r>
        <w:rPr>
          <w:b/>
          <w:i/>
          <w:szCs w:val="24"/>
          <w:lang w:eastAsia="en-US"/>
        </w:rPr>
        <w:t xml:space="preserve"> smernicou</w:t>
      </w:r>
      <w:r>
        <w:rPr>
          <w:szCs w:val="24"/>
          <w:lang w:eastAsia="en-US"/>
        </w:rPr>
        <w:t xml:space="preserve"> Európskeho p</w:t>
      </w:r>
      <w:r>
        <w:rPr>
          <w:szCs w:val="24"/>
          <w:lang w:eastAsia="en-US"/>
        </w:rPr>
        <w:t xml:space="preserve">arlamentu a Rady </w:t>
      </w:r>
      <w:r>
        <w:rPr>
          <w:strike/>
          <w:szCs w:val="24"/>
          <w:lang w:eastAsia="en-US"/>
        </w:rPr>
        <w:t>(EÚ) …/…</w:t>
      </w:r>
      <w:r>
        <w:rPr>
          <w:strike/>
          <w:szCs w:val="24"/>
          <w:vertAlign w:val="superscript"/>
          <w:lang w:eastAsia="en-US"/>
        </w:rPr>
        <w:footnoteReference w:id="37"/>
      </w:r>
      <w:r>
        <w:rPr>
          <w:strike/>
          <w:szCs w:val="24"/>
          <w:lang w:eastAsia="en-US"/>
        </w:rPr>
        <w:t>+</w:t>
      </w:r>
      <w:r>
        <w:rPr>
          <w:b/>
          <w:i/>
          <w:szCs w:val="24"/>
          <w:lang w:eastAsia="en-US"/>
        </w:rPr>
        <w:t>2009/128/ES</w:t>
      </w:r>
      <w:r>
        <w:rPr>
          <w:szCs w:val="24"/>
          <w:lang w:eastAsia="en-US"/>
        </w:rPr>
        <w:t>. Postupy udržateľného obhospodarovania pôdy a regenerácie by sa mali podľa možnosti začleniť do uvedených programov, plánov a opatrení v tej miere, v akej predstavujú príspevok k splneniu ich cieľov. V dôsledku toho b</w:t>
      </w:r>
      <w:r>
        <w:rPr>
          <w:szCs w:val="24"/>
          <w:lang w:eastAsia="en-US"/>
        </w:rPr>
        <w:t>y relevantné ukazovatele a údaje, ako sú ukazovatele výsledkov súvisiace s pôdou podľa nariadenia o SPP a štatistické údaje o poľnohospodárskych vstupoch a výstupoch oznámených v súlade s nariadením Európskeho parlamentu a Rady (EÚ) 2022/2379</w:t>
      </w:r>
      <w:r>
        <w:rPr>
          <w:szCs w:val="24"/>
          <w:vertAlign w:val="superscript"/>
          <w:lang w:eastAsia="en-US"/>
        </w:rPr>
        <w:footnoteReference w:id="38"/>
      </w:r>
      <w:r>
        <w:rPr>
          <w:szCs w:val="24"/>
          <w:lang w:eastAsia="en-US"/>
        </w:rPr>
        <w:t>, mali byť do</w:t>
      </w:r>
      <w:r>
        <w:rPr>
          <w:szCs w:val="24"/>
          <w:lang w:eastAsia="en-US"/>
        </w:rPr>
        <w:t xml:space="preserve">stupné pre príslušné orgány zodpovedajúce za postupy udržateľného obhospodarovania pôdy a </w:t>
      </w:r>
      <w:r>
        <w:rPr>
          <w:szCs w:val="24"/>
          <w:lang w:eastAsia="en-US"/>
        </w:rPr>
        <w:lastRenderedPageBreak/>
        <w:t>regenerácie a posúdenie zdravia pôdy, aby sa tieto údaje a ukazovatele prepojili, čo umožní posúdiť účinnosť zvolených opatrení s maximálnou možnou presnosťou.</w:t>
      </w:r>
      <w:r>
        <w:rPr>
          <w:b/>
          <w:szCs w:val="24"/>
          <w:lang w:eastAsia="en-US"/>
        </w:rPr>
        <w:t xml:space="preserve"> [PN 30</w:t>
      </w:r>
      <w:r>
        <w:rPr>
          <w:b/>
          <w:szCs w:val="24"/>
          <w:lang w:eastAsia="en-US"/>
        </w:rPr>
        <w:t>]</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(43)</w:t>
      </w:r>
      <w:r>
        <w:rPr>
          <w:szCs w:val="24"/>
          <w:lang w:eastAsia="en-US"/>
        </w:rPr>
        <w:tab/>
        <w:t>Kontaminované lokality sú následkom desaťročí priemyselnej činnosti v EÚ. Môžu predstavovať riziká pre ľudské zdravie</w:t>
      </w:r>
      <w:r>
        <w:rPr>
          <w:b/>
          <w:i/>
          <w:szCs w:val="24"/>
          <w:lang w:eastAsia="en-US"/>
        </w:rPr>
        <w:t>, zdravie zvierat</w:t>
      </w:r>
      <w:r>
        <w:rPr>
          <w:szCs w:val="24"/>
          <w:lang w:eastAsia="en-US"/>
        </w:rPr>
        <w:t xml:space="preserve"> a životné prostredie – či už teraz, alebo v budúcnosti. </w:t>
      </w:r>
      <w:r>
        <w:rPr>
          <w:b/>
          <w:i/>
          <w:szCs w:val="24"/>
          <w:lang w:eastAsia="en-US"/>
        </w:rPr>
        <w:t xml:space="preserve">Na základe existujúcich poznatkov je </w:t>
      </w:r>
      <w:r>
        <w:rPr>
          <w:szCs w:val="24"/>
          <w:lang w:eastAsia="en-US"/>
        </w:rPr>
        <w:t>preto treba</w:t>
      </w:r>
      <w:r>
        <w:rPr>
          <w:strike/>
          <w:szCs w:val="24"/>
          <w:lang w:eastAsia="en-US"/>
        </w:rPr>
        <w:t xml:space="preserve"> najprv </w:t>
      </w:r>
      <w:r>
        <w:rPr>
          <w:szCs w:val="24"/>
          <w:lang w:eastAsia="en-US"/>
        </w:rPr>
        <w:t xml:space="preserve">identifikovať a preskúmať potenciálne kontaminované lokality a potom posúdiť riziká a prijať opatrenia na </w:t>
      </w:r>
      <w:r>
        <w:rPr>
          <w:b/>
          <w:i/>
          <w:szCs w:val="24"/>
          <w:lang w:eastAsia="en-US"/>
        </w:rPr>
        <w:t xml:space="preserve">ich </w:t>
      </w:r>
      <w:r>
        <w:rPr>
          <w:szCs w:val="24"/>
          <w:lang w:eastAsia="en-US"/>
        </w:rPr>
        <w:t xml:space="preserve">riešenie </w:t>
      </w:r>
      <w:r>
        <w:rPr>
          <w:strike/>
          <w:szCs w:val="24"/>
          <w:lang w:eastAsia="en-US"/>
        </w:rPr>
        <w:t>neprijateľných rizík</w:t>
      </w:r>
      <w:r>
        <w:rPr>
          <w:szCs w:val="24"/>
          <w:lang w:eastAsia="en-US"/>
        </w:rPr>
        <w:t>, ak sa kontaminácia potvrdí. Prieskum pôdy môže preukázať, že potenciálne kontaminovaná lokalita v skutočnosti konta</w:t>
      </w:r>
      <w:r>
        <w:rPr>
          <w:szCs w:val="24"/>
          <w:lang w:eastAsia="en-US"/>
        </w:rPr>
        <w:t>minovaná nie je. V takom prípade by už členský štát nemal danú lokalitu označovať za potenciálne kontaminovanú, pokiaľ neexistuje podozrenie na kontamináciu založené na nových dôkazoch.</w:t>
      </w:r>
      <w:r>
        <w:rPr>
          <w:b/>
          <w:szCs w:val="24"/>
          <w:lang w:eastAsia="en-US"/>
        </w:rPr>
        <w:t xml:space="preserve"> [PN 31]</w:t>
      </w:r>
    </w:p>
    <w:p w:rsidR="009D7883" w:rsidRDefault="00AA63BB">
      <w:pPr>
        <w:spacing w:before="120" w:after="120" w:line="360" w:lineRule="auto"/>
        <w:ind w:left="850" w:hanging="850"/>
        <w:rPr>
          <w:b/>
          <w:szCs w:val="24"/>
          <w:lang w:eastAsia="en-US"/>
        </w:rPr>
      </w:pPr>
      <w:r>
        <w:rPr>
          <w:szCs w:val="24"/>
          <w:lang w:eastAsia="en-US"/>
        </w:rPr>
        <w:t>(44)</w:t>
      </w:r>
      <w:r>
        <w:rPr>
          <w:szCs w:val="24"/>
          <w:lang w:eastAsia="en-US"/>
        </w:rPr>
        <w:tab/>
        <w:t>Na účely identifikácie potenciálne kontaminovaných lokalí</w:t>
      </w:r>
      <w:r>
        <w:rPr>
          <w:szCs w:val="24"/>
          <w:lang w:eastAsia="en-US"/>
        </w:rPr>
        <w:t>t by členské štáty mali zhromaždiť dôkazy, okrem iného na základe historického výskumu, mimoriadnych priemyselných udalostí a havárií v minulosti a environmentálnych povolení</w:t>
      </w:r>
      <w:r>
        <w:rPr>
          <w:b/>
          <w:i/>
          <w:szCs w:val="24"/>
          <w:lang w:eastAsia="en-US"/>
        </w:rPr>
        <w:t>, zdravotných prieskumov</w:t>
      </w:r>
      <w:r>
        <w:rPr>
          <w:szCs w:val="24"/>
          <w:lang w:eastAsia="en-US"/>
        </w:rPr>
        <w:t xml:space="preserve"> a oznámení vydaných verejnosťou alebo orgánmi.</w:t>
      </w:r>
      <w:r>
        <w:rPr>
          <w:b/>
          <w:szCs w:val="24"/>
          <w:lang w:eastAsia="en-US"/>
        </w:rPr>
        <w:t xml:space="preserve"> [PN 32]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(45)</w:t>
      </w:r>
      <w:r>
        <w:rPr>
          <w:szCs w:val="24"/>
          <w:lang w:eastAsia="en-US"/>
        </w:rPr>
        <w:tab/>
        <w:t>Aby sa zabezpečilo, že prieskumy pôdy v potenciálne kontaminovaných lokalitách prebiehajú včas a účinne</w:t>
      </w:r>
      <w:r>
        <w:rPr>
          <w:b/>
          <w:i/>
          <w:szCs w:val="24"/>
          <w:lang w:eastAsia="en-US"/>
        </w:rPr>
        <w:t>, ako sa požaduje v uznesení Európskeho parlamentu z 28. apríla 2021 o ochrane pôdy</w:t>
      </w:r>
      <w:r>
        <w:rPr>
          <w:szCs w:val="24"/>
          <w:lang w:eastAsia="en-US"/>
        </w:rPr>
        <w:t>, členské štáty by okrem povinnosti stanoviť lehotu, v ktorej tre</w:t>
      </w:r>
      <w:r>
        <w:rPr>
          <w:szCs w:val="24"/>
          <w:lang w:eastAsia="en-US"/>
        </w:rPr>
        <w:t>ba vykonať uvedené prieskumy, mali mať aj povinnosť uviesť konkrétne udalosti, ktoré takisto vedú k takémuto prieskumu. Medzi takéto udalosti, ktoré vedú k prieskumu, môže patriť žiadosť o environmentálne či stavebné povolenie alebo jeho preskúmanie, prípa</w:t>
      </w:r>
      <w:r>
        <w:rPr>
          <w:szCs w:val="24"/>
          <w:lang w:eastAsia="en-US"/>
        </w:rPr>
        <w:t>dne žiadosť o povolenie, ktoré sa vyžaduje podľa právnych predpisov Únie či vnútroštátnych právnych predpisov, a jeho preskúmanie, činnosti týkajúce sa vykopávania pôdy, zmeny využívania pôdy alebo transakcie, ktorých predmetom je pôda či nehnuteľnosť. Pri</w:t>
      </w:r>
      <w:r>
        <w:rPr>
          <w:szCs w:val="24"/>
          <w:lang w:eastAsia="en-US"/>
        </w:rPr>
        <w:t>eskumy pôdy môžu prebiehať v rôznych fázach, ako je predbežná štúdia, návšteva lokality, predbežný alebo prieskumné vyšetrovanie, podrobnejší alebo opisný výskum a testovanie v teréne či v laboratóriu. Ak je to vhodné, možno za prieskum pôdy považovať aj v</w:t>
      </w:r>
      <w:r>
        <w:rPr>
          <w:szCs w:val="24"/>
          <w:lang w:eastAsia="en-US"/>
        </w:rPr>
        <w:t>ýchodiskové správy a monitorovacie opatrenia vykonávané v súlade so smernicou Európskeho parlamentu a Rady 2010/75/EÚ</w:t>
      </w:r>
      <w:r>
        <w:rPr>
          <w:szCs w:val="24"/>
          <w:vertAlign w:val="superscript"/>
          <w:lang w:eastAsia="en-US"/>
        </w:rPr>
        <w:footnoteReference w:id="39"/>
      </w:r>
      <w:r>
        <w:rPr>
          <w:szCs w:val="24"/>
          <w:lang w:eastAsia="en-US"/>
        </w:rPr>
        <w:t>.</w:t>
      </w:r>
      <w:r>
        <w:rPr>
          <w:b/>
          <w:szCs w:val="24"/>
          <w:lang w:eastAsia="en-US"/>
        </w:rPr>
        <w:t xml:space="preserve"> [PN 33]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(46)</w:t>
      </w:r>
      <w:r>
        <w:rPr>
          <w:szCs w:val="24"/>
          <w:lang w:eastAsia="en-US"/>
        </w:rPr>
        <w:tab/>
        <w:t>Flexibilita v obhospodarovaní potenciálne kontaminovaných lokalít a kontaminovaných lokalít je potrebná pre zohľadnenie v</w:t>
      </w:r>
      <w:r>
        <w:rPr>
          <w:szCs w:val="24"/>
          <w:lang w:eastAsia="en-US"/>
        </w:rPr>
        <w:t>ýdavkov, výhod a miestnych špecifík. Členské štáty by teda mali zvoliť prístup založený na riziku, a to</w:t>
      </w:r>
      <w:r>
        <w:rPr>
          <w:strike/>
          <w:szCs w:val="24"/>
          <w:lang w:eastAsia="en-US"/>
        </w:rPr>
        <w:t xml:space="preserve"> prinajmenšom</w:t>
      </w:r>
      <w:r>
        <w:rPr>
          <w:szCs w:val="24"/>
          <w:lang w:eastAsia="en-US"/>
        </w:rPr>
        <w:t xml:space="preserve"> v prípade obhospodarovania potenciálne kontaminovaných lokalít a kontaminovaných lokalít, pričom zohľadnia rozdiel medzi týmito dvoma kateg</w:t>
      </w:r>
      <w:r>
        <w:rPr>
          <w:szCs w:val="24"/>
          <w:lang w:eastAsia="en-US"/>
        </w:rPr>
        <w:t xml:space="preserve">óriami. Takýto prístup im umožní prideľovať prostriedky s ohľadom na špecifické environmentálne, hospodárske a sociálne súvislosti. Rozhodnutia by sa mali prijímať </w:t>
      </w:r>
      <w:r>
        <w:rPr>
          <w:b/>
          <w:i/>
          <w:szCs w:val="24"/>
          <w:lang w:eastAsia="en-US"/>
        </w:rPr>
        <w:t>v spolupráci s miestnymi zdravotníckymi pracovníkmi, zdravotníckymi orgánmi a vedeckou obcou</w:t>
      </w:r>
      <w:r>
        <w:rPr>
          <w:b/>
          <w:i/>
          <w:szCs w:val="24"/>
          <w:lang w:eastAsia="en-US"/>
        </w:rPr>
        <w:t xml:space="preserve"> </w:t>
      </w:r>
      <w:r>
        <w:rPr>
          <w:szCs w:val="24"/>
          <w:lang w:eastAsia="en-US"/>
        </w:rPr>
        <w:t>na základe povahy a miery potenciálnych rizík pre ľudské zdravie a životné prostredie, ktoré vyplývajú z vystavenia kontaminantom pôdy (napr. vystavenie zraniteľných skupín, ako sú tehotné ženy, ľudia so zdravotným postihnutím, starší ľudia a deti)</w:t>
      </w:r>
      <w:r>
        <w:rPr>
          <w:b/>
          <w:i/>
          <w:szCs w:val="24"/>
          <w:lang w:eastAsia="en-US"/>
        </w:rPr>
        <w:t xml:space="preserve"> vrátan</w:t>
      </w:r>
      <w:r>
        <w:rPr>
          <w:b/>
          <w:i/>
          <w:szCs w:val="24"/>
          <w:lang w:eastAsia="en-US"/>
        </w:rPr>
        <w:t>e vystavenia a kumulatívnych účinkov na ľudské zdravie, pôdne ekosystémy a súvisiace ekosystémové služby</w:t>
      </w:r>
      <w:r>
        <w:rPr>
          <w:szCs w:val="24"/>
          <w:lang w:eastAsia="en-US"/>
        </w:rPr>
        <w:t xml:space="preserve">. Analýza nákladov a prínosov súvisiacich s vykonaním sanácie by mala byť </w:t>
      </w:r>
      <w:proofErr w:type="spellStart"/>
      <w:r>
        <w:rPr>
          <w:strike/>
          <w:szCs w:val="24"/>
          <w:lang w:eastAsia="en-US"/>
        </w:rPr>
        <w:t>kladná</w:t>
      </w:r>
      <w:r>
        <w:rPr>
          <w:b/>
          <w:i/>
          <w:szCs w:val="24"/>
          <w:lang w:eastAsia="en-US"/>
        </w:rPr>
        <w:t>vyvážená</w:t>
      </w:r>
      <w:proofErr w:type="spellEnd"/>
      <w:r>
        <w:rPr>
          <w:b/>
          <w:i/>
          <w:szCs w:val="24"/>
          <w:lang w:eastAsia="en-US"/>
        </w:rPr>
        <w:t xml:space="preserve"> a mala by zohľadňovať výhody pre budúce generácie</w:t>
      </w:r>
      <w:r>
        <w:rPr>
          <w:szCs w:val="24"/>
          <w:lang w:eastAsia="en-US"/>
        </w:rPr>
        <w:t>. Optimálne ri</w:t>
      </w:r>
      <w:r>
        <w:rPr>
          <w:szCs w:val="24"/>
          <w:lang w:eastAsia="en-US"/>
        </w:rPr>
        <w:t>ešenie v oblasti sanácie by malo byť udržateľné a vybrané na základe vyrovnaného rozhodovacieho procesu, v ktorom sa zvážia environmentálne, hospodárske a sociálne vplyvy. Pri obhospodarovaní potenciálne kontaminovaných lokalít a kontaminovaných lokalít by</w:t>
      </w:r>
      <w:r>
        <w:rPr>
          <w:szCs w:val="24"/>
          <w:lang w:eastAsia="en-US"/>
        </w:rPr>
        <w:t xml:space="preserve"> sa mala dodržiavať zásada „znečisťovateľ platí“, ako aj zásada predbežnej opatrnosti a zásada proporcionality. V prípade kontaminovaných lokalít by členské štáty mali vymedziť osobitnú metodiku na určenie rizík špecifických pre danú lokalitu. Členské štát</w:t>
      </w:r>
      <w:r>
        <w:rPr>
          <w:szCs w:val="24"/>
          <w:lang w:eastAsia="en-US"/>
        </w:rPr>
        <w:t xml:space="preserve">y by mali takisto definovať, čo predstavuje neprijateľné riziko vyplývajúce z kontaminovanej lokality, a to na základe vedeckých poznatkov, zásady predbežnej opatrnosti, </w:t>
      </w:r>
      <w:r>
        <w:rPr>
          <w:strike/>
          <w:szCs w:val="24"/>
          <w:lang w:eastAsia="en-US"/>
        </w:rPr>
        <w:t xml:space="preserve">miestnych </w:t>
      </w:r>
      <w:proofErr w:type="spellStart"/>
      <w:r>
        <w:rPr>
          <w:strike/>
          <w:szCs w:val="24"/>
          <w:lang w:eastAsia="en-US"/>
        </w:rPr>
        <w:t>špecifík</w:t>
      </w:r>
      <w:r>
        <w:rPr>
          <w:b/>
          <w:i/>
          <w:szCs w:val="24"/>
          <w:lang w:eastAsia="en-US"/>
        </w:rPr>
        <w:t>stanoviska</w:t>
      </w:r>
      <w:proofErr w:type="spellEnd"/>
      <w:r>
        <w:rPr>
          <w:b/>
          <w:i/>
          <w:szCs w:val="24"/>
          <w:lang w:eastAsia="en-US"/>
        </w:rPr>
        <w:t xml:space="preserve"> zdravotníckych orgánov a pracovníkov</w:t>
      </w:r>
      <w:r>
        <w:rPr>
          <w:szCs w:val="24"/>
          <w:lang w:eastAsia="en-US"/>
        </w:rPr>
        <w:t xml:space="preserve"> a využívania pôdy v </w:t>
      </w:r>
      <w:r>
        <w:rPr>
          <w:szCs w:val="24"/>
          <w:lang w:eastAsia="en-US"/>
        </w:rPr>
        <w:t xml:space="preserve">súčasnosti a v budúcnosti. S cieľom znížiť riziká kontaminovaných lokalít na úroveň, ktorá je prijateľná pre ľudské zdravie a </w:t>
      </w:r>
      <w:r>
        <w:rPr>
          <w:b/>
          <w:i/>
          <w:szCs w:val="24"/>
          <w:lang w:eastAsia="en-US"/>
        </w:rPr>
        <w:t xml:space="preserve">zdravie zvierat a </w:t>
      </w:r>
      <w:r>
        <w:rPr>
          <w:szCs w:val="24"/>
          <w:lang w:eastAsia="en-US"/>
        </w:rPr>
        <w:t>životné prostredie, by členské štáty mali prijať primerané opatrenia na zníženie rizík</w:t>
      </w:r>
      <w:r>
        <w:rPr>
          <w:strike/>
          <w:szCs w:val="24"/>
          <w:lang w:eastAsia="en-US"/>
        </w:rPr>
        <w:t xml:space="preserve"> vrátane sanácie</w:t>
      </w:r>
      <w:r>
        <w:rPr>
          <w:b/>
          <w:i/>
          <w:szCs w:val="24"/>
          <w:lang w:eastAsia="en-US"/>
        </w:rPr>
        <w:t>, pričom b</w:t>
      </w:r>
      <w:r>
        <w:rPr>
          <w:b/>
          <w:i/>
          <w:szCs w:val="24"/>
          <w:lang w:eastAsia="en-US"/>
        </w:rPr>
        <w:t>y sa mala priorizovať sanácia in situ alebo ex situ</w:t>
      </w:r>
      <w:r>
        <w:rPr>
          <w:szCs w:val="24"/>
          <w:lang w:eastAsia="en-US"/>
        </w:rPr>
        <w:t>. Opatrenia prijaté podľa iných právnych predpisov Únie by sa mohli považovať za opatrenia na zníženie rizík v súlade s touto smernicou, ak sa opatreniami účinne znižujú riziká, ktoré predstavujú kontamino</w:t>
      </w:r>
      <w:r>
        <w:rPr>
          <w:szCs w:val="24"/>
          <w:lang w:eastAsia="en-US"/>
        </w:rPr>
        <w:t>vané lokality.</w:t>
      </w:r>
      <w:r>
        <w:rPr>
          <w:b/>
          <w:szCs w:val="24"/>
          <w:lang w:eastAsia="en-US"/>
        </w:rPr>
        <w:t xml:space="preserve"> [PN 34]</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(46a)</w:t>
      </w:r>
      <w:r>
        <w:rPr>
          <w:szCs w:val="24"/>
          <w:lang w:eastAsia="en-US"/>
        </w:rPr>
        <w:tab/>
      </w:r>
      <w:r>
        <w:rPr>
          <w:b/>
          <w:i/>
          <w:szCs w:val="24"/>
          <w:lang w:eastAsia="en-US"/>
        </w:rPr>
        <w:t>Zásady zmierňovania záberu pôdy by mali uľahčiť zabezpečenie potravinovej bezpečnosti Únie a zároveň zohľadňovať udržateľné bývanie, základnú infraštruktúru a projekty v oblasti energie z obnoviteľných zdrojov.</w:t>
      </w:r>
      <w:r>
        <w:rPr>
          <w:b/>
          <w:szCs w:val="24"/>
          <w:lang w:eastAsia="en-US"/>
        </w:rPr>
        <w:t xml:space="preserve"> [PN 35]</w:t>
      </w:r>
    </w:p>
    <w:p w:rsidR="009D7883" w:rsidRDefault="00AA63BB">
      <w:pPr>
        <w:spacing w:before="120" w:after="120" w:line="360" w:lineRule="auto"/>
        <w:ind w:left="850" w:hanging="850"/>
        <w:rPr>
          <w:szCs w:val="24"/>
          <w:lang w:eastAsia="en-US"/>
        </w:rPr>
      </w:pPr>
      <w:r>
        <w:rPr>
          <w:szCs w:val="24"/>
          <w:lang w:eastAsia="en-US"/>
        </w:rPr>
        <w:t>(47)</w:t>
      </w:r>
      <w:r>
        <w:rPr>
          <w:szCs w:val="24"/>
          <w:lang w:eastAsia="en-US"/>
        </w:rPr>
        <w:tab/>
        <w:t>V</w:t>
      </w:r>
      <w:r>
        <w:rPr>
          <w:szCs w:val="24"/>
          <w:lang w:eastAsia="en-US"/>
        </w:rPr>
        <w:t xml:space="preserve"> rámci opatrení prijatých podľa tejto smernice by sa mali zohľadniť aj iné politické ciele EÚ, ako sú ciele sledované [nariadením (EÚ) </w:t>
      </w:r>
      <w:proofErr w:type="spellStart"/>
      <w:r>
        <w:rPr>
          <w:szCs w:val="24"/>
          <w:lang w:eastAsia="en-US"/>
        </w:rPr>
        <w:t>xxxx</w:t>
      </w:r>
      <w:proofErr w:type="spellEnd"/>
      <w:r>
        <w:rPr>
          <w:szCs w:val="24"/>
          <w:lang w:eastAsia="en-US"/>
        </w:rPr>
        <w:t>/</w:t>
      </w:r>
      <w:proofErr w:type="spellStart"/>
      <w:r>
        <w:rPr>
          <w:szCs w:val="24"/>
          <w:lang w:eastAsia="en-US"/>
        </w:rPr>
        <w:t>xxxx</w:t>
      </w:r>
      <w:proofErr w:type="spellEnd"/>
      <w:r>
        <w:rPr>
          <w:szCs w:val="24"/>
          <w:vertAlign w:val="superscript"/>
          <w:lang w:eastAsia="en-US"/>
        </w:rPr>
        <w:footnoteReference w:id="40"/>
      </w:r>
      <w:r>
        <w:rPr>
          <w:szCs w:val="24"/>
          <w:lang w:eastAsia="en-US"/>
        </w:rPr>
        <w:t>+], ktoré sa zameriavajú na zaistenie bezpečných a udržateľných dodávok kritických surovín pre európsky priemys</w:t>
      </w:r>
      <w:r>
        <w:rPr>
          <w:szCs w:val="24"/>
          <w:lang w:eastAsia="en-US"/>
        </w:rPr>
        <w:t>el.</w:t>
      </w:r>
    </w:p>
    <w:p w:rsidR="009D7883" w:rsidRDefault="00AA63BB">
      <w:pPr>
        <w:spacing w:before="120" w:after="120" w:line="360" w:lineRule="auto"/>
        <w:ind w:left="850" w:hanging="850"/>
        <w:rPr>
          <w:szCs w:val="24"/>
          <w:lang w:eastAsia="en-US"/>
        </w:rPr>
      </w:pPr>
      <w:r>
        <w:rPr>
          <w:szCs w:val="24"/>
          <w:lang w:eastAsia="en-US"/>
        </w:rPr>
        <w:t>(48)</w:t>
      </w:r>
      <w:r>
        <w:rPr>
          <w:szCs w:val="24"/>
          <w:lang w:eastAsia="en-US"/>
        </w:rPr>
        <w:tab/>
        <w:t>Transparentnosť je kľúčovým prvkom politiky v oblasti pôdy. Zabezpečuje sa ňou verejná zodpovednosť a povedomie, ako aj spravodlivé trhové podmienky a monitorovanie pokroku. Členské štáty by preto mali zriadiť a udržiavať vnútroštátny register kon</w:t>
      </w:r>
      <w:r>
        <w:rPr>
          <w:szCs w:val="24"/>
          <w:lang w:eastAsia="en-US"/>
        </w:rPr>
        <w:t xml:space="preserve">taminovaných lokalít a potenciálne kontaminovaných lokalít zahŕňajúci informácie špecifické pre dané lokality, ktoré by mali byť verejne prístupné, a to v online databáze </w:t>
      </w:r>
      <w:proofErr w:type="spellStart"/>
      <w:r>
        <w:rPr>
          <w:szCs w:val="24"/>
          <w:lang w:eastAsia="en-US"/>
        </w:rPr>
        <w:t>georeferenčných</w:t>
      </w:r>
      <w:proofErr w:type="spellEnd"/>
      <w:r>
        <w:rPr>
          <w:szCs w:val="24"/>
          <w:lang w:eastAsia="en-US"/>
        </w:rPr>
        <w:t xml:space="preserve"> priestorových údajov. Register by mal obsahovať informácie, ktoré sú </w:t>
      </w:r>
      <w:r>
        <w:rPr>
          <w:szCs w:val="24"/>
          <w:lang w:eastAsia="en-US"/>
        </w:rPr>
        <w:t>nevyhnutné na to, aby bola verejnosť informovaná o existencii a obhospodarovaní potenciálne kontaminovaných lokalít a kontaminovaných lokalít. V prípade potenciálne kontaminovaných lokalít existuje len podozrenie na kontamináciu pôdy, ktoré sa ešte nepotvr</w:t>
      </w:r>
      <w:r>
        <w:rPr>
          <w:szCs w:val="24"/>
          <w:lang w:eastAsia="en-US"/>
        </w:rPr>
        <w:t>dilo, a preto treba rozdiel medzi kontaminovanými lokalitami a potenciálne kontaminovanými lokalitami riadne oznámiť a vysvetliť verejnosti, aby sa predišlo neodôvodneným obavám.</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(48a)</w:t>
      </w:r>
      <w:r>
        <w:rPr>
          <w:szCs w:val="24"/>
          <w:lang w:eastAsia="en-US"/>
        </w:rPr>
        <w:tab/>
      </w:r>
      <w:r>
        <w:rPr>
          <w:b/>
          <w:i/>
          <w:szCs w:val="24"/>
          <w:lang w:eastAsia="en-US"/>
        </w:rPr>
        <w:t>S cieľom chrániť pôdu pred znečistením vznikajúcimi chemickými látkam</w:t>
      </w:r>
      <w:r>
        <w:rPr>
          <w:b/>
          <w:i/>
          <w:szCs w:val="24"/>
          <w:lang w:eastAsia="en-US"/>
        </w:rPr>
        <w:t>i, ktoré by mohli predstavovať závažné riziko pre ľudské zdravie a zdravie zvierat a kontaminovať okolité ovzdušie, povrchové vody, podzemné vody a následne aj oceány, by sa mali vytvoriť politické mechanizmy na detekciu a posudzovanie takýchto látok vzbud</w:t>
      </w:r>
      <w:r>
        <w:rPr>
          <w:b/>
          <w:i/>
          <w:szCs w:val="24"/>
          <w:lang w:eastAsia="en-US"/>
        </w:rPr>
        <w:t xml:space="preserve">zujúcich obavy. V tejto súvislosti by sa v prípade kontaminácie pôdy mal vypracovať prístup, ktorý umožní monitorovanie a analýzu týchto látok alebo skupín látok prostredníctvom zoznamov sledovaných látok, ako je to v prípade povrchových a podzemných vôd. </w:t>
      </w:r>
      <w:r>
        <w:rPr>
          <w:b/>
          <w:i/>
          <w:szCs w:val="24"/>
          <w:lang w:eastAsia="en-US"/>
        </w:rPr>
        <w:t>Látky alebo skupiny látok, ktoré sa majú zaradiť do zoznamu sledovaných látok, by sa mali vyberať spomedzi látok, v prípade ktorých dostupné informácie naznačujú, že by mohli na úrovni Únie predstavovať významné riziko pre pôdne prostredie alebo prostrední</w:t>
      </w:r>
      <w:r>
        <w:rPr>
          <w:b/>
          <w:i/>
          <w:szCs w:val="24"/>
          <w:lang w:eastAsia="en-US"/>
        </w:rPr>
        <w:t>ctvom pôdneho prostredia, a v prípade ktorých sú údaje z monitorovania nedostatočné. Počet takýchto látok alebo skupín látok, ktoré sa majú monitorovať a analyzovať v rámci zoznamov sledovaných látok, by nemal byť obmedzený.</w:t>
      </w:r>
      <w:r>
        <w:rPr>
          <w:b/>
          <w:szCs w:val="24"/>
          <w:lang w:eastAsia="en-US"/>
        </w:rPr>
        <w:t xml:space="preserve"> [PN 37]</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(48b)</w:t>
      </w:r>
      <w:r>
        <w:rPr>
          <w:szCs w:val="24"/>
          <w:lang w:eastAsia="en-US"/>
        </w:rPr>
        <w:tab/>
      </w:r>
      <w:r>
        <w:rPr>
          <w:b/>
          <w:i/>
          <w:szCs w:val="24"/>
          <w:lang w:eastAsia="en-US"/>
        </w:rPr>
        <w:t xml:space="preserve">Látky, ako sú </w:t>
      </w:r>
      <w:proofErr w:type="spellStart"/>
      <w:r>
        <w:rPr>
          <w:b/>
          <w:i/>
          <w:szCs w:val="24"/>
          <w:lang w:eastAsia="en-US"/>
        </w:rPr>
        <w:t>p</w:t>
      </w:r>
      <w:r>
        <w:rPr>
          <w:b/>
          <w:i/>
          <w:szCs w:val="24"/>
          <w:lang w:eastAsia="en-US"/>
        </w:rPr>
        <w:t>erzistentné</w:t>
      </w:r>
      <w:proofErr w:type="spellEnd"/>
      <w:r>
        <w:rPr>
          <w:b/>
          <w:i/>
          <w:szCs w:val="24"/>
          <w:lang w:eastAsia="en-US"/>
        </w:rPr>
        <w:t xml:space="preserve"> organické látky, materiály a častice vrátane </w:t>
      </w:r>
      <w:proofErr w:type="spellStart"/>
      <w:r>
        <w:rPr>
          <w:b/>
          <w:i/>
          <w:szCs w:val="24"/>
          <w:lang w:eastAsia="en-US"/>
        </w:rPr>
        <w:t>mikroplastov</w:t>
      </w:r>
      <w:proofErr w:type="spellEnd"/>
      <w:r>
        <w:rPr>
          <w:b/>
          <w:i/>
          <w:szCs w:val="24"/>
          <w:lang w:eastAsia="en-US"/>
        </w:rPr>
        <w:t xml:space="preserve"> alebo </w:t>
      </w:r>
      <w:proofErr w:type="spellStart"/>
      <w:r>
        <w:rPr>
          <w:b/>
          <w:i/>
          <w:szCs w:val="24"/>
          <w:lang w:eastAsia="en-US"/>
        </w:rPr>
        <w:t>nanoplastov</w:t>
      </w:r>
      <w:proofErr w:type="spellEnd"/>
      <w:r>
        <w:rPr>
          <w:b/>
          <w:i/>
          <w:szCs w:val="24"/>
          <w:lang w:eastAsia="en-US"/>
        </w:rPr>
        <w:t xml:space="preserve">, predstavujú jasné riziko pre zdravie pôdy, ale aj pre základné činnosti, ako je rozvoj poľnohospodárstva. Ich prítomnosť v pôde môže mať vplyv na úrodnosť pôdy, a tým </w:t>
      </w:r>
      <w:r>
        <w:rPr>
          <w:b/>
          <w:i/>
          <w:szCs w:val="24"/>
          <w:lang w:eastAsia="en-US"/>
        </w:rPr>
        <w:t xml:space="preserve">ohroziť zdravie a zdravý rozvoj plodín. Preto je nevyhnutné, aby sa v tejto smernici stanovil rámec pre látky a materiály, ktoré sa majú zaradiť do monitorovania pôdnych kontaminantov, a pre vytvorenie noriem kvality životného prostredia a prijatie súboru </w:t>
      </w:r>
      <w:r>
        <w:rPr>
          <w:b/>
          <w:i/>
          <w:szCs w:val="24"/>
          <w:lang w:eastAsia="en-US"/>
        </w:rPr>
        <w:t>opatrení na prevenciu a nápravu kontaminácie pôdy v dôsledku známych a vznikajúcich hrozieb tam, kde je to vhodné.</w:t>
      </w:r>
      <w:r>
        <w:rPr>
          <w:b/>
          <w:szCs w:val="24"/>
          <w:lang w:eastAsia="en-US"/>
        </w:rPr>
        <w:t xml:space="preserve"> [PN 38]</w:t>
      </w:r>
    </w:p>
    <w:p w:rsidR="009D7883" w:rsidRDefault="00AA63BB">
      <w:pPr>
        <w:spacing w:before="120" w:after="120" w:line="360" w:lineRule="auto"/>
        <w:ind w:left="850" w:hanging="850"/>
        <w:rPr>
          <w:szCs w:val="24"/>
          <w:lang w:eastAsia="en-US"/>
        </w:rPr>
      </w:pPr>
      <w:r>
        <w:rPr>
          <w:szCs w:val="24"/>
          <w:lang w:eastAsia="en-US"/>
        </w:rPr>
        <w:t>(49)</w:t>
      </w:r>
      <w:r>
        <w:rPr>
          <w:szCs w:val="24"/>
          <w:lang w:eastAsia="en-US"/>
        </w:rPr>
        <w:tab/>
        <w:t>V článku 19 ods. 1 Zmluvy o Európskej únii (ďalej len „Zmluva o EÚ“) sa vyžaduje, aby členské štáty poskytovali v oblastiach, na</w:t>
      </w:r>
      <w:r>
        <w:rPr>
          <w:szCs w:val="24"/>
          <w:lang w:eastAsia="en-US"/>
        </w:rPr>
        <w:t xml:space="preserve"> ktoré sa vzťahuje právo Únie, prostriedky nápravy potrebné na zabezpečenie účinnej právnej ochrany. Okrem toho v súlade s </w:t>
      </w:r>
      <w:proofErr w:type="spellStart"/>
      <w:r>
        <w:rPr>
          <w:szCs w:val="24"/>
          <w:lang w:eastAsia="en-US"/>
        </w:rPr>
        <w:t>Aarhuským</w:t>
      </w:r>
      <w:proofErr w:type="spellEnd"/>
      <w:r>
        <w:rPr>
          <w:szCs w:val="24"/>
          <w:lang w:eastAsia="en-US"/>
        </w:rPr>
        <w:t xml:space="preserve"> dohovorom o prístupe k informáciám, účasti verejnosti na rozhodovacom procese a prístupe k spravodlivosti v záležitostiach </w:t>
      </w:r>
      <w:r>
        <w:rPr>
          <w:szCs w:val="24"/>
          <w:lang w:eastAsia="en-US"/>
        </w:rPr>
        <w:t>životného prostredia</w:t>
      </w:r>
      <w:r>
        <w:rPr>
          <w:szCs w:val="24"/>
          <w:vertAlign w:val="superscript"/>
          <w:lang w:eastAsia="en-US"/>
        </w:rPr>
        <w:footnoteReference w:id="41"/>
      </w:r>
      <w:r>
        <w:rPr>
          <w:szCs w:val="24"/>
          <w:lang w:eastAsia="en-US"/>
        </w:rPr>
        <w:t xml:space="preserve"> (</w:t>
      </w:r>
      <w:proofErr w:type="spellStart"/>
      <w:r>
        <w:rPr>
          <w:szCs w:val="24"/>
          <w:lang w:eastAsia="en-US"/>
        </w:rPr>
        <w:t>Aarhuský</w:t>
      </w:r>
      <w:proofErr w:type="spellEnd"/>
      <w:r>
        <w:rPr>
          <w:szCs w:val="24"/>
          <w:lang w:eastAsia="en-US"/>
        </w:rPr>
        <w:t xml:space="preserve"> dohovor) by dotknutí členovia verejnosti mali mať prístup k spravodlivosti s cieľom prispieť k ochrane práva na život v prostredí, ktoré je primerané osobnému zdraviu a dobrým životným podmienkam.</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(50)</w:t>
      </w:r>
      <w:r>
        <w:rPr>
          <w:szCs w:val="24"/>
          <w:lang w:eastAsia="en-US"/>
        </w:rPr>
        <w:tab/>
        <w:t>Smernicou Európskeho</w:t>
      </w:r>
      <w:r>
        <w:rPr>
          <w:szCs w:val="24"/>
          <w:lang w:eastAsia="en-US"/>
        </w:rPr>
        <w:t xml:space="preserve"> parlamentu a Rady (EÚ) 2019/1024</w:t>
      </w:r>
      <w:r>
        <w:rPr>
          <w:szCs w:val="24"/>
          <w:vertAlign w:val="superscript"/>
          <w:lang w:eastAsia="en-US"/>
        </w:rPr>
        <w:footnoteReference w:id="42"/>
      </w:r>
      <w:r>
        <w:rPr>
          <w:szCs w:val="24"/>
          <w:lang w:eastAsia="en-US"/>
        </w:rPr>
        <w:t xml:space="preserve"> sa udeľuje mandát na zverejnenie údajov verejného sektora v bezplatnom a otvorenom formáte. Celkovým cieľom je pokračovať v posilňovaní dátového hospodárstva EÚ prostredníctvom zvýšenia množstva </w:t>
      </w:r>
      <w:proofErr w:type="spellStart"/>
      <w:r>
        <w:rPr>
          <w:b/>
          <w:i/>
          <w:szCs w:val="24"/>
          <w:lang w:eastAsia="en-US"/>
        </w:rPr>
        <w:t>interoperabilných</w:t>
      </w:r>
      <w:proofErr w:type="spellEnd"/>
      <w:r>
        <w:rPr>
          <w:b/>
          <w:i/>
          <w:szCs w:val="24"/>
          <w:lang w:eastAsia="en-US"/>
        </w:rPr>
        <w:t xml:space="preserve"> </w:t>
      </w:r>
      <w:r>
        <w:rPr>
          <w:szCs w:val="24"/>
          <w:lang w:eastAsia="en-US"/>
        </w:rPr>
        <w:t>údajov v</w:t>
      </w:r>
      <w:r>
        <w:rPr>
          <w:szCs w:val="24"/>
          <w:lang w:eastAsia="en-US"/>
        </w:rPr>
        <w:t>erejného sektora, ktoré sú dostupné na opätovné použitie, pričom sa zabezpečí spravodlivá hospodárska súťaž a jednoduchý prístup k informáciám verejného sektora a zintenzívnia sa cezhraničné inovácie založené na údajoch</w:t>
      </w:r>
      <w:r>
        <w:rPr>
          <w:strike/>
          <w:szCs w:val="24"/>
          <w:lang w:eastAsia="en-US"/>
        </w:rPr>
        <w:t>. Platí hlavná zásada, že údaje verej</w:t>
      </w:r>
      <w:r>
        <w:rPr>
          <w:strike/>
          <w:szCs w:val="24"/>
          <w:lang w:eastAsia="en-US"/>
        </w:rPr>
        <w:t>nej správy by mali byť vo svojej podstate otvorené</w:t>
      </w:r>
      <w:r>
        <w:rPr>
          <w:szCs w:val="24"/>
          <w:lang w:eastAsia="en-US"/>
        </w:rPr>
        <w:t>. Cieľom smernice Európskeho parlamentu a Rady 2003/4/ES</w:t>
      </w:r>
      <w:r>
        <w:rPr>
          <w:szCs w:val="24"/>
          <w:vertAlign w:val="superscript"/>
          <w:lang w:eastAsia="en-US"/>
        </w:rPr>
        <w:footnoteReference w:id="43"/>
      </w:r>
      <w:r>
        <w:rPr>
          <w:szCs w:val="24"/>
          <w:lang w:eastAsia="en-US"/>
        </w:rPr>
        <w:t xml:space="preserve"> je zaručiť právo na prístup k informáciám o životnom prostredí v členských štátoch v súlade s </w:t>
      </w:r>
      <w:proofErr w:type="spellStart"/>
      <w:r>
        <w:rPr>
          <w:szCs w:val="24"/>
          <w:lang w:eastAsia="en-US"/>
        </w:rPr>
        <w:t>Aarhuským</w:t>
      </w:r>
      <w:proofErr w:type="spellEnd"/>
      <w:r>
        <w:rPr>
          <w:szCs w:val="24"/>
          <w:lang w:eastAsia="en-US"/>
        </w:rPr>
        <w:t xml:space="preserve"> dohovorom. </w:t>
      </w:r>
      <w:proofErr w:type="spellStart"/>
      <w:r>
        <w:rPr>
          <w:szCs w:val="24"/>
          <w:lang w:eastAsia="en-US"/>
        </w:rPr>
        <w:t>Aarhuský</w:t>
      </w:r>
      <w:proofErr w:type="spellEnd"/>
      <w:r>
        <w:rPr>
          <w:szCs w:val="24"/>
          <w:lang w:eastAsia="en-US"/>
        </w:rPr>
        <w:t xml:space="preserve"> dohovor spolu so smernic</w:t>
      </w:r>
      <w:r>
        <w:rPr>
          <w:szCs w:val="24"/>
          <w:lang w:eastAsia="en-US"/>
        </w:rPr>
        <w:t>ou 2003/4/ES zahŕňa širšie povinnosti týkajúce sa sprístupnenia informácií o životnom prostredí na požiadanie a aktívneho šírenia takýchto informácií. Aj smernica Európskeho parlamentu a Rady 2007/2/ES</w:t>
      </w:r>
      <w:r>
        <w:rPr>
          <w:szCs w:val="24"/>
          <w:vertAlign w:val="superscript"/>
          <w:lang w:eastAsia="en-US"/>
        </w:rPr>
        <w:footnoteReference w:id="44"/>
      </w:r>
      <w:r>
        <w:rPr>
          <w:szCs w:val="24"/>
          <w:lang w:eastAsia="en-US"/>
        </w:rPr>
        <w:t xml:space="preserve"> má široký rozsah pôsobnosti a pokrýva výmenu priestor</w:t>
      </w:r>
      <w:r>
        <w:rPr>
          <w:szCs w:val="24"/>
          <w:lang w:eastAsia="en-US"/>
        </w:rPr>
        <w:t xml:space="preserve">ových informácií vrátane súborov s údajmi o rôznych environmentálnych témach. Je dôležité, aby ustanovenia tejto smernice týkajúce sa prístupu k informáciám a opatrení o výmene údajov dopĺňali uvedené smernice a nevytvárali osobitný právny režim. Preto by </w:t>
      </w:r>
      <w:r>
        <w:rPr>
          <w:szCs w:val="24"/>
          <w:lang w:eastAsia="en-US"/>
        </w:rPr>
        <w:t>smernice (EÚ) 2019/1024, 2003/4/ES a 2007/2/ES nemali byť dotknuté ustanoveniami tejto smernice týkajúcimi sa informácií pre verejnosť a informácií o monitorovaní vykonávania.</w:t>
      </w:r>
      <w:r>
        <w:rPr>
          <w:b/>
          <w:szCs w:val="24"/>
          <w:lang w:eastAsia="en-US"/>
        </w:rPr>
        <w:t xml:space="preserve"> [PN 39]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(51)</w:t>
      </w:r>
      <w:r>
        <w:rPr>
          <w:szCs w:val="24"/>
          <w:lang w:eastAsia="en-US"/>
        </w:rPr>
        <w:tab/>
        <w:t>Aby sa zabezpečila potrebná úprava predpisov týkajúcich sa monito</w:t>
      </w:r>
      <w:r>
        <w:rPr>
          <w:szCs w:val="24"/>
          <w:lang w:eastAsia="en-US"/>
        </w:rPr>
        <w:t xml:space="preserve">rovania zdravia pôdy, </w:t>
      </w:r>
      <w:r>
        <w:rPr>
          <w:strike/>
          <w:szCs w:val="24"/>
          <w:lang w:eastAsia="en-US"/>
        </w:rPr>
        <w:t xml:space="preserve">udržateľného obhospodarovania </w:t>
      </w:r>
      <w:proofErr w:type="spellStart"/>
      <w:r>
        <w:rPr>
          <w:strike/>
          <w:szCs w:val="24"/>
          <w:lang w:eastAsia="en-US"/>
        </w:rPr>
        <w:t>pôdy</w:t>
      </w:r>
      <w:r>
        <w:rPr>
          <w:b/>
          <w:i/>
          <w:szCs w:val="24"/>
          <w:lang w:eastAsia="en-US"/>
        </w:rPr>
        <w:t>posudzovania</w:t>
      </w:r>
      <w:proofErr w:type="spellEnd"/>
      <w:r>
        <w:rPr>
          <w:szCs w:val="24"/>
          <w:lang w:eastAsia="en-US"/>
        </w:rPr>
        <w:t xml:space="preserve"> a obhospodarovania kontaminovaných lokalít, právomoc prijímať akty v súlade s článkom 290 Zmluvy o fungovaní Európskej únie by sa mala delegovať na Komisiu, pokiaľ ide o zmenu </w:t>
      </w:r>
      <w:r>
        <w:rPr>
          <w:b/>
          <w:i/>
          <w:szCs w:val="24"/>
          <w:lang w:eastAsia="en-US"/>
        </w:rPr>
        <w:t>alebo dopln</w:t>
      </w:r>
      <w:r>
        <w:rPr>
          <w:b/>
          <w:i/>
          <w:szCs w:val="24"/>
          <w:lang w:eastAsia="en-US"/>
        </w:rPr>
        <w:t xml:space="preserve">enie </w:t>
      </w:r>
      <w:r>
        <w:rPr>
          <w:szCs w:val="24"/>
          <w:lang w:eastAsia="en-US"/>
        </w:rPr>
        <w:t xml:space="preserve">tejto smernice s cieľom </w:t>
      </w:r>
      <w:r>
        <w:rPr>
          <w:b/>
          <w:i/>
          <w:szCs w:val="24"/>
          <w:lang w:eastAsia="en-US"/>
        </w:rPr>
        <w:t xml:space="preserve">prijať metodiku na určovanie prahových hodnôt pre pôdne </w:t>
      </w:r>
      <w:proofErr w:type="spellStart"/>
      <w:r>
        <w:rPr>
          <w:b/>
          <w:i/>
          <w:szCs w:val="24"/>
          <w:lang w:eastAsia="en-US"/>
        </w:rPr>
        <w:t>deskriptory</w:t>
      </w:r>
      <w:proofErr w:type="spellEnd"/>
      <w:r>
        <w:rPr>
          <w:b/>
          <w:i/>
          <w:szCs w:val="24"/>
          <w:lang w:eastAsia="en-US"/>
        </w:rPr>
        <w:t xml:space="preserve">, ktoré zavedú členské štáty, a </w:t>
      </w:r>
      <w:r>
        <w:rPr>
          <w:szCs w:val="24"/>
          <w:lang w:eastAsia="en-US"/>
        </w:rPr>
        <w:t>prispôsobiť</w:t>
      </w:r>
      <w:r>
        <w:rPr>
          <w:b/>
          <w:i/>
          <w:szCs w:val="24"/>
          <w:lang w:eastAsia="en-US"/>
        </w:rPr>
        <w:t xml:space="preserve"> technickému a vedeckému pokroku</w:t>
      </w:r>
      <w:r>
        <w:rPr>
          <w:szCs w:val="24"/>
          <w:lang w:eastAsia="en-US"/>
        </w:rPr>
        <w:t xml:space="preserve"> metodiky na monitorovanie zdravia pôdy,</w:t>
      </w:r>
      <w:r>
        <w:rPr>
          <w:strike/>
          <w:szCs w:val="24"/>
          <w:lang w:eastAsia="en-US"/>
        </w:rPr>
        <w:t xml:space="preserve"> zoznam zásad udržateľného obhospodarovania p</w:t>
      </w:r>
      <w:r>
        <w:rPr>
          <w:strike/>
          <w:szCs w:val="24"/>
          <w:lang w:eastAsia="en-US"/>
        </w:rPr>
        <w:t>ôdy,</w:t>
      </w:r>
      <w:r>
        <w:rPr>
          <w:szCs w:val="24"/>
          <w:lang w:eastAsia="en-US"/>
        </w:rPr>
        <w:t xml:space="preserve"> orientačný zoznam opatrení na zníženie rizík, fázy a požiadavky posúdenia rizík špecifických pre danú lokalitu a </w:t>
      </w:r>
      <w:r>
        <w:rPr>
          <w:strike/>
          <w:szCs w:val="24"/>
          <w:lang w:eastAsia="en-US"/>
        </w:rPr>
        <w:t xml:space="preserve">obsah registra kontaminovaných a potenciálne </w:t>
      </w:r>
      <w:r>
        <w:rPr>
          <w:b/>
          <w:i/>
          <w:szCs w:val="24"/>
          <w:lang w:eastAsia="en-US"/>
        </w:rPr>
        <w:t>stanovenie minimálnych prípustných hodnôt vo vzťahu k vymedzeniu neprijateľného rizika pre zd</w:t>
      </w:r>
      <w:r>
        <w:rPr>
          <w:b/>
          <w:i/>
          <w:szCs w:val="24"/>
          <w:lang w:eastAsia="en-US"/>
        </w:rPr>
        <w:t xml:space="preserve">ravie a životné prostredie vyplývajúceho z </w:t>
      </w:r>
      <w:r>
        <w:rPr>
          <w:szCs w:val="24"/>
          <w:lang w:eastAsia="en-US"/>
        </w:rPr>
        <w:t>kontaminovaných lokalít technickému a vedeckému pokroku. Je osobitne dôležité, aby Komisia počas prípravných prác uskutočnila príslušné konzultácie, a to aj na úrovni expertov, a aby tieto konzultácie vykonávala v</w:t>
      </w:r>
      <w:r>
        <w:rPr>
          <w:szCs w:val="24"/>
          <w:lang w:eastAsia="en-US"/>
        </w:rPr>
        <w:t xml:space="preserve"> súlade so zásadami stanovenými v </w:t>
      </w:r>
      <w:proofErr w:type="spellStart"/>
      <w:r>
        <w:rPr>
          <w:szCs w:val="24"/>
          <w:lang w:eastAsia="en-US"/>
        </w:rPr>
        <w:t>Medziinštitucionálnej</w:t>
      </w:r>
      <w:proofErr w:type="spellEnd"/>
      <w:r>
        <w:rPr>
          <w:szCs w:val="24"/>
          <w:lang w:eastAsia="en-US"/>
        </w:rPr>
        <w:t xml:space="preserve"> dohode o lepšej tvorbe práva z 13. apríla 2016</w:t>
      </w:r>
      <w:r>
        <w:rPr>
          <w:szCs w:val="24"/>
          <w:vertAlign w:val="superscript"/>
          <w:lang w:eastAsia="en-US"/>
        </w:rPr>
        <w:footnoteReference w:id="45"/>
      </w:r>
      <w:r>
        <w:rPr>
          <w:szCs w:val="24"/>
          <w:lang w:eastAsia="en-US"/>
        </w:rPr>
        <w:t>. Predovšetkým v záujme rovnakého zastúpenia pri príprave delegovaných aktov sa všetky dokumenty doručujú Európskemu parlamentu a Rade v rovnakom čase ak</w:t>
      </w:r>
      <w:r>
        <w:rPr>
          <w:szCs w:val="24"/>
          <w:lang w:eastAsia="en-US"/>
        </w:rPr>
        <w:t>o expertom z členských štátov a experti Európskeho parlamentu a Rady majú systematicky prístup na zasadnutia expertných skupín Komisie, ktoré sa zaoberajú prípravou delegovaných aktov.</w:t>
      </w:r>
      <w:r>
        <w:rPr>
          <w:b/>
          <w:szCs w:val="24"/>
          <w:lang w:eastAsia="en-US"/>
        </w:rPr>
        <w:t xml:space="preserve"> [PN 40]</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(52)</w:t>
      </w:r>
      <w:r>
        <w:rPr>
          <w:szCs w:val="24"/>
          <w:lang w:eastAsia="en-US"/>
        </w:rPr>
        <w:tab/>
        <w:t>S cieľom zabezpečiť jednotné podmienky vykonávania tejto</w:t>
      </w:r>
      <w:r>
        <w:rPr>
          <w:szCs w:val="24"/>
          <w:lang w:eastAsia="en-US"/>
        </w:rPr>
        <w:t xml:space="preserve"> smernice by sa mali na Komisiu preniesť vykonávacie právomoci, aby sa stanovil formát, štruktúra a podrobné opatrenia pre oznamovanie údajov a informácií Komisii v elektronickej forme. Tieto právomoci by sa mali vykonávať v súlade s nariadením Európskeho </w:t>
      </w:r>
      <w:r>
        <w:rPr>
          <w:szCs w:val="24"/>
          <w:lang w:eastAsia="en-US"/>
        </w:rPr>
        <w:t>parlamentu a Rady (EÚ) č. 182/2011</w:t>
      </w:r>
      <w:r>
        <w:rPr>
          <w:szCs w:val="24"/>
          <w:vertAlign w:val="superscript"/>
          <w:lang w:eastAsia="en-US"/>
        </w:rPr>
        <w:footnoteReference w:id="46"/>
      </w:r>
      <w:r>
        <w:rPr>
          <w:szCs w:val="24"/>
          <w:lang w:eastAsia="en-US"/>
        </w:rPr>
        <w:t>.</w:t>
      </w:r>
    </w:p>
    <w:p w:rsidR="009D7883" w:rsidRDefault="00AA63BB">
      <w:pPr>
        <w:spacing w:before="120" w:after="120" w:line="360" w:lineRule="auto"/>
        <w:ind w:left="850" w:hanging="850"/>
        <w:rPr>
          <w:b/>
          <w:szCs w:val="24"/>
          <w:lang w:eastAsia="en-US"/>
        </w:rPr>
      </w:pPr>
      <w:r>
        <w:rPr>
          <w:szCs w:val="24"/>
          <w:lang w:eastAsia="en-US"/>
        </w:rPr>
        <w:t>(53)</w:t>
      </w:r>
      <w:r>
        <w:rPr>
          <w:szCs w:val="24"/>
          <w:lang w:eastAsia="en-US"/>
        </w:rPr>
        <w:tab/>
        <w:t>Komisia by mala vykonať hodnotenie založené na dôkazoch a v relevantných prípadoch aj revíziu tejto smernice na základe výsledkov posúdenia zdravia pôdy, a to po šesť rokov po nadobudnutí účinnosti smernice. V hodn</w:t>
      </w:r>
      <w:r>
        <w:rPr>
          <w:szCs w:val="24"/>
          <w:lang w:eastAsia="en-US"/>
        </w:rPr>
        <w:t xml:space="preserve">otení by sa </w:t>
      </w:r>
      <w:proofErr w:type="spellStart"/>
      <w:r>
        <w:rPr>
          <w:strike/>
          <w:szCs w:val="24"/>
          <w:lang w:eastAsia="en-US"/>
        </w:rPr>
        <w:t>mala</w:t>
      </w:r>
      <w:r>
        <w:rPr>
          <w:b/>
          <w:i/>
          <w:szCs w:val="24"/>
          <w:lang w:eastAsia="en-US"/>
        </w:rPr>
        <w:t>mali</w:t>
      </w:r>
      <w:proofErr w:type="spellEnd"/>
      <w:r>
        <w:rPr>
          <w:szCs w:val="24"/>
          <w:lang w:eastAsia="en-US"/>
        </w:rPr>
        <w:t xml:space="preserve"> posúdiť </w:t>
      </w:r>
      <w:r>
        <w:rPr>
          <w:strike/>
          <w:szCs w:val="24"/>
          <w:lang w:eastAsia="en-US"/>
        </w:rPr>
        <w:t xml:space="preserve">hlavne potreba stanoviť špecifickejšie požiadavky, aby sa zabezpečila regenerácia nezdravých pôd a splnenie cieľa, ktorým sú zdravé </w:t>
      </w:r>
      <w:r>
        <w:rPr>
          <w:b/>
          <w:i/>
          <w:szCs w:val="24"/>
          <w:lang w:eastAsia="en-US"/>
        </w:rPr>
        <w:t xml:space="preserve">najmä nedostatky a opatrenia potrebné na dosiahnutie zdravej </w:t>
      </w:r>
      <w:r>
        <w:rPr>
          <w:szCs w:val="24"/>
          <w:lang w:eastAsia="en-US"/>
        </w:rPr>
        <w:t xml:space="preserve">pôdy do roku 2050. V hodnotení by </w:t>
      </w:r>
      <w:r>
        <w:rPr>
          <w:szCs w:val="24"/>
          <w:lang w:eastAsia="en-US"/>
        </w:rPr>
        <w:t xml:space="preserve">sa mala posúdiť aj potreba prispôsobiť definíciu zdravých pôd vedeckému a technickému pokroku, a to doplnením ustanovení o určitých </w:t>
      </w:r>
      <w:proofErr w:type="spellStart"/>
      <w:r>
        <w:rPr>
          <w:szCs w:val="24"/>
          <w:lang w:eastAsia="en-US"/>
        </w:rPr>
        <w:t>deskriptoroch</w:t>
      </w:r>
      <w:proofErr w:type="spellEnd"/>
      <w:r>
        <w:rPr>
          <w:szCs w:val="24"/>
          <w:lang w:eastAsia="en-US"/>
        </w:rPr>
        <w:t xml:space="preserve"> alebo kritériách na základe nových vedeckých dôkazov súvisiacich s ochranou pôd alebo v dôsledku problému, kto</w:t>
      </w:r>
      <w:r>
        <w:rPr>
          <w:szCs w:val="24"/>
          <w:lang w:eastAsia="en-US"/>
        </w:rPr>
        <w:t xml:space="preserve">rý je špecifický pre daný členský štát a ktorý vznikol vplyvom nových environmentálnych či klimatických okolností. Podľa bodu 22 </w:t>
      </w:r>
      <w:proofErr w:type="spellStart"/>
      <w:r>
        <w:rPr>
          <w:szCs w:val="24"/>
          <w:lang w:eastAsia="en-US"/>
        </w:rPr>
        <w:t>Medziinštitucionálnej</w:t>
      </w:r>
      <w:proofErr w:type="spellEnd"/>
      <w:r>
        <w:rPr>
          <w:szCs w:val="24"/>
          <w:lang w:eastAsia="en-US"/>
        </w:rPr>
        <w:t xml:space="preserve"> dohody o lepšej tvorbe práva by toto hodnotenie malo byť založené na kritériách, ktorými sú efektívnosť, </w:t>
      </w:r>
      <w:r>
        <w:rPr>
          <w:szCs w:val="24"/>
          <w:lang w:eastAsia="en-US"/>
        </w:rPr>
        <w:t>účinnosť, relevantnosť, súdržnosť a pridaná hodnota EÚ, a malo by poskytovať základ pre posúdenie vplyvu možností ďalších opatrení.</w:t>
      </w:r>
      <w:r>
        <w:rPr>
          <w:b/>
          <w:szCs w:val="24"/>
          <w:lang w:eastAsia="en-US"/>
        </w:rPr>
        <w:t xml:space="preserve"> [PN 41]</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(54)</w:t>
      </w:r>
      <w:r>
        <w:rPr>
          <w:szCs w:val="24"/>
          <w:lang w:eastAsia="en-US"/>
        </w:rPr>
        <w:tab/>
        <w:t>Koordinované opatrenia všetkých členských štátov sú nevyhnutné na splnenie vízie, podľa ktorej budú do roku 2</w:t>
      </w:r>
      <w:r>
        <w:rPr>
          <w:szCs w:val="24"/>
          <w:lang w:eastAsia="en-US"/>
        </w:rPr>
        <w:t>050 všetky pôdy zdravé, a takisto na zabezpečenie poskytovania ekosystémových služieb zo strany pôd v celej Únii a v dlhodobom horizonte. Ukázalo sa, že individuálne opatrenia členských štátov nie sú dostatočné, keďže degradácia pôdy pokračuje a dokonca sa</w:t>
      </w:r>
      <w:r>
        <w:rPr>
          <w:szCs w:val="24"/>
          <w:lang w:eastAsia="en-US"/>
        </w:rPr>
        <w:t xml:space="preserve"> zhoršuje. Keďže ciele tejto smernice nie je možné uspokojivo dosiahnuť na úrovni samotných členských štátov, ale z dôvodov rozsahu a dôsledkov činnosti ich možno lepšie dosiahnuť na úrovni Únie, môže Únia prijať opatrenia v súlade so zásadou subsidiarity </w:t>
      </w:r>
      <w:r>
        <w:rPr>
          <w:szCs w:val="24"/>
          <w:lang w:eastAsia="en-US"/>
        </w:rPr>
        <w:t>podľa článku 5 Zmluvy o EÚ. V súlade so zásadou proporcionality podľa uvedeného článku táto smernica neprekračuje rámec nevyhnutný na dosiahnutie týchto cieľov.</w:t>
      </w:r>
    </w:p>
    <w:p w:rsidR="009D7883" w:rsidRDefault="00AA63BB">
      <w:pPr>
        <w:spacing w:before="120" w:after="120" w:line="360" w:lineRule="auto"/>
        <w:ind w:left="850" w:hanging="850"/>
        <w:rPr>
          <w:szCs w:val="24"/>
          <w:lang w:eastAsia="en-US"/>
        </w:rPr>
      </w:pPr>
      <w:r>
        <w:rPr>
          <w:szCs w:val="24"/>
          <w:lang w:eastAsia="en-US"/>
        </w:rPr>
        <w:t>(55)</w:t>
      </w:r>
      <w:r>
        <w:rPr>
          <w:szCs w:val="24"/>
          <w:lang w:eastAsia="en-US"/>
        </w:rPr>
        <w:tab/>
        <w:t>V súlade so spoločným politickým vyhlásením členských štátov a Komisie z 28. septembra 201</w:t>
      </w:r>
      <w:r>
        <w:rPr>
          <w:szCs w:val="24"/>
          <w:lang w:eastAsia="en-US"/>
        </w:rPr>
        <w:t>1 k vysvetľujúcim dokumentom</w:t>
      </w:r>
      <w:r>
        <w:rPr>
          <w:szCs w:val="24"/>
          <w:vertAlign w:val="superscript"/>
          <w:lang w:eastAsia="en-US"/>
        </w:rPr>
        <w:footnoteReference w:id="47"/>
      </w:r>
      <w:r>
        <w:rPr>
          <w:szCs w:val="24"/>
          <w:lang w:eastAsia="en-US"/>
        </w:rPr>
        <w:t xml:space="preserve"> sa členské štáty zaviazali v odôvodnených prípadoch pripojiť k svojim oznámeniam transpozičných opatrení jeden alebo viacero dokumentov vysvetľujúcich vzťah medzi prvkami smernice a zodpovedajúcimi časťami vnútroštátnych trans</w:t>
      </w:r>
      <w:r>
        <w:rPr>
          <w:szCs w:val="24"/>
          <w:lang w:eastAsia="en-US"/>
        </w:rPr>
        <w:t>pozičných nástrojov. V súvislosti s touto smernicou sa zákonodarca domnieva, že zasielanie takýchto dokumentov je odôvodnené,</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(55a)</w:t>
      </w:r>
      <w:r>
        <w:rPr>
          <w:szCs w:val="24"/>
          <w:lang w:eastAsia="en-US"/>
        </w:rPr>
        <w:tab/>
      </w:r>
      <w:r>
        <w:rPr>
          <w:b/>
          <w:i/>
          <w:szCs w:val="24"/>
          <w:lang w:eastAsia="en-US"/>
        </w:rPr>
        <w:t>Cieľom tejto smernice je splniť dlhodobý cieľ zdravej pôdy v Únii do roku 2050 na základe koherentného rámca pre monitorov</w:t>
      </w:r>
      <w:r>
        <w:rPr>
          <w:b/>
          <w:i/>
          <w:szCs w:val="24"/>
          <w:lang w:eastAsia="en-US"/>
        </w:rPr>
        <w:t>anie pôdy a zlepšovanie jej zdravia. Vzhľadom na svoju povahu smernice je táto smernica v súlade s článkom 288 Zmluvy o fungovaní Európskej únie záväzná, pokiaľ ide o výsledok, ktorý sa má dosiahnuť v členských štátoch, ktorým je určená, pričom ponecháva v</w:t>
      </w:r>
      <w:r>
        <w:rPr>
          <w:b/>
          <w:i/>
          <w:szCs w:val="24"/>
          <w:lang w:eastAsia="en-US"/>
        </w:rPr>
        <w:t>nútroštátnym orgánom právomoc zvoliť si formu a metódy na dosiahnutie výsledku. Preto bude na členských štátoch, aby vypracovali vlastné právne predpisy o tom, ako dosiahnuť ciele stanovené v tejto smernici. Navrhovaný nástroj je smernica, pretože sa ňou č</w:t>
      </w:r>
      <w:r>
        <w:rPr>
          <w:b/>
          <w:i/>
          <w:szCs w:val="24"/>
          <w:lang w:eastAsia="en-US"/>
        </w:rPr>
        <w:t xml:space="preserve">lenským štátom poskytuje značná flexibilita na určenie opatrení, ktoré sú pre </w:t>
      </w:r>
      <w:proofErr w:type="spellStart"/>
      <w:r>
        <w:rPr>
          <w:b/>
          <w:i/>
          <w:szCs w:val="24"/>
          <w:lang w:eastAsia="en-US"/>
        </w:rPr>
        <w:t>ne</w:t>
      </w:r>
      <w:proofErr w:type="spellEnd"/>
      <w:r>
        <w:rPr>
          <w:b/>
          <w:i/>
          <w:szCs w:val="24"/>
          <w:lang w:eastAsia="en-US"/>
        </w:rPr>
        <w:t xml:space="preserve"> najlepšie, a na prispôsobenie prístupu miestnym podmienkam. Je to kľúčové pre zohľadnenie regionálnych a miestnych špecifík, pokiaľ ide o variabilitu pôdy, využívanie pôdy, kl</w:t>
      </w:r>
      <w:r>
        <w:rPr>
          <w:b/>
          <w:i/>
          <w:szCs w:val="24"/>
          <w:lang w:eastAsia="en-US"/>
        </w:rPr>
        <w:t xml:space="preserve">imatické podmienky a sociálno-ekonomické aspekty. Z povahy nástroja vyplýva, že zásady stanovené v tejto smernici nezahŕňajú priame povinnosti jednotlivcov, </w:t>
      </w:r>
      <w:r>
        <w:rPr>
          <w:b/>
          <w:szCs w:val="24"/>
          <w:lang w:eastAsia="en-US"/>
        </w:rPr>
        <w:t>[PN 42]</w:t>
      </w:r>
    </w:p>
    <w:p w:rsidR="009D7883" w:rsidRDefault="00AA63BB">
      <w:pPr>
        <w:keepNext/>
        <w:widowControl/>
        <w:spacing w:before="120" w:after="120" w:line="360" w:lineRule="auto"/>
        <w:rPr>
          <w:szCs w:val="24"/>
          <w:lang w:eastAsia="en-US"/>
        </w:rPr>
      </w:pPr>
      <w:r>
        <w:rPr>
          <w:szCs w:val="24"/>
          <w:lang w:eastAsia="en-US"/>
        </w:rPr>
        <w:t>PRIJALI TÚTO SMERNICU:</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Kapitola I</w:t>
      </w:r>
      <w:r>
        <w:rPr>
          <w:szCs w:val="24"/>
          <w:lang w:eastAsia="en-US"/>
        </w:rPr>
        <w:br/>
        <w:t>Všeobecné ustanovenia</w:t>
      </w:r>
    </w:p>
    <w:p w:rsidR="009D7883" w:rsidRDefault="00AA63BB">
      <w:pPr>
        <w:spacing w:before="120" w:after="120" w:line="360" w:lineRule="auto"/>
        <w:jc w:val="center"/>
        <w:rPr>
          <w:szCs w:val="24"/>
          <w:lang w:eastAsia="en-US"/>
        </w:rPr>
      </w:pPr>
      <w:r>
        <w:rPr>
          <w:szCs w:val="24"/>
          <w:lang w:eastAsia="en-US"/>
        </w:rPr>
        <w:t>Článok 1</w:t>
      </w:r>
      <w:r>
        <w:rPr>
          <w:szCs w:val="24"/>
          <w:lang w:eastAsia="en-US"/>
        </w:rPr>
        <w:br/>
        <w:t>Cieľ a predmet úpravy</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 xml:space="preserve">Cieľom smernice je zaviesť </w:t>
      </w:r>
      <w:r>
        <w:rPr>
          <w:strike/>
          <w:szCs w:val="24"/>
          <w:lang w:eastAsia="en-US"/>
        </w:rPr>
        <w:t xml:space="preserve">pevný a </w:t>
      </w:r>
      <w:r>
        <w:rPr>
          <w:b/>
          <w:i/>
          <w:szCs w:val="24"/>
          <w:lang w:eastAsia="en-US"/>
        </w:rPr>
        <w:t xml:space="preserve">jasný, solídny, </w:t>
      </w:r>
      <w:r>
        <w:rPr>
          <w:szCs w:val="24"/>
          <w:lang w:eastAsia="en-US"/>
        </w:rPr>
        <w:t>koherentný</w:t>
      </w:r>
      <w:r>
        <w:rPr>
          <w:b/>
          <w:i/>
          <w:szCs w:val="24"/>
          <w:lang w:eastAsia="en-US"/>
        </w:rPr>
        <w:t xml:space="preserve"> a flexibilný</w:t>
      </w:r>
      <w:r>
        <w:rPr>
          <w:szCs w:val="24"/>
          <w:lang w:eastAsia="en-US"/>
        </w:rPr>
        <w:t xml:space="preserve"> rámec monitorovania pôdy</w:t>
      </w:r>
      <w:r>
        <w:rPr>
          <w:b/>
          <w:i/>
          <w:szCs w:val="24"/>
          <w:lang w:eastAsia="en-US"/>
        </w:rPr>
        <w:t xml:space="preserve"> a posudzovania</w:t>
      </w:r>
      <w:r>
        <w:rPr>
          <w:szCs w:val="24"/>
          <w:lang w:eastAsia="en-US"/>
        </w:rPr>
        <w:t xml:space="preserve"> pre všetky pôdy naprieč EÚ </w:t>
      </w:r>
      <w:r>
        <w:rPr>
          <w:strike/>
          <w:szCs w:val="24"/>
          <w:lang w:eastAsia="en-US"/>
        </w:rPr>
        <w:t>a</w:t>
      </w:r>
      <w:r>
        <w:rPr>
          <w:b/>
          <w:i/>
          <w:szCs w:val="24"/>
          <w:lang w:eastAsia="en-US"/>
        </w:rPr>
        <w:t>s cieľom</w:t>
      </w:r>
      <w:r>
        <w:rPr>
          <w:szCs w:val="24"/>
          <w:lang w:eastAsia="en-US"/>
        </w:rPr>
        <w:t xml:space="preserve"> neustále zlepšovať zdravie pôdy v Únii s cieľom dosiahnuť do roku 2050 zdravé pôdy a udržať ich v zdrav</w:t>
      </w:r>
      <w:r>
        <w:rPr>
          <w:szCs w:val="24"/>
          <w:lang w:eastAsia="en-US"/>
        </w:rPr>
        <w:t>om stave</w:t>
      </w:r>
      <w:r>
        <w:rPr>
          <w:b/>
          <w:i/>
          <w:szCs w:val="24"/>
          <w:lang w:eastAsia="en-US"/>
        </w:rPr>
        <w:t xml:space="preserve"> a zabrániť ich zhoršovaniu</w:t>
      </w:r>
      <w:r>
        <w:rPr>
          <w:szCs w:val="24"/>
          <w:lang w:eastAsia="en-US"/>
        </w:rPr>
        <w:t xml:space="preserve">, aby mohli poskytovať rozmanité ekosystémové služby v rozsahu, ktorý bude dostatočný na uspokojenie environmentálnych, spoločenských a hospodárskych potrieb, pomohli predchádzať vplyvom zmeny klímy a straty biodiverzity </w:t>
      </w:r>
      <w:r>
        <w:rPr>
          <w:szCs w:val="24"/>
          <w:lang w:eastAsia="en-US"/>
        </w:rPr>
        <w:t>a zmierňovať ich, zvyšovať odolnosť voči prírodným katastrofám a odolnosť potravinovej bezpečnosti a kontaminácia pôdy sa tak znížila na úroveň, ktorá sa už nebude považovať za škodlivú pre ľudské zdravie alebo životné prostredie.</w:t>
      </w:r>
    </w:p>
    <w:p w:rsidR="009D7883" w:rsidRDefault="00AA63BB">
      <w:pPr>
        <w:spacing w:before="120" w:after="120" w:line="360" w:lineRule="auto"/>
        <w:ind w:left="850"/>
        <w:rPr>
          <w:b/>
          <w:szCs w:val="24"/>
          <w:lang w:eastAsia="en-US"/>
        </w:rPr>
      </w:pPr>
      <w:r>
        <w:rPr>
          <w:b/>
          <w:i/>
          <w:szCs w:val="24"/>
          <w:lang w:eastAsia="en-US"/>
        </w:rPr>
        <w:t xml:space="preserve">Touto smernicou sa preto </w:t>
      </w:r>
      <w:r>
        <w:rPr>
          <w:b/>
          <w:i/>
          <w:szCs w:val="24"/>
          <w:lang w:eastAsia="en-US"/>
        </w:rPr>
        <w:t>stanovuje rámec, v ktorom sa od členských štátov vyžaduje, aby zaviedli opatrenia, ktoré sú technicky uskutočniteľné a založené na analýze nákladov a prínosov, s cieľom dosiahnuť zdravé pôdy do roku 2050.</w:t>
      </w:r>
      <w:r>
        <w:rPr>
          <w:b/>
          <w:szCs w:val="24"/>
          <w:lang w:eastAsia="en-US"/>
        </w:rPr>
        <w:t xml:space="preserve"> [PN 43]</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szCs w:val="24"/>
          <w:lang w:eastAsia="en-US"/>
        </w:rPr>
      </w:pPr>
      <w:r>
        <w:rPr>
          <w:b/>
          <w:i/>
          <w:szCs w:val="24"/>
          <w:lang w:eastAsia="en-US"/>
        </w:rPr>
        <w:lastRenderedPageBreak/>
        <w:t>1a.</w:t>
      </w:r>
      <w:r>
        <w:rPr>
          <w:szCs w:val="24"/>
          <w:lang w:eastAsia="en-US"/>
        </w:rPr>
        <w:tab/>
      </w:r>
      <w:r>
        <w:rPr>
          <w:b/>
          <w:i/>
          <w:szCs w:val="24"/>
          <w:lang w:eastAsia="en-US"/>
        </w:rPr>
        <w:t>Táto smernica prispieva k plneniu med</w:t>
      </w:r>
      <w:r>
        <w:rPr>
          <w:b/>
          <w:i/>
          <w:szCs w:val="24"/>
          <w:lang w:eastAsia="en-US"/>
        </w:rPr>
        <w:t xml:space="preserve">zinárodných a </w:t>
      </w:r>
      <w:proofErr w:type="spellStart"/>
      <w:r>
        <w:rPr>
          <w:b/>
          <w:i/>
          <w:szCs w:val="24"/>
          <w:lang w:eastAsia="en-US"/>
        </w:rPr>
        <w:t>únijných</w:t>
      </w:r>
      <w:proofErr w:type="spellEnd"/>
      <w:r>
        <w:rPr>
          <w:b/>
          <w:i/>
          <w:szCs w:val="24"/>
          <w:lang w:eastAsia="en-US"/>
        </w:rPr>
        <w:t xml:space="preserve"> záväzkov a cieľov vrátane záväzkov a cieľov stanovených v: </w:t>
      </w:r>
    </w:p>
    <w:p w:rsidR="009D7883" w:rsidRDefault="00AA63BB">
      <w:pPr>
        <w:spacing w:before="120" w:after="120" w:line="360" w:lineRule="auto"/>
        <w:ind w:left="1416" w:hanging="566"/>
        <w:rPr>
          <w:szCs w:val="24"/>
          <w:lang w:eastAsia="en-US"/>
        </w:rPr>
      </w:pPr>
      <w:r>
        <w:rPr>
          <w:b/>
          <w:i/>
          <w:szCs w:val="24"/>
          <w:lang w:eastAsia="en-US"/>
        </w:rPr>
        <w:t>a)</w:t>
      </w:r>
      <w:r>
        <w:rPr>
          <w:szCs w:val="24"/>
          <w:lang w:eastAsia="en-US"/>
        </w:rPr>
        <w:tab/>
      </w:r>
      <w:proofErr w:type="spellStart"/>
      <w:r>
        <w:rPr>
          <w:b/>
          <w:i/>
          <w:szCs w:val="24"/>
          <w:lang w:eastAsia="en-US"/>
        </w:rPr>
        <w:t>Kunming</w:t>
      </w:r>
      <w:proofErr w:type="spellEnd"/>
      <w:r>
        <w:rPr>
          <w:b/>
          <w:i/>
          <w:szCs w:val="24"/>
          <w:lang w:eastAsia="en-US"/>
        </w:rPr>
        <w:t>-Montreal globálnom rámci pre biodiverzitu;</w:t>
      </w:r>
    </w:p>
    <w:p w:rsidR="009D7883" w:rsidRDefault="00AA63BB">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Parížskej dohode;</w:t>
      </w:r>
    </w:p>
    <w:p w:rsidR="009D7883" w:rsidRDefault="00AA63BB">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 xml:space="preserve">Dohovore OSN o boji proti </w:t>
      </w:r>
      <w:proofErr w:type="spellStart"/>
      <w:r>
        <w:rPr>
          <w:b/>
          <w:i/>
          <w:szCs w:val="24"/>
          <w:lang w:eastAsia="en-US"/>
        </w:rPr>
        <w:t>dezertifikácii</w:t>
      </w:r>
      <w:proofErr w:type="spellEnd"/>
      <w:r>
        <w:rPr>
          <w:b/>
          <w:i/>
          <w:szCs w:val="24"/>
          <w:lang w:eastAsia="en-US"/>
        </w:rPr>
        <w:t xml:space="preserve"> (</w:t>
      </w:r>
      <w:proofErr w:type="spellStart"/>
      <w:r>
        <w:rPr>
          <w:b/>
          <w:i/>
          <w:szCs w:val="24"/>
          <w:lang w:eastAsia="en-US"/>
        </w:rPr>
        <w:t>UNCCD</w:t>
      </w:r>
      <w:proofErr w:type="spellEnd"/>
      <w:r>
        <w:rPr>
          <w:b/>
          <w:i/>
          <w:szCs w:val="24"/>
          <w:lang w:eastAsia="en-US"/>
        </w:rPr>
        <w:t>);</w:t>
      </w:r>
    </w:p>
    <w:p w:rsidR="009D7883" w:rsidRDefault="00AA63BB">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7. environmentálnom akčnom programe EÚ (ro</w:t>
      </w:r>
      <w:r>
        <w:rPr>
          <w:b/>
          <w:i/>
          <w:szCs w:val="24"/>
          <w:lang w:eastAsia="en-US"/>
        </w:rPr>
        <w:t>zhodnutie č. 1386/2013/EÚ);</w:t>
      </w:r>
    </w:p>
    <w:p w:rsidR="009D7883" w:rsidRDefault="00AA63BB">
      <w:pPr>
        <w:spacing w:before="120" w:after="120" w:line="360" w:lineRule="auto"/>
        <w:ind w:left="1416" w:hanging="566"/>
        <w:rPr>
          <w:szCs w:val="24"/>
          <w:lang w:eastAsia="en-US"/>
        </w:rPr>
      </w:pPr>
      <w:r>
        <w:rPr>
          <w:b/>
          <w:i/>
          <w:szCs w:val="24"/>
          <w:lang w:eastAsia="en-US"/>
        </w:rPr>
        <w:t>e)</w:t>
      </w:r>
      <w:r>
        <w:rPr>
          <w:szCs w:val="24"/>
          <w:lang w:eastAsia="en-US"/>
        </w:rPr>
        <w:tab/>
      </w:r>
      <w:r>
        <w:rPr>
          <w:b/>
          <w:i/>
          <w:szCs w:val="24"/>
          <w:lang w:eastAsia="en-US"/>
        </w:rPr>
        <w:t>8. environmentálnom akčnom programe EÚ (rozhodnutie (EÚ) č. 2022/591);</w:t>
      </w:r>
    </w:p>
    <w:p w:rsidR="009D7883" w:rsidRDefault="00AA63BB">
      <w:pPr>
        <w:spacing w:before="120" w:after="120" w:line="360" w:lineRule="auto"/>
        <w:ind w:left="1416" w:hanging="566"/>
        <w:rPr>
          <w:b/>
          <w:szCs w:val="24"/>
          <w:lang w:eastAsia="en-US"/>
        </w:rPr>
      </w:pPr>
      <w:r>
        <w:rPr>
          <w:b/>
          <w:i/>
          <w:szCs w:val="24"/>
          <w:lang w:eastAsia="en-US"/>
        </w:rPr>
        <w:t>f)</w:t>
      </w:r>
      <w:r>
        <w:rPr>
          <w:szCs w:val="24"/>
          <w:lang w:eastAsia="en-US"/>
        </w:rPr>
        <w:tab/>
      </w:r>
      <w:r>
        <w:rPr>
          <w:b/>
          <w:i/>
          <w:szCs w:val="24"/>
          <w:lang w:eastAsia="en-US"/>
        </w:rPr>
        <w:t>Pláne pre Európu efektívne využívajúcu zdroje [COM(2011)0571].</w:t>
      </w:r>
      <w:r>
        <w:rPr>
          <w:b/>
          <w:szCs w:val="24"/>
          <w:lang w:eastAsia="en-US"/>
        </w:rPr>
        <w:t xml:space="preserve"> [PN 44]</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Touto smernicou sa stanovujú opatrenia týkajúce sa:</w:t>
      </w:r>
    </w:p>
    <w:p w:rsidR="009D7883" w:rsidRDefault="00AA63BB">
      <w:pPr>
        <w:spacing w:before="120" w:after="120" w:line="360" w:lineRule="auto"/>
        <w:ind w:left="1416" w:hanging="566"/>
        <w:rPr>
          <w:b/>
          <w:szCs w:val="24"/>
          <w:lang w:eastAsia="en-US"/>
        </w:rPr>
      </w:pPr>
      <w:r>
        <w:rPr>
          <w:szCs w:val="24"/>
          <w:lang w:eastAsia="en-US"/>
        </w:rPr>
        <w:t>a)</w:t>
      </w:r>
      <w:r>
        <w:rPr>
          <w:szCs w:val="24"/>
          <w:lang w:eastAsia="en-US"/>
        </w:rPr>
        <w:tab/>
        <w:t>monitorovania</w:t>
      </w:r>
      <w:r>
        <w:rPr>
          <w:b/>
          <w:i/>
          <w:szCs w:val="24"/>
          <w:lang w:eastAsia="en-US"/>
        </w:rPr>
        <w:t xml:space="preserve">, </w:t>
      </w:r>
      <w:r>
        <w:rPr>
          <w:b/>
          <w:i/>
          <w:szCs w:val="24"/>
          <w:lang w:eastAsia="en-US"/>
        </w:rPr>
        <w:t>zachovávania, zlepšovania, obnovy a posudzovania</w:t>
      </w:r>
      <w:r>
        <w:rPr>
          <w:strike/>
          <w:szCs w:val="24"/>
          <w:lang w:eastAsia="en-US"/>
        </w:rPr>
        <w:t xml:space="preserve"> a posúdenia</w:t>
      </w:r>
      <w:r>
        <w:rPr>
          <w:szCs w:val="24"/>
          <w:lang w:eastAsia="en-US"/>
        </w:rPr>
        <w:t xml:space="preserve"> zdravia pôdy</w:t>
      </w:r>
      <w:r>
        <w:rPr>
          <w:b/>
          <w:i/>
          <w:szCs w:val="24"/>
          <w:lang w:eastAsia="en-US"/>
        </w:rPr>
        <w:t xml:space="preserve"> na základe jej ekologického stavu</w:t>
      </w:r>
      <w:r>
        <w:rPr>
          <w:szCs w:val="24"/>
          <w:lang w:eastAsia="en-US"/>
        </w:rPr>
        <w:t>;</w:t>
      </w:r>
      <w:r>
        <w:rPr>
          <w:b/>
          <w:szCs w:val="24"/>
          <w:lang w:eastAsia="en-US"/>
        </w:rPr>
        <w:t xml:space="preserve"> [PN 45]</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udržateľného obhospodarovania pôdy;</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kontaminovaných lokalít.</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2</w:t>
      </w:r>
      <w:r>
        <w:rPr>
          <w:szCs w:val="24"/>
          <w:lang w:eastAsia="en-US"/>
        </w:rPr>
        <w:br/>
        <w:t>Rozsah pôsobnosti</w:t>
      </w:r>
    </w:p>
    <w:p w:rsidR="009D7883" w:rsidRDefault="00AA63BB">
      <w:pPr>
        <w:spacing w:before="120" w:after="120" w:line="360" w:lineRule="auto"/>
        <w:rPr>
          <w:szCs w:val="24"/>
          <w:lang w:eastAsia="en-US"/>
        </w:rPr>
      </w:pPr>
      <w:r>
        <w:rPr>
          <w:szCs w:val="24"/>
          <w:lang w:eastAsia="en-US"/>
        </w:rPr>
        <w:t>Táto smernica sa vzťahuje na všetky pôdy na</w:t>
      </w:r>
      <w:r>
        <w:rPr>
          <w:szCs w:val="24"/>
          <w:lang w:eastAsia="en-US"/>
        </w:rPr>
        <w:t xml:space="preserve"> území členských štátov.</w:t>
      </w:r>
    </w:p>
    <w:p w:rsidR="009D7883" w:rsidRDefault="00AA63BB">
      <w:pPr>
        <w:spacing w:before="120" w:after="120" w:line="360" w:lineRule="auto"/>
        <w:jc w:val="center"/>
        <w:rPr>
          <w:szCs w:val="24"/>
          <w:lang w:eastAsia="en-US"/>
        </w:rPr>
      </w:pPr>
      <w:r>
        <w:rPr>
          <w:szCs w:val="24"/>
          <w:lang w:eastAsia="en-US"/>
        </w:rPr>
        <w:t>Článok 3</w:t>
      </w:r>
      <w:r>
        <w:rPr>
          <w:szCs w:val="24"/>
          <w:lang w:eastAsia="en-US"/>
        </w:rPr>
        <w:br/>
        <w:t>Vymedzenie pojmov</w:t>
      </w:r>
    </w:p>
    <w:p w:rsidR="009D7883" w:rsidRDefault="00AA63BB">
      <w:pPr>
        <w:spacing w:before="120" w:after="120" w:line="360" w:lineRule="auto"/>
        <w:rPr>
          <w:szCs w:val="24"/>
          <w:lang w:eastAsia="en-US"/>
        </w:rPr>
      </w:pPr>
      <w:r>
        <w:rPr>
          <w:szCs w:val="24"/>
          <w:lang w:eastAsia="en-US"/>
        </w:rPr>
        <w:t>Na účely tejto smernice sa uplatňuje toto vymedzenie pojmov:</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„pôda“ je vrchná vrstva zemskej kôry, ktorá sa nachádza medzi skalným podložím a zemským povrchom a ktorá sa skladá z minerálnych častíc, or</w:t>
      </w:r>
      <w:r>
        <w:rPr>
          <w:szCs w:val="24"/>
          <w:lang w:eastAsia="en-US"/>
        </w:rPr>
        <w:t>ganickej hmoty, vody, vzduchu a živých organizmov</w:t>
      </w:r>
      <w:r>
        <w:rPr>
          <w:b/>
          <w:i/>
          <w:szCs w:val="24"/>
          <w:lang w:eastAsia="en-US"/>
        </w:rPr>
        <w:t xml:space="preserve"> okrem ložísk surovín</w:t>
      </w:r>
      <w:r>
        <w:rPr>
          <w:szCs w:val="24"/>
          <w:lang w:eastAsia="en-US"/>
        </w:rPr>
        <w:t>;</w:t>
      </w:r>
      <w:r>
        <w:rPr>
          <w:b/>
          <w:szCs w:val="24"/>
          <w:lang w:eastAsia="en-US"/>
        </w:rPr>
        <w:t xml:space="preserve"> [PN 217 a 266]</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szCs w:val="24"/>
          <w:lang w:eastAsia="en-US"/>
        </w:rPr>
      </w:pPr>
      <w:r>
        <w:rPr>
          <w:b/>
          <w:i/>
          <w:szCs w:val="24"/>
          <w:lang w:eastAsia="en-US"/>
        </w:rPr>
        <w:lastRenderedPageBreak/>
        <w:t>1a.</w:t>
      </w:r>
      <w:r>
        <w:rPr>
          <w:szCs w:val="24"/>
          <w:lang w:eastAsia="en-US"/>
        </w:rPr>
        <w:tab/>
      </w:r>
      <w:r>
        <w:rPr>
          <w:b/>
          <w:i/>
          <w:szCs w:val="24"/>
          <w:lang w:eastAsia="en-US"/>
        </w:rPr>
        <w:t xml:space="preserve">„ekologický stav pôdy“ je ekologická kvalita pôdy, ktorá sa hodnotí na základe diverzity, biologickej a funkčnej aktivity pôdy, biotopu a prítomnosti faktorov </w:t>
      </w:r>
      <w:r>
        <w:rPr>
          <w:b/>
          <w:i/>
          <w:szCs w:val="24"/>
          <w:lang w:eastAsia="en-US"/>
        </w:rPr>
        <w:t>degradácie a určuje podľa tejto klasifikácie:</w:t>
      </w:r>
    </w:p>
    <w:p w:rsidR="009D7883" w:rsidRDefault="00AA63BB">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„veľmi dobrý ekologický stav pôdy“ sa vzťahuje na pôdy s vysokou biologickou a funkčnou aktivitou;</w:t>
      </w:r>
    </w:p>
    <w:p w:rsidR="009D7883" w:rsidRDefault="00AA63BB">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„dobrý ekologický stav pôdy“ sa vzťahuje na pôdy v celkovo dobrom ekologickom stave, no u ktorých možno k</w:t>
      </w:r>
      <w:r>
        <w:rPr>
          <w:b/>
          <w:i/>
          <w:szCs w:val="24"/>
          <w:lang w:eastAsia="en-US"/>
        </w:rPr>
        <w:t>onštatovať mierne nepriaznivé dôsledky jedného alebo viacerých faktorov degradácie;</w:t>
      </w:r>
    </w:p>
    <w:p w:rsidR="009D7883" w:rsidRDefault="00AA63BB">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„primeraný ekologický stav pôdy“ sa vzťahuje na pôdy, u ktorých možno konštatovať mierne nepriaznivé dôsledky faktorov degradácie;</w:t>
      </w:r>
    </w:p>
    <w:p w:rsidR="009D7883" w:rsidRDefault="00AA63BB">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„degradované pôdy“ sa vzťahuje na p</w:t>
      </w:r>
      <w:r>
        <w:rPr>
          <w:b/>
          <w:i/>
          <w:szCs w:val="24"/>
          <w:lang w:eastAsia="en-US"/>
        </w:rPr>
        <w:t>ôdy, u ktorých možno jasne konštatovať nepriaznivé dôsledky jedného faktora degradácie; a</w:t>
      </w:r>
    </w:p>
    <w:p w:rsidR="009D7883" w:rsidRDefault="00AA63BB">
      <w:pPr>
        <w:spacing w:before="120" w:after="120" w:line="360" w:lineRule="auto"/>
        <w:ind w:left="1416" w:hanging="566"/>
        <w:rPr>
          <w:b/>
          <w:szCs w:val="24"/>
          <w:lang w:eastAsia="en-US"/>
        </w:rPr>
      </w:pPr>
      <w:r>
        <w:rPr>
          <w:b/>
          <w:i/>
          <w:szCs w:val="24"/>
          <w:lang w:eastAsia="en-US"/>
        </w:rPr>
        <w:t>e)</w:t>
      </w:r>
      <w:r>
        <w:rPr>
          <w:szCs w:val="24"/>
          <w:lang w:eastAsia="en-US"/>
        </w:rPr>
        <w:tab/>
      </w:r>
      <w:r>
        <w:rPr>
          <w:b/>
          <w:i/>
          <w:szCs w:val="24"/>
          <w:lang w:eastAsia="en-US"/>
        </w:rPr>
        <w:t>„kriticky degradované pôdy“ sa vzťahuje na pôdy, u ktorých možno jasne konštatovať nepriaznivé dôsledky viacerých faktorov degradácie;</w:t>
      </w:r>
      <w:r>
        <w:rPr>
          <w:b/>
          <w:szCs w:val="24"/>
          <w:lang w:eastAsia="en-US"/>
        </w:rPr>
        <w:t xml:space="preserve"> [PN 46]</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1b.</w:t>
      </w:r>
      <w:r>
        <w:rPr>
          <w:szCs w:val="24"/>
          <w:lang w:eastAsia="en-US"/>
        </w:rPr>
        <w:tab/>
      </w:r>
      <w:r>
        <w:rPr>
          <w:b/>
          <w:i/>
          <w:szCs w:val="24"/>
          <w:lang w:eastAsia="en-US"/>
        </w:rPr>
        <w:t>„ekologické fu</w:t>
      </w:r>
      <w:r>
        <w:rPr>
          <w:b/>
          <w:i/>
          <w:szCs w:val="24"/>
          <w:lang w:eastAsia="en-US"/>
        </w:rPr>
        <w:t>nkcie pôdy“ sú súbor vzájomne prepojených procesov a interakcií v pôdnom ekosystéme, ktoré udržiavajú život, podporujú pôdnu biodiverzitu a zároveň sú jej výsledkom a udržiavajú celkové zdravie a produktivitu suchozemských prostredí, napríklad kolobeh živí</w:t>
      </w:r>
      <w:r>
        <w:rPr>
          <w:b/>
          <w:i/>
          <w:szCs w:val="24"/>
          <w:lang w:eastAsia="en-US"/>
        </w:rPr>
        <w:t>n, rozklad organickej hmoty, tvorba štruktúry pôdy, filtrácia a čistenie vody, sekvestrácia uhlíka a poskytovanie biotopov a zdrojov rôznym organizmom;</w:t>
      </w:r>
      <w:r>
        <w:rPr>
          <w:b/>
          <w:szCs w:val="24"/>
          <w:lang w:eastAsia="en-US"/>
        </w:rPr>
        <w:t xml:space="preserve"> [PN 47]</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„ekosystém“ je dynamický komplex spoločenstiev rastlín, živočíchov a mikroorganizmov a ich ne</w:t>
      </w:r>
      <w:r>
        <w:rPr>
          <w:szCs w:val="24"/>
          <w:lang w:eastAsia="en-US"/>
        </w:rPr>
        <w:t>živého prostredia, ktoré navzájom pôsobia ako funkčná jednotka;</w:t>
      </w:r>
    </w:p>
    <w:p w:rsidR="009D7883" w:rsidRDefault="00AA63BB">
      <w:pPr>
        <w:spacing w:before="120" w:after="120" w:line="360" w:lineRule="auto"/>
        <w:ind w:left="850" w:hanging="850"/>
        <w:rPr>
          <w:b/>
          <w:szCs w:val="24"/>
          <w:lang w:eastAsia="en-US"/>
        </w:rPr>
      </w:pPr>
      <w:r>
        <w:rPr>
          <w:szCs w:val="24"/>
          <w:lang w:eastAsia="en-US"/>
        </w:rPr>
        <w:t>3.</w:t>
      </w:r>
      <w:r>
        <w:rPr>
          <w:szCs w:val="24"/>
          <w:lang w:eastAsia="en-US"/>
        </w:rPr>
        <w:tab/>
        <w:t>„ekosystémové služby“ sú</w:t>
      </w:r>
      <w:r>
        <w:rPr>
          <w:b/>
          <w:i/>
          <w:szCs w:val="24"/>
          <w:lang w:eastAsia="en-US"/>
        </w:rPr>
        <w:t xml:space="preserve"> priame a</w:t>
      </w:r>
      <w:r>
        <w:rPr>
          <w:szCs w:val="24"/>
          <w:lang w:eastAsia="en-US"/>
        </w:rPr>
        <w:t xml:space="preserve"> nepriame príspevky ekosystémov k</w:t>
      </w:r>
      <w:r>
        <w:rPr>
          <w:b/>
          <w:i/>
          <w:szCs w:val="24"/>
          <w:lang w:eastAsia="en-US"/>
        </w:rPr>
        <w:t xml:space="preserve"> blahu spoločnosti ako celku a</w:t>
      </w:r>
      <w:r>
        <w:rPr>
          <w:szCs w:val="24"/>
          <w:lang w:eastAsia="en-US"/>
        </w:rPr>
        <w:t xml:space="preserve"> hospodárskym, sociálnym, kultúrnym</w:t>
      </w:r>
      <w:r>
        <w:rPr>
          <w:b/>
          <w:i/>
          <w:szCs w:val="24"/>
          <w:lang w:eastAsia="en-US"/>
        </w:rPr>
        <w:t>, environmentálnym</w:t>
      </w:r>
      <w:r>
        <w:rPr>
          <w:szCs w:val="24"/>
          <w:lang w:eastAsia="en-US"/>
        </w:rPr>
        <w:t xml:space="preserve"> a iným prínosom, ktoré ľudia čerpajú z </w:t>
      </w:r>
      <w:r>
        <w:rPr>
          <w:szCs w:val="24"/>
          <w:lang w:eastAsia="en-US"/>
        </w:rPr>
        <w:t>uvedených ekosystémov;</w:t>
      </w:r>
      <w:r>
        <w:rPr>
          <w:b/>
          <w:szCs w:val="24"/>
          <w:lang w:eastAsia="en-US"/>
        </w:rPr>
        <w:t xml:space="preserve"> [PN 48]</w:t>
      </w:r>
    </w:p>
    <w:p w:rsidR="009D7883" w:rsidRDefault="00AA63BB">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 xml:space="preserve">„pôdna biodiverzita“ je rozmanitosť v živote pôdy, od génov po spoločenstvá, a ekologické komplexy, ktorých sú súčasťou, t. j. od pôdnych </w:t>
      </w:r>
      <w:proofErr w:type="spellStart"/>
      <w:r>
        <w:rPr>
          <w:b/>
          <w:i/>
          <w:szCs w:val="24"/>
          <w:lang w:eastAsia="en-US"/>
        </w:rPr>
        <w:t>mikrobiotopov</w:t>
      </w:r>
      <w:proofErr w:type="spellEnd"/>
      <w:r>
        <w:rPr>
          <w:b/>
          <w:i/>
          <w:szCs w:val="24"/>
          <w:lang w:eastAsia="en-US"/>
        </w:rPr>
        <w:t xml:space="preserve"> po krajiny;</w:t>
      </w:r>
      <w:r>
        <w:rPr>
          <w:b/>
          <w:szCs w:val="24"/>
          <w:lang w:eastAsia="en-US"/>
        </w:rPr>
        <w:t xml:space="preserve"> [</w:t>
      </w:r>
      <w:proofErr w:type="spellStart"/>
      <w:r>
        <w:rPr>
          <w:b/>
          <w:szCs w:val="24"/>
          <w:lang w:eastAsia="en-US"/>
        </w:rPr>
        <w:t>PN</w:t>
      </w:r>
      <w:proofErr w:type="spellEnd"/>
      <w:r>
        <w:rPr>
          <w:b/>
          <w:szCs w:val="24"/>
          <w:lang w:eastAsia="en-US"/>
        </w:rPr>
        <w:t> 49]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w:t>
      </w:r>
      <w:r>
        <w:rPr>
          <w:szCs w:val="24"/>
          <w:lang w:eastAsia="en-US"/>
        </w:rPr>
        <w:tab/>
        <w:t>„zdravie pôdy“ je fyzikálny, chemický</w:t>
      </w:r>
      <w:r>
        <w:rPr>
          <w:b/>
          <w:i/>
          <w:szCs w:val="24"/>
          <w:lang w:eastAsia="en-US"/>
        </w:rPr>
        <w:t xml:space="preserve">, </w:t>
      </w:r>
      <w:r>
        <w:rPr>
          <w:b/>
          <w:i/>
          <w:szCs w:val="24"/>
          <w:lang w:eastAsia="en-US"/>
        </w:rPr>
        <w:t>funkčný</w:t>
      </w:r>
      <w:r>
        <w:rPr>
          <w:szCs w:val="24"/>
          <w:lang w:eastAsia="en-US"/>
        </w:rPr>
        <w:t xml:space="preserve"> a biologický stav pôdy, ktorý určuje jej schopnosť fungovať ako životne dôležitý živý systém a poskytovať ekosystémové služby</w:t>
      </w:r>
      <w:r>
        <w:rPr>
          <w:b/>
          <w:i/>
          <w:szCs w:val="24"/>
          <w:lang w:eastAsia="en-US"/>
        </w:rPr>
        <w:t xml:space="preserve"> so zreteľom na využitie pôdy</w:t>
      </w:r>
      <w:r>
        <w:rPr>
          <w:szCs w:val="24"/>
          <w:lang w:eastAsia="en-US"/>
        </w:rPr>
        <w:t>;</w:t>
      </w:r>
      <w:r>
        <w:rPr>
          <w:b/>
          <w:szCs w:val="24"/>
          <w:lang w:eastAsia="en-US"/>
        </w:rPr>
        <w:t xml:space="preserve"> [PN 50]</w:t>
      </w:r>
    </w:p>
    <w:p w:rsidR="009D7883" w:rsidRDefault="00AA63BB">
      <w:pPr>
        <w:spacing w:before="120" w:after="120" w:line="360" w:lineRule="auto"/>
        <w:ind w:left="850" w:hanging="850"/>
        <w:rPr>
          <w:b/>
          <w:szCs w:val="24"/>
          <w:lang w:eastAsia="en-US"/>
        </w:rPr>
      </w:pPr>
      <w:r>
        <w:rPr>
          <w:szCs w:val="24"/>
          <w:lang w:eastAsia="en-US"/>
        </w:rPr>
        <w:t>5.</w:t>
      </w:r>
      <w:r>
        <w:rPr>
          <w:szCs w:val="24"/>
          <w:lang w:eastAsia="en-US"/>
        </w:rPr>
        <w:tab/>
        <w:t xml:space="preserve">„udržateľné obhospodarovanie pôdy“ sú postupy obhospodarovania pôdy, </w:t>
      </w:r>
      <w:r>
        <w:rPr>
          <w:strike/>
          <w:szCs w:val="24"/>
          <w:lang w:eastAsia="en-US"/>
        </w:rPr>
        <w:t xml:space="preserve">ktorými sa </w:t>
      </w:r>
      <w:proofErr w:type="spellStart"/>
      <w:r>
        <w:rPr>
          <w:strike/>
          <w:szCs w:val="24"/>
          <w:lang w:eastAsia="en-US"/>
        </w:rPr>
        <w:t>z</w:t>
      </w:r>
      <w:r>
        <w:rPr>
          <w:strike/>
          <w:szCs w:val="24"/>
          <w:lang w:eastAsia="en-US"/>
        </w:rPr>
        <w:t>achovávajú</w:t>
      </w:r>
      <w:r>
        <w:rPr>
          <w:b/>
          <w:i/>
          <w:szCs w:val="24"/>
          <w:lang w:eastAsia="en-US"/>
        </w:rPr>
        <w:t>ktoré</w:t>
      </w:r>
      <w:proofErr w:type="spellEnd"/>
      <w:r>
        <w:rPr>
          <w:b/>
          <w:i/>
          <w:szCs w:val="24"/>
          <w:lang w:eastAsia="en-US"/>
        </w:rPr>
        <w:t xml:space="preserve"> sú zamerané na zachovanie</w:t>
      </w:r>
      <w:r>
        <w:rPr>
          <w:szCs w:val="24"/>
          <w:lang w:eastAsia="en-US"/>
        </w:rPr>
        <w:t xml:space="preserve"> alebo </w:t>
      </w:r>
      <w:r>
        <w:rPr>
          <w:strike/>
          <w:szCs w:val="24"/>
          <w:lang w:eastAsia="en-US"/>
        </w:rPr>
        <w:t xml:space="preserve">zlepšujú ekosystémové služby poskytované pôdou bez toho, aby sa narušili funkcie umožňujúce tieto služby alebo poškodzovali iné vlastnosti životného </w:t>
      </w:r>
      <w:proofErr w:type="spellStart"/>
      <w:r>
        <w:rPr>
          <w:strike/>
          <w:szCs w:val="24"/>
          <w:lang w:eastAsia="en-US"/>
        </w:rPr>
        <w:t>prostredia</w:t>
      </w:r>
      <w:r>
        <w:rPr>
          <w:b/>
          <w:i/>
          <w:szCs w:val="24"/>
          <w:lang w:eastAsia="en-US"/>
        </w:rPr>
        <w:t>zlepšenie</w:t>
      </w:r>
      <w:proofErr w:type="spellEnd"/>
      <w:r>
        <w:rPr>
          <w:b/>
          <w:i/>
          <w:szCs w:val="24"/>
          <w:lang w:eastAsia="en-US"/>
        </w:rPr>
        <w:t xml:space="preserve"> ekosystémových služieb pôdy, pri zohľad</w:t>
      </w:r>
      <w:r>
        <w:rPr>
          <w:b/>
          <w:i/>
          <w:szCs w:val="24"/>
          <w:lang w:eastAsia="en-US"/>
        </w:rPr>
        <w:t>není sociálno-ekonomických účinkov</w:t>
      </w:r>
      <w:r>
        <w:rPr>
          <w:szCs w:val="24"/>
          <w:lang w:eastAsia="en-US"/>
        </w:rPr>
        <w:t>;</w:t>
      </w:r>
      <w:r>
        <w:rPr>
          <w:b/>
          <w:szCs w:val="24"/>
          <w:lang w:eastAsia="en-US"/>
        </w:rPr>
        <w:t xml:space="preserve"> [PN 247]</w:t>
      </w:r>
    </w:p>
    <w:p w:rsidR="009D7883" w:rsidRDefault="00AA63BB">
      <w:pPr>
        <w:spacing w:before="120" w:after="120" w:line="360" w:lineRule="auto"/>
        <w:ind w:left="850" w:hanging="850"/>
        <w:rPr>
          <w:szCs w:val="24"/>
          <w:lang w:eastAsia="en-US"/>
        </w:rPr>
      </w:pPr>
      <w:r>
        <w:rPr>
          <w:szCs w:val="24"/>
          <w:lang w:eastAsia="en-US"/>
        </w:rPr>
        <w:t>6.</w:t>
      </w:r>
      <w:r>
        <w:rPr>
          <w:szCs w:val="24"/>
          <w:lang w:eastAsia="en-US"/>
        </w:rPr>
        <w:tab/>
        <w:t>„postupy obhospodarovania pôdy“ sú postupy, ktoré majú vplyv na fyzikálne, chemické alebo biologické vlastnosti pôdy;</w:t>
      </w:r>
    </w:p>
    <w:p w:rsidR="009D7883" w:rsidRDefault="00AA63BB">
      <w:pPr>
        <w:spacing w:before="120" w:after="120" w:line="360" w:lineRule="auto"/>
        <w:ind w:left="850" w:hanging="850"/>
        <w:rPr>
          <w:szCs w:val="24"/>
          <w:lang w:eastAsia="en-US"/>
        </w:rPr>
      </w:pPr>
      <w:r>
        <w:rPr>
          <w:szCs w:val="24"/>
          <w:lang w:eastAsia="en-US"/>
        </w:rPr>
        <w:t>7.</w:t>
      </w:r>
      <w:r>
        <w:rPr>
          <w:szCs w:val="24"/>
          <w:lang w:eastAsia="en-US"/>
        </w:rPr>
        <w:tab/>
        <w:t>„obhospodarovaná pôda“ je pôda, na ktorej sa vykonávajú postupy obhospodarovania pôdy;</w:t>
      </w:r>
    </w:p>
    <w:p w:rsidR="009D7883" w:rsidRDefault="00AA63BB">
      <w:pPr>
        <w:spacing w:before="120" w:after="120" w:line="360" w:lineRule="auto"/>
        <w:ind w:left="850" w:hanging="850"/>
        <w:rPr>
          <w:b/>
          <w:szCs w:val="24"/>
          <w:lang w:eastAsia="en-US"/>
        </w:rPr>
      </w:pPr>
      <w:r>
        <w:rPr>
          <w:szCs w:val="24"/>
          <w:lang w:eastAsia="en-US"/>
        </w:rPr>
        <w:t>8.</w:t>
      </w:r>
      <w:r>
        <w:rPr>
          <w:szCs w:val="24"/>
          <w:lang w:eastAsia="en-US"/>
        </w:rPr>
        <w:tab/>
        <w:t>„pôdny okrsok“ je časť územia členského štátu</w:t>
      </w:r>
      <w:r>
        <w:rPr>
          <w:b/>
          <w:i/>
          <w:szCs w:val="24"/>
          <w:lang w:eastAsia="en-US"/>
        </w:rPr>
        <w:t xml:space="preserve"> alebo viacerých členských štátov</w:t>
      </w:r>
      <w:r>
        <w:rPr>
          <w:szCs w:val="24"/>
          <w:lang w:eastAsia="en-US"/>
        </w:rPr>
        <w:t xml:space="preserve">, ktorá je vymedzená týmto členským štátom </w:t>
      </w:r>
      <w:r>
        <w:rPr>
          <w:b/>
          <w:i/>
          <w:szCs w:val="24"/>
          <w:lang w:eastAsia="en-US"/>
        </w:rPr>
        <w:t xml:space="preserve">alebo týmito členskými štátmi </w:t>
      </w:r>
      <w:r>
        <w:rPr>
          <w:szCs w:val="24"/>
          <w:lang w:eastAsia="en-US"/>
        </w:rPr>
        <w:t>v súlade s touto smernicou;</w:t>
      </w:r>
      <w:r>
        <w:rPr>
          <w:b/>
          <w:szCs w:val="24"/>
          <w:lang w:eastAsia="en-US"/>
        </w:rPr>
        <w:t xml:space="preserve"> [PN 52]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9.</w:t>
      </w:r>
      <w:r>
        <w:rPr>
          <w:szCs w:val="24"/>
          <w:lang w:eastAsia="en-US"/>
        </w:rPr>
        <w:tab/>
      </w:r>
      <w:r>
        <w:rPr>
          <w:szCs w:val="24"/>
          <w:lang w:eastAsia="en-US"/>
        </w:rPr>
        <w:t xml:space="preserve">„posúdenie zdravia pôdy“ je hodnotenie zdravia pôdy na základe merania alebo odhadu pôdnych </w:t>
      </w:r>
      <w:proofErr w:type="spellStart"/>
      <w:r>
        <w:rPr>
          <w:szCs w:val="24"/>
          <w:lang w:eastAsia="en-US"/>
        </w:rPr>
        <w:t>deskriptorov</w:t>
      </w:r>
      <w:proofErr w:type="spellEnd"/>
      <w:r>
        <w:rPr>
          <w:szCs w:val="24"/>
          <w:lang w:eastAsia="en-US"/>
        </w:rPr>
        <w:t>;</w:t>
      </w:r>
    </w:p>
    <w:p w:rsidR="009D7883" w:rsidRDefault="00AA63BB">
      <w:pPr>
        <w:spacing w:before="120" w:after="120" w:line="360" w:lineRule="auto"/>
        <w:ind w:left="850" w:hanging="850"/>
        <w:rPr>
          <w:b/>
          <w:szCs w:val="24"/>
          <w:lang w:eastAsia="en-US"/>
        </w:rPr>
      </w:pPr>
      <w:r>
        <w:rPr>
          <w:szCs w:val="24"/>
          <w:lang w:eastAsia="en-US"/>
        </w:rPr>
        <w:t>10.</w:t>
      </w:r>
      <w:r>
        <w:rPr>
          <w:szCs w:val="24"/>
          <w:lang w:eastAsia="en-US"/>
        </w:rPr>
        <w:tab/>
        <w:t xml:space="preserve">„kontaminovaná lokalita“ je vymedzená plocha jedného alebo viacerých pozemkov s potvrdeným výskytom kontaminácie pôdy </w:t>
      </w:r>
      <w:r>
        <w:rPr>
          <w:strike/>
          <w:szCs w:val="24"/>
          <w:lang w:eastAsia="en-US"/>
        </w:rPr>
        <w:t xml:space="preserve">v dôsledku </w:t>
      </w:r>
      <w:proofErr w:type="spellStart"/>
      <w:r>
        <w:rPr>
          <w:strike/>
          <w:szCs w:val="24"/>
          <w:lang w:eastAsia="en-US"/>
        </w:rPr>
        <w:t>antropogénnych</w:t>
      </w:r>
      <w:proofErr w:type="spellEnd"/>
      <w:r>
        <w:rPr>
          <w:strike/>
          <w:szCs w:val="24"/>
          <w:lang w:eastAsia="en-US"/>
        </w:rPr>
        <w:t xml:space="preserve"> či</w:t>
      </w:r>
      <w:r>
        <w:rPr>
          <w:strike/>
          <w:szCs w:val="24"/>
          <w:lang w:eastAsia="en-US"/>
        </w:rPr>
        <w:t xml:space="preserve">nností v bodovom </w:t>
      </w:r>
      <w:proofErr w:type="spellStart"/>
      <w:r>
        <w:rPr>
          <w:strike/>
          <w:szCs w:val="24"/>
          <w:lang w:eastAsia="en-US"/>
        </w:rPr>
        <w:t>zdroji</w:t>
      </w:r>
      <w:r>
        <w:rPr>
          <w:b/>
          <w:i/>
          <w:szCs w:val="24"/>
          <w:lang w:eastAsia="en-US"/>
        </w:rPr>
        <w:t>spôsobenej</w:t>
      </w:r>
      <w:proofErr w:type="spellEnd"/>
      <w:r>
        <w:rPr>
          <w:b/>
          <w:i/>
          <w:szCs w:val="24"/>
          <w:lang w:eastAsia="en-US"/>
        </w:rPr>
        <w:t xml:space="preserve"> prítomnosťou látky alebo materiálu v pôde v koncentrácii, ktorá môže byť škodlivá pre zdravie alebo životné prostredie</w:t>
      </w:r>
      <w:r>
        <w:rPr>
          <w:szCs w:val="24"/>
          <w:lang w:eastAsia="en-US"/>
        </w:rPr>
        <w:t>;</w:t>
      </w:r>
      <w:r>
        <w:rPr>
          <w:b/>
          <w:szCs w:val="24"/>
          <w:lang w:eastAsia="en-US"/>
        </w:rPr>
        <w:t xml:space="preserve"> [PN 53]</w:t>
      </w:r>
    </w:p>
    <w:p w:rsidR="009D7883" w:rsidRDefault="00AA63BB">
      <w:pPr>
        <w:spacing w:before="120" w:after="120" w:line="360" w:lineRule="auto"/>
        <w:ind w:left="850" w:hanging="850"/>
        <w:rPr>
          <w:szCs w:val="24"/>
          <w:lang w:eastAsia="en-US"/>
        </w:rPr>
      </w:pPr>
      <w:r>
        <w:rPr>
          <w:szCs w:val="24"/>
          <w:lang w:eastAsia="en-US"/>
        </w:rPr>
        <w:t>11.</w:t>
      </w:r>
      <w:r>
        <w:rPr>
          <w:szCs w:val="24"/>
          <w:lang w:eastAsia="en-US"/>
        </w:rPr>
        <w:tab/>
        <w:t xml:space="preserve">„pôdny </w:t>
      </w:r>
      <w:proofErr w:type="spellStart"/>
      <w:r>
        <w:rPr>
          <w:szCs w:val="24"/>
          <w:lang w:eastAsia="en-US"/>
        </w:rPr>
        <w:t>deskriptor</w:t>
      </w:r>
      <w:proofErr w:type="spellEnd"/>
      <w:r>
        <w:rPr>
          <w:szCs w:val="24"/>
          <w:lang w:eastAsia="en-US"/>
        </w:rPr>
        <w:t>“ je parameter, ktorý opisuje fyzikálne, chemické alebo biologické vlastn</w:t>
      </w:r>
      <w:r>
        <w:rPr>
          <w:szCs w:val="24"/>
          <w:lang w:eastAsia="en-US"/>
        </w:rPr>
        <w:t>osti zdravia pôdy;</w:t>
      </w:r>
    </w:p>
    <w:p w:rsidR="009D7883" w:rsidRDefault="00AA63BB">
      <w:pPr>
        <w:spacing w:before="120" w:after="120" w:line="360" w:lineRule="auto"/>
        <w:ind w:left="850" w:hanging="850"/>
        <w:rPr>
          <w:szCs w:val="24"/>
          <w:lang w:eastAsia="en-US"/>
        </w:rPr>
      </w:pPr>
      <w:r>
        <w:rPr>
          <w:szCs w:val="24"/>
          <w:lang w:eastAsia="en-US"/>
        </w:rPr>
        <w:t>12.</w:t>
      </w:r>
      <w:r>
        <w:rPr>
          <w:szCs w:val="24"/>
          <w:lang w:eastAsia="en-US"/>
        </w:rPr>
        <w:tab/>
        <w:t>„krajina“ je povrch Zeme, ktorý nie je pokrytý vodou;</w:t>
      </w:r>
    </w:p>
    <w:p w:rsidR="009D7883" w:rsidRDefault="00AA63BB">
      <w:pPr>
        <w:spacing w:before="120" w:after="120" w:line="360" w:lineRule="auto"/>
        <w:ind w:left="850" w:hanging="850"/>
        <w:rPr>
          <w:szCs w:val="24"/>
          <w:lang w:eastAsia="en-US"/>
        </w:rPr>
      </w:pPr>
      <w:r>
        <w:rPr>
          <w:szCs w:val="24"/>
          <w:lang w:eastAsia="en-US"/>
        </w:rPr>
        <w:t>13.</w:t>
      </w:r>
      <w:r>
        <w:rPr>
          <w:szCs w:val="24"/>
          <w:lang w:eastAsia="en-US"/>
        </w:rPr>
        <w:tab/>
        <w:t>„krajinná pokrývka“ je fyzikálna a biologická pokrývka zemského povrchu;</w:t>
      </w:r>
    </w:p>
    <w:p w:rsidR="009D7883" w:rsidRDefault="00AA63BB">
      <w:pPr>
        <w:spacing w:before="120" w:after="120" w:line="360" w:lineRule="auto"/>
        <w:ind w:left="850" w:hanging="850"/>
        <w:rPr>
          <w:szCs w:val="24"/>
          <w:lang w:eastAsia="en-US"/>
        </w:rPr>
      </w:pPr>
      <w:r>
        <w:rPr>
          <w:szCs w:val="24"/>
          <w:lang w:eastAsia="en-US"/>
        </w:rPr>
        <w:t>14.</w:t>
      </w:r>
      <w:r>
        <w:rPr>
          <w:szCs w:val="24"/>
          <w:lang w:eastAsia="en-US"/>
        </w:rPr>
        <w:tab/>
        <w:t>„prírodná krajina“ je oblasť, v ktorej ľudská činnosť podstatne nezmenila primárne ekologické funk</w:t>
      </w:r>
      <w:r>
        <w:rPr>
          <w:szCs w:val="24"/>
          <w:lang w:eastAsia="en-US"/>
        </w:rPr>
        <w:t>cie a druhové zloženie oblasti;</w:t>
      </w:r>
    </w:p>
    <w:p w:rsidR="009D7883" w:rsidRDefault="00AA63BB">
      <w:pPr>
        <w:spacing w:before="120" w:after="120" w:line="360" w:lineRule="auto"/>
        <w:ind w:left="850" w:hanging="850"/>
        <w:rPr>
          <w:szCs w:val="24"/>
          <w:lang w:eastAsia="en-US"/>
        </w:rPr>
      </w:pPr>
      <w:r>
        <w:rPr>
          <w:szCs w:val="24"/>
          <w:lang w:eastAsia="en-US"/>
        </w:rPr>
        <w:t>15.</w:t>
      </w:r>
      <w:r>
        <w:rPr>
          <w:szCs w:val="24"/>
          <w:lang w:eastAsia="en-US"/>
        </w:rPr>
        <w:tab/>
        <w:t>„</w:t>
      </w:r>
      <w:proofErr w:type="spellStart"/>
      <w:r>
        <w:rPr>
          <w:szCs w:val="24"/>
          <w:lang w:eastAsia="en-US"/>
        </w:rPr>
        <w:t>poloprírodná</w:t>
      </w:r>
      <w:proofErr w:type="spellEnd"/>
      <w:r>
        <w:rPr>
          <w:szCs w:val="24"/>
          <w:lang w:eastAsia="en-US"/>
        </w:rPr>
        <w:t xml:space="preserve"> krajina“ je oblasť, v ktorej sa zloženie, rovnováha alebo funkcia ekologických zoskupení podstatne zmenila ľudskou činnosťou, ale zachováva si potenciálne vysokú hodnotu z hľadiska biodiverzity a ekosystémo</w:t>
      </w:r>
      <w:r>
        <w:rPr>
          <w:szCs w:val="24"/>
          <w:lang w:eastAsia="en-US"/>
        </w:rPr>
        <w:t>vých služieb, ktoré poskytuje;</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16.</w:t>
      </w:r>
      <w:r>
        <w:rPr>
          <w:szCs w:val="24"/>
          <w:lang w:eastAsia="en-US"/>
        </w:rPr>
        <w:tab/>
        <w:t>„umelo vytvorená krajina“ je krajina využívaná ako platforma na výstavbu a infraštruktúru alebo ako priamy zdroj surovín alebo ako archív historického dedičstva na úkor schopnosti pôdy poskytovať iné ekosystémové služby</w:t>
      </w:r>
      <w:r>
        <w:rPr>
          <w:szCs w:val="24"/>
          <w:lang w:eastAsia="en-US"/>
        </w:rPr>
        <w:t>;</w:t>
      </w:r>
    </w:p>
    <w:p w:rsidR="009D7883" w:rsidRDefault="00AA63BB">
      <w:pPr>
        <w:spacing w:before="120" w:after="120" w:line="360" w:lineRule="auto"/>
        <w:ind w:left="850" w:hanging="850"/>
        <w:rPr>
          <w:szCs w:val="24"/>
          <w:lang w:eastAsia="en-US"/>
        </w:rPr>
      </w:pPr>
      <w:r>
        <w:rPr>
          <w:szCs w:val="24"/>
          <w:lang w:eastAsia="en-US"/>
        </w:rPr>
        <w:t>17.</w:t>
      </w:r>
      <w:r>
        <w:rPr>
          <w:szCs w:val="24"/>
          <w:lang w:eastAsia="en-US"/>
        </w:rPr>
        <w:tab/>
        <w:t xml:space="preserve">„záber pôdy“ je premena prírodnej a </w:t>
      </w:r>
      <w:proofErr w:type="spellStart"/>
      <w:r>
        <w:rPr>
          <w:szCs w:val="24"/>
          <w:lang w:eastAsia="en-US"/>
        </w:rPr>
        <w:t>poloprírodnej</w:t>
      </w:r>
      <w:proofErr w:type="spellEnd"/>
      <w:r>
        <w:rPr>
          <w:szCs w:val="24"/>
          <w:lang w:eastAsia="en-US"/>
        </w:rPr>
        <w:t xml:space="preserve"> krajiny na umelo vytvorenú krajinu;</w:t>
      </w:r>
    </w:p>
    <w:p w:rsidR="009D7883" w:rsidRDefault="00AA63BB">
      <w:pPr>
        <w:spacing w:before="120" w:after="120" w:line="360" w:lineRule="auto"/>
        <w:ind w:left="850" w:hanging="850"/>
        <w:rPr>
          <w:b/>
          <w:szCs w:val="24"/>
          <w:lang w:eastAsia="en-US"/>
        </w:rPr>
      </w:pPr>
      <w:r>
        <w:rPr>
          <w:b/>
          <w:i/>
          <w:szCs w:val="24"/>
          <w:lang w:eastAsia="en-US"/>
        </w:rPr>
        <w:t>17a.</w:t>
      </w:r>
      <w:r>
        <w:rPr>
          <w:szCs w:val="24"/>
          <w:lang w:eastAsia="en-US"/>
        </w:rPr>
        <w:tab/>
      </w:r>
      <w:r>
        <w:rPr>
          <w:b/>
          <w:i/>
          <w:szCs w:val="24"/>
          <w:lang w:eastAsia="en-US"/>
        </w:rPr>
        <w:t>„strata priepustnosti pôdy“ je pokrytie pôdy nepriepustným materiálom, najmä v súvislosti s využívaním pôdy ako platformy pre budovy a infraštruktúru;</w:t>
      </w:r>
      <w:r>
        <w:rPr>
          <w:b/>
          <w:szCs w:val="24"/>
          <w:lang w:eastAsia="en-US"/>
        </w:rPr>
        <w:t xml:space="preserve"> [PN 54]</w:t>
      </w:r>
    </w:p>
    <w:p w:rsidR="009D7883" w:rsidRDefault="00AA63BB">
      <w:pPr>
        <w:spacing w:before="120" w:after="120" w:line="360" w:lineRule="auto"/>
        <w:ind w:left="850" w:hanging="850"/>
        <w:rPr>
          <w:b/>
          <w:szCs w:val="24"/>
          <w:lang w:eastAsia="en-US"/>
        </w:rPr>
      </w:pPr>
      <w:r>
        <w:rPr>
          <w:b/>
          <w:i/>
          <w:szCs w:val="24"/>
          <w:lang w:eastAsia="en-US"/>
        </w:rPr>
        <w:t>17b.</w:t>
      </w:r>
      <w:r>
        <w:rPr>
          <w:szCs w:val="24"/>
          <w:lang w:eastAsia="en-US"/>
        </w:rPr>
        <w:tab/>
      </w:r>
      <w:r>
        <w:rPr>
          <w:b/>
          <w:i/>
          <w:szCs w:val="24"/>
          <w:lang w:eastAsia="en-US"/>
        </w:rPr>
        <w:t>„</w:t>
      </w:r>
      <w:proofErr w:type="spellStart"/>
      <w:r>
        <w:rPr>
          <w:b/>
          <w:i/>
          <w:szCs w:val="24"/>
          <w:lang w:eastAsia="en-US"/>
        </w:rPr>
        <w:t>spriepustnenie</w:t>
      </w:r>
      <w:proofErr w:type="spellEnd"/>
      <w:r>
        <w:rPr>
          <w:b/>
          <w:i/>
          <w:szCs w:val="24"/>
          <w:lang w:eastAsia="en-US"/>
        </w:rPr>
        <w:t xml:space="preserve"> pôdy“ je opätovná premena pôdy, ktorá už neplní svoje prirodzené funkcie pôdy, napríklad infiltráciu, presakovanie a hydrologickú funkčnosť, na funkčnú pôdu;</w:t>
      </w:r>
      <w:r>
        <w:rPr>
          <w:b/>
          <w:szCs w:val="24"/>
          <w:lang w:eastAsia="en-US"/>
        </w:rPr>
        <w:t xml:space="preserve"> [PN 55]</w:t>
      </w:r>
    </w:p>
    <w:p w:rsidR="009D7883" w:rsidRDefault="00AA63BB">
      <w:pPr>
        <w:spacing w:before="120" w:after="120" w:line="360" w:lineRule="auto"/>
        <w:ind w:left="850" w:hanging="850"/>
        <w:rPr>
          <w:szCs w:val="24"/>
          <w:lang w:eastAsia="en-US"/>
        </w:rPr>
      </w:pPr>
      <w:r>
        <w:rPr>
          <w:szCs w:val="24"/>
          <w:lang w:eastAsia="en-US"/>
        </w:rPr>
        <w:t>18.</w:t>
      </w:r>
      <w:r>
        <w:rPr>
          <w:szCs w:val="24"/>
          <w:lang w:eastAsia="en-US"/>
        </w:rPr>
        <w:tab/>
        <w:t>„transferová funkcia“ je matematické pravidlo, ktoré umožňuje pre</w:t>
      </w:r>
      <w:r>
        <w:rPr>
          <w:szCs w:val="24"/>
          <w:lang w:eastAsia="en-US"/>
        </w:rPr>
        <w:t>počítať hodnotu merania pomocou inej metodiky, než je referenčná metodika, na hodnotu, ktorá by sa získala vykonaním pôdnych meraní pomocou referenčnej metodiky;</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19.</w:t>
      </w:r>
      <w:r>
        <w:rPr>
          <w:szCs w:val="24"/>
          <w:lang w:eastAsia="en-US"/>
        </w:rPr>
        <w:tab/>
        <w:t>„dotknutá verejnosť“ je verejnosť dotknutá alebo pravdepodobne dotknutá degradáciou pôdy</w:t>
      </w:r>
      <w:r>
        <w:rPr>
          <w:szCs w:val="24"/>
          <w:lang w:eastAsia="en-US"/>
        </w:rPr>
        <w:t xml:space="preserve"> alebo verejnosť, ktorá má záujem na rozhodovacích postupoch týkajúcich sa plnenia povinností podľa tejto smernice, vrátane </w:t>
      </w:r>
      <w:r>
        <w:rPr>
          <w:b/>
          <w:i/>
          <w:szCs w:val="24"/>
          <w:lang w:eastAsia="en-US"/>
        </w:rPr>
        <w:t xml:space="preserve">občanov, </w:t>
      </w:r>
      <w:r>
        <w:rPr>
          <w:szCs w:val="24"/>
          <w:lang w:eastAsia="en-US"/>
        </w:rPr>
        <w:t>vlastníkov pôdy</w:t>
      </w:r>
      <w:r>
        <w:rPr>
          <w:b/>
          <w:i/>
          <w:szCs w:val="24"/>
          <w:lang w:eastAsia="en-US"/>
        </w:rPr>
        <w:t>, pôdohospodárov</w:t>
      </w:r>
      <w:r>
        <w:rPr>
          <w:szCs w:val="24"/>
          <w:lang w:eastAsia="en-US"/>
        </w:rPr>
        <w:t xml:space="preserve"> a užívateľov</w:t>
      </w:r>
      <w:r>
        <w:rPr>
          <w:strike/>
          <w:szCs w:val="24"/>
          <w:lang w:eastAsia="en-US"/>
        </w:rPr>
        <w:t xml:space="preserve"> pôdy</w:t>
      </w:r>
      <w:r>
        <w:rPr>
          <w:szCs w:val="24"/>
          <w:lang w:eastAsia="en-US"/>
        </w:rPr>
        <w:t>, ako aj mimovládnych organizácií, ktoré podporujú ochranu ľudského zdravi</w:t>
      </w:r>
      <w:r>
        <w:rPr>
          <w:szCs w:val="24"/>
          <w:lang w:eastAsia="en-US"/>
        </w:rPr>
        <w:t xml:space="preserve">a </w:t>
      </w:r>
      <w:r>
        <w:rPr>
          <w:b/>
          <w:i/>
          <w:szCs w:val="24"/>
          <w:lang w:eastAsia="en-US"/>
        </w:rPr>
        <w:t xml:space="preserve">a zdravia zvierat </w:t>
      </w:r>
      <w:r>
        <w:rPr>
          <w:szCs w:val="24"/>
          <w:lang w:eastAsia="en-US"/>
        </w:rPr>
        <w:t>alebo životného prostredia a spĺňajú všetky požiadavky podľa vnútroštátneho práva;</w:t>
      </w:r>
      <w:r>
        <w:rPr>
          <w:b/>
          <w:szCs w:val="24"/>
          <w:lang w:eastAsia="en-US"/>
        </w:rPr>
        <w:t xml:space="preserve"> [PN 56]</w:t>
      </w:r>
    </w:p>
    <w:p w:rsidR="009D7883" w:rsidRDefault="00AA63BB">
      <w:pPr>
        <w:spacing w:before="120" w:after="120" w:line="360" w:lineRule="auto"/>
        <w:ind w:left="850" w:hanging="850"/>
        <w:rPr>
          <w:b/>
          <w:szCs w:val="24"/>
          <w:lang w:eastAsia="en-US"/>
        </w:rPr>
      </w:pPr>
      <w:r>
        <w:rPr>
          <w:b/>
          <w:i/>
          <w:szCs w:val="24"/>
          <w:lang w:eastAsia="en-US"/>
        </w:rPr>
        <w:t>19a.</w:t>
      </w:r>
      <w:r>
        <w:rPr>
          <w:szCs w:val="24"/>
          <w:lang w:eastAsia="en-US"/>
        </w:rPr>
        <w:tab/>
      </w:r>
      <w:r>
        <w:rPr>
          <w:b/>
          <w:i/>
          <w:szCs w:val="24"/>
          <w:lang w:eastAsia="en-US"/>
        </w:rPr>
        <w:t>„verejnosť“ je jedna alebo viacero fyzických alebo právnických osôb a v súlade s vnútroštátnym právom alebo praxou združenia, organizácie al</w:t>
      </w:r>
      <w:r>
        <w:rPr>
          <w:b/>
          <w:i/>
          <w:szCs w:val="24"/>
          <w:lang w:eastAsia="en-US"/>
        </w:rPr>
        <w:t>ebo skupiny zložené z týchto osôb;</w:t>
      </w:r>
      <w:r>
        <w:rPr>
          <w:b/>
          <w:szCs w:val="24"/>
          <w:lang w:eastAsia="en-US"/>
        </w:rPr>
        <w:t xml:space="preserve"> [PN 57]</w:t>
      </w:r>
    </w:p>
    <w:p w:rsidR="009D7883" w:rsidRDefault="00AA63BB">
      <w:pPr>
        <w:spacing w:before="120" w:after="120" w:line="360" w:lineRule="auto"/>
        <w:ind w:left="850" w:hanging="850"/>
        <w:rPr>
          <w:b/>
          <w:szCs w:val="24"/>
          <w:lang w:eastAsia="en-US"/>
        </w:rPr>
      </w:pPr>
      <w:r>
        <w:rPr>
          <w:szCs w:val="24"/>
          <w:lang w:eastAsia="en-US"/>
        </w:rPr>
        <w:t>20.</w:t>
      </w:r>
      <w:r>
        <w:rPr>
          <w:szCs w:val="24"/>
          <w:lang w:eastAsia="en-US"/>
        </w:rPr>
        <w:tab/>
        <w:t>„kontaminácia pôdy“ je prítomnosť</w:t>
      </w:r>
      <w:r>
        <w:rPr>
          <w:strike/>
          <w:szCs w:val="24"/>
          <w:lang w:eastAsia="en-US"/>
        </w:rPr>
        <w:t xml:space="preserve"> chemikálie</w:t>
      </w:r>
      <w:r>
        <w:rPr>
          <w:b/>
          <w:i/>
          <w:szCs w:val="24"/>
          <w:lang w:eastAsia="en-US"/>
        </w:rPr>
        <w:t xml:space="preserve"> látky</w:t>
      </w:r>
      <w:r>
        <w:rPr>
          <w:szCs w:val="24"/>
          <w:lang w:eastAsia="en-US"/>
        </w:rPr>
        <w:t xml:space="preserve"> alebo </w:t>
      </w:r>
      <w:proofErr w:type="spellStart"/>
      <w:r>
        <w:rPr>
          <w:strike/>
          <w:szCs w:val="24"/>
          <w:lang w:eastAsia="en-US"/>
        </w:rPr>
        <w:t>látky</w:t>
      </w:r>
      <w:r>
        <w:rPr>
          <w:b/>
          <w:i/>
          <w:szCs w:val="24"/>
          <w:lang w:eastAsia="en-US"/>
        </w:rPr>
        <w:t>materiálu</w:t>
      </w:r>
      <w:proofErr w:type="spellEnd"/>
      <w:r>
        <w:rPr>
          <w:szCs w:val="24"/>
          <w:lang w:eastAsia="en-US"/>
        </w:rPr>
        <w:t xml:space="preserve"> v pôde v koncentrácii, ktorá môže </w:t>
      </w:r>
      <w:r>
        <w:rPr>
          <w:strike/>
          <w:szCs w:val="24"/>
          <w:lang w:eastAsia="en-US"/>
        </w:rPr>
        <w:t xml:space="preserve">byť škodlivá pre </w:t>
      </w:r>
      <w:r>
        <w:rPr>
          <w:b/>
          <w:i/>
          <w:szCs w:val="24"/>
          <w:lang w:eastAsia="en-US"/>
        </w:rPr>
        <w:t xml:space="preserve">priamo alebo nepriamo viesť k škodlivým účinkom na </w:t>
      </w:r>
      <w:r>
        <w:rPr>
          <w:szCs w:val="24"/>
          <w:lang w:eastAsia="en-US"/>
        </w:rPr>
        <w:t>ľudské zdravie</w:t>
      </w:r>
      <w:r>
        <w:rPr>
          <w:b/>
          <w:i/>
          <w:szCs w:val="24"/>
          <w:lang w:eastAsia="en-US"/>
        </w:rPr>
        <w:t xml:space="preserve"> alebo zdravie zviera</w:t>
      </w:r>
      <w:r>
        <w:rPr>
          <w:b/>
          <w:i/>
          <w:szCs w:val="24"/>
          <w:lang w:eastAsia="en-US"/>
        </w:rPr>
        <w:t>t,</w:t>
      </w:r>
      <w:r>
        <w:rPr>
          <w:szCs w:val="24"/>
          <w:lang w:eastAsia="en-US"/>
        </w:rPr>
        <w:t xml:space="preserve"> alebo životné prostredie;</w:t>
      </w:r>
      <w:r>
        <w:rPr>
          <w:b/>
          <w:szCs w:val="24"/>
          <w:lang w:eastAsia="en-US"/>
        </w:rPr>
        <w:t xml:space="preserve"> [PN 58]</w:t>
      </w:r>
    </w:p>
    <w:p w:rsidR="009D7883" w:rsidRDefault="00AA63BB">
      <w:pPr>
        <w:spacing w:before="120" w:after="120" w:line="360" w:lineRule="auto"/>
        <w:ind w:left="850" w:hanging="850"/>
        <w:rPr>
          <w:b/>
          <w:szCs w:val="24"/>
          <w:lang w:eastAsia="en-US"/>
        </w:rPr>
      </w:pPr>
      <w:r>
        <w:rPr>
          <w:szCs w:val="24"/>
          <w:lang w:eastAsia="en-US"/>
        </w:rPr>
        <w:t>21.</w:t>
      </w:r>
      <w:r>
        <w:rPr>
          <w:szCs w:val="24"/>
          <w:lang w:eastAsia="en-US"/>
        </w:rPr>
        <w:tab/>
        <w:t>„kontaminant“ je látka, ktorá môže spôsobiť kontamináciu pôdy;</w:t>
      </w:r>
      <w:r>
        <w:rPr>
          <w:b/>
          <w:szCs w:val="24"/>
          <w:lang w:eastAsia="en-US"/>
        </w:rPr>
        <w:t xml:space="preserve"> </w:t>
      </w:r>
    </w:p>
    <w:p w:rsidR="009D7883" w:rsidRDefault="00AA63BB">
      <w:pPr>
        <w:spacing w:before="120" w:after="120" w:line="360" w:lineRule="auto"/>
        <w:ind w:left="850" w:hanging="850"/>
        <w:rPr>
          <w:szCs w:val="24"/>
          <w:lang w:eastAsia="en-US"/>
        </w:rPr>
      </w:pPr>
      <w:r>
        <w:rPr>
          <w:szCs w:val="24"/>
          <w:lang w:eastAsia="en-US"/>
        </w:rPr>
        <w:t>22.</w:t>
      </w:r>
      <w:r>
        <w:rPr>
          <w:szCs w:val="24"/>
          <w:lang w:eastAsia="en-US"/>
        </w:rPr>
        <w:tab/>
        <w:t>„regenerácia“ je úmyselná činnosť zameraná na zmenu degradovaného stavu pôdy na zdravý stav;</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23.</w:t>
      </w:r>
      <w:r>
        <w:rPr>
          <w:szCs w:val="24"/>
          <w:lang w:eastAsia="en-US"/>
        </w:rPr>
        <w:tab/>
      </w:r>
      <w:r>
        <w:rPr>
          <w:szCs w:val="24"/>
          <w:lang w:eastAsia="en-US"/>
        </w:rPr>
        <w:t xml:space="preserve">„riziko“ je možnosť škodlivých účinkov na ľudské zdravie alebo </w:t>
      </w:r>
      <w:r>
        <w:rPr>
          <w:b/>
          <w:i/>
          <w:szCs w:val="24"/>
          <w:lang w:eastAsia="en-US"/>
        </w:rPr>
        <w:t xml:space="preserve">zdravie zvierat alebo </w:t>
      </w:r>
      <w:r>
        <w:rPr>
          <w:szCs w:val="24"/>
          <w:lang w:eastAsia="en-US"/>
        </w:rPr>
        <w:t>životné prostredie v dôsledku vystavenia kontaminácii pôdy;</w:t>
      </w:r>
      <w:r>
        <w:rPr>
          <w:b/>
          <w:szCs w:val="24"/>
          <w:lang w:eastAsia="en-US"/>
        </w:rPr>
        <w:t xml:space="preserve"> [PN 59]</w:t>
      </w:r>
    </w:p>
    <w:p w:rsidR="009D7883" w:rsidRDefault="00AA63BB">
      <w:pPr>
        <w:spacing w:before="120" w:after="120" w:line="360" w:lineRule="auto"/>
        <w:ind w:left="850" w:hanging="850"/>
        <w:rPr>
          <w:szCs w:val="24"/>
          <w:lang w:eastAsia="en-US"/>
        </w:rPr>
      </w:pPr>
      <w:r>
        <w:rPr>
          <w:szCs w:val="24"/>
          <w:lang w:eastAsia="en-US"/>
        </w:rPr>
        <w:t>24.</w:t>
      </w:r>
      <w:r>
        <w:rPr>
          <w:szCs w:val="24"/>
          <w:lang w:eastAsia="en-US"/>
        </w:rPr>
        <w:tab/>
        <w:t>„prieskum pôdy“ je proces hodnotenia prítomnosti a koncentrácie kontaminantov v pôde, ktorý sa zvyč</w:t>
      </w:r>
      <w:r>
        <w:rPr>
          <w:szCs w:val="24"/>
          <w:lang w:eastAsia="en-US"/>
        </w:rPr>
        <w:t>ajne vykonáva v rôznych fázach;</w:t>
      </w:r>
    </w:p>
    <w:p w:rsidR="009D7883" w:rsidRDefault="00AA63BB">
      <w:pPr>
        <w:spacing w:before="120" w:after="120" w:line="360" w:lineRule="auto"/>
        <w:ind w:left="850" w:hanging="850"/>
        <w:rPr>
          <w:szCs w:val="24"/>
          <w:lang w:eastAsia="en-US"/>
        </w:rPr>
      </w:pPr>
      <w:r>
        <w:rPr>
          <w:szCs w:val="24"/>
          <w:lang w:eastAsia="en-US"/>
        </w:rPr>
        <w:t>25.</w:t>
      </w:r>
      <w:r>
        <w:rPr>
          <w:szCs w:val="24"/>
          <w:lang w:eastAsia="en-US"/>
        </w:rPr>
        <w:tab/>
        <w:t>„geograficky explicitné“ sú informácie, na ktoré sa odkazuje a ktoré sú uložené spôsobom, ktorý umožňuje ich mapovanie a lokalizáciu s osobitnou presnosťou a správnosťou;</w:t>
      </w:r>
    </w:p>
    <w:p w:rsidR="009D7883" w:rsidRDefault="00AA63BB">
      <w:pPr>
        <w:spacing w:before="120" w:after="120" w:line="360" w:lineRule="auto"/>
        <w:ind w:left="850" w:hanging="850"/>
        <w:rPr>
          <w:b/>
          <w:szCs w:val="24"/>
          <w:lang w:eastAsia="en-US"/>
        </w:rPr>
      </w:pPr>
      <w:r>
        <w:rPr>
          <w:szCs w:val="24"/>
          <w:lang w:eastAsia="en-US"/>
        </w:rPr>
        <w:t>26.</w:t>
      </w:r>
      <w:r>
        <w:rPr>
          <w:szCs w:val="24"/>
          <w:lang w:eastAsia="en-US"/>
        </w:rPr>
        <w:tab/>
      </w:r>
      <w:r>
        <w:rPr>
          <w:szCs w:val="24"/>
          <w:lang w:eastAsia="en-US"/>
        </w:rPr>
        <w:t xml:space="preserve">„sanácia pôdy“ je regenerácia, ktorá znižuje, izoluje alebo </w:t>
      </w:r>
      <w:proofErr w:type="spellStart"/>
      <w:r>
        <w:rPr>
          <w:szCs w:val="24"/>
          <w:lang w:eastAsia="en-US"/>
        </w:rPr>
        <w:t>imobilizuje</w:t>
      </w:r>
      <w:proofErr w:type="spellEnd"/>
      <w:r>
        <w:rPr>
          <w:szCs w:val="24"/>
          <w:lang w:eastAsia="en-US"/>
        </w:rPr>
        <w:t xml:space="preserve"> koncentrácie kontaminantov v pôde</w:t>
      </w:r>
      <w:r>
        <w:rPr>
          <w:b/>
          <w:i/>
          <w:szCs w:val="24"/>
          <w:lang w:eastAsia="en-US"/>
        </w:rPr>
        <w:t xml:space="preserve"> pod prahovou hodnotou toxicity, pri ktorej možno vylúčiť významné nebezpečenstvo pre organizmy, ktoré prichádzajú do kontaktu s touto pôdou, s cieľom </w:t>
      </w:r>
      <w:r>
        <w:rPr>
          <w:b/>
          <w:i/>
          <w:szCs w:val="24"/>
          <w:lang w:eastAsia="en-US"/>
        </w:rPr>
        <w:t>zlepšiť ekologický stav</w:t>
      </w:r>
      <w:r>
        <w:rPr>
          <w:szCs w:val="24"/>
          <w:lang w:eastAsia="en-US"/>
        </w:rPr>
        <w:t>.</w:t>
      </w:r>
      <w:r>
        <w:rPr>
          <w:b/>
          <w:szCs w:val="24"/>
          <w:lang w:eastAsia="en-US"/>
        </w:rPr>
        <w:t xml:space="preserve"> [PN 60]</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4</w:t>
      </w:r>
      <w:r>
        <w:rPr>
          <w:szCs w:val="24"/>
          <w:lang w:eastAsia="en-US"/>
        </w:rPr>
        <w:br/>
        <w:t>Pôdne okrsky</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 xml:space="preserve">Členské štáty </w:t>
      </w:r>
      <w:r>
        <w:rPr>
          <w:strike/>
          <w:szCs w:val="24"/>
          <w:lang w:eastAsia="en-US"/>
        </w:rPr>
        <w:t xml:space="preserve">vytvoria na celom svojom </w:t>
      </w:r>
      <w:proofErr w:type="spellStart"/>
      <w:r>
        <w:rPr>
          <w:strike/>
          <w:szCs w:val="24"/>
          <w:lang w:eastAsia="en-US"/>
        </w:rPr>
        <w:t>území</w:t>
      </w:r>
      <w:r>
        <w:rPr>
          <w:b/>
          <w:i/>
          <w:szCs w:val="24"/>
          <w:lang w:eastAsia="en-US"/>
        </w:rPr>
        <w:t>po</w:t>
      </w:r>
      <w:proofErr w:type="spellEnd"/>
      <w:r>
        <w:rPr>
          <w:b/>
          <w:i/>
          <w:szCs w:val="24"/>
          <w:lang w:eastAsia="en-US"/>
        </w:rPr>
        <w:t xml:space="preserve"> konzultácii s miestnymi, regionálnymi a medziregionálnymi orgánmi zriadia</w:t>
      </w:r>
      <w:r>
        <w:rPr>
          <w:szCs w:val="24"/>
          <w:lang w:eastAsia="en-US"/>
        </w:rPr>
        <w:t xml:space="preserve"> pôdne okrsky</w:t>
      </w:r>
      <w:r>
        <w:rPr>
          <w:b/>
          <w:i/>
          <w:szCs w:val="24"/>
          <w:lang w:eastAsia="en-US"/>
        </w:rPr>
        <w:t>, v prípade potreby na základe existujúcich administratívnych j</w:t>
      </w:r>
      <w:r>
        <w:rPr>
          <w:b/>
          <w:i/>
          <w:szCs w:val="24"/>
          <w:lang w:eastAsia="en-US"/>
        </w:rPr>
        <w:t>ednotiek na svojom vlastnom území a na cezhraničných územiach spolu so susednými členskými štátmi</w:t>
      </w:r>
      <w:r>
        <w:rPr>
          <w:szCs w:val="24"/>
          <w:lang w:eastAsia="en-US"/>
        </w:rPr>
        <w:t>.</w:t>
      </w:r>
      <w:r>
        <w:rPr>
          <w:b/>
          <w:szCs w:val="24"/>
          <w:lang w:eastAsia="en-US"/>
        </w:rPr>
        <w:t xml:space="preserve"> [PN 61]</w:t>
      </w:r>
    </w:p>
    <w:p w:rsidR="009D7883" w:rsidRDefault="00AA63BB">
      <w:pPr>
        <w:spacing w:before="120" w:after="120" w:line="360" w:lineRule="auto"/>
        <w:ind w:left="850"/>
        <w:rPr>
          <w:b/>
          <w:szCs w:val="24"/>
          <w:lang w:eastAsia="en-US"/>
        </w:rPr>
      </w:pPr>
      <w:r>
        <w:rPr>
          <w:strike/>
          <w:szCs w:val="24"/>
          <w:lang w:eastAsia="en-US"/>
        </w:rPr>
        <w:t>Počet pôdnych okrskov v každom členskom štáte by mal prinajmenšom zodpovedať počtu územných jednotiek NUTS 1, ako sa stanovuje v nariadení (ES) č. 10</w:t>
      </w:r>
      <w:r>
        <w:rPr>
          <w:strike/>
          <w:szCs w:val="24"/>
          <w:lang w:eastAsia="en-US"/>
        </w:rPr>
        <w:t>59/2003.</w:t>
      </w:r>
      <w:r>
        <w:rPr>
          <w:b/>
          <w:szCs w:val="24"/>
          <w:lang w:eastAsia="en-US"/>
        </w:rPr>
        <w:t xml:space="preserve"> [PN 221/rev1]</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 xml:space="preserve">Pri stanovovaní geografického rozsahu pôdnych okrskov môžu členské štáty zvážiť existujúce </w:t>
      </w:r>
      <w:r>
        <w:rPr>
          <w:b/>
          <w:i/>
          <w:szCs w:val="24"/>
          <w:lang w:eastAsia="en-US"/>
        </w:rPr>
        <w:t xml:space="preserve">využívanie pôdy, správnu štruktúru a </w:t>
      </w:r>
      <w:r>
        <w:rPr>
          <w:szCs w:val="24"/>
          <w:lang w:eastAsia="en-US"/>
        </w:rPr>
        <w:t>administratívne jednotky</w:t>
      </w:r>
      <w:r>
        <w:rPr>
          <w:strike/>
          <w:szCs w:val="24"/>
          <w:lang w:eastAsia="en-US"/>
        </w:rPr>
        <w:t>. Mali by sa usilovať o</w:t>
      </w:r>
      <w:r>
        <w:rPr>
          <w:b/>
          <w:i/>
          <w:szCs w:val="24"/>
          <w:lang w:eastAsia="en-US"/>
        </w:rPr>
        <w:t xml:space="preserve"> a uprednostňujú</w:t>
      </w:r>
      <w:r>
        <w:rPr>
          <w:szCs w:val="24"/>
          <w:lang w:eastAsia="en-US"/>
        </w:rPr>
        <w:t xml:space="preserve"> homogénnosť v rámci každého z pôdnych </w:t>
      </w:r>
      <w:r>
        <w:rPr>
          <w:szCs w:val="24"/>
          <w:lang w:eastAsia="en-US"/>
        </w:rPr>
        <w:t>okrskov, pokiaľ ide o tieto parametre:</w:t>
      </w:r>
      <w:r>
        <w:rPr>
          <w:b/>
          <w:szCs w:val="24"/>
          <w:lang w:eastAsia="en-US"/>
        </w:rPr>
        <w:t xml:space="preserve"> [PN 63]</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pôdny typ v súlade s definíciou vo svetovej referenčnej databáze pôdnych zdrojov</w:t>
      </w:r>
      <w:r>
        <w:rPr>
          <w:szCs w:val="24"/>
          <w:vertAlign w:val="superscript"/>
          <w:lang w:eastAsia="en-US"/>
        </w:rPr>
        <w:footnoteReference w:id="48"/>
      </w:r>
      <w:r>
        <w:rPr>
          <w:szCs w:val="24"/>
          <w:lang w:eastAsia="en-US"/>
        </w:rPr>
        <w:t>;</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klimatické podmienky;</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 xml:space="preserve">environmentálne zóny, ako sa opisujú v správe </w:t>
      </w:r>
      <w:proofErr w:type="spellStart"/>
      <w:r>
        <w:rPr>
          <w:szCs w:val="24"/>
          <w:lang w:eastAsia="en-US"/>
        </w:rPr>
        <w:t>Alterra</w:t>
      </w:r>
      <w:proofErr w:type="spellEnd"/>
      <w:r>
        <w:rPr>
          <w:szCs w:val="24"/>
          <w:lang w:eastAsia="en-US"/>
        </w:rPr>
        <w:t xml:space="preserve"> Report 2281</w:t>
      </w:r>
      <w:r>
        <w:rPr>
          <w:szCs w:val="24"/>
          <w:vertAlign w:val="superscript"/>
          <w:lang w:eastAsia="en-US"/>
        </w:rPr>
        <w:footnoteReference w:id="49"/>
      </w:r>
      <w:r>
        <w:rPr>
          <w:szCs w:val="24"/>
          <w:lang w:eastAsia="en-US"/>
        </w:rPr>
        <w:t>;</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1416" w:hanging="566"/>
        <w:rPr>
          <w:b/>
          <w:i/>
          <w:szCs w:val="24"/>
          <w:lang w:eastAsia="en-US"/>
        </w:rPr>
      </w:pPr>
      <w:r>
        <w:rPr>
          <w:szCs w:val="24"/>
          <w:lang w:eastAsia="en-US"/>
        </w:rPr>
        <w:lastRenderedPageBreak/>
        <w:t>d)</w:t>
      </w:r>
      <w:r>
        <w:rPr>
          <w:szCs w:val="24"/>
          <w:lang w:eastAsia="en-US"/>
        </w:rPr>
        <w:tab/>
        <w:t xml:space="preserve">využívanie pôdy alebo </w:t>
      </w:r>
      <w:r>
        <w:rPr>
          <w:szCs w:val="24"/>
          <w:lang w:eastAsia="en-US"/>
        </w:rPr>
        <w:t>krajinná pokrývka, ako sa používa v programe štatistického prieskumu o využívaní pôdy/krajinnej pokrývke (LUCAS)</w:t>
      </w:r>
      <w:r>
        <w:rPr>
          <w:strike/>
          <w:szCs w:val="24"/>
          <w:lang w:eastAsia="en-US"/>
        </w:rPr>
        <w:t>.</w:t>
      </w:r>
      <w:r>
        <w:rPr>
          <w:b/>
          <w:i/>
          <w:szCs w:val="24"/>
          <w:lang w:eastAsia="en-US"/>
        </w:rPr>
        <w:t>;</w:t>
      </w:r>
    </w:p>
    <w:p w:rsidR="009D7883" w:rsidRDefault="00AA63BB">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 xml:space="preserve">správne územia povodia podľa smernice 2000/60/ES a vodné útvary používané na odber vody určenej na ľudskú spotrebu v zmysle vymedzenia v </w:t>
      </w:r>
      <w:r>
        <w:rPr>
          <w:b/>
          <w:i/>
          <w:szCs w:val="24"/>
          <w:lang w:eastAsia="en-US"/>
        </w:rPr>
        <w:t>smernici (EÚ) 2020/2184;</w:t>
      </w:r>
      <w:r>
        <w:rPr>
          <w:b/>
          <w:szCs w:val="24"/>
          <w:lang w:eastAsia="en-US"/>
        </w:rPr>
        <w:t xml:space="preserve"> [PN 64]</w:t>
      </w:r>
    </w:p>
    <w:p w:rsidR="009D7883" w:rsidRDefault="00AA63BB">
      <w:pPr>
        <w:spacing w:before="120" w:after="120" w:line="360" w:lineRule="auto"/>
        <w:ind w:left="1416" w:hanging="566"/>
        <w:rPr>
          <w:b/>
          <w:szCs w:val="24"/>
          <w:lang w:eastAsia="en-US"/>
        </w:rPr>
      </w:pPr>
      <w:proofErr w:type="spellStart"/>
      <w:r>
        <w:rPr>
          <w:b/>
          <w:i/>
          <w:szCs w:val="24"/>
          <w:lang w:eastAsia="en-US"/>
        </w:rPr>
        <w:t>db</w:t>
      </w:r>
      <w:proofErr w:type="spellEnd"/>
      <w:r>
        <w:rPr>
          <w:b/>
          <w:i/>
          <w:szCs w:val="24"/>
          <w:lang w:eastAsia="en-US"/>
        </w:rPr>
        <w:t>)</w:t>
      </w:r>
      <w:r>
        <w:rPr>
          <w:szCs w:val="24"/>
          <w:lang w:eastAsia="en-US"/>
        </w:rPr>
        <w:tab/>
      </w:r>
      <w:r>
        <w:rPr>
          <w:b/>
          <w:i/>
          <w:szCs w:val="24"/>
          <w:lang w:eastAsia="en-US"/>
        </w:rPr>
        <w:t xml:space="preserve">existencia vzdialených </w:t>
      </w:r>
      <w:proofErr w:type="spellStart"/>
      <w:r>
        <w:rPr>
          <w:b/>
          <w:i/>
          <w:szCs w:val="24"/>
          <w:lang w:eastAsia="en-US"/>
        </w:rPr>
        <w:t>súostrovných</w:t>
      </w:r>
      <w:proofErr w:type="spellEnd"/>
      <w:r>
        <w:rPr>
          <w:b/>
          <w:i/>
          <w:szCs w:val="24"/>
          <w:lang w:eastAsia="en-US"/>
        </w:rPr>
        <w:t xml:space="preserve"> regiónov s ostrovmi roztrúsenými medzi nimi, pričom každý ostrov zodpovedá pôdnemu okrsku;</w:t>
      </w:r>
      <w:r>
        <w:rPr>
          <w:b/>
          <w:szCs w:val="24"/>
          <w:lang w:eastAsia="en-US"/>
        </w:rPr>
        <w:t xml:space="preserve"> [PN 224/rev1]</w:t>
      </w:r>
    </w:p>
    <w:p w:rsidR="009D7883" w:rsidRDefault="00AA63BB">
      <w:pPr>
        <w:spacing w:before="120" w:after="120" w:line="360" w:lineRule="auto"/>
        <w:ind w:left="1416" w:hanging="566"/>
        <w:rPr>
          <w:b/>
          <w:szCs w:val="24"/>
          <w:lang w:eastAsia="en-US"/>
        </w:rPr>
      </w:pPr>
      <w:r>
        <w:rPr>
          <w:b/>
          <w:i/>
          <w:szCs w:val="24"/>
          <w:lang w:eastAsia="en-US"/>
        </w:rPr>
        <w:t>dc)</w:t>
      </w:r>
      <w:r>
        <w:rPr>
          <w:szCs w:val="24"/>
          <w:lang w:eastAsia="en-US"/>
        </w:rPr>
        <w:tab/>
      </w:r>
      <w:r>
        <w:rPr>
          <w:b/>
          <w:i/>
          <w:szCs w:val="24"/>
          <w:lang w:eastAsia="en-US"/>
        </w:rPr>
        <w:t xml:space="preserve">použitie programu </w:t>
      </w:r>
      <w:proofErr w:type="spellStart"/>
      <w:r>
        <w:rPr>
          <w:b/>
          <w:i/>
          <w:szCs w:val="24"/>
          <w:lang w:eastAsia="en-US"/>
        </w:rPr>
        <w:t>Copernicus</w:t>
      </w:r>
      <w:proofErr w:type="spellEnd"/>
      <w:r>
        <w:rPr>
          <w:b/>
          <w:i/>
          <w:szCs w:val="24"/>
          <w:lang w:eastAsia="en-US"/>
        </w:rPr>
        <w:t xml:space="preserve"> na vymedzenie pôdnych okrskov.</w:t>
      </w:r>
      <w:r>
        <w:rPr>
          <w:b/>
          <w:szCs w:val="24"/>
          <w:lang w:eastAsia="en-US"/>
        </w:rPr>
        <w:t xml:space="preserve"> [PN 226/rev1]</w:t>
      </w:r>
    </w:p>
    <w:p w:rsidR="009D7883" w:rsidRDefault="00AA63BB">
      <w:pPr>
        <w:spacing w:before="120" w:after="120" w:line="360" w:lineRule="auto"/>
        <w:ind w:left="850" w:hanging="850"/>
        <w:rPr>
          <w:b/>
          <w:szCs w:val="24"/>
          <w:lang w:eastAsia="en-US"/>
        </w:rPr>
      </w:pPr>
      <w:r>
        <w:rPr>
          <w:b/>
          <w:i/>
          <w:szCs w:val="24"/>
          <w:lang w:eastAsia="en-US"/>
        </w:rPr>
        <w:t>2a.</w:t>
      </w:r>
      <w:r>
        <w:rPr>
          <w:szCs w:val="24"/>
          <w:lang w:eastAsia="en-US"/>
        </w:rPr>
        <w:tab/>
      </w:r>
      <w:r>
        <w:rPr>
          <w:b/>
          <w:i/>
          <w:szCs w:val="24"/>
          <w:lang w:eastAsia="en-US"/>
        </w:rPr>
        <w:t>Členské štáty v prípade potreby zabezpečia, aby pôdne okrsky susedných členských štátov, v ktorých existujú cezhraničné účinky na pôdu, porovnateľné cezhraničné využívanie pôdy alebo podobné hodnoty parametrov uvedených v odseku 2 písm. a) až d), navzá</w:t>
      </w:r>
      <w:r>
        <w:rPr>
          <w:b/>
          <w:i/>
          <w:szCs w:val="24"/>
          <w:lang w:eastAsia="en-US"/>
        </w:rPr>
        <w:t>jom spolupracovali pri výmene najlepších postupov. Členské štáty takisto zabezpečia, aby pôdne okrsky uplatňovali súdržný prístup cezhranične.</w:t>
      </w:r>
      <w:r>
        <w:rPr>
          <w:b/>
          <w:szCs w:val="24"/>
          <w:lang w:eastAsia="en-US"/>
        </w:rPr>
        <w:t xml:space="preserve"> [PN 65]</w:t>
      </w:r>
    </w:p>
    <w:p w:rsidR="009D7883" w:rsidRDefault="00AA63BB">
      <w:pPr>
        <w:spacing w:before="120" w:after="120" w:line="360" w:lineRule="auto"/>
        <w:ind w:left="850" w:hanging="850"/>
        <w:rPr>
          <w:b/>
          <w:szCs w:val="24"/>
          <w:lang w:eastAsia="en-US"/>
        </w:rPr>
      </w:pPr>
      <w:r>
        <w:rPr>
          <w:b/>
          <w:i/>
          <w:szCs w:val="24"/>
          <w:lang w:eastAsia="en-US"/>
        </w:rPr>
        <w:t>2b.</w:t>
      </w:r>
      <w:r>
        <w:rPr>
          <w:szCs w:val="24"/>
          <w:lang w:eastAsia="en-US"/>
        </w:rPr>
        <w:tab/>
      </w:r>
      <w:r>
        <w:rPr>
          <w:b/>
          <w:i/>
          <w:szCs w:val="24"/>
          <w:lang w:eastAsia="en-US"/>
        </w:rPr>
        <w:t xml:space="preserve">Komisia podporí členské štáty pri zabezpečovaní, aby ich pôdne okrsky spolupracovali na cezhraničnom </w:t>
      </w:r>
      <w:r>
        <w:rPr>
          <w:b/>
          <w:i/>
          <w:szCs w:val="24"/>
          <w:lang w:eastAsia="en-US"/>
        </w:rPr>
        <w:t xml:space="preserve">základe, a uľahčuje harmonizáciu systémov monitorovania, prenosových funkcií, koncepcie monitorovania a klasifikácie ekologického stavu na úrovni pôdnych </w:t>
      </w:r>
      <w:proofErr w:type="spellStart"/>
      <w:r>
        <w:rPr>
          <w:b/>
          <w:i/>
          <w:szCs w:val="24"/>
          <w:lang w:eastAsia="en-US"/>
        </w:rPr>
        <w:t>deskriptorov</w:t>
      </w:r>
      <w:proofErr w:type="spellEnd"/>
      <w:r>
        <w:rPr>
          <w:b/>
          <w:i/>
          <w:szCs w:val="24"/>
          <w:lang w:eastAsia="en-US"/>
        </w:rPr>
        <w:t xml:space="preserve"> uvedených v prílohe I.</w:t>
      </w:r>
      <w:r>
        <w:rPr>
          <w:b/>
          <w:szCs w:val="24"/>
          <w:lang w:eastAsia="en-US"/>
        </w:rPr>
        <w:t xml:space="preserve"> [PN 66]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5</w:t>
      </w:r>
      <w:r>
        <w:rPr>
          <w:szCs w:val="24"/>
          <w:lang w:eastAsia="en-US"/>
        </w:rPr>
        <w:br/>
        <w:t>Príslušné orgány</w:t>
      </w:r>
    </w:p>
    <w:p w:rsidR="009D7883" w:rsidRDefault="00AA63BB">
      <w:pPr>
        <w:spacing w:before="120" w:after="120" w:line="360" w:lineRule="auto"/>
        <w:rPr>
          <w:b/>
          <w:szCs w:val="24"/>
          <w:lang w:eastAsia="en-US"/>
        </w:rPr>
      </w:pPr>
      <w:r>
        <w:rPr>
          <w:szCs w:val="24"/>
          <w:lang w:eastAsia="en-US"/>
        </w:rPr>
        <w:t xml:space="preserve">Členské štáty určia príslušné </w:t>
      </w:r>
      <w:r>
        <w:rPr>
          <w:szCs w:val="24"/>
          <w:lang w:eastAsia="en-US"/>
        </w:rPr>
        <w:t>orgány, ktoré sú zodpovedné za plnenie povinností stanovených v tejto smernici na primeranej úrovni</w:t>
      </w:r>
      <w:r>
        <w:rPr>
          <w:b/>
          <w:i/>
          <w:szCs w:val="24"/>
          <w:lang w:eastAsia="en-US"/>
        </w:rPr>
        <w:t>, pričom zohľadnia existujúce administratívne rozdelenie a zodpovednosti, a to aj v prípade cezhraničných pôdnych okrskov</w:t>
      </w:r>
      <w:r>
        <w:rPr>
          <w:szCs w:val="24"/>
          <w:lang w:eastAsia="en-US"/>
        </w:rPr>
        <w:t>.</w:t>
      </w:r>
      <w:r>
        <w:rPr>
          <w:b/>
          <w:szCs w:val="24"/>
          <w:lang w:eastAsia="en-US"/>
        </w:rPr>
        <w:t xml:space="preserve"> [PN 68]</w:t>
      </w:r>
    </w:p>
    <w:p w:rsidR="009D7883" w:rsidRDefault="00AA63BB">
      <w:pPr>
        <w:spacing w:before="120" w:after="120" w:line="360" w:lineRule="auto"/>
        <w:rPr>
          <w:b/>
          <w:szCs w:val="24"/>
          <w:lang w:eastAsia="en-US"/>
        </w:rPr>
      </w:pPr>
      <w:r>
        <w:rPr>
          <w:szCs w:val="24"/>
          <w:lang w:eastAsia="en-US"/>
        </w:rPr>
        <w:t xml:space="preserve">Členské štáty určia jeden </w:t>
      </w:r>
      <w:r>
        <w:rPr>
          <w:szCs w:val="24"/>
          <w:lang w:eastAsia="en-US"/>
        </w:rPr>
        <w:t>príslušný orgán pre každý pôdny okrsok vytvorený v súlade s článkom 4.</w:t>
      </w:r>
      <w:r>
        <w:rPr>
          <w:b/>
          <w:i/>
          <w:szCs w:val="24"/>
          <w:lang w:eastAsia="en-US"/>
        </w:rPr>
        <w:t xml:space="preserve"> Členské štáty môžu určiť jeden príslušný orgán pre niekoľko pôdnych okrskov.</w:t>
      </w:r>
      <w:r>
        <w:rPr>
          <w:b/>
          <w:szCs w:val="24"/>
          <w:lang w:eastAsia="en-US"/>
        </w:rPr>
        <w:t xml:space="preserve"> [PN 69]</w:t>
      </w:r>
    </w:p>
    <w:p w:rsidR="009D7883" w:rsidRDefault="00AA63BB">
      <w:pPr>
        <w:spacing w:before="120" w:after="120" w:line="360" w:lineRule="auto"/>
        <w:rPr>
          <w:b/>
          <w:szCs w:val="24"/>
          <w:lang w:eastAsia="en-US"/>
        </w:rPr>
      </w:pPr>
      <w:r>
        <w:rPr>
          <w:b/>
          <w:i/>
          <w:szCs w:val="24"/>
          <w:lang w:eastAsia="en-US"/>
        </w:rPr>
        <w:t xml:space="preserve">Členské štáty poskytnú Komisii zoznam príslušných orgánov uvedených v odsekoch 1 a 2 tohto článku v </w:t>
      </w:r>
      <w:r>
        <w:rPr>
          <w:b/>
          <w:i/>
          <w:szCs w:val="24"/>
          <w:lang w:eastAsia="en-US"/>
        </w:rPr>
        <w:t>súlade s článkom 18 ods. 3 písm. b). Komisia zverejní aktualizovaný zoznam príslušných orgánov na svojom webovom sídle.</w:t>
      </w:r>
      <w:r>
        <w:rPr>
          <w:b/>
          <w:szCs w:val="24"/>
          <w:lang w:eastAsia="en-US"/>
        </w:rPr>
        <w:t xml:space="preserve"> [PN 70]</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 xml:space="preserve">Kapitola II </w:t>
      </w:r>
      <w:r>
        <w:rPr>
          <w:szCs w:val="24"/>
          <w:lang w:eastAsia="en-US"/>
        </w:rPr>
        <w:br/>
        <w:t>Monitorovanie a posudzovanie zdravia pôdy</w:t>
      </w:r>
    </w:p>
    <w:p w:rsidR="009D7883" w:rsidRDefault="00AA63BB">
      <w:pPr>
        <w:spacing w:before="120" w:after="120" w:line="360" w:lineRule="auto"/>
        <w:jc w:val="center"/>
        <w:rPr>
          <w:szCs w:val="24"/>
          <w:lang w:eastAsia="en-US"/>
        </w:rPr>
      </w:pPr>
      <w:r>
        <w:rPr>
          <w:szCs w:val="24"/>
          <w:lang w:eastAsia="en-US"/>
        </w:rPr>
        <w:t>Článok 6</w:t>
      </w:r>
      <w:r>
        <w:rPr>
          <w:szCs w:val="24"/>
          <w:lang w:eastAsia="en-US"/>
        </w:rPr>
        <w:br/>
        <w:t>Rámec monitorovania zdravia pôdy a záberu pôdy</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Členské štát</w:t>
      </w:r>
      <w:r>
        <w:rPr>
          <w:szCs w:val="24"/>
          <w:lang w:eastAsia="en-US"/>
        </w:rPr>
        <w:t>y vytvoria rámec monitorovania založený na pôdnych okrskoch zriadených podľa článku 4 ods. 1, aby sa zabezpečilo pravidelné a presné monitorovanie zdravia pôdy vykonávané v súlade s týmto článkom a prílohami I a II</w:t>
      </w:r>
      <w:r>
        <w:rPr>
          <w:b/>
          <w:i/>
          <w:szCs w:val="24"/>
          <w:lang w:eastAsia="en-US"/>
        </w:rPr>
        <w:t>, ktoré bude dopĺňať hodnotiaci prístup st</w:t>
      </w:r>
      <w:r>
        <w:rPr>
          <w:b/>
          <w:i/>
          <w:szCs w:val="24"/>
          <w:lang w:eastAsia="en-US"/>
        </w:rPr>
        <w:t>anovený smernicou 2000/60/ES</w:t>
      </w:r>
      <w:r>
        <w:rPr>
          <w:szCs w:val="24"/>
          <w:lang w:eastAsia="en-US"/>
        </w:rPr>
        <w:t>.</w:t>
      </w:r>
      <w:r>
        <w:rPr>
          <w:b/>
          <w:szCs w:val="24"/>
          <w:lang w:eastAsia="en-US"/>
        </w:rPr>
        <w:t xml:space="preserve"> [PN 71]</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Členské štáty monitorujú zdravie pôdy a záber pôdy v každom pôdnom okrsku.</w:t>
      </w:r>
      <w:r>
        <w:rPr>
          <w:b/>
          <w:i/>
          <w:szCs w:val="24"/>
          <w:lang w:eastAsia="en-US"/>
        </w:rPr>
        <w:t xml:space="preserve"> Členské štáty využívajú odborné znalosti národných výskumných ústavov a existujúcich národných monitorovacích systémov a dostupné údaje. Mon</w:t>
      </w:r>
      <w:r>
        <w:rPr>
          <w:b/>
          <w:i/>
          <w:szCs w:val="24"/>
          <w:lang w:eastAsia="en-US"/>
        </w:rPr>
        <w:t>itorovacie činnosti vykonávané členskými štátmi nesmú viesť k finančnej záťaži na pôdohospodárov.</w:t>
      </w:r>
      <w:r>
        <w:rPr>
          <w:b/>
          <w:szCs w:val="24"/>
          <w:lang w:eastAsia="en-US"/>
        </w:rPr>
        <w:t xml:space="preserve"> [PN 72]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3.</w:t>
      </w:r>
      <w:r>
        <w:rPr>
          <w:szCs w:val="24"/>
          <w:lang w:eastAsia="en-US"/>
        </w:rPr>
        <w:tab/>
        <w:t>Rámec monitorovania sa zakladá na týchto prvkoch:</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 xml:space="preserve">pôdne </w:t>
      </w:r>
      <w:proofErr w:type="spellStart"/>
      <w:r>
        <w:rPr>
          <w:szCs w:val="24"/>
          <w:lang w:eastAsia="en-US"/>
        </w:rPr>
        <w:t>deskriptory</w:t>
      </w:r>
      <w:proofErr w:type="spellEnd"/>
      <w:r>
        <w:rPr>
          <w:szCs w:val="24"/>
          <w:lang w:eastAsia="en-US"/>
        </w:rPr>
        <w:t xml:space="preserve"> a kritériá zdravia pôdy, na ktoré sa odkazuje v článku 7;</w:t>
      </w:r>
    </w:p>
    <w:p w:rsidR="009D7883" w:rsidRDefault="00AA63BB">
      <w:pPr>
        <w:spacing w:before="120" w:after="120" w:line="360" w:lineRule="auto"/>
        <w:ind w:left="1416" w:hanging="566"/>
        <w:rPr>
          <w:b/>
          <w:szCs w:val="24"/>
          <w:lang w:eastAsia="en-US"/>
        </w:rPr>
      </w:pPr>
      <w:r>
        <w:rPr>
          <w:szCs w:val="24"/>
          <w:lang w:eastAsia="en-US"/>
        </w:rPr>
        <w:t>b)</w:t>
      </w:r>
      <w:r>
        <w:rPr>
          <w:szCs w:val="24"/>
          <w:lang w:eastAsia="en-US"/>
        </w:rPr>
        <w:tab/>
        <w:t>miesta odberu</w:t>
      </w:r>
      <w:r>
        <w:rPr>
          <w:szCs w:val="24"/>
          <w:lang w:eastAsia="en-US"/>
        </w:rPr>
        <w:t xml:space="preserve"> vzorky pôdy</w:t>
      </w:r>
      <w:r>
        <w:rPr>
          <w:b/>
          <w:i/>
          <w:szCs w:val="24"/>
          <w:lang w:eastAsia="en-US"/>
        </w:rPr>
        <w:t xml:space="preserve"> a hĺbka odberu vzorky</w:t>
      </w:r>
      <w:r>
        <w:rPr>
          <w:szCs w:val="24"/>
          <w:lang w:eastAsia="en-US"/>
        </w:rPr>
        <w:t>, ktoré sa určia v súlade s článkom 8 ods. 2;</w:t>
      </w:r>
      <w:r>
        <w:rPr>
          <w:b/>
          <w:szCs w:val="24"/>
          <w:lang w:eastAsia="en-US"/>
        </w:rPr>
        <w:t xml:space="preserve"> [PN 73]</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pôdne meranie, ktoré uskutočňuje Komisia podľa odseku 4 tohto článku, ak sa vykonáva;</w:t>
      </w:r>
    </w:p>
    <w:p w:rsidR="009D7883" w:rsidRDefault="00AA63BB">
      <w:pPr>
        <w:spacing w:before="120" w:after="120" w:line="360" w:lineRule="auto"/>
        <w:ind w:left="1416" w:hanging="566"/>
        <w:rPr>
          <w:b/>
          <w:szCs w:val="24"/>
          <w:lang w:eastAsia="en-US"/>
        </w:rPr>
      </w:pPr>
      <w:r>
        <w:rPr>
          <w:szCs w:val="24"/>
          <w:lang w:eastAsia="en-US"/>
        </w:rPr>
        <w:t>d)</w:t>
      </w:r>
      <w:r>
        <w:rPr>
          <w:szCs w:val="24"/>
          <w:lang w:eastAsia="en-US"/>
        </w:rPr>
        <w:tab/>
      </w:r>
      <w:proofErr w:type="spellStart"/>
      <w:r>
        <w:rPr>
          <w:strike/>
          <w:szCs w:val="24"/>
          <w:lang w:eastAsia="en-US"/>
        </w:rPr>
        <w:t>prípadné</w:t>
      </w:r>
      <w:r>
        <w:rPr>
          <w:b/>
          <w:i/>
          <w:szCs w:val="24"/>
          <w:lang w:eastAsia="en-US"/>
        </w:rPr>
        <w:t>vedecky</w:t>
      </w:r>
      <w:proofErr w:type="spellEnd"/>
      <w:r>
        <w:rPr>
          <w:b/>
          <w:i/>
          <w:szCs w:val="24"/>
          <w:lang w:eastAsia="en-US"/>
        </w:rPr>
        <w:t xml:space="preserve"> robustné</w:t>
      </w:r>
      <w:r>
        <w:rPr>
          <w:szCs w:val="24"/>
          <w:lang w:eastAsia="en-US"/>
        </w:rPr>
        <w:t xml:space="preserve"> údaje a produkty diaľkového snímania uvedené v odse</w:t>
      </w:r>
      <w:r>
        <w:rPr>
          <w:szCs w:val="24"/>
          <w:lang w:eastAsia="en-US"/>
        </w:rPr>
        <w:t>ku 5 tohto článku</w:t>
      </w:r>
      <w:r>
        <w:rPr>
          <w:b/>
          <w:i/>
          <w:szCs w:val="24"/>
          <w:lang w:eastAsia="en-US"/>
        </w:rPr>
        <w:t>, ak existujú</w:t>
      </w:r>
      <w:r>
        <w:rPr>
          <w:szCs w:val="24"/>
          <w:lang w:eastAsia="en-US"/>
        </w:rPr>
        <w:t>;</w:t>
      </w:r>
      <w:r>
        <w:rPr>
          <w:b/>
          <w:szCs w:val="24"/>
          <w:lang w:eastAsia="en-US"/>
        </w:rPr>
        <w:t xml:space="preserve"> [PN 74]</w:t>
      </w:r>
    </w:p>
    <w:p w:rsidR="009D7883" w:rsidRDefault="00AA63BB">
      <w:pPr>
        <w:spacing w:before="120" w:after="120" w:line="360" w:lineRule="auto"/>
        <w:ind w:left="1416" w:hanging="566"/>
        <w:rPr>
          <w:szCs w:val="24"/>
          <w:lang w:eastAsia="en-US"/>
        </w:rPr>
      </w:pPr>
      <w:r>
        <w:rPr>
          <w:szCs w:val="24"/>
          <w:lang w:eastAsia="en-US"/>
        </w:rPr>
        <w:t>e)</w:t>
      </w:r>
      <w:r>
        <w:rPr>
          <w:szCs w:val="24"/>
          <w:lang w:eastAsia="en-US"/>
        </w:rPr>
        <w:tab/>
        <w:t>ukazovatele záberu pôdy a straty priepustnosti pôdy uvedené v článku 7 ods. 1.</w:t>
      </w:r>
    </w:p>
    <w:p w:rsidR="009D7883" w:rsidRDefault="00AA63BB">
      <w:pPr>
        <w:spacing w:before="120" w:after="120" w:line="360" w:lineRule="auto"/>
        <w:ind w:left="850" w:hanging="850"/>
        <w:rPr>
          <w:b/>
          <w:szCs w:val="24"/>
          <w:lang w:eastAsia="en-US"/>
        </w:rPr>
      </w:pPr>
      <w:r>
        <w:rPr>
          <w:strike/>
          <w:szCs w:val="24"/>
          <w:lang w:eastAsia="en-US"/>
        </w:rPr>
        <w:t>4.</w:t>
      </w:r>
      <w:r>
        <w:rPr>
          <w:szCs w:val="24"/>
          <w:lang w:eastAsia="en-US"/>
        </w:rPr>
        <w:tab/>
      </w:r>
      <w:r>
        <w:rPr>
          <w:strike/>
          <w:szCs w:val="24"/>
          <w:lang w:eastAsia="en-US"/>
        </w:rPr>
        <w:t>Komisia so súhlasom dotknutých členských štátov vykonáva pravidelné pôdne merania s použitím vzoriek odobraných in-situ a na základ</w:t>
      </w:r>
      <w:r>
        <w:rPr>
          <w:strike/>
          <w:szCs w:val="24"/>
          <w:lang w:eastAsia="en-US"/>
        </w:rPr>
        <w:t xml:space="preserve">e príslušných </w:t>
      </w:r>
      <w:proofErr w:type="spellStart"/>
      <w:r>
        <w:rPr>
          <w:strike/>
          <w:szCs w:val="24"/>
          <w:lang w:eastAsia="en-US"/>
        </w:rPr>
        <w:t>deskriptorov</w:t>
      </w:r>
      <w:proofErr w:type="spellEnd"/>
      <w:r>
        <w:rPr>
          <w:strike/>
          <w:szCs w:val="24"/>
          <w:lang w:eastAsia="en-US"/>
        </w:rPr>
        <w:t xml:space="preserve"> a metodík uvedených v článkoch 7 a 8, aby podporila monitorovanie zdravia pôdy zo strany členských štátov. Ak členský štát poskytne súhlas v súlade s týmto odsekom, zabezpečí, aby Komisia mohla uskutočniť takýto odber vzorky in-s</w:t>
      </w:r>
      <w:r>
        <w:rPr>
          <w:strike/>
          <w:szCs w:val="24"/>
          <w:lang w:eastAsia="en-US"/>
        </w:rPr>
        <w:t>itu.</w:t>
      </w:r>
      <w:r>
        <w:rPr>
          <w:b/>
          <w:szCs w:val="24"/>
          <w:lang w:eastAsia="en-US"/>
        </w:rPr>
        <w:t xml:space="preserve"> [PN 227/rev1]</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szCs w:val="24"/>
          <w:lang w:eastAsia="en-US"/>
        </w:rPr>
      </w:pPr>
      <w:r>
        <w:rPr>
          <w:b/>
          <w:i/>
          <w:szCs w:val="24"/>
          <w:lang w:eastAsia="en-US"/>
        </w:rPr>
        <w:lastRenderedPageBreak/>
        <w:t>4a.</w:t>
      </w:r>
      <w:r>
        <w:rPr>
          <w:szCs w:val="24"/>
          <w:lang w:eastAsia="en-US"/>
        </w:rPr>
        <w:tab/>
      </w:r>
      <w:r>
        <w:rPr>
          <w:b/>
          <w:i/>
          <w:szCs w:val="24"/>
          <w:lang w:eastAsia="en-US"/>
        </w:rPr>
        <w:t>Komisia zabezpečí, aby sa prvé meranie pôdy uvedené v odseku 4 vykonalo do ... [Úrad pre publikácie: vložte dátum 3 roky odo dňa nadobudnutia účinnosti tejto smernice].</w:t>
      </w:r>
    </w:p>
    <w:p w:rsidR="009D7883" w:rsidRDefault="00AA63BB">
      <w:pPr>
        <w:spacing w:before="120" w:after="120" w:line="360" w:lineRule="auto"/>
        <w:ind w:left="850"/>
        <w:rPr>
          <w:szCs w:val="24"/>
          <w:lang w:eastAsia="en-US"/>
        </w:rPr>
      </w:pPr>
      <w:r>
        <w:rPr>
          <w:b/>
          <w:i/>
          <w:szCs w:val="24"/>
          <w:lang w:eastAsia="en-US"/>
        </w:rPr>
        <w:t>Komisia prispieva k monitorovaniu vykonávanému členskými štátm</w:t>
      </w:r>
      <w:r>
        <w:rPr>
          <w:b/>
          <w:i/>
          <w:szCs w:val="24"/>
          <w:lang w:eastAsia="en-US"/>
        </w:rPr>
        <w:t>i zabezpečovaním odberu vzoriek a analýzou aspoň 20 % podielu vnútroštátnych vzoriek.</w:t>
      </w:r>
    </w:p>
    <w:p w:rsidR="009D7883" w:rsidRDefault="00AA63BB">
      <w:pPr>
        <w:spacing w:before="120" w:after="120" w:line="360" w:lineRule="auto"/>
        <w:ind w:left="850"/>
        <w:rPr>
          <w:b/>
          <w:szCs w:val="24"/>
          <w:lang w:eastAsia="en-US"/>
        </w:rPr>
      </w:pPr>
      <w:r>
        <w:rPr>
          <w:b/>
          <w:i/>
          <w:szCs w:val="24"/>
          <w:lang w:eastAsia="en-US"/>
        </w:rPr>
        <w:t>Komisia na žiadosť členského štátu poskytne ďalšiu pomoc až do výšky 50 % odberu vzoriek počas prvého kola vnútroštátneho monitorovania.</w:t>
      </w:r>
      <w:r>
        <w:rPr>
          <w:b/>
          <w:szCs w:val="24"/>
          <w:lang w:eastAsia="en-US"/>
        </w:rPr>
        <w:t xml:space="preserve"> [PN 76]</w:t>
      </w:r>
    </w:p>
    <w:p w:rsidR="009D7883" w:rsidRDefault="00AA63BB">
      <w:pPr>
        <w:spacing w:before="120" w:after="120" w:line="360" w:lineRule="auto"/>
        <w:ind w:left="850" w:hanging="850"/>
        <w:rPr>
          <w:szCs w:val="24"/>
          <w:lang w:eastAsia="en-US"/>
        </w:rPr>
      </w:pPr>
      <w:r>
        <w:rPr>
          <w:szCs w:val="24"/>
          <w:lang w:eastAsia="en-US"/>
        </w:rPr>
        <w:t>5.</w:t>
      </w:r>
      <w:r>
        <w:rPr>
          <w:szCs w:val="24"/>
          <w:lang w:eastAsia="en-US"/>
        </w:rPr>
        <w:tab/>
        <w:t>Komisia spolu s Európs</w:t>
      </w:r>
      <w:r>
        <w:rPr>
          <w:szCs w:val="24"/>
          <w:lang w:eastAsia="en-US"/>
        </w:rPr>
        <w:t xml:space="preserve">kou environmentálnou agentúrou (EEA) využije existujúce satelitné údaje a produkty poskytnuté v rámci komponentu </w:t>
      </w:r>
      <w:proofErr w:type="spellStart"/>
      <w:r>
        <w:rPr>
          <w:szCs w:val="24"/>
          <w:lang w:eastAsia="en-US"/>
        </w:rPr>
        <w:t>Copernicus</w:t>
      </w:r>
      <w:proofErr w:type="spellEnd"/>
      <w:r>
        <w:rPr>
          <w:szCs w:val="24"/>
          <w:lang w:eastAsia="en-US"/>
        </w:rPr>
        <w:t>, ktorý je súčasťou Vesmírneho programu Únie založeného nariadením (EÚ) 2021/696, s cieľom preskúmať a vyvíjať produkty diaľkového sn</w:t>
      </w:r>
      <w:r>
        <w:rPr>
          <w:szCs w:val="24"/>
          <w:lang w:eastAsia="en-US"/>
        </w:rPr>
        <w:t xml:space="preserve">ímania pôdy na podporu členských štátov pri monitorovaní príslušných pôdnych </w:t>
      </w:r>
      <w:proofErr w:type="spellStart"/>
      <w:r>
        <w:rPr>
          <w:szCs w:val="24"/>
          <w:lang w:eastAsia="en-US"/>
        </w:rPr>
        <w:t>deskriptorov</w:t>
      </w:r>
      <w:proofErr w:type="spellEnd"/>
      <w:r>
        <w:rPr>
          <w:szCs w:val="24"/>
          <w:lang w:eastAsia="en-US"/>
        </w:rPr>
        <w:t>.</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6.</w:t>
      </w:r>
      <w:r>
        <w:rPr>
          <w:szCs w:val="24"/>
          <w:lang w:eastAsia="en-US"/>
        </w:rPr>
        <w:tab/>
      </w:r>
      <w:r>
        <w:rPr>
          <w:szCs w:val="24"/>
          <w:lang w:eastAsia="en-US"/>
        </w:rPr>
        <w:t xml:space="preserve">Komisia a EEA na základe existujúcich údajov a do dvoch rokov od nadobudnutia účinnosti tejto smernice vytvoria digitálny portál s údajmi o zdraví pôdy, ktorým sa v </w:t>
      </w:r>
      <w:proofErr w:type="spellStart"/>
      <w:r>
        <w:rPr>
          <w:szCs w:val="24"/>
          <w:lang w:eastAsia="en-US"/>
        </w:rPr>
        <w:t>georeferenčnom</w:t>
      </w:r>
      <w:proofErr w:type="spellEnd"/>
      <w:r>
        <w:rPr>
          <w:szCs w:val="24"/>
          <w:lang w:eastAsia="en-US"/>
        </w:rPr>
        <w:t xml:space="preserve"> priestorovom formáte</w:t>
      </w:r>
      <w:r>
        <w:rPr>
          <w:b/>
          <w:i/>
          <w:szCs w:val="24"/>
          <w:lang w:eastAsia="en-US"/>
        </w:rPr>
        <w:t>, v súlade s nariadením Európskeho parlamentu a Rady (ES</w:t>
      </w:r>
      <w:r>
        <w:rPr>
          <w:b/>
          <w:i/>
          <w:szCs w:val="24"/>
          <w:lang w:eastAsia="en-US"/>
        </w:rPr>
        <w:t>) č. 223/2009</w:t>
      </w:r>
      <w:r>
        <w:rPr>
          <w:szCs w:val="24"/>
          <w:vertAlign w:val="superscript"/>
          <w:lang w:eastAsia="en-US"/>
        </w:rPr>
        <w:footnoteReference w:id="50"/>
      </w:r>
      <w:r>
        <w:rPr>
          <w:b/>
          <w:i/>
          <w:szCs w:val="24"/>
          <w:lang w:eastAsia="en-US"/>
        </w:rPr>
        <w:t xml:space="preserve">, </w:t>
      </w:r>
      <w:r>
        <w:rPr>
          <w:szCs w:val="24"/>
          <w:lang w:eastAsia="en-US"/>
        </w:rPr>
        <w:t>poskytne prístup aspoň k tým dostupným údajom o zdraví pôdy, ktoré vychádzajú z:</w:t>
      </w:r>
      <w:r>
        <w:rPr>
          <w:b/>
          <w:szCs w:val="24"/>
          <w:lang w:eastAsia="en-US"/>
        </w:rPr>
        <w:t xml:space="preserve"> [PN 77]</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pôdnych meraní uvedených v článku 8 ods. 2;</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pôdnych meraní, na ktoré sa odkazuje v odseku 4 tohto článku;</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 xml:space="preserve">príslušné údaje a produkty </w:t>
      </w:r>
      <w:r>
        <w:rPr>
          <w:szCs w:val="24"/>
          <w:lang w:eastAsia="en-US"/>
        </w:rPr>
        <w:t>diaľkového snímania pôdy uvedené v odseku 5 tohto článku.</w:t>
      </w:r>
    </w:p>
    <w:p w:rsidR="009D7883" w:rsidRDefault="00AA63BB">
      <w:pPr>
        <w:spacing w:before="120" w:after="120" w:line="360" w:lineRule="auto"/>
        <w:ind w:left="850" w:hanging="850"/>
        <w:rPr>
          <w:b/>
          <w:szCs w:val="24"/>
          <w:lang w:eastAsia="en-US"/>
        </w:rPr>
      </w:pPr>
      <w:r>
        <w:rPr>
          <w:b/>
          <w:i/>
          <w:szCs w:val="24"/>
          <w:lang w:eastAsia="en-US"/>
        </w:rPr>
        <w:t>6a.</w:t>
      </w:r>
      <w:r>
        <w:rPr>
          <w:szCs w:val="24"/>
          <w:lang w:eastAsia="en-US"/>
        </w:rPr>
        <w:tab/>
      </w:r>
      <w:r>
        <w:rPr>
          <w:b/>
          <w:i/>
          <w:szCs w:val="24"/>
          <w:lang w:eastAsia="en-US"/>
        </w:rPr>
        <w:t xml:space="preserve">Rámec monitorovania pôdy uvedený v odsekoch 3 až 6 vychádza z existujúcich rámcov monitorovania na úrovni Únie a na vnútroštátnej úrovni vrátane údajov z rámcového štatistického prehľadu pôdy a </w:t>
      </w:r>
      <w:r>
        <w:rPr>
          <w:b/>
          <w:i/>
          <w:szCs w:val="24"/>
          <w:lang w:eastAsia="en-US"/>
        </w:rPr>
        <w:t>jej využitia LUCAS.</w:t>
      </w:r>
      <w:r>
        <w:rPr>
          <w:b/>
          <w:szCs w:val="24"/>
          <w:lang w:eastAsia="en-US"/>
        </w:rPr>
        <w:t xml:space="preserve"> [PN 78]</w:t>
      </w:r>
    </w:p>
    <w:p w:rsidR="009D7883" w:rsidRDefault="00AA63BB">
      <w:pPr>
        <w:spacing w:before="120" w:after="120" w:line="360" w:lineRule="auto"/>
        <w:ind w:left="850" w:hanging="850"/>
        <w:rPr>
          <w:szCs w:val="24"/>
          <w:lang w:eastAsia="en-US"/>
        </w:rPr>
      </w:pPr>
      <w:r>
        <w:rPr>
          <w:szCs w:val="24"/>
          <w:lang w:eastAsia="en-US"/>
        </w:rPr>
        <w:t>7.</w:t>
      </w:r>
      <w:r>
        <w:rPr>
          <w:szCs w:val="24"/>
          <w:lang w:eastAsia="en-US"/>
        </w:rPr>
        <w:tab/>
        <w:t>Digitálnym portálom s údajmi o zdraví pôdy uvedeným v odseku 6 možno poskytovať prístup aj k iným údajom súvisiacim so zdravím pôdy, než sú údaje uvedené v danom odseku, ak sa takéto údaje vymieňali alebo zhromažďovali v súla</w:t>
      </w:r>
      <w:r>
        <w:rPr>
          <w:szCs w:val="24"/>
          <w:lang w:eastAsia="en-US"/>
        </w:rPr>
        <w:t>de s formátmi či metódami, ktoré stanovila Komisia v zmysle článku 8.</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7a.</w:t>
      </w:r>
      <w:r>
        <w:rPr>
          <w:szCs w:val="24"/>
          <w:lang w:eastAsia="en-US"/>
        </w:rPr>
        <w:tab/>
      </w:r>
      <w:r>
        <w:rPr>
          <w:b/>
          <w:i/>
          <w:szCs w:val="24"/>
          <w:lang w:eastAsia="en-US"/>
        </w:rPr>
        <w:t>Digitálny portál údajov o zdraví pôdy zahŕňa súbor nástrojov udržateľného obhospodarovania pôdy uvedený v článku 10a.</w:t>
      </w:r>
      <w:r>
        <w:rPr>
          <w:b/>
          <w:szCs w:val="24"/>
          <w:lang w:eastAsia="en-US"/>
        </w:rPr>
        <w:t xml:space="preserve"> [PN 79]</w:t>
      </w:r>
    </w:p>
    <w:p w:rsidR="009D7883" w:rsidRDefault="00AA63BB">
      <w:pPr>
        <w:spacing w:before="120" w:after="120" w:line="360" w:lineRule="auto"/>
        <w:ind w:left="850" w:hanging="850"/>
        <w:rPr>
          <w:b/>
          <w:szCs w:val="24"/>
          <w:lang w:eastAsia="en-US"/>
        </w:rPr>
      </w:pPr>
      <w:r>
        <w:rPr>
          <w:szCs w:val="24"/>
          <w:lang w:eastAsia="en-US"/>
        </w:rPr>
        <w:t>8.</w:t>
      </w:r>
      <w:r>
        <w:rPr>
          <w:szCs w:val="24"/>
          <w:lang w:eastAsia="en-US"/>
        </w:rPr>
        <w:tab/>
        <w:t>Komisia prijme vykonávacie akty, ktorými stanoví fo</w:t>
      </w:r>
      <w:r>
        <w:rPr>
          <w:szCs w:val="24"/>
          <w:lang w:eastAsia="en-US"/>
        </w:rPr>
        <w:t>rmáty alebo metódy výmeny či zhromažďovania údajov uvedených v odseku 7, prípadne na účely integrácie takýchto údajov na digitálnom portáli s údajmi o zdraví pôdy</w:t>
      </w:r>
      <w:r>
        <w:rPr>
          <w:b/>
          <w:i/>
          <w:szCs w:val="24"/>
          <w:lang w:eastAsia="en-US"/>
        </w:rPr>
        <w:t>, a zabezpečí súlad s právom Únie o ochrane osobných údajov</w:t>
      </w:r>
      <w:r>
        <w:rPr>
          <w:szCs w:val="24"/>
          <w:lang w:eastAsia="en-US"/>
        </w:rPr>
        <w:t>. Uvedené vykonávacie akty sa prijm</w:t>
      </w:r>
      <w:r>
        <w:rPr>
          <w:szCs w:val="24"/>
          <w:lang w:eastAsia="en-US"/>
        </w:rPr>
        <w:t>ú v súlade s postupom preskúmania uvedeným v článku 21.</w:t>
      </w:r>
      <w:r>
        <w:rPr>
          <w:b/>
          <w:szCs w:val="24"/>
          <w:lang w:eastAsia="en-US"/>
        </w:rPr>
        <w:t xml:space="preserve"> [PN 80]</w:t>
      </w:r>
    </w:p>
    <w:p w:rsidR="009D7883" w:rsidRDefault="00AA63BB">
      <w:pPr>
        <w:spacing w:before="120" w:after="120" w:line="360" w:lineRule="auto"/>
        <w:ind w:left="850" w:hanging="850"/>
        <w:rPr>
          <w:b/>
          <w:szCs w:val="24"/>
          <w:lang w:eastAsia="en-US"/>
        </w:rPr>
      </w:pPr>
      <w:r>
        <w:rPr>
          <w:b/>
          <w:i/>
          <w:szCs w:val="24"/>
          <w:lang w:eastAsia="en-US"/>
        </w:rPr>
        <w:t>8a.</w:t>
      </w:r>
      <w:r>
        <w:rPr>
          <w:szCs w:val="24"/>
          <w:lang w:eastAsia="en-US"/>
        </w:rPr>
        <w:tab/>
      </w:r>
      <w:r>
        <w:rPr>
          <w:b/>
          <w:i/>
          <w:szCs w:val="24"/>
          <w:lang w:eastAsia="en-US"/>
        </w:rPr>
        <w:t>Komisia poskytuje členským štátom potrebné služby v oblasti budovania kapacít, pomoci a poradenstva a podporuje ich iniciatívy v oblasti monitorovania, mnohostrannú harmonizáciu predpisov,</w:t>
      </w:r>
      <w:r>
        <w:rPr>
          <w:b/>
          <w:i/>
          <w:szCs w:val="24"/>
          <w:lang w:eastAsia="en-US"/>
        </w:rPr>
        <w:t xml:space="preserve"> metód a archívov, a tým odstráni existujúce medzery v údajoch a úzke miesta v pracovných postupoch prostredníctvom výmeny spoločných odborných znalostí. Na tento účel Komisia stavia na existujúcich mechanizmoch vrátane iniciatívy „</w:t>
      </w:r>
      <w:proofErr w:type="spellStart"/>
      <w:r>
        <w:rPr>
          <w:b/>
          <w:i/>
          <w:szCs w:val="24"/>
          <w:lang w:eastAsia="en-US"/>
        </w:rPr>
        <w:t>Soil</w:t>
      </w:r>
      <w:proofErr w:type="spellEnd"/>
      <w:r>
        <w:rPr>
          <w:b/>
          <w:i/>
          <w:szCs w:val="24"/>
          <w:lang w:eastAsia="en-US"/>
        </w:rPr>
        <w:t xml:space="preserve"> BON“.</w:t>
      </w:r>
      <w:r>
        <w:rPr>
          <w:b/>
          <w:szCs w:val="24"/>
          <w:lang w:eastAsia="en-US"/>
        </w:rPr>
        <w:t xml:space="preserve"> [PN 81]</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jc w:val="center"/>
        <w:rPr>
          <w:szCs w:val="24"/>
          <w:lang w:eastAsia="en-US"/>
        </w:rPr>
      </w:pPr>
      <w:r>
        <w:rPr>
          <w:b/>
          <w:i/>
          <w:szCs w:val="24"/>
          <w:lang w:eastAsia="en-US"/>
        </w:rPr>
        <w:lastRenderedPageBreak/>
        <w:t>Člá</w:t>
      </w:r>
      <w:r>
        <w:rPr>
          <w:b/>
          <w:i/>
          <w:szCs w:val="24"/>
          <w:lang w:eastAsia="en-US"/>
        </w:rPr>
        <w:t xml:space="preserve">nok 6a </w:t>
      </w:r>
      <w:r>
        <w:rPr>
          <w:b/>
          <w:i/>
          <w:szCs w:val="24"/>
          <w:lang w:eastAsia="en-US"/>
        </w:rPr>
        <w:br/>
        <w:t>Efektívne používanie a uchovávanie vzoriek pôdy</w:t>
      </w:r>
    </w:p>
    <w:p w:rsidR="009D7883" w:rsidRDefault="00AA63BB">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Komisia spolu s členskými štátmi a Strediskom EÚ pre monitorovanie pôdy vykoná opatrenia s cieľom zabezpečiť, aby boli fyzické archívy pôdy, extraktov DNA a digitálny archív nespracovaných údajov n</w:t>
      </w:r>
      <w:r>
        <w:rPr>
          <w:b/>
          <w:i/>
          <w:szCs w:val="24"/>
          <w:lang w:eastAsia="en-US"/>
        </w:rPr>
        <w:t>a úrovni Únie a vnútroštátnej úrovni naďalej k dispozícii na účely ďalšieho výskumu a inovácie. Komisia a členské štáty zabezpečia, aby sa vzorky uskladňovali tak, aby ich bolo možné dlhodobo udržateľne používať.</w:t>
      </w:r>
    </w:p>
    <w:p w:rsidR="009D7883" w:rsidRDefault="00AA63BB">
      <w:pPr>
        <w:spacing w:before="120" w:after="120" w:line="360" w:lineRule="auto"/>
        <w:ind w:left="850" w:hanging="850"/>
        <w:rPr>
          <w:b/>
          <w:szCs w:val="24"/>
          <w:lang w:eastAsia="en-US"/>
        </w:rPr>
      </w:pPr>
      <w:r>
        <w:rPr>
          <w:b/>
          <w:i/>
          <w:szCs w:val="24"/>
          <w:lang w:eastAsia="en-US"/>
        </w:rPr>
        <w:t>2.</w:t>
      </w:r>
      <w:r>
        <w:rPr>
          <w:szCs w:val="24"/>
          <w:lang w:eastAsia="en-US"/>
        </w:rPr>
        <w:tab/>
      </w:r>
      <w:r>
        <w:rPr>
          <w:b/>
          <w:i/>
          <w:szCs w:val="24"/>
          <w:lang w:eastAsia="en-US"/>
        </w:rPr>
        <w:t>Do ... [Úrad pre publikácie: vložte dátu</w:t>
      </w:r>
      <w:r>
        <w:rPr>
          <w:b/>
          <w:i/>
          <w:szCs w:val="24"/>
          <w:lang w:eastAsia="en-US"/>
        </w:rPr>
        <w:t>m = 12 mesiacov odo dňa nadobudnutia účinnosti tejto smernice] poskytne usmernenia s referenčnými protokolmi na používanie vzoriek pôdy nákladovo najefektívnejším spôsobom.</w:t>
      </w:r>
      <w:r>
        <w:rPr>
          <w:b/>
          <w:szCs w:val="24"/>
          <w:lang w:eastAsia="en-US"/>
        </w:rPr>
        <w:t xml:space="preserve"> [PN 82]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b/>
          <w:szCs w:val="24"/>
          <w:lang w:eastAsia="en-US"/>
        </w:rPr>
      </w:pPr>
      <w:r>
        <w:rPr>
          <w:szCs w:val="24"/>
          <w:lang w:eastAsia="en-US"/>
        </w:rPr>
        <w:lastRenderedPageBreak/>
        <w:t>Článok 7</w:t>
      </w:r>
      <w:r>
        <w:rPr>
          <w:szCs w:val="24"/>
          <w:lang w:eastAsia="en-US"/>
        </w:rPr>
        <w:br/>
        <w:t xml:space="preserve">Pôdne </w:t>
      </w:r>
      <w:proofErr w:type="spellStart"/>
      <w:r>
        <w:rPr>
          <w:szCs w:val="24"/>
          <w:lang w:eastAsia="en-US"/>
        </w:rPr>
        <w:t>deskriptory</w:t>
      </w:r>
      <w:proofErr w:type="spellEnd"/>
      <w:r>
        <w:rPr>
          <w:szCs w:val="24"/>
          <w:lang w:eastAsia="en-US"/>
        </w:rPr>
        <w:t xml:space="preserve">, kritériá pre </w:t>
      </w:r>
      <w:proofErr w:type="spellStart"/>
      <w:r>
        <w:rPr>
          <w:strike/>
          <w:szCs w:val="24"/>
          <w:lang w:eastAsia="en-US"/>
        </w:rPr>
        <w:t>zdravý</w:t>
      </w:r>
      <w:r>
        <w:rPr>
          <w:b/>
          <w:i/>
          <w:szCs w:val="24"/>
          <w:lang w:eastAsia="en-US"/>
        </w:rPr>
        <w:t>ekologický</w:t>
      </w:r>
      <w:proofErr w:type="spellEnd"/>
      <w:r>
        <w:rPr>
          <w:b/>
          <w:i/>
          <w:szCs w:val="24"/>
          <w:lang w:eastAsia="en-US"/>
        </w:rPr>
        <w:t xml:space="preserve"> </w:t>
      </w:r>
      <w:r>
        <w:rPr>
          <w:szCs w:val="24"/>
          <w:lang w:eastAsia="en-US"/>
        </w:rPr>
        <w:t>stav pôdy a uka</w:t>
      </w:r>
      <w:r>
        <w:rPr>
          <w:szCs w:val="24"/>
          <w:lang w:eastAsia="en-US"/>
        </w:rPr>
        <w:t xml:space="preserve">zovatele záberu pôdy a straty priepustnosti pôdy </w:t>
      </w:r>
      <w:r>
        <w:rPr>
          <w:b/>
          <w:szCs w:val="24"/>
          <w:lang w:eastAsia="en-US"/>
        </w:rPr>
        <w:t>[PN 83]</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Členské štáty pri monitorovaní a posudzovaní</w:t>
      </w:r>
      <w:r>
        <w:rPr>
          <w:strike/>
          <w:szCs w:val="24"/>
          <w:lang w:eastAsia="en-US"/>
        </w:rPr>
        <w:t xml:space="preserve"> zdravia pôdy uplatňujú</w:t>
      </w:r>
      <w:r>
        <w:rPr>
          <w:b/>
          <w:i/>
          <w:szCs w:val="24"/>
          <w:lang w:eastAsia="en-US"/>
        </w:rPr>
        <w:t xml:space="preserve"> pôdy môžu uplatniť</w:t>
      </w:r>
      <w:r>
        <w:rPr>
          <w:szCs w:val="24"/>
          <w:lang w:eastAsia="en-US"/>
        </w:rPr>
        <w:t xml:space="preserve"> pôdne </w:t>
      </w:r>
      <w:proofErr w:type="spellStart"/>
      <w:r>
        <w:rPr>
          <w:szCs w:val="24"/>
          <w:lang w:eastAsia="en-US"/>
        </w:rPr>
        <w:t>deskriptory</w:t>
      </w:r>
      <w:proofErr w:type="spellEnd"/>
      <w:r>
        <w:rPr>
          <w:strike/>
          <w:szCs w:val="24"/>
          <w:lang w:eastAsia="en-US"/>
        </w:rPr>
        <w:t xml:space="preserve"> a kritériá zdravia pôdy,</w:t>
      </w:r>
      <w:r>
        <w:rPr>
          <w:b/>
          <w:i/>
          <w:szCs w:val="24"/>
          <w:lang w:eastAsia="en-US"/>
        </w:rPr>
        <w:t>, ktoré najlepšie ilustrujú vlastnosti pôdy v každom type pôdy na v</w:t>
      </w:r>
      <w:r>
        <w:rPr>
          <w:b/>
          <w:i/>
          <w:szCs w:val="24"/>
          <w:lang w:eastAsia="en-US"/>
        </w:rPr>
        <w:t>nútroštátnej úrovni a</w:t>
      </w:r>
      <w:r>
        <w:rPr>
          <w:szCs w:val="24"/>
          <w:lang w:eastAsia="en-US"/>
        </w:rPr>
        <w:t xml:space="preserve"> ktoré sa uvádzajú v prílohe I.</w:t>
      </w:r>
      <w:r>
        <w:rPr>
          <w:b/>
          <w:szCs w:val="24"/>
          <w:lang w:eastAsia="en-US"/>
        </w:rPr>
        <w:t xml:space="preserve"> [PN 228]</w:t>
      </w:r>
    </w:p>
    <w:p w:rsidR="009D7883" w:rsidRDefault="00AA63BB">
      <w:pPr>
        <w:spacing w:before="120" w:after="120" w:line="360" w:lineRule="auto"/>
        <w:ind w:left="850"/>
        <w:rPr>
          <w:szCs w:val="24"/>
          <w:lang w:eastAsia="en-US"/>
        </w:rPr>
      </w:pPr>
      <w:r>
        <w:rPr>
          <w:szCs w:val="24"/>
          <w:lang w:eastAsia="en-US"/>
        </w:rPr>
        <w:t>Pri monitorovaní záberu pôdy členské štáty uplatňujú ukazovatele záberu pôdy a straty priepustnosti pôdy, na ktoré sa odkazuje v prílohe I.</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 xml:space="preserve">Členské štáty </w:t>
      </w:r>
      <w:proofErr w:type="spellStart"/>
      <w:r>
        <w:rPr>
          <w:strike/>
          <w:szCs w:val="24"/>
          <w:lang w:eastAsia="en-US"/>
        </w:rPr>
        <w:t>môžu</w:t>
      </w:r>
      <w:r>
        <w:rPr>
          <w:b/>
          <w:i/>
          <w:szCs w:val="24"/>
          <w:lang w:eastAsia="en-US"/>
        </w:rPr>
        <w:t>si</w:t>
      </w:r>
      <w:proofErr w:type="spellEnd"/>
      <w:r>
        <w:rPr>
          <w:b/>
          <w:i/>
          <w:szCs w:val="24"/>
          <w:lang w:eastAsia="en-US"/>
        </w:rPr>
        <w:t xml:space="preserve"> zvolia vhodnú úroveň pre konce</w:t>
      </w:r>
      <w:r>
        <w:rPr>
          <w:b/>
          <w:i/>
          <w:szCs w:val="24"/>
          <w:lang w:eastAsia="en-US"/>
        </w:rPr>
        <w:t>pciu monitorovania pôdy, na ktorú sa kvalifikujú v súlade s podmienkami v prílohe I, a ubezpečia sa, že zahrnú aspoň</w:t>
      </w:r>
      <w:r>
        <w:rPr>
          <w:szCs w:val="24"/>
          <w:lang w:eastAsia="en-US"/>
        </w:rPr>
        <w:t xml:space="preserve"> pôdne </w:t>
      </w:r>
      <w:proofErr w:type="spellStart"/>
      <w:r>
        <w:rPr>
          <w:szCs w:val="24"/>
          <w:lang w:eastAsia="en-US"/>
        </w:rPr>
        <w:t>deskriptory</w:t>
      </w:r>
      <w:proofErr w:type="spellEnd"/>
      <w:r>
        <w:rPr>
          <w:strike/>
          <w:szCs w:val="24"/>
          <w:lang w:eastAsia="en-US"/>
        </w:rPr>
        <w:t xml:space="preserve"> a kritériá zdravia pôdy</w:t>
      </w:r>
      <w:r>
        <w:rPr>
          <w:szCs w:val="24"/>
          <w:lang w:eastAsia="en-US"/>
        </w:rPr>
        <w:t xml:space="preserve"> uvedené v časti A prílohy I</w:t>
      </w:r>
      <w:r>
        <w:rPr>
          <w:strike/>
          <w:szCs w:val="24"/>
          <w:lang w:eastAsia="en-US"/>
        </w:rPr>
        <w:t xml:space="preserve"> upraviť v súlade so špecifikáciami, na ktoré sa odkazuje v druhom a t</w:t>
      </w:r>
      <w:r>
        <w:rPr>
          <w:strike/>
          <w:szCs w:val="24"/>
          <w:lang w:eastAsia="en-US"/>
        </w:rPr>
        <w:t>reťom stĺpci v časti A prílohy I</w:t>
      </w:r>
      <w:r>
        <w:rPr>
          <w:szCs w:val="24"/>
          <w:lang w:eastAsia="en-US"/>
        </w:rPr>
        <w:t>.</w:t>
      </w:r>
      <w:r>
        <w:rPr>
          <w:b/>
          <w:szCs w:val="24"/>
          <w:lang w:eastAsia="en-US"/>
        </w:rPr>
        <w:t xml:space="preserve"> [PN 85]</w:t>
      </w:r>
    </w:p>
    <w:p w:rsidR="009D7883" w:rsidRDefault="00AA63BB">
      <w:pPr>
        <w:spacing w:before="120" w:after="120" w:line="360" w:lineRule="auto"/>
        <w:ind w:left="850" w:hanging="850"/>
        <w:rPr>
          <w:b/>
          <w:szCs w:val="24"/>
          <w:lang w:eastAsia="en-US"/>
        </w:rPr>
      </w:pPr>
      <w:r>
        <w:rPr>
          <w:szCs w:val="24"/>
          <w:lang w:eastAsia="en-US"/>
        </w:rPr>
        <w:t>3.</w:t>
      </w:r>
      <w:r>
        <w:rPr>
          <w:szCs w:val="24"/>
          <w:lang w:eastAsia="en-US"/>
        </w:rPr>
        <w:tab/>
        <w:t xml:space="preserve">Členské štáty určia organické kontaminanty pre pôdny </w:t>
      </w:r>
      <w:proofErr w:type="spellStart"/>
      <w:r>
        <w:rPr>
          <w:szCs w:val="24"/>
          <w:lang w:eastAsia="en-US"/>
        </w:rPr>
        <w:t>deskriptor</w:t>
      </w:r>
      <w:proofErr w:type="spellEnd"/>
      <w:r>
        <w:rPr>
          <w:szCs w:val="24"/>
          <w:lang w:eastAsia="en-US"/>
        </w:rPr>
        <w:t xml:space="preserve"> súvisiaci s kontamináciou pôdy, ako sa opisuje v časti </w:t>
      </w:r>
      <w:r>
        <w:rPr>
          <w:strike/>
          <w:szCs w:val="24"/>
          <w:lang w:eastAsia="en-US"/>
        </w:rPr>
        <w:t>B</w:t>
      </w:r>
      <w:r>
        <w:rPr>
          <w:b/>
          <w:i/>
          <w:szCs w:val="24"/>
          <w:lang w:eastAsia="en-US"/>
        </w:rPr>
        <w:t>A</w:t>
      </w:r>
      <w:r>
        <w:rPr>
          <w:szCs w:val="24"/>
          <w:lang w:eastAsia="en-US"/>
        </w:rPr>
        <w:t xml:space="preserve"> prílohy I.</w:t>
      </w:r>
      <w:r>
        <w:rPr>
          <w:b/>
          <w:szCs w:val="24"/>
          <w:lang w:eastAsia="en-US"/>
        </w:rPr>
        <w:t xml:space="preserve"> [PN 86]</w:t>
      </w:r>
    </w:p>
    <w:p w:rsidR="009D7883" w:rsidRDefault="00AA63BB">
      <w:pPr>
        <w:widowControl/>
        <w:rPr>
          <w:strike/>
          <w:szCs w:val="24"/>
          <w:lang w:eastAsia="en-US"/>
        </w:rPr>
      </w:pPr>
      <w:r>
        <w:rPr>
          <w:strike/>
          <w:szCs w:val="24"/>
          <w:lang w:eastAsia="en-US"/>
        </w:rPr>
        <w:br w:type="page"/>
      </w:r>
    </w:p>
    <w:p w:rsidR="009D7883" w:rsidRDefault="00AA63BB">
      <w:pPr>
        <w:spacing w:before="120" w:after="120" w:line="360" w:lineRule="auto"/>
        <w:ind w:left="850" w:hanging="850"/>
        <w:rPr>
          <w:b/>
          <w:szCs w:val="24"/>
          <w:lang w:eastAsia="en-US"/>
        </w:rPr>
      </w:pPr>
      <w:r>
        <w:rPr>
          <w:strike/>
          <w:szCs w:val="24"/>
          <w:lang w:eastAsia="en-US"/>
        </w:rPr>
        <w:lastRenderedPageBreak/>
        <w:t>4.</w:t>
      </w:r>
      <w:r>
        <w:rPr>
          <w:szCs w:val="24"/>
          <w:lang w:eastAsia="en-US"/>
        </w:rPr>
        <w:tab/>
      </w:r>
      <w:r>
        <w:rPr>
          <w:strike/>
          <w:szCs w:val="24"/>
          <w:lang w:eastAsia="en-US"/>
        </w:rPr>
        <w:t xml:space="preserve">Členské štáty stanovia kritériá zdravia pôdy v súvislosti s pôdnymi </w:t>
      </w:r>
      <w:proofErr w:type="spellStart"/>
      <w:r>
        <w:rPr>
          <w:strike/>
          <w:szCs w:val="24"/>
          <w:lang w:eastAsia="en-US"/>
        </w:rPr>
        <w:t>deskriptormi</w:t>
      </w:r>
      <w:proofErr w:type="spellEnd"/>
      <w:r>
        <w:rPr>
          <w:strike/>
          <w:szCs w:val="24"/>
          <w:lang w:eastAsia="en-US"/>
        </w:rPr>
        <w:t xml:space="preserve"> uvedenými v časti B prílohy I, a to v zmysle ustanovení v treťom stĺpci v časti B prílohy I.</w:t>
      </w:r>
      <w:r>
        <w:rPr>
          <w:b/>
          <w:szCs w:val="24"/>
          <w:lang w:eastAsia="en-US"/>
        </w:rPr>
        <w:t xml:space="preserve"> [PN 87]</w:t>
      </w:r>
    </w:p>
    <w:p w:rsidR="009D7883" w:rsidRDefault="00AA63BB">
      <w:pPr>
        <w:spacing w:before="120" w:after="120" w:line="360" w:lineRule="auto"/>
        <w:ind w:left="850" w:hanging="850"/>
        <w:rPr>
          <w:b/>
          <w:szCs w:val="24"/>
          <w:lang w:eastAsia="en-US"/>
        </w:rPr>
      </w:pPr>
      <w:r>
        <w:rPr>
          <w:szCs w:val="24"/>
          <w:lang w:eastAsia="en-US"/>
        </w:rPr>
        <w:t>5.</w:t>
      </w:r>
      <w:r>
        <w:rPr>
          <w:szCs w:val="24"/>
          <w:lang w:eastAsia="en-US"/>
        </w:rPr>
        <w:tab/>
        <w:t xml:space="preserve">Členské štáty môžu na účely monitorovania určiť dodatočné pôdne </w:t>
      </w:r>
      <w:proofErr w:type="spellStart"/>
      <w:r>
        <w:rPr>
          <w:szCs w:val="24"/>
          <w:lang w:eastAsia="en-US"/>
        </w:rPr>
        <w:t>deskrip</w:t>
      </w:r>
      <w:r>
        <w:rPr>
          <w:szCs w:val="24"/>
          <w:lang w:eastAsia="en-US"/>
        </w:rPr>
        <w:t>tory</w:t>
      </w:r>
      <w:proofErr w:type="spellEnd"/>
      <w:r>
        <w:rPr>
          <w:szCs w:val="24"/>
          <w:lang w:eastAsia="en-US"/>
        </w:rPr>
        <w:t xml:space="preserve"> a ukazovatele záberu pôdy okrem iného vrátane</w:t>
      </w:r>
      <w:r>
        <w:rPr>
          <w:strike/>
          <w:szCs w:val="24"/>
          <w:lang w:eastAsia="en-US"/>
        </w:rPr>
        <w:t xml:space="preserve"> nepovinných </w:t>
      </w:r>
      <w:proofErr w:type="spellStart"/>
      <w:r>
        <w:rPr>
          <w:szCs w:val="24"/>
          <w:lang w:eastAsia="en-US"/>
        </w:rPr>
        <w:t>deskriptorov</w:t>
      </w:r>
      <w:proofErr w:type="spellEnd"/>
      <w:r>
        <w:rPr>
          <w:szCs w:val="24"/>
          <w:lang w:eastAsia="en-US"/>
        </w:rPr>
        <w:t xml:space="preserve"> a ukazovateľov uvedených v časti</w:t>
      </w:r>
      <w:r>
        <w:rPr>
          <w:strike/>
          <w:szCs w:val="24"/>
          <w:lang w:eastAsia="en-US"/>
        </w:rPr>
        <w:t xml:space="preserve"> C a </w:t>
      </w:r>
      <w:r>
        <w:rPr>
          <w:szCs w:val="24"/>
          <w:lang w:eastAsia="en-US"/>
        </w:rPr>
        <w:t xml:space="preserve">D prílohy I </w:t>
      </w:r>
      <w:r>
        <w:rPr>
          <w:strike/>
          <w:szCs w:val="24"/>
          <w:lang w:eastAsia="en-US"/>
        </w:rPr>
        <w:t xml:space="preserve">(ďalej len „dodatočné pôdne </w:t>
      </w:r>
      <w:proofErr w:type="spellStart"/>
      <w:r>
        <w:rPr>
          <w:strike/>
          <w:szCs w:val="24"/>
          <w:lang w:eastAsia="en-US"/>
        </w:rPr>
        <w:t>deskriptory</w:t>
      </w:r>
      <w:proofErr w:type="spellEnd"/>
      <w:r>
        <w:rPr>
          <w:strike/>
          <w:szCs w:val="24"/>
          <w:lang w:eastAsia="en-US"/>
        </w:rPr>
        <w:t>“ a „dodatočné ukazovatele záberu pôdy“)</w:t>
      </w:r>
      <w:r>
        <w:rPr>
          <w:szCs w:val="24"/>
          <w:lang w:eastAsia="en-US"/>
        </w:rPr>
        <w:t>.</w:t>
      </w:r>
      <w:r>
        <w:rPr>
          <w:b/>
          <w:szCs w:val="24"/>
          <w:lang w:eastAsia="en-US"/>
        </w:rPr>
        <w:t xml:space="preserve"> [PN 88]</w:t>
      </w:r>
    </w:p>
    <w:p w:rsidR="009D7883" w:rsidRDefault="00AA63BB">
      <w:pPr>
        <w:spacing w:before="120" w:after="120" w:line="360" w:lineRule="auto"/>
        <w:ind w:left="850" w:hanging="850"/>
        <w:rPr>
          <w:b/>
          <w:szCs w:val="24"/>
          <w:lang w:eastAsia="en-US"/>
        </w:rPr>
      </w:pPr>
      <w:r>
        <w:rPr>
          <w:szCs w:val="24"/>
          <w:lang w:eastAsia="en-US"/>
        </w:rPr>
        <w:t>6.</w:t>
      </w:r>
      <w:r>
        <w:rPr>
          <w:szCs w:val="24"/>
          <w:lang w:eastAsia="en-US"/>
        </w:rPr>
        <w:tab/>
        <w:t>Členské štáty o stanovení alebo prispôs</w:t>
      </w:r>
      <w:r>
        <w:rPr>
          <w:szCs w:val="24"/>
          <w:lang w:eastAsia="en-US"/>
        </w:rPr>
        <w:t xml:space="preserve">obení pôdnych </w:t>
      </w:r>
      <w:proofErr w:type="spellStart"/>
      <w:r>
        <w:rPr>
          <w:szCs w:val="24"/>
          <w:lang w:eastAsia="en-US"/>
        </w:rPr>
        <w:t>deskriptorov</w:t>
      </w:r>
      <w:proofErr w:type="spellEnd"/>
      <w:r>
        <w:rPr>
          <w:szCs w:val="24"/>
          <w:lang w:eastAsia="en-US"/>
        </w:rPr>
        <w:t>, ukazovateľov záberu pôdy a kritérií zdravia pôdy informujú Komisiu v súlade s odsekmi 2 až 5 tohto článku</w:t>
      </w:r>
      <w:r>
        <w:rPr>
          <w:b/>
          <w:i/>
          <w:szCs w:val="24"/>
          <w:lang w:eastAsia="en-US"/>
        </w:rPr>
        <w:t xml:space="preserve"> a článkom 9</w:t>
      </w:r>
      <w:r>
        <w:rPr>
          <w:szCs w:val="24"/>
          <w:lang w:eastAsia="en-US"/>
        </w:rPr>
        <w:t>.</w:t>
      </w:r>
      <w:r>
        <w:rPr>
          <w:b/>
          <w:szCs w:val="24"/>
          <w:lang w:eastAsia="en-US"/>
        </w:rPr>
        <w:t xml:space="preserve"> [PN 89]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8</w:t>
      </w:r>
      <w:r>
        <w:rPr>
          <w:szCs w:val="24"/>
          <w:lang w:eastAsia="en-US"/>
        </w:rPr>
        <w:br/>
        <w:t>Merania a metodiky</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Členské štáty určia miesta odberu vzorky s použitím metodiky stanove</w:t>
      </w:r>
      <w:r>
        <w:rPr>
          <w:szCs w:val="24"/>
          <w:lang w:eastAsia="en-US"/>
        </w:rPr>
        <w:t xml:space="preserve">nej v </w:t>
      </w:r>
      <w:r>
        <w:rPr>
          <w:strike/>
          <w:szCs w:val="24"/>
          <w:lang w:eastAsia="en-US"/>
        </w:rPr>
        <w:t xml:space="preserve">časti A prílohy </w:t>
      </w:r>
      <w:proofErr w:type="spellStart"/>
      <w:r>
        <w:rPr>
          <w:strike/>
          <w:szCs w:val="24"/>
          <w:lang w:eastAsia="en-US"/>
        </w:rPr>
        <w:t>II</w:t>
      </w:r>
      <w:r>
        <w:rPr>
          <w:b/>
          <w:i/>
          <w:szCs w:val="24"/>
          <w:lang w:eastAsia="en-US"/>
        </w:rPr>
        <w:t>prílohe</w:t>
      </w:r>
      <w:proofErr w:type="spellEnd"/>
      <w:r>
        <w:rPr>
          <w:b/>
          <w:i/>
          <w:szCs w:val="24"/>
          <w:lang w:eastAsia="en-US"/>
        </w:rPr>
        <w:t xml:space="preserve"> I podľa vybranej úrovne pre koncepciu monitorovania pôdy a zohľadnia hodnotenia rizika založené na existujúcich monitorovacích systémoch</w:t>
      </w:r>
      <w:r>
        <w:rPr>
          <w:szCs w:val="24"/>
          <w:lang w:eastAsia="en-US"/>
        </w:rPr>
        <w:t>.</w:t>
      </w:r>
      <w:r>
        <w:rPr>
          <w:b/>
          <w:szCs w:val="24"/>
          <w:lang w:eastAsia="en-US"/>
        </w:rPr>
        <w:t xml:space="preserve"> [PN 90]</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Členské štáty uskutočňujú pôdne merania prostredníctvom odberu vzoriek pôdy</w:t>
      </w:r>
      <w:r>
        <w:rPr>
          <w:szCs w:val="24"/>
          <w:lang w:eastAsia="en-US"/>
        </w:rPr>
        <w:t xml:space="preserve"> na miestach odberu vzorky, na ktoré sa odkazuje v odseku 1, a zhromažďujú, spracúvajú a analyzujú údaje s cieľom určiť:</w:t>
      </w:r>
    </w:p>
    <w:p w:rsidR="009D7883" w:rsidRDefault="00AA63BB">
      <w:pPr>
        <w:spacing w:before="120" w:after="120" w:line="360" w:lineRule="auto"/>
        <w:ind w:left="1416" w:hanging="566"/>
        <w:rPr>
          <w:b/>
          <w:szCs w:val="24"/>
          <w:lang w:eastAsia="en-US"/>
        </w:rPr>
      </w:pPr>
      <w:r>
        <w:rPr>
          <w:szCs w:val="24"/>
          <w:lang w:eastAsia="en-US"/>
        </w:rPr>
        <w:t>a)</w:t>
      </w:r>
      <w:r>
        <w:rPr>
          <w:szCs w:val="24"/>
          <w:lang w:eastAsia="en-US"/>
        </w:rPr>
        <w:tab/>
        <w:t xml:space="preserve">hodnoty pôdnych </w:t>
      </w:r>
      <w:proofErr w:type="spellStart"/>
      <w:r>
        <w:rPr>
          <w:szCs w:val="24"/>
          <w:lang w:eastAsia="en-US"/>
        </w:rPr>
        <w:t>deskriptorov</w:t>
      </w:r>
      <w:proofErr w:type="spellEnd"/>
      <w:r>
        <w:rPr>
          <w:szCs w:val="24"/>
          <w:lang w:eastAsia="en-US"/>
        </w:rPr>
        <w:t xml:space="preserve"> </w:t>
      </w:r>
      <w:proofErr w:type="spellStart"/>
      <w:r>
        <w:rPr>
          <w:strike/>
          <w:szCs w:val="24"/>
          <w:lang w:eastAsia="en-US"/>
        </w:rPr>
        <w:t>stanovených</w:t>
      </w:r>
      <w:r>
        <w:rPr>
          <w:b/>
          <w:i/>
          <w:szCs w:val="24"/>
          <w:lang w:eastAsia="en-US"/>
        </w:rPr>
        <w:t>podľa</w:t>
      </w:r>
      <w:proofErr w:type="spellEnd"/>
      <w:r>
        <w:rPr>
          <w:b/>
          <w:i/>
          <w:szCs w:val="24"/>
          <w:lang w:eastAsia="en-US"/>
        </w:rPr>
        <w:t xml:space="preserve"> zvolenej úrovne pre koncepciu monitorovania pôdy, ako sa stanovuje</w:t>
      </w:r>
      <w:r>
        <w:rPr>
          <w:szCs w:val="24"/>
          <w:lang w:eastAsia="en-US"/>
        </w:rPr>
        <w:t xml:space="preserve"> v prílohe I;</w:t>
      </w:r>
      <w:r>
        <w:rPr>
          <w:b/>
          <w:szCs w:val="24"/>
          <w:lang w:eastAsia="en-US"/>
        </w:rPr>
        <w:t xml:space="preserve"> [PN 91</w:t>
      </w:r>
      <w:r>
        <w:rPr>
          <w:b/>
          <w:szCs w:val="24"/>
          <w:lang w:eastAsia="en-US"/>
        </w:rPr>
        <w:t>]</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 xml:space="preserve">hodnoty dodatočných pôdnych </w:t>
      </w:r>
      <w:proofErr w:type="spellStart"/>
      <w:r>
        <w:rPr>
          <w:szCs w:val="24"/>
          <w:lang w:eastAsia="en-US"/>
        </w:rPr>
        <w:t>deskriptorov</w:t>
      </w:r>
      <w:proofErr w:type="spellEnd"/>
      <w:r>
        <w:rPr>
          <w:szCs w:val="24"/>
          <w:lang w:eastAsia="en-US"/>
        </w:rPr>
        <w:t>, ak je to relevantné;</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hodnoty ukazovateľov záberu pôdy a straty priepustnosti pôdy, ktoré sa uvádzajú v časti D prílohy I.</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uplatňujú:</w:t>
      </w:r>
    </w:p>
    <w:p w:rsidR="009D7883" w:rsidRDefault="00AA63BB">
      <w:pPr>
        <w:spacing w:before="120" w:after="120" w:line="360" w:lineRule="auto"/>
        <w:ind w:left="1416" w:hanging="566"/>
        <w:rPr>
          <w:b/>
          <w:szCs w:val="24"/>
          <w:lang w:eastAsia="en-US"/>
        </w:rPr>
      </w:pPr>
      <w:r>
        <w:rPr>
          <w:szCs w:val="24"/>
          <w:lang w:eastAsia="en-US"/>
        </w:rPr>
        <w:t>a)</w:t>
      </w:r>
      <w:r>
        <w:rPr>
          <w:szCs w:val="24"/>
          <w:lang w:eastAsia="en-US"/>
        </w:rPr>
        <w:tab/>
        <w:t xml:space="preserve">metodiky na určenie alebo odhad hodnôt pôdnych </w:t>
      </w:r>
      <w:proofErr w:type="spellStart"/>
      <w:r>
        <w:rPr>
          <w:szCs w:val="24"/>
          <w:lang w:eastAsia="en-US"/>
        </w:rPr>
        <w:t>desk</w:t>
      </w:r>
      <w:r>
        <w:rPr>
          <w:szCs w:val="24"/>
          <w:lang w:eastAsia="en-US"/>
        </w:rPr>
        <w:t>riptorov</w:t>
      </w:r>
      <w:proofErr w:type="spellEnd"/>
      <w:r>
        <w:rPr>
          <w:szCs w:val="24"/>
          <w:lang w:eastAsia="en-US"/>
        </w:rPr>
        <w:t xml:space="preserve"> stanovených v </w:t>
      </w:r>
      <w:r>
        <w:rPr>
          <w:strike/>
          <w:szCs w:val="24"/>
          <w:lang w:eastAsia="en-US"/>
        </w:rPr>
        <w:t xml:space="preserve">časti B </w:t>
      </w:r>
      <w:proofErr w:type="spellStart"/>
      <w:r>
        <w:rPr>
          <w:strike/>
          <w:szCs w:val="24"/>
          <w:lang w:eastAsia="en-US"/>
        </w:rPr>
        <w:t>prílohy</w:t>
      </w:r>
      <w:r>
        <w:rPr>
          <w:b/>
          <w:i/>
          <w:szCs w:val="24"/>
          <w:lang w:eastAsia="en-US"/>
        </w:rPr>
        <w:t>prílohe</w:t>
      </w:r>
      <w:proofErr w:type="spellEnd"/>
      <w:r>
        <w:rPr>
          <w:szCs w:val="24"/>
          <w:lang w:eastAsia="en-US"/>
        </w:rPr>
        <w:t xml:space="preserve"> II;</w:t>
      </w:r>
      <w:r>
        <w:rPr>
          <w:b/>
          <w:szCs w:val="24"/>
          <w:lang w:eastAsia="en-US"/>
        </w:rPr>
        <w:t xml:space="preserve"> [</w:t>
      </w:r>
      <w:proofErr w:type="spellStart"/>
      <w:r>
        <w:rPr>
          <w:b/>
          <w:szCs w:val="24"/>
          <w:lang w:eastAsia="en-US"/>
        </w:rPr>
        <w:t>PN</w:t>
      </w:r>
      <w:proofErr w:type="spellEnd"/>
      <w:r>
        <w:rPr>
          <w:b/>
          <w:szCs w:val="24"/>
          <w:lang w:eastAsia="en-US"/>
        </w:rPr>
        <w:t> 92]</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minimálne metodické kritériá na určenie hodnôt ukazovateľov záberu pôdy a straty priepustnosti pôdy, ktoré sa uvádzajú v časti C prílohy II;</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všetky požiadavky stanovené Komisiou v súlade s ods</w:t>
      </w:r>
      <w:r>
        <w:rPr>
          <w:szCs w:val="24"/>
          <w:lang w:eastAsia="en-US"/>
        </w:rPr>
        <w:t>ekom 6.</w:t>
      </w:r>
    </w:p>
    <w:p w:rsidR="009D7883" w:rsidRDefault="00AA63BB">
      <w:pPr>
        <w:spacing w:before="120" w:after="120" w:line="360" w:lineRule="auto"/>
        <w:ind w:left="850"/>
        <w:rPr>
          <w:b/>
          <w:szCs w:val="24"/>
          <w:lang w:eastAsia="en-US"/>
        </w:rPr>
      </w:pPr>
      <w:r>
        <w:rPr>
          <w:szCs w:val="24"/>
          <w:lang w:eastAsia="en-US"/>
        </w:rPr>
        <w:t xml:space="preserve">Členské štáty môžu uplatňovať iné metodiky než tie, ktoré sa uvádzajú v prvom </w:t>
      </w:r>
      <w:proofErr w:type="spellStart"/>
      <w:r>
        <w:rPr>
          <w:szCs w:val="24"/>
          <w:lang w:eastAsia="en-US"/>
        </w:rPr>
        <w:t>pododseku</w:t>
      </w:r>
      <w:proofErr w:type="spellEnd"/>
      <w:r>
        <w:rPr>
          <w:szCs w:val="24"/>
          <w:lang w:eastAsia="en-US"/>
        </w:rPr>
        <w:t xml:space="preserve"> písm. a) a b), ak sú dostupné overené transferové funkcie</w:t>
      </w:r>
      <w:r>
        <w:rPr>
          <w:b/>
          <w:i/>
          <w:szCs w:val="24"/>
          <w:lang w:eastAsia="en-US"/>
        </w:rPr>
        <w:t xml:space="preserve"> alebo ak je možné ich odhadnúť porovnaním údajov odobratých na vnútroštátnej úrovni za monitorovania i</w:t>
      </w:r>
      <w:r>
        <w:rPr>
          <w:b/>
          <w:i/>
          <w:szCs w:val="24"/>
          <w:lang w:eastAsia="en-US"/>
        </w:rPr>
        <w:t>n situ koordinovaného Komisiou</w:t>
      </w:r>
      <w:r>
        <w:rPr>
          <w:szCs w:val="24"/>
          <w:lang w:eastAsia="en-US"/>
        </w:rPr>
        <w:t>, ako sa vyžaduje v časti B štvrtom stĺpci prílohy II.</w:t>
      </w:r>
      <w:r>
        <w:rPr>
          <w:b/>
          <w:szCs w:val="24"/>
          <w:lang w:eastAsia="en-US"/>
        </w:rPr>
        <w:t xml:space="preserve"> [PN 93]</w:t>
      </w:r>
    </w:p>
    <w:p w:rsidR="009D7883" w:rsidRDefault="00AA63BB">
      <w:pPr>
        <w:spacing w:before="120" w:after="120" w:line="360" w:lineRule="auto"/>
        <w:ind w:left="850" w:hanging="850"/>
        <w:rPr>
          <w:b/>
          <w:szCs w:val="24"/>
          <w:lang w:eastAsia="en-US"/>
        </w:rPr>
      </w:pPr>
      <w:r>
        <w:rPr>
          <w:szCs w:val="24"/>
          <w:lang w:eastAsia="en-US"/>
        </w:rPr>
        <w:t>4.</w:t>
      </w:r>
      <w:r>
        <w:rPr>
          <w:szCs w:val="24"/>
          <w:lang w:eastAsia="en-US"/>
        </w:rPr>
        <w:tab/>
        <w:t xml:space="preserve">Členské štáty zabezpečia, aby sa prvé pôdne merania uskutočnili najneskôr … (Úrad pre publikácie: vložte dátum = </w:t>
      </w:r>
      <w:r>
        <w:rPr>
          <w:strike/>
          <w:szCs w:val="24"/>
          <w:lang w:eastAsia="en-US"/>
        </w:rPr>
        <w:t>4</w:t>
      </w:r>
      <w:r>
        <w:rPr>
          <w:b/>
          <w:i/>
          <w:szCs w:val="24"/>
          <w:lang w:eastAsia="en-US"/>
        </w:rPr>
        <w:t>3</w:t>
      </w:r>
      <w:r>
        <w:rPr>
          <w:szCs w:val="24"/>
          <w:lang w:eastAsia="en-US"/>
        </w:rPr>
        <w:t xml:space="preserve"> roky po nadobudnutí účinnosti smernice).</w:t>
      </w:r>
      <w:r>
        <w:rPr>
          <w:b/>
          <w:szCs w:val="24"/>
          <w:lang w:eastAsia="en-US"/>
        </w:rPr>
        <w:t xml:space="preserve"> [PN</w:t>
      </w:r>
      <w:r>
        <w:rPr>
          <w:b/>
          <w:szCs w:val="24"/>
          <w:lang w:eastAsia="en-US"/>
        </w:rPr>
        <w:t> 94]</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5.</w:t>
      </w:r>
      <w:r>
        <w:rPr>
          <w:szCs w:val="24"/>
          <w:lang w:eastAsia="en-US"/>
        </w:rPr>
        <w:tab/>
        <w:t xml:space="preserve">Členské štáty zabezpečia, aby sa nové pôdne merania vykonávali minimálne raz za </w:t>
      </w:r>
      <w:proofErr w:type="spellStart"/>
      <w:r>
        <w:rPr>
          <w:strike/>
          <w:szCs w:val="24"/>
          <w:lang w:eastAsia="en-US"/>
        </w:rPr>
        <w:t>päť</w:t>
      </w:r>
      <w:r>
        <w:rPr>
          <w:b/>
          <w:i/>
          <w:szCs w:val="24"/>
          <w:lang w:eastAsia="en-US"/>
        </w:rPr>
        <w:t>šesť</w:t>
      </w:r>
      <w:proofErr w:type="spellEnd"/>
      <w:r>
        <w:rPr>
          <w:szCs w:val="24"/>
          <w:lang w:eastAsia="en-US"/>
        </w:rPr>
        <w:t xml:space="preserve"> rokov</w:t>
      </w:r>
      <w:r>
        <w:rPr>
          <w:b/>
          <w:i/>
          <w:szCs w:val="24"/>
          <w:lang w:eastAsia="en-US"/>
        </w:rPr>
        <w:t xml:space="preserve"> alebo skôr, vždy, keď existuje podozrenie na zmenu stavu pôdy</w:t>
      </w:r>
      <w:r>
        <w:rPr>
          <w:szCs w:val="24"/>
          <w:lang w:eastAsia="en-US"/>
        </w:rPr>
        <w:t>.</w:t>
      </w:r>
      <w:r>
        <w:rPr>
          <w:b/>
          <w:i/>
          <w:szCs w:val="24"/>
          <w:lang w:eastAsia="en-US"/>
        </w:rPr>
        <w:t xml:space="preserve"> Členské štáty tiež uľahčia monitorovanie pôdy in situ koordinované Komisiou.</w:t>
      </w:r>
    </w:p>
    <w:p w:rsidR="009D7883" w:rsidRDefault="00AA63BB">
      <w:pPr>
        <w:spacing w:before="120" w:after="120" w:line="360" w:lineRule="auto"/>
        <w:ind w:left="850"/>
        <w:rPr>
          <w:b/>
          <w:szCs w:val="24"/>
          <w:lang w:eastAsia="en-US"/>
        </w:rPr>
      </w:pPr>
      <w:r>
        <w:rPr>
          <w:szCs w:val="24"/>
          <w:lang w:eastAsia="en-US"/>
        </w:rPr>
        <w:t xml:space="preserve">Takisto zabezpečia aktualizáciu hodnôt ukazovateľov záberu pôdy a straty priepustnosti pôdy aspoň raz za </w:t>
      </w:r>
      <w:proofErr w:type="spellStart"/>
      <w:r>
        <w:rPr>
          <w:strike/>
          <w:szCs w:val="24"/>
          <w:lang w:eastAsia="en-US"/>
        </w:rPr>
        <w:t>rok</w:t>
      </w:r>
      <w:r>
        <w:rPr>
          <w:b/>
          <w:i/>
          <w:szCs w:val="24"/>
          <w:lang w:eastAsia="en-US"/>
        </w:rPr>
        <w:t>dva</w:t>
      </w:r>
      <w:proofErr w:type="spellEnd"/>
      <w:r>
        <w:rPr>
          <w:b/>
          <w:i/>
          <w:szCs w:val="24"/>
          <w:lang w:eastAsia="en-US"/>
        </w:rPr>
        <w:t xml:space="preserve"> roky</w:t>
      </w:r>
      <w:r>
        <w:rPr>
          <w:szCs w:val="24"/>
          <w:lang w:eastAsia="en-US"/>
        </w:rPr>
        <w:t>.</w:t>
      </w:r>
      <w:r>
        <w:rPr>
          <w:b/>
          <w:szCs w:val="24"/>
          <w:lang w:eastAsia="en-US"/>
        </w:rPr>
        <w:t xml:space="preserve"> [PN 95]</w:t>
      </w:r>
    </w:p>
    <w:p w:rsidR="009D7883" w:rsidRDefault="00AA63BB">
      <w:pPr>
        <w:spacing w:before="120" w:after="120" w:line="360" w:lineRule="auto"/>
        <w:ind w:left="850" w:hanging="850"/>
        <w:rPr>
          <w:b/>
          <w:szCs w:val="24"/>
          <w:lang w:eastAsia="en-US"/>
        </w:rPr>
      </w:pPr>
      <w:r>
        <w:rPr>
          <w:szCs w:val="24"/>
          <w:lang w:eastAsia="en-US"/>
        </w:rPr>
        <w:t>6.</w:t>
      </w:r>
      <w:r>
        <w:rPr>
          <w:szCs w:val="24"/>
          <w:lang w:eastAsia="en-US"/>
        </w:rPr>
        <w:tab/>
        <w:t>Komisia je splnomocnená prijímať delegované akty v súlade s článkom 20, ktorými sa zmení príloha II, s cieľom prispôsobiť refer</w:t>
      </w:r>
      <w:r>
        <w:rPr>
          <w:szCs w:val="24"/>
          <w:lang w:eastAsia="en-US"/>
        </w:rPr>
        <w:t>enčné metodiky uvedené v prílohe vedeckému a technickému pokroku</w:t>
      </w:r>
      <w:r>
        <w:rPr>
          <w:strike/>
          <w:szCs w:val="24"/>
          <w:lang w:eastAsia="en-US"/>
        </w:rPr>
        <w:t xml:space="preserve">, najmä ak hodnoty pôdnych </w:t>
      </w:r>
      <w:proofErr w:type="spellStart"/>
      <w:r>
        <w:rPr>
          <w:strike/>
          <w:szCs w:val="24"/>
          <w:lang w:eastAsia="en-US"/>
        </w:rPr>
        <w:t>deskriptorov</w:t>
      </w:r>
      <w:proofErr w:type="spellEnd"/>
      <w:r>
        <w:rPr>
          <w:strike/>
          <w:szCs w:val="24"/>
          <w:lang w:eastAsia="en-US"/>
        </w:rPr>
        <w:t xml:space="preserve"> možno určiť diaľkovým snímaním, na ktoré sa odkazuje v článku 6 ods</w:t>
      </w:r>
      <w:r>
        <w:rPr>
          <w:szCs w:val="24"/>
          <w:lang w:eastAsia="en-US"/>
        </w:rPr>
        <w:t>.</w:t>
      </w:r>
      <w:r>
        <w:rPr>
          <w:strike/>
          <w:szCs w:val="24"/>
          <w:lang w:eastAsia="en-US"/>
        </w:rPr>
        <w:t xml:space="preserve"> 5</w:t>
      </w:r>
      <w:r>
        <w:rPr>
          <w:szCs w:val="24"/>
          <w:lang w:eastAsia="en-US"/>
        </w:rPr>
        <w:t>.</w:t>
      </w:r>
      <w:r>
        <w:rPr>
          <w:b/>
          <w:szCs w:val="24"/>
          <w:lang w:eastAsia="en-US"/>
        </w:rPr>
        <w:t xml:space="preserve"> [PN 96]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9</w:t>
      </w:r>
      <w:r>
        <w:rPr>
          <w:szCs w:val="24"/>
          <w:lang w:eastAsia="en-US"/>
        </w:rPr>
        <w:br/>
        <w:t>Posúdenie zdravia pôdy</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r>
      <w:r>
        <w:rPr>
          <w:szCs w:val="24"/>
          <w:lang w:eastAsia="en-US"/>
        </w:rPr>
        <w:t xml:space="preserve">Členské štáty posudzujú zdravie pôdy vo všetkých svojich pôdnych okrskoch na základe údajov zozbieraných v súvislosti s monitorovaním uvedeným v článkoch 6, 7 a 8, pre každý z pôdnych </w:t>
      </w:r>
      <w:proofErr w:type="spellStart"/>
      <w:r>
        <w:rPr>
          <w:szCs w:val="24"/>
          <w:lang w:eastAsia="en-US"/>
        </w:rPr>
        <w:t>deskriptorov</w:t>
      </w:r>
      <w:proofErr w:type="spellEnd"/>
      <w:r>
        <w:rPr>
          <w:szCs w:val="24"/>
          <w:lang w:eastAsia="en-US"/>
        </w:rPr>
        <w:t xml:space="preserve"> stanovených v </w:t>
      </w:r>
      <w:r>
        <w:rPr>
          <w:strike/>
          <w:szCs w:val="24"/>
          <w:lang w:eastAsia="en-US"/>
        </w:rPr>
        <w:t xml:space="preserve">častiach A B prílohy </w:t>
      </w:r>
      <w:proofErr w:type="spellStart"/>
      <w:r>
        <w:rPr>
          <w:strike/>
          <w:szCs w:val="24"/>
          <w:lang w:eastAsia="en-US"/>
        </w:rPr>
        <w:t>I</w:t>
      </w:r>
      <w:r>
        <w:rPr>
          <w:b/>
          <w:i/>
          <w:szCs w:val="24"/>
          <w:lang w:eastAsia="en-US"/>
        </w:rPr>
        <w:t>prílohe</w:t>
      </w:r>
      <w:proofErr w:type="spellEnd"/>
      <w:r>
        <w:rPr>
          <w:b/>
          <w:i/>
          <w:szCs w:val="24"/>
          <w:lang w:eastAsia="en-US"/>
        </w:rPr>
        <w:t xml:space="preserve"> I podľa zvolene</w:t>
      </w:r>
      <w:r>
        <w:rPr>
          <w:b/>
          <w:i/>
          <w:szCs w:val="24"/>
          <w:lang w:eastAsia="en-US"/>
        </w:rPr>
        <w:t>j úrovne pre koncepciu monitorovania pôdy, pričom sa zohľadňujú historické a prírodné okolnosti pôdy</w:t>
      </w:r>
      <w:r>
        <w:rPr>
          <w:szCs w:val="24"/>
          <w:lang w:eastAsia="en-US"/>
        </w:rPr>
        <w:t>.</w:t>
      </w:r>
      <w:r>
        <w:rPr>
          <w:b/>
          <w:szCs w:val="24"/>
          <w:lang w:eastAsia="en-US"/>
        </w:rPr>
        <w:t xml:space="preserve"> [PN 97]</w:t>
      </w:r>
    </w:p>
    <w:p w:rsidR="009D7883" w:rsidRDefault="00AA63BB">
      <w:pPr>
        <w:spacing w:before="120" w:after="120" w:line="360" w:lineRule="auto"/>
        <w:ind w:left="850"/>
        <w:rPr>
          <w:b/>
          <w:szCs w:val="24"/>
          <w:lang w:eastAsia="en-US"/>
        </w:rPr>
      </w:pPr>
      <w:r>
        <w:rPr>
          <w:b/>
          <w:i/>
          <w:szCs w:val="24"/>
          <w:lang w:eastAsia="en-US"/>
        </w:rPr>
        <w:t xml:space="preserve">Na účely posúdenia ekologického stavu pôdy </w:t>
      </w:r>
      <w:r>
        <w:rPr>
          <w:szCs w:val="24"/>
          <w:lang w:eastAsia="en-US"/>
        </w:rPr>
        <w:t>členské štáty navyše zohľadňujú údaje zhromaždené v súvislosti s prieskumami pôdy, na ktoré sa odkazuje</w:t>
      </w:r>
      <w:r>
        <w:rPr>
          <w:szCs w:val="24"/>
          <w:lang w:eastAsia="en-US"/>
        </w:rPr>
        <w:t xml:space="preserve"> v článku 14.</w:t>
      </w:r>
      <w:r>
        <w:rPr>
          <w:b/>
          <w:szCs w:val="24"/>
          <w:lang w:eastAsia="en-US"/>
        </w:rPr>
        <w:t xml:space="preserve"> [PN 98]</w:t>
      </w:r>
    </w:p>
    <w:p w:rsidR="009D7883" w:rsidRDefault="00AA63BB">
      <w:pPr>
        <w:spacing w:before="120" w:after="120" w:line="360" w:lineRule="auto"/>
        <w:ind w:left="850"/>
        <w:rPr>
          <w:b/>
          <w:szCs w:val="24"/>
          <w:lang w:eastAsia="en-US"/>
        </w:rPr>
      </w:pPr>
      <w:r>
        <w:rPr>
          <w:szCs w:val="24"/>
          <w:lang w:eastAsia="en-US"/>
        </w:rPr>
        <w:t xml:space="preserve">Zabezpečia, aby sa posúdenia </w:t>
      </w:r>
      <w:proofErr w:type="spellStart"/>
      <w:r>
        <w:rPr>
          <w:strike/>
          <w:szCs w:val="24"/>
          <w:lang w:eastAsia="en-US"/>
        </w:rPr>
        <w:t>zdravia</w:t>
      </w:r>
      <w:r>
        <w:rPr>
          <w:b/>
          <w:i/>
          <w:szCs w:val="24"/>
          <w:lang w:eastAsia="en-US"/>
        </w:rPr>
        <w:t>ekologického</w:t>
      </w:r>
      <w:proofErr w:type="spellEnd"/>
      <w:r>
        <w:rPr>
          <w:b/>
          <w:i/>
          <w:szCs w:val="24"/>
          <w:lang w:eastAsia="en-US"/>
        </w:rPr>
        <w:t xml:space="preserve"> stavu</w:t>
      </w:r>
      <w:r>
        <w:rPr>
          <w:szCs w:val="24"/>
          <w:lang w:eastAsia="en-US"/>
        </w:rPr>
        <w:t xml:space="preserve"> pôdy vykonávali aspoň raz za </w:t>
      </w:r>
      <w:proofErr w:type="spellStart"/>
      <w:r>
        <w:rPr>
          <w:strike/>
          <w:szCs w:val="24"/>
          <w:lang w:eastAsia="en-US"/>
        </w:rPr>
        <w:t>päť</w:t>
      </w:r>
      <w:r>
        <w:rPr>
          <w:b/>
          <w:i/>
          <w:szCs w:val="24"/>
          <w:lang w:eastAsia="en-US"/>
        </w:rPr>
        <w:t>šesť</w:t>
      </w:r>
      <w:proofErr w:type="spellEnd"/>
      <w:r>
        <w:rPr>
          <w:szCs w:val="24"/>
          <w:lang w:eastAsia="en-US"/>
        </w:rPr>
        <w:t xml:space="preserve"> rokov a aby sa prvé posúdenie</w:t>
      </w:r>
      <w:r>
        <w:rPr>
          <w:strike/>
          <w:szCs w:val="24"/>
          <w:lang w:eastAsia="en-US"/>
        </w:rPr>
        <w:t xml:space="preserve"> zdravia pôdy </w:t>
      </w:r>
      <w:r>
        <w:rPr>
          <w:szCs w:val="24"/>
          <w:lang w:eastAsia="en-US"/>
        </w:rPr>
        <w:t>uskutočnilo do … (Úrad pre publikácie: vložte dátum = 5 rokov po nadobudnutí účinnosti smernice)</w:t>
      </w:r>
      <w:r>
        <w:rPr>
          <w:b/>
          <w:i/>
          <w:szCs w:val="24"/>
          <w:lang w:eastAsia="en-US"/>
        </w:rPr>
        <w:t xml:space="preserve"> a </w:t>
      </w:r>
      <w:r>
        <w:rPr>
          <w:b/>
          <w:i/>
          <w:szCs w:val="24"/>
          <w:lang w:eastAsia="en-US"/>
        </w:rPr>
        <w:t>aby boli sprevádzané správami o relatívnom zlepšení, trendoch, pokroku alebo regresii</w:t>
      </w:r>
      <w:r>
        <w:rPr>
          <w:szCs w:val="24"/>
          <w:lang w:eastAsia="en-US"/>
        </w:rPr>
        <w:t>.</w:t>
      </w:r>
      <w:r>
        <w:rPr>
          <w:b/>
          <w:szCs w:val="24"/>
          <w:lang w:eastAsia="en-US"/>
        </w:rPr>
        <w:t xml:space="preserve"> [PN 99]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V zmysle tejto smernice sa pôda považuje za zdravú, keď </w:t>
      </w:r>
      <w:r>
        <w:rPr>
          <w:strike/>
          <w:szCs w:val="24"/>
          <w:lang w:eastAsia="en-US"/>
        </w:rPr>
        <w:t xml:space="preserve">sú splnené tieto kumulatívne </w:t>
      </w:r>
      <w:proofErr w:type="spellStart"/>
      <w:r>
        <w:rPr>
          <w:strike/>
          <w:szCs w:val="24"/>
          <w:lang w:eastAsia="en-US"/>
        </w:rPr>
        <w:t>podmienky:</w:t>
      </w:r>
      <w:r>
        <w:rPr>
          <w:b/>
          <w:i/>
          <w:szCs w:val="24"/>
          <w:lang w:eastAsia="en-US"/>
        </w:rPr>
        <w:t>je</w:t>
      </w:r>
      <w:proofErr w:type="spellEnd"/>
      <w:r>
        <w:rPr>
          <w:b/>
          <w:i/>
          <w:szCs w:val="24"/>
          <w:lang w:eastAsia="en-US"/>
        </w:rPr>
        <w:t xml:space="preserve"> klasifikovaná ako pôda v dobrom ekologickom stave alebo ve</w:t>
      </w:r>
      <w:r>
        <w:rPr>
          <w:b/>
          <w:i/>
          <w:szCs w:val="24"/>
          <w:lang w:eastAsia="en-US"/>
        </w:rPr>
        <w:t>ľmi dobrom ekologickom stave.</w:t>
      </w:r>
    </w:p>
    <w:p w:rsidR="009D7883" w:rsidRDefault="00AA63BB">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 xml:space="preserve">hodnoty všetkých pôdnych </w:t>
      </w:r>
      <w:proofErr w:type="spellStart"/>
      <w:r>
        <w:rPr>
          <w:strike/>
          <w:szCs w:val="24"/>
          <w:lang w:eastAsia="en-US"/>
        </w:rPr>
        <w:t>deskriptorov</w:t>
      </w:r>
      <w:proofErr w:type="spellEnd"/>
      <w:r>
        <w:rPr>
          <w:strike/>
          <w:szCs w:val="24"/>
          <w:lang w:eastAsia="en-US"/>
        </w:rPr>
        <w:t xml:space="preserve"> vymenovaných v časti A prílohy I spĺňajú kritériá, ktoré sa tam stanovujú, a prípadne sú upravené podľa článku 7;</w:t>
      </w:r>
    </w:p>
    <w:p w:rsidR="009D7883" w:rsidRDefault="00AA63BB">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 xml:space="preserve">hodnoty všetkých pôdnych </w:t>
      </w:r>
      <w:proofErr w:type="spellStart"/>
      <w:r>
        <w:rPr>
          <w:strike/>
          <w:szCs w:val="24"/>
          <w:lang w:eastAsia="en-US"/>
        </w:rPr>
        <w:t>deskriptorov</w:t>
      </w:r>
      <w:proofErr w:type="spellEnd"/>
      <w:r>
        <w:rPr>
          <w:strike/>
          <w:szCs w:val="24"/>
          <w:lang w:eastAsia="en-US"/>
        </w:rPr>
        <w:t xml:space="preserve"> uvedených v časti B prílohy I </w:t>
      </w:r>
      <w:r>
        <w:rPr>
          <w:strike/>
          <w:szCs w:val="24"/>
          <w:lang w:eastAsia="en-US"/>
        </w:rPr>
        <w:t xml:space="preserve">spĺňajú kritériá stanovené v súlade s článkom 7 (ďalej len „zdravá pôda“). </w:t>
      </w:r>
      <w:r>
        <w:rPr>
          <w:b/>
          <w:szCs w:val="24"/>
          <w:lang w:eastAsia="en-US"/>
        </w:rPr>
        <w:t>[PN 100]</w:t>
      </w:r>
    </w:p>
    <w:p w:rsidR="009D7883" w:rsidRDefault="00AA63BB">
      <w:pPr>
        <w:spacing w:before="120" w:after="120" w:line="360" w:lineRule="auto"/>
        <w:ind w:left="850"/>
        <w:rPr>
          <w:b/>
          <w:szCs w:val="24"/>
          <w:lang w:eastAsia="en-US"/>
        </w:rPr>
      </w:pPr>
      <w:r>
        <w:rPr>
          <w:strike/>
          <w:szCs w:val="24"/>
          <w:lang w:eastAsia="en-US"/>
        </w:rPr>
        <w:t xml:space="preserve">Odchylne od prvého </w:t>
      </w:r>
      <w:proofErr w:type="spellStart"/>
      <w:r>
        <w:rPr>
          <w:strike/>
          <w:szCs w:val="24"/>
          <w:lang w:eastAsia="en-US"/>
        </w:rPr>
        <w:t>pododseku</w:t>
      </w:r>
      <w:proofErr w:type="spellEnd"/>
      <w:r>
        <w:rPr>
          <w:strike/>
          <w:szCs w:val="24"/>
          <w:lang w:eastAsia="en-US"/>
        </w:rPr>
        <w:t xml:space="preserve"> sa v posúdení pôd v rámci pôdnej plochy uvedenej vo štvrtom stĺpci prílohy I neberú do úvahy hodnoty stanovené v treťom stĺpci pre danú pôdnu p</w:t>
      </w:r>
      <w:r>
        <w:rPr>
          <w:strike/>
          <w:szCs w:val="24"/>
          <w:lang w:eastAsia="en-US"/>
        </w:rPr>
        <w:t>lochu.</w:t>
      </w:r>
      <w:r>
        <w:rPr>
          <w:b/>
          <w:szCs w:val="24"/>
          <w:lang w:eastAsia="en-US"/>
        </w:rPr>
        <w:t xml:space="preserve"> [PN 101]</w:t>
      </w:r>
    </w:p>
    <w:p w:rsidR="009D7883" w:rsidRDefault="00AA63BB">
      <w:pPr>
        <w:spacing w:before="120" w:after="120" w:line="360" w:lineRule="auto"/>
        <w:ind w:left="850"/>
        <w:rPr>
          <w:b/>
          <w:szCs w:val="24"/>
          <w:lang w:eastAsia="en-US"/>
        </w:rPr>
      </w:pPr>
      <w:r>
        <w:rPr>
          <w:strike/>
          <w:szCs w:val="24"/>
          <w:lang w:eastAsia="en-US"/>
        </w:rPr>
        <w:t xml:space="preserve">Pôda je nezdravá, ak nie je splnené minimálne jedno z kritérií uvedených v </w:t>
      </w:r>
      <w:proofErr w:type="spellStart"/>
      <w:r>
        <w:rPr>
          <w:strike/>
          <w:szCs w:val="24"/>
          <w:lang w:eastAsia="en-US"/>
        </w:rPr>
        <w:t>pododseku</w:t>
      </w:r>
      <w:proofErr w:type="spellEnd"/>
      <w:r>
        <w:rPr>
          <w:strike/>
          <w:szCs w:val="24"/>
          <w:lang w:eastAsia="en-US"/>
        </w:rPr>
        <w:t xml:space="preserve"> 1 (ďalej len „nezdravá pôda“).</w:t>
      </w:r>
      <w:r>
        <w:rPr>
          <w:b/>
          <w:szCs w:val="24"/>
          <w:lang w:eastAsia="en-US"/>
        </w:rPr>
        <w:t xml:space="preserve"> [PN 102]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w:t>
      </w:r>
      <w:r>
        <w:rPr>
          <w:szCs w:val="24"/>
          <w:lang w:eastAsia="en-US"/>
        </w:rPr>
        <w:tab/>
        <w:t xml:space="preserve">Členské štáty vykonávajú analýzu hodnôt v prípade pôdnych </w:t>
      </w:r>
      <w:proofErr w:type="spellStart"/>
      <w:r>
        <w:rPr>
          <w:szCs w:val="24"/>
          <w:lang w:eastAsia="en-US"/>
        </w:rPr>
        <w:t>deskriptorov</w:t>
      </w:r>
      <w:proofErr w:type="spellEnd"/>
      <w:r>
        <w:rPr>
          <w:szCs w:val="24"/>
          <w:lang w:eastAsia="en-US"/>
        </w:rPr>
        <w:t xml:space="preserve"> uvedených v</w:t>
      </w:r>
      <w:r>
        <w:rPr>
          <w:b/>
          <w:i/>
          <w:szCs w:val="24"/>
          <w:lang w:eastAsia="en-US"/>
        </w:rPr>
        <w:t xml:space="preserve"> častiach A, B a</w:t>
      </w:r>
      <w:r>
        <w:rPr>
          <w:strike/>
          <w:szCs w:val="24"/>
          <w:lang w:eastAsia="en-US"/>
        </w:rPr>
        <w:t xml:space="preserve"> časti</w:t>
      </w:r>
      <w:r>
        <w:rPr>
          <w:szCs w:val="24"/>
          <w:lang w:eastAsia="en-US"/>
        </w:rPr>
        <w:t xml:space="preserve"> C prí</w:t>
      </w:r>
      <w:r>
        <w:rPr>
          <w:szCs w:val="24"/>
          <w:lang w:eastAsia="en-US"/>
        </w:rPr>
        <w:t>lohy I</w:t>
      </w:r>
      <w:r>
        <w:rPr>
          <w:b/>
          <w:i/>
          <w:szCs w:val="24"/>
          <w:lang w:eastAsia="en-US"/>
        </w:rPr>
        <w:t xml:space="preserve"> podľa zvolenej úrovne pre koncepciu monitorovania pôdy</w:t>
      </w:r>
      <w:r>
        <w:rPr>
          <w:szCs w:val="24"/>
          <w:lang w:eastAsia="en-US"/>
        </w:rPr>
        <w:t xml:space="preserve"> a posúdia, či dochádza ku kritickej strate</w:t>
      </w:r>
      <w:r>
        <w:rPr>
          <w:b/>
          <w:i/>
          <w:szCs w:val="24"/>
          <w:lang w:eastAsia="en-US"/>
        </w:rPr>
        <w:t xml:space="preserve"> pôdnej biodiverzity a</w:t>
      </w:r>
      <w:r>
        <w:rPr>
          <w:szCs w:val="24"/>
          <w:lang w:eastAsia="en-US"/>
        </w:rPr>
        <w:t xml:space="preserve"> ekosystémových služieb, pričom zohľadnia príslušné údaje a dostupné vedecké poznatky.</w:t>
      </w:r>
      <w:r>
        <w:rPr>
          <w:b/>
          <w:szCs w:val="24"/>
          <w:lang w:eastAsia="en-US"/>
        </w:rPr>
        <w:t xml:space="preserve"> [PN 103]</w:t>
      </w:r>
    </w:p>
    <w:p w:rsidR="009D7883" w:rsidRDefault="00AA63BB">
      <w:pPr>
        <w:spacing w:before="120" w:after="120" w:line="360" w:lineRule="auto"/>
        <w:ind w:left="850"/>
        <w:rPr>
          <w:szCs w:val="24"/>
          <w:lang w:eastAsia="en-US"/>
        </w:rPr>
      </w:pPr>
      <w:r>
        <w:rPr>
          <w:szCs w:val="24"/>
          <w:lang w:eastAsia="en-US"/>
        </w:rPr>
        <w:t xml:space="preserve">Členské štáty uskutočňujú analýzu </w:t>
      </w:r>
      <w:r>
        <w:rPr>
          <w:szCs w:val="24"/>
          <w:lang w:eastAsia="en-US"/>
        </w:rPr>
        <w:t>hodnôt ukazovateľov záberu pôdy a straty priepustnosti pôdy, ktoré sú uvedené v časti D prílohy I, a posudzujú ich vplyv na stratu ekosystémových služieb a na ciele a zámery, ktoré sú stanovené v nariadení (EÚ) 2018/841.</w:t>
      </w:r>
    </w:p>
    <w:p w:rsidR="009D7883" w:rsidRDefault="00AA63BB">
      <w:pPr>
        <w:spacing w:before="120" w:after="120" w:line="360" w:lineRule="auto"/>
        <w:ind w:left="850" w:hanging="850"/>
        <w:rPr>
          <w:b/>
          <w:szCs w:val="24"/>
          <w:lang w:eastAsia="en-US"/>
        </w:rPr>
      </w:pPr>
      <w:r>
        <w:rPr>
          <w:szCs w:val="24"/>
          <w:lang w:eastAsia="en-US"/>
        </w:rPr>
        <w:t>4.</w:t>
      </w:r>
      <w:r>
        <w:rPr>
          <w:szCs w:val="24"/>
          <w:lang w:eastAsia="en-US"/>
        </w:rPr>
        <w:tab/>
        <w:t xml:space="preserve">Príslušný orgán na základe </w:t>
      </w:r>
      <w:r>
        <w:rPr>
          <w:szCs w:val="24"/>
          <w:lang w:eastAsia="en-US"/>
        </w:rPr>
        <w:t>posúdenia zdravia pôdy, ktoré sa vykoná v súlade s týmto článkom, v každom pôdnom okrsku identifikuje</w:t>
      </w:r>
      <w:r>
        <w:rPr>
          <w:b/>
          <w:i/>
          <w:szCs w:val="24"/>
          <w:lang w:eastAsia="en-US"/>
        </w:rPr>
        <w:t>, v relevantných prípadoch v koordinácii s miestnymi, regionálnymi a vnútroštátnymi orgánmi,</w:t>
      </w:r>
      <w:r>
        <w:rPr>
          <w:szCs w:val="24"/>
          <w:lang w:eastAsia="en-US"/>
        </w:rPr>
        <w:t xml:space="preserve"> oblasti s</w:t>
      </w:r>
      <w:r>
        <w:rPr>
          <w:strike/>
          <w:szCs w:val="24"/>
          <w:lang w:eastAsia="en-US"/>
        </w:rPr>
        <w:t xml:space="preserve"> nezdravými </w:t>
      </w:r>
      <w:r>
        <w:rPr>
          <w:szCs w:val="24"/>
          <w:lang w:eastAsia="en-US"/>
        </w:rPr>
        <w:t>pôdami</w:t>
      </w:r>
      <w:r>
        <w:rPr>
          <w:b/>
          <w:i/>
          <w:szCs w:val="24"/>
          <w:lang w:eastAsia="en-US"/>
        </w:rPr>
        <w:t>, ktoré nie sú vo veľmi dobrom aleb</w:t>
      </w:r>
      <w:r>
        <w:rPr>
          <w:b/>
          <w:i/>
          <w:szCs w:val="24"/>
          <w:lang w:eastAsia="en-US"/>
        </w:rPr>
        <w:t>o v dobrom ekologickom stave,</w:t>
      </w:r>
      <w:r>
        <w:rPr>
          <w:szCs w:val="24"/>
          <w:lang w:eastAsia="en-US"/>
        </w:rPr>
        <w:t xml:space="preserve"> a informuje o nich verejnosť podľa článku 19. </w:t>
      </w:r>
      <w:r>
        <w:rPr>
          <w:strike/>
          <w:szCs w:val="24"/>
          <w:lang w:eastAsia="en-US"/>
        </w:rPr>
        <w:t>V relevantných prípadoch tak urobí v koordinácii s miestnymi, regionálnymi a vnútroštátnymi orgánmi.</w:t>
      </w:r>
      <w:r>
        <w:rPr>
          <w:b/>
          <w:szCs w:val="24"/>
          <w:lang w:eastAsia="en-US"/>
        </w:rPr>
        <w:t xml:space="preserve"> [PN 104]</w:t>
      </w:r>
    </w:p>
    <w:p w:rsidR="009D7883" w:rsidRDefault="00AA63BB">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Komisia prijme delegované akty do 31. decembra 2026 v súlade s člá</w:t>
      </w:r>
      <w:r>
        <w:rPr>
          <w:b/>
          <w:i/>
          <w:szCs w:val="24"/>
          <w:lang w:eastAsia="en-US"/>
        </w:rPr>
        <w:t xml:space="preserve">nkom 20 s cieľom doplniť toto nariadenie stanovením metodiky určovania prahových hodnôt pôdnych </w:t>
      </w:r>
      <w:proofErr w:type="spellStart"/>
      <w:r>
        <w:rPr>
          <w:b/>
          <w:i/>
          <w:szCs w:val="24"/>
          <w:lang w:eastAsia="en-US"/>
        </w:rPr>
        <w:t>deskriptorov</w:t>
      </w:r>
      <w:proofErr w:type="spellEnd"/>
      <w:r>
        <w:rPr>
          <w:b/>
          <w:i/>
          <w:szCs w:val="24"/>
          <w:lang w:eastAsia="en-US"/>
        </w:rPr>
        <w:t xml:space="preserve"> uvedených v prílohe I pre každý ekologický stav pôdy. Metodika zohľadňuje najnovšie vedecké dôkazy a rôzne klimatické podmienky a typy pôdy.</w:t>
      </w:r>
      <w:r>
        <w:rPr>
          <w:b/>
          <w:szCs w:val="24"/>
          <w:lang w:eastAsia="en-US"/>
        </w:rPr>
        <w:t xml:space="preserve"> [PN 10</w:t>
      </w:r>
      <w:r>
        <w:rPr>
          <w:b/>
          <w:szCs w:val="24"/>
          <w:lang w:eastAsia="en-US"/>
        </w:rPr>
        <w:t>5]</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4b.</w:t>
      </w:r>
      <w:r>
        <w:rPr>
          <w:szCs w:val="24"/>
          <w:lang w:eastAsia="en-US"/>
        </w:rPr>
        <w:tab/>
      </w:r>
      <w:r>
        <w:rPr>
          <w:b/>
          <w:i/>
          <w:szCs w:val="24"/>
          <w:lang w:eastAsia="en-US"/>
        </w:rPr>
        <w:t xml:space="preserve">Členské štáty do 30. júna 2028 predložia Komisii návrh prahových hodnôt pre pôdne </w:t>
      </w:r>
      <w:proofErr w:type="spellStart"/>
      <w:r>
        <w:rPr>
          <w:b/>
          <w:i/>
          <w:szCs w:val="24"/>
          <w:lang w:eastAsia="en-US"/>
        </w:rPr>
        <w:t>deskriptory</w:t>
      </w:r>
      <w:proofErr w:type="spellEnd"/>
      <w:r>
        <w:rPr>
          <w:b/>
          <w:i/>
          <w:szCs w:val="24"/>
          <w:lang w:eastAsia="en-US"/>
        </w:rPr>
        <w:t xml:space="preserve"> uvedené v prílohe I, pričom zohľadnia klimatické podmienky, typ pôdy a typ pôdnej plochy spolu s vedeckým odôvodnením a dôkazmi, z ktorých vychádzali pri</w:t>
      </w:r>
      <w:r>
        <w:rPr>
          <w:b/>
          <w:i/>
          <w:szCs w:val="24"/>
          <w:lang w:eastAsia="en-US"/>
        </w:rPr>
        <w:t xml:space="preserve"> výbere.</w:t>
      </w:r>
      <w:r>
        <w:rPr>
          <w:b/>
          <w:szCs w:val="24"/>
          <w:lang w:eastAsia="en-US"/>
        </w:rPr>
        <w:t xml:space="preserve"> [PN 106]</w:t>
      </w:r>
    </w:p>
    <w:p w:rsidR="009D7883" w:rsidRDefault="00AA63BB">
      <w:pPr>
        <w:spacing w:before="120" w:after="120" w:line="360" w:lineRule="auto"/>
        <w:ind w:left="850" w:hanging="850"/>
        <w:rPr>
          <w:b/>
          <w:szCs w:val="24"/>
          <w:lang w:eastAsia="en-US"/>
        </w:rPr>
      </w:pPr>
      <w:r>
        <w:rPr>
          <w:b/>
          <w:i/>
          <w:szCs w:val="24"/>
          <w:lang w:eastAsia="en-US"/>
        </w:rPr>
        <w:t>4c.</w:t>
      </w:r>
      <w:r>
        <w:rPr>
          <w:szCs w:val="24"/>
          <w:lang w:eastAsia="en-US"/>
        </w:rPr>
        <w:tab/>
      </w:r>
      <w:r>
        <w:rPr>
          <w:b/>
          <w:i/>
          <w:szCs w:val="24"/>
          <w:lang w:eastAsia="en-US"/>
        </w:rPr>
        <w:t>Komisia do šiestich mesiacov od dátumu predloženia návrhu prahových hodnôt uvedeného v odseku 4b predloží pripomienky k návrhu prahových hodnôt, posúdi vedecké odôvodnenie a zabezpečí rovnaké podmienky na vnútornom trhu. Na žiadosť Ko</w:t>
      </w:r>
      <w:r>
        <w:rPr>
          <w:b/>
          <w:i/>
          <w:szCs w:val="24"/>
          <w:lang w:eastAsia="en-US"/>
        </w:rPr>
        <w:t>misie členské štáty poskytnú Komisii všetky potrebné dodatočné informácie a v prípade potreby upravia navrhované prahové hodnoty.</w:t>
      </w:r>
      <w:r>
        <w:rPr>
          <w:b/>
          <w:szCs w:val="24"/>
          <w:lang w:eastAsia="en-US"/>
        </w:rPr>
        <w:t xml:space="preserve"> [PN 107]</w:t>
      </w:r>
    </w:p>
    <w:p w:rsidR="009D7883" w:rsidRDefault="00AA63BB">
      <w:pPr>
        <w:spacing w:before="120" w:after="120" w:line="360" w:lineRule="auto"/>
        <w:ind w:left="850" w:hanging="850"/>
        <w:rPr>
          <w:b/>
          <w:szCs w:val="24"/>
          <w:lang w:eastAsia="en-US"/>
        </w:rPr>
      </w:pPr>
      <w:r>
        <w:rPr>
          <w:b/>
          <w:i/>
          <w:szCs w:val="24"/>
          <w:lang w:eastAsia="en-US"/>
        </w:rPr>
        <w:t>4d.</w:t>
      </w:r>
      <w:r>
        <w:rPr>
          <w:szCs w:val="24"/>
          <w:lang w:eastAsia="en-US"/>
        </w:rPr>
        <w:tab/>
      </w:r>
      <w:r>
        <w:rPr>
          <w:b/>
          <w:i/>
          <w:szCs w:val="24"/>
          <w:lang w:eastAsia="en-US"/>
        </w:rPr>
        <w:t>Za predpokladu, že všetky pripomienky Komisie v súlade s odsekom 4c boli primerane zohľadnené, Komisia prostrední</w:t>
      </w:r>
      <w:r>
        <w:rPr>
          <w:b/>
          <w:i/>
          <w:szCs w:val="24"/>
          <w:lang w:eastAsia="en-US"/>
        </w:rPr>
        <w:t>ctvom vykonávacích aktov schváli prahové hodnoty najneskôr do 31. decembra 2029.</w:t>
      </w:r>
      <w:r>
        <w:rPr>
          <w:b/>
          <w:szCs w:val="24"/>
          <w:lang w:eastAsia="en-US"/>
        </w:rPr>
        <w:t xml:space="preserve"> [PN 108]</w:t>
      </w:r>
    </w:p>
    <w:p w:rsidR="009D7883" w:rsidRDefault="00AA63BB">
      <w:pPr>
        <w:spacing w:before="120" w:after="120" w:line="360" w:lineRule="auto"/>
        <w:ind w:left="850" w:hanging="850"/>
        <w:rPr>
          <w:b/>
          <w:szCs w:val="24"/>
          <w:lang w:eastAsia="en-US"/>
        </w:rPr>
      </w:pPr>
      <w:r>
        <w:rPr>
          <w:b/>
          <w:i/>
          <w:szCs w:val="24"/>
          <w:lang w:eastAsia="en-US"/>
        </w:rPr>
        <w:t>4e.</w:t>
      </w:r>
      <w:r>
        <w:rPr>
          <w:szCs w:val="24"/>
          <w:lang w:eastAsia="en-US"/>
        </w:rPr>
        <w:tab/>
      </w:r>
      <w:r>
        <w:rPr>
          <w:b/>
          <w:i/>
          <w:szCs w:val="24"/>
          <w:lang w:eastAsia="en-US"/>
        </w:rPr>
        <w:t>Pri uplatňovaní úrovne 2 na koncepciu monitorovania pôdy môžu členské štáty využiť odchýlku až do výšky 20 % v porovnaní s prahovými hodnotami stanovenými v súlad</w:t>
      </w:r>
      <w:r>
        <w:rPr>
          <w:b/>
          <w:i/>
          <w:szCs w:val="24"/>
          <w:lang w:eastAsia="en-US"/>
        </w:rPr>
        <w:t>e s odsekom 4d.</w:t>
      </w:r>
      <w:r>
        <w:rPr>
          <w:b/>
          <w:szCs w:val="24"/>
          <w:lang w:eastAsia="en-US"/>
        </w:rPr>
        <w:t xml:space="preserve"> [PN 110]</w:t>
      </w:r>
    </w:p>
    <w:p w:rsidR="009D7883" w:rsidRDefault="00AA63BB">
      <w:pPr>
        <w:widowControl/>
        <w:rPr>
          <w:strike/>
          <w:szCs w:val="24"/>
          <w:lang w:eastAsia="en-US"/>
        </w:rPr>
      </w:pPr>
      <w:r>
        <w:rPr>
          <w:strike/>
          <w:szCs w:val="24"/>
          <w:lang w:eastAsia="en-US"/>
        </w:rPr>
        <w:br w:type="page"/>
      </w:r>
    </w:p>
    <w:p w:rsidR="009D7883" w:rsidRDefault="00AA63BB">
      <w:pPr>
        <w:spacing w:before="120" w:after="120" w:line="360" w:lineRule="auto"/>
        <w:ind w:left="850" w:hanging="850"/>
        <w:rPr>
          <w:b/>
          <w:szCs w:val="24"/>
          <w:lang w:eastAsia="en-US"/>
        </w:rPr>
      </w:pPr>
      <w:r>
        <w:rPr>
          <w:strike/>
          <w:szCs w:val="24"/>
          <w:lang w:eastAsia="en-US"/>
        </w:rPr>
        <w:lastRenderedPageBreak/>
        <w:t>5.</w:t>
      </w:r>
      <w:r>
        <w:rPr>
          <w:szCs w:val="24"/>
          <w:lang w:eastAsia="en-US"/>
        </w:rPr>
        <w:tab/>
      </w:r>
      <w:r>
        <w:rPr>
          <w:strike/>
          <w:szCs w:val="24"/>
          <w:lang w:eastAsia="en-US"/>
        </w:rPr>
        <w:t>Členské štáty zavedú mechanizmus dobrovoľnej certifikácie zdravia pôdy pre vlastníkov pôdy a pôdohospodárov, a to v zmysle podmienok v odseku 2 tohto článku.</w:t>
      </w:r>
      <w:r>
        <w:rPr>
          <w:b/>
          <w:szCs w:val="24"/>
          <w:lang w:eastAsia="en-US"/>
        </w:rPr>
        <w:t xml:space="preserve"> [PN 111]</w:t>
      </w:r>
    </w:p>
    <w:p w:rsidR="009D7883" w:rsidRDefault="00AA63BB">
      <w:pPr>
        <w:spacing w:before="120" w:after="120" w:line="360" w:lineRule="auto"/>
        <w:ind w:left="850"/>
        <w:rPr>
          <w:b/>
          <w:szCs w:val="24"/>
          <w:lang w:eastAsia="en-US"/>
        </w:rPr>
      </w:pPr>
      <w:r>
        <w:rPr>
          <w:strike/>
          <w:szCs w:val="24"/>
          <w:lang w:eastAsia="en-US"/>
        </w:rPr>
        <w:t xml:space="preserve">Komisia môže prijať vykonávacie akty na účely harmonizácie </w:t>
      </w:r>
      <w:r>
        <w:rPr>
          <w:strike/>
          <w:szCs w:val="24"/>
          <w:lang w:eastAsia="en-US"/>
        </w:rPr>
        <w:t>formátu certifikácie zdravia pôdy. Uvedené vykonávacie akty sa prijmú v súlade s postupom preskúmania uvedeným v článku 21.</w:t>
      </w:r>
      <w:r>
        <w:rPr>
          <w:b/>
          <w:szCs w:val="24"/>
          <w:lang w:eastAsia="en-US"/>
        </w:rPr>
        <w:t xml:space="preserve"> [PN 112]</w:t>
      </w:r>
    </w:p>
    <w:p w:rsidR="009D7883" w:rsidRDefault="00AA63BB">
      <w:pPr>
        <w:spacing w:before="120" w:after="120" w:line="360" w:lineRule="auto"/>
        <w:ind w:left="850" w:hanging="850"/>
        <w:rPr>
          <w:b/>
          <w:szCs w:val="24"/>
          <w:lang w:eastAsia="en-US"/>
        </w:rPr>
      </w:pPr>
      <w:r>
        <w:rPr>
          <w:szCs w:val="24"/>
          <w:lang w:eastAsia="en-US"/>
        </w:rPr>
        <w:t>6.</w:t>
      </w:r>
      <w:r>
        <w:rPr>
          <w:szCs w:val="24"/>
          <w:lang w:eastAsia="en-US"/>
        </w:rPr>
        <w:tab/>
        <w:t>Členské štáty nahlásia údaje o zdraví pôdy a posúdenie uvedené v článkoch 6 až 9 príslušným vlastníkom pôdy a pôdohospod</w:t>
      </w:r>
      <w:r>
        <w:rPr>
          <w:szCs w:val="24"/>
          <w:lang w:eastAsia="en-US"/>
        </w:rPr>
        <w:t>árom</w:t>
      </w:r>
      <w:r>
        <w:rPr>
          <w:strike/>
          <w:szCs w:val="24"/>
          <w:lang w:eastAsia="en-US"/>
        </w:rPr>
        <w:t>, ak o to požiadajú,</w:t>
      </w:r>
      <w:r>
        <w:rPr>
          <w:b/>
          <w:i/>
          <w:szCs w:val="24"/>
          <w:lang w:eastAsia="en-US"/>
        </w:rPr>
        <w:t xml:space="preserve"> a sprístupnia ich bezodplatne</w:t>
      </w:r>
      <w:r>
        <w:rPr>
          <w:szCs w:val="24"/>
          <w:lang w:eastAsia="en-US"/>
        </w:rPr>
        <w:t xml:space="preserve"> najmä na podporu rozvoja poradenstva, na ktoré sa odkazuje v článku 10 ods. 3.</w:t>
      </w:r>
      <w:r>
        <w:rPr>
          <w:b/>
          <w:i/>
          <w:szCs w:val="24"/>
          <w:lang w:eastAsia="en-US"/>
        </w:rPr>
        <w:t xml:space="preserve"> Členské štáty zabezpečia, aby mali výskumné inštitúcie jednoduchý a nepretržitý bezplatný prístup k vzorkám, extraktom DNA</w:t>
      </w:r>
      <w:r>
        <w:rPr>
          <w:b/>
          <w:i/>
          <w:szCs w:val="24"/>
          <w:lang w:eastAsia="en-US"/>
        </w:rPr>
        <w:t xml:space="preserve"> a prvotným údajom.</w:t>
      </w:r>
      <w:r>
        <w:rPr>
          <w:b/>
          <w:szCs w:val="24"/>
          <w:lang w:eastAsia="en-US"/>
        </w:rPr>
        <w:t xml:space="preserve"> [PN 113]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 xml:space="preserve">Kapitola III </w:t>
      </w:r>
      <w:r>
        <w:rPr>
          <w:szCs w:val="24"/>
          <w:lang w:eastAsia="en-US"/>
        </w:rPr>
        <w:br/>
        <w:t>Udržateľné obhospodarovanie pôdy</w:t>
      </w:r>
    </w:p>
    <w:p w:rsidR="009D7883" w:rsidRDefault="00AA63BB">
      <w:pPr>
        <w:spacing w:before="120" w:after="120" w:line="360" w:lineRule="auto"/>
        <w:jc w:val="center"/>
        <w:rPr>
          <w:szCs w:val="24"/>
          <w:lang w:eastAsia="en-US"/>
        </w:rPr>
      </w:pPr>
      <w:r>
        <w:rPr>
          <w:szCs w:val="24"/>
          <w:lang w:eastAsia="en-US"/>
        </w:rPr>
        <w:t>Článok 10</w:t>
      </w:r>
      <w:r>
        <w:rPr>
          <w:szCs w:val="24"/>
          <w:lang w:eastAsia="en-US"/>
        </w:rPr>
        <w:br/>
        <w:t xml:space="preserve">Udržateľné obhospodarovanie pôdy </w:t>
      </w:r>
    </w:p>
    <w:p w:rsidR="009D7883" w:rsidRDefault="00AA63BB">
      <w:pPr>
        <w:spacing w:before="120" w:after="120" w:line="360" w:lineRule="auto"/>
        <w:ind w:left="850" w:hanging="850"/>
        <w:rPr>
          <w:szCs w:val="24"/>
          <w:lang w:eastAsia="en-US"/>
        </w:rPr>
      </w:pPr>
      <w:r>
        <w:rPr>
          <w:strike/>
          <w:szCs w:val="24"/>
          <w:lang w:eastAsia="en-US"/>
        </w:rPr>
        <w:t>1.</w:t>
      </w:r>
      <w:r>
        <w:rPr>
          <w:szCs w:val="24"/>
          <w:lang w:eastAsia="en-US"/>
        </w:rPr>
        <w:tab/>
      </w:r>
      <w:r>
        <w:rPr>
          <w:strike/>
          <w:szCs w:val="24"/>
          <w:lang w:eastAsia="en-US"/>
        </w:rPr>
        <w:t>Od (Úrad pre publikácie: vložte dátum = 4 roky po nadobudnutí účinnosti smernice) členské štáty prijmú aspoň jedno z týchto opatren</w:t>
      </w:r>
      <w:r>
        <w:rPr>
          <w:strike/>
          <w:szCs w:val="24"/>
          <w:lang w:eastAsia="en-US"/>
        </w:rPr>
        <w:t>í, pričom zohľadnia typ, využívanie a stav pôdy:</w:t>
      </w:r>
    </w:p>
    <w:p w:rsidR="009D7883" w:rsidRDefault="00AA63BB">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vymedzenie postupov udržateľného obhospodarovania pôdy, ktorými sa dodržiavajú zásady udržateľného obhospodarovania pôdy stanovené v prílohe III a ktoré sa majú postupne zaviesť na všetkých obhospodarovan</w:t>
      </w:r>
      <w:r>
        <w:rPr>
          <w:strike/>
          <w:szCs w:val="24"/>
          <w:lang w:eastAsia="en-US"/>
        </w:rPr>
        <w:t>ých pôdach, a to na základe výsledkov posúdení pôdy vykonaných v zmysle článku 9, ako aj vymedzenie postupov regenerácie, ktoré sa majú postupne zaviesť na nezdravých pôdach v členských štátoch;</w:t>
      </w:r>
    </w:p>
    <w:p w:rsidR="009D7883" w:rsidRDefault="00AA63BB">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vymedzenie postupov obhospodarovania pôdy a ďalších postup</w:t>
      </w:r>
      <w:r>
        <w:rPr>
          <w:strike/>
          <w:szCs w:val="24"/>
          <w:lang w:eastAsia="en-US"/>
        </w:rPr>
        <w:t>ov s negatívnym vplyvom na zdravie pôdy, ktorým sa pôdohospodári majú vyhýbať.</w:t>
      </w:r>
    </w:p>
    <w:p w:rsidR="009D7883" w:rsidRDefault="00AA63BB">
      <w:pPr>
        <w:spacing w:before="120" w:after="120" w:line="360" w:lineRule="auto"/>
        <w:ind w:left="850"/>
        <w:rPr>
          <w:szCs w:val="24"/>
          <w:lang w:eastAsia="en-US"/>
        </w:rPr>
      </w:pPr>
      <w:r>
        <w:rPr>
          <w:strike/>
          <w:szCs w:val="24"/>
          <w:lang w:eastAsia="en-US"/>
        </w:rPr>
        <w:t>Pri vymedzovaní postupov a opatrení, na ktoré sa odkazuje v tomto odseku, musia členské štáty zohľadniť programy, plány, ciele a opatrenia uvedené v prílohe IV, ako aj najnovšie</w:t>
      </w:r>
      <w:r>
        <w:rPr>
          <w:strike/>
          <w:szCs w:val="24"/>
          <w:lang w:eastAsia="en-US"/>
        </w:rPr>
        <w:t xml:space="preserve"> vedecké poznatky vrátane výsledkov misie „Dohoda o pôde pre Európu“ v rámci programu Horizont Európa.</w:t>
      </w:r>
    </w:p>
    <w:p w:rsidR="009D7883" w:rsidRDefault="00AA63BB">
      <w:pPr>
        <w:spacing w:before="120" w:after="120" w:line="360" w:lineRule="auto"/>
        <w:ind w:left="850"/>
        <w:rPr>
          <w:szCs w:val="24"/>
          <w:lang w:eastAsia="en-US"/>
        </w:rPr>
      </w:pPr>
      <w:r>
        <w:rPr>
          <w:strike/>
          <w:szCs w:val="24"/>
          <w:lang w:eastAsia="en-US"/>
        </w:rPr>
        <w:t xml:space="preserve">Členské štáty identifikujú synergie s programami, plánmi a opatreniami stanovenými v prílohe IV. Údaje z monitorovania zdravia pôdy, výsledky posúdení </w:t>
      </w:r>
      <w:r>
        <w:rPr>
          <w:strike/>
          <w:szCs w:val="24"/>
          <w:lang w:eastAsia="en-US"/>
        </w:rPr>
        <w:t>zdravia pôdy, analýza v zmysle článku 9 a opatrenia na udržateľné obhospodarovanie pôdy sú základným vstupom pre vývoj programov, plánov a opatrení uvedených v prílohe IV.</w:t>
      </w:r>
    </w:p>
    <w:p w:rsidR="009D7883" w:rsidRDefault="00AA63BB">
      <w:pPr>
        <w:spacing w:before="120" w:after="120" w:line="360" w:lineRule="auto"/>
        <w:ind w:left="850"/>
        <w:rPr>
          <w:b/>
          <w:szCs w:val="24"/>
          <w:lang w:eastAsia="en-US"/>
        </w:rPr>
      </w:pPr>
      <w:r>
        <w:rPr>
          <w:strike/>
          <w:szCs w:val="24"/>
          <w:lang w:eastAsia="en-US"/>
        </w:rPr>
        <w:t xml:space="preserve">Členské štáty zabezpečia, aby bol proces vypracovania postupov spomínaných v prvom </w:t>
      </w:r>
      <w:proofErr w:type="spellStart"/>
      <w:r>
        <w:rPr>
          <w:strike/>
          <w:szCs w:val="24"/>
          <w:lang w:eastAsia="en-US"/>
        </w:rPr>
        <w:t>p</w:t>
      </w:r>
      <w:r>
        <w:rPr>
          <w:strike/>
          <w:szCs w:val="24"/>
          <w:lang w:eastAsia="en-US"/>
        </w:rPr>
        <w:t>ododseku</w:t>
      </w:r>
      <w:proofErr w:type="spellEnd"/>
      <w:r>
        <w:rPr>
          <w:strike/>
          <w:szCs w:val="24"/>
          <w:lang w:eastAsia="en-US"/>
        </w:rPr>
        <w:t xml:space="preserve"> otvorený, </w:t>
      </w:r>
      <w:proofErr w:type="spellStart"/>
      <w:r>
        <w:rPr>
          <w:strike/>
          <w:szCs w:val="24"/>
          <w:lang w:eastAsia="en-US"/>
        </w:rPr>
        <w:t>inkluzívny</w:t>
      </w:r>
      <w:proofErr w:type="spellEnd"/>
      <w:r>
        <w:rPr>
          <w:strike/>
          <w:szCs w:val="24"/>
          <w:lang w:eastAsia="en-US"/>
        </w:rPr>
        <w:t xml:space="preserve"> a účinný a aby sa do neho zapojila dotknutá verejnosť, najmä vlastníci pôdy a pôdohospodári, a aby mali včasné a účinné príležitosti zúčastniť sa na ich vypracovaní.</w:t>
      </w:r>
      <w:r>
        <w:rPr>
          <w:b/>
          <w:szCs w:val="24"/>
          <w:lang w:eastAsia="en-US"/>
        </w:rPr>
        <w:t xml:space="preserve"> [PN 248]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2.</w:t>
      </w:r>
      <w:r>
        <w:rPr>
          <w:szCs w:val="24"/>
          <w:lang w:eastAsia="en-US"/>
        </w:rPr>
        <w:tab/>
        <w:t>Členské štáty zabezpečia jednoduchý</w:t>
      </w:r>
      <w:r>
        <w:rPr>
          <w:b/>
          <w:i/>
          <w:szCs w:val="24"/>
          <w:lang w:eastAsia="en-US"/>
        </w:rPr>
        <w:t xml:space="preserve"> a rovnaký</w:t>
      </w:r>
      <w:r>
        <w:rPr>
          <w:szCs w:val="24"/>
          <w:lang w:eastAsia="en-US"/>
        </w:rPr>
        <w:t xml:space="preserve"> </w:t>
      </w:r>
      <w:r>
        <w:rPr>
          <w:szCs w:val="24"/>
          <w:lang w:eastAsia="en-US"/>
        </w:rPr>
        <w:t>prístup k nestrannému a nezávislému poradenstvu o udržateľnom obhospodarovaní pôdy, činnostiach v oblasti odbornej prípravy a budovaní kapacít pre pôdohospodárov, vlastníkov pôdy</w:t>
      </w:r>
      <w:r>
        <w:rPr>
          <w:b/>
          <w:i/>
          <w:szCs w:val="24"/>
          <w:lang w:eastAsia="en-US"/>
        </w:rPr>
        <w:t>, správcov pôdy</w:t>
      </w:r>
      <w:r>
        <w:rPr>
          <w:szCs w:val="24"/>
          <w:lang w:eastAsia="en-US"/>
        </w:rPr>
        <w:t xml:space="preserve"> a príslušné orgány</w:t>
      </w:r>
      <w:r>
        <w:rPr>
          <w:b/>
          <w:i/>
          <w:szCs w:val="24"/>
          <w:lang w:eastAsia="en-US"/>
        </w:rPr>
        <w:t xml:space="preserve"> vo všetkých svojich pôdnych okrskoch</w:t>
      </w:r>
      <w:r>
        <w:rPr>
          <w:szCs w:val="24"/>
          <w:lang w:eastAsia="en-US"/>
        </w:rPr>
        <w:t>.</w:t>
      </w:r>
      <w:r>
        <w:rPr>
          <w:b/>
          <w:szCs w:val="24"/>
          <w:lang w:eastAsia="en-US"/>
        </w:rPr>
        <w:t xml:space="preserve"> [PN 1</w:t>
      </w:r>
      <w:r>
        <w:rPr>
          <w:b/>
          <w:szCs w:val="24"/>
          <w:lang w:eastAsia="en-US"/>
        </w:rPr>
        <w:t>20 a 249]</w:t>
      </w:r>
    </w:p>
    <w:p w:rsidR="009D7883" w:rsidRDefault="00AA63BB">
      <w:pPr>
        <w:spacing w:before="120" w:after="120" w:line="360" w:lineRule="auto"/>
        <w:ind w:left="850"/>
        <w:rPr>
          <w:szCs w:val="24"/>
          <w:lang w:eastAsia="en-US"/>
        </w:rPr>
      </w:pPr>
      <w:r>
        <w:rPr>
          <w:szCs w:val="24"/>
          <w:lang w:eastAsia="en-US"/>
        </w:rPr>
        <w:t>Členské štáty takisto prijmú tieto opatrenia:</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podporu povedomia o viacnásobných strednodobých a dlhodobých prínosoch udržateľného obhospodarovania pôdy a o potrebe udržateľného obhospodarovania pôdy;</w:t>
      </w:r>
    </w:p>
    <w:p w:rsidR="009D7883" w:rsidRDefault="00AA63BB">
      <w:pPr>
        <w:spacing w:before="120" w:after="120" w:line="360" w:lineRule="auto"/>
        <w:ind w:left="1416" w:hanging="566"/>
        <w:rPr>
          <w:b/>
          <w:szCs w:val="24"/>
          <w:lang w:eastAsia="en-US"/>
        </w:rPr>
      </w:pPr>
      <w:r>
        <w:rPr>
          <w:szCs w:val="24"/>
          <w:lang w:eastAsia="en-US"/>
        </w:rPr>
        <w:t>b)</w:t>
      </w:r>
      <w:r>
        <w:rPr>
          <w:szCs w:val="24"/>
          <w:lang w:eastAsia="en-US"/>
        </w:rPr>
        <w:tab/>
        <w:t>podporu výskumu</w:t>
      </w:r>
      <w:r>
        <w:rPr>
          <w:b/>
          <w:i/>
          <w:szCs w:val="24"/>
          <w:lang w:eastAsia="en-US"/>
        </w:rPr>
        <w:t>, inovácií, občianskej ve</w:t>
      </w:r>
      <w:r>
        <w:rPr>
          <w:b/>
          <w:i/>
          <w:szCs w:val="24"/>
          <w:lang w:eastAsia="en-US"/>
        </w:rPr>
        <w:t>dy a stimulovanie uplatňovania</w:t>
      </w:r>
      <w:r>
        <w:rPr>
          <w:strike/>
          <w:szCs w:val="24"/>
          <w:lang w:eastAsia="en-US"/>
        </w:rPr>
        <w:t xml:space="preserve"> a uplatňovanie</w:t>
      </w:r>
      <w:r>
        <w:rPr>
          <w:szCs w:val="24"/>
          <w:lang w:eastAsia="en-US"/>
        </w:rPr>
        <w:t xml:space="preserve"> koncepcie </w:t>
      </w:r>
      <w:proofErr w:type="spellStart"/>
      <w:r>
        <w:rPr>
          <w:strike/>
          <w:szCs w:val="24"/>
          <w:lang w:eastAsia="en-US"/>
        </w:rPr>
        <w:t>holistického</w:t>
      </w:r>
      <w:r>
        <w:rPr>
          <w:b/>
          <w:i/>
          <w:szCs w:val="24"/>
          <w:lang w:eastAsia="en-US"/>
        </w:rPr>
        <w:t>udržateľného</w:t>
      </w:r>
      <w:proofErr w:type="spellEnd"/>
      <w:r>
        <w:rPr>
          <w:szCs w:val="24"/>
          <w:lang w:eastAsia="en-US"/>
        </w:rPr>
        <w:t xml:space="preserve"> obhospodarovania pôdy;</w:t>
      </w:r>
      <w:r>
        <w:rPr>
          <w:b/>
          <w:szCs w:val="24"/>
          <w:lang w:eastAsia="en-US"/>
        </w:rPr>
        <w:t xml:space="preserve"> [</w:t>
      </w:r>
      <w:proofErr w:type="spellStart"/>
      <w:r>
        <w:rPr>
          <w:b/>
          <w:szCs w:val="24"/>
          <w:lang w:eastAsia="en-US"/>
        </w:rPr>
        <w:t>PN</w:t>
      </w:r>
      <w:proofErr w:type="spellEnd"/>
      <w:r>
        <w:rPr>
          <w:b/>
          <w:szCs w:val="24"/>
          <w:lang w:eastAsia="en-US"/>
        </w:rPr>
        <w:t> 121 a 250]</w:t>
      </w:r>
    </w:p>
    <w:p w:rsidR="009D7883" w:rsidRDefault="00AA63BB">
      <w:pPr>
        <w:spacing w:before="120" w:after="120" w:line="360" w:lineRule="auto"/>
        <w:ind w:left="1416" w:hanging="566"/>
        <w:rPr>
          <w:b/>
          <w:szCs w:val="24"/>
          <w:lang w:eastAsia="en-US"/>
        </w:rPr>
      </w:pPr>
      <w:r>
        <w:rPr>
          <w:szCs w:val="24"/>
          <w:lang w:eastAsia="en-US"/>
        </w:rPr>
        <w:t>c)</w:t>
      </w:r>
      <w:r>
        <w:rPr>
          <w:szCs w:val="24"/>
          <w:lang w:eastAsia="en-US"/>
        </w:rPr>
        <w:tab/>
        <w:t>sprístupnenie pravidelne aktualizovaného mapovania dostupných nástrojov financovania a činností na podporu vykonávania udržateľného ob</w:t>
      </w:r>
      <w:r>
        <w:rPr>
          <w:szCs w:val="24"/>
          <w:lang w:eastAsia="en-US"/>
        </w:rPr>
        <w:t>hospodarovania pôdy</w:t>
      </w:r>
      <w:r>
        <w:rPr>
          <w:b/>
          <w:i/>
          <w:szCs w:val="24"/>
          <w:lang w:eastAsia="en-US"/>
        </w:rPr>
        <w:t xml:space="preserve"> a iných činností na podporu vykonávania tejto smernice vrátane výskumu a občianskej vedy</w:t>
      </w:r>
      <w:r>
        <w:rPr>
          <w:szCs w:val="24"/>
          <w:lang w:eastAsia="en-US"/>
        </w:rPr>
        <w:t>.</w:t>
      </w:r>
      <w:r>
        <w:rPr>
          <w:b/>
          <w:szCs w:val="24"/>
          <w:lang w:eastAsia="en-US"/>
        </w:rPr>
        <w:t xml:space="preserve"> [PN 122]</w:t>
      </w:r>
    </w:p>
    <w:p w:rsidR="009D7883" w:rsidRDefault="00AA63BB">
      <w:pPr>
        <w:widowControl/>
        <w:rPr>
          <w:strike/>
          <w:szCs w:val="24"/>
          <w:lang w:eastAsia="en-US"/>
        </w:rPr>
      </w:pPr>
      <w:r>
        <w:rPr>
          <w:strike/>
          <w:szCs w:val="24"/>
          <w:lang w:eastAsia="en-US"/>
        </w:rPr>
        <w:br w:type="page"/>
      </w:r>
    </w:p>
    <w:p w:rsidR="009D7883" w:rsidRDefault="00AA63BB">
      <w:pPr>
        <w:spacing w:before="120" w:after="120" w:line="360" w:lineRule="auto"/>
        <w:ind w:left="850" w:hanging="850"/>
        <w:rPr>
          <w:b/>
          <w:szCs w:val="24"/>
          <w:lang w:eastAsia="en-US"/>
        </w:rPr>
      </w:pPr>
      <w:r>
        <w:rPr>
          <w:strike/>
          <w:szCs w:val="24"/>
          <w:lang w:eastAsia="en-US"/>
        </w:rPr>
        <w:lastRenderedPageBreak/>
        <w:t>3.</w:t>
      </w:r>
      <w:r>
        <w:rPr>
          <w:szCs w:val="24"/>
          <w:lang w:eastAsia="en-US"/>
        </w:rPr>
        <w:tab/>
      </w:r>
      <w:r>
        <w:rPr>
          <w:strike/>
          <w:szCs w:val="24"/>
          <w:lang w:eastAsia="en-US"/>
        </w:rPr>
        <w:t>Členské štáty pravidelne posudzujú účinnosť opatrení prijatých v zmysle tejto smernice a v prípade potreby tieto opatrenia preskúmav</w:t>
      </w:r>
      <w:r>
        <w:rPr>
          <w:strike/>
          <w:szCs w:val="24"/>
          <w:lang w:eastAsia="en-US"/>
        </w:rPr>
        <w:t>ajú a revidujú, pričom zohľadnia monitorovanie a posúdenie zdravia pôdy, na ktoré sa odkazuje v článkoch 6 až 9.</w:t>
      </w:r>
      <w:r>
        <w:rPr>
          <w:b/>
          <w:szCs w:val="24"/>
          <w:lang w:eastAsia="en-US"/>
        </w:rPr>
        <w:t xml:space="preserve"> [PN 251]</w:t>
      </w:r>
    </w:p>
    <w:p w:rsidR="009D7883" w:rsidRDefault="00AA63BB">
      <w:pPr>
        <w:spacing w:before="120" w:after="120" w:line="360" w:lineRule="auto"/>
        <w:ind w:left="850" w:hanging="850"/>
        <w:rPr>
          <w:b/>
          <w:szCs w:val="24"/>
          <w:lang w:eastAsia="en-US"/>
        </w:rPr>
      </w:pPr>
      <w:r>
        <w:rPr>
          <w:strike/>
          <w:szCs w:val="24"/>
          <w:lang w:eastAsia="en-US"/>
        </w:rPr>
        <w:t>4.</w:t>
      </w:r>
      <w:r>
        <w:rPr>
          <w:szCs w:val="24"/>
          <w:lang w:eastAsia="en-US"/>
        </w:rPr>
        <w:tab/>
      </w:r>
      <w:r>
        <w:rPr>
          <w:strike/>
          <w:szCs w:val="24"/>
          <w:lang w:eastAsia="en-US"/>
        </w:rPr>
        <w:t>Komisia je splnomocnená prijímať delegované akty v súlade s článkom 20, ktorými sa zmení príloha III, s cieľom prispôsobiť zásady u</w:t>
      </w:r>
      <w:r>
        <w:rPr>
          <w:strike/>
          <w:szCs w:val="24"/>
          <w:lang w:eastAsia="en-US"/>
        </w:rPr>
        <w:t>držateľného obhospodarovania pôdy vedeckému a technickému pokroku.</w:t>
      </w:r>
      <w:r>
        <w:rPr>
          <w:b/>
          <w:szCs w:val="24"/>
          <w:lang w:eastAsia="en-US"/>
        </w:rPr>
        <w:t xml:space="preserve"> [PN 123 a 252]</w:t>
      </w:r>
    </w:p>
    <w:p w:rsidR="009D7883" w:rsidRDefault="00AA63BB">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Komisia na požiadanie pomáha členským štátom a poskytuje im usmernenia, pokiaľ ide o vypracovanie osobitných opatrení súvisiacich so zásadami udržateľného obhospodarovani</w:t>
      </w:r>
      <w:r>
        <w:rPr>
          <w:b/>
          <w:i/>
          <w:szCs w:val="24"/>
          <w:lang w:eastAsia="en-US"/>
        </w:rPr>
        <w:t>a pôdy uvedenými v prílohe III.</w:t>
      </w:r>
      <w:r>
        <w:rPr>
          <w:b/>
          <w:szCs w:val="24"/>
          <w:lang w:eastAsia="en-US"/>
        </w:rPr>
        <w:t xml:space="preserve"> [PN 124]</w:t>
      </w:r>
    </w:p>
    <w:p w:rsidR="009D7883" w:rsidRDefault="00AA63BB">
      <w:pPr>
        <w:spacing w:before="120" w:after="120" w:line="360" w:lineRule="auto"/>
        <w:jc w:val="center"/>
        <w:rPr>
          <w:szCs w:val="24"/>
          <w:lang w:eastAsia="en-US"/>
        </w:rPr>
      </w:pPr>
      <w:r>
        <w:rPr>
          <w:b/>
          <w:i/>
          <w:szCs w:val="24"/>
          <w:lang w:eastAsia="en-US"/>
        </w:rPr>
        <w:t>Článok 10a</w:t>
      </w:r>
      <w:r>
        <w:rPr>
          <w:b/>
          <w:i/>
          <w:szCs w:val="24"/>
          <w:lang w:eastAsia="en-US"/>
        </w:rPr>
        <w:br/>
        <w:t xml:space="preserve"> Súbor nástrojov udržateľného obhospodarovania pôdy</w:t>
      </w:r>
    </w:p>
    <w:p w:rsidR="009D7883" w:rsidRDefault="00AA63BB">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 xml:space="preserve">S cieľom podporiť vykonávanie tejto smernice Komisia vytvorí súbor nástrojov udržateľného obhospodarovania pôdy, ktorý pôdohospodárom poskytne </w:t>
      </w:r>
      <w:r>
        <w:rPr>
          <w:b/>
          <w:i/>
          <w:szCs w:val="24"/>
          <w:lang w:eastAsia="en-US"/>
        </w:rPr>
        <w:t>praktické informácie o používaní udržateľných postupov obhospodarovania pôdy, čo zahŕňa informácie poskytnuté členskými štátmi.</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szCs w:val="24"/>
          <w:lang w:eastAsia="en-US"/>
        </w:rPr>
      </w:pPr>
      <w:r>
        <w:rPr>
          <w:b/>
          <w:i/>
          <w:szCs w:val="24"/>
          <w:lang w:eastAsia="en-US"/>
        </w:rPr>
        <w:lastRenderedPageBreak/>
        <w:t>2.</w:t>
      </w:r>
      <w:r>
        <w:rPr>
          <w:szCs w:val="24"/>
          <w:lang w:eastAsia="en-US"/>
        </w:rPr>
        <w:tab/>
      </w:r>
      <w:r>
        <w:rPr>
          <w:b/>
          <w:i/>
          <w:szCs w:val="24"/>
          <w:lang w:eastAsia="en-US"/>
        </w:rPr>
        <w:t>Súbor nástrojov obsahuje:</w:t>
      </w:r>
    </w:p>
    <w:p w:rsidR="009D7883" w:rsidRDefault="00AA63BB">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odporúčania a príklady najlepších postupov od príslušných orgánov členských štátov, ktoré moni</w:t>
      </w:r>
      <w:r>
        <w:rPr>
          <w:b/>
          <w:i/>
          <w:szCs w:val="24"/>
          <w:lang w:eastAsia="en-US"/>
        </w:rPr>
        <w:t>torujú vplyv postupov obhospodarovania pôdy a informácie o vplyve takýchto postupov na rôzne ekosystémové služby a riziká pre pôdu;</w:t>
      </w:r>
    </w:p>
    <w:p w:rsidR="009D7883" w:rsidRDefault="00AA63BB">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informácie špecifické pre daný kontext, ktoré sa týkajú kombinácií typu pôdy, využívania pôdy a klimatických podmienok;</w:t>
      </w:r>
    </w:p>
    <w:p w:rsidR="009D7883" w:rsidRDefault="00AA63BB">
      <w:pPr>
        <w:spacing w:before="120" w:after="120" w:line="360" w:lineRule="auto"/>
        <w:ind w:left="1416" w:hanging="566"/>
        <w:rPr>
          <w:szCs w:val="24"/>
          <w:lang w:eastAsia="en-US"/>
        </w:rPr>
      </w:pPr>
      <w:r>
        <w:rPr>
          <w:b/>
          <w:i/>
          <w:szCs w:val="24"/>
          <w:lang w:eastAsia="en-US"/>
        </w:rPr>
        <w:t>c</w:t>
      </w:r>
      <w:r>
        <w:rPr>
          <w:b/>
          <w:i/>
          <w:szCs w:val="24"/>
          <w:lang w:eastAsia="en-US"/>
        </w:rPr>
        <w:t>)</w:t>
      </w:r>
      <w:r>
        <w:rPr>
          <w:szCs w:val="24"/>
          <w:lang w:eastAsia="en-US"/>
        </w:rPr>
        <w:tab/>
      </w:r>
      <w:r>
        <w:rPr>
          <w:b/>
          <w:i/>
          <w:szCs w:val="24"/>
          <w:lang w:eastAsia="en-US"/>
        </w:rPr>
        <w:t>nové poznatky z výskumu a inovácií, a to aj z misie Dohoda o pôde pre Európu programu Horizont Európa;</w:t>
      </w:r>
    </w:p>
    <w:p w:rsidR="009D7883" w:rsidRDefault="00AA63BB">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iné relevantné informácie, ktoré Komisia zhromaždila alebo ktoré Komisii poskytli členské štáty.</w:t>
      </w:r>
    </w:p>
    <w:p w:rsidR="009D7883" w:rsidRDefault="00AA63BB">
      <w:pPr>
        <w:spacing w:before="120" w:after="120" w:line="360" w:lineRule="auto"/>
        <w:ind w:left="850" w:hanging="850"/>
        <w:rPr>
          <w:szCs w:val="24"/>
          <w:lang w:eastAsia="en-US"/>
        </w:rPr>
      </w:pPr>
      <w:r>
        <w:rPr>
          <w:b/>
          <w:i/>
          <w:szCs w:val="24"/>
          <w:lang w:eastAsia="en-US"/>
        </w:rPr>
        <w:t>3.</w:t>
      </w:r>
      <w:r>
        <w:rPr>
          <w:szCs w:val="24"/>
          <w:lang w:eastAsia="en-US"/>
        </w:rPr>
        <w:tab/>
      </w:r>
      <w:r>
        <w:rPr>
          <w:b/>
          <w:i/>
          <w:szCs w:val="24"/>
          <w:lang w:eastAsia="en-US"/>
        </w:rPr>
        <w:t xml:space="preserve">Súbor nástrojov musí byť bezplatne verejne </w:t>
      </w:r>
      <w:r>
        <w:rPr>
          <w:b/>
          <w:i/>
          <w:szCs w:val="24"/>
          <w:lang w:eastAsia="en-US"/>
        </w:rPr>
        <w:t>dostupný a byť súčasťou digitálneho portálu údajov o zdraví pôdy zriadeného v súlade s článkom 6 ods. 6.</w:t>
      </w:r>
    </w:p>
    <w:p w:rsidR="009D7883" w:rsidRDefault="00AA63BB">
      <w:pPr>
        <w:spacing w:before="120" w:after="120" w:line="360" w:lineRule="auto"/>
        <w:ind w:left="850"/>
        <w:rPr>
          <w:b/>
          <w:szCs w:val="24"/>
          <w:lang w:eastAsia="en-US"/>
        </w:rPr>
      </w:pPr>
      <w:r>
        <w:rPr>
          <w:b/>
          <w:i/>
          <w:szCs w:val="24"/>
          <w:lang w:eastAsia="en-US"/>
        </w:rPr>
        <w:t>Komisia aktívne aktualizuje obsah súboru nástrojov a prijme všetky vhodné opatrenia s cieľom propagovať obsah súboru nástrojov u pôdohospodárov.</w:t>
      </w:r>
      <w:r>
        <w:rPr>
          <w:b/>
          <w:szCs w:val="24"/>
          <w:lang w:eastAsia="en-US"/>
        </w:rPr>
        <w:t xml:space="preserve"> [PN 12</w:t>
      </w:r>
      <w:r>
        <w:rPr>
          <w:b/>
          <w:szCs w:val="24"/>
          <w:lang w:eastAsia="en-US"/>
        </w:rPr>
        <w:t>5]</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b/>
          <w:szCs w:val="24"/>
          <w:lang w:eastAsia="en-US"/>
        </w:rPr>
      </w:pPr>
      <w:r>
        <w:rPr>
          <w:szCs w:val="24"/>
          <w:lang w:eastAsia="en-US"/>
        </w:rPr>
        <w:lastRenderedPageBreak/>
        <w:t>Článok 11</w:t>
      </w:r>
      <w:r>
        <w:rPr>
          <w:szCs w:val="24"/>
          <w:lang w:eastAsia="en-US"/>
        </w:rPr>
        <w:br/>
      </w:r>
      <w:r>
        <w:rPr>
          <w:strike/>
          <w:szCs w:val="24"/>
          <w:lang w:eastAsia="en-US"/>
        </w:rPr>
        <w:t xml:space="preserve">Zásady </w:t>
      </w:r>
      <w:proofErr w:type="spellStart"/>
      <w:r>
        <w:rPr>
          <w:strike/>
          <w:szCs w:val="24"/>
          <w:lang w:eastAsia="en-US"/>
        </w:rPr>
        <w:t>zmierňovania</w:t>
      </w:r>
      <w:r>
        <w:rPr>
          <w:b/>
          <w:i/>
          <w:szCs w:val="24"/>
          <w:lang w:eastAsia="en-US"/>
        </w:rPr>
        <w:t>Zmierňovanie</w:t>
      </w:r>
      <w:proofErr w:type="spellEnd"/>
      <w:r>
        <w:rPr>
          <w:szCs w:val="24"/>
          <w:lang w:eastAsia="en-US"/>
        </w:rPr>
        <w:t xml:space="preserve"> záberu pôdy</w:t>
      </w:r>
      <w:r>
        <w:rPr>
          <w:b/>
          <w:szCs w:val="24"/>
          <w:lang w:eastAsia="en-US"/>
        </w:rPr>
        <w:t xml:space="preserve"> [</w:t>
      </w:r>
      <w:proofErr w:type="spellStart"/>
      <w:r>
        <w:rPr>
          <w:b/>
          <w:szCs w:val="24"/>
          <w:lang w:eastAsia="en-US"/>
        </w:rPr>
        <w:t>PN</w:t>
      </w:r>
      <w:proofErr w:type="spellEnd"/>
      <w:r>
        <w:rPr>
          <w:b/>
          <w:szCs w:val="24"/>
          <w:lang w:eastAsia="en-US"/>
        </w:rPr>
        <w:t> 126]</w:t>
      </w:r>
    </w:p>
    <w:p w:rsidR="009D7883" w:rsidRDefault="00AA63BB">
      <w:pPr>
        <w:spacing w:before="120" w:after="120" w:line="360" w:lineRule="auto"/>
        <w:rPr>
          <w:b/>
          <w:szCs w:val="24"/>
          <w:lang w:eastAsia="en-US"/>
        </w:rPr>
      </w:pPr>
      <w:r>
        <w:rPr>
          <w:strike/>
          <w:szCs w:val="24"/>
          <w:lang w:eastAsia="en-US"/>
        </w:rPr>
        <w:t xml:space="preserve">Členské štáty zabezpečia dodržiavanie týchto zásad </w:t>
      </w:r>
      <w:r>
        <w:rPr>
          <w:szCs w:val="24"/>
          <w:lang w:eastAsia="en-US"/>
        </w:rPr>
        <w:t>V prípade záberu pôdy</w:t>
      </w:r>
      <w:r>
        <w:rPr>
          <w:b/>
          <w:i/>
          <w:szCs w:val="24"/>
          <w:lang w:eastAsia="en-US"/>
        </w:rPr>
        <w:t xml:space="preserve"> členské štáty zvážia tieto opatrenia, pričom zohľadnia miestne špecifiká a sociálno-ekonomické vplyvy</w:t>
      </w:r>
      <w:r>
        <w:rPr>
          <w:szCs w:val="24"/>
          <w:lang w:eastAsia="en-US"/>
        </w:rPr>
        <w:t>:</w:t>
      </w:r>
      <w:r>
        <w:rPr>
          <w:b/>
          <w:szCs w:val="24"/>
          <w:lang w:eastAsia="en-US"/>
        </w:rPr>
        <w:t xml:space="preserve"> [PN 127]</w:t>
      </w:r>
    </w:p>
    <w:p w:rsidR="009D7883" w:rsidRDefault="00AA63BB">
      <w:pPr>
        <w:spacing w:before="120" w:after="120" w:line="360" w:lineRule="auto"/>
        <w:ind w:left="850" w:hanging="850"/>
        <w:rPr>
          <w:b/>
          <w:szCs w:val="24"/>
          <w:lang w:eastAsia="en-US"/>
        </w:rPr>
      </w:pPr>
      <w:r>
        <w:rPr>
          <w:szCs w:val="24"/>
          <w:lang w:eastAsia="en-US"/>
        </w:rPr>
        <w:t>a)</w:t>
      </w:r>
      <w:r>
        <w:rPr>
          <w:szCs w:val="24"/>
          <w:lang w:eastAsia="en-US"/>
        </w:rPr>
        <w:tab/>
      </w:r>
      <w:r>
        <w:rPr>
          <w:szCs w:val="24"/>
          <w:lang w:eastAsia="en-US"/>
        </w:rPr>
        <w:t>v čo najväčšej možnej miere podľa technických</w:t>
      </w:r>
      <w:r>
        <w:rPr>
          <w:b/>
          <w:i/>
          <w:szCs w:val="24"/>
          <w:lang w:eastAsia="en-US"/>
        </w:rPr>
        <w:t>, sociálnych</w:t>
      </w:r>
      <w:r>
        <w:rPr>
          <w:szCs w:val="24"/>
          <w:lang w:eastAsia="en-US"/>
        </w:rPr>
        <w:t xml:space="preserve"> a hospodárskych možností zabrániť strate schopnosti pôdy poskytovať rozmanité ekosystémové </w:t>
      </w:r>
      <w:r>
        <w:rPr>
          <w:b/>
          <w:i/>
          <w:szCs w:val="24"/>
          <w:lang w:eastAsia="en-US"/>
        </w:rPr>
        <w:t xml:space="preserve">a iné </w:t>
      </w:r>
      <w:r>
        <w:rPr>
          <w:szCs w:val="24"/>
          <w:lang w:eastAsia="en-US"/>
        </w:rPr>
        <w:t>služby vrátane</w:t>
      </w:r>
      <w:r>
        <w:rPr>
          <w:b/>
          <w:i/>
          <w:szCs w:val="24"/>
          <w:lang w:eastAsia="en-US"/>
        </w:rPr>
        <w:t xml:space="preserve"> poľnohospodárstva,</w:t>
      </w:r>
      <w:r>
        <w:rPr>
          <w:szCs w:val="24"/>
          <w:lang w:eastAsia="en-US"/>
        </w:rPr>
        <w:t xml:space="preserve"> produkcie potravín</w:t>
      </w:r>
      <w:r>
        <w:rPr>
          <w:b/>
          <w:i/>
          <w:szCs w:val="24"/>
          <w:lang w:eastAsia="en-US"/>
        </w:rPr>
        <w:t xml:space="preserve"> a udržateľného obhospodarovania lesov</w:t>
      </w:r>
      <w:r>
        <w:rPr>
          <w:szCs w:val="24"/>
          <w:lang w:eastAsia="en-US"/>
        </w:rPr>
        <w:t>, alebo tút</w:t>
      </w:r>
      <w:r>
        <w:rPr>
          <w:szCs w:val="24"/>
          <w:lang w:eastAsia="en-US"/>
        </w:rPr>
        <w:t>o stratu čo najviac obmedziť, a to:</w:t>
      </w:r>
      <w:r>
        <w:rPr>
          <w:b/>
          <w:szCs w:val="24"/>
          <w:lang w:eastAsia="en-US"/>
        </w:rPr>
        <w:t xml:space="preserve"> [PN 128 a 254]</w:t>
      </w:r>
    </w:p>
    <w:p w:rsidR="009D7883" w:rsidRDefault="00AA63BB">
      <w:pPr>
        <w:spacing w:before="120" w:after="120" w:line="360" w:lineRule="auto"/>
        <w:ind w:left="1416" w:hanging="566"/>
        <w:rPr>
          <w:b/>
          <w:szCs w:val="24"/>
          <w:lang w:eastAsia="en-US"/>
        </w:rPr>
      </w:pPr>
      <w:r>
        <w:rPr>
          <w:szCs w:val="24"/>
          <w:lang w:eastAsia="en-US"/>
        </w:rPr>
        <w:t>i)</w:t>
      </w:r>
      <w:r>
        <w:rPr>
          <w:szCs w:val="24"/>
          <w:lang w:eastAsia="en-US"/>
        </w:rPr>
        <w:tab/>
      </w:r>
      <w:r>
        <w:rPr>
          <w:b/>
          <w:i/>
          <w:szCs w:val="24"/>
          <w:lang w:eastAsia="en-US"/>
        </w:rPr>
        <w:t xml:space="preserve">čo najväčším </w:t>
      </w:r>
      <w:r>
        <w:rPr>
          <w:szCs w:val="24"/>
          <w:lang w:eastAsia="en-US"/>
        </w:rPr>
        <w:t>obmedzením plochy, ktorá je zasiahnutá záberom pôdy</w:t>
      </w:r>
      <w:r>
        <w:rPr>
          <w:strike/>
          <w:szCs w:val="24"/>
          <w:lang w:eastAsia="en-US"/>
        </w:rPr>
        <w:t>, v maximálnej možnej miere</w:t>
      </w:r>
      <w:r>
        <w:rPr>
          <w:szCs w:val="24"/>
          <w:lang w:eastAsia="en-US"/>
        </w:rPr>
        <w:t>;</w:t>
      </w:r>
      <w:r>
        <w:rPr>
          <w:b/>
          <w:szCs w:val="24"/>
          <w:lang w:eastAsia="en-US"/>
        </w:rPr>
        <w:t xml:space="preserve"> [PN 129]</w:t>
      </w:r>
    </w:p>
    <w:p w:rsidR="009D7883" w:rsidRDefault="00AA63BB">
      <w:pPr>
        <w:spacing w:before="120" w:after="120" w:line="360" w:lineRule="auto"/>
        <w:ind w:left="1416" w:hanging="566"/>
        <w:rPr>
          <w:b/>
          <w:szCs w:val="24"/>
          <w:lang w:eastAsia="en-US"/>
        </w:rPr>
      </w:pPr>
      <w:r>
        <w:rPr>
          <w:szCs w:val="24"/>
          <w:lang w:eastAsia="en-US"/>
        </w:rPr>
        <w:t>ii)</w:t>
      </w:r>
      <w:r>
        <w:rPr>
          <w:szCs w:val="24"/>
          <w:lang w:eastAsia="en-US"/>
        </w:rPr>
        <w:tab/>
      </w:r>
      <w:proofErr w:type="spellStart"/>
      <w:r>
        <w:rPr>
          <w:strike/>
          <w:szCs w:val="24"/>
          <w:lang w:eastAsia="en-US"/>
        </w:rPr>
        <w:t>výberom</w:t>
      </w:r>
      <w:r>
        <w:rPr>
          <w:b/>
          <w:i/>
          <w:szCs w:val="24"/>
          <w:lang w:eastAsia="en-US"/>
        </w:rPr>
        <w:t>uprednostnením</w:t>
      </w:r>
      <w:proofErr w:type="spellEnd"/>
      <w:r>
        <w:rPr>
          <w:szCs w:val="24"/>
          <w:lang w:eastAsia="en-US"/>
        </w:rPr>
        <w:t xml:space="preserve"> oblastí, v ktorých by sa minimalizovala strata ekosystémových služieb;</w:t>
      </w:r>
      <w:r>
        <w:rPr>
          <w:b/>
          <w:szCs w:val="24"/>
          <w:lang w:eastAsia="en-US"/>
        </w:rPr>
        <w:t xml:space="preserve"> [PN</w:t>
      </w:r>
      <w:r>
        <w:rPr>
          <w:b/>
          <w:szCs w:val="24"/>
          <w:lang w:eastAsia="en-US"/>
        </w:rPr>
        <w:t> 130]</w:t>
      </w:r>
    </w:p>
    <w:p w:rsidR="009D7883" w:rsidRDefault="00AA63BB">
      <w:pPr>
        <w:spacing w:before="120" w:after="120" w:line="360" w:lineRule="auto"/>
        <w:ind w:left="1416" w:hanging="566"/>
        <w:rPr>
          <w:b/>
          <w:szCs w:val="24"/>
          <w:lang w:eastAsia="en-US"/>
        </w:rPr>
      </w:pPr>
      <w:r>
        <w:rPr>
          <w:szCs w:val="24"/>
          <w:lang w:eastAsia="en-US"/>
        </w:rPr>
        <w:t>iii)</w:t>
      </w:r>
      <w:r>
        <w:rPr>
          <w:szCs w:val="24"/>
          <w:lang w:eastAsia="en-US"/>
        </w:rPr>
        <w:tab/>
      </w:r>
      <w:proofErr w:type="spellStart"/>
      <w:r>
        <w:rPr>
          <w:strike/>
          <w:szCs w:val="24"/>
          <w:lang w:eastAsia="en-US"/>
        </w:rPr>
        <w:t>uskutočňovaním</w:t>
      </w:r>
      <w:r>
        <w:rPr>
          <w:b/>
          <w:i/>
          <w:szCs w:val="24"/>
          <w:lang w:eastAsia="en-US"/>
        </w:rPr>
        <w:t>vykonávaním</w:t>
      </w:r>
      <w:proofErr w:type="spellEnd"/>
      <w:r>
        <w:rPr>
          <w:szCs w:val="24"/>
          <w:lang w:eastAsia="en-US"/>
        </w:rPr>
        <w:t xml:space="preserve"> záberu pôdy spôsobom, </w:t>
      </w:r>
      <w:r>
        <w:rPr>
          <w:strike/>
          <w:szCs w:val="24"/>
          <w:lang w:eastAsia="en-US"/>
        </w:rPr>
        <w:t xml:space="preserve">ktorým sa minimalizuje negatívny vplyv na </w:t>
      </w:r>
      <w:proofErr w:type="spellStart"/>
      <w:r>
        <w:rPr>
          <w:strike/>
          <w:szCs w:val="24"/>
          <w:lang w:eastAsia="en-US"/>
        </w:rPr>
        <w:t>pôdu</w:t>
      </w:r>
      <w:r>
        <w:rPr>
          <w:b/>
          <w:i/>
          <w:szCs w:val="24"/>
          <w:lang w:eastAsia="en-US"/>
        </w:rPr>
        <w:t>ktorý</w:t>
      </w:r>
      <w:proofErr w:type="spellEnd"/>
      <w:r>
        <w:rPr>
          <w:b/>
          <w:i/>
          <w:szCs w:val="24"/>
          <w:lang w:eastAsia="en-US"/>
        </w:rPr>
        <w:t xml:space="preserve"> je v súlade s udržateľným rozvojom vrátane zachovania úrodnosti pôdy, biodiverzity, priepustnosti vody, filtrácie a zadržiavania v čo najväčšej m</w:t>
      </w:r>
      <w:r>
        <w:rPr>
          <w:b/>
          <w:i/>
          <w:szCs w:val="24"/>
          <w:lang w:eastAsia="en-US"/>
        </w:rPr>
        <w:t>ožnej miere</w:t>
      </w:r>
      <w:r>
        <w:rPr>
          <w:szCs w:val="24"/>
          <w:lang w:eastAsia="en-US"/>
        </w:rPr>
        <w:t>;</w:t>
      </w:r>
      <w:r>
        <w:rPr>
          <w:b/>
          <w:szCs w:val="24"/>
          <w:lang w:eastAsia="en-US"/>
        </w:rPr>
        <w:t xml:space="preserve"> [PN 131]</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b)</w:t>
      </w:r>
      <w:r>
        <w:rPr>
          <w:szCs w:val="24"/>
          <w:lang w:eastAsia="en-US"/>
        </w:rPr>
        <w:tab/>
        <w:t>čo najviac kompenzovať stratu schopnosti pôdy poskytovať rozmanité ekosystémové služby</w:t>
      </w:r>
      <w:r>
        <w:rPr>
          <w:b/>
          <w:i/>
          <w:szCs w:val="24"/>
          <w:lang w:eastAsia="en-US"/>
        </w:rPr>
        <w:t>, ak je to možné; takáto kompenzácia sa v prípade potreby môže uskutočniť na súhrnnej alebo cezhraničnej úrovni medzi členskými štátmi, ak má p</w:t>
      </w:r>
      <w:r>
        <w:rPr>
          <w:b/>
          <w:i/>
          <w:szCs w:val="24"/>
          <w:lang w:eastAsia="en-US"/>
        </w:rPr>
        <w:t>ôdny okrsok rovnaké vlastnosti ako priľahlý pôdny okrsok v susednom členskom štáte alebo cezhraničný pôdny okrsok</w:t>
      </w:r>
      <w:r>
        <w:rPr>
          <w:szCs w:val="24"/>
          <w:lang w:eastAsia="en-US"/>
        </w:rPr>
        <w:t>;</w:t>
      </w:r>
      <w:r>
        <w:rPr>
          <w:b/>
          <w:szCs w:val="24"/>
          <w:lang w:eastAsia="en-US"/>
        </w:rPr>
        <w:t xml:space="preserve"> [PN 132]</w:t>
      </w:r>
    </w:p>
    <w:p w:rsidR="009D7883" w:rsidRDefault="00AA63BB">
      <w:pPr>
        <w:spacing w:before="120" w:after="120" w:line="360" w:lineRule="auto"/>
        <w:ind w:left="850" w:hanging="850"/>
        <w:rPr>
          <w:b/>
          <w:szCs w:val="24"/>
          <w:lang w:eastAsia="en-US"/>
        </w:rPr>
      </w:pPr>
      <w:r>
        <w:rPr>
          <w:b/>
          <w:i/>
          <w:szCs w:val="24"/>
          <w:lang w:eastAsia="en-US"/>
        </w:rPr>
        <w:t>ba)</w:t>
      </w:r>
      <w:r>
        <w:rPr>
          <w:szCs w:val="24"/>
          <w:lang w:eastAsia="en-US"/>
        </w:rPr>
        <w:tab/>
      </w:r>
      <w:r>
        <w:rPr>
          <w:b/>
          <w:i/>
          <w:szCs w:val="24"/>
          <w:lang w:eastAsia="en-US"/>
        </w:rPr>
        <w:t>prijať opatrenia na zabezpečenie spravodlivej kompenzácie pre vlastníkov pôdy v prípade záberu pôdy;</w:t>
      </w:r>
      <w:r>
        <w:rPr>
          <w:b/>
          <w:szCs w:val="24"/>
          <w:lang w:eastAsia="en-US"/>
        </w:rPr>
        <w:t xml:space="preserve"> [PN 133]</w:t>
      </w:r>
    </w:p>
    <w:p w:rsidR="009D7883" w:rsidRDefault="00AA63BB">
      <w:pPr>
        <w:spacing w:before="120" w:after="120" w:line="360" w:lineRule="auto"/>
        <w:ind w:left="850" w:hanging="850"/>
        <w:rPr>
          <w:b/>
          <w:szCs w:val="24"/>
          <w:lang w:eastAsia="en-US"/>
        </w:rPr>
      </w:pPr>
      <w:proofErr w:type="spellStart"/>
      <w:r>
        <w:rPr>
          <w:b/>
          <w:i/>
          <w:szCs w:val="24"/>
          <w:lang w:eastAsia="en-US"/>
        </w:rPr>
        <w:t>bb</w:t>
      </w:r>
      <w:proofErr w:type="spellEnd"/>
      <w:r>
        <w:rPr>
          <w:b/>
          <w:i/>
          <w:szCs w:val="24"/>
          <w:lang w:eastAsia="en-US"/>
        </w:rPr>
        <w:t>)</w:t>
      </w:r>
      <w:r>
        <w:rPr>
          <w:szCs w:val="24"/>
          <w:lang w:eastAsia="en-US"/>
        </w:rPr>
        <w:tab/>
      </w:r>
      <w:r>
        <w:rPr>
          <w:b/>
          <w:i/>
          <w:szCs w:val="24"/>
          <w:lang w:eastAsia="en-US"/>
        </w:rPr>
        <w:t>zaviesť opatre</w:t>
      </w:r>
      <w:r>
        <w:rPr>
          <w:b/>
          <w:i/>
          <w:szCs w:val="24"/>
          <w:lang w:eastAsia="en-US"/>
        </w:rPr>
        <w:t>nia na prevenciu alebo obmedzenie záberu pôdy vrátane mapovania opustených priemyselných pozemkov a priemyselných lokalít a stimulov na obnovu a opätovné využívanie opustených oblastí s nepriepustnou pôdou.</w:t>
      </w:r>
      <w:r>
        <w:rPr>
          <w:b/>
          <w:szCs w:val="24"/>
          <w:lang w:eastAsia="en-US"/>
        </w:rPr>
        <w:t xml:space="preserve"> [PN 134]</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 xml:space="preserve">Kapitola IV </w:t>
      </w:r>
      <w:r>
        <w:rPr>
          <w:szCs w:val="24"/>
          <w:lang w:eastAsia="en-US"/>
        </w:rPr>
        <w:br/>
        <w:t>Kontaminované lokality</w:t>
      </w:r>
    </w:p>
    <w:p w:rsidR="009D7883" w:rsidRDefault="00AA63BB">
      <w:pPr>
        <w:spacing w:before="120" w:after="120" w:line="360" w:lineRule="auto"/>
        <w:jc w:val="center"/>
        <w:rPr>
          <w:szCs w:val="24"/>
          <w:lang w:eastAsia="en-US"/>
        </w:rPr>
      </w:pPr>
      <w:r>
        <w:rPr>
          <w:szCs w:val="24"/>
          <w:lang w:eastAsia="en-US"/>
        </w:rPr>
        <w:t>Článok 12</w:t>
      </w:r>
      <w:r>
        <w:rPr>
          <w:szCs w:val="24"/>
          <w:lang w:eastAsia="en-US"/>
        </w:rPr>
        <w:br/>
        <w:t>Prístup založený na riziku</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 xml:space="preserve">Členské štáty riadia </w:t>
      </w:r>
      <w:r>
        <w:rPr>
          <w:b/>
          <w:i/>
          <w:szCs w:val="24"/>
          <w:lang w:eastAsia="en-US"/>
        </w:rPr>
        <w:t>a znižujú</w:t>
      </w:r>
      <w:r>
        <w:rPr>
          <w:szCs w:val="24"/>
          <w:lang w:eastAsia="en-US"/>
        </w:rPr>
        <w:t xml:space="preserve"> riziká, ktoré potenciálne kontaminované lokality a kontaminované lokality predstavujú pre ľudské zdravie</w:t>
      </w:r>
      <w:r>
        <w:rPr>
          <w:b/>
          <w:i/>
          <w:szCs w:val="24"/>
          <w:lang w:eastAsia="en-US"/>
        </w:rPr>
        <w:t xml:space="preserve"> a zdravie zvierat</w:t>
      </w:r>
      <w:r>
        <w:rPr>
          <w:szCs w:val="24"/>
          <w:lang w:eastAsia="en-US"/>
        </w:rPr>
        <w:t xml:space="preserve"> a životné prostredie, a udržiavajú ich na prijateľnej úrovni</w:t>
      </w:r>
      <w:r>
        <w:rPr>
          <w:b/>
          <w:i/>
          <w:szCs w:val="24"/>
          <w:lang w:eastAsia="en-US"/>
        </w:rPr>
        <w:t xml:space="preserve"> vzhľadom na zamýšľané využitie pôdy</w:t>
      </w:r>
      <w:r>
        <w:rPr>
          <w:szCs w:val="24"/>
          <w:lang w:eastAsia="en-US"/>
        </w:rPr>
        <w:t>, pričom zohľadňujú environmentálne, sociálne a hospodárske vplyvy kontaminácie pôdy a opatrení na zníženie rizík prijatých v súlade s článkom 15 ods. 4.</w:t>
      </w:r>
      <w:r>
        <w:rPr>
          <w:b/>
          <w:szCs w:val="24"/>
          <w:lang w:eastAsia="en-US"/>
        </w:rPr>
        <w:t xml:space="preserve"> [PN 135]</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 xml:space="preserve">Členské štáty do … (Úrad pre publikácie: vložte dátum </w:t>
      </w:r>
      <w:r>
        <w:rPr>
          <w:szCs w:val="24"/>
          <w:lang w:eastAsia="en-US"/>
        </w:rPr>
        <w:t>= 4 roky po nadobudnutí účinnosti smernice) zavedú prístup založený na riziku, pokiaľ ide o:</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identifikáciu potenciálne kontaminovaných lokalít v súlade s článkom 13;</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prieskum potenciálne kontaminovaných lokalít v súlade s článkom 14;</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obhospodarova</w:t>
      </w:r>
      <w:r>
        <w:rPr>
          <w:szCs w:val="24"/>
          <w:lang w:eastAsia="en-US"/>
        </w:rPr>
        <w:t>nie kontaminovaných lokalít v súlade s článkom 15.</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3.</w:t>
      </w:r>
      <w:r>
        <w:rPr>
          <w:szCs w:val="24"/>
          <w:lang w:eastAsia="en-US"/>
        </w:rPr>
        <w:tab/>
        <w:t>Požiadavky stanovené v odseku 2 nijako neovplyvňujú prísnejšie požiadavky vyplývajúce z právnych predpisov Únie alebo vnútroštátnych právnych predpisov.</w:t>
      </w:r>
    </w:p>
    <w:p w:rsidR="009D7883" w:rsidRDefault="00AA63BB">
      <w:pPr>
        <w:spacing w:before="120" w:after="120" w:line="360" w:lineRule="auto"/>
        <w:ind w:left="850" w:hanging="850"/>
        <w:rPr>
          <w:b/>
          <w:szCs w:val="24"/>
          <w:lang w:eastAsia="en-US"/>
        </w:rPr>
      </w:pPr>
      <w:r>
        <w:rPr>
          <w:szCs w:val="24"/>
          <w:lang w:eastAsia="en-US"/>
        </w:rPr>
        <w:t>4.</w:t>
      </w:r>
      <w:r>
        <w:rPr>
          <w:szCs w:val="24"/>
          <w:lang w:eastAsia="en-US"/>
        </w:rPr>
        <w:tab/>
      </w:r>
      <w:r>
        <w:rPr>
          <w:strike/>
          <w:szCs w:val="24"/>
          <w:lang w:eastAsia="en-US"/>
        </w:rPr>
        <w:t xml:space="preserve">Dotknutá </w:t>
      </w:r>
      <w:r>
        <w:rPr>
          <w:szCs w:val="24"/>
          <w:lang w:eastAsia="en-US"/>
        </w:rPr>
        <w:t>Verejnosť by mala dostať včasné a ú</w:t>
      </w:r>
      <w:r>
        <w:rPr>
          <w:szCs w:val="24"/>
          <w:lang w:eastAsia="en-US"/>
        </w:rPr>
        <w:t>činné príležitosti na:</w:t>
      </w:r>
      <w:r>
        <w:rPr>
          <w:b/>
          <w:szCs w:val="24"/>
          <w:lang w:eastAsia="en-US"/>
        </w:rPr>
        <w:t xml:space="preserve"> [PN 136]</w:t>
      </w:r>
    </w:p>
    <w:p w:rsidR="009D7883" w:rsidRDefault="00AA63BB">
      <w:pPr>
        <w:spacing w:before="120" w:after="120" w:line="360" w:lineRule="auto"/>
        <w:ind w:left="1416" w:hanging="566"/>
        <w:rPr>
          <w:b/>
          <w:szCs w:val="24"/>
          <w:lang w:eastAsia="en-US"/>
        </w:rPr>
      </w:pPr>
      <w:r>
        <w:rPr>
          <w:szCs w:val="24"/>
          <w:lang w:eastAsia="en-US"/>
        </w:rPr>
        <w:t>a)</w:t>
      </w:r>
      <w:r>
        <w:rPr>
          <w:szCs w:val="24"/>
          <w:lang w:eastAsia="en-US"/>
        </w:rPr>
        <w:tab/>
        <w:t>účasť na vytvorení a konkrétnom uplatňovaní prístupu založeného na riziku, ako sa vymedzuje v tomto článku</w:t>
      </w:r>
      <w:r>
        <w:rPr>
          <w:b/>
          <w:i/>
          <w:szCs w:val="24"/>
          <w:lang w:eastAsia="en-US"/>
        </w:rPr>
        <w:t xml:space="preserve">, identifikácii potenciálne kontaminovaných lokalít podľa článku 13, prieskume potenciálne kontaminovaných lokalít </w:t>
      </w:r>
      <w:r>
        <w:rPr>
          <w:b/>
          <w:i/>
          <w:szCs w:val="24"/>
          <w:lang w:eastAsia="en-US"/>
        </w:rPr>
        <w:t>v súlade s článkom 14 a posúdení a obhospodarovaní kontaminovaných lokalít v zmysle článku 15, keď sú ešte dostupné všetky možnosti</w:t>
      </w:r>
      <w:r>
        <w:rPr>
          <w:szCs w:val="24"/>
          <w:lang w:eastAsia="en-US"/>
        </w:rPr>
        <w:t>;</w:t>
      </w:r>
      <w:r>
        <w:rPr>
          <w:b/>
          <w:szCs w:val="24"/>
          <w:lang w:eastAsia="en-US"/>
        </w:rPr>
        <w:t xml:space="preserve"> [PN 137]</w:t>
      </w:r>
    </w:p>
    <w:p w:rsidR="009D7883" w:rsidRDefault="00AA63BB">
      <w:pPr>
        <w:spacing w:before="120" w:after="120" w:line="360" w:lineRule="auto"/>
        <w:ind w:left="1416" w:hanging="566"/>
        <w:rPr>
          <w:b/>
          <w:szCs w:val="24"/>
          <w:lang w:eastAsia="en-US"/>
        </w:rPr>
      </w:pPr>
      <w:r>
        <w:rPr>
          <w:szCs w:val="24"/>
          <w:lang w:eastAsia="en-US"/>
        </w:rPr>
        <w:t>b)</w:t>
      </w:r>
      <w:r>
        <w:rPr>
          <w:szCs w:val="24"/>
          <w:lang w:eastAsia="en-US"/>
        </w:rPr>
        <w:tab/>
        <w:t xml:space="preserve">poskytnutie informácií </w:t>
      </w:r>
      <w:r>
        <w:rPr>
          <w:b/>
          <w:i/>
          <w:szCs w:val="24"/>
          <w:lang w:eastAsia="en-US"/>
        </w:rPr>
        <w:t xml:space="preserve">a dôkazov </w:t>
      </w:r>
      <w:r>
        <w:rPr>
          <w:szCs w:val="24"/>
          <w:lang w:eastAsia="en-US"/>
        </w:rPr>
        <w:t xml:space="preserve">relevantných </w:t>
      </w:r>
      <w:r>
        <w:rPr>
          <w:strike/>
          <w:szCs w:val="24"/>
          <w:lang w:eastAsia="en-US"/>
        </w:rPr>
        <w:t>pre identifikáciu potenciálne kontaminovaných lokalít podľa článk</w:t>
      </w:r>
      <w:r>
        <w:rPr>
          <w:strike/>
          <w:szCs w:val="24"/>
          <w:lang w:eastAsia="en-US"/>
        </w:rPr>
        <w:t>u 13, prieskum potenciálne kontaminovaných lokalít v súlade s článkom 14 a obhospodarovanie kontaminovaných lokalít v zmysle článku 15</w:t>
      </w:r>
      <w:r>
        <w:rPr>
          <w:b/>
          <w:i/>
          <w:szCs w:val="24"/>
          <w:lang w:eastAsia="en-US"/>
        </w:rPr>
        <w:t xml:space="preserve">činnosti uvedené v písmene a) v ktoromkoľvek čase, ako je napríklad </w:t>
      </w:r>
      <w:proofErr w:type="spellStart"/>
      <w:r>
        <w:rPr>
          <w:b/>
          <w:i/>
          <w:szCs w:val="24"/>
          <w:lang w:eastAsia="en-US"/>
        </w:rPr>
        <w:t>biomonitorovanie</w:t>
      </w:r>
      <w:proofErr w:type="spellEnd"/>
      <w:r>
        <w:rPr>
          <w:b/>
          <w:i/>
          <w:szCs w:val="24"/>
          <w:lang w:eastAsia="en-US"/>
        </w:rPr>
        <w:t xml:space="preserve"> ľudí alebo údaje z monitorovania živo</w:t>
      </w:r>
      <w:r>
        <w:rPr>
          <w:b/>
          <w:i/>
          <w:szCs w:val="24"/>
          <w:lang w:eastAsia="en-US"/>
        </w:rPr>
        <w:t>tného prostredia</w:t>
      </w:r>
      <w:r>
        <w:rPr>
          <w:szCs w:val="24"/>
          <w:lang w:eastAsia="en-US"/>
        </w:rPr>
        <w:t>;</w:t>
      </w:r>
      <w:r>
        <w:rPr>
          <w:b/>
          <w:szCs w:val="24"/>
          <w:lang w:eastAsia="en-US"/>
        </w:rPr>
        <w:t xml:space="preserve"> [PN 138]</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podanie žiadosti o opravu informácií v registri kontaminovaných lokalít a potenciálne kontaminovaných lokalít v súlade s článkom 16.</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4a.</w:t>
      </w:r>
      <w:r>
        <w:rPr>
          <w:szCs w:val="24"/>
          <w:lang w:eastAsia="en-US"/>
        </w:rPr>
        <w:tab/>
      </w:r>
      <w:r>
        <w:rPr>
          <w:b/>
          <w:i/>
          <w:szCs w:val="24"/>
          <w:lang w:eastAsia="en-US"/>
        </w:rPr>
        <w:t>Členské štáty na účely odseku 4 zabezpečia, aby verejnosť bola včas, primerane a účinne</w:t>
      </w:r>
      <w:r>
        <w:rPr>
          <w:b/>
          <w:i/>
          <w:szCs w:val="24"/>
          <w:lang w:eastAsia="en-US"/>
        </w:rPr>
        <w:t xml:space="preserve"> informovaná o všetkých relevantných informáciách, a to aj prostredníctvom verejných oznamov a elektronických médií.</w:t>
      </w:r>
      <w:r>
        <w:rPr>
          <w:b/>
          <w:szCs w:val="24"/>
          <w:lang w:eastAsia="en-US"/>
        </w:rPr>
        <w:t xml:space="preserve"> [PN 139]</w:t>
      </w:r>
    </w:p>
    <w:p w:rsidR="009D7883" w:rsidRDefault="00AA63BB">
      <w:pPr>
        <w:spacing w:before="120" w:after="120" w:line="360" w:lineRule="auto"/>
        <w:ind w:left="850" w:hanging="850"/>
        <w:rPr>
          <w:b/>
          <w:szCs w:val="24"/>
          <w:lang w:eastAsia="en-US"/>
        </w:rPr>
      </w:pPr>
      <w:r>
        <w:rPr>
          <w:b/>
          <w:i/>
          <w:szCs w:val="24"/>
          <w:lang w:eastAsia="en-US"/>
        </w:rPr>
        <w:t>4b.</w:t>
      </w:r>
      <w:r>
        <w:rPr>
          <w:szCs w:val="24"/>
          <w:lang w:eastAsia="en-US"/>
        </w:rPr>
        <w:tab/>
      </w:r>
      <w:r>
        <w:rPr>
          <w:b/>
          <w:i/>
          <w:szCs w:val="24"/>
          <w:lang w:eastAsia="en-US"/>
        </w:rPr>
        <w:t>Členské štáty náležite zohľadnia informácie predložené v súlade s odsekom 4 pri vykonávaní ustanovení tejto kapitoly a v súvis</w:t>
      </w:r>
      <w:r>
        <w:rPr>
          <w:b/>
          <w:i/>
          <w:szCs w:val="24"/>
          <w:lang w:eastAsia="en-US"/>
        </w:rPr>
        <w:t xml:space="preserve">losti s pôdnymi </w:t>
      </w:r>
      <w:proofErr w:type="spellStart"/>
      <w:r>
        <w:rPr>
          <w:b/>
          <w:i/>
          <w:szCs w:val="24"/>
          <w:lang w:eastAsia="en-US"/>
        </w:rPr>
        <w:t>deskriptormi</w:t>
      </w:r>
      <w:proofErr w:type="spellEnd"/>
      <w:r>
        <w:rPr>
          <w:b/>
          <w:i/>
          <w:szCs w:val="24"/>
          <w:lang w:eastAsia="en-US"/>
        </w:rPr>
        <w:t xml:space="preserve"> pre kontamináciu pôdy uvedenými v prílohe I.</w:t>
      </w:r>
      <w:r>
        <w:rPr>
          <w:b/>
          <w:szCs w:val="24"/>
          <w:lang w:eastAsia="en-US"/>
        </w:rPr>
        <w:t xml:space="preserve"> [PN 140]</w:t>
      </w:r>
    </w:p>
    <w:p w:rsidR="009D7883" w:rsidRDefault="00AA63BB">
      <w:pPr>
        <w:spacing w:before="120" w:after="120" w:line="360" w:lineRule="auto"/>
        <w:ind w:left="850" w:hanging="850"/>
        <w:rPr>
          <w:b/>
          <w:szCs w:val="24"/>
          <w:lang w:eastAsia="en-US"/>
        </w:rPr>
      </w:pPr>
      <w:r>
        <w:rPr>
          <w:b/>
          <w:i/>
          <w:szCs w:val="24"/>
          <w:lang w:eastAsia="en-US"/>
        </w:rPr>
        <w:t>4c.</w:t>
      </w:r>
      <w:r>
        <w:rPr>
          <w:szCs w:val="24"/>
          <w:lang w:eastAsia="en-US"/>
        </w:rPr>
        <w:tab/>
      </w:r>
      <w:r>
        <w:rPr>
          <w:b/>
          <w:i/>
          <w:szCs w:val="24"/>
          <w:lang w:eastAsia="en-US"/>
        </w:rPr>
        <w:t>Ak dôkazy preukážu rozsiahle rozptýlené znečistenie pôdy alebo expozíciu látke alebo zmesi cez pôdu, príslušný orgán začne postup riadenia rizika. Ak dôkazy preukážu ned</w:t>
      </w:r>
      <w:r>
        <w:rPr>
          <w:b/>
          <w:i/>
          <w:szCs w:val="24"/>
          <w:lang w:eastAsia="en-US"/>
        </w:rPr>
        <w:t xml:space="preserve">ostatok informácií o rizikách pre zdravie ľudí alebo zdravie zvierat, alebo životné prostredie, ktoré predstavuje nebezpečná látka alebo zmes prítomná v pôde, príslušný orgán pokračuje vo vyšetrovaní s cieľom prijať v prípade potreby opatrenia na riadenie </w:t>
      </w:r>
      <w:r>
        <w:rPr>
          <w:b/>
          <w:i/>
          <w:szCs w:val="24"/>
          <w:lang w:eastAsia="en-US"/>
        </w:rPr>
        <w:t>rizika v súlade so zásadou predbežnej opatrnosti.</w:t>
      </w:r>
      <w:r>
        <w:rPr>
          <w:b/>
          <w:szCs w:val="24"/>
          <w:lang w:eastAsia="en-US"/>
        </w:rPr>
        <w:t xml:space="preserve"> [PN 141]</w:t>
      </w:r>
    </w:p>
    <w:p w:rsidR="009D7883" w:rsidRDefault="00AA63BB">
      <w:pPr>
        <w:spacing w:before="120" w:after="120" w:line="360" w:lineRule="auto"/>
        <w:ind w:left="850" w:hanging="850"/>
        <w:rPr>
          <w:b/>
          <w:szCs w:val="24"/>
          <w:lang w:eastAsia="en-US"/>
        </w:rPr>
      </w:pPr>
      <w:r>
        <w:rPr>
          <w:b/>
          <w:i/>
          <w:szCs w:val="24"/>
          <w:lang w:eastAsia="en-US"/>
        </w:rPr>
        <w:t>4d.</w:t>
      </w:r>
      <w:r>
        <w:rPr>
          <w:szCs w:val="24"/>
          <w:lang w:eastAsia="en-US"/>
        </w:rPr>
        <w:tab/>
      </w:r>
      <w:r>
        <w:rPr>
          <w:b/>
          <w:i/>
          <w:szCs w:val="24"/>
          <w:lang w:eastAsia="en-US"/>
        </w:rPr>
        <w:t>Členské štáty bezodkladne informujú verejnosť o každom rozhodnutí alebo opatrení prijatom podľa odsekov 4 a 4c a o dôvodoch a úvahách, na ktorých je rozhodnutie alebo opatrenie založené, vrátan</w:t>
      </w:r>
      <w:r>
        <w:rPr>
          <w:b/>
          <w:i/>
          <w:szCs w:val="24"/>
          <w:lang w:eastAsia="en-US"/>
        </w:rPr>
        <w:t>e vysvetlenia, ako sa na informáciu prihliadlo.</w:t>
      </w:r>
      <w:r>
        <w:rPr>
          <w:b/>
          <w:szCs w:val="24"/>
          <w:lang w:eastAsia="en-US"/>
        </w:rPr>
        <w:t xml:space="preserve"> [PN 142]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13</w:t>
      </w:r>
      <w:r>
        <w:rPr>
          <w:szCs w:val="24"/>
          <w:lang w:eastAsia="en-US"/>
        </w:rPr>
        <w:br/>
        <w:t>Identifikácia potenciálne kontaminovaných lokalít</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Členské štáty systematicky a aktívne identifikujú všetky lokality, v ktorých existuje podozrenie na kontamináciu pôdy na základe dôkaz</w:t>
      </w:r>
      <w:r>
        <w:rPr>
          <w:szCs w:val="24"/>
          <w:lang w:eastAsia="en-US"/>
        </w:rPr>
        <w:t xml:space="preserve">ov získaných </w:t>
      </w:r>
      <w:r>
        <w:rPr>
          <w:strike/>
          <w:szCs w:val="24"/>
          <w:lang w:eastAsia="en-US"/>
        </w:rPr>
        <w:t xml:space="preserve">zo všetkých dostupných </w:t>
      </w:r>
      <w:proofErr w:type="spellStart"/>
      <w:r>
        <w:rPr>
          <w:strike/>
          <w:szCs w:val="24"/>
          <w:lang w:eastAsia="en-US"/>
        </w:rPr>
        <w:t>zdrojov</w:t>
      </w:r>
      <w:r>
        <w:rPr>
          <w:b/>
          <w:i/>
          <w:szCs w:val="24"/>
          <w:lang w:eastAsia="en-US"/>
        </w:rPr>
        <w:t>všetkými</w:t>
      </w:r>
      <w:proofErr w:type="spellEnd"/>
      <w:r>
        <w:rPr>
          <w:b/>
          <w:i/>
          <w:szCs w:val="24"/>
          <w:lang w:eastAsia="en-US"/>
        </w:rPr>
        <w:t xml:space="preserve"> vhodnými prostriedkami vrátane príspevkov občanov a stanovených postupov</w:t>
      </w:r>
      <w:r>
        <w:rPr>
          <w:szCs w:val="24"/>
          <w:lang w:eastAsia="en-US"/>
        </w:rPr>
        <w:t xml:space="preserve"> (ďalej len „potenciálne kontaminované lokality“).</w:t>
      </w:r>
      <w:r>
        <w:rPr>
          <w:b/>
          <w:szCs w:val="24"/>
          <w:lang w:eastAsia="en-US"/>
        </w:rPr>
        <w:t xml:space="preserve"> [PN 143]</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Pri identifikácií potenciálne kontaminovaných lokalít musia členské š</w:t>
      </w:r>
      <w:r>
        <w:rPr>
          <w:szCs w:val="24"/>
          <w:lang w:eastAsia="en-US"/>
        </w:rPr>
        <w:t>táty zohľadniť tieto kritériá:</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prevádzkovanie aktívnej alebo neaktívnej rizikovej činnosti, ktorá je potenciálne kontaminujúca;</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prevádzkovanie činnosti uvedenej v prílohe I k smernici 2010/75/EÚ;</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t xml:space="preserve">prevádzkovanie podniku, na ktorý sa odkazuje v </w:t>
      </w:r>
      <w:r>
        <w:rPr>
          <w:szCs w:val="24"/>
          <w:lang w:eastAsia="en-US"/>
        </w:rPr>
        <w:t>smernici Európskeho parlamentu a Rady 2012/18/EÚ</w:t>
      </w:r>
      <w:r>
        <w:rPr>
          <w:szCs w:val="24"/>
          <w:vertAlign w:val="superscript"/>
          <w:lang w:eastAsia="en-US"/>
        </w:rPr>
        <w:footnoteReference w:id="51"/>
      </w:r>
      <w:r>
        <w:rPr>
          <w:szCs w:val="24"/>
          <w:lang w:eastAsia="en-US"/>
        </w:rPr>
        <w:t>;</w:t>
      </w:r>
    </w:p>
    <w:p w:rsidR="009D7883" w:rsidRDefault="00AA63BB">
      <w:pPr>
        <w:spacing w:before="120" w:after="120" w:line="360" w:lineRule="auto"/>
        <w:ind w:left="1416" w:hanging="566"/>
        <w:rPr>
          <w:b/>
          <w:szCs w:val="24"/>
          <w:lang w:eastAsia="en-US"/>
        </w:rPr>
      </w:pPr>
      <w:r>
        <w:rPr>
          <w:strike/>
          <w:szCs w:val="24"/>
          <w:lang w:eastAsia="en-US"/>
        </w:rPr>
        <w:t>d)</w:t>
      </w:r>
      <w:r>
        <w:rPr>
          <w:szCs w:val="24"/>
          <w:lang w:eastAsia="en-US"/>
        </w:rPr>
        <w:tab/>
      </w:r>
      <w:r>
        <w:rPr>
          <w:strike/>
          <w:szCs w:val="24"/>
          <w:lang w:eastAsia="en-US"/>
        </w:rPr>
        <w:t>prevádzkovanie činnosti uvedenej v prílohe III k smernici Európskeho parlamentu a Rady 2004/35/ES</w:t>
      </w:r>
      <w:r>
        <w:rPr>
          <w:strike/>
          <w:szCs w:val="24"/>
          <w:vertAlign w:val="superscript"/>
          <w:lang w:eastAsia="en-US"/>
        </w:rPr>
        <w:footnoteReference w:id="52"/>
      </w:r>
      <w:r>
        <w:rPr>
          <w:strike/>
          <w:szCs w:val="24"/>
          <w:lang w:eastAsia="en-US"/>
        </w:rPr>
        <w:t>;</w:t>
      </w:r>
      <w:r>
        <w:rPr>
          <w:b/>
          <w:szCs w:val="24"/>
          <w:lang w:eastAsia="en-US"/>
        </w:rPr>
        <w:t xml:space="preserve"> [PN 144]</w:t>
      </w:r>
    </w:p>
    <w:p w:rsidR="009D7883" w:rsidRDefault="00AA63BB">
      <w:pPr>
        <w:spacing w:before="120" w:after="120" w:line="360" w:lineRule="auto"/>
        <w:ind w:left="1416" w:hanging="566"/>
        <w:rPr>
          <w:szCs w:val="24"/>
          <w:lang w:eastAsia="en-US"/>
        </w:rPr>
      </w:pPr>
      <w:r>
        <w:rPr>
          <w:szCs w:val="24"/>
          <w:lang w:eastAsia="en-US"/>
        </w:rPr>
        <w:t>e)</w:t>
      </w:r>
      <w:r>
        <w:rPr>
          <w:szCs w:val="24"/>
          <w:lang w:eastAsia="en-US"/>
        </w:rPr>
        <w:tab/>
        <w:t>výskyt potenciálne kontaminujúcej havárie, pohromy, katastrofy, udalosti alebo úniku;</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1416" w:hanging="566"/>
        <w:rPr>
          <w:szCs w:val="24"/>
          <w:lang w:eastAsia="en-US"/>
        </w:rPr>
      </w:pPr>
      <w:r>
        <w:rPr>
          <w:szCs w:val="24"/>
          <w:lang w:eastAsia="en-US"/>
        </w:rPr>
        <w:lastRenderedPageBreak/>
        <w:t>f)</w:t>
      </w:r>
      <w:r>
        <w:rPr>
          <w:szCs w:val="24"/>
          <w:lang w:eastAsia="en-US"/>
        </w:rPr>
        <w:tab/>
        <w:t>akékoľvek iné udalosti, ktorých vplyvom môže dôjsť ku kontaminácii pôdy;</w:t>
      </w:r>
    </w:p>
    <w:p w:rsidR="009D7883" w:rsidRDefault="00AA63BB">
      <w:pPr>
        <w:spacing w:before="120" w:after="120" w:line="360" w:lineRule="auto"/>
        <w:ind w:left="1416" w:hanging="566"/>
        <w:rPr>
          <w:b/>
          <w:szCs w:val="24"/>
          <w:lang w:eastAsia="en-US"/>
        </w:rPr>
      </w:pPr>
      <w:r>
        <w:rPr>
          <w:b/>
          <w:i/>
          <w:szCs w:val="24"/>
          <w:lang w:eastAsia="en-US"/>
        </w:rPr>
        <w:t>fa)</w:t>
      </w:r>
      <w:r>
        <w:rPr>
          <w:szCs w:val="24"/>
          <w:lang w:eastAsia="en-US"/>
        </w:rPr>
        <w:tab/>
      </w:r>
      <w:r>
        <w:rPr>
          <w:b/>
          <w:i/>
          <w:szCs w:val="24"/>
          <w:lang w:eastAsia="en-US"/>
        </w:rPr>
        <w:t>akékoľvek oblasti využívané na odber pitnej vody;</w:t>
      </w:r>
      <w:r>
        <w:rPr>
          <w:b/>
          <w:szCs w:val="24"/>
          <w:lang w:eastAsia="en-US"/>
        </w:rPr>
        <w:t xml:space="preserve"> [PN 145]</w:t>
      </w:r>
    </w:p>
    <w:p w:rsidR="009D7883" w:rsidRDefault="00AA63BB">
      <w:pPr>
        <w:spacing w:before="120" w:after="120" w:line="360" w:lineRule="auto"/>
        <w:ind w:left="1416" w:hanging="566"/>
        <w:rPr>
          <w:szCs w:val="24"/>
          <w:lang w:eastAsia="en-US"/>
        </w:rPr>
      </w:pPr>
      <w:r>
        <w:rPr>
          <w:szCs w:val="24"/>
          <w:lang w:eastAsia="en-US"/>
        </w:rPr>
        <w:t>g)</w:t>
      </w:r>
      <w:r>
        <w:rPr>
          <w:szCs w:val="24"/>
          <w:lang w:eastAsia="en-US"/>
        </w:rPr>
        <w:tab/>
        <w:t>všetky informácie vyplývajúce z monitorovania zdravia pôdy, ktoré sa uskutočnilo v súlade s článkami 6, 7 a 8.</w:t>
      </w:r>
    </w:p>
    <w:p w:rsidR="009D7883" w:rsidRDefault="00AA63BB">
      <w:pPr>
        <w:spacing w:before="120" w:after="120" w:line="360" w:lineRule="auto"/>
        <w:ind w:left="1416" w:hanging="566"/>
        <w:rPr>
          <w:b/>
          <w:szCs w:val="24"/>
          <w:lang w:eastAsia="en-US"/>
        </w:rPr>
      </w:pPr>
      <w:r>
        <w:rPr>
          <w:b/>
          <w:i/>
          <w:szCs w:val="24"/>
          <w:lang w:eastAsia="en-US"/>
        </w:rPr>
        <w:t>ga)</w:t>
      </w:r>
      <w:r>
        <w:rPr>
          <w:szCs w:val="24"/>
          <w:lang w:eastAsia="en-US"/>
        </w:rPr>
        <w:tab/>
      </w:r>
      <w:r>
        <w:rPr>
          <w:b/>
          <w:i/>
          <w:szCs w:val="24"/>
          <w:lang w:eastAsia="en-US"/>
        </w:rPr>
        <w:t>v</w:t>
      </w:r>
      <w:r>
        <w:rPr>
          <w:b/>
          <w:i/>
          <w:szCs w:val="24"/>
          <w:lang w:eastAsia="en-US"/>
        </w:rPr>
        <w:t>ýskyt akejkoľvek choroby, o ktorej sa predpokladá, že súvisí s expozíciou kontaminácii cez pôdu;</w:t>
      </w:r>
      <w:r>
        <w:rPr>
          <w:b/>
          <w:szCs w:val="24"/>
          <w:lang w:eastAsia="en-US"/>
        </w:rPr>
        <w:t xml:space="preserve"> [PN 146]</w:t>
      </w:r>
    </w:p>
    <w:p w:rsidR="009D7883" w:rsidRDefault="00AA63BB">
      <w:pPr>
        <w:spacing w:before="120" w:after="120" w:line="360" w:lineRule="auto"/>
        <w:ind w:left="1416" w:hanging="566"/>
        <w:rPr>
          <w:b/>
          <w:szCs w:val="24"/>
          <w:lang w:eastAsia="en-US"/>
        </w:rPr>
      </w:pPr>
      <w:proofErr w:type="spellStart"/>
      <w:r>
        <w:rPr>
          <w:b/>
          <w:i/>
          <w:szCs w:val="24"/>
          <w:lang w:eastAsia="en-US"/>
        </w:rPr>
        <w:t>gb</w:t>
      </w:r>
      <w:proofErr w:type="spellEnd"/>
      <w:r>
        <w:rPr>
          <w:b/>
          <w:i/>
          <w:szCs w:val="24"/>
          <w:lang w:eastAsia="en-US"/>
        </w:rPr>
        <w:t>)</w:t>
      </w:r>
      <w:r>
        <w:rPr>
          <w:szCs w:val="24"/>
          <w:lang w:eastAsia="en-US"/>
        </w:rPr>
        <w:tab/>
      </w:r>
      <w:r>
        <w:rPr>
          <w:b/>
          <w:i/>
          <w:szCs w:val="24"/>
          <w:lang w:eastAsia="en-US"/>
        </w:rPr>
        <w:t>všetky informácie poskytnuté verejnosťou alebo orgánmi členských štátov.</w:t>
      </w:r>
      <w:r>
        <w:rPr>
          <w:b/>
          <w:szCs w:val="24"/>
          <w:lang w:eastAsia="en-US"/>
        </w:rPr>
        <w:t xml:space="preserve"> [PN 147]</w:t>
      </w:r>
    </w:p>
    <w:p w:rsidR="009D7883" w:rsidRDefault="00AA63BB">
      <w:pPr>
        <w:spacing w:before="120" w:after="120" w:line="360" w:lineRule="auto"/>
        <w:ind w:left="850"/>
        <w:rPr>
          <w:szCs w:val="24"/>
          <w:lang w:eastAsia="en-US"/>
        </w:rPr>
      </w:pPr>
      <w:r>
        <w:rPr>
          <w:szCs w:val="24"/>
          <w:lang w:eastAsia="en-US"/>
        </w:rPr>
        <w:t xml:space="preserve">Na účely prvého </w:t>
      </w:r>
      <w:proofErr w:type="spellStart"/>
      <w:r>
        <w:rPr>
          <w:szCs w:val="24"/>
          <w:lang w:eastAsia="en-US"/>
        </w:rPr>
        <w:t>pododseku</w:t>
      </w:r>
      <w:proofErr w:type="spellEnd"/>
      <w:r>
        <w:rPr>
          <w:szCs w:val="24"/>
          <w:lang w:eastAsia="en-US"/>
        </w:rPr>
        <w:t xml:space="preserve"> písm. a) členské štáty vypracujú zozna</w:t>
      </w:r>
      <w:r>
        <w:rPr>
          <w:szCs w:val="24"/>
          <w:lang w:eastAsia="en-US"/>
        </w:rPr>
        <w:t>m potenciálne kontaminujúcich rizikových činností. Takéto činnosti možno následne klasifikovať podľa rizika kontaminácie pôdy na základe vedeckých dôkazov.</w:t>
      </w:r>
    </w:p>
    <w:p w:rsidR="009D7883" w:rsidRDefault="00AA63BB">
      <w:pPr>
        <w:spacing w:before="120" w:after="120" w:line="360" w:lineRule="auto"/>
        <w:ind w:left="850" w:hanging="850"/>
        <w:rPr>
          <w:szCs w:val="24"/>
          <w:lang w:eastAsia="en-US"/>
        </w:rPr>
      </w:pPr>
      <w:r>
        <w:rPr>
          <w:szCs w:val="24"/>
          <w:lang w:eastAsia="en-US"/>
        </w:rPr>
        <w:t>3.</w:t>
      </w:r>
      <w:r>
        <w:rPr>
          <w:szCs w:val="24"/>
          <w:lang w:eastAsia="en-US"/>
        </w:rPr>
        <w:tab/>
        <w:t>Členské štáty zabezpečia, aby všetky potenciálne kontaminované lokality boli identifikované do (Ú</w:t>
      </w:r>
      <w:r>
        <w:rPr>
          <w:szCs w:val="24"/>
          <w:lang w:eastAsia="en-US"/>
        </w:rPr>
        <w:t>rad pre publikácie: vložte dátum = 7 rokov po nadobudnutí účinnosti smernice) a aby boli do toho istého dátumu riadne zaznamenané do registra uvedeného v článku 16.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14</w:t>
      </w:r>
      <w:r>
        <w:rPr>
          <w:szCs w:val="24"/>
          <w:lang w:eastAsia="en-US"/>
        </w:rPr>
        <w:br/>
        <w:t>Prieskum potenciálne kontaminovaných lokalít</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Členské štáty zabezpečia, aby v</w:t>
      </w:r>
      <w:r>
        <w:rPr>
          <w:szCs w:val="24"/>
          <w:lang w:eastAsia="en-US"/>
        </w:rPr>
        <w:t>šetky potenciálne kontaminované lokality identifikované podľa článku 13 podliehali prieskumu pôdy</w:t>
      </w:r>
      <w:r>
        <w:rPr>
          <w:b/>
          <w:i/>
          <w:szCs w:val="24"/>
          <w:lang w:eastAsia="en-US"/>
        </w:rPr>
        <w:t>, a to v poradí podľa priority</w:t>
      </w:r>
      <w:r>
        <w:rPr>
          <w:szCs w:val="24"/>
          <w:lang w:eastAsia="en-US"/>
        </w:rPr>
        <w:t>.</w:t>
      </w:r>
      <w:r>
        <w:rPr>
          <w:b/>
          <w:szCs w:val="24"/>
          <w:lang w:eastAsia="en-US"/>
        </w:rPr>
        <w:t xml:space="preserve"> [PN 148]</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 xml:space="preserve">Členské štáty stanovia pravidlá týkajúce sa lehoty, obsahu, formy a </w:t>
      </w:r>
      <w:proofErr w:type="spellStart"/>
      <w:r>
        <w:rPr>
          <w:szCs w:val="24"/>
          <w:lang w:eastAsia="en-US"/>
        </w:rPr>
        <w:t>priorizácie</w:t>
      </w:r>
      <w:proofErr w:type="spellEnd"/>
      <w:r>
        <w:rPr>
          <w:szCs w:val="24"/>
          <w:lang w:eastAsia="en-US"/>
        </w:rPr>
        <w:t xml:space="preserve"> prieskumov pôdy</w:t>
      </w:r>
      <w:r>
        <w:rPr>
          <w:b/>
          <w:i/>
          <w:szCs w:val="24"/>
          <w:lang w:eastAsia="en-US"/>
        </w:rPr>
        <w:t>, pričom zohľadnia e</w:t>
      </w:r>
      <w:r>
        <w:rPr>
          <w:b/>
          <w:i/>
          <w:szCs w:val="24"/>
          <w:lang w:eastAsia="en-US"/>
        </w:rPr>
        <w:t>nvironmentálne, sociálne a hospodárske aspekty</w:t>
      </w:r>
      <w:r>
        <w:rPr>
          <w:szCs w:val="24"/>
          <w:lang w:eastAsia="en-US"/>
        </w:rPr>
        <w:t>. Tieto pravidlá sa zavedú pri dodržaní prístupu založeného na riziku, ktorý sa opisuje v článku 12, a v súlade so zoznamom potenciálne kontaminujúcich rizikových činností, na ktoré sa odkazuje v článku 13 ods.</w:t>
      </w:r>
      <w:r>
        <w:rPr>
          <w:szCs w:val="24"/>
          <w:lang w:eastAsia="en-US"/>
        </w:rPr>
        <w:t xml:space="preserve"> 2 druhom </w:t>
      </w:r>
      <w:proofErr w:type="spellStart"/>
      <w:r>
        <w:rPr>
          <w:szCs w:val="24"/>
          <w:lang w:eastAsia="en-US"/>
        </w:rPr>
        <w:t>pododseku</w:t>
      </w:r>
      <w:proofErr w:type="spellEnd"/>
      <w:r>
        <w:rPr>
          <w:szCs w:val="24"/>
          <w:lang w:eastAsia="en-US"/>
        </w:rPr>
        <w:t>.</w:t>
      </w:r>
      <w:r>
        <w:rPr>
          <w:b/>
          <w:szCs w:val="24"/>
          <w:lang w:eastAsia="en-US"/>
        </w:rPr>
        <w:t xml:space="preserve"> [PN 149]</w:t>
      </w:r>
    </w:p>
    <w:p w:rsidR="009D7883" w:rsidRDefault="00AA63BB">
      <w:pPr>
        <w:spacing w:before="120" w:after="120" w:line="360" w:lineRule="auto"/>
        <w:ind w:left="850"/>
        <w:rPr>
          <w:b/>
          <w:szCs w:val="24"/>
          <w:lang w:eastAsia="en-US"/>
        </w:rPr>
      </w:pPr>
      <w:r>
        <w:rPr>
          <w:b/>
          <w:i/>
          <w:szCs w:val="24"/>
          <w:lang w:eastAsia="en-US"/>
        </w:rPr>
        <w:t>Potenciálne kontaminované lokality nachádzajúce sa v oblastiach využívaných na odber vody určenej na ľudskú spotrebu sa pri prieskume pôdy uprednostnia.</w:t>
      </w:r>
      <w:r>
        <w:rPr>
          <w:b/>
          <w:szCs w:val="24"/>
          <w:lang w:eastAsia="en-US"/>
        </w:rPr>
        <w:t xml:space="preserve"> [PN 150]</w:t>
      </w:r>
    </w:p>
    <w:p w:rsidR="009D7883" w:rsidRDefault="00AA63BB">
      <w:pPr>
        <w:spacing w:before="120" w:after="120" w:line="360" w:lineRule="auto"/>
        <w:ind w:left="850"/>
        <w:rPr>
          <w:szCs w:val="24"/>
          <w:lang w:eastAsia="en-US"/>
        </w:rPr>
      </w:pPr>
      <w:r>
        <w:rPr>
          <w:szCs w:val="24"/>
          <w:lang w:eastAsia="en-US"/>
        </w:rPr>
        <w:t>Členské štáty môžu za prieskum pôdy považovať aj východiskové sp</w:t>
      </w:r>
      <w:r>
        <w:rPr>
          <w:szCs w:val="24"/>
          <w:lang w:eastAsia="en-US"/>
        </w:rPr>
        <w:t>rávy a opatrenia na monitorovanie vykonávané podľa smernice 2010/75/EÚ, ak je to vhodné.</w:t>
      </w:r>
    </w:p>
    <w:p w:rsidR="009D7883" w:rsidRDefault="00AA63BB">
      <w:pPr>
        <w:spacing w:before="120" w:after="120" w:line="360" w:lineRule="auto"/>
        <w:ind w:left="850" w:hanging="850"/>
        <w:rPr>
          <w:szCs w:val="24"/>
          <w:lang w:eastAsia="en-US"/>
        </w:rPr>
      </w:pPr>
      <w:r>
        <w:rPr>
          <w:szCs w:val="24"/>
          <w:lang w:eastAsia="en-US"/>
        </w:rPr>
        <w:t>3.</w:t>
      </w:r>
      <w:r>
        <w:rPr>
          <w:szCs w:val="24"/>
          <w:lang w:eastAsia="en-US"/>
        </w:rPr>
        <w:tab/>
        <w:t>Členské štáty takisto určia konkrétne udalosti vedúce k prieskumu, a to ešte pred uplynutím lehoty stanovenej v súlade s odsekom 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15</w:t>
      </w:r>
      <w:r>
        <w:rPr>
          <w:szCs w:val="24"/>
          <w:lang w:eastAsia="en-US"/>
        </w:rPr>
        <w:br/>
        <w:t>Posúdenie rizika a o</w:t>
      </w:r>
      <w:r>
        <w:rPr>
          <w:szCs w:val="24"/>
          <w:lang w:eastAsia="en-US"/>
        </w:rPr>
        <w:t>bhospodarovanie kontaminovaných lokalít</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V prípade kontaminovaných lokalít členské štáty stanovia osobitnú metodiku na určenie rizík špecifických pre danú lokalitu. Takáto metodika sa zakladá na fázach a požiadavkách týkajúcich sa posúdenia rizika špecif</w:t>
      </w:r>
      <w:r>
        <w:rPr>
          <w:szCs w:val="24"/>
          <w:lang w:eastAsia="en-US"/>
        </w:rPr>
        <w:t>ického pre danú lokalitu, ako sa uvádza v prílohe VI.</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Členské štáty definujú, čo predstavuje neprijateľné riziko pre ľudské zdravie</w:t>
      </w:r>
      <w:r>
        <w:rPr>
          <w:b/>
          <w:i/>
          <w:szCs w:val="24"/>
          <w:lang w:eastAsia="en-US"/>
        </w:rPr>
        <w:t xml:space="preserve"> a zdravie zvierat</w:t>
      </w:r>
      <w:r>
        <w:rPr>
          <w:szCs w:val="24"/>
          <w:lang w:eastAsia="en-US"/>
        </w:rPr>
        <w:t xml:space="preserve"> a životné prostredie vyplývajúce z kontaminovaných lokalít, pričom zohľadnia existujúce vedecké poznatk</w:t>
      </w:r>
      <w:r>
        <w:rPr>
          <w:szCs w:val="24"/>
          <w:lang w:eastAsia="en-US"/>
        </w:rPr>
        <w:t xml:space="preserve">y, </w:t>
      </w:r>
      <w:r>
        <w:rPr>
          <w:b/>
          <w:i/>
          <w:szCs w:val="24"/>
          <w:lang w:eastAsia="en-US"/>
        </w:rPr>
        <w:t xml:space="preserve">stanovisko zdravotníckych pracovníkov a orgánov, </w:t>
      </w:r>
      <w:r>
        <w:rPr>
          <w:szCs w:val="24"/>
          <w:lang w:eastAsia="en-US"/>
        </w:rPr>
        <w:t>zásadu predbežnej opatrnosti, miestne špecifiká a využívanie pôdy v súčasnosti a v budúcnosti.</w:t>
      </w:r>
      <w:r>
        <w:rPr>
          <w:b/>
          <w:szCs w:val="24"/>
          <w:lang w:eastAsia="en-US"/>
        </w:rPr>
        <w:t xml:space="preserve"> [PN 151]</w:t>
      </w:r>
    </w:p>
    <w:p w:rsidR="009D7883" w:rsidRDefault="00AA63BB">
      <w:pPr>
        <w:spacing w:before="120" w:after="120" w:line="360" w:lineRule="auto"/>
        <w:ind w:left="850" w:hanging="850"/>
        <w:rPr>
          <w:b/>
          <w:szCs w:val="24"/>
          <w:lang w:eastAsia="en-US"/>
        </w:rPr>
      </w:pPr>
      <w:r>
        <w:rPr>
          <w:szCs w:val="24"/>
          <w:lang w:eastAsia="en-US"/>
        </w:rPr>
        <w:t>3.</w:t>
      </w:r>
      <w:r>
        <w:rPr>
          <w:szCs w:val="24"/>
          <w:lang w:eastAsia="en-US"/>
        </w:rPr>
        <w:tab/>
        <w:t xml:space="preserve">V súvislosti s každou kontaminovanou lokalitou identifikovanou podľa článku 14 alebo iným </w:t>
      </w:r>
      <w:r>
        <w:rPr>
          <w:szCs w:val="24"/>
          <w:lang w:eastAsia="en-US"/>
        </w:rPr>
        <w:t>spôsobom príslušný zodpovedný orgán vykoná posúdenie špecifické pre danú lokalitu s ohľadom na súčasné a plánované využitie pôdy, aby sa zistilo, či kontaminovaná lokalita predstavuje neprijateľné riziká pre ľudské zdravie</w:t>
      </w:r>
      <w:r>
        <w:rPr>
          <w:b/>
          <w:i/>
          <w:szCs w:val="24"/>
          <w:lang w:eastAsia="en-US"/>
        </w:rPr>
        <w:t>, zdravie zvierat</w:t>
      </w:r>
      <w:r>
        <w:rPr>
          <w:szCs w:val="24"/>
          <w:lang w:eastAsia="en-US"/>
        </w:rPr>
        <w:t xml:space="preserve"> alebo životné prostredie.</w:t>
      </w:r>
      <w:r>
        <w:rPr>
          <w:b/>
          <w:szCs w:val="24"/>
          <w:lang w:eastAsia="en-US"/>
        </w:rPr>
        <w:t xml:space="preserve"> [PN 152]</w:t>
      </w:r>
    </w:p>
    <w:p w:rsidR="009D7883" w:rsidRDefault="00AA63BB">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Členské štáty môžu v prípade potreby považovať za dostatočné posúdenia, ktoré boli vykonané v súlade so smernicou 2010/75/EÚ, 2011/92/EÚ alebo 2012/18/EÚ.</w:t>
      </w:r>
      <w:r>
        <w:rPr>
          <w:b/>
          <w:szCs w:val="24"/>
          <w:lang w:eastAsia="en-US"/>
        </w:rPr>
        <w:t xml:space="preserve"> [PN 153]</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4.</w:t>
      </w:r>
      <w:r>
        <w:rPr>
          <w:szCs w:val="24"/>
          <w:lang w:eastAsia="en-US"/>
        </w:rPr>
        <w:tab/>
        <w:t>Na základe výsledkov posúdenia, na ktoré sa odk</w:t>
      </w:r>
      <w:r>
        <w:rPr>
          <w:szCs w:val="24"/>
          <w:lang w:eastAsia="en-US"/>
        </w:rPr>
        <w:t xml:space="preserve">azuje v odseku 3, </w:t>
      </w:r>
      <w:proofErr w:type="spellStart"/>
      <w:r>
        <w:rPr>
          <w:strike/>
          <w:szCs w:val="24"/>
          <w:lang w:eastAsia="en-US"/>
        </w:rPr>
        <w:t>prijme</w:t>
      </w:r>
      <w:r>
        <w:rPr>
          <w:b/>
          <w:i/>
          <w:szCs w:val="24"/>
          <w:lang w:eastAsia="en-US"/>
        </w:rPr>
        <w:t>zabezpečí</w:t>
      </w:r>
      <w:proofErr w:type="spellEnd"/>
      <w:r>
        <w:rPr>
          <w:szCs w:val="24"/>
          <w:lang w:eastAsia="en-US"/>
        </w:rPr>
        <w:t xml:space="preserve"> príslušný zodpovedný orgán </w:t>
      </w:r>
      <w:r>
        <w:rPr>
          <w:strike/>
          <w:szCs w:val="24"/>
          <w:lang w:eastAsia="en-US"/>
        </w:rPr>
        <w:t xml:space="preserve">primerané </w:t>
      </w:r>
      <w:proofErr w:type="spellStart"/>
      <w:r>
        <w:rPr>
          <w:strike/>
          <w:szCs w:val="24"/>
          <w:lang w:eastAsia="en-US"/>
        </w:rPr>
        <w:t>opatrenia</w:t>
      </w:r>
      <w:r>
        <w:rPr>
          <w:b/>
          <w:i/>
          <w:szCs w:val="24"/>
          <w:lang w:eastAsia="en-US"/>
        </w:rPr>
        <w:t>prijatie</w:t>
      </w:r>
      <w:proofErr w:type="spellEnd"/>
      <w:r>
        <w:rPr>
          <w:b/>
          <w:i/>
          <w:szCs w:val="24"/>
          <w:lang w:eastAsia="en-US"/>
        </w:rPr>
        <w:t xml:space="preserve"> primeraných opatrení</w:t>
      </w:r>
      <w:r>
        <w:rPr>
          <w:szCs w:val="24"/>
          <w:lang w:eastAsia="en-US"/>
        </w:rPr>
        <w:t>, ktorými sa riziká znížia na úroveň, ktorá je prijateľná pre ľudské zdravie a životné prostredie (ďalej len „opatrenia na zníženie rizík“).</w:t>
      </w:r>
      <w:r>
        <w:rPr>
          <w:b/>
          <w:szCs w:val="24"/>
          <w:lang w:eastAsia="en-US"/>
        </w:rPr>
        <w:t xml:space="preserve"> [PN 15</w:t>
      </w:r>
      <w:r>
        <w:rPr>
          <w:b/>
          <w:szCs w:val="24"/>
          <w:lang w:eastAsia="en-US"/>
        </w:rPr>
        <w:t>4]</w:t>
      </w:r>
    </w:p>
    <w:p w:rsidR="009D7883" w:rsidRDefault="00AA63BB">
      <w:pPr>
        <w:spacing w:before="120" w:after="120" w:line="360" w:lineRule="auto"/>
        <w:ind w:left="850" w:hanging="850"/>
        <w:rPr>
          <w:b/>
          <w:szCs w:val="24"/>
          <w:lang w:eastAsia="en-US"/>
        </w:rPr>
      </w:pPr>
      <w:r>
        <w:rPr>
          <w:szCs w:val="24"/>
          <w:lang w:eastAsia="en-US"/>
        </w:rPr>
        <w:t>5.</w:t>
      </w:r>
      <w:r>
        <w:rPr>
          <w:szCs w:val="24"/>
          <w:lang w:eastAsia="en-US"/>
        </w:rPr>
        <w:tab/>
        <w:t xml:space="preserve">Opatrenia na zníženie rizík </w:t>
      </w:r>
      <w:r>
        <w:rPr>
          <w:strike/>
          <w:szCs w:val="24"/>
          <w:lang w:eastAsia="en-US"/>
        </w:rPr>
        <w:t xml:space="preserve">môžu tvoriť </w:t>
      </w:r>
      <w:proofErr w:type="spellStart"/>
      <w:r>
        <w:rPr>
          <w:strike/>
          <w:szCs w:val="24"/>
          <w:lang w:eastAsia="en-US"/>
        </w:rPr>
        <w:t>opatrenia</w:t>
      </w:r>
      <w:r>
        <w:rPr>
          <w:b/>
          <w:i/>
          <w:szCs w:val="24"/>
          <w:lang w:eastAsia="en-US"/>
        </w:rPr>
        <w:t>vychádzajú</w:t>
      </w:r>
      <w:proofErr w:type="spellEnd"/>
      <w:r>
        <w:rPr>
          <w:b/>
          <w:i/>
          <w:szCs w:val="24"/>
          <w:lang w:eastAsia="en-US"/>
        </w:rPr>
        <w:t xml:space="preserve"> z opatrení</w:t>
      </w:r>
      <w:r>
        <w:rPr>
          <w:szCs w:val="24"/>
          <w:lang w:eastAsia="en-US"/>
        </w:rPr>
        <w:t>, na ktoré sa odkazuje v prílohe V. Príslušný orgán v procese rozhodovania o primeraných opatreniach na zníženie rizík zváži náklady, prínosy, účinnosť, trvácnosť a technickú uskut</w:t>
      </w:r>
      <w:r>
        <w:rPr>
          <w:szCs w:val="24"/>
          <w:lang w:eastAsia="en-US"/>
        </w:rPr>
        <w:t>očniteľnosť dostupných opatrení na zníženie rizík</w:t>
      </w:r>
      <w:r>
        <w:rPr>
          <w:b/>
          <w:i/>
          <w:szCs w:val="24"/>
          <w:lang w:eastAsia="en-US"/>
        </w:rPr>
        <w:t xml:space="preserve"> v krátkodobom a dlhodobom horizonte</w:t>
      </w:r>
      <w:r>
        <w:rPr>
          <w:szCs w:val="24"/>
          <w:lang w:eastAsia="en-US"/>
        </w:rPr>
        <w:t>.</w:t>
      </w:r>
      <w:r>
        <w:rPr>
          <w:b/>
          <w:i/>
          <w:szCs w:val="24"/>
          <w:lang w:eastAsia="en-US"/>
        </w:rPr>
        <w:t xml:space="preserve"> Členské štáty sa vždy zameriavajú na predchádzanie kontaminácii pôdy a jej dekontamináciu.</w:t>
      </w:r>
      <w:r>
        <w:rPr>
          <w:b/>
          <w:szCs w:val="24"/>
          <w:lang w:eastAsia="en-US"/>
        </w:rPr>
        <w:t xml:space="preserve"> [PN 155]</w:t>
      </w:r>
    </w:p>
    <w:p w:rsidR="009D7883" w:rsidRDefault="00AA63BB">
      <w:pPr>
        <w:spacing w:before="120" w:after="120" w:line="360" w:lineRule="auto"/>
        <w:ind w:left="850"/>
        <w:rPr>
          <w:b/>
          <w:szCs w:val="24"/>
          <w:lang w:eastAsia="en-US"/>
        </w:rPr>
      </w:pPr>
      <w:r>
        <w:rPr>
          <w:b/>
          <w:i/>
          <w:szCs w:val="24"/>
          <w:lang w:eastAsia="en-US"/>
        </w:rPr>
        <w:t>Opatrenia na zníženie rizika ovplyvňujúce okolité vodné útvary využív</w:t>
      </w:r>
      <w:r>
        <w:rPr>
          <w:b/>
          <w:i/>
          <w:szCs w:val="24"/>
          <w:lang w:eastAsia="en-US"/>
        </w:rPr>
        <w:t>ané na odber vody určenej na ľudskú spotrebu musia byť v súlade s normami prijateľného rizika stanovenými v smernici (EÚ) 2020/2184.</w:t>
      </w:r>
      <w:r>
        <w:rPr>
          <w:b/>
          <w:szCs w:val="24"/>
          <w:lang w:eastAsia="en-US"/>
        </w:rPr>
        <w:t xml:space="preserve"> [PN 156]</w:t>
      </w:r>
    </w:p>
    <w:p w:rsidR="009D7883" w:rsidRDefault="00AA63BB">
      <w:pPr>
        <w:spacing w:before="120" w:after="120" w:line="360" w:lineRule="auto"/>
        <w:ind w:left="850" w:hanging="850"/>
        <w:rPr>
          <w:b/>
          <w:szCs w:val="24"/>
          <w:lang w:eastAsia="en-US"/>
        </w:rPr>
      </w:pPr>
      <w:r>
        <w:rPr>
          <w:b/>
          <w:i/>
          <w:szCs w:val="24"/>
          <w:lang w:eastAsia="en-US"/>
        </w:rPr>
        <w:t>5a.</w:t>
      </w:r>
      <w:r>
        <w:rPr>
          <w:szCs w:val="24"/>
          <w:lang w:eastAsia="en-US"/>
        </w:rPr>
        <w:tab/>
      </w:r>
      <w:r>
        <w:rPr>
          <w:b/>
          <w:i/>
          <w:szCs w:val="24"/>
          <w:lang w:eastAsia="en-US"/>
        </w:rPr>
        <w:t xml:space="preserve">Komisia je splnomocnená prijímať delegované akty v súlade s článkom 20 na doplnenie tejto smernice stanovením </w:t>
      </w:r>
      <w:r>
        <w:rPr>
          <w:b/>
          <w:i/>
          <w:szCs w:val="24"/>
          <w:lang w:eastAsia="en-US"/>
        </w:rPr>
        <w:t>maximálnych prípustných hodnôt v súvislosti s vymedzením neprijateľného rizika pre ľudské zdravie a životné prostredie vyplývajúceho z kontaminovaných lokalít, ako sa uvádza v odseku 2.</w:t>
      </w:r>
      <w:r>
        <w:rPr>
          <w:b/>
          <w:szCs w:val="24"/>
          <w:lang w:eastAsia="en-US"/>
        </w:rPr>
        <w:t xml:space="preserve"> [PN 157]</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6.</w:t>
      </w:r>
      <w:r>
        <w:rPr>
          <w:szCs w:val="24"/>
          <w:lang w:eastAsia="en-US"/>
        </w:rPr>
        <w:tab/>
        <w:t>Komisia je splnomocnená prijímať delegované akty v súlad</w:t>
      </w:r>
      <w:r>
        <w:rPr>
          <w:szCs w:val="24"/>
          <w:lang w:eastAsia="en-US"/>
        </w:rPr>
        <w:t>e s článkom 20, ktorými sa zmenia prílohy V a VI s cieľom prispôsobiť zoznam opatrení na zníženie rizík a požiadaviek na posúdenie rizika špecifických pre danú lokalitu vedeckému a technickému pokroku.</w:t>
      </w:r>
    </w:p>
    <w:p w:rsidR="009D7883" w:rsidRDefault="00AA63BB">
      <w:pPr>
        <w:spacing w:before="120" w:after="120" w:line="360" w:lineRule="auto"/>
        <w:jc w:val="center"/>
        <w:rPr>
          <w:szCs w:val="24"/>
          <w:lang w:eastAsia="en-US"/>
        </w:rPr>
      </w:pPr>
      <w:r>
        <w:rPr>
          <w:szCs w:val="24"/>
          <w:lang w:eastAsia="en-US"/>
        </w:rPr>
        <w:t>Článok 16</w:t>
      </w:r>
      <w:r>
        <w:rPr>
          <w:szCs w:val="24"/>
          <w:lang w:eastAsia="en-US"/>
        </w:rPr>
        <w:br/>
        <w:t>Register</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Do … (Úrad pre publikácie: vložt</w:t>
      </w:r>
      <w:r>
        <w:rPr>
          <w:szCs w:val="24"/>
          <w:lang w:eastAsia="en-US"/>
        </w:rPr>
        <w:t>e dátum = 4 roky po nadobudnutí účinnosti smernice) členské štáty vypracujú register kontaminovaných lokalít a potenciálne kontaminovaných lokalít v súlade s odsekom 2.</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Register musí obsahovať informácie stanovené v prílohe VII.</w:t>
      </w:r>
    </w:p>
    <w:p w:rsidR="009D7883" w:rsidRDefault="00AA63BB">
      <w:pPr>
        <w:spacing w:before="120" w:after="120" w:line="360" w:lineRule="auto"/>
        <w:ind w:left="850" w:hanging="850"/>
        <w:rPr>
          <w:szCs w:val="24"/>
          <w:lang w:eastAsia="en-US"/>
        </w:rPr>
      </w:pPr>
      <w:r>
        <w:rPr>
          <w:szCs w:val="24"/>
          <w:lang w:eastAsia="en-US"/>
        </w:rPr>
        <w:t>3.</w:t>
      </w:r>
      <w:r>
        <w:rPr>
          <w:szCs w:val="24"/>
          <w:lang w:eastAsia="en-US"/>
        </w:rPr>
        <w:tab/>
        <w:t>Register spravuje prí</w:t>
      </w:r>
      <w:r>
        <w:rPr>
          <w:szCs w:val="24"/>
          <w:lang w:eastAsia="en-US"/>
        </w:rPr>
        <w:t>slušný zodpovedný orgán a pravidelne sa preskúmava a aktualizuje.</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4.</w:t>
      </w:r>
      <w:r>
        <w:rPr>
          <w:szCs w:val="24"/>
          <w:lang w:eastAsia="en-US"/>
        </w:rPr>
        <w:tab/>
        <w:t xml:space="preserve">Členské štáty </w:t>
      </w:r>
      <w:proofErr w:type="spellStart"/>
      <w:r>
        <w:rPr>
          <w:strike/>
          <w:szCs w:val="24"/>
          <w:lang w:eastAsia="en-US"/>
        </w:rPr>
        <w:t>verejne</w:t>
      </w:r>
      <w:r>
        <w:rPr>
          <w:b/>
          <w:i/>
          <w:szCs w:val="24"/>
          <w:lang w:eastAsia="en-US"/>
        </w:rPr>
        <w:t>zverejnia</w:t>
      </w:r>
      <w:proofErr w:type="spellEnd"/>
      <w:r>
        <w:rPr>
          <w:b/>
          <w:i/>
          <w:szCs w:val="24"/>
          <w:lang w:eastAsia="en-US"/>
        </w:rPr>
        <w:t>,</w:t>
      </w:r>
      <w:r>
        <w:rPr>
          <w:szCs w:val="24"/>
          <w:lang w:eastAsia="en-US"/>
        </w:rPr>
        <w:t xml:space="preserve"> sprístupnia</w:t>
      </w:r>
      <w:r>
        <w:rPr>
          <w:b/>
          <w:i/>
          <w:szCs w:val="24"/>
          <w:lang w:eastAsia="en-US"/>
        </w:rPr>
        <w:t xml:space="preserve"> prístupným spôsobom a bezplatne</w:t>
      </w:r>
      <w:r>
        <w:rPr>
          <w:szCs w:val="24"/>
          <w:lang w:eastAsia="en-US"/>
        </w:rPr>
        <w:t xml:space="preserve"> register aj informácie uvedené v odsekoch 1 a 2. Príslušný orgán môže zamietnuť alebo obmedziť zverejnenie ak</w:t>
      </w:r>
      <w:r>
        <w:rPr>
          <w:szCs w:val="24"/>
          <w:lang w:eastAsia="en-US"/>
        </w:rPr>
        <w:t>ýchkoľvek informácií, ak sú splnené podmienky stanovené v článku 4 smernice Európskeho parlamentu a Rady 2003/4/ES</w:t>
      </w:r>
      <w:r>
        <w:rPr>
          <w:szCs w:val="24"/>
          <w:vertAlign w:val="superscript"/>
          <w:lang w:eastAsia="en-US"/>
        </w:rPr>
        <w:footnoteReference w:id="53"/>
      </w:r>
      <w:r>
        <w:rPr>
          <w:szCs w:val="24"/>
          <w:lang w:eastAsia="en-US"/>
        </w:rPr>
        <w:t>.</w:t>
      </w:r>
    </w:p>
    <w:p w:rsidR="009D7883" w:rsidRDefault="00AA63BB">
      <w:pPr>
        <w:spacing w:before="120" w:after="120" w:line="360" w:lineRule="auto"/>
        <w:ind w:left="850"/>
        <w:rPr>
          <w:b/>
          <w:szCs w:val="24"/>
          <w:lang w:eastAsia="en-US"/>
        </w:rPr>
      </w:pPr>
      <w:r>
        <w:rPr>
          <w:szCs w:val="24"/>
          <w:lang w:eastAsia="en-US"/>
        </w:rPr>
        <w:t xml:space="preserve">Register sa sprístupní v online databáze </w:t>
      </w:r>
      <w:proofErr w:type="spellStart"/>
      <w:r>
        <w:rPr>
          <w:szCs w:val="24"/>
          <w:lang w:eastAsia="en-US"/>
        </w:rPr>
        <w:t>georeferenčných</w:t>
      </w:r>
      <w:proofErr w:type="spellEnd"/>
      <w:r>
        <w:rPr>
          <w:szCs w:val="24"/>
          <w:lang w:eastAsia="en-US"/>
        </w:rPr>
        <w:t xml:space="preserve"> priestorových údajov.</w:t>
      </w:r>
      <w:r>
        <w:rPr>
          <w:b/>
          <w:szCs w:val="24"/>
          <w:lang w:eastAsia="en-US"/>
        </w:rPr>
        <w:t xml:space="preserve"> [PN 158]</w:t>
      </w:r>
    </w:p>
    <w:p w:rsidR="009D7883" w:rsidRDefault="00AA63BB">
      <w:pPr>
        <w:spacing w:before="120" w:after="120" w:line="360" w:lineRule="auto"/>
        <w:ind w:left="850" w:hanging="850"/>
        <w:rPr>
          <w:b/>
          <w:szCs w:val="24"/>
          <w:lang w:eastAsia="en-US"/>
        </w:rPr>
      </w:pPr>
      <w:r>
        <w:rPr>
          <w:szCs w:val="24"/>
          <w:lang w:eastAsia="en-US"/>
        </w:rPr>
        <w:t>5.</w:t>
      </w:r>
      <w:r>
        <w:rPr>
          <w:szCs w:val="24"/>
          <w:lang w:eastAsia="en-US"/>
        </w:rPr>
        <w:tab/>
        <w:t>Komisia</w:t>
      </w:r>
      <w:r>
        <w:rPr>
          <w:b/>
          <w:i/>
          <w:szCs w:val="24"/>
          <w:lang w:eastAsia="en-US"/>
        </w:rPr>
        <w:t xml:space="preserve"> do ... [Úrad pre publikácie: vložte dátu</w:t>
      </w:r>
      <w:r>
        <w:rPr>
          <w:b/>
          <w:i/>
          <w:szCs w:val="24"/>
          <w:lang w:eastAsia="en-US"/>
        </w:rPr>
        <w:t>m = jeden rok od nadobudnutia účinnosti tejto smernice]</w:t>
      </w:r>
      <w:r>
        <w:rPr>
          <w:szCs w:val="24"/>
          <w:lang w:eastAsia="en-US"/>
        </w:rPr>
        <w:t xml:space="preserve"> prijme vykonávacie akty, ktorými určí formát registra. Uvedené vykonávacie akty sa prijmú v súlade s postupom preskúmania uvedeným v článku 21.</w:t>
      </w:r>
      <w:r>
        <w:rPr>
          <w:b/>
          <w:szCs w:val="24"/>
          <w:lang w:eastAsia="en-US"/>
        </w:rPr>
        <w:t xml:space="preserve"> [PN 159]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 xml:space="preserve">Kapitola V </w:t>
      </w:r>
      <w:r>
        <w:rPr>
          <w:szCs w:val="24"/>
          <w:lang w:eastAsia="en-US"/>
        </w:rPr>
        <w:br/>
        <w:t>Financovanie, informovanie verejn</w:t>
      </w:r>
      <w:r>
        <w:rPr>
          <w:szCs w:val="24"/>
          <w:lang w:eastAsia="en-US"/>
        </w:rPr>
        <w:t>osti a podávanie správ zo strany členských štátov</w:t>
      </w:r>
    </w:p>
    <w:p w:rsidR="009D7883" w:rsidRDefault="00AA63BB">
      <w:pPr>
        <w:spacing w:before="120" w:after="120" w:line="360" w:lineRule="auto"/>
        <w:jc w:val="center"/>
        <w:rPr>
          <w:b/>
          <w:szCs w:val="24"/>
          <w:lang w:eastAsia="en-US"/>
        </w:rPr>
      </w:pPr>
      <w:r>
        <w:rPr>
          <w:szCs w:val="24"/>
          <w:lang w:eastAsia="en-US"/>
        </w:rPr>
        <w:t>Článok 17</w:t>
      </w:r>
      <w:r>
        <w:rPr>
          <w:szCs w:val="24"/>
          <w:lang w:eastAsia="en-US"/>
        </w:rPr>
        <w:br/>
        <w:t>Financovanie z prostriedkov Únie</w:t>
      </w:r>
      <w:r>
        <w:rPr>
          <w:b/>
          <w:i/>
          <w:szCs w:val="24"/>
          <w:lang w:eastAsia="en-US"/>
        </w:rPr>
        <w:t xml:space="preserve"> a členských štátov</w:t>
      </w:r>
      <w:r>
        <w:rPr>
          <w:b/>
          <w:szCs w:val="24"/>
          <w:lang w:eastAsia="en-US"/>
        </w:rPr>
        <w:t xml:space="preserve"> [PN 160]</w:t>
      </w:r>
    </w:p>
    <w:p w:rsidR="009D7883" w:rsidRDefault="00AA63BB">
      <w:pPr>
        <w:spacing w:before="120" w:after="120" w:line="360" w:lineRule="auto"/>
        <w:ind w:left="850" w:hanging="850"/>
        <w:rPr>
          <w:b/>
          <w:szCs w:val="24"/>
          <w:lang w:eastAsia="en-US"/>
        </w:rPr>
      </w:pPr>
      <w:r>
        <w:rPr>
          <w:b/>
          <w:i/>
          <w:szCs w:val="24"/>
          <w:lang w:eastAsia="en-US"/>
        </w:rPr>
        <w:t>1.</w:t>
      </w:r>
      <w:r>
        <w:rPr>
          <w:szCs w:val="24"/>
          <w:lang w:eastAsia="en-US"/>
        </w:rPr>
        <w:tab/>
        <w:t xml:space="preserve">Keďže zavedenie monitorovania pôdy, udržateľného obhospodarovania pôdy a regenerácie pôdy má neodmysliteľnú prioritu, </w:t>
      </w:r>
      <w:r>
        <w:rPr>
          <w:b/>
          <w:i/>
          <w:szCs w:val="24"/>
          <w:lang w:eastAsia="en-US"/>
        </w:rPr>
        <w:t>do ... [Úrad p</w:t>
      </w:r>
      <w:r>
        <w:rPr>
          <w:b/>
          <w:i/>
          <w:szCs w:val="24"/>
          <w:lang w:eastAsia="en-US"/>
        </w:rPr>
        <w:t xml:space="preserve">re publikácie: vložte dátum = 12 mesiacov od nadobudnutia účinnosti tejto smernice] Komisia predloží Európskemu parlamentu a Rade správu o finančných zdrojoch dostupných na úrovni Únie na </w:t>
      </w:r>
      <w:r>
        <w:rPr>
          <w:szCs w:val="24"/>
          <w:lang w:eastAsia="en-US"/>
        </w:rPr>
        <w:t>vykonávanie tejto smernice</w:t>
      </w:r>
      <w:r>
        <w:rPr>
          <w:strike/>
          <w:szCs w:val="24"/>
          <w:lang w:eastAsia="en-US"/>
        </w:rPr>
        <w:t xml:space="preserve"> treba podporovať prostredníctvom existujú</w:t>
      </w:r>
      <w:r>
        <w:rPr>
          <w:strike/>
          <w:szCs w:val="24"/>
          <w:lang w:eastAsia="en-US"/>
        </w:rPr>
        <w:t>cich finančných programov Únie v súlade s ich uplatniteľnými pravidlami a podmienkami</w:t>
      </w:r>
      <w:r>
        <w:rPr>
          <w:szCs w:val="24"/>
          <w:lang w:eastAsia="en-US"/>
        </w:rPr>
        <w:t>.</w:t>
      </w:r>
      <w:r>
        <w:rPr>
          <w:b/>
          <w:szCs w:val="24"/>
          <w:lang w:eastAsia="en-US"/>
        </w:rPr>
        <w:t xml:space="preserve"> [PN 161]</w:t>
      </w:r>
    </w:p>
    <w:p w:rsidR="009D7883" w:rsidRDefault="00AA63BB">
      <w:pPr>
        <w:spacing w:before="120" w:after="120" w:line="360" w:lineRule="auto"/>
        <w:ind w:left="850"/>
        <w:rPr>
          <w:b/>
          <w:szCs w:val="24"/>
          <w:lang w:eastAsia="en-US"/>
        </w:rPr>
      </w:pPr>
      <w:r>
        <w:rPr>
          <w:b/>
          <w:i/>
          <w:szCs w:val="24"/>
          <w:lang w:eastAsia="en-US"/>
        </w:rPr>
        <w:t xml:space="preserve">Komisia posúdi akýkoľvek rozdiel medzi dostupným financovaním Únie a potrebami financovania potrebnými na podporu členských štátov pri vykonávaní tejto </w:t>
      </w:r>
      <w:r>
        <w:rPr>
          <w:b/>
          <w:i/>
          <w:szCs w:val="24"/>
          <w:lang w:eastAsia="en-US"/>
        </w:rPr>
        <w:t>smernice, pričom osobitnú pozornosť venuje potrebám monitorovania životného prostredia vrátane programu LUCAS pre pôdu.</w:t>
      </w:r>
      <w:r>
        <w:rPr>
          <w:b/>
          <w:szCs w:val="24"/>
          <w:lang w:eastAsia="en-US"/>
        </w:rPr>
        <w:t xml:space="preserve"> [PN 162]</w:t>
      </w:r>
    </w:p>
    <w:p w:rsidR="009D7883" w:rsidRDefault="00AA63BB">
      <w:pPr>
        <w:spacing w:before="120" w:after="120" w:line="360" w:lineRule="auto"/>
        <w:ind w:left="850"/>
        <w:rPr>
          <w:b/>
          <w:szCs w:val="24"/>
          <w:lang w:eastAsia="en-US"/>
        </w:rPr>
      </w:pPr>
      <w:r>
        <w:rPr>
          <w:b/>
          <w:i/>
          <w:szCs w:val="24"/>
          <w:lang w:eastAsia="en-US"/>
        </w:rPr>
        <w:t xml:space="preserve">Na obdobie po roku 2027 sa zavedú dodatočné finančné zdroje s cieľom podporiť pokračujúce udržateľné hospodárenie s pôdou, jej </w:t>
      </w:r>
      <w:r>
        <w:rPr>
          <w:b/>
          <w:i/>
          <w:szCs w:val="24"/>
          <w:lang w:eastAsia="en-US"/>
        </w:rPr>
        <w:t>trvalú regeneráciu a činnosti monitorovania.</w:t>
      </w:r>
      <w:r>
        <w:rPr>
          <w:b/>
          <w:szCs w:val="24"/>
          <w:lang w:eastAsia="en-US"/>
        </w:rPr>
        <w:t xml:space="preserve"> [PN 163]</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1a.</w:t>
      </w:r>
      <w:r>
        <w:rPr>
          <w:szCs w:val="24"/>
          <w:lang w:eastAsia="en-US"/>
        </w:rPr>
        <w:tab/>
      </w:r>
      <w:r>
        <w:rPr>
          <w:b/>
          <w:i/>
          <w:szCs w:val="24"/>
          <w:lang w:eastAsia="en-US"/>
        </w:rPr>
        <w:t>Pri vykonávaní tejto smernice členské štáty využívajú finančné prostriedky z vhodných zdrojov vrátane finančných prostriedkov Únie, národných, regionálnych a miestnych prostriedkov na financovanie</w:t>
      </w:r>
      <w:r>
        <w:rPr>
          <w:b/>
          <w:i/>
          <w:szCs w:val="24"/>
          <w:lang w:eastAsia="en-US"/>
        </w:rPr>
        <w:t xml:space="preserve"> opatrení so zameraním na ochranu pôdy, udržateľné obhospodarovanie a regeneráciu.</w:t>
      </w:r>
      <w:r>
        <w:rPr>
          <w:b/>
          <w:szCs w:val="24"/>
          <w:lang w:eastAsia="en-US"/>
        </w:rPr>
        <w:t xml:space="preserve"> [PN 164]</w:t>
      </w:r>
    </w:p>
    <w:p w:rsidR="009D7883" w:rsidRDefault="00AA63BB">
      <w:pPr>
        <w:spacing w:before="120" w:after="120" w:line="360" w:lineRule="auto"/>
        <w:ind w:left="850" w:hanging="850"/>
        <w:rPr>
          <w:b/>
          <w:szCs w:val="24"/>
          <w:lang w:eastAsia="en-US"/>
        </w:rPr>
      </w:pPr>
      <w:r>
        <w:rPr>
          <w:b/>
          <w:i/>
          <w:szCs w:val="24"/>
          <w:lang w:eastAsia="en-US"/>
        </w:rPr>
        <w:t>1b.</w:t>
      </w:r>
      <w:r>
        <w:rPr>
          <w:szCs w:val="24"/>
          <w:lang w:eastAsia="en-US"/>
        </w:rPr>
        <w:tab/>
      </w:r>
      <w:r>
        <w:rPr>
          <w:b/>
          <w:i/>
          <w:szCs w:val="24"/>
          <w:lang w:eastAsia="en-US"/>
        </w:rPr>
        <w:t>Komisia monitoruje schopnosť členských štátov čerpať finančné prostriedky Únie súvisiace s ochranou pôdy, udržateľným obhospodarovaním a regeneráciou. Komisia p</w:t>
      </w:r>
      <w:r>
        <w:rPr>
          <w:b/>
          <w:i/>
          <w:szCs w:val="24"/>
          <w:lang w:eastAsia="en-US"/>
        </w:rPr>
        <w:t>oskytuje odbornú prípravu a technickú podporu s cieľom zvýšiť absorpčnú kapacitu členských štátov.</w:t>
      </w:r>
      <w:r>
        <w:rPr>
          <w:b/>
          <w:szCs w:val="24"/>
          <w:lang w:eastAsia="en-US"/>
        </w:rPr>
        <w:t xml:space="preserve"> [PN 165]</w:t>
      </w:r>
    </w:p>
    <w:p w:rsidR="009D7883" w:rsidRDefault="00AA63BB">
      <w:pPr>
        <w:spacing w:before="120" w:after="120" w:line="360" w:lineRule="auto"/>
        <w:ind w:left="850" w:hanging="850"/>
        <w:rPr>
          <w:b/>
          <w:szCs w:val="24"/>
          <w:lang w:eastAsia="en-US"/>
        </w:rPr>
      </w:pPr>
      <w:r>
        <w:rPr>
          <w:b/>
          <w:i/>
          <w:szCs w:val="24"/>
          <w:lang w:eastAsia="en-US"/>
        </w:rPr>
        <w:t>1c.</w:t>
      </w:r>
      <w:r>
        <w:rPr>
          <w:szCs w:val="24"/>
          <w:lang w:eastAsia="en-US"/>
        </w:rPr>
        <w:tab/>
      </w:r>
      <w:r>
        <w:rPr>
          <w:b/>
          <w:i/>
          <w:szCs w:val="24"/>
          <w:lang w:eastAsia="en-US"/>
        </w:rPr>
        <w:t xml:space="preserve">Členské štáty a Komisia v spolupráci s Európskou investičnou bankou zlepšia a uľahčia využívanie inovačných mechanizmov financovania a podporia </w:t>
      </w:r>
      <w:r>
        <w:rPr>
          <w:b/>
          <w:i/>
          <w:szCs w:val="24"/>
          <w:lang w:eastAsia="en-US"/>
        </w:rPr>
        <w:t>mobilizáciu súkromného kapitálu na činnosti potrebné na dosiahnutie cieľov tejto smernice.</w:t>
      </w:r>
      <w:r>
        <w:rPr>
          <w:b/>
          <w:szCs w:val="24"/>
          <w:lang w:eastAsia="en-US"/>
        </w:rPr>
        <w:t xml:space="preserve"> [PN 166]</w:t>
      </w:r>
    </w:p>
    <w:p w:rsidR="009D7883" w:rsidRDefault="00AA63BB">
      <w:pPr>
        <w:spacing w:before="120" w:after="120" w:line="360" w:lineRule="auto"/>
        <w:ind w:left="850" w:hanging="850"/>
        <w:rPr>
          <w:b/>
          <w:szCs w:val="24"/>
          <w:lang w:eastAsia="en-US"/>
        </w:rPr>
      </w:pPr>
      <w:r>
        <w:rPr>
          <w:b/>
          <w:i/>
          <w:szCs w:val="24"/>
          <w:lang w:eastAsia="en-US"/>
        </w:rPr>
        <w:t>1d.</w:t>
      </w:r>
      <w:r>
        <w:rPr>
          <w:szCs w:val="24"/>
          <w:lang w:eastAsia="en-US"/>
        </w:rPr>
        <w:tab/>
      </w:r>
      <w:r>
        <w:rPr>
          <w:b/>
          <w:i/>
          <w:szCs w:val="24"/>
          <w:lang w:eastAsia="en-US"/>
        </w:rPr>
        <w:t>Členské štáty a Komisia pri vykonávaní tejto smernice dodržiavajú zásadu „nespôsobovať významnú škodu“ v zmysle článku 17 nariadenia (EÚ) 2020/852.</w:t>
      </w:r>
      <w:r>
        <w:rPr>
          <w:b/>
          <w:szCs w:val="24"/>
          <w:lang w:eastAsia="en-US"/>
        </w:rPr>
        <w:t xml:space="preserve"> [PN </w:t>
      </w:r>
      <w:r>
        <w:rPr>
          <w:b/>
          <w:szCs w:val="24"/>
          <w:lang w:eastAsia="en-US"/>
        </w:rPr>
        <w:t>167]</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18</w:t>
      </w:r>
      <w:r>
        <w:rPr>
          <w:szCs w:val="24"/>
          <w:lang w:eastAsia="en-US"/>
        </w:rPr>
        <w:br/>
        <w:t>Podávanie správ zo strany členských štátov</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 xml:space="preserve">Členské štáty Komisii a agentúre </w:t>
      </w:r>
      <w:proofErr w:type="spellStart"/>
      <w:r>
        <w:rPr>
          <w:szCs w:val="24"/>
          <w:lang w:eastAsia="en-US"/>
        </w:rPr>
        <w:t>EEA</w:t>
      </w:r>
      <w:proofErr w:type="spellEnd"/>
      <w:r>
        <w:rPr>
          <w:szCs w:val="24"/>
          <w:lang w:eastAsia="en-US"/>
        </w:rPr>
        <w:t xml:space="preserve"> </w:t>
      </w:r>
      <w:r>
        <w:rPr>
          <w:b/>
          <w:i/>
          <w:szCs w:val="24"/>
          <w:lang w:eastAsia="en-US"/>
        </w:rPr>
        <w:t xml:space="preserve">aspoň </w:t>
      </w:r>
      <w:r>
        <w:rPr>
          <w:szCs w:val="24"/>
          <w:lang w:eastAsia="en-US"/>
        </w:rPr>
        <w:t xml:space="preserve">každých </w:t>
      </w:r>
      <w:proofErr w:type="spellStart"/>
      <w:r>
        <w:rPr>
          <w:strike/>
          <w:szCs w:val="24"/>
          <w:lang w:eastAsia="en-US"/>
        </w:rPr>
        <w:t>päť</w:t>
      </w:r>
      <w:r>
        <w:rPr>
          <w:b/>
          <w:i/>
          <w:szCs w:val="24"/>
          <w:lang w:eastAsia="en-US"/>
        </w:rPr>
        <w:t>šesť</w:t>
      </w:r>
      <w:proofErr w:type="spellEnd"/>
      <w:r>
        <w:rPr>
          <w:szCs w:val="24"/>
          <w:lang w:eastAsia="en-US"/>
        </w:rPr>
        <w:t xml:space="preserve"> rokov elektronicky oznamujú tieto údaje a informácie:</w:t>
      </w:r>
      <w:r>
        <w:rPr>
          <w:b/>
          <w:szCs w:val="24"/>
          <w:lang w:eastAsia="en-US"/>
        </w:rPr>
        <w:t xml:space="preserve"> [PN 168]</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údaje a výsledky monitorovania a posudzovania zdravia pôdy, ktoré sa</w:t>
      </w:r>
      <w:r>
        <w:rPr>
          <w:szCs w:val="24"/>
          <w:lang w:eastAsia="en-US"/>
        </w:rPr>
        <w:t xml:space="preserve"> vykonávajú v zmysle článkov 6 až 9;</w:t>
      </w:r>
    </w:p>
    <w:p w:rsidR="009D7883" w:rsidRDefault="00AA63BB">
      <w:pPr>
        <w:spacing w:before="120" w:after="120" w:line="360" w:lineRule="auto"/>
        <w:ind w:left="1416" w:hanging="566"/>
        <w:rPr>
          <w:b/>
          <w:szCs w:val="24"/>
          <w:lang w:eastAsia="en-US"/>
        </w:rPr>
      </w:pPr>
      <w:r>
        <w:rPr>
          <w:szCs w:val="24"/>
          <w:lang w:eastAsia="en-US"/>
        </w:rPr>
        <w:t>b)</w:t>
      </w:r>
      <w:r>
        <w:rPr>
          <w:szCs w:val="24"/>
          <w:lang w:eastAsia="en-US"/>
        </w:rPr>
        <w:tab/>
      </w:r>
      <w:r>
        <w:rPr>
          <w:b/>
          <w:i/>
          <w:szCs w:val="24"/>
          <w:lang w:eastAsia="en-US"/>
        </w:rPr>
        <w:t xml:space="preserve">podporné údaje, </w:t>
      </w:r>
      <w:proofErr w:type="spellStart"/>
      <w:r>
        <w:rPr>
          <w:b/>
          <w:i/>
          <w:szCs w:val="24"/>
          <w:lang w:eastAsia="en-US"/>
        </w:rPr>
        <w:t>metaúdaje</w:t>
      </w:r>
      <w:proofErr w:type="spellEnd"/>
      <w:r>
        <w:rPr>
          <w:b/>
          <w:i/>
          <w:szCs w:val="24"/>
          <w:lang w:eastAsia="en-US"/>
        </w:rPr>
        <w:t xml:space="preserve"> a </w:t>
      </w:r>
      <w:r>
        <w:rPr>
          <w:szCs w:val="24"/>
          <w:lang w:eastAsia="en-US"/>
        </w:rPr>
        <w:t xml:space="preserve">analýzu trendov v oblasti zdravia pôdy v súvislosti s </w:t>
      </w:r>
      <w:proofErr w:type="spellStart"/>
      <w:r>
        <w:rPr>
          <w:szCs w:val="24"/>
          <w:lang w:eastAsia="en-US"/>
        </w:rPr>
        <w:t>deskriptormi</w:t>
      </w:r>
      <w:proofErr w:type="spellEnd"/>
      <w:r>
        <w:rPr>
          <w:szCs w:val="24"/>
          <w:lang w:eastAsia="en-US"/>
        </w:rPr>
        <w:t xml:space="preserve"> uvedenými v častiach A, B a C prílohy I</w:t>
      </w:r>
      <w:r>
        <w:rPr>
          <w:b/>
          <w:i/>
          <w:szCs w:val="24"/>
          <w:lang w:eastAsia="en-US"/>
        </w:rPr>
        <w:t xml:space="preserve"> podľa zvolenej úrovne pre koncepciu monitorovania pôdy</w:t>
      </w:r>
      <w:r>
        <w:rPr>
          <w:szCs w:val="24"/>
          <w:lang w:eastAsia="en-US"/>
        </w:rPr>
        <w:t>, ako aj v prípade ukazovat</w:t>
      </w:r>
      <w:r>
        <w:rPr>
          <w:szCs w:val="24"/>
          <w:lang w:eastAsia="en-US"/>
        </w:rPr>
        <w:t>eľov záberu pôdy a straty priepustnosti pôdy, ktoré sú vymenované v časti D prílohy I, a to v súlade s článkom 9</w:t>
      </w:r>
      <w:r>
        <w:rPr>
          <w:b/>
          <w:i/>
          <w:szCs w:val="24"/>
          <w:lang w:eastAsia="en-US"/>
        </w:rPr>
        <w:t xml:space="preserve">, vrátane rozšírených </w:t>
      </w:r>
      <w:proofErr w:type="spellStart"/>
      <w:r>
        <w:rPr>
          <w:b/>
          <w:i/>
          <w:szCs w:val="24"/>
          <w:lang w:eastAsia="en-US"/>
        </w:rPr>
        <w:t>deskriptorov</w:t>
      </w:r>
      <w:proofErr w:type="spellEnd"/>
      <w:r>
        <w:rPr>
          <w:b/>
          <w:i/>
          <w:szCs w:val="24"/>
          <w:lang w:eastAsia="en-US"/>
        </w:rPr>
        <w:t xml:space="preserve"> uvedených jednotlivými členskými štátmi</w:t>
      </w:r>
      <w:r>
        <w:rPr>
          <w:szCs w:val="24"/>
          <w:lang w:eastAsia="en-US"/>
        </w:rPr>
        <w:t>;</w:t>
      </w:r>
      <w:r>
        <w:rPr>
          <w:b/>
          <w:szCs w:val="24"/>
          <w:lang w:eastAsia="en-US"/>
        </w:rPr>
        <w:t xml:space="preserve"> [PN 169]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1416" w:hanging="566"/>
        <w:rPr>
          <w:szCs w:val="24"/>
          <w:lang w:eastAsia="en-US"/>
        </w:rPr>
      </w:pPr>
      <w:r>
        <w:rPr>
          <w:szCs w:val="24"/>
          <w:lang w:eastAsia="en-US"/>
        </w:rPr>
        <w:lastRenderedPageBreak/>
        <w:t>c)</w:t>
      </w:r>
      <w:r>
        <w:rPr>
          <w:szCs w:val="24"/>
          <w:lang w:eastAsia="en-US"/>
        </w:rPr>
        <w:tab/>
        <w:t>zhrnutie pokroku v oblasti:</w:t>
      </w:r>
    </w:p>
    <w:p w:rsidR="009D7883" w:rsidRDefault="00AA63BB">
      <w:pPr>
        <w:spacing w:before="120" w:after="120" w:line="360" w:lineRule="auto"/>
        <w:ind w:left="1982" w:hanging="566"/>
        <w:rPr>
          <w:szCs w:val="24"/>
          <w:lang w:eastAsia="en-US"/>
        </w:rPr>
      </w:pPr>
      <w:r>
        <w:rPr>
          <w:szCs w:val="24"/>
          <w:lang w:eastAsia="en-US"/>
        </w:rPr>
        <w:t>i)</w:t>
      </w:r>
      <w:r>
        <w:rPr>
          <w:szCs w:val="24"/>
          <w:lang w:eastAsia="en-US"/>
        </w:rPr>
        <w:tab/>
        <w:t>vykonávania zásad udrža</w:t>
      </w:r>
      <w:r>
        <w:rPr>
          <w:szCs w:val="24"/>
          <w:lang w:eastAsia="en-US"/>
        </w:rPr>
        <w:t>teľného obhospodarovania pôdy v súlade s článkom 10;</w:t>
      </w:r>
    </w:p>
    <w:p w:rsidR="009D7883" w:rsidRDefault="00AA63BB">
      <w:pPr>
        <w:spacing w:before="120" w:after="120" w:line="360" w:lineRule="auto"/>
        <w:ind w:left="1982" w:hanging="566"/>
        <w:rPr>
          <w:szCs w:val="24"/>
          <w:lang w:eastAsia="en-US"/>
        </w:rPr>
      </w:pPr>
      <w:r>
        <w:rPr>
          <w:szCs w:val="24"/>
          <w:lang w:eastAsia="en-US"/>
        </w:rPr>
        <w:t>ii)</w:t>
      </w:r>
      <w:r>
        <w:rPr>
          <w:szCs w:val="24"/>
          <w:lang w:eastAsia="en-US"/>
        </w:rPr>
        <w:tab/>
        <w:t>registrácie, identifikácie, prieskumu a obhospodarovania kontaminovaných lokalít v súlade s článkami 12 až 16;</w:t>
      </w:r>
    </w:p>
    <w:p w:rsidR="009D7883" w:rsidRDefault="00AA63BB">
      <w:pPr>
        <w:spacing w:before="120" w:after="120" w:line="360" w:lineRule="auto"/>
        <w:ind w:left="1416" w:hanging="566"/>
        <w:rPr>
          <w:szCs w:val="24"/>
          <w:lang w:eastAsia="en-US"/>
        </w:rPr>
      </w:pPr>
      <w:r>
        <w:rPr>
          <w:szCs w:val="24"/>
          <w:lang w:eastAsia="en-US"/>
        </w:rPr>
        <w:t>d)</w:t>
      </w:r>
      <w:r>
        <w:rPr>
          <w:szCs w:val="24"/>
          <w:lang w:eastAsia="en-US"/>
        </w:rPr>
        <w:tab/>
        <w:t>údaje a informácie zahrnuté v registri, na ktorý sa odkazuje článkom 16.</w:t>
      </w:r>
    </w:p>
    <w:p w:rsidR="009D7883" w:rsidRDefault="00AA63BB">
      <w:pPr>
        <w:spacing w:before="120" w:after="120" w:line="360" w:lineRule="auto"/>
        <w:ind w:left="850"/>
        <w:rPr>
          <w:b/>
          <w:szCs w:val="24"/>
          <w:lang w:eastAsia="en-US"/>
        </w:rPr>
      </w:pPr>
      <w:r>
        <w:rPr>
          <w:szCs w:val="24"/>
          <w:lang w:eastAsia="en-US"/>
        </w:rPr>
        <w:t xml:space="preserve">Prvé správy </w:t>
      </w:r>
      <w:r>
        <w:rPr>
          <w:szCs w:val="24"/>
          <w:lang w:eastAsia="en-US"/>
        </w:rPr>
        <w:t xml:space="preserve">sa majú predložiť do … (Úrad pre publikácie: vložte dátum = </w:t>
      </w:r>
      <w:r>
        <w:rPr>
          <w:strike/>
          <w:szCs w:val="24"/>
          <w:lang w:eastAsia="en-US"/>
        </w:rPr>
        <w:t>5</w:t>
      </w:r>
      <w:r>
        <w:rPr>
          <w:b/>
          <w:i/>
          <w:szCs w:val="24"/>
          <w:lang w:eastAsia="en-US"/>
        </w:rPr>
        <w:t>6</w:t>
      </w:r>
      <w:r>
        <w:rPr>
          <w:szCs w:val="24"/>
          <w:lang w:eastAsia="en-US"/>
        </w:rPr>
        <w:t xml:space="preserve"> rokov</w:t>
      </w:r>
      <w:r>
        <w:rPr>
          <w:strike/>
          <w:szCs w:val="24"/>
          <w:lang w:eastAsia="en-US"/>
        </w:rPr>
        <w:t xml:space="preserve"> a 6 mesiacov </w:t>
      </w:r>
      <w:r>
        <w:rPr>
          <w:szCs w:val="24"/>
          <w:lang w:eastAsia="en-US"/>
        </w:rPr>
        <w:t>po nadobudnutí účinnosti smernice).</w:t>
      </w:r>
      <w:r>
        <w:rPr>
          <w:b/>
          <w:szCs w:val="24"/>
          <w:lang w:eastAsia="en-US"/>
        </w:rPr>
        <w:t xml:space="preserve"> [PN 171]</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Členské štáty zabezpečia, aby Komisia spolu s agentúrou EEA mali stále prístup k informáciám a údajom uvedeným v odseku 1.</w:t>
      </w:r>
    </w:p>
    <w:p w:rsidR="009D7883" w:rsidRDefault="00AA63BB">
      <w:pPr>
        <w:spacing w:before="120" w:after="120" w:line="360" w:lineRule="auto"/>
        <w:ind w:left="850" w:hanging="850"/>
        <w:rPr>
          <w:szCs w:val="24"/>
          <w:lang w:eastAsia="en-US"/>
        </w:rPr>
      </w:pPr>
      <w:r>
        <w:rPr>
          <w:szCs w:val="24"/>
          <w:lang w:eastAsia="en-US"/>
        </w:rPr>
        <w:t>3.</w:t>
      </w:r>
      <w:r>
        <w:rPr>
          <w:szCs w:val="24"/>
          <w:lang w:eastAsia="en-US"/>
        </w:rPr>
        <w:tab/>
      </w:r>
      <w:r>
        <w:rPr>
          <w:szCs w:val="24"/>
          <w:lang w:eastAsia="en-US"/>
        </w:rPr>
        <w:t>Členské štáty poskytnú Komisii online prístup k:</w:t>
      </w:r>
    </w:p>
    <w:p w:rsidR="009D7883" w:rsidRDefault="00AA63BB">
      <w:pPr>
        <w:spacing w:before="120" w:after="120" w:line="360" w:lineRule="auto"/>
        <w:ind w:left="1416" w:hanging="566"/>
        <w:rPr>
          <w:b/>
          <w:szCs w:val="24"/>
          <w:lang w:eastAsia="en-US"/>
        </w:rPr>
      </w:pPr>
      <w:r>
        <w:rPr>
          <w:szCs w:val="24"/>
          <w:lang w:eastAsia="en-US"/>
        </w:rPr>
        <w:t>a)</w:t>
      </w:r>
      <w:r>
        <w:rPr>
          <w:szCs w:val="24"/>
          <w:lang w:eastAsia="en-US"/>
        </w:rPr>
        <w:tab/>
        <w:t xml:space="preserve">aktuálnemu zoznamu ich pôdnych okrskov uvedených v článku 4 a k priestorovým údajom o okrskoch do … (Úrad pre publikácie: vložte dátum = </w:t>
      </w:r>
      <w:r>
        <w:rPr>
          <w:strike/>
          <w:szCs w:val="24"/>
          <w:lang w:eastAsia="en-US"/>
        </w:rPr>
        <w:t>2 roky a 3 mesiace</w:t>
      </w:r>
      <w:r>
        <w:rPr>
          <w:b/>
          <w:i/>
          <w:szCs w:val="24"/>
          <w:lang w:eastAsia="en-US"/>
        </w:rPr>
        <w:t>12 mesiacov</w:t>
      </w:r>
      <w:r>
        <w:rPr>
          <w:szCs w:val="24"/>
          <w:lang w:eastAsia="en-US"/>
        </w:rPr>
        <w:t xml:space="preserve"> po nadobudnutí účinnosti smernice)</w:t>
      </w:r>
      <w:r>
        <w:rPr>
          <w:b/>
          <w:i/>
          <w:szCs w:val="24"/>
          <w:lang w:eastAsia="en-US"/>
        </w:rPr>
        <w:t xml:space="preserve">, </w:t>
      </w:r>
      <w:r>
        <w:rPr>
          <w:b/>
          <w:i/>
          <w:szCs w:val="24"/>
          <w:lang w:eastAsia="en-US"/>
        </w:rPr>
        <w:t>ak sú k dispozícii, ich príslušným plánom pôdnych okrskov</w:t>
      </w:r>
      <w:r>
        <w:rPr>
          <w:szCs w:val="24"/>
          <w:lang w:eastAsia="en-US"/>
        </w:rPr>
        <w:t>;</w:t>
      </w:r>
      <w:r>
        <w:rPr>
          <w:b/>
          <w:szCs w:val="24"/>
          <w:lang w:eastAsia="en-US"/>
        </w:rPr>
        <w:t xml:space="preserve"> [PN 172]</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1416" w:hanging="566"/>
        <w:rPr>
          <w:b/>
          <w:szCs w:val="24"/>
          <w:lang w:eastAsia="en-US"/>
        </w:rPr>
      </w:pPr>
      <w:r>
        <w:rPr>
          <w:szCs w:val="24"/>
          <w:lang w:eastAsia="en-US"/>
        </w:rPr>
        <w:lastRenderedPageBreak/>
        <w:t>b)</w:t>
      </w:r>
      <w:r>
        <w:rPr>
          <w:szCs w:val="24"/>
          <w:lang w:eastAsia="en-US"/>
        </w:rPr>
        <w:tab/>
        <w:t xml:space="preserve">aktuálnemu zoznamu príslušných orgánov uvedených v článku 5 do … (Úrad pre publikácie: vložte dátum = </w:t>
      </w:r>
      <w:r>
        <w:rPr>
          <w:strike/>
          <w:szCs w:val="24"/>
          <w:lang w:eastAsia="en-US"/>
        </w:rPr>
        <w:t>2 roky a 3 mesiace</w:t>
      </w:r>
      <w:r>
        <w:rPr>
          <w:b/>
          <w:i/>
          <w:szCs w:val="24"/>
          <w:lang w:eastAsia="en-US"/>
        </w:rPr>
        <w:t>12 mesiacov</w:t>
      </w:r>
      <w:r>
        <w:rPr>
          <w:szCs w:val="24"/>
          <w:lang w:eastAsia="en-US"/>
        </w:rPr>
        <w:t xml:space="preserve"> po nadobudnutí účinnosti smernice);</w:t>
      </w:r>
      <w:r>
        <w:rPr>
          <w:b/>
          <w:szCs w:val="24"/>
          <w:lang w:eastAsia="en-US"/>
        </w:rPr>
        <w:t xml:space="preserve"> [PN 173]</w:t>
      </w:r>
    </w:p>
    <w:p w:rsidR="009D7883" w:rsidRDefault="00AA63BB">
      <w:pPr>
        <w:spacing w:before="120" w:after="120" w:line="360" w:lineRule="auto"/>
        <w:ind w:left="1416" w:hanging="566"/>
        <w:rPr>
          <w:szCs w:val="24"/>
          <w:lang w:eastAsia="en-US"/>
        </w:rPr>
      </w:pPr>
      <w:r>
        <w:rPr>
          <w:szCs w:val="24"/>
          <w:lang w:eastAsia="en-US"/>
        </w:rPr>
        <w:t>c)</w:t>
      </w:r>
      <w:r>
        <w:rPr>
          <w:szCs w:val="24"/>
          <w:lang w:eastAsia="en-US"/>
        </w:rPr>
        <w:tab/>
      </w:r>
      <w:r>
        <w:rPr>
          <w:szCs w:val="24"/>
          <w:lang w:eastAsia="en-US"/>
        </w:rPr>
        <w:t>opatreniam a postupom udržateľného obhospodarovania pôdy uvedeným v článku 10 do … (Úrad pre publikácie: vložte dátum = 4 roky a 3 mesiace po nadobudnutí účinnosti smernice)</w:t>
      </w:r>
      <w:r>
        <w:rPr>
          <w:strike/>
          <w:szCs w:val="24"/>
          <w:lang w:eastAsia="en-US"/>
        </w:rPr>
        <w:t>.</w:t>
      </w:r>
      <w:r>
        <w:rPr>
          <w:b/>
          <w:i/>
          <w:szCs w:val="24"/>
          <w:lang w:eastAsia="en-US"/>
        </w:rPr>
        <w:t>;</w:t>
      </w:r>
    </w:p>
    <w:p w:rsidR="009D7883" w:rsidRDefault="00AA63BB">
      <w:pPr>
        <w:spacing w:before="120" w:after="120" w:line="360" w:lineRule="auto"/>
        <w:ind w:left="1416" w:hanging="566"/>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 xml:space="preserve">meraniam pôdnych </w:t>
      </w:r>
      <w:proofErr w:type="spellStart"/>
      <w:r>
        <w:rPr>
          <w:b/>
          <w:i/>
          <w:szCs w:val="24"/>
          <w:lang w:eastAsia="en-US"/>
        </w:rPr>
        <w:t>deskriptorov</w:t>
      </w:r>
      <w:proofErr w:type="spellEnd"/>
      <w:r>
        <w:rPr>
          <w:b/>
          <w:i/>
          <w:szCs w:val="24"/>
          <w:lang w:eastAsia="en-US"/>
        </w:rPr>
        <w:t xml:space="preserve"> na úrovni miesta odberu vzorky.</w:t>
      </w:r>
      <w:r>
        <w:rPr>
          <w:b/>
          <w:szCs w:val="24"/>
          <w:lang w:eastAsia="en-US"/>
        </w:rPr>
        <w:t xml:space="preserve"> [PN 174]</w:t>
      </w:r>
    </w:p>
    <w:p w:rsidR="009D7883" w:rsidRDefault="00AA63BB">
      <w:pPr>
        <w:spacing w:before="120" w:after="120" w:line="360" w:lineRule="auto"/>
        <w:ind w:left="850" w:hanging="850"/>
        <w:rPr>
          <w:szCs w:val="24"/>
          <w:lang w:eastAsia="en-US"/>
        </w:rPr>
      </w:pPr>
      <w:r>
        <w:rPr>
          <w:szCs w:val="24"/>
          <w:lang w:eastAsia="en-US"/>
        </w:rPr>
        <w:t>4.</w:t>
      </w:r>
      <w:r>
        <w:rPr>
          <w:szCs w:val="24"/>
          <w:lang w:eastAsia="en-US"/>
        </w:rPr>
        <w:tab/>
        <w:t>Ko</w:t>
      </w:r>
      <w:r>
        <w:rPr>
          <w:szCs w:val="24"/>
          <w:lang w:eastAsia="en-US"/>
        </w:rPr>
        <w:t>misia je splnomocnená prijímať vykonávacie akty, ktorými sa stanoví formát a spôsoby predkladania informácií uvedených v odseku 1 tohto článku. Uvedené vykonávacie akty sa prijmú v súlade s postupom preskúmania uvedeným v článku 21.</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19</w:t>
      </w:r>
      <w:r>
        <w:rPr>
          <w:szCs w:val="24"/>
          <w:lang w:eastAsia="en-US"/>
        </w:rPr>
        <w:br/>
        <w:t>Informovani</w:t>
      </w:r>
      <w:r>
        <w:rPr>
          <w:szCs w:val="24"/>
          <w:lang w:eastAsia="en-US"/>
        </w:rPr>
        <w:t>e verejnosti</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 xml:space="preserve">Členské štáty </w:t>
      </w:r>
      <w:r>
        <w:rPr>
          <w:strike/>
          <w:szCs w:val="24"/>
          <w:lang w:eastAsia="en-US"/>
        </w:rPr>
        <w:t>zverejnia</w:t>
      </w:r>
      <w:r>
        <w:rPr>
          <w:szCs w:val="24"/>
          <w:lang w:eastAsia="en-US"/>
        </w:rPr>
        <w:t xml:space="preserve"> </w:t>
      </w:r>
      <w:r>
        <w:rPr>
          <w:b/>
          <w:i/>
          <w:szCs w:val="24"/>
          <w:lang w:eastAsia="en-US"/>
        </w:rPr>
        <w:t>sprístupnia verejnosti</w:t>
      </w:r>
      <w:r>
        <w:rPr>
          <w:szCs w:val="24"/>
          <w:lang w:eastAsia="en-US"/>
        </w:rPr>
        <w:t xml:space="preserve"> údaje získané z monitorovania, ktoré sa vykonáva v zmysle článku 8, a z </w:t>
      </w:r>
      <w:proofErr w:type="spellStart"/>
      <w:r>
        <w:rPr>
          <w:strike/>
          <w:szCs w:val="24"/>
          <w:lang w:eastAsia="en-US"/>
        </w:rPr>
        <w:t>posúdenia</w:t>
      </w:r>
      <w:r>
        <w:rPr>
          <w:b/>
          <w:i/>
          <w:szCs w:val="24"/>
          <w:lang w:eastAsia="en-US"/>
        </w:rPr>
        <w:t>posúdení</w:t>
      </w:r>
      <w:proofErr w:type="spellEnd"/>
      <w:r>
        <w:rPr>
          <w:szCs w:val="24"/>
          <w:lang w:eastAsia="en-US"/>
        </w:rPr>
        <w:t xml:space="preserve">, ktoré sa </w:t>
      </w:r>
      <w:proofErr w:type="spellStart"/>
      <w:r>
        <w:rPr>
          <w:strike/>
          <w:szCs w:val="24"/>
          <w:lang w:eastAsia="en-US"/>
        </w:rPr>
        <w:t>uskutočňuje</w:t>
      </w:r>
      <w:r>
        <w:rPr>
          <w:b/>
          <w:i/>
          <w:szCs w:val="24"/>
          <w:lang w:eastAsia="en-US"/>
        </w:rPr>
        <w:t>uskutočňujú</w:t>
      </w:r>
      <w:proofErr w:type="spellEnd"/>
      <w:r>
        <w:rPr>
          <w:szCs w:val="24"/>
          <w:lang w:eastAsia="en-US"/>
        </w:rPr>
        <w:t xml:space="preserve"> podľa článku 9</w:t>
      </w:r>
      <w:r>
        <w:rPr>
          <w:b/>
          <w:i/>
          <w:szCs w:val="24"/>
          <w:lang w:eastAsia="en-US"/>
        </w:rPr>
        <w:t xml:space="preserve"> a článku 10 ods. 3</w:t>
      </w:r>
      <w:r>
        <w:rPr>
          <w:szCs w:val="24"/>
          <w:lang w:eastAsia="en-US"/>
        </w:rPr>
        <w:t xml:space="preserve"> tejto smernice – v prípade geografic</w:t>
      </w:r>
      <w:r>
        <w:rPr>
          <w:szCs w:val="24"/>
          <w:lang w:eastAsia="en-US"/>
        </w:rPr>
        <w:t>ky explicitných údajov je zverejnenie v súlade s ustanoveniami článku 11 smernice Európskeho parlamentu a Rady (EÚ) 2007/2/ES</w:t>
      </w:r>
      <w:r>
        <w:rPr>
          <w:szCs w:val="24"/>
          <w:vertAlign w:val="superscript"/>
          <w:lang w:eastAsia="en-US"/>
        </w:rPr>
        <w:footnoteReference w:id="54"/>
      </w:r>
      <w:r>
        <w:rPr>
          <w:szCs w:val="24"/>
          <w:lang w:eastAsia="en-US"/>
        </w:rPr>
        <w:t xml:space="preserve"> a v prípade ostatných údajov je ich uverejnenie v súlade s článkom 5 smernice (EÚ) 2019/1024.</w:t>
      </w:r>
      <w:r>
        <w:rPr>
          <w:b/>
          <w:szCs w:val="24"/>
          <w:lang w:eastAsia="en-US"/>
        </w:rPr>
        <w:t xml:space="preserve"> [PN 175]</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 xml:space="preserve">Komisia zabezpečí, aby </w:t>
      </w:r>
      <w:r>
        <w:rPr>
          <w:szCs w:val="24"/>
          <w:lang w:eastAsia="en-US"/>
        </w:rPr>
        <w:t>boli</w:t>
      </w:r>
      <w:r>
        <w:rPr>
          <w:b/>
          <w:i/>
          <w:szCs w:val="24"/>
          <w:lang w:eastAsia="en-US"/>
        </w:rPr>
        <w:t xml:space="preserve"> relevantné</w:t>
      </w:r>
      <w:r>
        <w:rPr>
          <w:szCs w:val="24"/>
          <w:lang w:eastAsia="en-US"/>
        </w:rPr>
        <w:t xml:space="preserve"> údaje o zdraví pôdy sprístupnené prostredníctvom digitálneho portálu s údajmi o zdraví pôdy, na ktorý sa odkazuje v článku 6, dostupné verejnosti </w:t>
      </w:r>
      <w:r>
        <w:rPr>
          <w:b/>
          <w:i/>
          <w:szCs w:val="24"/>
          <w:lang w:eastAsia="en-US"/>
        </w:rPr>
        <w:t xml:space="preserve">len s výslovným súhlasom vlastníka pôdy a správcu pôdy, v súhrnnej a anonymizovanej podobe, </w:t>
      </w:r>
      <w:r>
        <w:rPr>
          <w:szCs w:val="24"/>
          <w:lang w:eastAsia="en-US"/>
        </w:rPr>
        <w:t xml:space="preserve">v </w:t>
      </w:r>
      <w:r>
        <w:rPr>
          <w:szCs w:val="24"/>
          <w:lang w:eastAsia="en-US"/>
        </w:rPr>
        <w:t>súlade s nariadením Európskeho parlamentu a Rady (EÚ) 2018/1725</w:t>
      </w:r>
      <w:r>
        <w:rPr>
          <w:szCs w:val="24"/>
          <w:vertAlign w:val="superscript"/>
          <w:lang w:eastAsia="en-US"/>
        </w:rPr>
        <w:footnoteReference w:id="55"/>
      </w:r>
      <w:r>
        <w:rPr>
          <w:szCs w:val="24"/>
          <w:lang w:eastAsia="en-US"/>
        </w:rPr>
        <w:t xml:space="preserve"> a nariadením Európskeho parlamentu a Rady (ES) č. 1367/2006</w:t>
      </w:r>
      <w:r>
        <w:rPr>
          <w:szCs w:val="24"/>
          <w:vertAlign w:val="superscript"/>
          <w:lang w:eastAsia="en-US"/>
        </w:rPr>
        <w:footnoteReference w:id="56"/>
      </w:r>
      <w:r>
        <w:rPr>
          <w:szCs w:val="24"/>
          <w:lang w:eastAsia="en-US"/>
        </w:rPr>
        <w:t>.</w:t>
      </w:r>
      <w:r>
        <w:rPr>
          <w:b/>
          <w:szCs w:val="24"/>
          <w:lang w:eastAsia="en-US"/>
        </w:rPr>
        <w:t xml:space="preserve"> [PN 231]</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b/>
          <w:szCs w:val="24"/>
          <w:lang w:eastAsia="en-US"/>
        </w:rPr>
      </w:pPr>
      <w:r>
        <w:rPr>
          <w:szCs w:val="24"/>
          <w:lang w:eastAsia="en-US"/>
        </w:rPr>
        <w:lastRenderedPageBreak/>
        <w:t>3.</w:t>
      </w:r>
      <w:r>
        <w:rPr>
          <w:szCs w:val="24"/>
          <w:lang w:eastAsia="en-US"/>
        </w:rPr>
        <w:tab/>
        <w:t>Členské štáty zabezpečia, aby</w:t>
      </w:r>
      <w:r>
        <w:rPr>
          <w:b/>
          <w:i/>
          <w:szCs w:val="24"/>
          <w:lang w:eastAsia="en-US"/>
        </w:rPr>
        <w:t xml:space="preserve"> relevantné</w:t>
      </w:r>
      <w:r>
        <w:rPr>
          <w:szCs w:val="24"/>
          <w:lang w:eastAsia="en-US"/>
        </w:rPr>
        <w:t xml:space="preserve"> informácie uvedené v článku 18 tejto smernice boli dostupné a prístupné pr</w:t>
      </w:r>
      <w:r>
        <w:rPr>
          <w:szCs w:val="24"/>
          <w:lang w:eastAsia="en-US"/>
        </w:rPr>
        <w:t>e verejnosť</w:t>
      </w:r>
      <w:r>
        <w:rPr>
          <w:b/>
          <w:i/>
          <w:szCs w:val="24"/>
          <w:lang w:eastAsia="en-US"/>
        </w:rPr>
        <w:t xml:space="preserve"> len s výslovným súhlasom vlastníka pôdy a správcu pôdy, v súhrnnej a anonymizovanej podobe,</w:t>
      </w:r>
      <w:r>
        <w:rPr>
          <w:szCs w:val="24"/>
          <w:lang w:eastAsia="en-US"/>
        </w:rPr>
        <w:t xml:space="preserve"> v zmysle smernice 2003/4/ES, smernice 2007/2/ES a smernice Európskeho parlamentu a Rady (EÚ) 2019/1024</w:t>
      </w:r>
      <w:r>
        <w:rPr>
          <w:szCs w:val="24"/>
          <w:vertAlign w:val="superscript"/>
          <w:lang w:eastAsia="en-US"/>
        </w:rPr>
        <w:footnoteReference w:id="57"/>
      </w:r>
      <w:r>
        <w:rPr>
          <w:szCs w:val="24"/>
          <w:lang w:eastAsia="en-US"/>
        </w:rPr>
        <w:t>.</w:t>
      </w:r>
      <w:r>
        <w:rPr>
          <w:b/>
          <w:szCs w:val="24"/>
          <w:lang w:eastAsia="en-US"/>
        </w:rPr>
        <w:t xml:space="preserve"> [PN 232]</w:t>
      </w:r>
    </w:p>
    <w:p w:rsidR="009D7883" w:rsidRDefault="00AA63BB">
      <w:pPr>
        <w:spacing w:before="120" w:after="120" w:line="360" w:lineRule="auto"/>
        <w:ind w:left="850" w:hanging="850"/>
        <w:rPr>
          <w:szCs w:val="24"/>
          <w:lang w:eastAsia="en-US"/>
        </w:rPr>
      </w:pPr>
      <w:r>
        <w:rPr>
          <w:szCs w:val="24"/>
          <w:lang w:eastAsia="en-US"/>
        </w:rPr>
        <w:t>4.</w:t>
      </w:r>
      <w:r>
        <w:rPr>
          <w:szCs w:val="24"/>
          <w:lang w:eastAsia="en-US"/>
        </w:rPr>
        <w:tab/>
        <w:t xml:space="preserve">Zverejnenie akýchkoľvek informácií </w:t>
      </w:r>
      <w:r>
        <w:rPr>
          <w:szCs w:val="24"/>
          <w:lang w:eastAsia="en-US"/>
        </w:rPr>
        <w:t>vyžadovaných podľa tejto smernice možno zamietnuť alebo obmedziť, ak sú splnené podmienky stanovené v článku 4 smernice 2003/4/ES.</w:t>
      </w:r>
    </w:p>
    <w:p w:rsidR="009D7883" w:rsidRDefault="00AA63BB">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Členské štáty prijmú opatrenia na zabezpečenie toho, aby sa informácie o pôde zozbierané prostredníctvom vykonávania tejt</w:t>
      </w:r>
      <w:r>
        <w:rPr>
          <w:b/>
          <w:i/>
          <w:szCs w:val="24"/>
          <w:lang w:eastAsia="en-US"/>
        </w:rPr>
        <w:t>o smernice sprístupnili potenciálnemu kupujúcemu alebo potenciálnemu nájomcovi príslušného pozemku.</w:t>
      </w:r>
      <w:r>
        <w:rPr>
          <w:b/>
          <w:szCs w:val="24"/>
          <w:lang w:eastAsia="en-US"/>
        </w:rPr>
        <w:t xml:space="preserve"> [PN 176]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Kapitola VI</w:t>
      </w:r>
      <w:r>
        <w:rPr>
          <w:szCs w:val="24"/>
          <w:lang w:eastAsia="en-US"/>
        </w:rPr>
        <w:br/>
        <w:t>Delegovanie právomoci a postup výboru</w:t>
      </w:r>
    </w:p>
    <w:p w:rsidR="009D7883" w:rsidRDefault="00AA63BB">
      <w:pPr>
        <w:spacing w:before="120" w:after="120" w:line="360" w:lineRule="auto"/>
        <w:jc w:val="center"/>
        <w:rPr>
          <w:szCs w:val="24"/>
          <w:lang w:eastAsia="en-US"/>
        </w:rPr>
      </w:pPr>
      <w:r>
        <w:rPr>
          <w:szCs w:val="24"/>
          <w:lang w:eastAsia="en-US"/>
        </w:rPr>
        <w:t>Článok 20</w:t>
      </w:r>
      <w:r>
        <w:rPr>
          <w:szCs w:val="24"/>
          <w:lang w:eastAsia="en-US"/>
        </w:rPr>
        <w:br/>
        <w:t>Vykonávanie delegovania právomoci</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 xml:space="preserve">Komisii sa udeľuje právomoc prijímať delegované </w:t>
      </w:r>
      <w:r>
        <w:rPr>
          <w:szCs w:val="24"/>
          <w:lang w:eastAsia="en-US"/>
        </w:rPr>
        <w:t>akty za podmienok stanovených v tomto článku.</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 xml:space="preserve">Právomoc prijímať delegované akty uvedené v článkoch 8, </w:t>
      </w:r>
      <w:r>
        <w:rPr>
          <w:strike/>
          <w:szCs w:val="24"/>
          <w:lang w:eastAsia="en-US"/>
        </w:rPr>
        <w:t>10, 15 a 16</w:t>
      </w:r>
      <w:r>
        <w:rPr>
          <w:b/>
          <w:i/>
          <w:szCs w:val="24"/>
          <w:lang w:eastAsia="en-US"/>
        </w:rPr>
        <w:t>9 a 15</w:t>
      </w:r>
      <w:r>
        <w:rPr>
          <w:szCs w:val="24"/>
          <w:lang w:eastAsia="en-US"/>
        </w:rPr>
        <w:t xml:space="preserve"> sa Komisii udeľuje na dobu neurčitú odo dňa nadobudnutia účinnosti tejto smernice.</w:t>
      </w:r>
      <w:r>
        <w:rPr>
          <w:b/>
          <w:szCs w:val="24"/>
          <w:lang w:eastAsia="en-US"/>
        </w:rPr>
        <w:t xml:space="preserve"> [PN 177]</w:t>
      </w:r>
    </w:p>
    <w:p w:rsidR="009D7883" w:rsidRDefault="00AA63BB">
      <w:pPr>
        <w:spacing w:before="120" w:after="120" w:line="360" w:lineRule="auto"/>
        <w:ind w:left="850" w:hanging="850"/>
        <w:rPr>
          <w:b/>
          <w:szCs w:val="24"/>
          <w:lang w:eastAsia="en-US"/>
        </w:rPr>
      </w:pPr>
      <w:r>
        <w:rPr>
          <w:szCs w:val="24"/>
          <w:lang w:eastAsia="en-US"/>
        </w:rPr>
        <w:t>3.</w:t>
      </w:r>
      <w:r>
        <w:rPr>
          <w:szCs w:val="24"/>
          <w:lang w:eastAsia="en-US"/>
        </w:rPr>
        <w:tab/>
        <w:t>Delegovanie právomoci uvedené v článko</w:t>
      </w:r>
      <w:r>
        <w:rPr>
          <w:szCs w:val="24"/>
          <w:lang w:eastAsia="en-US"/>
        </w:rPr>
        <w:t xml:space="preserve">ch 8, </w:t>
      </w:r>
      <w:r>
        <w:rPr>
          <w:strike/>
          <w:szCs w:val="24"/>
          <w:lang w:eastAsia="en-US"/>
        </w:rPr>
        <w:t xml:space="preserve">10, 15 a 16 </w:t>
      </w:r>
      <w:r>
        <w:rPr>
          <w:b/>
          <w:i/>
          <w:szCs w:val="24"/>
          <w:lang w:eastAsia="en-US"/>
        </w:rPr>
        <w:t xml:space="preserve">9 a 15 </w:t>
      </w:r>
      <w:r>
        <w:rPr>
          <w:szCs w:val="24"/>
          <w:lang w:eastAsia="en-US"/>
        </w:rPr>
        <w:t xml:space="preserve">môže Európsky parlament alebo Rada kedykoľvek odvolať. Rozhodnutím o odvolaní sa ukončuje delegovanie právomoci, ktoré sa v ňom uvádza. Rozhodnutie nadobúda účinnosť dňom nasledujúcim po jeho uverejnení v </w:t>
      </w:r>
      <w:bookmarkStart w:id="15" w:name="_GoBack"/>
      <w:r w:rsidRPr="00AA63BB">
        <w:rPr>
          <w:i/>
          <w:szCs w:val="24"/>
          <w:lang w:eastAsia="en-US"/>
        </w:rPr>
        <w:t>Úradnom vestníku Európskej</w:t>
      </w:r>
      <w:r w:rsidRPr="00AA63BB">
        <w:rPr>
          <w:i/>
          <w:szCs w:val="24"/>
          <w:lang w:eastAsia="en-US"/>
        </w:rPr>
        <w:t xml:space="preserve"> únie</w:t>
      </w:r>
      <w:bookmarkEnd w:id="15"/>
      <w:r>
        <w:rPr>
          <w:szCs w:val="24"/>
          <w:lang w:eastAsia="en-US"/>
        </w:rPr>
        <w:t xml:space="preserve"> alebo k neskoršiemu dátumu, ktorý je v ňom určený. Nie je ním dotknutá platnosť delegovaných aktov, ktoré už nadobudli účinnosť.</w:t>
      </w:r>
      <w:r>
        <w:rPr>
          <w:b/>
          <w:szCs w:val="24"/>
          <w:lang w:eastAsia="en-US"/>
        </w:rPr>
        <w:t xml:space="preserve"> [PN 178]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850" w:hanging="850"/>
        <w:rPr>
          <w:szCs w:val="24"/>
          <w:lang w:eastAsia="en-US"/>
        </w:rPr>
      </w:pPr>
      <w:r>
        <w:rPr>
          <w:szCs w:val="24"/>
          <w:lang w:eastAsia="en-US"/>
        </w:rPr>
        <w:lastRenderedPageBreak/>
        <w:t>4.</w:t>
      </w:r>
      <w:r>
        <w:rPr>
          <w:szCs w:val="24"/>
          <w:lang w:eastAsia="en-US"/>
        </w:rPr>
        <w:tab/>
        <w:t>Komisia pred prijatím delegovaného aktu uskutoční konzultácie s expertmi určenými jednotlivými členskými št</w:t>
      </w:r>
      <w:r>
        <w:rPr>
          <w:szCs w:val="24"/>
          <w:lang w:eastAsia="en-US"/>
        </w:rPr>
        <w:t xml:space="preserve">átmi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p>
    <w:p w:rsidR="009D7883" w:rsidRDefault="00AA63BB">
      <w:pPr>
        <w:spacing w:before="120" w:after="120" w:line="360" w:lineRule="auto"/>
        <w:ind w:left="850" w:hanging="850"/>
        <w:rPr>
          <w:szCs w:val="24"/>
          <w:lang w:eastAsia="en-US"/>
        </w:rPr>
      </w:pPr>
      <w:r>
        <w:rPr>
          <w:szCs w:val="24"/>
          <w:lang w:eastAsia="en-US"/>
        </w:rPr>
        <w:t>5.</w:t>
      </w:r>
      <w:r>
        <w:rPr>
          <w:szCs w:val="24"/>
          <w:lang w:eastAsia="en-US"/>
        </w:rPr>
        <w:tab/>
        <w:t>Komisia oznamuje delegovaný akt hneď po jeho prijatí súčasne Európskemu parlamentu a Rade.</w:t>
      </w:r>
    </w:p>
    <w:p w:rsidR="009D7883" w:rsidRDefault="00AA63BB">
      <w:pPr>
        <w:spacing w:before="120" w:after="120" w:line="360" w:lineRule="auto"/>
        <w:ind w:left="850" w:hanging="850"/>
        <w:rPr>
          <w:b/>
          <w:szCs w:val="24"/>
          <w:lang w:eastAsia="en-US"/>
        </w:rPr>
      </w:pPr>
      <w:r>
        <w:rPr>
          <w:szCs w:val="24"/>
          <w:lang w:eastAsia="en-US"/>
        </w:rPr>
        <w:t>6.</w:t>
      </w:r>
      <w:r>
        <w:rPr>
          <w:szCs w:val="24"/>
          <w:lang w:eastAsia="en-US"/>
        </w:rPr>
        <w:tab/>
        <w:t xml:space="preserve">Delegovaný akt prijatý podľa článkov 8, </w:t>
      </w:r>
      <w:r>
        <w:rPr>
          <w:strike/>
          <w:szCs w:val="24"/>
          <w:lang w:eastAsia="en-US"/>
        </w:rPr>
        <w:t xml:space="preserve">10, 15 a </w:t>
      </w:r>
      <w:r>
        <w:rPr>
          <w:strike/>
          <w:szCs w:val="24"/>
          <w:lang w:eastAsia="en-US"/>
        </w:rPr>
        <w:t xml:space="preserve">16 </w:t>
      </w:r>
      <w:r>
        <w:rPr>
          <w:b/>
          <w:i/>
          <w:szCs w:val="24"/>
          <w:lang w:eastAsia="en-US"/>
        </w:rPr>
        <w:t xml:space="preserve">9 a 15 </w:t>
      </w:r>
      <w:r>
        <w:rPr>
          <w:szCs w:val="24"/>
          <w:lang w:eastAsia="en-US"/>
        </w:rPr>
        <w:t>nadobudne účinnosť, len ak Európsky parlament alebo Rada voči nemu nevzniesli námietku v lehote dvoch mesiacov odo dňa oznámenia uvedeného aktu Európskemu parlamentu a Rade alebo ak pred uplynutím uvedenej lehoty Európsky parlament a Rada informo</w:t>
      </w:r>
      <w:r>
        <w:rPr>
          <w:szCs w:val="24"/>
          <w:lang w:eastAsia="en-US"/>
        </w:rPr>
        <w:t>vali Komisiu o svojom rozhodnutí nevzniesť námietku. Na podnet Európskeho parlamentu alebo Rady sa táto lehota predĺži o dva mesiace.</w:t>
      </w:r>
      <w:r>
        <w:rPr>
          <w:b/>
          <w:szCs w:val="24"/>
          <w:lang w:eastAsia="en-US"/>
        </w:rPr>
        <w:t xml:space="preserve"> [PN 179]</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21</w:t>
      </w:r>
      <w:r>
        <w:rPr>
          <w:szCs w:val="24"/>
          <w:lang w:eastAsia="en-US"/>
        </w:rPr>
        <w:br/>
        <w:t>Výbor</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Komisii pomáha výbor. Uvedený výbor je výborom v zmysle nariadenia (EÚ) č. 182/2011.</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 xml:space="preserve">Ak </w:t>
      </w:r>
      <w:r>
        <w:rPr>
          <w:szCs w:val="24"/>
          <w:lang w:eastAsia="en-US"/>
        </w:rPr>
        <w:t>sa odkazuje na tento odsek, uplatňuje sa článok 5 nariadenia (EÚ) č. 182/2011.</w:t>
      </w:r>
    </w:p>
    <w:p w:rsidR="009D7883" w:rsidRDefault="00AA63BB">
      <w:pPr>
        <w:spacing w:before="120" w:after="120" w:line="360" w:lineRule="auto"/>
        <w:jc w:val="center"/>
        <w:rPr>
          <w:szCs w:val="24"/>
          <w:lang w:eastAsia="en-US"/>
        </w:rPr>
      </w:pPr>
      <w:r>
        <w:rPr>
          <w:szCs w:val="24"/>
          <w:lang w:eastAsia="en-US"/>
        </w:rPr>
        <w:t xml:space="preserve">Kapitola VII </w:t>
      </w:r>
      <w:r>
        <w:rPr>
          <w:szCs w:val="24"/>
          <w:lang w:eastAsia="en-US"/>
        </w:rPr>
        <w:br/>
        <w:t xml:space="preserve">Záverečné ustanovenia </w:t>
      </w:r>
    </w:p>
    <w:p w:rsidR="009D7883" w:rsidRDefault="00AA63BB">
      <w:pPr>
        <w:spacing w:before="120" w:after="120" w:line="360" w:lineRule="auto"/>
        <w:jc w:val="center"/>
        <w:rPr>
          <w:szCs w:val="24"/>
          <w:lang w:eastAsia="en-US"/>
        </w:rPr>
      </w:pPr>
      <w:r>
        <w:rPr>
          <w:szCs w:val="24"/>
          <w:lang w:eastAsia="en-US"/>
        </w:rPr>
        <w:t>Článok 22</w:t>
      </w:r>
      <w:r>
        <w:rPr>
          <w:szCs w:val="24"/>
          <w:lang w:eastAsia="en-US"/>
        </w:rPr>
        <w:br/>
        <w:t>Prístup k spravodlivosti</w:t>
      </w:r>
    </w:p>
    <w:p w:rsidR="009D7883" w:rsidRDefault="00AA63BB">
      <w:pPr>
        <w:spacing w:before="120" w:after="120" w:line="360" w:lineRule="auto"/>
        <w:rPr>
          <w:szCs w:val="24"/>
          <w:lang w:eastAsia="en-US"/>
        </w:rPr>
      </w:pPr>
      <w:r>
        <w:rPr>
          <w:szCs w:val="24"/>
          <w:lang w:eastAsia="en-US"/>
        </w:rPr>
        <w:t>Členské štáty zabezpečia, aby v súlade s vnútroštátnym právom občania z radov verejnosti, ktorí majú dost</w:t>
      </w:r>
      <w:r>
        <w:rPr>
          <w:szCs w:val="24"/>
          <w:lang w:eastAsia="en-US"/>
        </w:rPr>
        <w:t>atočný záujem alebo ktorí sa domnievajú, že boli porušené ich práva, mali prístup k prostriedkom preskúmania na súde alebo pred nezávislým a nestranným orgánom, ktorý je zriadený zákonom, a aby mohli vzniesť hmotnoprávnu alebo procesnú námietku týkajúcu sa</w:t>
      </w:r>
      <w:r>
        <w:rPr>
          <w:szCs w:val="24"/>
          <w:lang w:eastAsia="en-US"/>
        </w:rPr>
        <w:t xml:space="preserve"> posúdenia zdravia pôdy, opatrení prijatých v zmysle tejto smernice alebo akejkoľvek nečinnosti príslušných orgánov.</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rPr>
          <w:b/>
          <w:szCs w:val="24"/>
          <w:lang w:eastAsia="en-US"/>
        </w:rPr>
      </w:pPr>
      <w:r>
        <w:rPr>
          <w:szCs w:val="24"/>
          <w:lang w:eastAsia="en-US"/>
        </w:rPr>
        <w:lastRenderedPageBreak/>
        <w:t>Členské štáty určia, čo predstavuje dostatočný záujem a porušenie práva, v súlade s cieľom poskytnúť verejnosti široký prístup k spravodl</w:t>
      </w:r>
      <w:r>
        <w:rPr>
          <w:szCs w:val="24"/>
          <w:lang w:eastAsia="en-US"/>
        </w:rPr>
        <w:t>ivosti</w:t>
      </w:r>
      <w:r>
        <w:rPr>
          <w:b/>
          <w:i/>
          <w:szCs w:val="24"/>
          <w:lang w:eastAsia="en-US"/>
        </w:rPr>
        <w:t xml:space="preserve"> v súlade s článkom 9 </w:t>
      </w:r>
      <w:proofErr w:type="spellStart"/>
      <w:r>
        <w:rPr>
          <w:b/>
          <w:i/>
          <w:szCs w:val="24"/>
          <w:lang w:eastAsia="en-US"/>
        </w:rPr>
        <w:t>Aarhuského</w:t>
      </w:r>
      <w:proofErr w:type="spellEnd"/>
      <w:r>
        <w:rPr>
          <w:b/>
          <w:i/>
          <w:szCs w:val="24"/>
          <w:lang w:eastAsia="en-US"/>
        </w:rPr>
        <w:t xml:space="preserve"> dohovoru</w:t>
      </w:r>
      <w:r>
        <w:rPr>
          <w:szCs w:val="24"/>
          <w:lang w:eastAsia="en-US"/>
        </w:rPr>
        <w:t>.</w:t>
      </w:r>
      <w:r>
        <w:rPr>
          <w:b/>
          <w:i/>
          <w:szCs w:val="24"/>
          <w:lang w:eastAsia="en-US"/>
        </w:rPr>
        <w:t xml:space="preserve"> Uznanie spôsobilosti v postupe preskúmania nie je podmienené úlohou, ktorú dotknutý príslušník verejnosti mal vo fáze účasti na rozhodovacích postupoch podľa tejto smernice</w:t>
      </w:r>
      <w:r>
        <w:rPr>
          <w:strike/>
          <w:szCs w:val="24"/>
          <w:lang w:eastAsia="en-US"/>
        </w:rPr>
        <w:t xml:space="preserve"> Na účely odseku 1 sa predpokladá, </w:t>
      </w:r>
      <w:r>
        <w:rPr>
          <w:strike/>
          <w:szCs w:val="24"/>
          <w:lang w:eastAsia="en-US"/>
        </w:rPr>
        <w:t>že každá mimovládna organizácia, ktorá podporuje ochranu životného prostredia a spĺňa všetky požiadavky vnútroštátnych právnych predpisov, má práva, ktoré môžu byť porušené, a jej záujem sa považuje za dostatočný</w:t>
      </w:r>
      <w:r>
        <w:rPr>
          <w:szCs w:val="24"/>
          <w:lang w:eastAsia="en-US"/>
        </w:rPr>
        <w:t>.</w:t>
      </w:r>
      <w:r>
        <w:rPr>
          <w:b/>
          <w:szCs w:val="24"/>
          <w:lang w:eastAsia="en-US"/>
        </w:rPr>
        <w:t xml:space="preserve"> [PN 180]</w:t>
      </w:r>
    </w:p>
    <w:p w:rsidR="009D7883" w:rsidRDefault="00AA63BB">
      <w:pPr>
        <w:spacing w:before="120" w:after="120" w:line="360" w:lineRule="auto"/>
        <w:rPr>
          <w:szCs w:val="24"/>
          <w:lang w:eastAsia="en-US"/>
        </w:rPr>
      </w:pPr>
      <w:r>
        <w:rPr>
          <w:szCs w:val="24"/>
          <w:lang w:eastAsia="en-US"/>
        </w:rPr>
        <w:t>Prostriedky preskúmania uvedené v</w:t>
      </w:r>
      <w:r>
        <w:rPr>
          <w:szCs w:val="24"/>
          <w:lang w:eastAsia="en-US"/>
        </w:rPr>
        <w:t xml:space="preserve"> odseku 1 musia byť spravodlivé, nestranné, včasné a bezplatné alebo nesmú byť neprimerane drahé a musia poskytovať primerané a účinné prostriedky nápravy, v prípade potreby vrátane súdnych príkazov ukladajúcich povinnosť zdržať sa určitého konania.</w:t>
      </w:r>
    </w:p>
    <w:p w:rsidR="009D7883" w:rsidRDefault="00AA63BB">
      <w:pPr>
        <w:spacing w:before="120" w:after="120" w:line="360" w:lineRule="auto"/>
        <w:rPr>
          <w:szCs w:val="24"/>
          <w:lang w:eastAsia="en-US"/>
        </w:rPr>
      </w:pPr>
      <w:r>
        <w:rPr>
          <w:szCs w:val="24"/>
          <w:lang w:eastAsia="en-US"/>
        </w:rPr>
        <w:t>Člensk</w:t>
      </w:r>
      <w:r>
        <w:rPr>
          <w:szCs w:val="24"/>
          <w:lang w:eastAsia="en-US"/>
        </w:rPr>
        <w:t>é štáty zabezpečia, aby sa verejnosti sprístupnili praktické informácie o prístupe k prostriedkom správneho a súdneho preskúmania uvedeným v tomto článku.</w:t>
      </w:r>
    </w:p>
    <w:p w:rsidR="009D7883" w:rsidRDefault="00AA63BB">
      <w:pPr>
        <w:widowControl/>
        <w:rPr>
          <w:strike/>
          <w:szCs w:val="24"/>
          <w:lang w:eastAsia="en-US"/>
        </w:rPr>
      </w:pPr>
      <w:r>
        <w:rPr>
          <w:strike/>
          <w:szCs w:val="24"/>
          <w:lang w:eastAsia="en-US"/>
        </w:rPr>
        <w:br w:type="page"/>
      </w:r>
    </w:p>
    <w:p w:rsidR="009D7883" w:rsidRDefault="00AA63BB">
      <w:pPr>
        <w:spacing w:before="120" w:after="120" w:line="360" w:lineRule="auto"/>
        <w:jc w:val="center"/>
        <w:rPr>
          <w:szCs w:val="24"/>
          <w:lang w:eastAsia="en-US"/>
        </w:rPr>
      </w:pPr>
      <w:r>
        <w:rPr>
          <w:strike/>
          <w:szCs w:val="24"/>
          <w:lang w:eastAsia="en-US"/>
        </w:rPr>
        <w:lastRenderedPageBreak/>
        <w:t>Článok 23</w:t>
      </w:r>
      <w:r>
        <w:rPr>
          <w:szCs w:val="24"/>
          <w:lang w:eastAsia="en-US"/>
        </w:rPr>
        <w:br/>
      </w:r>
      <w:r>
        <w:rPr>
          <w:strike/>
          <w:szCs w:val="24"/>
          <w:lang w:eastAsia="en-US"/>
        </w:rPr>
        <w:t>Sankcie</w:t>
      </w:r>
    </w:p>
    <w:p w:rsidR="009D7883" w:rsidRDefault="00AA63BB">
      <w:pPr>
        <w:spacing w:before="120" w:after="120" w:line="360" w:lineRule="auto"/>
        <w:ind w:left="850" w:hanging="850"/>
        <w:rPr>
          <w:szCs w:val="24"/>
          <w:lang w:eastAsia="en-US"/>
        </w:rPr>
      </w:pPr>
      <w:r>
        <w:rPr>
          <w:strike/>
          <w:szCs w:val="24"/>
          <w:lang w:eastAsia="en-US"/>
        </w:rPr>
        <w:t>1.</w:t>
      </w:r>
      <w:r>
        <w:rPr>
          <w:szCs w:val="24"/>
          <w:lang w:eastAsia="en-US"/>
        </w:rPr>
        <w:tab/>
      </w:r>
      <w:r>
        <w:rPr>
          <w:strike/>
          <w:szCs w:val="24"/>
          <w:lang w:eastAsia="en-US"/>
        </w:rPr>
        <w:t>Bez toho, aby boli dotknuté povinnosti členských štátov podľa smernice Európsk</w:t>
      </w:r>
      <w:r>
        <w:rPr>
          <w:strike/>
          <w:szCs w:val="24"/>
          <w:lang w:eastAsia="en-US"/>
        </w:rPr>
        <w:t>eho parlamentu a Rady 2008/99/ES, členské štáty stanovia pravidlá týkajúce sa sankcií uplatniteľných v prípade porušenia vnútroštátnych ustanovení prijatých v zmysle tejto smernice zo strany fyzickej či právnickej osoby. Členské štáty takisto zabezpečia vy</w:t>
      </w:r>
      <w:r>
        <w:rPr>
          <w:strike/>
          <w:szCs w:val="24"/>
          <w:lang w:eastAsia="en-US"/>
        </w:rPr>
        <w:t>konávanie uvedených pravidiel. Stanovené sankcie musia byť účinné, primerané a odrádzajúce.</w:t>
      </w:r>
    </w:p>
    <w:p w:rsidR="009D7883" w:rsidRDefault="00AA63BB">
      <w:pPr>
        <w:spacing w:before="120" w:after="120" w:line="360" w:lineRule="auto"/>
        <w:ind w:left="850" w:hanging="850"/>
        <w:rPr>
          <w:szCs w:val="24"/>
          <w:lang w:eastAsia="en-US"/>
        </w:rPr>
      </w:pPr>
      <w:r>
        <w:rPr>
          <w:strike/>
          <w:szCs w:val="24"/>
          <w:lang w:eastAsia="en-US"/>
        </w:rPr>
        <w:t>2.</w:t>
      </w:r>
      <w:r>
        <w:rPr>
          <w:szCs w:val="24"/>
          <w:lang w:eastAsia="en-US"/>
        </w:rPr>
        <w:tab/>
      </w:r>
      <w:r>
        <w:rPr>
          <w:strike/>
          <w:szCs w:val="24"/>
          <w:lang w:eastAsia="en-US"/>
        </w:rPr>
        <w:t>Sankcie uvedené v odseku 1 zahŕňajú pokuty úmerné obratu právnickej osoby alebo príjmu fyzickej osoby, ktorá sa dopustila porušenia. Výška pokút sa vypočíta tak,</w:t>
      </w:r>
      <w:r>
        <w:rPr>
          <w:strike/>
          <w:szCs w:val="24"/>
          <w:lang w:eastAsia="en-US"/>
        </w:rPr>
        <w:t xml:space="preserve"> aby osoba zodpovedná za porušenie pravidiel prišla o hospodárske výhody plynúce z uvedeného porušenia. V prípade porušenia, ktorého sa dopustila právnická osoba, sú takéto pokuty úmerné ročnému obratu právnickej osoby v dotknutom členskom štáte, pričom sa</w:t>
      </w:r>
      <w:r>
        <w:rPr>
          <w:strike/>
          <w:szCs w:val="24"/>
          <w:lang w:eastAsia="en-US"/>
        </w:rPr>
        <w:t xml:space="preserve"> okrem iného zohľadňujú osobitosti malých a stredných podnikov (MSP).</w:t>
      </w:r>
    </w:p>
    <w:p w:rsidR="009D7883" w:rsidRDefault="00AA63BB">
      <w:pPr>
        <w:spacing w:before="120" w:after="120" w:line="360" w:lineRule="auto"/>
        <w:ind w:left="850" w:hanging="850"/>
        <w:rPr>
          <w:szCs w:val="24"/>
          <w:lang w:eastAsia="en-US"/>
        </w:rPr>
      </w:pPr>
      <w:r>
        <w:rPr>
          <w:strike/>
          <w:szCs w:val="24"/>
          <w:lang w:eastAsia="en-US"/>
        </w:rPr>
        <w:t>3.</w:t>
      </w:r>
      <w:r>
        <w:rPr>
          <w:szCs w:val="24"/>
          <w:lang w:eastAsia="en-US"/>
        </w:rPr>
        <w:tab/>
      </w:r>
      <w:r>
        <w:rPr>
          <w:strike/>
          <w:szCs w:val="24"/>
          <w:lang w:eastAsia="en-US"/>
        </w:rPr>
        <w:t>Členské štáty zabezpečia, aby sa v sankciách zavedených v súlade s týmto článkom riadne zohľadnili tieto prvky (ak sú uplatniteľné):</w:t>
      </w:r>
    </w:p>
    <w:p w:rsidR="009D7883" w:rsidRDefault="00AA63BB">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povaha, závažnosť a rozsah porušenia;</w:t>
      </w:r>
    </w:p>
    <w:p w:rsidR="009D7883" w:rsidRDefault="00AA63BB">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úmyselný alebo nedbanlivostný charakter porušenia;</w:t>
      </w:r>
    </w:p>
    <w:p w:rsidR="009D7883" w:rsidRDefault="00AA63BB">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obyvateľstvo alebo životné prostredie, ktoré bolo porušením zasiahnuté, so zohľadnením vplyvu daného porušenia na cieľ, ktorým je dosiahnutie vysokej úrovne ochrany ľudského zdravia a životného prostred</w:t>
      </w:r>
      <w:r>
        <w:rPr>
          <w:strike/>
          <w:szCs w:val="24"/>
          <w:lang w:eastAsia="en-US"/>
        </w:rPr>
        <w:t>ia.</w:t>
      </w:r>
    </w:p>
    <w:p w:rsidR="009D7883" w:rsidRDefault="00AA63BB">
      <w:pPr>
        <w:spacing w:before="120" w:after="120" w:line="360" w:lineRule="auto"/>
        <w:ind w:left="850" w:hanging="850"/>
        <w:rPr>
          <w:b/>
          <w:szCs w:val="24"/>
          <w:lang w:eastAsia="en-US"/>
        </w:rPr>
      </w:pPr>
      <w:r>
        <w:rPr>
          <w:strike/>
          <w:szCs w:val="24"/>
          <w:lang w:eastAsia="en-US"/>
        </w:rPr>
        <w:t>4.</w:t>
      </w:r>
      <w:r>
        <w:rPr>
          <w:szCs w:val="24"/>
          <w:lang w:eastAsia="en-US"/>
        </w:rPr>
        <w:tab/>
      </w:r>
      <w:r>
        <w:rPr>
          <w:strike/>
          <w:szCs w:val="24"/>
          <w:lang w:eastAsia="en-US"/>
        </w:rPr>
        <w:t>Členské štáty o pravidlách a opatreniach uvedených v odseku 1 bezodkladne informujú Komisiu a oznámia jej každú nasledujúcu zmenu, ktorá ich ovplyvní.</w:t>
      </w:r>
      <w:r>
        <w:rPr>
          <w:b/>
          <w:szCs w:val="24"/>
          <w:lang w:eastAsia="en-US"/>
        </w:rPr>
        <w:t xml:space="preserve"> [PN 234]</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24</w:t>
      </w:r>
      <w:r>
        <w:rPr>
          <w:szCs w:val="24"/>
          <w:lang w:eastAsia="en-US"/>
        </w:rPr>
        <w:br/>
        <w:t>Hodnotenie a preskúmanie</w:t>
      </w:r>
    </w:p>
    <w:p w:rsidR="009D7883" w:rsidRDefault="00AA63BB">
      <w:pPr>
        <w:spacing w:before="120" w:after="120" w:line="360" w:lineRule="auto"/>
        <w:ind w:left="850" w:hanging="850"/>
        <w:rPr>
          <w:b/>
          <w:szCs w:val="24"/>
          <w:lang w:eastAsia="en-US"/>
        </w:rPr>
      </w:pPr>
      <w:r>
        <w:rPr>
          <w:szCs w:val="24"/>
          <w:lang w:eastAsia="en-US"/>
        </w:rPr>
        <w:t>1.</w:t>
      </w:r>
      <w:r>
        <w:rPr>
          <w:szCs w:val="24"/>
          <w:lang w:eastAsia="en-US"/>
        </w:rPr>
        <w:tab/>
        <w:t>Komisia do (Úrad pre publikácie: vložte dátum = 6</w:t>
      </w:r>
      <w:r>
        <w:rPr>
          <w:szCs w:val="24"/>
          <w:lang w:eastAsia="en-US"/>
        </w:rPr>
        <w:t xml:space="preserve"> rokov po nadobudnutí účinnosti smernice) vykoná hodnotenie tejto smernice, aby posúdila pokrok pri dosahovaní jej cieľov a potrebu zmeniť ustanovenia s cieľom </w:t>
      </w:r>
      <w:r>
        <w:rPr>
          <w:strike/>
          <w:szCs w:val="24"/>
          <w:lang w:eastAsia="en-US"/>
        </w:rPr>
        <w:t xml:space="preserve">stanoviť </w:t>
      </w:r>
      <w:proofErr w:type="spellStart"/>
      <w:r>
        <w:rPr>
          <w:strike/>
          <w:szCs w:val="24"/>
          <w:lang w:eastAsia="en-US"/>
        </w:rPr>
        <w:t>konkrétnejšie</w:t>
      </w:r>
      <w:r>
        <w:rPr>
          <w:b/>
          <w:i/>
          <w:szCs w:val="24"/>
          <w:lang w:eastAsia="en-US"/>
        </w:rPr>
        <w:t>prispôsobiť</w:t>
      </w:r>
      <w:proofErr w:type="spellEnd"/>
      <w:r>
        <w:rPr>
          <w:szCs w:val="24"/>
          <w:lang w:eastAsia="en-US"/>
        </w:rPr>
        <w:t xml:space="preserve"> požiadavky</w:t>
      </w:r>
      <w:r>
        <w:rPr>
          <w:b/>
          <w:i/>
          <w:szCs w:val="24"/>
          <w:lang w:eastAsia="en-US"/>
        </w:rPr>
        <w:t xml:space="preserve"> stanovené v tejto smernici a zabezpečiť neustály po</w:t>
      </w:r>
      <w:r>
        <w:rPr>
          <w:b/>
          <w:i/>
          <w:szCs w:val="24"/>
          <w:lang w:eastAsia="en-US"/>
        </w:rPr>
        <w:t>krok smerom k tomu, aby bola</w:t>
      </w:r>
      <w:r>
        <w:rPr>
          <w:strike/>
          <w:szCs w:val="24"/>
          <w:lang w:eastAsia="en-US"/>
        </w:rPr>
        <w:t>, aby sa zabezpečila regenerácia nezdravých pôd a zdravý stav všetkých pôd</w:t>
      </w:r>
      <w:r>
        <w:rPr>
          <w:szCs w:val="24"/>
          <w:lang w:eastAsia="en-US"/>
        </w:rPr>
        <w:t xml:space="preserve"> do roku 2050</w:t>
      </w:r>
      <w:r>
        <w:rPr>
          <w:b/>
          <w:i/>
          <w:szCs w:val="24"/>
          <w:lang w:eastAsia="en-US"/>
        </w:rPr>
        <w:t xml:space="preserve"> všetka pôda zdravá</w:t>
      </w:r>
      <w:r>
        <w:rPr>
          <w:szCs w:val="24"/>
          <w:lang w:eastAsia="en-US"/>
        </w:rPr>
        <w:t>. V hodnotení sa okrem iného zohľadnia tieto prvky:</w:t>
      </w:r>
      <w:r>
        <w:rPr>
          <w:b/>
          <w:szCs w:val="24"/>
          <w:lang w:eastAsia="en-US"/>
        </w:rPr>
        <w:t xml:space="preserve"> [PN 186]</w:t>
      </w:r>
    </w:p>
    <w:p w:rsidR="009D7883" w:rsidRDefault="00AA63BB">
      <w:pPr>
        <w:spacing w:before="120" w:after="120" w:line="360" w:lineRule="auto"/>
        <w:ind w:left="1416" w:hanging="566"/>
        <w:rPr>
          <w:szCs w:val="24"/>
          <w:lang w:eastAsia="en-US"/>
        </w:rPr>
      </w:pPr>
      <w:r>
        <w:rPr>
          <w:szCs w:val="24"/>
          <w:lang w:eastAsia="en-US"/>
        </w:rPr>
        <w:t>a)</w:t>
      </w:r>
      <w:r>
        <w:rPr>
          <w:szCs w:val="24"/>
          <w:lang w:eastAsia="en-US"/>
        </w:rPr>
        <w:tab/>
        <w:t>skúsenosti získané pri vykonávaní tejto smernice;</w:t>
      </w:r>
    </w:p>
    <w:p w:rsidR="009D7883" w:rsidRDefault="00AA63BB">
      <w:pPr>
        <w:spacing w:before="120" w:after="120" w:line="360" w:lineRule="auto"/>
        <w:ind w:left="1416" w:hanging="566"/>
        <w:rPr>
          <w:szCs w:val="24"/>
          <w:lang w:eastAsia="en-US"/>
        </w:rPr>
      </w:pPr>
      <w:r>
        <w:rPr>
          <w:szCs w:val="24"/>
          <w:lang w:eastAsia="en-US"/>
        </w:rPr>
        <w:t>b)</w:t>
      </w:r>
      <w:r>
        <w:rPr>
          <w:szCs w:val="24"/>
          <w:lang w:eastAsia="en-US"/>
        </w:rPr>
        <w:tab/>
        <w:t>údaje</w:t>
      </w:r>
      <w:r>
        <w:rPr>
          <w:szCs w:val="24"/>
          <w:lang w:eastAsia="en-US"/>
        </w:rPr>
        <w:t xml:space="preserve"> a informácie uvedené v článku 18;</w:t>
      </w:r>
    </w:p>
    <w:p w:rsidR="009D7883" w:rsidRDefault="00AA63BB">
      <w:pPr>
        <w:spacing w:before="120" w:after="120" w:line="360" w:lineRule="auto"/>
        <w:ind w:left="1416" w:hanging="566"/>
        <w:rPr>
          <w:b/>
          <w:szCs w:val="24"/>
          <w:lang w:eastAsia="en-US"/>
        </w:rPr>
      </w:pPr>
      <w:r>
        <w:rPr>
          <w:szCs w:val="24"/>
          <w:lang w:eastAsia="en-US"/>
        </w:rPr>
        <w:t>c)</w:t>
      </w:r>
      <w:r>
        <w:rPr>
          <w:szCs w:val="24"/>
          <w:lang w:eastAsia="en-US"/>
        </w:rPr>
        <w:tab/>
        <w:t>relevantné vedecké a analytické údaje vrátane výsledkov výskumných projektov financovaných z prostriedkov Únie</w:t>
      </w:r>
      <w:r>
        <w:rPr>
          <w:b/>
          <w:i/>
          <w:szCs w:val="24"/>
          <w:lang w:eastAsia="en-US"/>
        </w:rPr>
        <w:t xml:space="preserve"> a členských štátov</w:t>
      </w:r>
      <w:r>
        <w:rPr>
          <w:szCs w:val="24"/>
          <w:lang w:eastAsia="en-US"/>
        </w:rPr>
        <w:t>;</w:t>
      </w:r>
      <w:r>
        <w:rPr>
          <w:b/>
          <w:szCs w:val="24"/>
          <w:lang w:eastAsia="en-US"/>
        </w:rPr>
        <w:t xml:space="preserve"> [PN 187]</w:t>
      </w:r>
    </w:p>
    <w:p w:rsidR="009D7883" w:rsidRDefault="00AA63BB">
      <w:pPr>
        <w:spacing w:before="120" w:after="120" w:line="360" w:lineRule="auto"/>
        <w:ind w:left="1416" w:hanging="566"/>
        <w:rPr>
          <w:b/>
          <w:szCs w:val="24"/>
          <w:lang w:eastAsia="en-US"/>
        </w:rPr>
      </w:pPr>
      <w:r>
        <w:rPr>
          <w:szCs w:val="24"/>
          <w:lang w:eastAsia="en-US"/>
        </w:rPr>
        <w:t>d)</w:t>
      </w:r>
      <w:r>
        <w:rPr>
          <w:szCs w:val="24"/>
          <w:lang w:eastAsia="en-US"/>
        </w:rPr>
        <w:tab/>
        <w:t xml:space="preserve">analýza nedostatkov </w:t>
      </w:r>
      <w:r>
        <w:rPr>
          <w:strike/>
          <w:szCs w:val="24"/>
          <w:lang w:eastAsia="en-US"/>
        </w:rPr>
        <w:t xml:space="preserve">pri </w:t>
      </w:r>
      <w:proofErr w:type="spellStart"/>
      <w:r>
        <w:rPr>
          <w:strike/>
          <w:szCs w:val="24"/>
          <w:lang w:eastAsia="en-US"/>
        </w:rPr>
        <w:t>plnení</w:t>
      </w:r>
      <w:r>
        <w:rPr>
          <w:b/>
          <w:i/>
          <w:szCs w:val="24"/>
          <w:lang w:eastAsia="en-US"/>
        </w:rPr>
        <w:t>a</w:t>
      </w:r>
      <w:proofErr w:type="spellEnd"/>
      <w:r>
        <w:rPr>
          <w:b/>
          <w:i/>
          <w:szCs w:val="24"/>
          <w:lang w:eastAsia="en-US"/>
        </w:rPr>
        <w:t xml:space="preserve"> potrebných opatrení na splnenie</w:t>
      </w:r>
      <w:r>
        <w:rPr>
          <w:szCs w:val="24"/>
          <w:lang w:eastAsia="en-US"/>
        </w:rPr>
        <w:t xml:space="preserve"> cieľa zdravých pôd do roku 2050;</w:t>
      </w:r>
      <w:r>
        <w:rPr>
          <w:b/>
          <w:szCs w:val="24"/>
          <w:lang w:eastAsia="en-US"/>
        </w:rPr>
        <w:t xml:space="preserve"> [PN 188]</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ind w:left="1416" w:hanging="566"/>
        <w:rPr>
          <w:szCs w:val="24"/>
          <w:lang w:eastAsia="en-US"/>
        </w:rPr>
      </w:pPr>
      <w:r>
        <w:rPr>
          <w:szCs w:val="24"/>
          <w:lang w:eastAsia="en-US"/>
        </w:rPr>
        <w:lastRenderedPageBreak/>
        <w:t>e)</w:t>
      </w:r>
      <w:r>
        <w:rPr>
          <w:szCs w:val="24"/>
          <w:lang w:eastAsia="en-US"/>
        </w:rPr>
        <w:tab/>
        <w:t>analýza potenciálnej potreby prispôsobiť ustanovenia tejto smernice vedeckému a technickému pokroku, najmä s ohľadom na tieto prvky:</w:t>
      </w:r>
    </w:p>
    <w:p w:rsidR="009D7883" w:rsidRDefault="00AA63BB">
      <w:pPr>
        <w:spacing w:before="120" w:after="120" w:line="360" w:lineRule="auto"/>
        <w:ind w:left="1982" w:hanging="566"/>
        <w:rPr>
          <w:szCs w:val="24"/>
          <w:lang w:eastAsia="en-US"/>
        </w:rPr>
      </w:pPr>
      <w:r>
        <w:rPr>
          <w:szCs w:val="24"/>
          <w:lang w:eastAsia="en-US"/>
        </w:rPr>
        <w:t>i)</w:t>
      </w:r>
      <w:r>
        <w:rPr>
          <w:szCs w:val="24"/>
          <w:lang w:eastAsia="en-US"/>
        </w:rPr>
        <w:tab/>
        <w:t>vymedzenie zdravých pôd;</w:t>
      </w:r>
    </w:p>
    <w:p w:rsidR="009D7883" w:rsidRDefault="00AA63BB">
      <w:pPr>
        <w:spacing w:before="120" w:after="120" w:line="360" w:lineRule="auto"/>
        <w:ind w:left="1982" w:hanging="566"/>
        <w:rPr>
          <w:b/>
          <w:szCs w:val="24"/>
          <w:lang w:eastAsia="en-US"/>
        </w:rPr>
      </w:pPr>
      <w:r>
        <w:rPr>
          <w:szCs w:val="24"/>
          <w:lang w:eastAsia="en-US"/>
        </w:rPr>
        <w:t>ii)</w:t>
      </w:r>
      <w:r>
        <w:rPr>
          <w:szCs w:val="24"/>
          <w:lang w:eastAsia="en-US"/>
        </w:rPr>
        <w:tab/>
        <w:t xml:space="preserve">vytvorenie kritérií pre pôdne </w:t>
      </w:r>
      <w:proofErr w:type="spellStart"/>
      <w:r>
        <w:rPr>
          <w:szCs w:val="24"/>
          <w:lang w:eastAsia="en-US"/>
        </w:rPr>
        <w:t>deskriptory</w:t>
      </w:r>
      <w:proofErr w:type="spellEnd"/>
      <w:r>
        <w:rPr>
          <w:szCs w:val="24"/>
          <w:lang w:eastAsia="en-US"/>
        </w:rPr>
        <w:t xml:space="preserve"> v</w:t>
      </w:r>
      <w:r>
        <w:rPr>
          <w:szCs w:val="24"/>
          <w:lang w:eastAsia="en-US"/>
        </w:rPr>
        <w:t xml:space="preserve">ymenované v </w:t>
      </w:r>
      <w:r>
        <w:rPr>
          <w:strike/>
          <w:szCs w:val="24"/>
          <w:lang w:eastAsia="en-US"/>
        </w:rPr>
        <w:t xml:space="preserve">časti C </w:t>
      </w:r>
      <w:proofErr w:type="spellStart"/>
      <w:r>
        <w:rPr>
          <w:strike/>
          <w:szCs w:val="24"/>
          <w:lang w:eastAsia="en-US"/>
        </w:rPr>
        <w:t>prílohy</w:t>
      </w:r>
      <w:r>
        <w:rPr>
          <w:b/>
          <w:i/>
          <w:szCs w:val="24"/>
          <w:lang w:eastAsia="en-US"/>
        </w:rPr>
        <w:t>prílohe</w:t>
      </w:r>
      <w:proofErr w:type="spellEnd"/>
      <w:r>
        <w:rPr>
          <w:szCs w:val="24"/>
          <w:lang w:eastAsia="en-US"/>
        </w:rPr>
        <w:t xml:space="preserve"> I;</w:t>
      </w:r>
      <w:r>
        <w:rPr>
          <w:b/>
          <w:szCs w:val="24"/>
          <w:lang w:eastAsia="en-US"/>
        </w:rPr>
        <w:t xml:space="preserve"> [</w:t>
      </w:r>
      <w:proofErr w:type="spellStart"/>
      <w:r>
        <w:rPr>
          <w:b/>
          <w:szCs w:val="24"/>
          <w:lang w:eastAsia="en-US"/>
        </w:rPr>
        <w:t>PN</w:t>
      </w:r>
      <w:proofErr w:type="spellEnd"/>
      <w:r>
        <w:rPr>
          <w:b/>
          <w:szCs w:val="24"/>
          <w:lang w:eastAsia="en-US"/>
        </w:rPr>
        <w:t> 189]</w:t>
      </w:r>
    </w:p>
    <w:p w:rsidR="009D7883" w:rsidRDefault="00AA63BB">
      <w:pPr>
        <w:spacing w:before="120" w:after="120" w:line="360" w:lineRule="auto"/>
        <w:ind w:left="1982" w:hanging="566"/>
        <w:rPr>
          <w:b/>
          <w:szCs w:val="24"/>
          <w:lang w:eastAsia="en-US"/>
        </w:rPr>
      </w:pPr>
      <w:r>
        <w:rPr>
          <w:szCs w:val="24"/>
          <w:lang w:eastAsia="en-US"/>
        </w:rPr>
        <w:t>iii)</w:t>
      </w:r>
      <w:r>
        <w:rPr>
          <w:szCs w:val="24"/>
          <w:lang w:eastAsia="en-US"/>
        </w:rPr>
        <w:tab/>
        <w:t xml:space="preserve">doplnenie nových pôdnych </w:t>
      </w:r>
      <w:proofErr w:type="spellStart"/>
      <w:r>
        <w:rPr>
          <w:szCs w:val="24"/>
          <w:lang w:eastAsia="en-US"/>
        </w:rPr>
        <w:t>deskriptorov</w:t>
      </w:r>
      <w:proofErr w:type="spellEnd"/>
      <w:r>
        <w:rPr>
          <w:szCs w:val="24"/>
          <w:lang w:eastAsia="en-US"/>
        </w:rPr>
        <w:t xml:space="preserve"> na účely monitorovania</w:t>
      </w:r>
      <w:r>
        <w:rPr>
          <w:b/>
          <w:i/>
          <w:szCs w:val="24"/>
          <w:lang w:eastAsia="en-US"/>
        </w:rPr>
        <w:t xml:space="preserve"> alebo úprava existujúcich pôdnych </w:t>
      </w:r>
      <w:proofErr w:type="spellStart"/>
      <w:r>
        <w:rPr>
          <w:b/>
          <w:i/>
          <w:szCs w:val="24"/>
          <w:lang w:eastAsia="en-US"/>
        </w:rPr>
        <w:t>deskriptorov</w:t>
      </w:r>
      <w:proofErr w:type="spellEnd"/>
      <w:r>
        <w:rPr>
          <w:b/>
          <w:i/>
          <w:szCs w:val="24"/>
          <w:lang w:eastAsia="en-US"/>
        </w:rPr>
        <w:t xml:space="preserve"> a kritérií uvedených v prílohe I</w:t>
      </w:r>
      <w:r>
        <w:rPr>
          <w:strike/>
          <w:szCs w:val="24"/>
          <w:lang w:eastAsia="en-US"/>
        </w:rPr>
        <w:t>.</w:t>
      </w:r>
      <w:r>
        <w:rPr>
          <w:b/>
          <w:i/>
          <w:szCs w:val="24"/>
          <w:lang w:eastAsia="en-US"/>
        </w:rPr>
        <w:t>;</w:t>
      </w:r>
      <w:r>
        <w:rPr>
          <w:b/>
          <w:szCs w:val="24"/>
          <w:lang w:eastAsia="en-US"/>
        </w:rPr>
        <w:t xml:space="preserve"> [PN 190]</w:t>
      </w:r>
    </w:p>
    <w:p w:rsidR="009D7883" w:rsidRDefault="00AA63BB">
      <w:pPr>
        <w:spacing w:before="120" w:after="120" w:line="360" w:lineRule="auto"/>
        <w:ind w:left="1416" w:hanging="566"/>
        <w:rPr>
          <w:b/>
          <w:szCs w:val="24"/>
          <w:lang w:eastAsia="en-US"/>
        </w:rPr>
      </w:pPr>
      <w:proofErr w:type="spellStart"/>
      <w:r>
        <w:rPr>
          <w:b/>
          <w:i/>
          <w:szCs w:val="24"/>
          <w:lang w:eastAsia="en-US"/>
        </w:rPr>
        <w:t>ea</w:t>
      </w:r>
      <w:proofErr w:type="spellEnd"/>
      <w:r>
        <w:rPr>
          <w:b/>
          <w:i/>
          <w:szCs w:val="24"/>
          <w:lang w:eastAsia="en-US"/>
        </w:rPr>
        <w:t>)</w:t>
      </w:r>
      <w:r>
        <w:rPr>
          <w:szCs w:val="24"/>
          <w:lang w:eastAsia="en-US"/>
        </w:rPr>
        <w:tab/>
      </w:r>
      <w:r>
        <w:rPr>
          <w:b/>
          <w:i/>
          <w:szCs w:val="24"/>
          <w:lang w:eastAsia="en-US"/>
        </w:rPr>
        <w:t>analýza koncepcií monitorovania a prahové hodnot</w:t>
      </w:r>
      <w:r>
        <w:rPr>
          <w:b/>
          <w:i/>
          <w:szCs w:val="24"/>
          <w:lang w:eastAsia="en-US"/>
        </w:rPr>
        <w:t>y, ktoré stanovili členské štáty podľa tejto smernice;</w:t>
      </w:r>
      <w:r>
        <w:rPr>
          <w:b/>
          <w:szCs w:val="24"/>
          <w:lang w:eastAsia="en-US"/>
        </w:rPr>
        <w:t xml:space="preserve"> [PN 191]</w:t>
      </w:r>
    </w:p>
    <w:p w:rsidR="009D7883" w:rsidRDefault="00AA63BB">
      <w:pPr>
        <w:spacing w:before="120" w:after="120" w:line="360" w:lineRule="auto"/>
        <w:ind w:left="1416" w:hanging="566"/>
        <w:rPr>
          <w:b/>
          <w:szCs w:val="24"/>
          <w:lang w:eastAsia="en-US"/>
        </w:rPr>
      </w:pPr>
      <w:proofErr w:type="spellStart"/>
      <w:r>
        <w:rPr>
          <w:b/>
          <w:i/>
          <w:szCs w:val="24"/>
          <w:lang w:eastAsia="en-US"/>
        </w:rPr>
        <w:t>eb</w:t>
      </w:r>
      <w:proofErr w:type="spellEnd"/>
      <w:r>
        <w:rPr>
          <w:b/>
          <w:i/>
          <w:szCs w:val="24"/>
          <w:lang w:eastAsia="en-US"/>
        </w:rPr>
        <w:t>)</w:t>
      </w:r>
      <w:r>
        <w:rPr>
          <w:szCs w:val="24"/>
          <w:lang w:eastAsia="en-US"/>
        </w:rPr>
        <w:tab/>
      </w:r>
      <w:r>
        <w:rPr>
          <w:b/>
          <w:i/>
          <w:szCs w:val="24"/>
          <w:lang w:eastAsia="en-US"/>
        </w:rPr>
        <w:t>sociálno-ekonomický vplyv tejto smernice.</w:t>
      </w:r>
      <w:r>
        <w:rPr>
          <w:b/>
          <w:szCs w:val="24"/>
          <w:lang w:eastAsia="en-US"/>
        </w:rPr>
        <w:t xml:space="preserve"> [PN 192]</w:t>
      </w:r>
    </w:p>
    <w:p w:rsidR="009D7883" w:rsidRDefault="00AA63BB">
      <w:pPr>
        <w:spacing w:before="120" w:after="120" w:line="360" w:lineRule="auto"/>
        <w:ind w:left="850" w:hanging="850"/>
        <w:rPr>
          <w:b/>
          <w:szCs w:val="24"/>
          <w:lang w:eastAsia="en-US"/>
        </w:rPr>
      </w:pPr>
      <w:r>
        <w:rPr>
          <w:szCs w:val="24"/>
          <w:lang w:eastAsia="en-US"/>
        </w:rPr>
        <w:t>2.</w:t>
      </w:r>
      <w:r>
        <w:rPr>
          <w:szCs w:val="24"/>
          <w:lang w:eastAsia="en-US"/>
        </w:rPr>
        <w:tab/>
        <w:t>Komisia predloží správu o hlavných zisteniach hodnotenia podľa odseku 1 Európskemu parlamentu, Rade, Európskemu hospodárskemu a sociál</w:t>
      </w:r>
      <w:r>
        <w:rPr>
          <w:szCs w:val="24"/>
          <w:lang w:eastAsia="en-US"/>
        </w:rPr>
        <w:t>nemu výboru a Výboru regiónov</w:t>
      </w:r>
      <w:r>
        <w:rPr>
          <w:b/>
          <w:i/>
          <w:szCs w:val="24"/>
          <w:lang w:eastAsia="en-US"/>
        </w:rPr>
        <w:t xml:space="preserve"> a v prípade potreby uvedie aj legislatívne návrhy</w:t>
      </w:r>
      <w:r>
        <w:rPr>
          <w:szCs w:val="24"/>
          <w:lang w:eastAsia="en-US"/>
        </w:rPr>
        <w:t>.</w:t>
      </w:r>
      <w:r>
        <w:rPr>
          <w:b/>
          <w:szCs w:val="24"/>
          <w:lang w:eastAsia="en-US"/>
        </w:rPr>
        <w:t xml:space="preserve"> [PN 193]</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ind w:left="850" w:hanging="850"/>
        <w:rPr>
          <w:b/>
          <w:szCs w:val="24"/>
          <w:lang w:eastAsia="en-US"/>
        </w:rPr>
      </w:pPr>
      <w:r>
        <w:rPr>
          <w:b/>
          <w:i/>
          <w:szCs w:val="24"/>
          <w:lang w:eastAsia="en-US"/>
        </w:rPr>
        <w:lastRenderedPageBreak/>
        <w:t>2a.</w:t>
      </w:r>
      <w:r>
        <w:rPr>
          <w:szCs w:val="24"/>
          <w:lang w:eastAsia="en-US"/>
        </w:rPr>
        <w:tab/>
      </w:r>
      <w:r>
        <w:rPr>
          <w:b/>
          <w:i/>
          <w:szCs w:val="24"/>
          <w:lang w:eastAsia="en-US"/>
        </w:rPr>
        <w:t xml:space="preserve">Od ... [Úrad pre publikácie: vložte dátum = osem rokov odo dňa nadobudnutia účinnosti tejto smernice] každých päť rokov predloží Európskemu parlamentu a Rade </w:t>
      </w:r>
      <w:r>
        <w:rPr>
          <w:b/>
          <w:i/>
          <w:szCs w:val="24"/>
          <w:lang w:eastAsia="en-US"/>
        </w:rPr>
        <w:t>správu o vykonávaní tejto smernice vrátane opatrení potrebných na dosiahnutie súladu s touto smernicou, ktoré prijali členské štáty. Správa obsahuje celkové posúdenie pokroku dosiahnutého pri dosahovaní cieľa zdravej pôdy.</w:t>
      </w:r>
      <w:r>
        <w:rPr>
          <w:b/>
          <w:szCs w:val="24"/>
          <w:lang w:eastAsia="en-US"/>
        </w:rPr>
        <w:t xml:space="preserve"> [PN 194]</w:t>
      </w:r>
    </w:p>
    <w:p w:rsidR="009D7883" w:rsidRDefault="00AA63BB">
      <w:pPr>
        <w:spacing w:before="120" w:after="120" w:line="360" w:lineRule="auto"/>
        <w:ind w:left="850" w:hanging="850"/>
        <w:rPr>
          <w:b/>
          <w:szCs w:val="24"/>
          <w:lang w:eastAsia="en-US"/>
        </w:rPr>
      </w:pPr>
      <w:r>
        <w:rPr>
          <w:b/>
          <w:i/>
          <w:szCs w:val="24"/>
          <w:lang w:eastAsia="en-US"/>
        </w:rPr>
        <w:t>2b.</w:t>
      </w:r>
      <w:r>
        <w:rPr>
          <w:szCs w:val="24"/>
          <w:lang w:eastAsia="en-US"/>
        </w:rPr>
        <w:tab/>
      </w:r>
      <w:r>
        <w:rPr>
          <w:b/>
          <w:i/>
          <w:szCs w:val="24"/>
          <w:lang w:eastAsia="en-US"/>
        </w:rPr>
        <w:t>Do ... [Úrad pre pub</w:t>
      </w:r>
      <w:r>
        <w:rPr>
          <w:b/>
          <w:i/>
          <w:szCs w:val="24"/>
          <w:lang w:eastAsia="en-US"/>
        </w:rPr>
        <w:t>likácie: vložte dátum = šesť rokov odo dňa nadobudnutia účinnosti smernice] Komisia ako súčasť posúdenia uvedeného v odseku 1 posúdi informácie zhromaždené v členských štátoch a týkajúce sa výskytu, rozptýlenia a hodnôt pôdnych kontaminantov s cieľom vytvo</w:t>
      </w:r>
      <w:r>
        <w:rPr>
          <w:b/>
          <w:i/>
          <w:szCs w:val="24"/>
          <w:lang w:eastAsia="en-US"/>
        </w:rPr>
        <w:t>riť zoznam prioritných látok, po ktorom bude v prípade potreby nasledovať zoznam sledovaných pôdnych kontaminantov.</w:t>
      </w:r>
      <w:r>
        <w:rPr>
          <w:b/>
          <w:szCs w:val="24"/>
          <w:lang w:eastAsia="en-US"/>
        </w:rPr>
        <w:t xml:space="preserve"> [PN 195]</w:t>
      </w:r>
    </w:p>
    <w:p w:rsidR="009D7883" w:rsidRDefault="00AA63BB">
      <w:pPr>
        <w:widowControl/>
        <w:rPr>
          <w:b/>
          <w:i/>
          <w:szCs w:val="24"/>
          <w:lang w:eastAsia="en-US"/>
        </w:rPr>
      </w:pPr>
      <w:r>
        <w:rPr>
          <w:b/>
          <w:i/>
          <w:szCs w:val="24"/>
          <w:lang w:eastAsia="en-US"/>
        </w:rPr>
        <w:br w:type="page"/>
      </w:r>
    </w:p>
    <w:p w:rsidR="009D7883" w:rsidRDefault="00AA63BB">
      <w:pPr>
        <w:spacing w:before="120" w:after="120" w:line="360" w:lineRule="auto"/>
        <w:jc w:val="center"/>
        <w:rPr>
          <w:szCs w:val="24"/>
          <w:lang w:eastAsia="en-US"/>
        </w:rPr>
      </w:pPr>
      <w:r>
        <w:rPr>
          <w:b/>
          <w:i/>
          <w:szCs w:val="24"/>
          <w:lang w:eastAsia="en-US"/>
        </w:rPr>
        <w:lastRenderedPageBreak/>
        <w:t>Článok 24a</w:t>
      </w:r>
      <w:r>
        <w:rPr>
          <w:b/>
          <w:i/>
          <w:szCs w:val="24"/>
          <w:lang w:eastAsia="en-US"/>
        </w:rPr>
        <w:br/>
        <w:t xml:space="preserve"> Fórum Strediska Európskej únie pre monitorovanie pôdy (EUSO)</w:t>
      </w:r>
    </w:p>
    <w:p w:rsidR="009D7883" w:rsidRDefault="00AA63BB">
      <w:pPr>
        <w:spacing w:before="120" w:after="120" w:line="360" w:lineRule="auto"/>
        <w:rPr>
          <w:b/>
          <w:szCs w:val="24"/>
          <w:lang w:eastAsia="en-US"/>
        </w:rPr>
      </w:pPr>
      <w:r>
        <w:rPr>
          <w:b/>
          <w:i/>
          <w:szCs w:val="24"/>
          <w:lang w:eastAsia="en-US"/>
        </w:rPr>
        <w:t>Komisia prostredníctvom fóra EUSO v pravidelných interva</w:t>
      </w:r>
      <w:r>
        <w:rPr>
          <w:b/>
          <w:i/>
          <w:szCs w:val="24"/>
          <w:lang w:eastAsia="en-US"/>
        </w:rPr>
        <w:t>loch uľahčuje spoluprácu medzi zainteresovanými stranami vrátane príslušných orgánov členských štátov na všetkých relevantných úrovniach, priemyslu, občianskej spoločnosti a vedeckej obce. Fórum EUSO uľahčuje koordinované vykonávanie práva a politík Únie t</w:t>
      </w:r>
      <w:r>
        <w:rPr>
          <w:b/>
          <w:i/>
          <w:szCs w:val="24"/>
          <w:lang w:eastAsia="en-US"/>
        </w:rPr>
        <w:t xml:space="preserve">ýkajúcich sa monitorovania zdravia pôdy a zlepšovania zdravia pôdy, okrem iného výmenou skúseností a osvedčených postupov vrátane postupov udržateľného obhospodarovania a regenerácie pôdy, ako aj výmenou skúseností s postupmi obhospodarovania pôdy, ktorým </w:t>
      </w:r>
      <w:r>
        <w:rPr>
          <w:b/>
          <w:i/>
          <w:szCs w:val="24"/>
          <w:lang w:eastAsia="en-US"/>
        </w:rPr>
        <w:t>sa treba vyhnúť.</w:t>
      </w:r>
      <w:r>
        <w:rPr>
          <w:b/>
          <w:szCs w:val="24"/>
          <w:lang w:eastAsia="en-US"/>
        </w:rPr>
        <w:t xml:space="preserve"> [PN 196]</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25</w:t>
      </w:r>
      <w:r>
        <w:rPr>
          <w:szCs w:val="24"/>
          <w:lang w:eastAsia="en-US"/>
        </w:rPr>
        <w:br/>
        <w:t>Transpozícia</w:t>
      </w:r>
    </w:p>
    <w:p w:rsidR="009D7883" w:rsidRDefault="00AA63BB">
      <w:pPr>
        <w:spacing w:before="120" w:after="120" w:line="360" w:lineRule="auto"/>
        <w:ind w:left="850" w:hanging="850"/>
        <w:rPr>
          <w:szCs w:val="24"/>
          <w:lang w:eastAsia="en-US"/>
        </w:rPr>
      </w:pPr>
      <w:r>
        <w:rPr>
          <w:szCs w:val="24"/>
          <w:lang w:eastAsia="en-US"/>
        </w:rPr>
        <w:t>1.</w:t>
      </w:r>
      <w:r>
        <w:rPr>
          <w:szCs w:val="24"/>
          <w:lang w:eastAsia="en-US"/>
        </w:rPr>
        <w:tab/>
        <w:t xml:space="preserve">Členské štáty uvedú do účinnosti zákony, iné právne predpisy a správne opatrenia potrebné na dosiahnutie súladu s touto smernicou najneskôr do [Úrad pre publikácie: vložte dátum = 2 roky po nadobudnutí </w:t>
      </w:r>
      <w:r>
        <w:rPr>
          <w:szCs w:val="24"/>
          <w:lang w:eastAsia="en-US"/>
        </w:rPr>
        <w:t>účinnosti smernice]. Komisii bezodkladne oznámia znenie týchto ustanovení.</w:t>
      </w:r>
    </w:p>
    <w:p w:rsidR="009D7883" w:rsidRDefault="00AA63BB">
      <w:pPr>
        <w:spacing w:before="120" w:after="120" w:line="360" w:lineRule="auto"/>
        <w:ind w:left="850"/>
        <w:rPr>
          <w:szCs w:val="24"/>
          <w:lang w:eastAsia="en-US"/>
        </w:rPr>
      </w:pPr>
      <w:r>
        <w:rPr>
          <w:szCs w:val="24"/>
          <w:lang w:eastAsia="en-US"/>
        </w:rPr>
        <w:t>Členské štáty uvedú priamo v prijatých ustanoveniach alebo pri ich úradnom uverejnení odkaz na túto smernicu. Podrobnosti o odkaze určia členské štáty.</w:t>
      </w:r>
    </w:p>
    <w:p w:rsidR="009D7883" w:rsidRDefault="00AA63BB">
      <w:pPr>
        <w:spacing w:before="120" w:after="120" w:line="360" w:lineRule="auto"/>
        <w:ind w:left="850" w:hanging="850"/>
        <w:rPr>
          <w:szCs w:val="24"/>
          <w:lang w:eastAsia="en-US"/>
        </w:rPr>
      </w:pPr>
      <w:r>
        <w:rPr>
          <w:szCs w:val="24"/>
          <w:lang w:eastAsia="en-US"/>
        </w:rPr>
        <w:t>2.</w:t>
      </w:r>
      <w:r>
        <w:rPr>
          <w:szCs w:val="24"/>
          <w:lang w:eastAsia="en-US"/>
        </w:rPr>
        <w:tab/>
        <w:t xml:space="preserve">Členské štáty oznámia </w:t>
      </w:r>
      <w:r>
        <w:rPr>
          <w:szCs w:val="24"/>
          <w:lang w:eastAsia="en-US"/>
        </w:rPr>
        <w:t>Komisii znenie hlavných ustanovení vnútroštátnych právnych predpisov, ktoré prijmú v oblasti pôsobnosti tejto smernice.</w:t>
      </w:r>
    </w:p>
    <w:p w:rsidR="009D7883" w:rsidRDefault="00AA63BB">
      <w:pPr>
        <w:widowControl/>
        <w:rPr>
          <w:szCs w:val="24"/>
          <w:lang w:eastAsia="en-US"/>
        </w:rPr>
      </w:pPr>
      <w:r>
        <w:rPr>
          <w:szCs w:val="24"/>
          <w:lang w:eastAsia="en-US"/>
        </w:rPr>
        <w:br w:type="page"/>
      </w:r>
    </w:p>
    <w:p w:rsidR="009D7883" w:rsidRDefault="00AA63BB">
      <w:pPr>
        <w:spacing w:before="120" w:after="120" w:line="360" w:lineRule="auto"/>
        <w:jc w:val="center"/>
        <w:rPr>
          <w:szCs w:val="24"/>
          <w:lang w:eastAsia="en-US"/>
        </w:rPr>
      </w:pPr>
      <w:r>
        <w:rPr>
          <w:szCs w:val="24"/>
          <w:lang w:eastAsia="en-US"/>
        </w:rPr>
        <w:lastRenderedPageBreak/>
        <w:t>Článok 26</w:t>
      </w:r>
      <w:r>
        <w:rPr>
          <w:szCs w:val="24"/>
          <w:lang w:eastAsia="en-US"/>
        </w:rPr>
        <w:br/>
        <w:t>Nadobudnutie účinnosti</w:t>
      </w:r>
    </w:p>
    <w:p w:rsidR="009D7883" w:rsidRDefault="00AA63BB">
      <w:pPr>
        <w:spacing w:before="120" w:after="120" w:line="360" w:lineRule="auto"/>
        <w:rPr>
          <w:szCs w:val="24"/>
          <w:lang w:eastAsia="en-US"/>
        </w:rPr>
      </w:pPr>
      <w:r>
        <w:rPr>
          <w:szCs w:val="24"/>
          <w:lang w:eastAsia="en-US"/>
        </w:rPr>
        <w:t xml:space="preserve">Táto smernica nadobúda účinnosť dvadsiatym dňom po jej uverejnení v </w:t>
      </w:r>
      <w:r w:rsidRPr="00AA63BB">
        <w:rPr>
          <w:i/>
          <w:szCs w:val="24"/>
          <w:lang w:eastAsia="en-US"/>
        </w:rPr>
        <w:t>Úradnom vestníku Európskej únie</w:t>
      </w:r>
      <w:r>
        <w:rPr>
          <w:szCs w:val="24"/>
          <w:lang w:eastAsia="en-US"/>
        </w:rPr>
        <w:t>.</w:t>
      </w:r>
    </w:p>
    <w:p w:rsidR="009D7883" w:rsidRDefault="00AA63BB">
      <w:pPr>
        <w:spacing w:before="120" w:after="120" w:line="360" w:lineRule="auto"/>
        <w:jc w:val="center"/>
        <w:rPr>
          <w:szCs w:val="24"/>
          <w:lang w:eastAsia="en-US"/>
        </w:rPr>
      </w:pPr>
      <w:r>
        <w:rPr>
          <w:szCs w:val="24"/>
          <w:lang w:eastAsia="en-US"/>
        </w:rPr>
        <w:t>Článok 27</w:t>
      </w:r>
      <w:r>
        <w:rPr>
          <w:szCs w:val="24"/>
          <w:lang w:eastAsia="en-US"/>
        </w:rPr>
        <w:br/>
        <w:t>Adresáti</w:t>
      </w:r>
    </w:p>
    <w:p w:rsidR="009D7883" w:rsidRDefault="00AA63BB">
      <w:pPr>
        <w:spacing w:before="120" w:after="120" w:line="360" w:lineRule="auto"/>
        <w:rPr>
          <w:szCs w:val="24"/>
          <w:lang w:eastAsia="en-US"/>
        </w:rPr>
      </w:pPr>
      <w:r>
        <w:rPr>
          <w:szCs w:val="24"/>
          <w:lang w:eastAsia="en-US"/>
        </w:rPr>
        <w:t>Táto smernica je určená členským štátom.</w:t>
      </w:r>
    </w:p>
    <w:p w:rsidR="009D7883" w:rsidRDefault="00AA63BB">
      <w:pPr>
        <w:keepNext/>
        <w:widowControl/>
        <w:spacing w:before="120" w:line="360" w:lineRule="auto"/>
        <w:rPr>
          <w:szCs w:val="24"/>
          <w:lang w:eastAsia="en-US"/>
        </w:rPr>
      </w:pPr>
      <w:r>
        <w:rPr>
          <w:szCs w:val="24"/>
          <w:lang w:eastAsia="en-US"/>
        </w:rPr>
        <w:t>V …</w:t>
      </w:r>
    </w:p>
    <w:p w:rsidR="009D7883" w:rsidRDefault="00AA63BB">
      <w:pPr>
        <w:keepNext/>
        <w:widowControl/>
        <w:tabs>
          <w:tab w:val="left" w:pos="4252"/>
        </w:tabs>
        <w:spacing w:before="720" w:after="100" w:line="360" w:lineRule="auto"/>
        <w:jc w:val="both"/>
        <w:rPr>
          <w:i/>
          <w:szCs w:val="24"/>
          <w:lang w:eastAsia="en-US"/>
        </w:rPr>
      </w:pPr>
      <w:r>
        <w:rPr>
          <w:i/>
          <w:szCs w:val="24"/>
          <w:lang w:eastAsia="en-US"/>
        </w:rPr>
        <w:t>Za Európsky parlament</w:t>
      </w:r>
      <w:r>
        <w:rPr>
          <w:i/>
          <w:szCs w:val="24"/>
          <w:lang w:eastAsia="en-US"/>
        </w:rPr>
        <w:tab/>
        <w:t>Za Radu</w:t>
      </w:r>
    </w:p>
    <w:p w:rsidR="009D7883" w:rsidRDefault="00AA63BB">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9D7883" w:rsidRDefault="009D7883">
      <w:pPr>
        <w:spacing w:before="120" w:after="120" w:line="360" w:lineRule="auto"/>
        <w:rPr>
          <w:szCs w:val="24"/>
          <w:lang w:eastAsia="en-US"/>
        </w:rPr>
        <w:sectPr w:rsidR="009D7883">
          <w:footnotePr>
            <w:numRestart w:val="eachSect"/>
          </w:footnotePr>
          <w:pgSz w:w="11909" w:h="16834"/>
          <w:pgMar w:top="1134" w:right="1417" w:bottom="1417" w:left="1417" w:header="1134" w:footer="567" w:gutter="0"/>
          <w:cols w:space="720"/>
        </w:sectPr>
      </w:pPr>
    </w:p>
    <w:p w:rsidR="009D7883" w:rsidRDefault="009D7883">
      <w:pPr>
        <w:spacing w:before="120" w:after="120" w:line="360" w:lineRule="auto"/>
        <w:rPr>
          <w:szCs w:val="24"/>
          <w:lang w:eastAsia="en-US"/>
        </w:rPr>
      </w:pPr>
    </w:p>
    <w:p w:rsidR="009D7883" w:rsidRDefault="00AA63BB">
      <w:pPr>
        <w:spacing w:before="120" w:after="120" w:line="360" w:lineRule="auto"/>
        <w:jc w:val="center"/>
        <w:rPr>
          <w:b/>
          <w:lang w:eastAsia="en-US"/>
        </w:rPr>
      </w:pPr>
      <w:r>
        <w:rPr>
          <w:lang w:eastAsia="en-US"/>
        </w:rPr>
        <w:t>PRÍLOHA I</w:t>
      </w:r>
      <w:r>
        <w:rPr>
          <w:lang w:eastAsia="en-US"/>
        </w:rPr>
        <w:br/>
        <w:t xml:space="preserve">PÔDNE DESKRIPTORY, KRITÉRIÁ </w:t>
      </w:r>
      <w:r>
        <w:rPr>
          <w:strike/>
          <w:lang w:eastAsia="en-US"/>
        </w:rPr>
        <w:t xml:space="preserve">PRE ZDRAVÝ STAV </w:t>
      </w:r>
      <w:r>
        <w:rPr>
          <w:b/>
          <w:i/>
          <w:lang w:eastAsia="en-US"/>
        </w:rPr>
        <w:t xml:space="preserve">A METÓDY NA URČENIE EKOLOGICKÉHO STAVU </w:t>
      </w:r>
      <w:r>
        <w:rPr>
          <w:lang w:eastAsia="en-US"/>
        </w:rPr>
        <w:t xml:space="preserve">PÔDY A </w:t>
      </w:r>
      <w:r>
        <w:rPr>
          <w:lang w:eastAsia="en-US"/>
        </w:rPr>
        <w:t>UKAZOVATELE ZÁBERU PÔDY A STRATY PRIEPUSTNOSTI PÔDY</w:t>
      </w:r>
      <w:r>
        <w:rPr>
          <w:b/>
          <w:lang w:eastAsia="en-US"/>
        </w:rPr>
        <w:t xml:space="preserve"> [PN 197]</w:t>
      </w:r>
    </w:p>
    <w:p w:rsidR="009D7883" w:rsidRDefault="00AA63BB">
      <w:pPr>
        <w:spacing w:before="120" w:after="120" w:line="360" w:lineRule="auto"/>
        <w:rPr>
          <w:noProof/>
          <w:szCs w:val="24"/>
          <w:lang w:eastAsia="en-US"/>
        </w:rPr>
      </w:pPr>
      <w:r>
        <w:rPr>
          <w:noProof/>
          <w:szCs w:val="24"/>
          <w:lang w:eastAsia="en-US"/>
        </w:rPr>
        <w:t>Na účely tejto prílohy sa uplatňuje toto vymedzenie pojmov:</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„zvrátenie záberu pôdy“ je konverzia umelo vytvorenej krajiny na prírodnú alebo poloprírodnú krajinu;</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„čistý záber pôdy“ možno </w:t>
      </w:r>
      <w:r>
        <w:rPr>
          <w:rFonts w:eastAsia="Calibri"/>
          <w:noProof/>
          <w:szCs w:val="22"/>
          <w:lang w:eastAsia="en-US"/>
        </w:rPr>
        <w:t>vypočítať ako záber pôdy pri vyňatí zvrátenia záberu pôdy.</w:t>
      </w:r>
    </w:p>
    <w:tbl>
      <w:tblPr>
        <w:tblStyle w:val="TableGrid1"/>
        <w:tblW w:w="9606" w:type="dxa"/>
        <w:tblLook w:val="04A0" w:firstRow="1" w:lastRow="0" w:firstColumn="1" w:lastColumn="0" w:noHBand="0" w:noVBand="1"/>
      </w:tblPr>
      <w:tblGrid>
        <w:gridCol w:w="1572"/>
        <w:gridCol w:w="1338"/>
        <w:gridCol w:w="260"/>
        <w:gridCol w:w="2462"/>
        <w:gridCol w:w="587"/>
        <w:gridCol w:w="1443"/>
        <w:gridCol w:w="1944"/>
      </w:tblGrid>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b/>
                <w:strike/>
                <w:noProof/>
                <w:sz w:val="22"/>
              </w:rPr>
              <w:lastRenderedPageBreak/>
              <w:t>Aspekt degradácie pôdy</w:t>
            </w:r>
          </w:p>
        </w:tc>
        <w:tc>
          <w:tcPr>
            <w:tcW w:w="1598"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b/>
                <w:strike/>
                <w:noProof/>
                <w:sz w:val="22"/>
              </w:rPr>
              <w:t>Pôdny deskriptor</w:t>
            </w:r>
          </w:p>
        </w:tc>
        <w:tc>
          <w:tcPr>
            <w:tcW w:w="3049"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b/>
                <w:strike/>
                <w:noProof/>
                <w:sz w:val="22"/>
              </w:rPr>
              <w:t xml:space="preserve">Kritériá pre zdravý stav pôdy </w:t>
            </w:r>
          </w:p>
        </w:tc>
        <w:tc>
          <w:tcPr>
            <w:tcW w:w="3387"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b/>
                <w:strike/>
                <w:noProof/>
                <w:sz w:val="22"/>
              </w:rPr>
              <w:t>Pôdne plochy, ktoré majú výnimku zo splnenia súvisiaceho kritéria</w:t>
            </w:r>
          </w:p>
        </w:tc>
      </w:tr>
      <w:tr w:rsidR="009D7883">
        <w:trPr>
          <w:trHeight w:val="300"/>
          <w:tblHeader/>
        </w:trPr>
        <w:tc>
          <w:tcPr>
            <w:tcW w:w="9606" w:type="dxa"/>
            <w:gridSpan w:val="7"/>
            <w:tcBorders>
              <w:top w:val="single" w:sz="4" w:space="0" w:color="auto"/>
              <w:left w:val="single" w:sz="4" w:space="0" w:color="auto"/>
              <w:bottom w:val="single" w:sz="4" w:space="0" w:color="auto"/>
              <w:right w:val="single" w:sz="4" w:space="0" w:color="auto"/>
            </w:tcBorders>
          </w:tcPr>
          <w:p w:rsidR="009D7883" w:rsidRDefault="00AA63BB">
            <w:pPr>
              <w:spacing w:before="120" w:after="120"/>
              <w:rPr>
                <w:rFonts w:ascii="Times New Roman" w:hAnsi="Times New Roman"/>
                <w:b/>
                <w:i/>
                <w:strike/>
                <w:noProof/>
                <w:sz w:val="22"/>
              </w:rPr>
            </w:pPr>
            <w:r>
              <w:rPr>
                <w:rFonts w:ascii="Times New Roman" w:hAnsi="Times New Roman"/>
                <w:b/>
                <w:i/>
                <w:strike/>
                <w:noProof/>
                <w:sz w:val="22"/>
              </w:rPr>
              <w:t xml:space="preserve">Časť A: pôdne deskriptory s kritériami pre zdravý stav </w:t>
            </w:r>
            <w:r>
              <w:rPr>
                <w:rFonts w:ascii="Times New Roman" w:hAnsi="Times New Roman"/>
                <w:b/>
                <w:i/>
                <w:strike/>
                <w:noProof/>
                <w:sz w:val="22"/>
              </w:rPr>
              <w:t>pôdy, ktoré sú stanovené na úrovni Únie</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salinizácia</w:t>
            </w:r>
          </w:p>
        </w:tc>
        <w:tc>
          <w:tcPr>
            <w:tcW w:w="1598"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strike/>
                <w:noProof/>
                <w:sz w:val="22"/>
              </w:rPr>
              <w:t>elektrická vodivosť (deciSiemens na meter)</w:t>
            </w:r>
          </w:p>
        </w:tc>
        <w:tc>
          <w:tcPr>
            <w:tcW w:w="3049"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strike/>
                <w:noProof/>
                <w:sz w:val="22"/>
              </w:rPr>
              <w:t xml:space="preserve"> &lt;4 dS m</w:t>
            </w:r>
            <w:r>
              <w:rPr>
                <w:rFonts w:ascii="Times New Roman" w:hAnsi="Times New Roman"/>
                <w:strike/>
                <w:noProof/>
                <w:sz w:val="22"/>
                <w:vertAlign w:val="superscript"/>
              </w:rPr>
              <w:t>−</w:t>
            </w:r>
            <w:r>
              <w:rPr>
                <w:rFonts w:ascii="Times New Roman" w:hAnsi="Times New Roman"/>
                <w:strike/>
                <w:noProof/>
                <w:sz w:val="22"/>
                <w:vertAlign w:val="superscript"/>
              </w:rPr>
              <w:t>1</w:t>
            </w:r>
            <w:r>
              <w:rPr>
                <w:rFonts w:ascii="Times New Roman" w:hAnsi="Times New Roman"/>
                <w:strike/>
                <w:noProof/>
                <w:sz w:val="22"/>
              </w:rPr>
              <w:t xml:space="preserve"> pri použití metódy extrakcie nasýtenej pôdnej pasty (ECe), alebo ekvivalentné kritérium pri použití inej metódy</w:t>
            </w:r>
          </w:p>
        </w:tc>
        <w:tc>
          <w:tcPr>
            <w:tcW w:w="3387"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prirodzene slané pôdne plochy </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pôdne </w:t>
            </w:r>
            <w:r>
              <w:rPr>
                <w:rFonts w:ascii="Times New Roman" w:hAnsi="Times New Roman"/>
                <w:strike/>
                <w:noProof/>
                <w:sz w:val="22"/>
              </w:rPr>
              <w:t>plochy priamo ovplyvnené stúpaním morskej hladiny</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erózia pôdy</w:t>
            </w:r>
          </w:p>
        </w:tc>
        <w:tc>
          <w:tcPr>
            <w:tcW w:w="1598"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miera erózie pôdy</w:t>
            </w:r>
          </w:p>
          <w:p w:rsidR="009D7883" w:rsidRDefault="00AA63BB">
            <w:pPr>
              <w:spacing w:before="120" w:after="120"/>
              <w:rPr>
                <w:rFonts w:ascii="Times New Roman" w:hAnsi="Times New Roman"/>
                <w:strike/>
                <w:noProof/>
                <w:sz w:val="22"/>
              </w:rPr>
            </w:pPr>
            <w:r>
              <w:rPr>
                <w:rFonts w:ascii="Times New Roman" w:hAnsi="Times New Roman"/>
                <w:strike/>
                <w:noProof/>
                <w:sz w:val="22"/>
              </w:rPr>
              <w:t>(tony na hektár ročne)</w:t>
            </w:r>
          </w:p>
        </w:tc>
        <w:tc>
          <w:tcPr>
            <w:tcW w:w="3049"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strike/>
                <w:noProof/>
                <w:sz w:val="22"/>
              </w:rPr>
              <w:t>≤2 t ha</w:t>
            </w:r>
            <w:r>
              <w:rPr>
                <w:rFonts w:ascii="Times New Roman" w:hAnsi="Times New Roman"/>
                <w:strike/>
                <w:noProof/>
                <w:sz w:val="22"/>
                <w:vertAlign w:val="superscript"/>
              </w:rPr>
              <w:t>-1</w:t>
            </w:r>
            <w:r>
              <w:rPr>
                <w:rFonts w:ascii="Times New Roman" w:hAnsi="Times New Roman"/>
                <w:strike/>
                <w:noProof/>
                <w:sz w:val="22"/>
              </w:rPr>
              <w:t> y</w:t>
            </w:r>
            <w:r>
              <w:rPr>
                <w:rFonts w:ascii="Times New Roman" w:hAnsi="Times New Roman"/>
                <w:strike/>
                <w:noProof/>
                <w:sz w:val="22"/>
                <w:vertAlign w:val="superscript"/>
              </w:rPr>
              <w:t>-1</w:t>
            </w:r>
            <w:r>
              <w:rPr>
                <w:rFonts w:ascii="Times New Roman" w:hAnsi="Times New Roman"/>
                <w:strike/>
                <w:noProof/>
                <w:sz w:val="22"/>
              </w:rPr>
              <w:t xml:space="preserve"> </w:t>
            </w:r>
          </w:p>
        </w:tc>
        <w:tc>
          <w:tcPr>
            <w:tcW w:w="3387"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strike/>
                <w:noProof/>
                <w:sz w:val="22"/>
              </w:rPr>
              <w:t>pustiny a iné neobhospodarované plochy prírodnej krajiny, pokiaľ nepredstavujú značné riziko katastrof</w:t>
            </w:r>
          </w:p>
        </w:tc>
      </w:tr>
      <w:tr w:rsidR="009D7883">
        <w:trPr>
          <w:trHeight w:val="846"/>
          <w:tblHeader/>
        </w:trPr>
        <w:tc>
          <w:tcPr>
            <w:tcW w:w="1572" w:type="dxa"/>
            <w:vMerge w:val="restart"/>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strata organického uhlíka v pôde</w:t>
            </w:r>
          </w:p>
        </w:tc>
        <w:tc>
          <w:tcPr>
            <w:tcW w:w="1598" w:type="dxa"/>
            <w:gridSpan w:val="2"/>
            <w:vMerge w:val="restart"/>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koncentrácia organického uhlíka v pôde (g na kg)</w:t>
            </w:r>
          </w:p>
          <w:p w:rsidR="009D7883" w:rsidRDefault="009D7883">
            <w:pPr>
              <w:spacing w:before="120" w:after="120"/>
              <w:rPr>
                <w:rFonts w:ascii="Times New Roman" w:hAnsi="Times New Roman"/>
                <w:strike/>
                <w:noProof/>
                <w:sz w:val="22"/>
              </w:rPr>
            </w:pPr>
          </w:p>
        </w:tc>
        <w:tc>
          <w:tcPr>
            <w:tcW w:w="3049"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v prípade organických pôd: dodržiavanie cieľových hodnôt stanovených pre takéto pôdy na vnútroštátnej úrovni v súlade s článkom 4 ods. 1 a 2 a článkom 9 ods. 4 nariadenia (EÚ) …/…</w:t>
            </w:r>
            <w:r>
              <w:rPr>
                <w:rFonts w:ascii="Times New Roman" w:hAnsi="Times New Roman"/>
                <w:strike/>
                <w:noProof/>
                <w:sz w:val="22"/>
                <w:vertAlign w:val="superscript"/>
              </w:rPr>
              <w:footnoteReference w:customMarkFollows="1" w:id="58"/>
              <w:t>+</w:t>
            </w:r>
            <w:r>
              <w:rPr>
                <w:rFonts w:ascii="Times New Roman" w:hAnsi="Times New Roman"/>
                <w:strike/>
                <w:noProof/>
                <w:sz w:val="22"/>
              </w:rPr>
              <w:t xml:space="preserve"> </w:t>
            </w:r>
          </w:p>
        </w:tc>
        <w:tc>
          <w:tcPr>
            <w:tcW w:w="3387"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bez výnimiek</w:t>
            </w:r>
          </w:p>
        </w:tc>
      </w:tr>
      <w:tr w:rsidR="009D7883">
        <w:trPr>
          <w:trHeight w:val="274"/>
          <w:tblHeader/>
        </w:trPr>
        <w:tc>
          <w:tcPr>
            <w:tcW w:w="1572" w:type="dxa"/>
            <w:vMerge/>
            <w:vAlign w:val="center"/>
            <w:hideMark/>
          </w:tcPr>
          <w:p w:rsidR="009D7883" w:rsidRDefault="009D7883">
            <w:pPr>
              <w:spacing w:before="120" w:after="120" w:line="360" w:lineRule="auto"/>
              <w:rPr>
                <w:rFonts w:ascii="Times New Roman" w:hAnsi="Times New Roman"/>
                <w:noProof/>
                <w:sz w:val="22"/>
              </w:rPr>
            </w:pPr>
          </w:p>
        </w:tc>
        <w:tc>
          <w:tcPr>
            <w:tcW w:w="1598" w:type="dxa"/>
            <w:gridSpan w:val="2"/>
            <w:vMerge/>
            <w:vAlign w:val="center"/>
            <w:hideMark/>
          </w:tcPr>
          <w:p w:rsidR="009D7883" w:rsidRDefault="009D7883">
            <w:pPr>
              <w:spacing w:before="120" w:after="120" w:line="360" w:lineRule="auto"/>
              <w:rPr>
                <w:rFonts w:ascii="Times New Roman" w:hAnsi="Times New Roman"/>
                <w:noProof/>
                <w:sz w:val="22"/>
              </w:rPr>
            </w:pPr>
          </w:p>
        </w:tc>
        <w:tc>
          <w:tcPr>
            <w:tcW w:w="3049"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 v prípade minerálnych pôd: pomer organického uhlíka v pôde a ílovitej pôdy &gt; 1/13 </w:t>
            </w:r>
          </w:p>
          <w:p w:rsidR="009D7883" w:rsidRDefault="00AA63BB">
            <w:pPr>
              <w:spacing w:before="120" w:after="120"/>
              <w:rPr>
                <w:rFonts w:ascii="Times New Roman" w:hAnsi="Times New Roman"/>
                <w:strike/>
                <w:noProof/>
                <w:sz w:val="22"/>
              </w:rPr>
            </w:pPr>
            <w:r>
              <w:rPr>
                <w:rFonts w:ascii="Times New Roman" w:hAnsi="Times New Roman"/>
                <w:strike/>
                <w:noProof/>
                <w:sz w:val="22"/>
              </w:rPr>
              <w:t>Členské štáty môžu uplatňovať korekčný faktor, pokiaľ je to odôvodnené špecifickými pôdnymi typmi alebo klimatickými podmienkami, pričom sa zohľadňuje skutočný obsah organ</w:t>
            </w:r>
            <w:r>
              <w:rPr>
                <w:rFonts w:ascii="Times New Roman" w:hAnsi="Times New Roman"/>
                <w:strike/>
                <w:noProof/>
                <w:sz w:val="22"/>
              </w:rPr>
              <w:t>ického uhlíka v pôde na trvalých trávnych porastoch.</w:t>
            </w:r>
          </w:p>
        </w:tc>
        <w:tc>
          <w:tcPr>
            <w:tcW w:w="3387"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neobhospodarované pôdy na plochách prírodnej krajiny</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lastRenderedPageBreak/>
              <w:t>zhutnenie podornice</w:t>
            </w:r>
          </w:p>
        </w:tc>
        <w:tc>
          <w:tcPr>
            <w:tcW w:w="1598"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objemová hmotnosť v podornici (horná časť B- alebo E-horizontu</w:t>
            </w:r>
            <w:r>
              <w:rPr>
                <w:rFonts w:ascii="Times New Roman" w:hAnsi="Times New Roman"/>
                <w:strike/>
                <w:noProof/>
                <w:sz w:val="22"/>
                <w:vertAlign w:val="superscript"/>
              </w:rPr>
              <w:footnoteReference w:id="59"/>
            </w:r>
            <w:r>
              <w:rPr>
                <w:rFonts w:ascii="Times New Roman" w:hAnsi="Times New Roman"/>
                <w:strike/>
                <w:noProof/>
                <w:sz w:val="22"/>
              </w:rPr>
              <w:t xml:space="preserve">); členské štáty môžu tento deskriptor nahradiť ekvivalentným </w:t>
            </w:r>
            <w:r>
              <w:rPr>
                <w:rFonts w:ascii="Times New Roman" w:hAnsi="Times New Roman"/>
                <w:strike/>
                <w:noProof/>
                <w:sz w:val="22"/>
              </w:rPr>
              <w:t>parametrom (g na cm</w:t>
            </w:r>
            <w:r>
              <w:rPr>
                <w:rFonts w:ascii="Times New Roman" w:hAnsi="Times New Roman"/>
                <w:strike/>
                <w:noProof/>
                <w:sz w:val="22"/>
                <w:vertAlign w:val="superscript"/>
              </w:rPr>
              <w:t>3</w:t>
            </w:r>
            <w:r>
              <w:rPr>
                <w:rFonts w:ascii="Times New Roman" w:hAnsi="Times New Roman"/>
                <w:strike/>
                <w:noProof/>
                <w:sz w:val="22"/>
              </w:rPr>
              <w:t>)</w:t>
            </w:r>
          </w:p>
        </w:tc>
        <w:tc>
          <w:tcPr>
            <w:tcW w:w="3049" w:type="dxa"/>
            <w:gridSpan w:val="2"/>
            <w:tcBorders>
              <w:top w:val="single" w:sz="4" w:space="0" w:color="auto"/>
              <w:left w:val="single" w:sz="4" w:space="0" w:color="auto"/>
              <w:bottom w:val="single" w:sz="4" w:space="0" w:color="auto"/>
              <w:right w:val="single" w:sz="4" w:space="0" w:color="auto"/>
            </w:tcBorders>
          </w:tcPr>
          <w:tbl>
            <w:tblPr>
              <w:tblStyle w:val="TableGrid1"/>
              <w:tblW w:w="2712" w:type="dxa"/>
              <w:tblLook w:val="04A0" w:firstRow="1" w:lastRow="0" w:firstColumn="1" w:lastColumn="0" w:noHBand="0" w:noVBand="1"/>
            </w:tblPr>
            <w:tblGrid>
              <w:gridCol w:w="1827"/>
              <w:gridCol w:w="885"/>
            </w:tblGrid>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textúra pôdy</w:t>
                  </w:r>
                  <w:r>
                    <w:rPr>
                      <w:rFonts w:ascii="Times New Roman" w:hAnsi="Times New Roman"/>
                      <w:strike/>
                      <w:noProof/>
                      <w:sz w:val="22"/>
                      <w:vertAlign w:val="superscript"/>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rozsah</w:t>
                  </w:r>
                </w:p>
              </w:tc>
            </w:tr>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piesočnaté, hlinito-piesočnaté, piesočnato-hlinité a hlinité pôdy</w:t>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&lt;1,80</w:t>
                  </w:r>
                </w:p>
              </w:tc>
            </w:tr>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piesočnato-ílovito-hlinité, hlinité, ílovito-hlinité, prachovité a prachovito-hlinité pôdy</w:t>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&lt;1,75</w:t>
                  </w:r>
                </w:p>
              </w:tc>
            </w:tr>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prachovito-hlinité a prachovito-ílovito-h</w:t>
                  </w:r>
                  <w:r>
                    <w:rPr>
                      <w:rFonts w:ascii="Times New Roman" w:hAnsi="Times New Roman"/>
                      <w:strike/>
                      <w:noProof/>
                      <w:sz w:val="22"/>
                    </w:rPr>
                    <w:t>linité pôdy</w:t>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&lt;1,65</w:t>
                  </w:r>
                </w:p>
              </w:tc>
            </w:tr>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piesočnato-ílovité, prachovito-ílovité, ílovito-hlinité pôdy s 35 – 45 % podielom ílu</w:t>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&lt;1,58</w:t>
                  </w:r>
                </w:p>
              </w:tc>
            </w:tr>
            <w:tr w:rsidR="009D7883">
              <w:trPr>
                <w:trHeight w:val="300"/>
              </w:trPr>
              <w:tc>
                <w:tcPr>
                  <w:tcW w:w="1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ílovitá pôda</w:t>
                  </w:r>
                </w:p>
              </w:tc>
              <w:tc>
                <w:tcPr>
                  <w:tcW w:w="885"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&lt;1,47</w:t>
                  </w:r>
                </w:p>
              </w:tc>
            </w:tr>
          </w:tbl>
          <w:p w:rsidR="009D7883" w:rsidRDefault="00AA63BB">
            <w:pPr>
              <w:spacing w:before="120" w:after="120"/>
              <w:rPr>
                <w:rFonts w:ascii="Times New Roman" w:hAnsi="Times New Roman"/>
                <w:strike/>
                <w:noProof/>
                <w:sz w:val="22"/>
              </w:rPr>
            </w:pPr>
            <w:r>
              <w:rPr>
                <w:rFonts w:ascii="Times New Roman" w:hAnsi="Times New Roman"/>
                <w:strike/>
                <w:noProof/>
                <w:sz w:val="22"/>
              </w:rPr>
              <w:t>V prípade, že členský štát nahradí pôdny deskriptor „objemová hmotnosť v podornici“ ekvivalentným parametrom, prijme kritéri</w:t>
            </w:r>
            <w:r>
              <w:rPr>
                <w:rFonts w:ascii="Times New Roman" w:hAnsi="Times New Roman"/>
                <w:strike/>
                <w:noProof/>
                <w:sz w:val="22"/>
              </w:rPr>
              <w:t>um pre zdravý stav pôdy súvisiace s vybraným pôdnym deskriptorom, ktoré je ekvivalentné kritériu stanovenému pre objemovú hustotu podložia.</w:t>
            </w:r>
          </w:p>
        </w:tc>
        <w:tc>
          <w:tcPr>
            <w:tcW w:w="3387" w:type="dxa"/>
            <w:gridSpan w:val="2"/>
            <w:tcBorders>
              <w:top w:val="single" w:sz="4" w:space="0" w:color="auto"/>
              <w:left w:val="single" w:sz="4" w:space="0" w:color="auto"/>
              <w:bottom w:val="single" w:sz="4" w:space="0" w:color="auto"/>
              <w:right w:val="single" w:sz="4" w:space="0" w:color="auto"/>
            </w:tcBorders>
          </w:tcPr>
          <w:p w:rsidR="009D7883" w:rsidRDefault="00AA63BB">
            <w:pPr>
              <w:spacing w:before="120" w:after="120"/>
              <w:rPr>
                <w:rFonts w:ascii="Times New Roman" w:hAnsi="Times New Roman"/>
                <w:strike/>
                <w:noProof/>
                <w:sz w:val="22"/>
              </w:rPr>
            </w:pPr>
            <w:r>
              <w:rPr>
                <w:rFonts w:ascii="Times New Roman" w:hAnsi="Times New Roman"/>
                <w:strike/>
                <w:noProof/>
                <w:sz w:val="22"/>
              </w:rPr>
              <w:t>neobhospodarované pôdy na plochách prírodnej krajiny</w:t>
            </w: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trike/>
                <w:noProof/>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rPr>
                <w:rFonts w:ascii="Times New Roman" w:hAnsi="Times New Roman"/>
                <w:sz w:val="22"/>
              </w:rPr>
            </w:pPr>
          </w:p>
          <w:p w:rsidR="009D7883" w:rsidRDefault="009D7883">
            <w:pPr>
              <w:spacing w:before="120" w:after="120"/>
              <w:jc w:val="center"/>
              <w:rPr>
                <w:rFonts w:ascii="Times New Roman" w:hAnsi="Times New Roman"/>
                <w:sz w:val="22"/>
              </w:rPr>
            </w:pP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sz w:val="22"/>
              </w:rPr>
            </w:pPr>
            <w:r>
              <w:rPr>
                <w:rFonts w:ascii="Times New Roman" w:hAnsi="Times New Roman"/>
                <w:b/>
                <w:i/>
                <w:sz w:val="22"/>
              </w:rPr>
              <w:t xml:space="preserve">Časť A: Úroveň 1 pre koncepciu </w:t>
            </w:r>
            <w:r>
              <w:rPr>
                <w:rFonts w:ascii="Times New Roman" w:hAnsi="Times New Roman"/>
                <w:b/>
                <w:i/>
                <w:sz w:val="22"/>
              </w:rPr>
              <w:t>monitorovania pôdy</w:t>
            </w:r>
          </w:p>
          <w:p w:rsidR="009D7883" w:rsidRDefault="00AA63BB">
            <w:pPr>
              <w:widowControl/>
              <w:spacing w:before="120" w:after="120"/>
              <w:jc w:val="both"/>
              <w:rPr>
                <w:rFonts w:ascii="Times New Roman" w:hAnsi="Times New Roman"/>
                <w:b/>
                <w:bCs/>
                <w:i/>
                <w:sz w:val="22"/>
              </w:rPr>
            </w:pPr>
            <w:r>
              <w:rPr>
                <w:rFonts w:ascii="Times New Roman" w:hAnsi="Times New Roman"/>
                <w:b/>
                <w:i/>
                <w:sz w:val="22"/>
              </w:rPr>
              <w:t xml:space="preserve">Členský štát spĺňa podmienky pre úroveň 1 pre koncepciu monitorovania pôdy, ak spĺňa všetky kritériá stanovené v druhom stĺpci a zahŕňa všetky pôdne </w:t>
            </w:r>
            <w:proofErr w:type="spellStart"/>
            <w:r>
              <w:rPr>
                <w:rFonts w:ascii="Times New Roman" w:hAnsi="Times New Roman"/>
                <w:b/>
                <w:i/>
                <w:sz w:val="22"/>
              </w:rPr>
              <w:t>deskriptory</w:t>
            </w:r>
            <w:proofErr w:type="spellEnd"/>
            <w:r>
              <w:rPr>
                <w:rFonts w:ascii="Times New Roman" w:hAnsi="Times New Roman"/>
                <w:b/>
                <w:i/>
                <w:sz w:val="22"/>
              </w:rPr>
              <w:t>.</w:t>
            </w: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bCs/>
                <w:i/>
                <w:sz w:val="22"/>
              </w:rPr>
            </w:pPr>
            <w:r>
              <w:rPr>
                <w:rFonts w:ascii="Times New Roman" w:hAnsi="Times New Roman"/>
                <w:b/>
                <w:i/>
                <w:sz w:val="22"/>
              </w:rPr>
              <w:lastRenderedPageBreak/>
              <w:t>Koncepcia odberu vzoriek</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bCs/>
                <w:i/>
                <w:iCs/>
                <w:sz w:val="22"/>
              </w:rPr>
            </w:pPr>
            <w:r>
              <w:rPr>
                <w:rFonts w:ascii="Times New Roman" w:hAnsi="Times New Roman"/>
                <w:b/>
                <w:i/>
                <w:sz w:val="22"/>
              </w:rPr>
              <w:t>Referenčná metodika</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bCs/>
                <w:i/>
                <w:iCs/>
                <w:sz w:val="22"/>
              </w:rPr>
            </w:pPr>
            <w:r>
              <w:rPr>
                <w:rFonts w:ascii="Times New Roman" w:hAnsi="Times New Roman"/>
                <w:b/>
                <w:i/>
                <w:sz w:val="22"/>
              </w:rPr>
              <w:t>Kritériá, ktoré treba splniť</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bCs/>
                <w:i/>
                <w:iCs/>
                <w:sz w:val="22"/>
              </w:rPr>
            </w:pPr>
            <w:r>
              <w:rPr>
                <w:rFonts w:ascii="Times New Roman" w:hAnsi="Times New Roman"/>
                <w:b/>
                <w:i/>
                <w:sz w:val="22"/>
              </w:rPr>
              <w:t>Výnimky</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bCs/>
                <w:i/>
                <w:iCs/>
                <w:sz w:val="22"/>
              </w:rPr>
            </w:pPr>
            <w:r>
              <w:rPr>
                <w:rFonts w:ascii="Times New Roman" w:hAnsi="Times New Roman"/>
                <w:b/>
                <w:i/>
                <w:sz w:val="22"/>
              </w:rPr>
              <w:t>Poznámky</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Výberové zisťovanie má vychádzať z úplnej opory výberu, ktorá obsahuje najlepšie dostupné informácie o rozdelení pôdnych vlastností vrátane informácií vyplývajúcich z predchádzajúcich vnútroštátnych meraní a meraní v rámci programu LUCAS</w:t>
            </w:r>
            <w:r>
              <w:rPr>
                <w:rFonts w:ascii="Times New Roman" w:hAnsi="Times New Roman"/>
                <w:b/>
                <w:i/>
                <w:sz w:val="22"/>
              </w:rPr>
              <w:t xml:space="preserve"> (okrem iných).</w:t>
            </w:r>
          </w:p>
          <w:p w:rsidR="009D7883" w:rsidRDefault="00AA63BB">
            <w:pPr>
              <w:widowControl/>
              <w:spacing w:before="120" w:after="120"/>
              <w:jc w:val="both"/>
              <w:rPr>
                <w:rFonts w:ascii="Times New Roman" w:hAnsi="Times New Roman"/>
                <w:b/>
                <w:i/>
                <w:sz w:val="22"/>
              </w:rPr>
            </w:pPr>
            <w:r>
              <w:rPr>
                <w:rFonts w:ascii="Times New Roman" w:hAnsi="Times New Roman"/>
                <w:b/>
                <w:i/>
                <w:sz w:val="22"/>
              </w:rPr>
              <w:t>Systém odberu vzorky je stratifikovaný náhodný výber vzorky.</w:t>
            </w:r>
          </w:p>
          <w:p w:rsidR="009D7883" w:rsidRDefault="00AA63BB">
            <w:pPr>
              <w:widowControl/>
              <w:spacing w:before="120" w:after="120"/>
              <w:jc w:val="both"/>
              <w:rPr>
                <w:rFonts w:ascii="Times New Roman" w:hAnsi="Times New Roman"/>
                <w:b/>
                <w:i/>
                <w:sz w:val="22"/>
              </w:rPr>
            </w:pPr>
            <w:r>
              <w:rPr>
                <w:rFonts w:ascii="Times New Roman" w:hAnsi="Times New Roman"/>
                <w:b/>
                <w:i/>
                <w:sz w:val="22"/>
              </w:rPr>
              <w:t>Veľkosť vnútroštátnej vzorky musí spĺňať požiadavku na maximálnu percentuálnu chybovosť (alebo variačný koeficient) v hodnote 5 % v prípade odhadu plochy so zdravou pôdou.</w:t>
            </w:r>
          </w:p>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Vzorka </w:t>
            </w:r>
            <w:r>
              <w:rPr>
                <w:rFonts w:ascii="Times New Roman" w:hAnsi="Times New Roman"/>
                <w:b/>
                <w:i/>
                <w:sz w:val="22"/>
              </w:rPr>
              <w:t>Komisie na účel zisťovania podľa článku 6 ods. 4 sa podieľa na veľkosti vnútroštátnych vzoriek minimálne 20 %.</w:t>
            </w:r>
          </w:p>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Pridelenie a veľkosť vzorky sa stanovia s použitím </w:t>
            </w:r>
            <w:proofErr w:type="spellStart"/>
            <w:r>
              <w:rPr>
                <w:rFonts w:ascii="Times New Roman" w:hAnsi="Times New Roman"/>
                <w:b/>
                <w:i/>
                <w:sz w:val="22"/>
              </w:rPr>
              <w:t>Bethelovho</w:t>
            </w:r>
            <w:proofErr w:type="spellEnd"/>
            <w:r>
              <w:rPr>
                <w:rFonts w:ascii="Times New Roman" w:hAnsi="Times New Roman"/>
                <w:b/>
                <w:i/>
                <w:sz w:val="22"/>
              </w:rPr>
              <w:t xml:space="preserve"> algoritmu (</w:t>
            </w:r>
            <w:proofErr w:type="spellStart"/>
            <w:r>
              <w:rPr>
                <w:rFonts w:ascii="Times New Roman" w:hAnsi="Times New Roman"/>
                <w:b/>
                <w:i/>
                <w:sz w:val="22"/>
              </w:rPr>
              <w:t>Bethel</w:t>
            </w:r>
            <w:proofErr w:type="spellEnd"/>
            <w:r>
              <w:rPr>
                <w:rFonts w:ascii="Times New Roman" w:hAnsi="Times New Roman"/>
                <w:b/>
                <w:i/>
                <w:sz w:val="22"/>
              </w:rPr>
              <w:t>, 1989), pričom sa zohľadní požadovaná maximálna chybovosť odhadu.</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a) </w:t>
            </w:r>
            <w:r>
              <w:rPr>
                <w:rFonts w:ascii="Times New Roman" w:hAnsi="Times New Roman"/>
                <w:b/>
                <w:bCs/>
                <w:i/>
                <w:iCs/>
                <w:sz w:val="22"/>
              </w:rPr>
              <w:t>Stratifikovaný náhodný výber vzorky na základe typu zeme;</w:t>
            </w:r>
            <w:r>
              <w:rPr>
                <w:rFonts w:ascii="Times New Roman" w:hAnsi="Times New Roman"/>
                <w:b/>
                <w:i/>
                <w:sz w:val="22"/>
              </w:rPr>
              <w:t xml:space="preserve"> </w:t>
            </w:r>
            <w:proofErr w:type="spellStart"/>
            <w:r>
              <w:rPr>
                <w:rFonts w:ascii="Times New Roman" w:hAnsi="Times New Roman"/>
                <w:b/>
                <w:i/>
                <w:sz w:val="22"/>
              </w:rPr>
              <w:t>stratifikátory</w:t>
            </w:r>
            <w:proofErr w:type="spellEnd"/>
            <w:r>
              <w:rPr>
                <w:rFonts w:ascii="Times New Roman" w:hAnsi="Times New Roman"/>
                <w:b/>
                <w:i/>
                <w:sz w:val="22"/>
              </w:rPr>
              <w:t xml:space="preserve"> môžu zahŕňať klimatické podmienky, typ pôdy, typ zeme a administratívne regióny podľa článku 4.</w:t>
            </w:r>
          </w:p>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b) Odhad počtu vzoriek je v súlade s použitím </w:t>
            </w:r>
            <w:proofErr w:type="spellStart"/>
            <w:r>
              <w:rPr>
                <w:rFonts w:ascii="Times New Roman" w:hAnsi="Times New Roman"/>
                <w:b/>
                <w:i/>
                <w:sz w:val="22"/>
              </w:rPr>
              <w:t>Bethelovho</w:t>
            </w:r>
            <w:proofErr w:type="spellEnd"/>
            <w:r>
              <w:rPr>
                <w:rFonts w:ascii="Times New Roman" w:hAnsi="Times New Roman"/>
                <w:b/>
                <w:i/>
                <w:sz w:val="22"/>
              </w:rPr>
              <w:t xml:space="preserve"> algoritmu, pričom sa zohľa</w:t>
            </w:r>
            <w:r>
              <w:rPr>
                <w:rFonts w:ascii="Times New Roman" w:hAnsi="Times New Roman"/>
                <w:b/>
                <w:i/>
                <w:sz w:val="22"/>
              </w:rPr>
              <w:t>dní požadovaná maximálna chybovosť odhadu.</w:t>
            </w:r>
          </w:p>
          <w:p w:rsidR="009D7883" w:rsidRDefault="00AA63BB">
            <w:pPr>
              <w:widowControl/>
              <w:spacing w:before="120" w:after="120"/>
              <w:jc w:val="both"/>
              <w:rPr>
                <w:rFonts w:ascii="Times New Roman" w:hAnsi="Times New Roman"/>
                <w:b/>
                <w:i/>
                <w:sz w:val="22"/>
              </w:rPr>
            </w:pPr>
            <w:r>
              <w:rPr>
                <w:rFonts w:ascii="Times New Roman" w:hAnsi="Times New Roman"/>
                <w:b/>
                <w:i/>
                <w:sz w:val="22"/>
              </w:rPr>
              <w:t>c) Umožniť, aby sa percentuálny podiel (až do 20 % a najmenej 10 %) miest odberu vzoriek vyčlenil na cielený odber vzoriek súvisiaci s vyšetrovaniami alebo posúdením rizika.</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 prípade, že na úrovni členského štátu</w:t>
            </w:r>
            <w:r>
              <w:rPr>
                <w:rFonts w:ascii="Times New Roman" w:hAnsi="Times New Roman"/>
                <w:b/>
                <w:i/>
                <w:sz w:val="22"/>
              </w:rPr>
              <w:t xml:space="preserve"> existuje koncepcia odberu vzoriek, ktorá spĺňa kritériá stanovené pre úroveň 1, referenčná metodika sa môže upraviť alebo sa Komisii môžu navrhnúť iné prístupy ku koncepcii za predpokladu, že zavedená koncepcia poskytuje dostatočné pokrytie členského štát</w:t>
            </w:r>
            <w:r>
              <w:rPr>
                <w:rFonts w:ascii="Times New Roman" w:hAnsi="Times New Roman"/>
                <w:b/>
                <w:i/>
                <w:sz w:val="22"/>
              </w:rPr>
              <w:t>u v súlade s referenčnou metodikou (vrátane vnútroštátnych vzoriek a vzoriek LUCAS). Pri úprave referenčnej metodiky členské štáty musia ďalej dodržiavať koncepciu in situ Komisie.</w:t>
            </w:r>
          </w:p>
        </w:tc>
        <w:tc>
          <w:tcPr>
            <w:tcW w:w="1944"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after="120"/>
              <w:jc w:val="both"/>
              <w:rPr>
                <w:rFonts w:ascii="Times New Roman" w:hAnsi="Times New Roman"/>
                <w:b/>
                <w:i/>
                <w:sz w:val="22"/>
              </w:rPr>
            </w:pP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Faktory degradácie</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i/>
                <w:iCs/>
                <w:sz w:val="22"/>
              </w:rPr>
            </w:pPr>
            <w:r>
              <w:rPr>
                <w:rFonts w:ascii="Times New Roman" w:hAnsi="Times New Roman"/>
                <w:b/>
                <w:i/>
                <w:sz w:val="22"/>
              </w:rPr>
              <w:t>Faktor degradácie</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i/>
                <w:sz w:val="22"/>
              </w:rPr>
              <w:t xml:space="preserve">Pôdny </w:t>
            </w:r>
            <w:proofErr w:type="spellStart"/>
            <w:r>
              <w:rPr>
                <w:rFonts w:ascii="Times New Roman" w:hAnsi="Times New Roman"/>
                <w:b/>
                <w:i/>
                <w:sz w:val="22"/>
              </w:rPr>
              <w:t>deskriptor</w:t>
            </w:r>
            <w:proofErr w:type="spellEnd"/>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i/>
                <w:sz w:val="22"/>
              </w:rPr>
              <w:t>Výnimky</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i/>
                <w:sz w:val="22"/>
              </w:rPr>
              <w:t>Poznámky</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i/>
                <w:sz w:val="22"/>
              </w:rPr>
            </w:pPr>
            <w:r>
              <w:rPr>
                <w:rFonts w:ascii="Times New Roman" w:hAnsi="Times New Roman"/>
                <w:b/>
                <w:i/>
                <w:sz w:val="22"/>
              </w:rPr>
              <w:t>Erózia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sz w:val="22"/>
              </w:rPr>
              <w:sym w:font="Symbol" w:char="F0B7"/>
            </w:r>
            <w:r>
              <w:rPr>
                <w:rFonts w:ascii="Times New Roman" w:hAnsi="Times New Roman"/>
                <w:sz w:val="22"/>
              </w:rPr>
              <w:t xml:space="preserve"> </w:t>
            </w:r>
            <w:r>
              <w:rPr>
                <w:rFonts w:ascii="Times New Roman" w:hAnsi="Times New Roman"/>
                <w:b/>
                <w:bCs/>
                <w:i/>
                <w:iCs/>
                <w:sz w:val="22"/>
              </w:rPr>
              <w:t>miera erózie pôdy (tony stratenej pôdy na hektár ročne (t ha</w:t>
            </w:r>
            <w:r>
              <w:rPr>
                <w:rFonts w:ascii="Times New Roman" w:hAnsi="Times New Roman"/>
                <w:b/>
                <w:bCs/>
                <w:i/>
                <w:iCs/>
                <w:sz w:val="22"/>
                <w:vertAlign w:val="superscript"/>
              </w:rPr>
              <w:t xml:space="preserve">-1 </w:t>
            </w:r>
            <w:r>
              <w:rPr>
                <w:rFonts w:ascii="Times New Roman" w:hAnsi="Times New Roman"/>
                <w:b/>
                <w:bCs/>
                <w:i/>
                <w:iCs/>
                <w:sz w:val="22"/>
              </w:rPr>
              <w:t>yr</w:t>
            </w:r>
            <w:r>
              <w:rPr>
                <w:rFonts w:ascii="Times New Roman" w:hAnsi="Times New Roman"/>
                <w:b/>
                <w:bCs/>
                <w:i/>
                <w:iCs/>
                <w:sz w:val="22"/>
                <w:vertAlign w:val="superscript"/>
              </w:rPr>
              <w:t>-1</w:t>
            </w:r>
            <w:r>
              <w:rPr>
                <w:rFonts w:ascii="Times New Roman" w:hAnsi="Times New Roman"/>
                <w:b/>
                <w:bCs/>
                <w:i/>
                <w:iCs/>
                <w:sz w:val="22"/>
              </w:rPr>
              <w:t>))</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after="120"/>
              <w:jc w:val="both"/>
              <w:rPr>
                <w:rFonts w:ascii="Times New Roman" w:hAnsi="Times New Roman"/>
                <w:b/>
                <w:i/>
                <w:sz w:val="22"/>
              </w:rPr>
            </w:pP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i/>
                <w:sz w:val="22"/>
              </w:rPr>
            </w:pPr>
            <w:r>
              <w:rPr>
                <w:rFonts w:ascii="Times New Roman" w:hAnsi="Times New Roman"/>
                <w:b/>
                <w:i/>
                <w:sz w:val="22"/>
              </w:rPr>
              <w:t>strata organického uhlíka v pôde</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sz w:val="22"/>
              </w:rPr>
              <w:sym w:font="Symbol" w:char="F0B7"/>
            </w:r>
            <w:r>
              <w:rPr>
                <w:rFonts w:ascii="Times New Roman" w:hAnsi="Times New Roman"/>
                <w:b/>
                <w:bCs/>
                <w:i/>
                <w:iCs/>
                <w:sz w:val="22"/>
              </w:rPr>
              <w:t xml:space="preserve"> koncentrácia organického uhlíka v pôde (g uhlíka na kg (g kg</w:t>
            </w:r>
            <w:r>
              <w:rPr>
                <w:rFonts w:ascii="Times New Roman" w:hAnsi="Times New Roman"/>
                <w:b/>
                <w:bCs/>
                <w:i/>
                <w:iCs/>
                <w:sz w:val="22"/>
                <w:vertAlign w:val="superscript"/>
              </w:rPr>
              <w:t>-1</w:t>
            </w:r>
            <w:r>
              <w:rPr>
                <w:rFonts w:ascii="Times New Roman" w:hAnsi="Times New Roman"/>
                <w:b/>
                <w:bCs/>
                <w:i/>
                <w:iCs/>
                <w:sz w:val="22"/>
              </w:rPr>
              <w:t>))</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Vykoná sa pre </w:t>
            </w:r>
            <w:r>
              <w:rPr>
                <w:rFonts w:ascii="Times New Roman" w:hAnsi="Times New Roman"/>
                <w:b/>
                <w:bCs/>
                <w:i/>
                <w:iCs/>
                <w:sz w:val="22"/>
              </w:rPr>
              <w:t>ornicu</w:t>
            </w:r>
            <w:r>
              <w:rPr>
                <w:rFonts w:ascii="Times New Roman" w:hAnsi="Times New Roman"/>
                <w:b/>
                <w:i/>
                <w:sz w:val="22"/>
              </w:rPr>
              <w:t xml:space="preserve"> (0 – 10 cm, 10 – 30 cm)</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line="360" w:lineRule="auto"/>
              <w:jc w:val="both"/>
              <w:rPr>
                <w:rFonts w:ascii="Times New Roman" w:hAnsi="Times New Roman"/>
                <w:b/>
                <w:i/>
                <w:sz w:val="22"/>
              </w:rPr>
            </w:pPr>
            <w:r>
              <w:rPr>
                <w:rFonts w:ascii="Times New Roman" w:hAnsi="Times New Roman"/>
                <w:b/>
                <w:i/>
                <w:sz w:val="22"/>
              </w:rPr>
              <w:t>Zhutnenie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sz w:val="22"/>
              </w:rPr>
              <w:sym w:font="Symbol" w:char="F0B7"/>
            </w:r>
            <w:r>
              <w:rPr>
                <w:rFonts w:ascii="Times New Roman" w:hAnsi="Times New Roman"/>
                <w:sz w:val="22"/>
              </w:rPr>
              <w:t xml:space="preserve"> </w:t>
            </w:r>
            <w:r>
              <w:rPr>
                <w:rFonts w:ascii="Times New Roman" w:hAnsi="Times New Roman"/>
                <w:b/>
                <w:bCs/>
                <w:i/>
                <w:iCs/>
                <w:sz w:val="22"/>
              </w:rPr>
              <w:t>objemová hmotnosť v ornici (g cm-3)</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Vykoná</w:t>
            </w:r>
            <w:r>
              <w:rPr>
                <w:rFonts w:ascii="Times New Roman" w:hAnsi="Times New Roman"/>
                <w:b/>
                <w:i/>
                <w:sz w:val="22"/>
              </w:rPr>
              <w:t xml:space="preserve"> sa pre ornicu (0 – 10 cm, 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lastRenderedPageBreak/>
              <w:t>nadmerný obsah živín v pôde</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346" w:hanging="360"/>
              <w:contextualSpacing/>
              <w:rPr>
                <w:rFonts w:ascii="Times New Roman" w:hAnsi="Times New Roman"/>
                <w:b/>
                <w:i/>
                <w:sz w:val="22"/>
              </w:rPr>
            </w:pPr>
            <w:r>
              <w:rPr>
                <w:rFonts w:ascii="Times New Roman" w:hAnsi="Times New Roman"/>
                <w:sz w:val="22"/>
              </w:rPr>
              <w:sym w:font="Symbol" w:char="F0B7"/>
            </w:r>
            <w:r>
              <w:rPr>
                <w:rFonts w:ascii="Times New Roman" w:hAnsi="Times New Roman"/>
                <w:sz w:val="22"/>
              </w:rPr>
              <w:t xml:space="preserve"> </w:t>
            </w:r>
            <w:r>
              <w:rPr>
                <w:rFonts w:ascii="Times New Roman" w:hAnsi="Times New Roman"/>
                <w:b/>
                <w:bCs/>
                <w:i/>
                <w:iCs/>
                <w:sz w:val="22"/>
              </w:rPr>
              <w:t>dostupný fosfor (mg kg</w:t>
            </w:r>
            <w:r>
              <w:rPr>
                <w:rFonts w:ascii="Times New Roman" w:hAnsi="Times New Roman"/>
                <w:b/>
                <w:bCs/>
                <w:i/>
                <w:iCs/>
                <w:sz w:val="22"/>
                <w:vertAlign w:val="superscript"/>
              </w:rPr>
              <w:t>-1</w:t>
            </w:r>
            <w:r>
              <w:rPr>
                <w:rFonts w:ascii="Times New Roman" w:hAnsi="Times New Roman"/>
                <w:b/>
                <w:bCs/>
                <w:i/>
                <w:iCs/>
                <w:sz w:val="22"/>
              </w:rPr>
              <w:t>)</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celkový dusík v pôde (mg g</w:t>
            </w:r>
            <w:r>
              <w:rPr>
                <w:rFonts w:ascii="Times New Roman" w:hAnsi="Times New Roman"/>
                <w:b/>
                <w:bCs/>
                <w:i/>
                <w:iCs/>
                <w:sz w:val="22"/>
                <w:vertAlign w:val="superscript"/>
              </w:rPr>
              <w:t>-1</w:t>
            </w:r>
            <w:r>
              <w:rPr>
                <w:rFonts w:ascii="Times New Roman" w:hAnsi="Times New Roman"/>
                <w:b/>
                <w:bCs/>
                <w:i/>
                <w:iCs/>
                <w:sz w:val="22"/>
              </w:rPr>
              <w:t>)</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iCs/>
                <w:sz w:val="22"/>
              </w:rPr>
            </w:pPr>
            <w:r>
              <w:rPr>
                <w:rFonts w:ascii="Times New Roman" w:hAnsi="Times New Roman"/>
                <w:b/>
                <w:bCs/>
                <w:i/>
                <w:iCs/>
                <w:sz w:val="22"/>
              </w:rPr>
              <w:t>Vykoná</w:t>
            </w:r>
            <w:r>
              <w:rPr>
                <w:rFonts w:ascii="Times New Roman" w:hAnsi="Times New Roman"/>
                <w:b/>
                <w:i/>
                <w:sz w:val="22"/>
              </w:rPr>
              <w:t xml:space="preserve"> sa pre ornicu (0 – 10 cm, 10 – 30 cm)</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kontaminácia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sz w:val="22"/>
              </w:rPr>
              <w:sym w:font="Symbol" w:char="F0B7"/>
            </w:r>
            <w:r>
              <w:rPr>
                <w:rFonts w:ascii="Times New Roman" w:hAnsi="Times New Roman"/>
                <w:sz w:val="22"/>
              </w:rPr>
              <w:tab/>
            </w:r>
            <w:r>
              <w:rPr>
                <w:rFonts w:ascii="Times New Roman" w:hAnsi="Times New Roman"/>
                <w:b/>
                <w:i/>
                <w:sz w:val="22"/>
              </w:rPr>
              <w:t xml:space="preserve">koncentrácia ťažkých kovov v pôde: As, </w:t>
            </w:r>
            <w:proofErr w:type="spellStart"/>
            <w:r>
              <w:rPr>
                <w:rFonts w:ascii="Times New Roman" w:hAnsi="Times New Roman"/>
                <w:b/>
                <w:i/>
                <w:sz w:val="22"/>
              </w:rPr>
              <w:t>Sb</w:t>
            </w:r>
            <w:proofErr w:type="spellEnd"/>
            <w:r>
              <w:rPr>
                <w:rFonts w:ascii="Times New Roman" w:hAnsi="Times New Roman"/>
                <w:b/>
                <w:i/>
                <w:sz w:val="22"/>
              </w:rPr>
              <w:t xml:space="preserve">, Cd, </w:t>
            </w:r>
            <w:proofErr w:type="spellStart"/>
            <w:r>
              <w:rPr>
                <w:rFonts w:ascii="Times New Roman" w:hAnsi="Times New Roman"/>
                <w:b/>
                <w:i/>
                <w:sz w:val="22"/>
              </w:rPr>
              <w:t>Co</w:t>
            </w:r>
            <w:proofErr w:type="spellEnd"/>
            <w:r>
              <w:rPr>
                <w:rFonts w:ascii="Times New Roman" w:hAnsi="Times New Roman"/>
                <w:b/>
                <w:i/>
                <w:sz w:val="22"/>
              </w:rPr>
              <w:t xml:space="preserve">, Cr (spolu), Cr (VI), Cu, Hg, Pb, Ni, </w:t>
            </w:r>
            <w:proofErr w:type="spellStart"/>
            <w:r>
              <w:rPr>
                <w:rFonts w:ascii="Times New Roman" w:hAnsi="Times New Roman"/>
                <w:b/>
                <w:i/>
                <w:sz w:val="22"/>
              </w:rPr>
              <w:t>Tl</w:t>
            </w:r>
            <w:proofErr w:type="spellEnd"/>
            <w:r>
              <w:rPr>
                <w:rFonts w:ascii="Times New Roman" w:hAnsi="Times New Roman"/>
                <w:b/>
                <w:i/>
                <w:sz w:val="22"/>
              </w:rPr>
              <w:t>, V, Zn (µg na kg)</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sz w:val="22"/>
              </w:rPr>
              <w:sym w:font="Symbol" w:char="F0B7"/>
            </w:r>
            <w:r>
              <w:rPr>
                <w:rFonts w:ascii="Times New Roman" w:hAnsi="Times New Roman"/>
                <w:b/>
                <w:bCs/>
                <w:i/>
                <w:iCs/>
                <w:sz w:val="22"/>
              </w:rPr>
              <w:t xml:space="preserve"> Koncentrácia vybraných organických kontaminantov stanovená členskými štátmi a s prihliadnutím na kontaminanty, na ktoré sa vzťahuje nariadenie (EÚ) 2019/1021, a existujúce koncentračné limity, napr. pre kvalitu vody a emisie do ovzdušia v právnych predpis</w:t>
            </w:r>
            <w:r>
              <w:rPr>
                <w:rFonts w:ascii="Times New Roman" w:hAnsi="Times New Roman"/>
                <w:b/>
                <w:bCs/>
                <w:i/>
                <w:iCs/>
                <w:sz w:val="22"/>
              </w:rPr>
              <w:t>och Únie, najmä prioritné látky podľa rámcovej smernice o vode a súvisiacich environmentálnych noriem kvality (smernica 2008/105/ES) a smerníc o podzemných vodách (smernica 2006/118/ES)</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Prípravky na ochranu rastlín, ktoré sú kandidátmi na nahradenie, lát</w:t>
            </w:r>
            <w:r>
              <w:rPr>
                <w:rFonts w:ascii="Times New Roman" w:hAnsi="Times New Roman"/>
                <w:b/>
                <w:bCs/>
                <w:i/>
                <w:iCs/>
                <w:sz w:val="22"/>
              </w:rPr>
              <w:t xml:space="preserve">ky povolené v núdzovom režime a rezíduá </w:t>
            </w:r>
            <w:proofErr w:type="spellStart"/>
            <w:r>
              <w:rPr>
                <w:rFonts w:ascii="Times New Roman" w:hAnsi="Times New Roman"/>
                <w:b/>
                <w:bCs/>
                <w:i/>
                <w:iCs/>
                <w:sz w:val="22"/>
              </w:rPr>
              <w:t>biocídov</w:t>
            </w:r>
            <w:proofErr w:type="spellEnd"/>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w:t>
            </w:r>
            <w:proofErr w:type="spellStart"/>
            <w:r>
              <w:rPr>
                <w:rFonts w:ascii="Times New Roman" w:hAnsi="Times New Roman"/>
                <w:b/>
                <w:bCs/>
                <w:i/>
                <w:iCs/>
                <w:sz w:val="22"/>
              </w:rPr>
              <w:t>Perfluórované</w:t>
            </w:r>
            <w:proofErr w:type="spellEnd"/>
            <w:r>
              <w:rPr>
                <w:rFonts w:ascii="Times New Roman" w:hAnsi="Times New Roman"/>
                <w:b/>
                <w:bCs/>
                <w:i/>
                <w:iCs/>
                <w:sz w:val="22"/>
              </w:rPr>
              <w:t xml:space="preserve"> a </w:t>
            </w:r>
            <w:proofErr w:type="spellStart"/>
            <w:r>
              <w:rPr>
                <w:rFonts w:ascii="Times New Roman" w:hAnsi="Times New Roman"/>
                <w:b/>
                <w:bCs/>
                <w:i/>
                <w:iCs/>
                <w:sz w:val="22"/>
              </w:rPr>
              <w:t>polyfluórované</w:t>
            </w:r>
            <w:proofErr w:type="spellEnd"/>
            <w:r>
              <w:rPr>
                <w:rFonts w:ascii="Times New Roman" w:hAnsi="Times New Roman"/>
                <w:b/>
                <w:bCs/>
                <w:i/>
                <w:iCs/>
                <w:sz w:val="22"/>
              </w:rPr>
              <w:t xml:space="preserve"> </w:t>
            </w:r>
            <w:proofErr w:type="spellStart"/>
            <w:r>
              <w:rPr>
                <w:rFonts w:ascii="Times New Roman" w:hAnsi="Times New Roman"/>
                <w:b/>
                <w:bCs/>
                <w:i/>
                <w:iCs/>
                <w:sz w:val="22"/>
              </w:rPr>
              <w:t>alkylované</w:t>
            </w:r>
            <w:proofErr w:type="spellEnd"/>
            <w:r>
              <w:rPr>
                <w:rFonts w:ascii="Times New Roman" w:hAnsi="Times New Roman"/>
                <w:b/>
                <w:bCs/>
                <w:i/>
                <w:iCs/>
                <w:sz w:val="22"/>
              </w:rPr>
              <w:t xml:space="preserve"> látky (PFAS) spolu alebo spolu všetky PFAS</w:t>
            </w:r>
            <w:r>
              <w:rPr>
                <w:rFonts w:ascii="Times New Roman" w:hAnsi="Times New Roman"/>
                <w:sz w:val="22"/>
              </w:rPr>
              <w:t xml:space="preserve"> </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Vykoná sa pre ornicu (0 – 10 cm, 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Zníženie zadržiavania vody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w:t>
            </w:r>
            <w:proofErr w:type="spellStart"/>
            <w:r>
              <w:rPr>
                <w:rFonts w:ascii="Times New Roman" w:hAnsi="Times New Roman"/>
                <w:b/>
                <w:bCs/>
                <w:i/>
                <w:iCs/>
                <w:sz w:val="22"/>
              </w:rPr>
              <w:t>vodozádržná</w:t>
            </w:r>
            <w:proofErr w:type="spellEnd"/>
            <w:r>
              <w:rPr>
                <w:rFonts w:ascii="Times New Roman" w:hAnsi="Times New Roman"/>
                <w:b/>
                <w:i/>
                <w:sz w:val="22"/>
              </w:rPr>
              <w:t xml:space="preserve"> kapacita príslušnej vzorky pôdy (% objemu vody)</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w:t>
            </w:r>
            <w:r>
              <w:rPr>
                <w:rFonts w:ascii="Times New Roman" w:hAnsi="Times New Roman"/>
                <w:b/>
                <w:bCs/>
                <w:i/>
                <w:iCs/>
                <w:sz w:val="22"/>
              </w:rPr>
              <w:t>objem</w:t>
            </w:r>
            <w:r>
              <w:rPr>
                <w:rFonts w:ascii="Times New Roman" w:hAnsi="Times New Roman"/>
                <w:b/>
                <w:i/>
                <w:sz w:val="22"/>
              </w:rPr>
              <w:t xml:space="preserve"> nasýtenej pôdy</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Vykoná</w:t>
            </w:r>
            <w:r>
              <w:rPr>
                <w:rFonts w:ascii="Times New Roman" w:hAnsi="Times New Roman"/>
                <w:b/>
                <w:i/>
                <w:sz w:val="22"/>
              </w:rPr>
              <w:t xml:space="preserve"> sa pre ornicu (0 – 10 cm, 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proofErr w:type="spellStart"/>
            <w:r>
              <w:rPr>
                <w:rFonts w:ascii="Times New Roman" w:hAnsi="Times New Roman"/>
                <w:b/>
                <w:i/>
                <w:sz w:val="22"/>
              </w:rPr>
              <w:t>Acidifikácia</w:t>
            </w:r>
            <w:proofErr w:type="spellEnd"/>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w:t>
            </w:r>
            <w:r>
              <w:rPr>
                <w:rFonts w:ascii="Times New Roman" w:hAnsi="Times New Roman"/>
                <w:b/>
                <w:bCs/>
                <w:i/>
                <w:iCs/>
                <w:sz w:val="22"/>
              </w:rPr>
              <w:t>kyslosť</w:t>
            </w:r>
            <w:r>
              <w:rPr>
                <w:rFonts w:ascii="Times New Roman" w:hAnsi="Times New Roman"/>
                <w:b/>
                <w:i/>
                <w:sz w:val="22"/>
              </w:rPr>
              <w:t xml:space="preserve"> pôdy (pH H</w:t>
            </w:r>
            <w:r>
              <w:rPr>
                <w:rFonts w:ascii="Times New Roman" w:hAnsi="Times New Roman"/>
                <w:b/>
                <w:i/>
                <w:sz w:val="22"/>
                <w:vertAlign w:val="subscript"/>
              </w:rPr>
              <w:t>2</w:t>
            </w:r>
            <w:r>
              <w:rPr>
                <w:rFonts w:ascii="Times New Roman" w:hAnsi="Times New Roman"/>
                <w:b/>
                <w:i/>
                <w:sz w:val="22"/>
              </w:rPr>
              <w:t>O)</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bCs/>
                <w:i/>
                <w:iCs/>
                <w:sz w:val="22"/>
              </w:rPr>
              <w:t>Vykoná sa pre ornicu (0 – 10 cm, 10 – 30 cm (nepovinné))</w:t>
            </w: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Ekologické funkcie pôdy</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Ekologická funkcia</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Pôdny </w:t>
            </w:r>
            <w:proofErr w:type="spellStart"/>
            <w:r>
              <w:rPr>
                <w:rFonts w:ascii="Times New Roman" w:hAnsi="Times New Roman"/>
                <w:b/>
                <w:i/>
                <w:sz w:val="22"/>
              </w:rPr>
              <w:t>deskriptor</w:t>
            </w:r>
            <w:proofErr w:type="spellEnd"/>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Výnimky</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i/>
                <w:sz w:val="22"/>
              </w:rPr>
              <w:t>Poznámky</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proofErr w:type="spellStart"/>
            <w:r>
              <w:rPr>
                <w:rFonts w:ascii="Times New Roman" w:hAnsi="Times New Roman"/>
                <w:b/>
                <w:i/>
                <w:sz w:val="22"/>
              </w:rPr>
              <w:t>Agregácia</w:t>
            </w:r>
            <w:proofErr w:type="spellEnd"/>
            <w:r>
              <w:rPr>
                <w:rFonts w:ascii="Times New Roman" w:hAnsi="Times New Roman"/>
                <w:b/>
                <w:i/>
                <w:sz w:val="22"/>
              </w:rPr>
              <w:t xml:space="preserve">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w:t>
            </w:r>
            <w:r>
              <w:rPr>
                <w:rFonts w:ascii="Times New Roman" w:hAnsi="Times New Roman"/>
                <w:b/>
                <w:bCs/>
                <w:i/>
                <w:iCs/>
                <w:sz w:val="22"/>
              </w:rPr>
              <w:t>Agregáty</w:t>
            </w:r>
            <w:r>
              <w:rPr>
                <w:rFonts w:ascii="Times New Roman" w:hAnsi="Times New Roman"/>
                <w:b/>
                <w:i/>
                <w:sz w:val="22"/>
              </w:rPr>
              <w:t xml:space="preserve"> stabilné vo vode (%)</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 xml:space="preserve">Vykoná sa pre ornicu (0 – 10 cm, </w:t>
            </w:r>
            <w:r>
              <w:rPr>
                <w:rFonts w:ascii="Times New Roman" w:hAnsi="Times New Roman"/>
                <w:b/>
                <w:i/>
                <w:sz w:val="22"/>
              </w:rPr>
              <w:lastRenderedPageBreak/>
              <w:t>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lastRenderedPageBreak/>
              <w:t>Respirácia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w:t>
            </w:r>
            <w:r>
              <w:rPr>
                <w:rFonts w:ascii="Times New Roman" w:hAnsi="Times New Roman"/>
                <w:b/>
                <w:bCs/>
                <w:i/>
                <w:iCs/>
                <w:sz w:val="22"/>
              </w:rPr>
              <w:t>Mikrobiálna</w:t>
            </w:r>
            <w:r>
              <w:rPr>
                <w:rFonts w:ascii="Times New Roman" w:hAnsi="Times New Roman"/>
                <w:b/>
                <w:i/>
                <w:sz w:val="22"/>
              </w:rPr>
              <w:t xml:space="preserve"> bazálna respirácia pôdy (</w:t>
            </w:r>
            <w:proofErr w:type="spellStart"/>
            <w:r>
              <w:rPr>
                <w:rFonts w:ascii="Times New Roman" w:hAnsi="Times New Roman"/>
                <w:b/>
                <w:i/>
                <w:sz w:val="22"/>
              </w:rPr>
              <w:t>μl</w:t>
            </w:r>
            <w:proofErr w:type="spellEnd"/>
            <w:r>
              <w:rPr>
                <w:rFonts w:ascii="Times New Roman" w:hAnsi="Times New Roman"/>
                <w:b/>
                <w:i/>
                <w:sz w:val="22"/>
              </w:rPr>
              <w:t xml:space="preserve"> </w:t>
            </w:r>
            <w:proofErr w:type="spellStart"/>
            <w:r>
              <w:rPr>
                <w:rFonts w:ascii="Times New Roman" w:hAnsi="Times New Roman"/>
                <w:b/>
                <w:i/>
                <w:sz w:val="22"/>
              </w:rPr>
              <w:t>O</w:t>
            </w:r>
            <w:r>
              <w:rPr>
                <w:rFonts w:ascii="Times New Roman" w:hAnsi="Times New Roman"/>
                <w:b/>
                <w:i/>
                <w:sz w:val="22"/>
                <w:vertAlign w:val="subscript"/>
              </w:rPr>
              <w:t>2</w:t>
            </w:r>
            <w:proofErr w:type="spellEnd"/>
            <w:r>
              <w:rPr>
                <w:rFonts w:ascii="Times New Roman" w:hAnsi="Times New Roman"/>
                <w:b/>
                <w:i/>
                <w:sz w:val="22"/>
              </w:rPr>
              <w:t xml:space="preserve"> h</w:t>
            </w:r>
            <w:r>
              <w:rPr>
                <w:rFonts w:ascii="Times New Roman" w:hAnsi="Times New Roman"/>
                <w:b/>
                <w:i/>
                <w:sz w:val="22"/>
                <w:vertAlign w:val="superscript"/>
              </w:rPr>
              <w:t>-1</w:t>
            </w:r>
            <w:r>
              <w:rPr>
                <w:rFonts w:ascii="Times New Roman" w:hAnsi="Times New Roman"/>
                <w:b/>
                <w:i/>
                <w:sz w:val="22"/>
              </w:rPr>
              <w:t xml:space="preserve"> g</w:t>
            </w:r>
            <w:r>
              <w:rPr>
                <w:rFonts w:ascii="Times New Roman" w:hAnsi="Times New Roman"/>
                <w:b/>
                <w:i/>
                <w:sz w:val="22"/>
                <w:vertAlign w:val="superscript"/>
              </w:rPr>
              <w:t>-1</w:t>
            </w:r>
            <w:r>
              <w:rPr>
                <w:rFonts w:ascii="Times New Roman" w:hAnsi="Times New Roman"/>
                <w:b/>
                <w:i/>
                <w:sz w:val="22"/>
              </w:rPr>
              <w:t xml:space="preserve"> suchej hmotnosti pôdy)</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Vykoná sa pre ornicu (0 – 10 cm, 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Pôdna biomasa</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i/>
                <w:sz w:val="22"/>
              </w:rPr>
              <w:sym w:font="Symbol" w:char="F0B7"/>
            </w:r>
            <w:r>
              <w:rPr>
                <w:rFonts w:ascii="Times New Roman" w:hAnsi="Times New Roman"/>
                <w:b/>
                <w:i/>
                <w:sz w:val="22"/>
              </w:rPr>
              <w:t xml:space="preserve"> Pôdna mikrobiálna biomasa (</w:t>
            </w:r>
            <w:proofErr w:type="spellStart"/>
            <w:r>
              <w:rPr>
                <w:rFonts w:ascii="Times New Roman" w:hAnsi="Times New Roman"/>
                <w:b/>
                <w:i/>
                <w:sz w:val="22"/>
              </w:rPr>
              <w:t>Cmic</w:t>
            </w:r>
            <w:proofErr w:type="spellEnd"/>
            <w:r>
              <w:rPr>
                <w:rFonts w:ascii="Times New Roman" w:hAnsi="Times New Roman"/>
                <w:b/>
                <w:i/>
                <w:sz w:val="22"/>
              </w:rPr>
              <w:t xml:space="preserve"> </w:t>
            </w:r>
            <w:proofErr w:type="spellStart"/>
            <w:r>
              <w:rPr>
                <w:rFonts w:ascii="Times New Roman" w:hAnsi="Times New Roman"/>
                <w:b/>
                <w:i/>
                <w:sz w:val="22"/>
              </w:rPr>
              <w:t>μg</w:t>
            </w:r>
            <w:proofErr w:type="spellEnd"/>
            <w:r>
              <w:rPr>
                <w:rFonts w:ascii="Times New Roman" w:hAnsi="Times New Roman"/>
                <w:b/>
                <w:i/>
                <w:sz w:val="22"/>
              </w:rPr>
              <w:t xml:space="preserve"> C g</w:t>
            </w:r>
            <w:r>
              <w:rPr>
                <w:rFonts w:ascii="Times New Roman" w:hAnsi="Times New Roman"/>
                <w:b/>
                <w:i/>
                <w:sz w:val="22"/>
                <w:vertAlign w:val="superscript"/>
              </w:rPr>
              <w:t>-1</w:t>
            </w:r>
            <w:r>
              <w:rPr>
                <w:rFonts w:ascii="Times New Roman" w:hAnsi="Times New Roman"/>
                <w:b/>
                <w:i/>
                <w:sz w:val="22"/>
              </w:rPr>
              <w:t xml:space="preserve"> suchej hmotnosti pôdy)</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Vykoná sa pre ornicu (0 – 10 cm, 10 – 30 cm (nepovinné))</w:t>
            </w: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sz w:val="22"/>
              </w:rPr>
            </w:pPr>
            <w:r>
              <w:rPr>
                <w:rFonts w:ascii="Times New Roman" w:hAnsi="Times New Roman"/>
                <w:b/>
                <w:i/>
                <w:sz w:val="22"/>
              </w:rPr>
              <w:t>Pôdna biodiverzita</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Prvok pôdnej biodiverzity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 xml:space="preserve">Pôdny </w:t>
            </w:r>
            <w:proofErr w:type="spellStart"/>
            <w:r>
              <w:rPr>
                <w:rFonts w:ascii="Times New Roman" w:hAnsi="Times New Roman"/>
                <w:b/>
                <w:bCs/>
                <w:i/>
                <w:iCs/>
                <w:sz w:val="22"/>
              </w:rPr>
              <w:t>deskriptor</w:t>
            </w:r>
            <w:proofErr w:type="spellEnd"/>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Výnimky</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bCs/>
                <w:i/>
                <w:iCs/>
                <w:sz w:val="22"/>
              </w:rPr>
            </w:pPr>
            <w:r>
              <w:rPr>
                <w:rFonts w:ascii="Times New Roman" w:hAnsi="Times New Roman"/>
                <w:b/>
                <w:bCs/>
                <w:i/>
                <w:iCs/>
                <w:sz w:val="22"/>
              </w:rPr>
              <w:t>Poznámky</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Taxonomická diverzita</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Rozmanitosť pôdnych organizmov prostredníctvom (počet prítomnosti na taxonomickú skupinu) na základe </w:t>
            </w:r>
            <w:proofErr w:type="spellStart"/>
            <w:r>
              <w:rPr>
                <w:rFonts w:ascii="Times New Roman" w:hAnsi="Times New Roman"/>
                <w:b/>
                <w:bCs/>
                <w:i/>
                <w:iCs/>
                <w:sz w:val="22"/>
              </w:rPr>
              <w:t>meta</w:t>
            </w:r>
            <w:proofErr w:type="spellEnd"/>
            <w:r>
              <w:rPr>
                <w:rFonts w:ascii="Times New Roman" w:hAnsi="Times New Roman"/>
                <w:b/>
                <w:bCs/>
                <w:i/>
                <w:iCs/>
                <w:sz w:val="22"/>
              </w:rPr>
              <w:t xml:space="preserve"> čiarového kódovania zameraného na génové oblasti </w:t>
            </w:r>
            <w:proofErr w:type="spellStart"/>
            <w:r>
              <w:rPr>
                <w:rFonts w:ascii="Times New Roman" w:hAnsi="Times New Roman"/>
                <w:b/>
                <w:bCs/>
                <w:i/>
                <w:iCs/>
                <w:sz w:val="22"/>
              </w:rPr>
              <w:t>16S</w:t>
            </w:r>
            <w:proofErr w:type="spellEnd"/>
            <w:r>
              <w:rPr>
                <w:rFonts w:ascii="Times New Roman" w:hAnsi="Times New Roman"/>
                <w:b/>
                <w:bCs/>
                <w:i/>
                <w:iCs/>
                <w:sz w:val="22"/>
              </w:rPr>
              <w:t xml:space="preserve"> a </w:t>
            </w:r>
            <w:proofErr w:type="spellStart"/>
            <w:r>
              <w:rPr>
                <w:rFonts w:ascii="Times New Roman" w:hAnsi="Times New Roman"/>
                <w:b/>
                <w:bCs/>
                <w:i/>
                <w:iCs/>
                <w:sz w:val="22"/>
              </w:rPr>
              <w:t>18S</w:t>
            </w:r>
            <w:proofErr w:type="spellEnd"/>
            <w:r>
              <w:rPr>
                <w:rFonts w:ascii="Times New Roman" w:hAnsi="Times New Roman"/>
                <w:b/>
                <w:bCs/>
                <w:i/>
                <w:iCs/>
                <w:sz w:val="22"/>
              </w:rPr>
              <w:t xml:space="preserve"> </w:t>
            </w:r>
            <w:proofErr w:type="spellStart"/>
            <w:r>
              <w:rPr>
                <w:rFonts w:ascii="Times New Roman" w:hAnsi="Times New Roman"/>
                <w:b/>
                <w:bCs/>
                <w:i/>
                <w:iCs/>
                <w:sz w:val="22"/>
              </w:rPr>
              <w:t>rRNA</w:t>
            </w:r>
            <w:proofErr w:type="spellEnd"/>
            <w:r>
              <w:rPr>
                <w:rFonts w:ascii="Times New Roman" w:hAnsi="Times New Roman"/>
                <w:b/>
                <w:bCs/>
                <w:i/>
                <w:iCs/>
                <w:sz w:val="22"/>
              </w:rPr>
              <w:t xml:space="preserve"> a s použitím vnútorného prepisovaného medzerníka (ITS), najmä pre huby (okrem toho možno zvážiť iné </w:t>
            </w:r>
            <w:proofErr w:type="spellStart"/>
            <w:r>
              <w:rPr>
                <w:rFonts w:ascii="Times New Roman" w:hAnsi="Times New Roman"/>
                <w:b/>
                <w:bCs/>
                <w:i/>
                <w:iCs/>
                <w:sz w:val="22"/>
              </w:rPr>
              <w:t>markery</w:t>
            </w:r>
            <w:proofErr w:type="spellEnd"/>
            <w:r>
              <w:rPr>
                <w:rFonts w:ascii="Times New Roman" w:hAnsi="Times New Roman"/>
                <w:b/>
                <w:bCs/>
                <w:i/>
                <w:iCs/>
                <w:sz w:val="22"/>
              </w:rPr>
              <w:t xml:space="preserve"> ako </w:t>
            </w:r>
            <w:proofErr w:type="spellStart"/>
            <w:r>
              <w:rPr>
                <w:rFonts w:ascii="Times New Roman" w:hAnsi="Times New Roman"/>
                <w:b/>
                <w:bCs/>
                <w:i/>
                <w:iCs/>
                <w:sz w:val="22"/>
              </w:rPr>
              <w:t>COI</w:t>
            </w:r>
            <w:proofErr w:type="spellEnd"/>
            <w:r>
              <w:rPr>
                <w:rFonts w:ascii="Times New Roman" w:hAnsi="Times New Roman"/>
                <w:b/>
                <w:bCs/>
                <w:i/>
                <w:iCs/>
                <w:sz w:val="22"/>
              </w:rPr>
              <w:t xml:space="preserve"> pre pôdnu faunu)</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Vykoná sa pre ornicu (0 – 10 cm, 10 – 30 cm (nepovinné))</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proofErr w:type="spellStart"/>
            <w:r>
              <w:rPr>
                <w:rFonts w:ascii="Times New Roman" w:hAnsi="Times New Roman"/>
                <w:b/>
                <w:bCs/>
                <w:i/>
                <w:iCs/>
                <w:sz w:val="22"/>
              </w:rPr>
              <w:t>Abundancia</w:t>
            </w:r>
            <w:proofErr w:type="spellEnd"/>
            <w:r>
              <w:rPr>
                <w:rFonts w:ascii="Times New Roman" w:hAnsi="Times New Roman"/>
                <w:b/>
                <w:bCs/>
                <w:i/>
                <w:iCs/>
                <w:sz w:val="22"/>
              </w:rPr>
              <w:t xml:space="preserve"> populácie</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Celková </w:t>
            </w:r>
            <w:proofErr w:type="spellStart"/>
            <w:r>
              <w:rPr>
                <w:rFonts w:ascii="Times New Roman" w:hAnsi="Times New Roman"/>
                <w:b/>
                <w:bCs/>
                <w:i/>
                <w:iCs/>
                <w:sz w:val="22"/>
              </w:rPr>
              <w:t>abundancia</w:t>
            </w:r>
            <w:proofErr w:type="spellEnd"/>
            <w:r>
              <w:rPr>
                <w:rFonts w:ascii="Times New Roman" w:hAnsi="Times New Roman"/>
                <w:b/>
                <w:bCs/>
                <w:i/>
                <w:iCs/>
                <w:sz w:val="22"/>
              </w:rPr>
              <w:t xml:space="preserve"> baktérií a </w:t>
            </w:r>
            <w:proofErr w:type="spellStart"/>
            <w:r>
              <w:rPr>
                <w:rFonts w:ascii="Times New Roman" w:hAnsi="Times New Roman"/>
                <w:b/>
                <w:bCs/>
                <w:i/>
                <w:iCs/>
                <w:sz w:val="22"/>
              </w:rPr>
              <w:t>archea</w:t>
            </w:r>
            <w:proofErr w:type="spellEnd"/>
            <w:r>
              <w:rPr>
                <w:rFonts w:ascii="Times New Roman" w:hAnsi="Times New Roman"/>
                <w:b/>
                <w:bCs/>
                <w:i/>
                <w:iCs/>
                <w:sz w:val="22"/>
              </w:rPr>
              <w:t xml:space="preserve"> (pomocou kópií génového regiónu </w:t>
            </w:r>
            <w:proofErr w:type="spellStart"/>
            <w:r>
              <w:rPr>
                <w:rFonts w:ascii="Times New Roman" w:hAnsi="Times New Roman"/>
                <w:b/>
                <w:bCs/>
                <w:i/>
                <w:iCs/>
                <w:sz w:val="22"/>
              </w:rPr>
              <w:t>16S</w:t>
            </w:r>
            <w:proofErr w:type="spellEnd"/>
            <w:r>
              <w:rPr>
                <w:rFonts w:ascii="Times New Roman" w:hAnsi="Times New Roman"/>
                <w:b/>
                <w:bCs/>
                <w:i/>
                <w:iCs/>
                <w:sz w:val="22"/>
              </w:rPr>
              <w:t xml:space="preserve"> </w:t>
            </w:r>
            <w:proofErr w:type="spellStart"/>
            <w:r>
              <w:rPr>
                <w:rFonts w:ascii="Times New Roman" w:hAnsi="Times New Roman"/>
                <w:b/>
                <w:bCs/>
                <w:i/>
                <w:iCs/>
                <w:sz w:val="22"/>
              </w:rPr>
              <w:t>rRNA</w:t>
            </w:r>
            <w:proofErr w:type="spellEnd"/>
            <w:r>
              <w:rPr>
                <w:rFonts w:ascii="Times New Roman" w:hAnsi="Times New Roman"/>
                <w:b/>
                <w:bCs/>
                <w:i/>
                <w:iCs/>
                <w:sz w:val="22"/>
              </w:rPr>
              <w:t>)</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Celková </w:t>
            </w:r>
            <w:proofErr w:type="spellStart"/>
            <w:r>
              <w:rPr>
                <w:rFonts w:ascii="Times New Roman" w:hAnsi="Times New Roman"/>
                <w:b/>
                <w:bCs/>
                <w:i/>
                <w:iCs/>
                <w:sz w:val="22"/>
              </w:rPr>
              <w:t>abundancia</w:t>
            </w:r>
            <w:proofErr w:type="spellEnd"/>
            <w:r>
              <w:rPr>
                <w:rFonts w:ascii="Times New Roman" w:hAnsi="Times New Roman"/>
                <w:b/>
                <w:bCs/>
                <w:i/>
                <w:iCs/>
                <w:sz w:val="22"/>
              </w:rPr>
              <w:t xml:space="preserve"> húb (pomocou kópií génového regiónu </w:t>
            </w:r>
            <w:proofErr w:type="spellStart"/>
            <w:r>
              <w:rPr>
                <w:rFonts w:ascii="Times New Roman" w:hAnsi="Times New Roman"/>
                <w:b/>
                <w:bCs/>
                <w:i/>
                <w:iCs/>
                <w:sz w:val="22"/>
              </w:rPr>
              <w:t>18S</w:t>
            </w:r>
            <w:proofErr w:type="spellEnd"/>
            <w:r>
              <w:rPr>
                <w:rFonts w:ascii="Times New Roman" w:hAnsi="Times New Roman"/>
                <w:b/>
                <w:bCs/>
                <w:i/>
                <w:iCs/>
                <w:sz w:val="22"/>
              </w:rPr>
              <w:t xml:space="preserve"> </w:t>
            </w:r>
            <w:proofErr w:type="spellStart"/>
            <w:r>
              <w:rPr>
                <w:rFonts w:ascii="Times New Roman" w:hAnsi="Times New Roman"/>
                <w:b/>
                <w:bCs/>
                <w:i/>
                <w:iCs/>
                <w:sz w:val="22"/>
              </w:rPr>
              <w:t>rRNA</w:t>
            </w:r>
            <w:proofErr w:type="spellEnd"/>
            <w:r>
              <w:rPr>
                <w:rFonts w:ascii="Times New Roman" w:hAnsi="Times New Roman"/>
                <w:b/>
                <w:bCs/>
                <w:i/>
                <w:iCs/>
                <w:sz w:val="22"/>
              </w:rPr>
              <w:t>)</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Celkový počet a podiel patogénnych húb</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ab/>
              <w:t xml:space="preserve">Celková </w:t>
            </w:r>
            <w:proofErr w:type="spellStart"/>
            <w:r>
              <w:rPr>
                <w:rFonts w:ascii="Times New Roman" w:hAnsi="Times New Roman"/>
                <w:b/>
                <w:bCs/>
                <w:i/>
                <w:iCs/>
                <w:sz w:val="22"/>
              </w:rPr>
              <w:t>abundancia</w:t>
            </w:r>
            <w:proofErr w:type="spellEnd"/>
            <w:r>
              <w:rPr>
                <w:rFonts w:ascii="Times New Roman" w:hAnsi="Times New Roman"/>
                <w:b/>
                <w:bCs/>
                <w:i/>
                <w:iCs/>
                <w:sz w:val="22"/>
              </w:rPr>
              <w:t xml:space="preserve"> </w:t>
            </w:r>
            <w:proofErr w:type="spellStart"/>
            <w:r>
              <w:rPr>
                <w:rFonts w:ascii="Times New Roman" w:hAnsi="Times New Roman"/>
                <w:b/>
                <w:bCs/>
                <w:i/>
                <w:iCs/>
                <w:sz w:val="22"/>
              </w:rPr>
              <w:t>hlístovcov</w:t>
            </w:r>
            <w:proofErr w:type="spellEnd"/>
            <w:r>
              <w:rPr>
                <w:rFonts w:ascii="Times New Roman" w:hAnsi="Times New Roman"/>
                <w:b/>
                <w:bCs/>
                <w:i/>
                <w:iCs/>
                <w:sz w:val="22"/>
              </w:rPr>
              <w:t xml:space="preserve"> na funkčnú skupinu na základe morfológie (</w:t>
            </w:r>
            <w:proofErr w:type="spellStart"/>
            <w:r>
              <w:rPr>
                <w:rFonts w:ascii="Times New Roman" w:hAnsi="Times New Roman"/>
                <w:b/>
                <w:bCs/>
                <w:i/>
                <w:iCs/>
                <w:sz w:val="22"/>
              </w:rPr>
              <w:t>hlístovce</w:t>
            </w:r>
            <w:proofErr w:type="spellEnd"/>
            <w:r>
              <w:rPr>
                <w:rFonts w:ascii="Times New Roman" w:hAnsi="Times New Roman"/>
                <w:b/>
                <w:bCs/>
                <w:i/>
                <w:iCs/>
                <w:sz w:val="22"/>
              </w:rPr>
              <w:t xml:space="preserve"> živiace sa baktériami</w:t>
            </w:r>
            <w:r>
              <w:rPr>
                <w:rFonts w:ascii="Times New Roman" w:hAnsi="Times New Roman"/>
                <w:b/>
                <w:bCs/>
                <w:i/>
                <w:iCs/>
                <w:sz w:val="22"/>
              </w:rPr>
              <w:t xml:space="preserve">, </w:t>
            </w:r>
            <w:proofErr w:type="spellStart"/>
            <w:r>
              <w:rPr>
                <w:rFonts w:ascii="Times New Roman" w:hAnsi="Times New Roman"/>
                <w:b/>
                <w:bCs/>
                <w:i/>
                <w:iCs/>
                <w:sz w:val="22"/>
              </w:rPr>
              <w:t>hlístovce</w:t>
            </w:r>
            <w:proofErr w:type="spellEnd"/>
            <w:r>
              <w:rPr>
                <w:rFonts w:ascii="Times New Roman" w:hAnsi="Times New Roman"/>
                <w:b/>
                <w:bCs/>
                <w:i/>
                <w:iCs/>
                <w:sz w:val="22"/>
              </w:rPr>
              <w:t xml:space="preserve"> živiace sa hubami, </w:t>
            </w:r>
            <w:proofErr w:type="spellStart"/>
            <w:r>
              <w:rPr>
                <w:rFonts w:ascii="Times New Roman" w:hAnsi="Times New Roman"/>
                <w:b/>
                <w:bCs/>
                <w:i/>
                <w:iCs/>
                <w:sz w:val="22"/>
              </w:rPr>
              <w:t>hlístovce</w:t>
            </w:r>
            <w:proofErr w:type="spellEnd"/>
            <w:r>
              <w:rPr>
                <w:rFonts w:ascii="Times New Roman" w:hAnsi="Times New Roman"/>
                <w:b/>
                <w:bCs/>
                <w:i/>
                <w:iCs/>
                <w:sz w:val="22"/>
              </w:rPr>
              <w:t xml:space="preserve"> živiace sa koreňmi, všežravé </w:t>
            </w:r>
            <w:proofErr w:type="spellStart"/>
            <w:r>
              <w:rPr>
                <w:rFonts w:ascii="Times New Roman" w:hAnsi="Times New Roman"/>
                <w:b/>
                <w:bCs/>
                <w:i/>
                <w:iCs/>
                <w:sz w:val="22"/>
              </w:rPr>
              <w:t>hlístovce</w:t>
            </w:r>
            <w:proofErr w:type="spellEnd"/>
            <w:r>
              <w:rPr>
                <w:rFonts w:ascii="Times New Roman" w:hAnsi="Times New Roman"/>
                <w:b/>
                <w:bCs/>
                <w:i/>
                <w:iCs/>
                <w:sz w:val="22"/>
              </w:rPr>
              <w:t>, dravce)</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Vykoná sa pre ornicu (0 – 10 cm, 10 – 30 cm (nepovinné))</w:t>
            </w:r>
          </w:p>
        </w:tc>
      </w:tr>
      <w:tr w:rsidR="009D7883">
        <w:tc>
          <w:tcPr>
            <w:tcW w:w="9606" w:type="dxa"/>
            <w:gridSpan w:val="7"/>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Pôdny biotop</w:t>
            </w: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Prvok pôdneho biotopu</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 xml:space="preserve">Pôdny </w:t>
            </w:r>
            <w:proofErr w:type="spellStart"/>
            <w:r>
              <w:rPr>
                <w:rFonts w:ascii="Times New Roman" w:hAnsi="Times New Roman"/>
                <w:b/>
                <w:bCs/>
                <w:i/>
                <w:iCs/>
                <w:sz w:val="22"/>
              </w:rPr>
              <w:t>deskriptor</w:t>
            </w:r>
            <w:proofErr w:type="spellEnd"/>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bCs/>
                <w:i/>
                <w:iCs/>
                <w:sz w:val="22"/>
              </w:rPr>
              <w:t>Výnimky</w:t>
            </w:r>
          </w:p>
        </w:tc>
        <w:tc>
          <w:tcPr>
            <w:tcW w:w="1944"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after="120"/>
              <w:jc w:val="both"/>
              <w:rPr>
                <w:rFonts w:ascii="Times New Roman" w:hAnsi="Times New Roman"/>
                <w:b/>
                <w:bCs/>
                <w:i/>
                <w:iCs/>
                <w:sz w:val="22"/>
              </w:rPr>
            </w:pPr>
          </w:p>
        </w:tc>
      </w:tr>
      <w:tr w:rsidR="009D7883">
        <w:tc>
          <w:tcPr>
            <w:tcW w:w="291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Štruktúra pôdy</w:t>
            </w:r>
          </w:p>
        </w:tc>
        <w:tc>
          <w:tcPr>
            <w:tcW w:w="2722"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Podiely veľkostných tried (piesok, prach, íl)</w:t>
            </w:r>
          </w:p>
          <w:p w:rsidR="009D7883" w:rsidRDefault="00AA63BB">
            <w:pPr>
              <w:widowControl/>
              <w:spacing w:before="120" w:after="160"/>
              <w:ind w:left="68" w:hanging="142"/>
              <w:contextualSpacing/>
              <w:rPr>
                <w:rFonts w:ascii="Times New Roman" w:hAnsi="Times New Roman"/>
                <w:b/>
                <w:i/>
                <w:sz w:val="22"/>
              </w:rPr>
            </w:pPr>
            <w:r>
              <w:rPr>
                <w:rFonts w:ascii="Times New Roman" w:hAnsi="Times New Roman"/>
                <w:b/>
                <w:bCs/>
                <w:i/>
                <w:iCs/>
                <w:sz w:val="22"/>
              </w:rPr>
              <w:sym w:font="Symbol" w:char="F0B7"/>
            </w:r>
            <w:r>
              <w:rPr>
                <w:rFonts w:ascii="Times New Roman" w:hAnsi="Times New Roman"/>
                <w:b/>
                <w:bCs/>
                <w:i/>
                <w:iCs/>
                <w:sz w:val="22"/>
              </w:rPr>
              <w:t xml:space="preserve"> Podiel hrubých materiálov (&gt; 2 mm)</w:t>
            </w:r>
          </w:p>
        </w:tc>
        <w:tc>
          <w:tcPr>
            <w:tcW w:w="2030" w:type="dxa"/>
            <w:gridSpan w:val="2"/>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w:t>
            </w:r>
          </w:p>
        </w:tc>
        <w:tc>
          <w:tcPr>
            <w:tcW w:w="194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after="120"/>
              <w:jc w:val="both"/>
              <w:rPr>
                <w:rFonts w:ascii="Times New Roman" w:hAnsi="Times New Roman"/>
                <w:b/>
                <w:i/>
                <w:sz w:val="22"/>
              </w:rPr>
            </w:pPr>
            <w:r>
              <w:rPr>
                <w:rFonts w:ascii="Times New Roman" w:hAnsi="Times New Roman"/>
                <w:b/>
                <w:i/>
                <w:sz w:val="22"/>
              </w:rPr>
              <w:t>Vykoná sa pre ornicu (0 – 10 cm, 10 – 30 cm)</w:t>
            </w:r>
          </w:p>
        </w:tc>
      </w:tr>
    </w:tbl>
    <w:p w:rsidR="009D7883" w:rsidRDefault="00AA63BB">
      <w:pPr>
        <w:spacing w:before="120" w:after="120" w:line="360" w:lineRule="auto"/>
        <w:jc w:val="right"/>
        <w:rPr>
          <w:b/>
          <w:szCs w:val="24"/>
          <w:lang w:eastAsia="en-US"/>
        </w:rPr>
      </w:pPr>
      <w:r>
        <w:rPr>
          <w:b/>
          <w:szCs w:val="24"/>
          <w:lang w:eastAsia="en-US"/>
        </w:rPr>
        <w:lastRenderedPageBreak/>
        <w:t xml:space="preserve"> [PN 198]</w:t>
      </w:r>
    </w:p>
    <w:tbl>
      <w:tblPr>
        <w:tblStyle w:val="TableGrid1"/>
        <w:tblW w:w="9606" w:type="dxa"/>
        <w:tblLook w:val="04A0" w:firstRow="1" w:lastRow="0" w:firstColumn="1" w:lastColumn="0" w:noHBand="0" w:noVBand="1"/>
      </w:tblPr>
      <w:tblGrid>
        <w:gridCol w:w="1572"/>
        <w:gridCol w:w="1598"/>
        <w:gridCol w:w="3049"/>
        <w:gridCol w:w="3387"/>
      </w:tblGrid>
      <w:tr w:rsidR="009D7883">
        <w:trPr>
          <w:trHeight w:val="300"/>
          <w:tblHeader/>
        </w:trPr>
        <w:tc>
          <w:tcPr>
            <w:tcW w:w="9606" w:type="dxa"/>
            <w:gridSpan w:val="4"/>
            <w:tcBorders>
              <w:top w:val="single" w:sz="4" w:space="0" w:color="auto"/>
              <w:left w:val="single" w:sz="4" w:space="0" w:color="auto"/>
              <w:bottom w:val="single" w:sz="4" w:space="0" w:color="auto"/>
              <w:right w:val="single" w:sz="4" w:space="0" w:color="auto"/>
            </w:tcBorders>
          </w:tcPr>
          <w:p w:rsidR="009D7883" w:rsidRDefault="00AA63BB">
            <w:pPr>
              <w:spacing w:before="120" w:after="120"/>
              <w:rPr>
                <w:rFonts w:ascii="Times New Roman" w:hAnsi="Times New Roman"/>
                <w:strike/>
                <w:noProof/>
                <w:sz w:val="22"/>
              </w:rPr>
            </w:pPr>
            <w:r>
              <w:rPr>
                <w:rFonts w:ascii="Times New Roman" w:hAnsi="Times New Roman"/>
                <w:b/>
                <w:i/>
                <w:strike/>
                <w:noProof/>
                <w:sz w:val="22"/>
              </w:rPr>
              <w:t>Časť B: pôdne deskriptory s kritériami pre zdravý stav pôdy, ktoré sú stanovené na úrovni členského štátu</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nadmerný obsah živín v pôde</w:t>
            </w:r>
          </w:p>
        </w:tc>
        <w:tc>
          <w:tcPr>
            <w:tcW w:w="159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extrahovateľný fosfor (mg na kg)</w:t>
            </w:r>
          </w:p>
        </w:tc>
        <w:tc>
          <w:tcPr>
            <w:tcW w:w="3049"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&lt;„maximálna hodnota“; </w:t>
            </w:r>
          </w:p>
          <w:p w:rsidR="009D7883" w:rsidRDefault="00AA63BB">
            <w:pPr>
              <w:spacing w:before="120" w:after="120"/>
              <w:rPr>
                <w:rFonts w:ascii="Times New Roman" w:hAnsi="Times New Roman"/>
                <w:strike/>
                <w:noProof/>
                <w:sz w:val="22"/>
              </w:rPr>
            </w:pPr>
            <w:r>
              <w:rPr>
                <w:rFonts w:ascii="Times New Roman" w:hAnsi="Times New Roman"/>
                <w:strike/>
                <w:noProof/>
                <w:sz w:val="22"/>
              </w:rPr>
              <w:t>maximálnu hodnotu stanoví členský štát v rozsahu 30 – 50 mg kg</w:t>
            </w:r>
            <w:r>
              <w:rPr>
                <w:rFonts w:ascii="Times New Roman" w:hAnsi="Times New Roman"/>
                <w:strike/>
                <w:noProof/>
                <w:sz w:val="22"/>
                <w:vertAlign w:val="superscript"/>
              </w:rPr>
              <w:t>-1</w:t>
            </w:r>
            <w:r>
              <w:rPr>
                <w:rFonts w:ascii="Times New Roman" w:hAnsi="Times New Roman"/>
                <w:strike/>
                <w:noProof/>
                <w:sz w:val="22"/>
              </w:rPr>
              <w:t xml:space="preserve"> </w:t>
            </w:r>
          </w:p>
        </w:tc>
        <w:tc>
          <w:tcPr>
            <w:tcW w:w="338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bez výnimiek</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kontaminácia pôdy</w:t>
            </w:r>
          </w:p>
        </w:tc>
        <w:tc>
          <w:tcPr>
            <w:tcW w:w="159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 koncentrácia ťažkých kovov v pôde: As, Sb, Cd, Co, Cr (spolu), Cr (VI), Cu, Hg, Pb, Ni, Tl, V, Zn (µg na kg) </w:t>
            </w:r>
            <w:r>
              <w:rPr>
                <w:rFonts w:ascii="Times New Roman" w:hAnsi="Times New Roman"/>
                <w:strike/>
                <w:noProof/>
                <w:sz w:val="22"/>
              </w:rPr>
              <w:br/>
              <w:t xml:space="preserve"> – koncentrácia vybraných organických kontaminantov, ktoré stanovili členské štáty, pričom sa zohľadňujú existujúce koncentračné limity, napr. p</w:t>
            </w:r>
            <w:r>
              <w:rPr>
                <w:rFonts w:ascii="Times New Roman" w:hAnsi="Times New Roman"/>
                <w:strike/>
                <w:noProof/>
                <w:sz w:val="22"/>
              </w:rPr>
              <w:t xml:space="preserve">re kvalitu vody a emisie do ovzdušia podľa právnych predpisov Únie </w:t>
            </w:r>
          </w:p>
        </w:tc>
        <w:tc>
          <w:tcPr>
            <w:tcW w:w="3049"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vertAlign w:val="superscript"/>
              </w:rPr>
            </w:pPr>
            <w:r>
              <w:rPr>
                <w:rFonts w:ascii="Times New Roman" w:hAnsi="Times New Roman"/>
                <w:strike/>
                <w:noProof/>
                <w:sz w:val="22"/>
              </w:rPr>
              <w:t>Dostatočné uistenie získané na základe vzorky pôdy z miesta odberu, identifikácie a prieskumu kontaminovaných lokalít či iných relevantných informácií, že kontaminácia pôdy nepredstavuje ž</w:t>
            </w:r>
            <w:r>
              <w:rPr>
                <w:rFonts w:ascii="Times New Roman" w:hAnsi="Times New Roman"/>
                <w:strike/>
                <w:noProof/>
                <w:sz w:val="22"/>
              </w:rPr>
              <w:t>iadne neprijateľné riziko pre ľudské zdravie a životné prostredie.</w:t>
            </w:r>
          </w:p>
          <w:p w:rsidR="009D7883" w:rsidRDefault="00AA63BB">
            <w:pPr>
              <w:spacing w:before="120" w:after="120"/>
              <w:rPr>
                <w:rFonts w:ascii="Times New Roman" w:hAnsi="Times New Roman"/>
                <w:strike/>
                <w:noProof/>
                <w:sz w:val="22"/>
              </w:rPr>
            </w:pPr>
            <w:r>
              <w:rPr>
                <w:rFonts w:ascii="Times New Roman" w:hAnsi="Times New Roman"/>
                <w:strike/>
                <w:noProof/>
                <w:sz w:val="22"/>
              </w:rPr>
              <w:t>Biotopy s prirodzene vysokou koncentráciou ťažkých kovov, ktoré sú zahrnuté v prílohe I k smernici Rady 92/43/EHS</w:t>
            </w:r>
            <w:r>
              <w:rPr>
                <w:rFonts w:ascii="Times New Roman" w:hAnsi="Times New Roman"/>
                <w:strike/>
                <w:noProof/>
                <w:sz w:val="22"/>
                <w:vertAlign w:val="superscript"/>
              </w:rPr>
              <w:footnoteReference w:id="61"/>
            </w:r>
            <w:r>
              <w:rPr>
                <w:rFonts w:ascii="Times New Roman" w:hAnsi="Times New Roman"/>
                <w:strike/>
                <w:noProof/>
                <w:sz w:val="22"/>
              </w:rPr>
              <w:t>, budú naďalej chránené.</w:t>
            </w:r>
          </w:p>
        </w:tc>
        <w:tc>
          <w:tcPr>
            <w:tcW w:w="338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bez výnimiek</w:t>
            </w:r>
          </w:p>
        </w:tc>
      </w:tr>
      <w:tr w:rsidR="009D7883">
        <w:trPr>
          <w:trHeight w:val="300"/>
          <w:tblHeader/>
        </w:trPr>
        <w:tc>
          <w:tcPr>
            <w:tcW w:w="157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zníženie schopnosti pôdy zadržiavať </w:t>
            </w:r>
            <w:r>
              <w:rPr>
                <w:rFonts w:ascii="Times New Roman" w:hAnsi="Times New Roman"/>
                <w:strike/>
                <w:noProof/>
                <w:sz w:val="22"/>
              </w:rPr>
              <w:t>vodu</w:t>
            </w:r>
          </w:p>
        </w:tc>
        <w:tc>
          <w:tcPr>
            <w:tcW w:w="159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vodozádržná kapacita príslušnej vzorky pôdy (% objemu vody/objemu nasýtenej pôdy)</w:t>
            </w:r>
          </w:p>
        </w:tc>
        <w:tc>
          <w:tcPr>
            <w:tcW w:w="3049"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Odhadovaná hodnota celkovej kapacity zadržiavania vody pôdneho okrsku podľa povodia alebo čiastkového povodia presahuje minimálnu hranicu. </w:t>
            </w:r>
          </w:p>
          <w:p w:rsidR="009D7883" w:rsidRDefault="00AA63BB">
            <w:pPr>
              <w:spacing w:before="120" w:after="120"/>
              <w:rPr>
                <w:rFonts w:ascii="Times New Roman" w:hAnsi="Times New Roman"/>
                <w:strike/>
                <w:noProof/>
                <w:sz w:val="22"/>
              </w:rPr>
            </w:pPr>
            <w:r>
              <w:rPr>
                <w:rFonts w:ascii="Times New Roman" w:hAnsi="Times New Roman"/>
                <w:strike/>
                <w:noProof/>
                <w:sz w:val="22"/>
              </w:rPr>
              <w:t>Minimálnu hranicu stanovia (v</w:t>
            </w:r>
            <w:r>
              <w:rPr>
                <w:rFonts w:ascii="Times New Roman" w:hAnsi="Times New Roman"/>
                <w:strike/>
                <w:noProof/>
                <w:sz w:val="22"/>
              </w:rPr>
              <w:t xml:space="preserve"> tonách) členské štáty na úrovni pôdneho okrsku a povodia či čiastkového povodia v takej hodnote, aby sa zmiernili vplyvy povodní po silných dažďoch alebo obdobiach nízkej vlhkosti pôdy v dôsledku súch. </w:t>
            </w:r>
          </w:p>
        </w:tc>
        <w:tc>
          <w:tcPr>
            <w:tcW w:w="338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bez výnimiek</w:t>
            </w:r>
          </w:p>
        </w:tc>
      </w:tr>
    </w:tbl>
    <w:tbl>
      <w:tblPr>
        <w:tblStyle w:val="TableGrid11"/>
        <w:tblW w:w="9640" w:type="dxa"/>
        <w:tblInd w:w="-34" w:type="dxa"/>
        <w:tblLook w:val="04A0" w:firstRow="1" w:lastRow="0" w:firstColumn="1" w:lastColumn="0" w:noHBand="0" w:noVBand="1"/>
      </w:tblPr>
      <w:tblGrid>
        <w:gridCol w:w="2888"/>
        <w:gridCol w:w="2846"/>
        <w:gridCol w:w="2125"/>
        <w:gridCol w:w="1781"/>
      </w:tblGrid>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sz w:val="22"/>
                <w:szCs w:val="22"/>
              </w:rPr>
            </w:pPr>
            <w:r>
              <w:rPr>
                <w:b/>
                <w:i/>
                <w:sz w:val="22"/>
                <w:szCs w:val="22"/>
              </w:rPr>
              <w:t>Časť B: Úroveň 2 pre koncepciu monitor</w:t>
            </w:r>
            <w:r>
              <w:rPr>
                <w:b/>
                <w:i/>
                <w:sz w:val="22"/>
                <w:szCs w:val="22"/>
              </w:rPr>
              <w:t>ovania pôdy</w:t>
            </w:r>
          </w:p>
          <w:p w:rsidR="009D7883" w:rsidRDefault="00AA63BB">
            <w:pPr>
              <w:widowControl/>
              <w:spacing w:before="120"/>
              <w:jc w:val="both"/>
              <w:rPr>
                <w:b/>
                <w:i/>
                <w:iCs/>
                <w:sz w:val="22"/>
                <w:szCs w:val="22"/>
              </w:rPr>
            </w:pPr>
            <w:r>
              <w:rPr>
                <w:b/>
                <w:i/>
                <w:sz w:val="22"/>
                <w:szCs w:val="22"/>
              </w:rPr>
              <w:lastRenderedPageBreak/>
              <w:t>Členský štát spĺňa podmienky pre úroveň 2 pre koncepciu monitorovania pôdy, ak:</w:t>
            </w:r>
          </w:p>
          <w:p w:rsidR="009D7883" w:rsidRDefault="00AA63BB">
            <w:pPr>
              <w:widowControl/>
              <w:spacing w:before="120"/>
              <w:jc w:val="both"/>
              <w:rPr>
                <w:b/>
                <w:i/>
                <w:iCs/>
                <w:sz w:val="22"/>
                <w:szCs w:val="22"/>
              </w:rPr>
            </w:pPr>
            <w:r>
              <w:rPr>
                <w:b/>
                <w:i/>
                <w:sz w:val="22"/>
                <w:szCs w:val="22"/>
              </w:rPr>
              <w:t xml:space="preserve">- kumulatívne zahŕňa všetky pôdne </w:t>
            </w:r>
            <w:proofErr w:type="spellStart"/>
            <w:r>
              <w:rPr>
                <w:b/>
                <w:i/>
                <w:sz w:val="22"/>
                <w:szCs w:val="22"/>
              </w:rPr>
              <w:t>deskriptory</w:t>
            </w:r>
            <w:proofErr w:type="spellEnd"/>
            <w:r>
              <w:rPr>
                <w:b/>
                <w:i/>
                <w:sz w:val="22"/>
                <w:szCs w:val="22"/>
              </w:rPr>
              <w:t xml:space="preserve"> pre úroveň 1 a kritériá vymedzené v stĺpci 2 pre koncepciu odberu vzoriek v časti B a zahŕňa aspoň 50 % pôdnych </w:t>
            </w:r>
            <w:proofErr w:type="spellStart"/>
            <w:r>
              <w:rPr>
                <w:b/>
                <w:i/>
                <w:sz w:val="22"/>
                <w:szCs w:val="22"/>
              </w:rPr>
              <w:t>deskri</w:t>
            </w:r>
            <w:r>
              <w:rPr>
                <w:b/>
                <w:i/>
                <w:sz w:val="22"/>
                <w:szCs w:val="22"/>
              </w:rPr>
              <w:t>ptorov</w:t>
            </w:r>
            <w:proofErr w:type="spellEnd"/>
            <w:r>
              <w:rPr>
                <w:b/>
                <w:i/>
                <w:sz w:val="22"/>
                <w:szCs w:val="22"/>
              </w:rPr>
              <w:t xml:space="preserve"> v časti B; alebo </w:t>
            </w:r>
          </w:p>
          <w:p w:rsidR="009D7883" w:rsidRDefault="00AA63BB">
            <w:pPr>
              <w:widowControl/>
              <w:spacing w:before="120"/>
              <w:jc w:val="both"/>
              <w:rPr>
                <w:b/>
                <w:bCs/>
                <w:i/>
                <w:sz w:val="22"/>
                <w:szCs w:val="22"/>
              </w:rPr>
            </w:pPr>
            <w:r>
              <w:rPr>
                <w:b/>
                <w:i/>
                <w:sz w:val="22"/>
                <w:szCs w:val="22"/>
              </w:rPr>
              <w:t xml:space="preserve">- kumulatívne spĺňa kritériá pre koncepciu odberu vzoriek pôdy úrovne 1 a zahŕňa všetky pôdne </w:t>
            </w:r>
            <w:proofErr w:type="spellStart"/>
            <w:r>
              <w:rPr>
                <w:b/>
                <w:i/>
                <w:sz w:val="22"/>
                <w:szCs w:val="22"/>
              </w:rPr>
              <w:t>deskriptory</w:t>
            </w:r>
            <w:proofErr w:type="spellEnd"/>
            <w:r>
              <w:rPr>
                <w:b/>
                <w:i/>
                <w:sz w:val="22"/>
                <w:szCs w:val="22"/>
              </w:rPr>
              <w:t xml:space="preserve"> uvedené v častiach A </w:t>
            </w:r>
            <w:proofErr w:type="spellStart"/>
            <w:r>
              <w:rPr>
                <w:b/>
                <w:i/>
                <w:sz w:val="22"/>
                <w:szCs w:val="22"/>
              </w:rPr>
              <w:t>a</w:t>
            </w:r>
            <w:proofErr w:type="spellEnd"/>
            <w:r>
              <w:rPr>
                <w:b/>
                <w:i/>
                <w:sz w:val="22"/>
                <w:szCs w:val="22"/>
              </w:rPr>
              <w:t xml:space="preserve"> B.</w:t>
            </w:r>
          </w:p>
        </w:tc>
      </w:tr>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sz w:val="22"/>
                <w:szCs w:val="22"/>
              </w:rPr>
            </w:pPr>
            <w:r>
              <w:rPr>
                <w:b/>
                <w:i/>
                <w:sz w:val="22"/>
                <w:szCs w:val="22"/>
              </w:rPr>
              <w:lastRenderedPageBreak/>
              <w:t>Koncepcia odberu vzoriek</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i/>
                <w:sz w:val="22"/>
                <w:szCs w:val="22"/>
              </w:rPr>
              <w:t>Referenčná metodika</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i/>
                <w:sz w:val="22"/>
                <w:szCs w:val="22"/>
              </w:rPr>
              <w:t>Kritériá, ktoré treba splniť</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i/>
                <w:sz w:val="22"/>
                <w:szCs w:val="22"/>
              </w:rPr>
              <w:t>Výnimky</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i/>
                <w:sz w:val="22"/>
                <w:szCs w:val="22"/>
              </w:rPr>
              <w:t>Poznámky</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Stratifikovaný systematický odber vzoriek s použitím priestorovej siete na zabezpečenie homogénneho pokrytia územia členského štátu pre všetky typy pôdy. Na ďalšie zdokonalenie koncepcie odberu vzoriek sa môžu použiť aj pomocné informácie, ako sú environme</w:t>
            </w:r>
            <w:r>
              <w:rPr>
                <w:b/>
                <w:i/>
                <w:sz w:val="22"/>
                <w:szCs w:val="22"/>
              </w:rPr>
              <w:t>ntálne zóny alebo typy pôdy.</w:t>
            </w:r>
          </w:p>
          <w:p w:rsidR="009D7883" w:rsidRDefault="00AA63BB">
            <w:pPr>
              <w:widowControl/>
              <w:spacing w:before="120"/>
              <w:jc w:val="both"/>
              <w:rPr>
                <w:b/>
                <w:i/>
                <w:sz w:val="22"/>
                <w:szCs w:val="22"/>
              </w:rPr>
            </w:pPr>
            <w:r>
              <w:rPr>
                <w:b/>
                <w:i/>
                <w:sz w:val="22"/>
                <w:szCs w:val="22"/>
              </w:rPr>
              <w:t>Členské štáty koordinujú prideľovanie miest odberu vzorky pôdy s inými existujúcimi programami monitorovania, ako sú národné inventáre vegetácie a lesov, ak sú takéto programy k dispozícii. To isté platí aj pre iné typy cenzov,</w:t>
            </w:r>
            <w:r>
              <w:rPr>
                <w:b/>
                <w:i/>
                <w:sz w:val="22"/>
                <w:szCs w:val="22"/>
              </w:rPr>
              <w:t xml:space="preserve"> ako je poľnohospodársky cenzus, s cieľom umožniť lepší zber údajov o postupoch obhospodarovania a optimalizácii nákladov.</w:t>
            </w:r>
          </w:p>
          <w:p w:rsidR="009D7883" w:rsidRDefault="00AA63BB">
            <w:pPr>
              <w:widowControl/>
              <w:spacing w:before="120"/>
              <w:jc w:val="both"/>
              <w:rPr>
                <w:b/>
                <w:i/>
                <w:sz w:val="22"/>
                <w:szCs w:val="22"/>
              </w:rPr>
            </w:pPr>
            <w:r>
              <w:rPr>
                <w:b/>
                <w:i/>
                <w:sz w:val="22"/>
                <w:szCs w:val="22"/>
              </w:rPr>
              <w:t xml:space="preserve">Pridelenie a veľkosť vzorky sa stanovia vedecky stanovenými metódami pre použitú koncepciu odberu vzorky, ako sú metódy uvedené v </w:t>
            </w:r>
            <w:proofErr w:type="spellStart"/>
            <w:r>
              <w:rPr>
                <w:b/>
                <w:i/>
                <w:sz w:val="22"/>
                <w:szCs w:val="22"/>
              </w:rPr>
              <w:t>Bet</w:t>
            </w:r>
            <w:r>
              <w:rPr>
                <w:b/>
                <w:i/>
                <w:sz w:val="22"/>
                <w:szCs w:val="22"/>
              </w:rPr>
              <w:t>helovom</w:t>
            </w:r>
            <w:proofErr w:type="spellEnd"/>
            <w:r>
              <w:rPr>
                <w:b/>
                <w:i/>
                <w:sz w:val="22"/>
                <w:szCs w:val="22"/>
              </w:rPr>
              <w:t xml:space="preserve"> postupe (1989) pre stratifikovaný náhodný odber vzoriek.</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 xml:space="preserve">a) zabezpečiť homogénne pokrytie územia členského štátu pre všetky typy pôdy (napr. zavedením systematického </w:t>
            </w:r>
            <w:proofErr w:type="spellStart"/>
            <w:r>
              <w:rPr>
                <w:b/>
                <w:i/>
                <w:sz w:val="22"/>
                <w:szCs w:val="22"/>
              </w:rPr>
              <w:t>stratifikátora</w:t>
            </w:r>
            <w:proofErr w:type="spellEnd"/>
            <w:r>
              <w:rPr>
                <w:b/>
                <w:i/>
                <w:sz w:val="22"/>
                <w:szCs w:val="22"/>
              </w:rPr>
              <w:t xml:space="preserve"> (napr. súvislej mriežky) ako súčasti koncepcie odberu vzoriek.</w:t>
            </w:r>
          </w:p>
          <w:p w:rsidR="009D7883" w:rsidRDefault="00AA63BB">
            <w:pPr>
              <w:widowControl/>
              <w:spacing w:before="120"/>
              <w:jc w:val="both"/>
              <w:rPr>
                <w:b/>
                <w:i/>
                <w:sz w:val="22"/>
                <w:szCs w:val="22"/>
              </w:rPr>
            </w:pPr>
            <w:r>
              <w:rPr>
                <w:b/>
                <w:bCs/>
                <w:i/>
                <w:iCs/>
                <w:sz w:val="22"/>
                <w:szCs w:val="22"/>
              </w:rPr>
              <w:t>b) s</w:t>
            </w:r>
            <w:r>
              <w:rPr>
                <w:b/>
                <w:bCs/>
                <w:i/>
                <w:iCs/>
                <w:sz w:val="22"/>
                <w:szCs w:val="22"/>
              </w:rPr>
              <w:t xml:space="preserve">tratifikovaný náhodný výber vzorky na základe typu pôdy; </w:t>
            </w:r>
            <w:proofErr w:type="spellStart"/>
            <w:r>
              <w:rPr>
                <w:b/>
                <w:i/>
                <w:sz w:val="22"/>
                <w:szCs w:val="22"/>
              </w:rPr>
              <w:t>Stratifikátory</w:t>
            </w:r>
            <w:proofErr w:type="spellEnd"/>
            <w:r>
              <w:rPr>
                <w:b/>
                <w:i/>
                <w:sz w:val="22"/>
                <w:szCs w:val="22"/>
              </w:rPr>
              <w:t xml:space="preserve"> môžu zahŕňať klimatické podmienky, typ pôdy, typ zeme a administratívne regióny podľa článku 4.</w:t>
            </w:r>
          </w:p>
          <w:p w:rsidR="009D7883" w:rsidRDefault="00AA63BB">
            <w:pPr>
              <w:widowControl/>
              <w:spacing w:before="120"/>
              <w:jc w:val="both"/>
              <w:rPr>
                <w:b/>
                <w:i/>
                <w:sz w:val="22"/>
                <w:szCs w:val="22"/>
              </w:rPr>
            </w:pPr>
            <w:r>
              <w:rPr>
                <w:b/>
                <w:bCs/>
                <w:i/>
                <w:iCs/>
                <w:sz w:val="22"/>
                <w:szCs w:val="22"/>
              </w:rPr>
              <w:t>c) Odhad celkového minimálneho počtu vzoriek sa riadi postupom na úrovni 1.</w:t>
            </w:r>
          </w:p>
          <w:p w:rsidR="009D7883" w:rsidRDefault="00AA63BB">
            <w:pPr>
              <w:widowControl/>
              <w:spacing w:before="120"/>
              <w:jc w:val="both"/>
              <w:rPr>
                <w:b/>
                <w:i/>
                <w:sz w:val="22"/>
                <w:szCs w:val="22"/>
              </w:rPr>
            </w:pPr>
            <w:r>
              <w:rPr>
                <w:b/>
                <w:bCs/>
                <w:i/>
                <w:iCs/>
                <w:sz w:val="22"/>
                <w:szCs w:val="22"/>
              </w:rPr>
              <w:t xml:space="preserve">d) umožniť, </w:t>
            </w:r>
            <w:r>
              <w:rPr>
                <w:b/>
                <w:bCs/>
                <w:i/>
                <w:iCs/>
                <w:sz w:val="22"/>
                <w:szCs w:val="22"/>
              </w:rPr>
              <w:t>aby sa 20 % miest odberu vzoriek vyčlenil na cielený odber vzoriek súvisiaci s vyšetrovaniami alebo posúdením rizika.</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iCs/>
                <w:sz w:val="22"/>
                <w:szCs w:val="22"/>
              </w:rPr>
            </w:pPr>
            <w:r>
              <w:rPr>
                <w:b/>
                <w:bCs/>
                <w:i/>
                <w:iCs/>
                <w:sz w:val="22"/>
                <w:szCs w:val="22"/>
              </w:rPr>
              <w:t xml:space="preserve">Odporúča sa, aby koncepcia a vykonávanie systému monitorovania pôdy zahŕňali viacero zainteresovaných strán a v prípade potreby aj </w:t>
            </w:r>
            <w:r>
              <w:rPr>
                <w:b/>
                <w:bCs/>
                <w:i/>
                <w:iCs/>
                <w:sz w:val="22"/>
                <w:szCs w:val="22"/>
              </w:rPr>
              <w:t>medzinárodné dohody na hraniciach s cieľom zabezpečiť, aby sa zvážili nákladovo efektívne opatrenia a aby sa zohľadnili dostupné odborné znalosti.</w:t>
            </w:r>
          </w:p>
        </w:tc>
      </w:tr>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Faktory degradácie</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iCs/>
                <w:sz w:val="22"/>
                <w:szCs w:val="22"/>
              </w:rPr>
            </w:pPr>
            <w:r>
              <w:rPr>
                <w:b/>
                <w:bCs/>
                <w:i/>
                <w:iCs/>
                <w:sz w:val="22"/>
                <w:szCs w:val="22"/>
              </w:rPr>
              <w:t>Faktor degradácie</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 xml:space="preserve">Pôdny </w:t>
            </w:r>
            <w:proofErr w:type="spellStart"/>
            <w:r>
              <w:rPr>
                <w:b/>
                <w:bCs/>
                <w:i/>
                <w:iCs/>
                <w:sz w:val="22"/>
                <w:szCs w:val="22"/>
              </w:rPr>
              <w:t>deskriptor</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Výnimky</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proofErr w:type="spellStart"/>
            <w:r>
              <w:rPr>
                <w:b/>
                <w:bCs/>
                <w:i/>
                <w:iCs/>
                <w:sz w:val="22"/>
                <w:szCs w:val="22"/>
              </w:rPr>
              <w:t>Salinizácia</w:t>
            </w:r>
            <w:proofErr w:type="spellEnd"/>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elektrická vodivosť (Siemens na meter (S m</w:t>
            </w:r>
            <w:r>
              <w:rPr>
                <w:b/>
                <w:bCs/>
                <w:i/>
                <w:iCs/>
                <w:sz w:val="22"/>
                <w:szCs w:val="22"/>
                <w:vertAlign w:val="superscript"/>
              </w:rPr>
              <w:t>-1</w:t>
            </w:r>
            <w:r>
              <w:rPr>
                <w:b/>
                <w:bCs/>
                <w:i/>
                <w:iCs/>
                <w:sz w:val="22"/>
                <w:szCs w:val="22"/>
              </w:rPr>
              <w:t>) )</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rPr>
          <w:trHeight w:val="359"/>
        </w:trPr>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Záber pôdy</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Strata priepustnosti pôdy (ako percentuálny podiel </w:t>
            </w:r>
            <w:r>
              <w:rPr>
                <w:b/>
                <w:bCs/>
                <w:i/>
                <w:iCs/>
                <w:sz w:val="22"/>
                <w:szCs w:val="22"/>
              </w:rPr>
              <w:lastRenderedPageBreak/>
              <w:t xml:space="preserve">pôdy </w:t>
            </w:r>
            <w:proofErr w:type="spellStart"/>
            <w:r>
              <w:rPr>
                <w:b/>
                <w:bCs/>
                <w:i/>
                <w:iCs/>
                <w:sz w:val="22"/>
                <w:szCs w:val="22"/>
              </w:rPr>
              <w:t>znepriepustnenej</w:t>
            </w:r>
            <w:proofErr w:type="spellEnd"/>
            <w:r>
              <w:rPr>
                <w:b/>
                <w:bCs/>
                <w:i/>
                <w:iCs/>
                <w:sz w:val="22"/>
                <w:szCs w:val="22"/>
              </w:rPr>
              <w:t xml:space="preserve"> akýmkoľvek typom infraštruktúry vytvorenej človekom na 100 m²</w:t>
            </w:r>
            <w:r>
              <w:rPr>
                <w:b/>
                <w:bCs/>
                <w:i/>
                <w:iCs/>
                <w:sz w:val="22"/>
                <w:szCs w:val="22"/>
              </w:rPr>
              <w:t>)</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lastRenderedPageBreak/>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iCs/>
                <w:sz w:val="22"/>
                <w:szCs w:val="22"/>
              </w:rPr>
            </w:pPr>
            <w:r>
              <w:rPr>
                <w:b/>
                <w:bCs/>
                <w:i/>
                <w:iCs/>
                <w:sz w:val="22"/>
                <w:szCs w:val="22"/>
              </w:rPr>
              <w:t xml:space="preserve">Štandardne by sa miesto odberu </w:t>
            </w:r>
            <w:r>
              <w:rPr>
                <w:b/>
                <w:bCs/>
                <w:i/>
                <w:iCs/>
                <w:sz w:val="22"/>
                <w:szCs w:val="22"/>
              </w:rPr>
              <w:lastRenderedPageBreak/>
              <w:t xml:space="preserve">vzoriek malo považovať za </w:t>
            </w:r>
            <w:proofErr w:type="spellStart"/>
            <w:r>
              <w:rPr>
                <w:b/>
                <w:bCs/>
                <w:i/>
                <w:iCs/>
                <w:sz w:val="22"/>
                <w:szCs w:val="22"/>
              </w:rPr>
              <w:t>centroid</w:t>
            </w:r>
            <w:proofErr w:type="spellEnd"/>
            <w:r>
              <w:rPr>
                <w:b/>
                <w:bCs/>
                <w:i/>
                <w:iCs/>
                <w:sz w:val="22"/>
                <w:szCs w:val="22"/>
              </w:rPr>
              <w:t xml:space="preserve"> tohto posúdenia.</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lastRenderedPageBreak/>
              <w:t>Kontaminácia pôdy</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farmaceutické a veterinárne produkty</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jc w:val="both"/>
              <w:rPr>
                <w:b/>
                <w:i/>
                <w:sz w:val="22"/>
                <w:szCs w:val="22"/>
              </w:rPr>
            </w:pP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Zhutnenie pôdy</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sz w:val="22"/>
                <w:szCs w:val="22"/>
              </w:rPr>
              <w:tab/>
            </w:r>
            <w:r>
              <w:rPr>
                <w:b/>
                <w:bCs/>
                <w:i/>
                <w:iCs/>
                <w:sz w:val="22"/>
                <w:szCs w:val="22"/>
              </w:rPr>
              <w:t>Objemová</w:t>
            </w:r>
            <w:r>
              <w:rPr>
                <w:b/>
                <w:i/>
                <w:sz w:val="22"/>
                <w:szCs w:val="22"/>
              </w:rPr>
              <w:t xml:space="preserve"> hmotnosť v </w:t>
            </w:r>
            <w:proofErr w:type="spellStart"/>
            <w:r>
              <w:rPr>
                <w:b/>
                <w:i/>
                <w:sz w:val="22"/>
                <w:szCs w:val="22"/>
              </w:rPr>
              <w:t>podornici</w:t>
            </w:r>
            <w:proofErr w:type="spellEnd"/>
            <w:r>
              <w:rPr>
                <w:b/>
                <w:i/>
                <w:sz w:val="22"/>
                <w:szCs w:val="22"/>
              </w:rPr>
              <w:t xml:space="preserve">; členské štáty môžu tento </w:t>
            </w:r>
            <w:proofErr w:type="spellStart"/>
            <w:r>
              <w:rPr>
                <w:b/>
                <w:i/>
                <w:sz w:val="22"/>
                <w:szCs w:val="22"/>
              </w:rPr>
              <w:t>deskriptor</w:t>
            </w:r>
            <w:proofErr w:type="spellEnd"/>
            <w:r>
              <w:rPr>
                <w:b/>
                <w:i/>
                <w:sz w:val="22"/>
                <w:szCs w:val="22"/>
              </w:rPr>
              <w:t xml:space="preserve"> nahradiť ekvivalentným parametrom (g na cm3)</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rPr>
                <w:b/>
                <w:i/>
                <w:sz w:val="22"/>
                <w:szCs w:val="22"/>
              </w:rPr>
            </w:pPr>
            <w:r>
              <w:rPr>
                <w:b/>
                <w:bCs/>
                <w:i/>
                <w:iCs/>
                <w:sz w:val="22"/>
                <w:szCs w:val="22"/>
              </w:rPr>
              <w:t>neobhospodarované pôdy na plochách prírodnej krajiny</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Vykoná sa pre </w:t>
            </w:r>
            <w:proofErr w:type="spellStart"/>
            <w:r>
              <w:rPr>
                <w:b/>
                <w:bCs/>
                <w:i/>
                <w:iCs/>
                <w:sz w:val="22"/>
                <w:szCs w:val="22"/>
              </w:rPr>
              <w:t>podornicu</w:t>
            </w:r>
            <w:proofErr w:type="spellEnd"/>
            <w:r>
              <w:rPr>
                <w:b/>
                <w:bCs/>
                <w:i/>
                <w:iCs/>
                <w:sz w:val="22"/>
                <w:szCs w:val="22"/>
              </w:rPr>
              <w:t xml:space="preserve"> (30 – 50 cm, 50 – 100 cm)</w:t>
            </w:r>
          </w:p>
        </w:tc>
      </w:tr>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Ekologické funkcie pôdy</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Ekologická funkcia</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781"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jc w:val="both"/>
              <w:rPr>
                <w:b/>
                <w:bCs/>
                <w:i/>
                <w:iCs/>
                <w:sz w:val="22"/>
                <w:szCs w:val="22"/>
              </w:rPr>
            </w:pP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Kolobeh živín</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w:t>
            </w:r>
            <w:proofErr w:type="spellStart"/>
            <w:r>
              <w:rPr>
                <w:b/>
                <w:bCs/>
                <w:i/>
                <w:iCs/>
                <w:sz w:val="22"/>
                <w:szCs w:val="22"/>
              </w:rPr>
              <w:t>mineralizácia</w:t>
            </w:r>
            <w:proofErr w:type="spellEnd"/>
            <w:r>
              <w:rPr>
                <w:b/>
                <w:bCs/>
                <w:i/>
                <w:iCs/>
                <w:sz w:val="22"/>
                <w:szCs w:val="22"/>
              </w:rPr>
              <w:t xml:space="preserve"> dusíka, </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dostupnosť dusíka</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proofErr w:type="spellStart"/>
            <w:r>
              <w:rPr>
                <w:b/>
                <w:bCs/>
                <w:i/>
                <w:iCs/>
                <w:sz w:val="22"/>
                <w:szCs w:val="22"/>
              </w:rPr>
              <w:t>Agregácia</w:t>
            </w:r>
            <w:proofErr w:type="spellEnd"/>
            <w:r>
              <w:rPr>
                <w:b/>
                <w:bCs/>
                <w:i/>
                <w:iCs/>
                <w:sz w:val="22"/>
                <w:szCs w:val="22"/>
              </w:rPr>
              <w:t xml:space="preserve"> pôdy</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Frakcia stabilná vo vode – hrubé materiály</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Enzymatická aktivita</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Potenciál enzymatickej aktivity pre kyslú </w:t>
            </w:r>
            <w:proofErr w:type="spellStart"/>
            <w:r>
              <w:rPr>
                <w:b/>
                <w:bCs/>
                <w:i/>
                <w:iCs/>
                <w:sz w:val="22"/>
                <w:szCs w:val="22"/>
              </w:rPr>
              <w:t>fosfatázu</w:t>
            </w:r>
            <w:proofErr w:type="spellEnd"/>
            <w:r>
              <w:rPr>
                <w:b/>
                <w:bCs/>
                <w:i/>
                <w:iCs/>
                <w:sz w:val="22"/>
                <w:szCs w:val="22"/>
              </w:rPr>
              <w:t xml:space="preserve"> (EC 3.13.2)</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Potenciál enzymatickej aktivity pre N-</w:t>
            </w:r>
            <w:proofErr w:type="spellStart"/>
            <w:r>
              <w:rPr>
                <w:b/>
                <w:bCs/>
                <w:i/>
                <w:iCs/>
                <w:sz w:val="22"/>
                <w:szCs w:val="22"/>
              </w:rPr>
              <w:t>acetylglukozaminidázu</w:t>
            </w:r>
            <w:proofErr w:type="spellEnd"/>
            <w:r>
              <w:rPr>
                <w:b/>
                <w:bCs/>
                <w:i/>
                <w:iCs/>
                <w:sz w:val="22"/>
                <w:szCs w:val="22"/>
              </w:rPr>
              <w:t xml:space="preserve"> (EC 3.2.1.50)</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Potenciál enzymatickej aktivity pre </w:t>
            </w:r>
            <w:proofErr w:type="spellStart"/>
            <w:r>
              <w:rPr>
                <w:b/>
                <w:bCs/>
                <w:i/>
                <w:iCs/>
                <w:sz w:val="22"/>
                <w:szCs w:val="22"/>
              </w:rPr>
              <w:t>xylozidázu</w:t>
            </w:r>
            <w:proofErr w:type="spellEnd"/>
            <w:r>
              <w:rPr>
                <w:b/>
                <w:bCs/>
                <w:i/>
                <w:iCs/>
                <w:sz w:val="22"/>
                <w:szCs w:val="22"/>
              </w:rPr>
              <w:t xml:space="preserve"> (EC 3.2.1.37)</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Potenciál enzymatickej aktivity pre </w:t>
            </w:r>
            <w:proofErr w:type="spellStart"/>
            <w:r>
              <w:rPr>
                <w:b/>
                <w:bCs/>
                <w:i/>
                <w:iCs/>
                <w:sz w:val="22"/>
                <w:szCs w:val="22"/>
              </w:rPr>
              <w:t>celobiohydrolá</w:t>
            </w:r>
            <w:r>
              <w:rPr>
                <w:b/>
                <w:bCs/>
                <w:i/>
                <w:iCs/>
                <w:sz w:val="22"/>
                <w:szCs w:val="22"/>
              </w:rPr>
              <w:t>zu</w:t>
            </w:r>
            <w:proofErr w:type="spellEnd"/>
            <w:r>
              <w:rPr>
                <w:b/>
                <w:bCs/>
                <w:i/>
                <w:iCs/>
                <w:sz w:val="22"/>
                <w:szCs w:val="22"/>
              </w:rPr>
              <w:t xml:space="preserve"> (EC 3.2.1.91)</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Potenciál enzymatickej aktivity pre β-</w:t>
            </w:r>
            <w:proofErr w:type="spellStart"/>
            <w:r>
              <w:rPr>
                <w:b/>
                <w:bCs/>
                <w:i/>
                <w:iCs/>
                <w:sz w:val="22"/>
                <w:szCs w:val="22"/>
              </w:rPr>
              <w:t>glukozidázu</w:t>
            </w:r>
            <w:proofErr w:type="spellEnd"/>
            <w:r>
              <w:rPr>
                <w:b/>
                <w:bCs/>
                <w:i/>
                <w:iCs/>
                <w:sz w:val="22"/>
                <w:szCs w:val="22"/>
              </w:rPr>
              <w:t xml:space="preserve"> (EC 3.2.1.21)</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Pôdna biomasa</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ab/>
              <w:t xml:space="preserve">Mikrobiálna biomasa podľa </w:t>
            </w:r>
            <w:proofErr w:type="spellStart"/>
            <w:r>
              <w:rPr>
                <w:b/>
                <w:bCs/>
                <w:i/>
                <w:iCs/>
                <w:sz w:val="22"/>
                <w:szCs w:val="22"/>
              </w:rPr>
              <w:t>markerových</w:t>
            </w:r>
            <w:proofErr w:type="spellEnd"/>
            <w:r>
              <w:rPr>
                <w:b/>
                <w:bCs/>
                <w:i/>
                <w:iCs/>
                <w:sz w:val="22"/>
                <w:szCs w:val="22"/>
              </w:rPr>
              <w:t xml:space="preserve"> mastných kyselín (biomasa na mikrobiálnu funkčnú skupinu; </w:t>
            </w:r>
            <w:proofErr w:type="spellStart"/>
            <w:r>
              <w:rPr>
                <w:b/>
                <w:bCs/>
                <w:i/>
                <w:iCs/>
                <w:sz w:val="22"/>
                <w:szCs w:val="22"/>
              </w:rPr>
              <w:t>ng</w:t>
            </w:r>
            <w:proofErr w:type="spellEnd"/>
            <w:r>
              <w:rPr>
                <w:b/>
                <w:bCs/>
                <w:i/>
                <w:iCs/>
                <w:sz w:val="22"/>
                <w:szCs w:val="22"/>
              </w:rPr>
              <w:t xml:space="preserve"> </w:t>
            </w:r>
            <w:proofErr w:type="spellStart"/>
            <w:r>
              <w:rPr>
                <w:b/>
                <w:bCs/>
                <w:i/>
                <w:iCs/>
                <w:sz w:val="22"/>
                <w:szCs w:val="22"/>
              </w:rPr>
              <w:t>FAME</w:t>
            </w:r>
            <w:proofErr w:type="spellEnd"/>
            <w:r>
              <w:rPr>
                <w:b/>
                <w:bCs/>
                <w:i/>
                <w:iCs/>
                <w:sz w:val="22"/>
                <w:szCs w:val="22"/>
              </w:rPr>
              <w:t xml:space="preserve"> g-1 suchej hmotnosti pôdy)</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sz w:val="22"/>
                <w:szCs w:val="22"/>
              </w:rPr>
            </w:pPr>
            <w:r>
              <w:rPr>
                <w:b/>
                <w:bCs/>
                <w:i/>
                <w:iCs/>
                <w:sz w:val="22"/>
                <w:szCs w:val="22"/>
              </w:rPr>
              <w:t>Pôdna biodiverzita</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Prvok pôdnej biodiverzity</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Taxonomická diverzita</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Rozmanitosť (bohatosť) pôdnych živočíchov v každej skupine na základe morfologických metód a môže zahŕňať aj </w:t>
            </w:r>
            <w:r>
              <w:rPr>
                <w:b/>
                <w:bCs/>
                <w:i/>
                <w:iCs/>
                <w:sz w:val="22"/>
                <w:szCs w:val="22"/>
              </w:rPr>
              <w:lastRenderedPageBreak/>
              <w:t>identifikáciu obrazu [</w:t>
            </w:r>
            <w:proofErr w:type="spellStart"/>
            <w:r>
              <w:rPr>
                <w:b/>
                <w:bCs/>
                <w:i/>
                <w:iCs/>
                <w:sz w:val="22"/>
                <w:szCs w:val="22"/>
              </w:rPr>
              <w:t>Hlístovce</w:t>
            </w:r>
            <w:proofErr w:type="spellEnd"/>
            <w:r>
              <w:rPr>
                <w:b/>
                <w:bCs/>
                <w:i/>
                <w:iCs/>
                <w:sz w:val="22"/>
                <w:szCs w:val="22"/>
              </w:rPr>
              <w:t xml:space="preserve"> (v prípade </w:t>
            </w:r>
            <w:proofErr w:type="spellStart"/>
            <w:r>
              <w:rPr>
                <w:b/>
                <w:bCs/>
                <w:i/>
                <w:iCs/>
                <w:sz w:val="22"/>
                <w:szCs w:val="22"/>
              </w:rPr>
              <w:t>hlístovcov</w:t>
            </w:r>
            <w:proofErr w:type="spellEnd"/>
            <w:r>
              <w:rPr>
                <w:b/>
                <w:bCs/>
                <w:i/>
                <w:iCs/>
                <w:sz w:val="22"/>
                <w:szCs w:val="22"/>
              </w:rPr>
              <w:t xml:space="preserve"> by sa klasifikácia mala vykonať aspoň na úrovni rodiny) a dážďovky (v prípade dážďoviek by s</w:t>
            </w:r>
            <w:r>
              <w:rPr>
                <w:b/>
                <w:bCs/>
                <w:i/>
                <w:iCs/>
                <w:sz w:val="22"/>
                <w:szCs w:val="22"/>
              </w:rPr>
              <w:t>a klasifikácia mala robiť až po úroveň druhu)]</w:t>
            </w:r>
          </w:p>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Taxonomické počty pôdnej biodiverzity na základe </w:t>
            </w:r>
            <w:proofErr w:type="spellStart"/>
            <w:r>
              <w:rPr>
                <w:b/>
                <w:bCs/>
                <w:i/>
                <w:iCs/>
                <w:sz w:val="22"/>
                <w:szCs w:val="22"/>
              </w:rPr>
              <w:t>metagenómu</w:t>
            </w:r>
            <w:proofErr w:type="spellEnd"/>
            <w:r>
              <w:rPr>
                <w:b/>
                <w:bCs/>
                <w:i/>
                <w:iCs/>
                <w:sz w:val="22"/>
                <w:szCs w:val="22"/>
              </w:rPr>
              <w:t xml:space="preserve"> na taxonomickú skupinu</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lastRenderedPageBreak/>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proofErr w:type="spellStart"/>
            <w:r>
              <w:rPr>
                <w:b/>
                <w:bCs/>
                <w:i/>
                <w:iCs/>
                <w:sz w:val="22"/>
                <w:szCs w:val="22"/>
              </w:rPr>
              <w:t>Abundancia</w:t>
            </w:r>
            <w:proofErr w:type="spellEnd"/>
            <w:r>
              <w:rPr>
                <w:b/>
                <w:bCs/>
                <w:i/>
                <w:iCs/>
                <w:sz w:val="22"/>
                <w:szCs w:val="22"/>
              </w:rPr>
              <w:t xml:space="preserve"> populácie</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b/>
                <w:bCs/>
                <w:i/>
                <w:iCs/>
                <w:sz w:val="22"/>
                <w:szCs w:val="22"/>
              </w:rPr>
              <w:sym w:font="Symbol" w:char="F0B7"/>
            </w:r>
            <w:r>
              <w:rPr>
                <w:b/>
                <w:bCs/>
                <w:i/>
                <w:iCs/>
                <w:sz w:val="22"/>
                <w:szCs w:val="22"/>
              </w:rPr>
              <w:t xml:space="preserve"> Celkové </w:t>
            </w:r>
            <w:proofErr w:type="spellStart"/>
            <w:r>
              <w:rPr>
                <w:b/>
                <w:bCs/>
                <w:i/>
                <w:iCs/>
                <w:sz w:val="22"/>
                <w:szCs w:val="22"/>
              </w:rPr>
              <w:t>abundancie</w:t>
            </w:r>
            <w:proofErr w:type="spellEnd"/>
            <w:r>
              <w:rPr>
                <w:b/>
                <w:bCs/>
                <w:i/>
                <w:iCs/>
                <w:sz w:val="22"/>
                <w:szCs w:val="22"/>
              </w:rPr>
              <w:t xml:space="preserve"> húb (s použitím oblasti vnútorného prepisovaného medzerníka (ITS))</w:t>
            </w:r>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9640"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Pôdny biotop</w:t>
            </w:r>
          </w:p>
        </w:tc>
      </w:tr>
      <w:tr w:rsidR="009D7883">
        <w:tc>
          <w:tcPr>
            <w:tcW w:w="2888"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Prvok pôdneho biotopu</w:t>
            </w:r>
          </w:p>
        </w:tc>
        <w:tc>
          <w:tcPr>
            <w:tcW w:w="2846"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781"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bl>
    <w:p w:rsidR="009D7883" w:rsidRDefault="00AA63BB">
      <w:pPr>
        <w:spacing w:before="120" w:after="120" w:line="360" w:lineRule="auto"/>
        <w:jc w:val="right"/>
        <w:rPr>
          <w:b/>
          <w:szCs w:val="24"/>
          <w:lang w:val="en-GB" w:eastAsia="en-US"/>
        </w:rPr>
      </w:pPr>
      <w:r>
        <w:rPr>
          <w:b/>
          <w:szCs w:val="24"/>
          <w:lang w:val="en-GB" w:eastAsia="en-US"/>
        </w:rPr>
        <w:t xml:space="preserve"> [PN 199]</w:t>
      </w:r>
    </w:p>
    <w:p w:rsidR="009D7883" w:rsidRDefault="009D7883">
      <w:pPr>
        <w:spacing w:before="120" w:after="120" w:line="360" w:lineRule="auto"/>
        <w:rPr>
          <w:i/>
          <w:noProof/>
          <w:sz w:val="22"/>
          <w:szCs w:val="22"/>
          <w:lang w:eastAsia="en-US"/>
        </w:rPr>
      </w:pPr>
    </w:p>
    <w:tbl>
      <w:tblPr>
        <w:tblStyle w:val="TableGrid1"/>
        <w:tblW w:w="0" w:type="auto"/>
        <w:tblLook w:val="04A0" w:firstRow="1" w:lastRow="0" w:firstColumn="1" w:lastColumn="0" w:noHBand="0" w:noVBand="1"/>
      </w:tblPr>
      <w:tblGrid>
        <w:gridCol w:w="3430"/>
        <w:gridCol w:w="5633"/>
      </w:tblGrid>
      <w:tr w:rsidR="009D7883">
        <w:tc>
          <w:tcPr>
            <w:tcW w:w="9289" w:type="dxa"/>
            <w:gridSpan w:val="2"/>
          </w:tcPr>
          <w:p w:rsidR="009D7883" w:rsidRDefault="00AA63BB">
            <w:pPr>
              <w:spacing w:before="120" w:after="120"/>
              <w:rPr>
                <w:rFonts w:ascii="Times New Roman" w:hAnsi="Times New Roman"/>
                <w:b/>
                <w:strike/>
                <w:noProof/>
                <w:sz w:val="22"/>
              </w:rPr>
            </w:pPr>
            <w:r>
              <w:rPr>
                <w:rFonts w:ascii="Times New Roman" w:hAnsi="Times New Roman"/>
                <w:b/>
                <w:i/>
                <w:strike/>
                <w:noProof/>
                <w:sz w:val="22"/>
              </w:rPr>
              <w:t>Časť C: pôdne deskriptory bez kritérií</w:t>
            </w:r>
          </w:p>
        </w:tc>
      </w:tr>
      <w:tr w:rsidR="009D7883">
        <w:tc>
          <w:tcPr>
            <w:tcW w:w="3510" w:type="dxa"/>
          </w:tcPr>
          <w:p w:rsidR="009D7883" w:rsidRDefault="00AA63BB">
            <w:pPr>
              <w:spacing w:before="120" w:after="120"/>
              <w:rPr>
                <w:rFonts w:ascii="Times New Roman" w:hAnsi="Times New Roman"/>
                <w:b/>
                <w:strike/>
                <w:noProof/>
                <w:sz w:val="22"/>
              </w:rPr>
            </w:pPr>
            <w:r>
              <w:rPr>
                <w:rFonts w:ascii="Times New Roman" w:hAnsi="Times New Roman"/>
                <w:b/>
                <w:strike/>
                <w:noProof/>
                <w:sz w:val="22"/>
              </w:rPr>
              <w:t>Aspekt</w:t>
            </w:r>
            <w:r>
              <w:rPr>
                <w:rFonts w:ascii="Times New Roman" w:hAnsi="Times New Roman"/>
                <w:b/>
                <w:strike/>
                <w:noProof/>
                <w:sz w:val="22"/>
              </w:rPr>
              <w:t xml:space="preserve"> degradácie pôdy</w:t>
            </w:r>
          </w:p>
        </w:tc>
        <w:tc>
          <w:tcPr>
            <w:tcW w:w="5779" w:type="dxa"/>
          </w:tcPr>
          <w:p w:rsidR="009D7883" w:rsidRDefault="00AA63BB">
            <w:pPr>
              <w:spacing w:before="120" w:after="120"/>
              <w:rPr>
                <w:rFonts w:ascii="Times New Roman" w:hAnsi="Times New Roman"/>
                <w:b/>
                <w:strike/>
                <w:noProof/>
                <w:sz w:val="22"/>
              </w:rPr>
            </w:pPr>
            <w:r>
              <w:rPr>
                <w:rFonts w:ascii="Times New Roman" w:hAnsi="Times New Roman"/>
                <w:b/>
                <w:strike/>
                <w:noProof/>
                <w:sz w:val="22"/>
              </w:rPr>
              <w:t>Pôdny deskriptor</w:t>
            </w:r>
          </w:p>
        </w:tc>
      </w:tr>
      <w:tr w:rsidR="009D7883">
        <w:tc>
          <w:tcPr>
            <w:tcW w:w="3510"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nadmerný obsah živín v pôde</w:t>
            </w:r>
          </w:p>
        </w:tc>
        <w:tc>
          <w:tcPr>
            <w:tcW w:w="5779"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dusík v pôde (mg g</w:t>
            </w:r>
            <w:r>
              <w:rPr>
                <w:rFonts w:ascii="Times New Roman" w:hAnsi="Times New Roman"/>
                <w:strike/>
                <w:noProof/>
                <w:sz w:val="22"/>
                <w:vertAlign w:val="superscript"/>
              </w:rPr>
              <w:t>-1</w:t>
            </w:r>
            <w:r>
              <w:rPr>
                <w:rFonts w:ascii="Times New Roman" w:hAnsi="Times New Roman"/>
                <w:strike/>
                <w:noProof/>
                <w:sz w:val="22"/>
              </w:rPr>
              <w:t>)</w:t>
            </w:r>
          </w:p>
        </w:tc>
      </w:tr>
      <w:tr w:rsidR="009D7883">
        <w:tc>
          <w:tcPr>
            <w:tcW w:w="3510"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acidifikácia</w:t>
            </w:r>
          </w:p>
        </w:tc>
        <w:tc>
          <w:tcPr>
            <w:tcW w:w="5779"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kyslosť pôdy (pH)</w:t>
            </w:r>
          </w:p>
        </w:tc>
      </w:tr>
      <w:tr w:rsidR="009D7883">
        <w:tc>
          <w:tcPr>
            <w:tcW w:w="3510"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zhutnenie ornice</w:t>
            </w:r>
          </w:p>
        </w:tc>
        <w:tc>
          <w:tcPr>
            <w:tcW w:w="5779"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objemová hmotnosť v ornici (A-horizont</w:t>
            </w:r>
            <w:r>
              <w:rPr>
                <w:rFonts w:ascii="Times New Roman" w:hAnsi="Times New Roman"/>
                <w:strike/>
                <w:noProof/>
                <w:sz w:val="22"/>
                <w:vertAlign w:val="superscript"/>
              </w:rPr>
              <w:footnoteReference w:id="62"/>
            </w:r>
            <w:r>
              <w:rPr>
                <w:rFonts w:ascii="Times New Roman" w:hAnsi="Times New Roman"/>
                <w:strike/>
                <w:noProof/>
                <w:sz w:val="22"/>
              </w:rPr>
              <w:t>) (g cm</w:t>
            </w:r>
            <w:r>
              <w:rPr>
                <w:rFonts w:ascii="Times New Roman" w:hAnsi="Times New Roman"/>
                <w:strike/>
                <w:noProof/>
                <w:sz w:val="22"/>
                <w:vertAlign w:val="superscript"/>
              </w:rPr>
              <w:t>-3</w:t>
            </w:r>
            <w:r>
              <w:rPr>
                <w:rFonts w:ascii="Times New Roman" w:hAnsi="Times New Roman"/>
                <w:strike/>
                <w:noProof/>
                <w:sz w:val="22"/>
              </w:rPr>
              <w:t>)</w:t>
            </w:r>
          </w:p>
        </w:tc>
      </w:tr>
      <w:tr w:rsidR="009D7883">
        <w:tc>
          <w:tcPr>
            <w:tcW w:w="3510" w:type="dxa"/>
          </w:tcPr>
          <w:p w:rsidR="009D7883" w:rsidRDefault="00AA63BB">
            <w:pPr>
              <w:spacing w:before="120" w:after="120"/>
              <w:rPr>
                <w:rFonts w:ascii="Times New Roman" w:hAnsi="Times New Roman"/>
                <w:i/>
                <w:strike/>
                <w:noProof/>
                <w:sz w:val="22"/>
              </w:rPr>
            </w:pPr>
            <w:r>
              <w:rPr>
                <w:rFonts w:ascii="Times New Roman" w:hAnsi="Times New Roman"/>
                <w:strike/>
                <w:noProof/>
                <w:sz w:val="22"/>
              </w:rPr>
              <w:t>strata biodiverzity pôdy</w:t>
            </w:r>
          </w:p>
        </w:tc>
        <w:tc>
          <w:tcPr>
            <w:tcW w:w="5779" w:type="dxa"/>
          </w:tcPr>
          <w:p w:rsidR="009D7883" w:rsidRDefault="00AA63BB">
            <w:pPr>
              <w:spacing w:before="120" w:after="120"/>
              <w:rPr>
                <w:rFonts w:ascii="Times New Roman" w:hAnsi="Times New Roman"/>
                <w:strike/>
                <w:noProof/>
                <w:sz w:val="22"/>
              </w:rPr>
            </w:pPr>
            <w:r>
              <w:rPr>
                <w:rFonts w:ascii="Times New Roman" w:hAnsi="Times New Roman"/>
                <w:strike/>
                <w:noProof/>
                <w:sz w:val="22"/>
              </w:rPr>
              <w:t>bazálna respirácia pôdy (mm</w:t>
            </w:r>
            <w:r>
              <w:rPr>
                <w:rFonts w:ascii="Times New Roman" w:hAnsi="Times New Roman"/>
                <w:strike/>
                <w:noProof/>
                <w:sz w:val="22"/>
                <w:vertAlign w:val="superscript"/>
              </w:rPr>
              <w:t>3</w:t>
            </w:r>
            <w:r>
              <w:rPr>
                <w:rFonts w:ascii="Times New Roman" w:hAnsi="Times New Roman"/>
                <w:strike/>
                <w:noProof/>
                <w:sz w:val="22"/>
              </w:rPr>
              <w:t xml:space="preserve"> O</w:t>
            </w:r>
            <w:r>
              <w:rPr>
                <w:rFonts w:ascii="Times New Roman" w:hAnsi="Times New Roman"/>
                <w:strike/>
                <w:noProof/>
                <w:sz w:val="22"/>
                <w:vertAlign w:val="subscript"/>
              </w:rPr>
              <w:t>2</w:t>
            </w:r>
            <w:r>
              <w:rPr>
                <w:rFonts w:ascii="Times New Roman" w:hAnsi="Times New Roman"/>
                <w:strike/>
                <w:noProof/>
                <w:sz w:val="22"/>
              </w:rPr>
              <w:t xml:space="preserve"> g</w:t>
            </w:r>
            <w:r>
              <w:rPr>
                <w:rFonts w:ascii="Times New Roman" w:hAnsi="Times New Roman"/>
                <w:strike/>
                <w:noProof/>
                <w:sz w:val="22"/>
                <w:vertAlign w:val="superscript"/>
              </w:rPr>
              <w:t>-1</w:t>
            </w:r>
            <w:r>
              <w:rPr>
                <w:rFonts w:ascii="Times New Roman" w:hAnsi="Times New Roman"/>
                <w:strike/>
                <w:noProof/>
                <w:sz w:val="22"/>
              </w:rPr>
              <w:t xml:space="preserve"> hr</w:t>
            </w:r>
            <w:r>
              <w:rPr>
                <w:rFonts w:ascii="Times New Roman" w:hAnsi="Times New Roman"/>
                <w:strike/>
                <w:noProof/>
                <w:sz w:val="22"/>
                <w:vertAlign w:val="superscript"/>
              </w:rPr>
              <w:t>-1</w:t>
            </w:r>
            <w:r>
              <w:rPr>
                <w:rFonts w:ascii="Times New Roman" w:hAnsi="Times New Roman"/>
                <w:strike/>
                <w:noProof/>
                <w:sz w:val="22"/>
              </w:rPr>
              <w:t>) pri</w:t>
            </w:r>
            <w:r>
              <w:rPr>
                <w:rFonts w:ascii="Times New Roman" w:hAnsi="Times New Roman"/>
                <w:strike/>
                <w:noProof/>
                <w:sz w:val="22"/>
              </w:rPr>
              <w:t xml:space="preserve"> suchej pôde</w:t>
            </w:r>
          </w:p>
          <w:p w:rsidR="009D7883" w:rsidRDefault="009D7883">
            <w:pPr>
              <w:spacing w:before="120" w:after="120"/>
              <w:rPr>
                <w:rFonts w:ascii="Times New Roman" w:hAnsi="Times New Roman"/>
                <w:strike/>
                <w:noProof/>
                <w:sz w:val="22"/>
              </w:rPr>
            </w:pPr>
          </w:p>
          <w:p w:rsidR="009D7883" w:rsidRDefault="00AA63BB">
            <w:pPr>
              <w:spacing w:before="120" w:after="120"/>
              <w:contextualSpacing/>
              <w:rPr>
                <w:rFonts w:ascii="Times New Roman" w:hAnsi="Times New Roman"/>
                <w:strike/>
                <w:noProof/>
                <w:sz w:val="22"/>
              </w:rPr>
            </w:pPr>
            <w:r>
              <w:rPr>
                <w:rFonts w:ascii="Times New Roman" w:hAnsi="Times New Roman"/>
                <w:strike/>
                <w:noProof/>
                <w:sz w:val="22"/>
              </w:rPr>
              <w:t xml:space="preserve">Členské štáty si môžu vybrať aj iné dobrovoľné pôdne deskriptory pre biodiverzitu, ako je: </w:t>
            </w:r>
            <w:r>
              <w:rPr>
                <w:rFonts w:ascii="Times New Roman" w:hAnsi="Times New Roman"/>
                <w:strike/>
                <w:noProof/>
                <w:sz w:val="22"/>
              </w:rPr>
              <w:br/>
              <w:t xml:space="preserve"> – metačiarové kódovanie DNA baktérií, húb, jednobunkovcov a zvierat, </w:t>
            </w:r>
            <w:r>
              <w:rPr>
                <w:rFonts w:ascii="Times New Roman" w:hAnsi="Times New Roman"/>
                <w:strike/>
                <w:noProof/>
                <w:sz w:val="22"/>
              </w:rPr>
              <w:br/>
              <w:t xml:space="preserve"> – abundancia a rozmanitosť hlístovcov, </w:t>
            </w:r>
            <w:r>
              <w:rPr>
                <w:rFonts w:ascii="Times New Roman" w:hAnsi="Times New Roman"/>
                <w:strike/>
                <w:noProof/>
                <w:sz w:val="22"/>
              </w:rPr>
              <w:br/>
              <w:t xml:space="preserve"> – mikrobiálna biomasa, </w:t>
            </w:r>
            <w:r>
              <w:rPr>
                <w:rFonts w:ascii="Times New Roman" w:hAnsi="Times New Roman"/>
                <w:strike/>
                <w:noProof/>
                <w:sz w:val="22"/>
              </w:rPr>
              <w:br/>
              <w:t xml:space="preserve"> – abundancia</w:t>
            </w:r>
            <w:r>
              <w:rPr>
                <w:rFonts w:ascii="Times New Roman" w:hAnsi="Times New Roman"/>
                <w:strike/>
                <w:noProof/>
                <w:sz w:val="22"/>
              </w:rPr>
              <w:t xml:space="preserve"> a rozmanitosť dážďoviek (v ornej pôde),</w:t>
            </w:r>
          </w:p>
          <w:p w:rsidR="009D7883" w:rsidRDefault="00AA63BB">
            <w:pPr>
              <w:spacing w:before="120" w:after="120"/>
              <w:rPr>
                <w:rFonts w:ascii="Times New Roman" w:hAnsi="Times New Roman"/>
                <w:strike/>
                <w:noProof/>
                <w:sz w:val="22"/>
              </w:rPr>
            </w:pPr>
            <w:r>
              <w:rPr>
                <w:rFonts w:ascii="Times New Roman" w:hAnsi="Times New Roman"/>
                <w:strike/>
                <w:noProof/>
                <w:sz w:val="22"/>
              </w:rPr>
              <w:t>– invázne nepôvodné druhy a rastlinné škodce.</w:t>
            </w:r>
          </w:p>
        </w:tc>
      </w:tr>
    </w:tbl>
    <w:tbl>
      <w:tblPr>
        <w:tblStyle w:val="TableGrid2"/>
        <w:tblW w:w="9356" w:type="dxa"/>
        <w:tblInd w:w="-34" w:type="dxa"/>
        <w:tblLook w:val="04A0" w:firstRow="1" w:lastRow="0" w:firstColumn="1" w:lastColumn="0" w:noHBand="0" w:noVBand="1"/>
      </w:tblPr>
      <w:tblGrid>
        <w:gridCol w:w="3202"/>
        <w:gridCol w:w="2610"/>
        <w:gridCol w:w="2160"/>
        <w:gridCol w:w="1384"/>
      </w:tblGrid>
      <w:tr w:rsidR="009D7883">
        <w:tc>
          <w:tcPr>
            <w:tcW w:w="9356"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sz w:val="22"/>
                <w:szCs w:val="22"/>
              </w:rPr>
            </w:pPr>
            <w:r>
              <w:rPr>
                <w:b/>
                <w:i/>
                <w:sz w:val="22"/>
              </w:rPr>
              <w:t>Časť C: Úroveň 3 pre koncepciu monitorovania pôdy</w:t>
            </w:r>
          </w:p>
          <w:p w:rsidR="009D7883" w:rsidRDefault="00AA63BB">
            <w:pPr>
              <w:widowControl/>
              <w:spacing w:before="120"/>
              <w:jc w:val="both"/>
              <w:rPr>
                <w:b/>
                <w:bCs/>
                <w:i/>
                <w:sz w:val="22"/>
                <w:szCs w:val="22"/>
              </w:rPr>
            </w:pPr>
            <w:r>
              <w:rPr>
                <w:b/>
                <w:i/>
                <w:sz w:val="22"/>
              </w:rPr>
              <w:t xml:space="preserve">Členský štát spĺňa podmienky pre úroveň 3, ak spĺňa podmienky úrovne 2 pre koncepciu monitorovania pôdy a zahŕňa aspoň 50 % pôdnych </w:t>
            </w:r>
            <w:proofErr w:type="spellStart"/>
            <w:r>
              <w:rPr>
                <w:b/>
                <w:i/>
                <w:sz w:val="22"/>
              </w:rPr>
              <w:t>deskriptorov</w:t>
            </w:r>
            <w:proofErr w:type="spellEnd"/>
            <w:r>
              <w:rPr>
                <w:b/>
                <w:i/>
                <w:sz w:val="22"/>
              </w:rPr>
              <w:t xml:space="preserve"> v časti C.</w:t>
            </w:r>
          </w:p>
        </w:tc>
      </w:tr>
      <w:tr w:rsidR="009D7883">
        <w:tc>
          <w:tcPr>
            <w:tcW w:w="9356"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rPr>
              <w:t>Faktory degradácie</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rPr>
            </w:pPr>
            <w:r>
              <w:rPr>
                <w:b/>
                <w:bCs/>
                <w:i/>
                <w:iCs/>
                <w:sz w:val="22"/>
              </w:rPr>
              <w:t>Faktor degradácie</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rPr>
            </w:pPr>
            <w:r>
              <w:rPr>
                <w:b/>
                <w:bCs/>
                <w:i/>
                <w:iCs/>
                <w:sz w:val="22"/>
              </w:rPr>
              <w:t xml:space="preserve">Pôdny </w:t>
            </w:r>
            <w:proofErr w:type="spellStart"/>
            <w:r>
              <w:rPr>
                <w:b/>
                <w:bCs/>
                <w:i/>
                <w:iCs/>
                <w:sz w:val="22"/>
              </w:rPr>
              <w:t>deskriptor</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rPr>
            </w:pPr>
            <w:r>
              <w:rPr>
                <w:b/>
                <w:bCs/>
                <w:i/>
                <w:iCs/>
                <w:sz w:val="22"/>
              </w:rPr>
              <w:t>Výnimky</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rPr>
              <w:t>Poznámky</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sz w:val="22"/>
                <w:szCs w:val="22"/>
              </w:rPr>
            </w:pPr>
            <w:r>
              <w:rPr>
                <w:b/>
                <w:bCs/>
                <w:i/>
                <w:iCs/>
                <w:sz w:val="22"/>
                <w:szCs w:val="22"/>
              </w:rPr>
              <w:lastRenderedPageBreak/>
              <w:t>Kontaminácia pôdy</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b/>
                <w:bCs/>
                <w:i/>
                <w:iCs/>
                <w:sz w:val="22"/>
                <w:szCs w:val="22"/>
              </w:rPr>
              <w:t xml:space="preserve">Koncentrácia </w:t>
            </w:r>
            <w:proofErr w:type="spellStart"/>
            <w:r>
              <w:rPr>
                <w:b/>
                <w:bCs/>
                <w:i/>
                <w:iCs/>
                <w:sz w:val="22"/>
                <w:szCs w:val="22"/>
              </w:rPr>
              <w:t>mikroplastov</w:t>
            </w:r>
            <w:proofErr w:type="spellEnd"/>
            <w:r>
              <w:rPr>
                <w:b/>
                <w:bCs/>
                <w:i/>
                <w:iCs/>
                <w:sz w:val="22"/>
                <w:szCs w:val="22"/>
              </w:rPr>
              <w:t xml:space="preserve"> a </w:t>
            </w:r>
            <w:proofErr w:type="spellStart"/>
            <w:r>
              <w:rPr>
                <w:b/>
                <w:bCs/>
                <w:i/>
                <w:iCs/>
                <w:sz w:val="22"/>
                <w:szCs w:val="22"/>
              </w:rPr>
              <w:t>nanoplastov</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9356"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Ekologické funkcie pôdy</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Ekologická funkcia</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Pôdna biomasa</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sz w:val="22"/>
                <w:szCs w:val="22"/>
              </w:rPr>
              <w:tab/>
            </w:r>
            <w:r>
              <w:rPr>
                <w:b/>
                <w:i/>
                <w:sz w:val="22"/>
                <w:szCs w:val="22"/>
              </w:rPr>
              <w:t>Pôdna živočíšna biomasa (na taxonomickú skupinu (</w:t>
            </w:r>
            <w:proofErr w:type="spellStart"/>
            <w:r>
              <w:rPr>
                <w:b/>
                <w:i/>
                <w:sz w:val="22"/>
                <w:szCs w:val="22"/>
              </w:rPr>
              <w:t>hlístovce</w:t>
            </w:r>
            <w:proofErr w:type="spellEnd"/>
            <w:r>
              <w:rPr>
                <w:b/>
                <w:i/>
                <w:sz w:val="22"/>
                <w:szCs w:val="22"/>
              </w:rPr>
              <w:t xml:space="preserve"> a dážďovky); mg čerstvej hmotnosti (pre </w:t>
            </w:r>
            <w:proofErr w:type="spellStart"/>
            <w:r>
              <w:rPr>
                <w:b/>
                <w:i/>
                <w:sz w:val="22"/>
                <w:szCs w:val="22"/>
              </w:rPr>
              <w:t>hlístovce</w:t>
            </w:r>
            <w:proofErr w:type="spellEnd"/>
            <w:r>
              <w:rPr>
                <w:b/>
                <w:i/>
                <w:sz w:val="22"/>
                <w:szCs w:val="22"/>
              </w:rPr>
              <w:t>)/suchá hmotnosť (v prípade dážďoviek) na g suchej pôdy)</w:t>
            </w:r>
          </w:p>
          <w:p w:rsidR="009D7883" w:rsidRDefault="00AA63BB">
            <w:pPr>
              <w:widowControl/>
              <w:spacing w:before="120"/>
              <w:ind w:left="128" w:hanging="142"/>
              <w:contextualSpacing/>
              <w:jc w:val="both"/>
              <w:rPr>
                <w:b/>
                <w:i/>
                <w:sz w:val="22"/>
                <w:szCs w:val="22"/>
              </w:rPr>
            </w:pPr>
            <w:r>
              <w:rPr>
                <w:sz w:val="22"/>
                <w:szCs w:val="22"/>
              </w:rPr>
              <w:sym w:font="Symbol" w:char="F0B7"/>
            </w:r>
            <w:r>
              <w:rPr>
                <w:b/>
                <w:bCs/>
                <w:i/>
                <w:iCs/>
                <w:sz w:val="22"/>
                <w:szCs w:val="22"/>
              </w:rPr>
              <w:t>Koreňová biomasa (mg suchej hmotnosti na g suchej hmotnosti pôdy)</w:t>
            </w:r>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 xml:space="preserve">Znaky koreňového </w:t>
            </w:r>
            <w:r>
              <w:rPr>
                <w:b/>
                <w:i/>
                <w:sz w:val="22"/>
                <w:szCs w:val="22"/>
              </w:rPr>
              <w:t>spoločenstva</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b/>
                <w:i/>
                <w:sz w:val="22"/>
                <w:szCs w:val="22"/>
              </w:rPr>
              <w:t>Celkový dusík prítomný v koreňoch</w:t>
            </w:r>
          </w:p>
          <w:p w:rsidR="009D7883" w:rsidRDefault="00AA63BB">
            <w:pPr>
              <w:widowControl/>
              <w:spacing w:before="120"/>
              <w:ind w:left="128" w:hanging="142"/>
              <w:contextualSpacing/>
              <w:jc w:val="both"/>
              <w:rPr>
                <w:b/>
                <w:i/>
                <w:sz w:val="22"/>
                <w:szCs w:val="22"/>
              </w:rPr>
            </w:pPr>
            <w:r>
              <w:rPr>
                <w:b/>
                <w:i/>
                <w:sz w:val="22"/>
                <w:szCs w:val="22"/>
              </w:rPr>
              <w:sym w:font="Symbol" w:char="F0B7"/>
            </w:r>
            <w:r>
              <w:rPr>
                <w:b/>
                <w:i/>
                <w:sz w:val="22"/>
                <w:szCs w:val="22"/>
              </w:rPr>
              <w:t xml:space="preserve"> Hustota dĺžky koreňov</w:t>
            </w:r>
          </w:p>
          <w:p w:rsidR="009D7883" w:rsidRDefault="00AA63BB">
            <w:pPr>
              <w:widowControl/>
              <w:spacing w:before="120"/>
              <w:ind w:left="128" w:hanging="142"/>
              <w:contextualSpacing/>
              <w:jc w:val="both"/>
              <w:rPr>
                <w:b/>
                <w:i/>
                <w:sz w:val="22"/>
                <w:szCs w:val="22"/>
              </w:rPr>
            </w:pPr>
            <w:r>
              <w:rPr>
                <w:b/>
                <w:i/>
                <w:sz w:val="22"/>
                <w:szCs w:val="22"/>
              </w:rPr>
              <w:sym w:font="Symbol" w:char="F0B7"/>
            </w:r>
            <w:r>
              <w:rPr>
                <w:b/>
                <w:i/>
                <w:sz w:val="22"/>
                <w:szCs w:val="22"/>
              </w:rPr>
              <w:t>Stredný priemer koreňov</w:t>
            </w:r>
          </w:p>
          <w:p w:rsidR="009D7883" w:rsidRDefault="00AA63BB">
            <w:pPr>
              <w:widowControl/>
              <w:spacing w:before="120"/>
              <w:ind w:left="128" w:hanging="142"/>
              <w:contextualSpacing/>
              <w:jc w:val="both"/>
              <w:rPr>
                <w:b/>
                <w:i/>
                <w:sz w:val="22"/>
                <w:szCs w:val="22"/>
              </w:rPr>
            </w:pPr>
            <w:r>
              <w:rPr>
                <w:b/>
                <w:i/>
                <w:sz w:val="22"/>
                <w:szCs w:val="22"/>
              </w:rPr>
              <w:sym w:font="Symbol" w:char="F0B7"/>
            </w:r>
            <w:r>
              <w:rPr>
                <w:b/>
                <w:i/>
                <w:sz w:val="22"/>
                <w:szCs w:val="22"/>
              </w:rPr>
              <w:t xml:space="preserve"> Odchýlky v priemere koreňov</w:t>
            </w:r>
          </w:p>
          <w:p w:rsidR="009D7883" w:rsidRDefault="00AA63BB">
            <w:pPr>
              <w:widowControl/>
              <w:spacing w:before="120"/>
              <w:ind w:left="128" w:hanging="142"/>
              <w:contextualSpacing/>
              <w:jc w:val="both"/>
              <w:rPr>
                <w:b/>
                <w:i/>
                <w:sz w:val="22"/>
                <w:szCs w:val="22"/>
              </w:rPr>
            </w:pPr>
            <w:r>
              <w:rPr>
                <w:b/>
                <w:i/>
                <w:sz w:val="22"/>
                <w:szCs w:val="22"/>
              </w:rPr>
              <w:sym w:font="Symbol" w:char="F0B7"/>
            </w:r>
            <w:r>
              <w:rPr>
                <w:b/>
                <w:i/>
                <w:sz w:val="22"/>
                <w:szCs w:val="22"/>
              </w:rPr>
              <w:t xml:space="preserve"> Obsah suchej hmoty v koreňoch</w:t>
            </w:r>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7972" w:type="dxa"/>
            <w:gridSpan w:val="3"/>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Pôdna biodiverzita</w:t>
            </w:r>
          </w:p>
        </w:tc>
        <w:tc>
          <w:tcPr>
            <w:tcW w:w="1384" w:type="dxa"/>
            <w:tcBorders>
              <w:top w:val="single" w:sz="4" w:space="0" w:color="auto"/>
              <w:left w:val="single" w:sz="4" w:space="0" w:color="auto"/>
              <w:bottom w:val="single" w:sz="4" w:space="0" w:color="auto"/>
              <w:right w:val="single" w:sz="4" w:space="0" w:color="auto"/>
            </w:tcBorders>
          </w:tcPr>
          <w:p w:rsidR="009D7883" w:rsidRDefault="009D7883">
            <w:pPr>
              <w:widowControl/>
              <w:spacing w:before="120"/>
              <w:jc w:val="both"/>
              <w:rPr>
                <w:b/>
                <w:bCs/>
                <w:i/>
                <w:sz w:val="22"/>
                <w:szCs w:val="22"/>
              </w:rPr>
            </w:pP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Prvok pôdnej </w:t>
            </w:r>
            <w:r>
              <w:rPr>
                <w:b/>
                <w:bCs/>
                <w:i/>
                <w:iCs/>
                <w:sz w:val="22"/>
                <w:szCs w:val="22"/>
              </w:rPr>
              <w:t>biodiverzity</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Taxonomická diverzita</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b/>
                <w:bCs/>
                <w:i/>
                <w:iCs/>
                <w:sz w:val="22"/>
                <w:szCs w:val="22"/>
              </w:rPr>
              <w:t>Rozmanitosť (bohatosť) pôdnych živočíchov na skupinu (</w:t>
            </w:r>
            <w:proofErr w:type="spellStart"/>
            <w:r>
              <w:rPr>
                <w:b/>
                <w:bCs/>
                <w:i/>
                <w:iCs/>
                <w:sz w:val="22"/>
                <w:szCs w:val="22"/>
              </w:rPr>
              <w:t>chvostoskoky</w:t>
            </w:r>
            <w:proofErr w:type="spellEnd"/>
            <w:r>
              <w:rPr>
                <w:b/>
                <w:bCs/>
                <w:i/>
                <w:iCs/>
                <w:sz w:val="22"/>
                <w:szCs w:val="22"/>
              </w:rPr>
              <w:t xml:space="preserve"> a roztoče)</w:t>
            </w:r>
          </w:p>
          <w:p w:rsidR="009D7883" w:rsidRDefault="00AA63BB">
            <w:pPr>
              <w:widowControl/>
              <w:spacing w:before="120"/>
              <w:ind w:left="128" w:hanging="142"/>
              <w:contextualSpacing/>
              <w:jc w:val="both"/>
              <w:rPr>
                <w:b/>
                <w:i/>
                <w:sz w:val="22"/>
                <w:szCs w:val="22"/>
              </w:rPr>
            </w:pPr>
            <w:r>
              <w:rPr>
                <w:sz w:val="22"/>
                <w:szCs w:val="22"/>
              </w:rPr>
              <w:sym w:font="Symbol" w:char="F0B7"/>
            </w:r>
            <w:r>
              <w:rPr>
                <w:sz w:val="22"/>
                <w:szCs w:val="22"/>
              </w:rPr>
              <w:t xml:space="preserve"> </w:t>
            </w:r>
            <w:r>
              <w:rPr>
                <w:b/>
                <w:i/>
                <w:sz w:val="22"/>
                <w:szCs w:val="22"/>
              </w:rPr>
              <w:t>Prítomnosť</w:t>
            </w:r>
            <w:r>
              <w:rPr>
                <w:b/>
                <w:bCs/>
                <w:i/>
                <w:iCs/>
                <w:sz w:val="22"/>
                <w:szCs w:val="22"/>
              </w:rPr>
              <w:t xml:space="preserve"> inváznych nepôvodných druhov</w:t>
            </w:r>
          </w:p>
          <w:p w:rsidR="009D7883" w:rsidRDefault="00AA63BB">
            <w:pPr>
              <w:widowControl/>
              <w:spacing w:before="120"/>
              <w:ind w:left="128" w:hanging="142"/>
              <w:contextualSpacing/>
              <w:jc w:val="both"/>
              <w:rPr>
                <w:b/>
                <w:i/>
                <w:sz w:val="22"/>
                <w:szCs w:val="22"/>
              </w:rPr>
            </w:pPr>
            <w:r>
              <w:rPr>
                <w:sz w:val="22"/>
                <w:szCs w:val="22"/>
              </w:rPr>
              <w:sym w:font="Symbol" w:char="F0B7"/>
            </w:r>
            <w:r>
              <w:rPr>
                <w:sz w:val="22"/>
                <w:szCs w:val="22"/>
              </w:rPr>
              <w:t xml:space="preserve"> </w:t>
            </w:r>
            <w:r>
              <w:rPr>
                <w:b/>
                <w:i/>
                <w:sz w:val="22"/>
                <w:szCs w:val="22"/>
              </w:rPr>
              <w:t>Rozmanitosť</w:t>
            </w:r>
            <w:r>
              <w:rPr>
                <w:b/>
                <w:bCs/>
                <w:i/>
                <w:iCs/>
                <w:sz w:val="22"/>
                <w:szCs w:val="22"/>
              </w:rPr>
              <w:t xml:space="preserve"> vírusov s použitím </w:t>
            </w:r>
            <w:proofErr w:type="spellStart"/>
            <w:r>
              <w:rPr>
                <w:b/>
                <w:bCs/>
                <w:i/>
                <w:iCs/>
                <w:sz w:val="22"/>
                <w:szCs w:val="22"/>
              </w:rPr>
              <w:t>metagenomických</w:t>
            </w:r>
            <w:proofErr w:type="spellEnd"/>
            <w:r>
              <w:rPr>
                <w:b/>
                <w:bCs/>
                <w:i/>
                <w:iCs/>
                <w:sz w:val="22"/>
                <w:szCs w:val="22"/>
              </w:rPr>
              <w:t xml:space="preserve"> prístupov</w:t>
            </w:r>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proofErr w:type="spellStart"/>
            <w:r>
              <w:rPr>
                <w:b/>
                <w:bCs/>
                <w:i/>
                <w:iCs/>
                <w:sz w:val="22"/>
                <w:szCs w:val="22"/>
              </w:rPr>
              <w:t>Abundancia</w:t>
            </w:r>
            <w:proofErr w:type="spellEnd"/>
            <w:r>
              <w:rPr>
                <w:b/>
                <w:bCs/>
                <w:i/>
                <w:iCs/>
                <w:sz w:val="22"/>
                <w:szCs w:val="22"/>
              </w:rPr>
              <w:t xml:space="preserve"> populácie</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ind w:left="128" w:hanging="142"/>
              <w:contextualSpacing/>
              <w:jc w:val="both"/>
              <w:rPr>
                <w:b/>
                <w:i/>
                <w:sz w:val="22"/>
                <w:szCs w:val="22"/>
              </w:rPr>
            </w:pPr>
            <w:r>
              <w:rPr>
                <w:sz w:val="22"/>
                <w:szCs w:val="22"/>
              </w:rPr>
              <w:sym w:font="Symbol" w:char="F0B7"/>
            </w:r>
            <w:r>
              <w:rPr>
                <w:sz w:val="22"/>
                <w:szCs w:val="22"/>
              </w:rPr>
              <w:t xml:space="preserve"> </w:t>
            </w:r>
            <w:r>
              <w:rPr>
                <w:b/>
                <w:bCs/>
                <w:i/>
                <w:iCs/>
                <w:sz w:val="22"/>
                <w:szCs w:val="22"/>
              </w:rPr>
              <w:t xml:space="preserve">Celková </w:t>
            </w:r>
            <w:proofErr w:type="spellStart"/>
            <w:r>
              <w:rPr>
                <w:b/>
                <w:bCs/>
                <w:i/>
                <w:iCs/>
                <w:sz w:val="22"/>
                <w:szCs w:val="22"/>
              </w:rPr>
              <w:t>abundancia</w:t>
            </w:r>
            <w:proofErr w:type="spellEnd"/>
            <w:r>
              <w:rPr>
                <w:b/>
                <w:bCs/>
                <w:i/>
                <w:iCs/>
                <w:sz w:val="22"/>
                <w:szCs w:val="22"/>
              </w:rPr>
              <w:t xml:space="preserve"> pôdnych živočíchov na skupinu (</w:t>
            </w:r>
            <w:proofErr w:type="spellStart"/>
            <w:r>
              <w:rPr>
                <w:b/>
                <w:bCs/>
                <w:i/>
                <w:iCs/>
                <w:sz w:val="22"/>
                <w:szCs w:val="22"/>
              </w:rPr>
              <w:t>hlístovce</w:t>
            </w:r>
            <w:proofErr w:type="spellEnd"/>
            <w:r>
              <w:rPr>
                <w:b/>
                <w:bCs/>
                <w:i/>
                <w:iCs/>
                <w:sz w:val="22"/>
                <w:szCs w:val="22"/>
              </w:rPr>
              <w:t xml:space="preserve"> a dážďovky)</w:t>
            </w:r>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i/>
                <w:sz w:val="22"/>
                <w:szCs w:val="22"/>
              </w:rPr>
              <w:t>-</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Vykoná sa pre ornicu (0 – 10 cm, 10 – 30 cm (nepovinné))</w:t>
            </w:r>
          </w:p>
        </w:tc>
      </w:tr>
      <w:tr w:rsidR="009D7883">
        <w:tc>
          <w:tcPr>
            <w:tcW w:w="9356" w:type="dxa"/>
            <w:gridSpan w:val="4"/>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Pôdny biotop</w:t>
            </w:r>
          </w:p>
        </w:tc>
      </w:tr>
      <w:tr w:rsidR="009D7883">
        <w:tc>
          <w:tcPr>
            <w:tcW w:w="3202"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Prvok pôdneho biotopu</w:t>
            </w:r>
          </w:p>
        </w:tc>
        <w:tc>
          <w:tcPr>
            <w:tcW w:w="261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 xml:space="preserve">Pôdny </w:t>
            </w:r>
            <w:proofErr w:type="spellStart"/>
            <w:r>
              <w:rPr>
                <w:b/>
                <w:bCs/>
                <w:i/>
                <w:iCs/>
                <w:sz w:val="22"/>
                <w:szCs w:val="22"/>
              </w:rPr>
              <w:t>deskriptor</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i/>
                <w:sz w:val="22"/>
                <w:szCs w:val="22"/>
              </w:rPr>
            </w:pPr>
            <w:r>
              <w:rPr>
                <w:b/>
                <w:bCs/>
                <w:i/>
                <w:iCs/>
                <w:sz w:val="22"/>
                <w:szCs w:val="22"/>
              </w:rPr>
              <w:t>Výnimky</w:t>
            </w:r>
          </w:p>
        </w:tc>
        <w:tc>
          <w:tcPr>
            <w:tcW w:w="1384" w:type="dxa"/>
            <w:tcBorders>
              <w:top w:val="single" w:sz="4" w:space="0" w:color="auto"/>
              <w:left w:val="single" w:sz="4" w:space="0" w:color="auto"/>
              <w:bottom w:val="single" w:sz="4" w:space="0" w:color="auto"/>
              <w:right w:val="single" w:sz="4" w:space="0" w:color="auto"/>
            </w:tcBorders>
            <w:hideMark/>
          </w:tcPr>
          <w:p w:rsidR="009D7883" w:rsidRDefault="00AA63BB">
            <w:pPr>
              <w:widowControl/>
              <w:spacing w:before="120"/>
              <w:jc w:val="both"/>
              <w:rPr>
                <w:b/>
                <w:bCs/>
                <w:i/>
                <w:iCs/>
                <w:sz w:val="22"/>
                <w:szCs w:val="22"/>
              </w:rPr>
            </w:pPr>
            <w:r>
              <w:rPr>
                <w:b/>
                <w:bCs/>
                <w:i/>
                <w:iCs/>
                <w:sz w:val="22"/>
                <w:szCs w:val="22"/>
              </w:rPr>
              <w:t>Poznámky</w:t>
            </w:r>
          </w:p>
        </w:tc>
      </w:tr>
    </w:tbl>
    <w:p w:rsidR="009D7883" w:rsidRDefault="00AA63BB">
      <w:pPr>
        <w:spacing w:before="120" w:after="120" w:line="360" w:lineRule="auto"/>
        <w:jc w:val="right"/>
        <w:rPr>
          <w:b/>
          <w:noProof/>
          <w:szCs w:val="24"/>
          <w:lang w:eastAsia="en-US"/>
        </w:rPr>
      </w:pPr>
      <w:r>
        <w:rPr>
          <w:b/>
          <w:noProof/>
          <w:szCs w:val="24"/>
          <w:lang w:eastAsia="en-US"/>
        </w:rPr>
        <w:t xml:space="preserve"> [PN 200]</w:t>
      </w:r>
    </w:p>
    <w:p w:rsidR="009D7883" w:rsidRDefault="009D7883">
      <w:pPr>
        <w:spacing w:before="120" w:after="120" w:line="360" w:lineRule="auto"/>
        <w:jc w:val="right"/>
        <w:rPr>
          <w:b/>
          <w:noProof/>
          <w:szCs w:val="24"/>
          <w:lang w:eastAsia="en-US"/>
        </w:rPr>
      </w:pPr>
    </w:p>
    <w:tbl>
      <w:tblPr>
        <w:tblStyle w:val="TableGrid1"/>
        <w:tblW w:w="9606" w:type="dxa"/>
        <w:tblLook w:val="04A0" w:firstRow="1" w:lastRow="0" w:firstColumn="1" w:lastColumn="0" w:noHBand="0" w:noVBand="1"/>
      </w:tblPr>
      <w:tblGrid>
        <w:gridCol w:w="2518"/>
        <w:gridCol w:w="7088"/>
      </w:tblGrid>
      <w:tr w:rsidR="009D7883">
        <w:tc>
          <w:tcPr>
            <w:tcW w:w="9606" w:type="dxa"/>
            <w:gridSpan w:val="2"/>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noProof/>
                <w:sz w:val="22"/>
              </w:rPr>
            </w:pPr>
            <w:r>
              <w:rPr>
                <w:rFonts w:ascii="Times New Roman" w:hAnsi="Times New Roman"/>
                <w:b/>
                <w:i/>
                <w:noProof/>
                <w:sz w:val="22"/>
              </w:rPr>
              <w:lastRenderedPageBreak/>
              <w:t>Časť D: ukazovatele záberu pôdy a straty priepustnosti pôdy</w:t>
            </w:r>
          </w:p>
        </w:tc>
      </w:tr>
      <w:tr w:rsidR="009D7883">
        <w:tc>
          <w:tcPr>
            <w:tcW w:w="251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noProof/>
                <w:sz w:val="22"/>
              </w:rPr>
            </w:pPr>
            <w:r>
              <w:rPr>
                <w:rFonts w:ascii="Times New Roman" w:hAnsi="Times New Roman"/>
                <w:b/>
                <w:noProof/>
                <w:sz w:val="22"/>
              </w:rPr>
              <w:t>Aspekt degradácie pôdy</w:t>
            </w:r>
          </w:p>
        </w:tc>
        <w:tc>
          <w:tcPr>
            <w:tcW w:w="708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noProof/>
                <w:sz w:val="22"/>
              </w:rPr>
            </w:pPr>
            <w:r>
              <w:rPr>
                <w:rFonts w:ascii="Times New Roman" w:hAnsi="Times New Roman"/>
                <w:b/>
                <w:noProof/>
                <w:sz w:val="22"/>
              </w:rPr>
              <w:t>Ukazovatele záberu pôdy a straty priepustnosti pôdy</w:t>
            </w:r>
          </w:p>
        </w:tc>
      </w:tr>
      <w:tr w:rsidR="009D7883">
        <w:tc>
          <w:tcPr>
            <w:tcW w:w="2518"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noProof/>
                <w:sz w:val="22"/>
              </w:rPr>
            </w:pPr>
            <w:r>
              <w:rPr>
                <w:rFonts w:ascii="Times New Roman" w:hAnsi="Times New Roman"/>
                <w:noProof/>
                <w:sz w:val="22"/>
              </w:rPr>
              <w:t>záber pôdy a strata priepustnosti pôdy</w:t>
            </w:r>
          </w:p>
        </w:tc>
        <w:tc>
          <w:tcPr>
            <w:tcW w:w="7088"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rPr>
                <w:rFonts w:ascii="Times New Roman" w:hAnsi="Times New Roman"/>
                <w:noProof/>
                <w:sz w:val="22"/>
              </w:rPr>
            </w:pPr>
            <w:r>
              <w:rPr>
                <w:rFonts w:ascii="Times New Roman" w:hAnsi="Times New Roman"/>
                <w:noProof/>
                <w:sz w:val="22"/>
              </w:rPr>
              <w:t xml:space="preserve">celková plocha umelo vytvorenej krajiny </w:t>
            </w:r>
            <w:r>
              <w:rPr>
                <w:rFonts w:ascii="Times New Roman" w:hAnsi="Times New Roman"/>
                <w:noProof/>
                <w:sz w:val="22"/>
              </w:rPr>
              <w:t>(km² a % plochy členského štátu)</w:t>
            </w:r>
          </w:p>
          <w:p w:rsidR="009D7883" w:rsidRDefault="00AA63BB">
            <w:pPr>
              <w:spacing w:before="120" w:after="120"/>
              <w:rPr>
                <w:rFonts w:ascii="Times New Roman" w:hAnsi="Times New Roman"/>
                <w:noProof/>
                <w:sz w:val="22"/>
              </w:rPr>
            </w:pPr>
            <w:r>
              <w:rPr>
                <w:rFonts w:ascii="Times New Roman" w:hAnsi="Times New Roman"/>
                <w:noProof/>
                <w:sz w:val="22"/>
              </w:rPr>
              <w:t>záber pôdy, zvrátenie záberu pôdy, čistý záber pôdy (ročný priemer – v km² a % plochy členského štátu)</w:t>
            </w:r>
          </w:p>
          <w:p w:rsidR="009D7883" w:rsidRDefault="00AA63BB">
            <w:pPr>
              <w:spacing w:before="120" w:after="120"/>
              <w:rPr>
                <w:rFonts w:ascii="Times New Roman" w:hAnsi="Times New Roman"/>
                <w:noProof/>
                <w:sz w:val="22"/>
              </w:rPr>
            </w:pPr>
            <w:r>
              <w:rPr>
                <w:rFonts w:ascii="Times New Roman" w:hAnsi="Times New Roman"/>
                <w:noProof/>
                <w:sz w:val="22"/>
              </w:rPr>
              <w:t>strata priepustnosti pôdy (celková plocha v km² a % plochy členského štátu)</w:t>
            </w:r>
          </w:p>
          <w:p w:rsidR="009D7883" w:rsidRDefault="009D7883">
            <w:pPr>
              <w:spacing w:before="120" w:after="120"/>
              <w:rPr>
                <w:rFonts w:ascii="Times New Roman" w:hAnsi="Times New Roman"/>
                <w:noProof/>
                <w:sz w:val="22"/>
              </w:rPr>
            </w:pPr>
          </w:p>
          <w:p w:rsidR="009D7883" w:rsidRDefault="00AA63BB">
            <w:pPr>
              <w:spacing w:before="120" w:after="120"/>
              <w:rPr>
                <w:rFonts w:ascii="Times New Roman" w:hAnsi="Times New Roman"/>
                <w:noProof/>
                <w:sz w:val="22"/>
              </w:rPr>
            </w:pPr>
            <w:r>
              <w:rPr>
                <w:rFonts w:ascii="Times New Roman" w:hAnsi="Times New Roman"/>
                <w:noProof/>
                <w:sz w:val="22"/>
              </w:rPr>
              <w:t>Členské štáty môžu takisto merať iné súvisi</w:t>
            </w:r>
            <w:r>
              <w:rPr>
                <w:rFonts w:ascii="Times New Roman" w:hAnsi="Times New Roman"/>
                <w:noProof/>
                <w:sz w:val="22"/>
              </w:rPr>
              <w:t xml:space="preserve">ace dobrovoľné ukazovatele, ako je: </w:t>
            </w:r>
          </w:p>
          <w:p w:rsidR="009D7883" w:rsidRDefault="00AA63BB">
            <w:pPr>
              <w:spacing w:before="120" w:after="120"/>
              <w:rPr>
                <w:rFonts w:ascii="Times New Roman" w:hAnsi="Times New Roman"/>
                <w:noProof/>
                <w:sz w:val="22"/>
              </w:rPr>
            </w:pPr>
            <w:r>
              <w:rPr>
                <w:rFonts w:ascii="Times New Roman" w:hAnsi="Times New Roman"/>
                <w:noProof/>
                <w:sz w:val="22"/>
              </w:rPr>
              <w:t xml:space="preserve">– fragmentácia územia, </w:t>
            </w:r>
          </w:p>
          <w:p w:rsidR="009D7883" w:rsidRDefault="00AA63BB">
            <w:pPr>
              <w:spacing w:before="120" w:after="120"/>
              <w:rPr>
                <w:rFonts w:ascii="Times New Roman" w:hAnsi="Times New Roman"/>
                <w:noProof/>
                <w:sz w:val="22"/>
              </w:rPr>
            </w:pPr>
            <w:r>
              <w:rPr>
                <w:rFonts w:ascii="Times New Roman" w:hAnsi="Times New Roman"/>
                <w:noProof/>
                <w:sz w:val="22"/>
              </w:rPr>
              <w:t xml:space="preserve">– miera recyklácie územia, </w:t>
            </w:r>
          </w:p>
          <w:p w:rsidR="009D7883" w:rsidRDefault="00AA63BB">
            <w:pPr>
              <w:spacing w:before="120" w:after="120"/>
              <w:rPr>
                <w:rFonts w:ascii="Times New Roman" w:hAnsi="Times New Roman"/>
                <w:noProof/>
                <w:sz w:val="22"/>
              </w:rPr>
            </w:pPr>
            <w:r>
              <w:rPr>
                <w:rFonts w:ascii="Times New Roman" w:hAnsi="Times New Roman"/>
                <w:noProof/>
                <w:sz w:val="22"/>
              </w:rPr>
              <w:t>– záber pôdy na účely obchodných činností, logistických centier, obnoviteľných zdrojov energie, povrchov (napríklad letísk), ciest, baní,</w:t>
            </w:r>
          </w:p>
          <w:p w:rsidR="009D7883" w:rsidRDefault="00AA63BB">
            <w:pPr>
              <w:spacing w:before="120" w:after="120"/>
              <w:rPr>
                <w:rFonts w:ascii="Times New Roman" w:hAnsi="Times New Roman"/>
                <w:noProof/>
                <w:sz w:val="22"/>
              </w:rPr>
            </w:pPr>
            <w:r>
              <w:rPr>
                <w:rFonts w:ascii="Times New Roman" w:hAnsi="Times New Roman"/>
                <w:noProof/>
                <w:sz w:val="22"/>
              </w:rPr>
              <w:t xml:space="preserve"> – následky záberu pôdy, napr</w:t>
            </w:r>
            <w:r>
              <w:rPr>
                <w:rFonts w:ascii="Times New Roman" w:hAnsi="Times New Roman"/>
                <w:noProof/>
                <w:sz w:val="22"/>
              </w:rPr>
              <w:t>íklad vyčíslenie straty ekosystémových služieb, zmena intenzity povodní.</w:t>
            </w:r>
          </w:p>
        </w:tc>
      </w:tr>
    </w:tbl>
    <w:p w:rsidR="009D7883" w:rsidRDefault="009D7883">
      <w:pPr>
        <w:spacing w:before="120" w:after="120" w:line="360" w:lineRule="auto"/>
        <w:rPr>
          <w:noProof/>
          <w:szCs w:val="24"/>
          <w:lang w:eastAsia="en-US"/>
        </w:rPr>
        <w:sectPr w:rsidR="009D7883">
          <w:footerReference w:type="default" r:id="rId11"/>
          <w:footerReference w:type="first" r:id="rId12"/>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noProof/>
          <w:szCs w:val="22"/>
          <w:lang w:eastAsia="en-US"/>
        </w:rPr>
      </w:pPr>
      <w:r>
        <w:rPr>
          <w:rFonts w:eastAsia="Calibri"/>
          <w:noProof/>
          <w:szCs w:val="22"/>
          <w:lang w:eastAsia="en-US"/>
        </w:rPr>
        <w:lastRenderedPageBreak/>
        <w:t>PRÍLOHA II</w:t>
      </w:r>
      <w:r>
        <w:rPr>
          <w:rFonts w:eastAsia="Calibri"/>
          <w:noProof/>
          <w:szCs w:val="22"/>
          <w:lang w:eastAsia="en-US"/>
        </w:rPr>
        <w:br/>
        <w:t xml:space="preserve"> METODIKY </w:t>
      </w:r>
    </w:p>
    <w:p w:rsidR="009D7883" w:rsidRDefault="009D7883">
      <w:pPr>
        <w:spacing w:before="120" w:after="120" w:line="360" w:lineRule="auto"/>
        <w:rPr>
          <w:noProof/>
          <w:szCs w:val="24"/>
          <w:lang w:eastAsia="en-US"/>
        </w:rPr>
      </w:pPr>
    </w:p>
    <w:p w:rsidR="009D7883" w:rsidRDefault="00AA63BB">
      <w:pPr>
        <w:spacing w:before="120" w:after="120" w:line="360" w:lineRule="auto"/>
        <w:rPr>
          <w:strike/>
          <w:noProof/>
          <w:szCs w:val="24"/>
          <w:lang w:eastAsia="en-US"/>
        </w:rPr>
      </w:pPr>
      <w:r>
        <w:rPr>
          <w:strike/>
          <w:noProof/>
          <w:szCs w:val="24"/>
          <w:lang w:eastAsia="en-US"/>
        </w:rPr>
        <w:t>Časť A: Metodika na určenie miest odberu vzorky</w:t>
      </w:r>
    </w:p>
    <w:tbl>
      <w:tblPr>
        <w:tblStyle w:val="TableGrid1"/>
        <w:tblW w:w="9322" w:type="dxa"/>
        <w:tblLook w:val="04A0" w:firstRow="1" w:lastRow="0" w:firstColumn="1" w:lastColumn="0" w:noHBand="0" w:noVBand="1"/>
      </w:tblPr>
      <w:tblGrid>
        <w:gridCol w:w="3492"/>
        <w:gridCol w:w="5830"/>
      </w:tblGrid>
      <w:tr w:rsidR="009D7883">
        <w:tc>
          <w:tcPr>
            <w:tcW w:w="349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b/>
                <w:strike/>
                <w:noProof/>
                <w:sz w:val="22"/>
              </w:rPr>
              <w:t>Činnosť</w:t>
            </w:r>
          </w:p>
        </w:tc>
        <w:tc>
          <w:tcPr>
            <w:tcW w:w="5830"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b/>
                <w:strike/>
                <w:noProof/>
                <w:sz w:val="22"/>
              </w:rPr>
            </w:pPr>
            <w:r>
              <w:rPr>
                <w:rFonts w:ascii="Times New Roman" w:hAnsi="Times New Roman"/>
                <w:b/>
                <w:strike/>
                <w:noProof/>
                <w:sz w:val="22"/>
              </w:rPr>
              <w:t>Minimálne metodické kritériá</w:t>
            </w:r>
          </w:p>
        </w:tc>
      </w:tr>
      <w:tr w:rsidR="009D7883">
        <w:tc>
          <w:tcPr>
            <w:tcW w:w="3492"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určenie miest odberu vzorky pôdy (výberové </w:t>
            </w:r>
            <w:r>
              <w:rPr>
                <w:rFonts w:ascii="Times New Roman" w:hAnsi="Times New Roman"/>
                <w:strike/>
                <w:noProof/>
                <w:sz w:val="22"/>
              </w:rPr>
              <w:t>zisťovanie)</w:t>
            </w:r>
          </w:p>
        </w:tc>
        <w:tc>
          <w:tcPr>
            <w:tcW w:w="5830"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rPr>
                <w:rFonts w:ascii="Times New Roman" w:hAnsi="Times New Roman"/>
                <w:strike/>
                <w:noProof/>
                <w:sz w:val="22"/>
              </w:rPr>
            </w:pPr>
            <w:r>
              <w:rPr>
                <w:rFonts w:ascii="Times New Roman" w:hAnsi="Times New Roman"/>
                <w:strike/>
                <w:noProof/>
                <w:sz w:val="22"/>
              </w:rPr>
              <w:t>Výberové zisťovanie má vychádzať z úplnej opory výberu, ktorá obsahuje najlepšie dostupné informácie o rozdelení pôdnych vlastností vrátane informácií vyplývajúcich z predchádzajúcich vnútroštátnych meraní a meraní v rámci programu LUCAS (okrem</w:t>
            </w:r>
            <w:r>
              <w:rPr>
                <w:rFonts w:ascii="Times New Roman" w:hAnsi="Times New Roman"/>
                <w:strike/>
                <w:noProof/>
                <w:sz w:val="22"/>
              </w:rPr>
              <w:t xml:space="preserve"> iných).</w:t>
            </w:r>
          </w:p>
          <w:p w:rsidR="009D7883" w:rsidRDefault="00AA63BB">
            <w:pPr>
              <w:spacing w:before="120" w:after="120"/>
              <w:rPr>
                <w:rFonts w:ascii="Times New Roman" w:hAnsi="Times New Roman"/>
                <w:strike/>
                <w:noProof/>
                <w:sz w:val="22"/>
              </w:rPr>
            </w:pPr>
            <w:r>
              <w:rPr>
                <w:rFonts w:ascii="Times New Roman" w:hAnsi="Times New Roman"/>
                <w:strike/>
                <w:noProof/>
                <w:sz w:val="22"/>
              </w:rPr>
              <w:t xml:space="preserve">Systém odberu vzorky je stratifikovaný náhodný výber vzorky optimalizovaný podľa deskriptorov zdravia pôdy. </w:t>
            </w:r>
          </w:p>
          <w:p w:rsidR="009D7883" w:rsidRDefault="00AA63BB">
            <w:pPr>
              <w:spacing w:before="120" w:after="120"/>
              <w:rPr>
                <w:rFonts w:ascii="Times New Roman" w:hAnsi="Times New Roman"/>
                <w:strike/>
                <w:noProof/>
                <w:sz w:val="22"/>
              </w:rPr>
            </w:pPr>
            <w:r>
              <w:rPr>
                <w:rFonts w:ascii="Times New Roman" w:hAnsi="Times New Roman"/>
                <w:strike/>
                <w:noProof/>
                <w:sz w:val="22"/>
              </w:rPr>
              <w:t>Veľkosť vnútroštátnej vzorky musí spĺňať požiadavku na maximálnu percentuálnu chybovosť (alebo variačný koeficient) v hodnote 5 % v prípad</w:t>
            </w:r>
            <w:r>
              <w:rPr>
                <w:rFonts w:ascii="Times New Roman" w:hAnsi="Times New Roman"/>
                <w:strike/>
                <w:noProof/>
                <w:sz w:val="22"/>
              </w:rPr>
              <w:t>e odhadu plochy so zdravou pôdou.</w:t>
            </w:r>
          </w:p>
          <w:p w:rsidR="009D7883" w:rsidRDefault="00AA63BB">
            <w:pPr>
              <w:spacing w:before="120" w:after="120"/>
              <w:rPr>
                <w:rFonts w:ascii="Times New Roman" w:hAnsi="Times New Roman"/>
                <w:strike/>
                <w:noProof/>
                <w:sz w:val="22"/>
              </w:rPr>
            </w:pPr>
            <w:r>
              <w:rPr>
                <w:rFonts w:ascii="Times New Roman" w:hAnsi="Times New Roman"/>
                <w:strike/>
                <w:noProof/>
                <w:sz w:val="22"/>
              </w:rPr>
              <w:t>Vzorka Komisie na účel zisťovania podľa článku 6 ods. 4 sa podieľať na veľkosti vnútroštátnych vzoriek maximálne 20 %.</w:t>
            </w:r>
          </w:p>
          <w:p w:rsidR="009D7883" w:rsidRDefault="00AA63BB">
            <w:pPr>
              <w:spacing w:before="120" w:after="120"/>
              <w:rPr>
                <w:rFonts w:ascii="Times New Roman" w:hAnsi="Times New Roman"/>
                <w:strike/>
                <w:noProof/>
                <w:sz w:val="22"/>
              </w:rPr>
            </w:pPr>
            <w:r>
              <w:rPr>
                <w:rFonts w:ascii="Times New Roman" w:hAnsi="Times New Roman"/>
                <w:strike/>
                <w:noProof/>
                <w:sz w:val="22"/>
              </w:rPr>
              <w:t>Pridelenie a veľkosť vzorky sa stanovia s použitím Bethelovho algoritmu (Bethel, 1989)</w:t>
            </w:r>
            <w:r>
              <w:rPr>
                <w:rFonts w:ascii="Times New Roman" w:hAnsi="Times New Roman"/>
                <w:strike/>
                <w:noProof/>
                <w:sz w:val="22"/>
                <w:vertAlign w:val="superscript"/>
              </w:rPr>
              <w:footnoteReference w:id="63"/>
            </w:r>
            <w:r>
              <w:rPr>
                <w:rFonts w:ascii="Times New Roman" w:hAnsi="Times New Roman"/>
                <w:strike/>
                <w:noProof/>
                <w:sz w:val="22"/>
              </w:rPr>
              <w:t>, pričom sa zohľ</w:t>
            </w:r>
            <w:r>
              <w:rPr>
                <w:rFonts w:ascii="Times New Roman" w:hAnsi="Times New Roman"/>
                <w:strike/>
                <w:noProof/>
                <w:sz w:val="22"/>
              </w:rPr>
              <w:t xml:space="preserve">adní požadovaná maximálna chybovosť odhadu. </w:t>
            </w:r>
          </w:p>
        </w:tc>
      </w:tr>
    </w:tbl>
    <w:p w:rsidR="009D7883" w:rsidRDefault="009D7883">
      <w:pPr>
        <w:spacing w:before="120" w:after="60"/>
        <w:rPr>
          <w:b/>
          <w:i/>
          <w:sz w:val="22"/>
          <w:szCs w:val="24"/>
          <w:lang w:eastAsia="en-US"/>
        </w:rPr>
      </w:pPr>
    </w:p>
    <w:p w:rsidR="009D7883" w:rsidRDefault="00AA63BB">
      <w:pPr>
        <w:spacing w:before="120" w:after="60"/>
        <w:rPr>
          <w:rFonts w:cs="Calibri"/>
          <w:b/>
          <w:bCs/>
          <w:i/>
          <w:sz w:val="22"/>
          <w:szCs w:val="22"/>
          <w:lang w:eastAsia="en-US"/>
        </w:rPr>
      </w:pPr>
      <w:r>
        <w:rPr>
          <w:b/>
          <w:i/>
          <w:sz w:val="22"/>
          <w:szCs w:val="24"/>
          <w:lang w:eastAsia="en-US"/>
        </w:rPr>
        <w:t>Časť A: Všeobecné metódy odberu vzoriek biodiverzity pôdy a ekologických funkcií pôdy</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9D7883">
        <w:tc>
          <w:tcPr>
            <w:tcW w:w="3389"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i/>
                <w:sz w:val="22"/>
                <w:szCs w:val="22"/>
              </w:rPr>
            </w:pPr>
            <w:r>
              <w:rPr>
                <w:b/>
                <w:i/>
                <w:sz w:val="22"/>
              </w:rPr>
              <w:t>Činnosť</w:t>
            </w:r>
          </w:p>
        </w:tc>
        <w:tc>
          <w:tcPr>
            <w:tcW w:w="5971"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i/>
                <w:sz w:val="22"/>
                <w:szCs w:val="22"/>
              </w:rPr>
            </w:pPr>
            <w:r>
              <w:rPr>
                <w:b/>
                <w:i/>
                <w:sz w:val="22"/>
              </w:rPr>
              <w:t>Referenčné metodické kritériá</w:t>
            </w:r>
          </w:p>
        </w:tc>
      </w:tr>
      <w:tr w:rsidR="009D7883">
        <w:tc>
          <w:tcPr>
            <w:tcW w:w="3389"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i/>
                <w:sz w:val="22"/>
                <w:szCs w:val="22"/>
              </w:rPr>
            </w:pPr>
            <w:r>
              <w:rPr>
                <w:b/>
                <w:i/>
                <w:sz w:val="22"/>
              </w:rPr>
              <w:t>Ekologické monitorovanie pôdy</w:t>
            </w:r>
          </w:p>
        </w:tc>
        <w:tc>
          <w:tcPr>
            <w:tcW w:w="5971"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bCs/>
                <w:i/>
                <w:sz w:val="22"/>
                <w:szCs w:val="22"/>
              </w:rPr>
            </w:pPr>
            <w:r>
              <w:rPr>
                <w:b/>
                <w:i/>
                <w:sz w:val="22"/>
              </w:rPr>
              <w:t xml:space="preserve">Cieľom je používať jednoduchý protokol odberu vzoriek pôdy, ktorý môže štandardizovať ekologický odber vzoriek pôdy vo všetkých členských štátoch a ktorý je uplatniteľný na všetky ekologické pôdne </w:t>
            </w:r>
            <w:proofErr w:type="spellStart"/>
            <w:r>
              <w:rPr>
                <w:b/>
                <w:i/>
                <w:sz w:val="22"/>
              </w:rPr>
              <w:t>deskriptory</w:t>
            </w:r>
            <w:proofErr w:type="spellEnd"/>
            <w:r>
              <w:rPr>
                <w:b/>
                <w:i/>
                <w:sz w:val="22"/>
              </w:rPr>
              <w:t xml:space="preserve"> úrovní 1 a 2 (ekologické funkcie pôdy, pôdna bi</w:t>
            </w:r>
            <w:r>
              <w:rPr>
                <w:b/>
                <w:i/>
                <w:sz w:val="22"/>
              </w:rPr>
              <w:t xml:space="preserve">odiverzita a </w:t>
            </w:r>
            <w:proofErr w:type="spellStart"/>
            <w:r>
              <w:rPr>
                <w:b/>
                <w:i/>
                <w:sz w:val="22"/>
              </w:rPr>
              <w:t>deskriptory</w:t>
            </w:r>
            <w:proofErr w:type="spellEnd"/>
            <w:r>
              <w:rPr>
                <w:b/>
                <w:i/>
                <w:sz w:val="22"/>
              </w:rPr>
              <w:t xml:space="preserve"> pôdneho biotopu) s výnimkou </w:t>
            </w:r>
            <w:proofErr w:type="spellStart"/>
            <w:r>
              <w:rPr>
                <w:b/>
                <w:i/>
                <w:sz w:val="22"/>
              </w:rPr>
              <w:t>deskriptorov</w:t>
            </w:r>
            <w:proofErr w:type="spellEnd"/>
            <w:r>
              <w:rPr>
                <w:b/>
                <w:i/>
                <w:sz w:val="22"/>
              </w:rPr>
              <w:t xml:space="preserve"> pôdnej fauny.</w:t>
            </w:r>
          </w:p>
          <w:p w:rsidR="009D7883" w:rsidRDefault="00AA63BB">
            <w:pPr>
              <w:spacing w:after="120"/>
              <w:rPr>
                <w:rFonts w:cs="Calibri"/>
                <w:b/>
                <w:bCs/>
                <w:i/>
                <w:sz w:val="22"/>
                <w:szCs w:val="22"/>
              </w:rPr>
            </w:pPr>
            <w:r>
              <w:rPr>
                <w:b/>
                <w:i/>
                <w:sz w:val="22"/>
              </w:rPr>
              <w:t xml:space="preserve">Na základe protokolu odberu vzoriek prijatého pre </w:t>
            </w:r>
            <w:proofErr w:type="spellStart"/>
            <w:r>
              <w:rPr>
                <w:b/>
                <w:i/>
                <w:sz w:val="22"/>
              </w:rPr>
              <w:t>SoilBON</w:t>
            </w:r>
            <w:proofErr w:type="spellEnd"/>
            <w:r>
              <w:rPr>
                <w:b/>
                <w:i/>
                <w:sz w:val="22"/>
              </w:rPr>
              <w:t xml:space="preserve"> sa na homogénnej štvorcovej ploche s rozmermi 30x30 metrov stanoví deväť čiastkových vzoriek, ktoré zodpovedajú rohom </w:t>
            </w:r>
            <w:r>
              <w:rPr>
                <w:b/>
                <w:i/>
                <w:sz w:val="22"/>
              </w:rPr>
              <w:t xml:space="preserve">štvorca, jeho stredu a medziľahlým bodom. Použitím kovového </w:t>
            </w:r>
            <w:proofErr w:type="spellStart"/>
            <w:r>
              <w:rPr>
                <w:b/>
                <w:i/>
                <w:sz w:val="22"/>
              </w:rPr>
              <w:t>odoberača</w:t>
            </w:r>
            <w:proofErr w:type="spellEnd"/>
            <w:r>
              <w:rPr>
                <w:b/>
                <w:i/>
                <w:sz w:val="22"/>
              </w:rPr>
              <w:t xml:space="preserve"> vzoriek pôdy alebo podobného nástroja extrahovať objem pôdy s priemerom 5 cm a hĺbkou 10 cm. Hĺbka pôdy sa môže zvýšiť na 30 cm, no prvá vrstva (do 10 cm) a druhá vrstva by mali byť odde</w:t>
            </w:r>
            <w:r>
              <w:rPr>
                <w:b/>
                <w:i/>
                <w:sz w:val="22"/>
              </w:rPr>
              <w:t xml:space="preserve">lené. </w:t>
            </w:r>
          </w:p>
        </w:tc>
      </w:tr>
      <w:tr w:rsidR="009D7883">
        <w:tc>
          <w:tcPr>
            <w:tcW w:w="3389"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i/>
                <w:sz w:val="22"/>
                <w:szCs w:val="22"/>
              </w:rPr>
            </w:pPr>
            <w:r>
              <w:rPr>
                <w:b/>
                <w:i/>
                <w:sz w:val="22"/>
              </w:rPr>
              <w:t>Monitorovanie pôdnej fauny</w:t>
            </w:r>
          </w:p>
        </w:tc>
        <w:tc>
          <w:tcPr>
            <w:tcW w:w="5971"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bCs/>
                <w:i/>
                <w:sz w:val="22"/>
                <w:szCs w:val="22"/>
              </w:rPr>
            </w:pPr>
            <w:r>
              <w:rPr>
                <w:b/>
                <w:i/>
                <w:sz w:val="22"/>
              </w:rPr>
              <w:t xml:space="preserve">V prípade dážďoviek: ručný odber s použitím protokolov, ktoré sú v súlade s protokolom odberu vzoriek stanoveným v </w:t>
            </w:r>
            <w:proofErr w:type="spellStart"/>
            <w:r>
              <w:rPr>
                <w:b/>
                <w:i/>
                <w:sz w:val="22"/>
              </w:rPr>
              <w:t>Brionesovej</w:t>
            </w:r>
            <w:proofErr w:type="spellEnd"/>
            <w:r>
              <w:rPr>
                <w:b/>
                <w:i/>
                <w:sz w:val="22"/>
              </w:rPr>
              <w:t xml:space="preserve"> a kol., 2020.</w:t>
            </w:r>
          </w:p>
          <w:p w:rsidR="009D7883" w:rsidRDefault="00AA63BB">
            <w:pPr>
              <w:spacing w:after="120"/>
              <w:rPr>
                <w:rFonts w:cs="Calibri"/>
                <w:b/>
                <w:bCs/>
                <w:i/>
                <w:sz w:val="22"/>
                <w:szCs w:val="22"/>
              </w:rPr>
            </w:pPr>
            <w:r>
              <w:rPr>
                <w:b/>
                <w:i/>
                <w:sz w:val="22"/>
              </w:rPr>
              <w:t xml:space="preserve">V prípade </w:t>
            </w:r>
            <w:proofErr w:type="spellStart"/>
            <w:r>
              <w:rPr>
                <w:b/>
                <w:i/>
                <w:sz w:val="22"/>
              </w:rPr>
              <w:t>hlístovcov</w:t>
            </w:r>
            <w:proofErr w:type="spellEnd"/>
            <w:r>
              <w:rPr>
                <w:b/>
                <w:i/>
                <w:sz w:val="22"/>
              </w:rPr>
              <w:t xml:space="preserve">: podľa kritérií stanovených v štandardnom protokole odberu </w:t>
            </w:r>
            <w:r>
              <w:rPr>
                <w:b/>
                <w:i/>
                <w:sz w:val="22"/>
              </w:rPr>
              <w:t xml:space="preserve">vzoriek </w:t>
            </w:r>
            <w:proofErr w:type="spellStart"/>
            <w:r>
              <w:rPr>
                <w:b/>
                <w:i/>
                <w:sz w:val="22"/>
              </w:rPr>
              <w:t>SoilBON</w:t>
            </w:r>
            <w:proofErr w:type="spellEnd"/>
            <w:r>
              <w:rPr>
                <w:b/>
                <w:i/>
                <w:sz w:val="22"/>
              </w:rPr>
              <w:t>.</w:t>
            </w:r>
          </w:p>
          <w:p w:rsidR="009D7883" w:rsidRDefault="00AA63BB">
            <w:pPr>
              <w:spacing w:after="120"/>
              <w:rPr>
                <w:rFonts w:cs="Calibri"/>
                <w:b/>
                <w:bCs/>
                <w:i/>
                <w:sz w:val="22"/>
                <w:szCs w:val="22"/>
              </w:rPr>
            </w:pPr>
            <w:r>
              <w:rPr>
                <w:b/>
                <w:i/>
                <w:sz w:val="22"/>
              </w:rPr>
              <w:lastRenderedPageBreak/>
              <w:t xml:space="preserve">V prípade </w:t>
            </w:r>
            <w:proofErr w:type="spellStart"/>
            <w:r>
              <w:rPr>
                <w:b/>
                <w:i/>
                <w:sz w:val="22"/>
              </w:rPr>
              <w:t>chvostoskokov</w:t>
            </w:r>
            <w:proofErr w:type="spellEnd"/>
            <w:r>
              <w:rPr>
                <w:b/>
                <w:i/>
                <w:sz w:val="22"/>
              </w:rPr>
              <w:t xml:space="preserve"> a roztočov: podľa protokolov stanovených v </w:t>
            </w:r>
            <w:proofErr w:type="spellStart"/>
            <w:r>
              <w:rPr>
                <w:b/>
                <w:i/>
                <w:sz w:val="22"/>
              </w:rPr>
              <w:t>Potapovovi</w:t>
            </w:r>
            <w:proofErr w:type="spellEnd"/>
            <w:r>
              <w:rPr>
                <w:b/>
                <w:i/>
                <w:sz w:val="22"/>
              </w:rPr>
              <w:t xml:space="preserve"> a kol., 2022.</w:t>
            </w:r>
          </w:p>
        </w:tc>
      </w:tr>
      <w:tr w:rsidR="009D7883">
        <w:tc>
          <w:tcPr>
            <w:tcW w:w="3389"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i/>
                <w:sz w:val="22"/>
                <w:szCs w:val="22"/>
              </w:rPr>
            </w:pPr>
            <w:r>
              <w:rPr>
                <w:b/>
                <w:i/>
                <w:sz w:val="22"/>
              </w:rPr>
              <w:lastRenderedPageBreak/>
              <w:t xml:space="preserve">Iné bodové pôdne </w:t>
            </w:r>
            <w:proofErr w:type="spellStart"/>
            <w:r>
              <w:rPr>
                <w:b/>
                <w:i/>
                <w:sz w:val="22"/>
              </w:rPr>
              <w:t>deskriptory</w:t>
            </w:r>
            <w:proofErr w:type="spellEnd"/>
          </w:p>
        </w:tc>
        <w:tc>
          <w:tcPr>
            <w:tcW w:w="5971" w:type="dxa"/>
            <w:tcBorders>
              <w:top w:val="single" w:sz="4" w:space="0" w:color="000000"/>
              <w:left w:val="single" w:sz="4" w:space="0" w:color="000000"/>
              <w:bottom w:val="single" w:sz="4" w:space="0" w:color="000000"/>
              <w:right w:val="single" w:sz="4" w:space="0" w:color="000000"/>
            </w:tcBorders>
            <w:hideMark/>
          </w:tcPr>
          <w:p w:rsidR="009D7883" w:rsidRDefault="00AA63BB">
            <w:pPr>
              <w:spacing w:after="120"/>
              <w:rPr>
                <w:rFonts w:cs="Calibri"/>
                <w:b/>
                <w:bCs/>
                <w:i/>
                <w:sz w:val="22"/>
                <w:szCs w:val="22"/>
              </w:rPr>
            </w:pPr>
            <w:r>
              <w:rPr>
                <w:b/>
                <w:i/>
                <w:sz w:val="22"/>
              </w:rPr>
              <w:t>Členské štáty použijú metodiku programu LUCAS pre pôdu ako referenciu na odber vzoriek pôdy.</w:t>
            </w:r>
          </w:p>
        </w:tc>
      </w:tr>
    </w:tbl>
    <w:p w:rsidR="009D7883" w:rsidRDefault="00AA63BB">
      <w:pPr>
        <w:spacing w:before="120" w:after="120" w:line="360" w:lineRule="auto"/>
        <w:jc w:val="right"/>
        <w:rPr>
          <w:b/>
          <w:noProof/>
          <w:szCs w:val="24"/>
          <w:lang w:eastAsia="en-US"/>
        </w:rPr>
      </w:pPr>
      <w:r>
        <w:rPr>
          <w:b/>
          <w:noProof/>
          <w:szCs w:val="24"/>
          <w:lang w:eastAsia="en-US"/>
        </w:rPr>
        <w:t xml:space="preserve"> [PN 201]</w:t>
      </w:r>
    </w:p>
    <w:p w:rsidR="009D7883" w:rsidRDefault="00AA63BB">
      <w:pPr>
        <w:spacing w:before="120" w:after="120" w:line="360" w:lineRule="auto"/>
        <w:rPr>
          <w:noProof/>
          <w:szCs w:val="24"/>
          <w:lang w:eastAsia="en-US"/>
        </w:rPr>
      </w:pPr>
      <w:r>
        <w:rPr>
          <w:noProof/>
          <w:szCs w:val="24"/>
          <w:lang w:eastAsia="en-US"/>
        </w:rPr>
        <w:t>Časť B: Metod</w:t>
      </w:r>
      <w:r>
        <w:rPr>
          <w:noProof/>
          <w:szCs w:val="24"/>
          <w:lang w:eastAsia="en-US"/>
        </w:rPr>
        <w:t>ika na určenie alebo odhadovanie hodnôt pôdnych deskriptorov</w:t>
      </w:r>
    </w:p>
    <w:p w:rsidR="009D7883" w:rsidRDefault="00AA63BB">
      <w:pPr>
        <w:spacing w:before="120" w:after="120" w:line="360" w:lineRule="auto"/>
        <w:rPr>
          <w:noProof/>
          <w:szCs w:val="24"/>
          <w:lang w:eastAsia="en-US"/>
        </w:rPr>
      </w:pPr>
      <w:r>
        <w:rPr>
          <w:noProof/>
          <w:szCs w:val="24"/>
          <w:lang w:eastAsia="en-US"/>
        </w:rPr>
        <w:t>Keď je stanovená referenčná metodika, použije sa buď táto metodika, alebo iná metodika, za predpokladu, že je dostupná vo vedeckej literatúre alebo verejne dostupná, pričom vtedy musí byť k dispo</w:t>
      </w:r>
      <w:r>
        <w:rPr>
          <w:noProof/>
          <w:szCs w:val="24"/>
          <w:lang w:eastAsia="en-US"/>
        </w:rPr>
        <w:t>zícii transferová funkcia.</w:t>
      </w:r>
    </w:p>
    <w:tbl>
      <w:tblPr>
        <w:tblStyle w:val="TableGrid1"/>
        <w:tblW w:w="10031" w:type="dxa"/>
        <w:tblLook w:val="04A0" w:firstRow="1" w:lastRow="0" w:firstColumn="1" w:lastColumn="0" w:noHBand="0" w:noVBand="1"/>
      </w:tblPr>
      <w:tblGrid>
        <w:gridCol w:w="2071"/>
        <w:gridCol w:w="2827"/>
        <w:gridCol w:w="3290"/>
        <w:gridCol w:w="1843"/>
      </w:tblGrid>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b/>
                <w:strike/>
                <w:noProof/>
                <w:sz w:val="22"/>
              </w:rPr>
              <w:t>Pôdny deskriptor</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b/>
                <w:strike/>
                <w:noProof/>
                <w:sz w:val="22"/>
              </w:rPr>
              <w:t>Referenčná metodika</w:t>
            </w:r>
          </w:p>
        </w:tc>
        <w:tc>
          <w:tcPr>
            <w:tcW w:w="3290"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b/>
                <w:strike/>
                <w:noProof/>
                <w:sz w:val="22"/>
              </w:rPr>
              <w:t>Minimálne metodické kritériá</w:t>
            </w: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b/>
                <w:strike/>
                <w:noProof/>
                <w:sz w:val="22"/>
              </w:rPr>
            </w:pPr>
            <w:r>
              <w:rPr>
                <w:rFonts w:ascii="Times New Roman" w:hAnsi="Times New Roman"/>
                <w:b/>
                <w:strike/>
                <w:noProof/>
                <w:sz w:val="22"/>
              </w:rPr>
              <w:t>Požaduje sa overená transferová funkcia (ak sa používa iná ako referenčná metodika</w:t>
            </w:r>
            <w:r>
              <w:rPr>
                <w:rFonts w:ascii="Times New Roman" w:hAnsi="Times New Roman"/>
                <w:b/>
                <w:strike/>
                <w:noProof/>
                <w:sz w:val="22"/>
                <w:vertAlign w:val="superscript"/>
              </w:rPr>
              <w:footnoteReference w:id="64"/>
            </w:r>
            <w:r>
              <w:rPr>
                <w:rFonts w:ascii="Times New Roman" w:hAnsi="Times New Roman"/>
                <w:b/>
                <w:strike/>
                <w:noProof/>
                <w:sz w:val="22"/>
              </w:rPr>
              <w:t xml:space="preserve">)? </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textúra pôdy (obsah ílu, prachu a piesku potrebný na určenie iných </w:t>
            </w:r>
            <w:r>
              <w:rPr>
                <w:rFonts w:ascii="Times New Roman" w:hAnsi="Times New Roman"/>
                <w:strike/>
                <w:noProof/>
                <w:sz w:val="22"/>
              </w:rPr>
              <w:t>deskriptorov a súvisiacich rozsahov)</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uprednostňovaná metóda: ISO 11277:1998 určenie rozdelenia veľkosti častíc v minerálnej hmote pôdy – metóda preosievania a sedimentácie</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alternatívna metóda: ISO 13320:2009 – analýza veľkosti častíc – laserové difrakčné </w:t>
            </w:r>
            <w:r>
              <w:rPr>
                <w:rFonts w:ascii="Times New Roman" w:hAnsi="Times New Roman"/>
                <w:strike/>
                <w:noProof/>
                <w:sz w:val="22"/>
              </w:rPr>
              <w:t>metódy</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strike/>
                <w:noProof/>
                <w:sz w:val="22"/>
              </w:rPr>
              <w:t>elektrická vodivosť</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možnosť 1: Metóda extrakcie nasýtenej pôdnej pasty (ECe) (FAO SOP: GLOSOLAN-SOP-08</w:t>
            </w:r>
            <w:r>
              <w:rPr>
                <w:rFonts w:ascii="Times New Roman" w:hAnsi="Times New Roman"/>
                <w:strike/>
                <w:noProof/>
                <w:sz w:val="22"/>
                <w:vertAlign w:val="superscript"/>
              </w:rPr>
              <w:footnoteReference w:id="65"/>
            </w:r>
            <w:r>
              <w:rPr>
                <w:rFonts w:ascii="Times New Roman" w:hAnsi="Times New Roman"/>
                <w:strike/>
                <w:noProof/>
                <w:sz w:val="22"/>
              </w:rPr>
              <w:t>)</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možnosť 2: ISO 11265:1994 </w:t>
            </w:r>
            <w:r>
              <w:rPr>
                <w:rFonts w:ascii="Times New Roman" w:hAnsi="Times New Roman"/>
                <w:strike/>
                <w:noProof/>
                <w:sz w:val="22"/>
              </w:rPr>
              <w:lastRenderedPageBreak/>
              <w:t xml:space="preserve">určenie špecifickej elektrickej vodivosti </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b/>
                <w:strike/>
                <w:noProof/>
                <w:sz w:val="22"/>
              </w:rPr>
            </w:pPr>
            <w:r>
              <w:rPr>
                <w:rFonts w:ascii="Times New Roman" w:hAnsi="Times New Roman"/>
                <w:strike/>
                <w:noProof/>
                <w:sz w:val="22"/>
              </w:rPr>
              <w:t>miera erózie pôdy</w:t>
            </w:r>
          </w:p>
        </w:tc>
        <w:tc>
          <w:tcPr>
            <w:tcW w:w="2827"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Pri odhadovaní miery erózie pôdy by sa mali </w:t>
            </w:r>
            <w:r>
              <w:rPr>
                <w:rFonts w:ascii="Times New Roman" w:hAnsi="Times New Roman"/>
                <w:strike/>
                <w:noProof/>
                <w:sz w:val="22"/>
              </w:rPr>
              <w:t>zohľadniť všetky opatrenia prijaté na zníženie alebo vykompenzovanie rizika erózie vrátane zmierňujúcich opatrení po požiari.</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Do odhadu miery erózie pôdy treba zahrnúť všetky relevantné procesy erózie, ako je erózia spôsobená vodou, vetrom, zberom plodín a</w:t>
            </w:r>
            <w:r>
              <w:rPr>
                <w:rFonts w:ascii="Times New Roman" w:hAnsi="Times New Roman"/>
                <w:strike/>
                <w:noProof/>
                <w:sz w:val="22"/>
              </w:rPr>
              <w:t> obrábaním pôdy.</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Pri posudzovaní erózie pôdy spôsobenej vodou treba vziať do úvahy tieto faktory: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 xml:space="preserve">vlastnosti pôdy (napr. erodovateľnosť, tvorba pôdnej krusty, drsnosť povrchu pôdy),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klímu (napr. erozivita dažďa – intenzita a trvanie, zváženie relevantnýc</w:t>
            </w:r>
            <w:r>
              <w:rPr>
                <w:rFonts w:ascii="Times New Roman" w:hAnsi="Times New Roman"/>
                <w:strike/>
                <w:noProof/>
                <w:sz w:val="22"/>
              </w:rPr>
              <w:t xml:space="preserve">h prognóz zmeny klímy v príslušnej oblasti),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 xml:space="preserve">topografiu (napr. strmosť a dĺžku svahu),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vegetačný porast, typ plodín, využívanie pôdy a postupy obhospodarovania na kontrolu či zníženie erózie,</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postupy obhospodarovania (napr. krycie plodiny, obmedzené obrá</w:t>
            </w:r>
            <w:r>
              <w:rPr>
                <w:rFonts w:ascii="Times New Roman" w:hAnsi="Times New Roman"/>
                <w:strike/>
                <w:noProof/>
                <w:sz w:val="22"/>
              </w:rPr>
              <w:t>banie pôdy, mulčovanie atď.),</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lastRenderedPageBreak/>
              <w:t>spálené plochy.</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Pri posudzovaní erózie pôdy spôsobenej vetrom treba vziať do úvahy tieto faktory: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 xml:space="preserve">vlastnosti pôdy (napr. erodovateľnosť),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 xml:space="preserve">klímu (napr. vlhkosť pôdy, rýchlosť vetra, odparovanie), </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 xml:space="preserve">vegetáciu (napr. typ </w:t>
            </w:r>
            <w:r>
              <w:rPr>
                <w:rFonts w:ascii="Times New Roman" w:hAnsi="Times New Roman"/>
                <w:strike/>
                <w:noProof/>
                <w:sz w:val="22"/>
              </w:rPr>
              <w:t>plodín),</w:t>
            </w:r>
          </w:p>
          <w:p w:rsidR="009D7883" w:rsidRDefault="00AA63BB">
            <w:pPr>
              <w:widowControl/>
              <w:numPr>
                <w:ilvl w:val="0"/>
                <w:numId w:val="3"/>
              </w:numPr>
              <w:spacing w:before="120" w:after="120" w:line="360" w:lineRule="auto"/>
              <w:ind w:left="492"/>
              <w:jc w:val="both"/>
              <w:rPr>
                <w:rFonts w:ascii="Times New Roman" w:hAnsi="Times New Roman"/>
                <w:strike/>
                <w:noProof/>
                <w:sz w:val="22"/>
              </w:rPr>
            </w:pPr>
            <w:r>
              <w:rPr>
                <w:rFonts w:ascii="Times New Roman" w:hAnsi="Times New Roman"/>
                <w:strike/>
                <w:noProof/>
                <w:sz w:val="22"/>
              </w:rPr>
              <w:t>postupy obhospodarovania na kontrolu alebo zníženie erózie (napr. vetrolamy).</w:t>
            </w: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lastRenderedPageBreak/>
              <w:t>neuplatňuje sa</w:t>
            </w:r>
          </w:p>
        </w:tc>
      </w:tr>
      <w:tr w:rsidR="009D7883">
        <w:trPr>
          <w:trHeight w:val="662"/>
        </w:trPr>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organický uhlík v pôde</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ISO 10694:1995 určenie obsahu organického uhlíka a celkového obsahu uhlíka po suchom spaľovaní</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objemová hmotnosť v podornici</w:t>
            </w:r>
            <w:r>
              <w:rPr>
                <w:rFonts w:ascii="Times New Roman" w:hAnsi="Times New Roman"/>
                <w:strike/>
                <w:noProof/>
                <w:sz w:val="22"/>
              </w:rPr>
              <w:t xml:space="preserve"> (B-horizont</w:t>
            </w:r>
            <w:r>
              <w:rPr>
                <w:rFonts w:ascii="Times New Roman" w:hAnsi="Times New Roman"/>
                <w:strike/>
                <w:noProof/>
                <w:sz w:val="22"/>
                <w:vertAlign w:val="superscript"/>
              </w:rPr>
              <w:footnoteReference w:id="66"/>
            </w:r>
            <w:r>
              <w:rPr>
                <w:rFonts w:ascii="Times New Roman" w:hAnsi="Times New Roman"/>
                <w:strike/>
                <w:noProof/>
                <w:sz w:val="22"/>
              </w:rPr>
              <w:t>) alebo ekvivalentný</w:t>
            </w:r>
            <w:r>
              <w:rPr>
                <w:rFonts w:ascii="Times New Roman" w:hAnsi="Times New Roman"/>
                <w:strike/>
                <w:noProof/>
                <w:sz w:val="22"/>
                <w:vertAlign w:val="superscript"/>
              </w:rPr>
              <w:footnoteReference w:id="67"/>
            </w:r>
            <w:r>
              <w:rPr>
                <w:rFonts w:ascii="Times New Roman" w:hAnsi="Times New Roman"/>
                <w:strike/>
                <w:noProof/>
                <w:sz w:val="22"/>
              </w:rPr>
              <w:t xml:space="preserve"> parameter podľa výberu členských štátov</w:t>
            </w:r>
          </w:p>
        </w:tc>
        <w:tc>
          <w:tcPr>
            <w:tcW w:w="2827"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ISO 11272:2017 na určenie objemovej hmotnosti suchej hlušiny </w:t>
            </w: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Ak bol zvolený ekvivalentný parameter, metodikou je buď európska, alebo medzinárodná norma, ak je dostupná; ak takáto </w:t>
            </w:r>
            <w:r>
              <w:rPr>
                <w:rFonts w:ascii="Times New Roman" w:hAnsi="Times New Roman"/>
                <w:strike/>
                <w:noProof/>
                <w:sz w:val="22"/>
              </w:rPr>
              <w:t xml:space="preserve">norma nie je k dispozícii, zvolená metodika musí byť dostupná buď vo vedeckej literatúre, alebo verejne. </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lastRenderedPageBreak/>
              <w:t>extrahovateľný fosfor</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ISO 11263:1994 pre spektrometrické stanovenie obsahu fosforu rozpustného v roztoku hydrogénuhličitanu sodného (P-Olsen)</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koncentrácia ťažkých kovov v pôde:</w:t>
            </w:r>
            <w:bookmarkStart w:id="16" w:name="_Hlk125991502"/>
            <w:r>
              <w:rPr>
                <w:rFonts w:ascii="Times New Roman" w:hAnsi="Times New Roman"/>
                <w:strike/>
                <w:noProof/>
                <w:sz w:val="22"/>
              </w:rPr>
              <w:t xml:space="preserve"> As, Sb, Cd, Co, Cr (spolu), Cr (VI), Cu, Hg, Pb, Ni, Tl, V, Zn</w:t>
            </w:r>
            <w:bookmarkEnd w:id="16"/>
            <w:r>
              <w:rPr>
                <w:rFonts w:ascii="Times New Roman" w:hAnsi="Times New Roman"/>
                <w:strike/>
                <w:noProof/>
                <w:sz w:val="22"/>
              </w:rPr>
              <w:t xml:space="preserve"> </w:t>
            </w:r>
            <w:r>
              <w:rPr>
                <w:rFonts w:ascii="Times New Roman" w:hAnsi="Times New Roman"/>
                <w:strike/>
                <w:noProof/>
                <w:sz w:val="22"/>
              </w:rPr>
              <w:br/>
              <w:t xml:space="preserve">– koncentrácia vybraných organických kontaminantov vymedzených členskými štátmi, pričom sa zohľadňujú existujúce právne predpisy EÚ (napr. v oblasti </w:t>
            </w:r>
            <w:r>
              <w:rPr>
                <w:rFonts w:ascii="Times New Roman" w:hAnsi="Times New Roman"/>
                <w:strike/>
                <w:noProof/>
                <w:sz w:val="22"/>
              </w:rPr>
              <w:t>kvality vody alebo pesticídov)</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potenciálny environmentálne dostupný obsah ťažkých kovov v pôde na základe normy ISO 17586:2016 pri použití zriedenej kyseliny dusičnej.</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 </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uplatňovanie európskych alebo medzinárodných noriem, ak sú dostupné; ak takáto nor</w:t>
            </w:r>
            <w:r>
              <w:rPr>
                <w:rFonts w:ascii="Times New Roman" w:hAnsi="Times New Roman"/>
                <w:strike/>
                <w:noProof/>
                <w:sz w:val="22"/>
              </w:rPr>
              <w:t>ma nie je k dispozícii, zvolená metodika musí byť dostupná buď vo vedeckej literatúre, alebo verejne</w:t>
            </w: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neuplatňuje sa</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bookmarkStart w:id="17" w:name="_Hlk125991626"/>
            <w:r>
              <w:rPr>
                <w:rFonts w:ascii="Times New Roman" w:hAnsi="Times New Roman"/>
                <w:strike/>
                <w:noProof/>
                <w:sz w:val="22"/>
              </w:rPr>
              <w:t>vodozádržná kapacita pôdy</w:t>
            </w:r>
            <w:bookmarkEnd w:id="17"/>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Metodika na stanovenie hodnoty pre jedno miesto odberu vzorky:</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možnosť 1: LABORATÓRIUM: ISO 11274:2019 n</w:t>
            </w:r>
            <w:r>
              <w:rPr>
                <w:rFonts w:ascii="Times New Roman" w:hAnsi="Times New Roman"/>
                <w:strike/>
                <w:noProof/>
                <w:sz w:val="22"/>
              </w:rPr>
              <w:t>a určenie vlastností zadržiavania vody;</w:t>
            </w: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možnosť 2: ODHAD: uplatňovanie metodiky opísanej vo vedeckom článku </w:t>
            </w:r>
            <w:r>
              <w:rPr>
                <w:rFonts w:ascii="Times New Roman" w:hAnsi="Times New Roman"/>
                <w:i/>
                <w:iCs/>
                <w:strike/>
                <w:noProof/>
                <w:sz w:val="22"/>
              </w:rPr>
              <w:t xml:space="preserve">New generation of hydraulic pedotransfer functions for </w:t>
            </w:r>
            <w:r>
              <w:rPr>
                <w:rFonts w:ascii="Times New Roman" w:hAnsi="Times New Roman"/>
                <w:i/>
                <w:iCs/>
                <w:strike/>
                <w:noProof/>
                <w:sz w:val="22"/>
              </w:rPr>
              <w:lastRenderedPageBreak/>
              <w:t>Europe</w:t>
            </w:r>
            <w:r>
              <w:rPr>
                <w:rFonts w:ascii="Times New Roman" w:hAnsi="Times New Roman"/>
                <w:strike/>
                <w:noProof/>
                <w:sz w:val="22"/>
              </w:rPr>
              <w:t xml:space="preserve"> (Nová generácia hydraulickej pedotransferových funkcií v Európe)</w:t>
            </w:r>
            <w:r>
              <w:rPr>
                <w:rFonts w:ascii="Times New Roman" w:hAnsi="Times New Roman"/>
                <w:strike/>
                <w:noProof/>
                <w:sz w:val="22"/>
                <w:vertAlign w:val="superscript"/>
              </w:rPr>
              <w:footnoteReference w:id="68"/>
            </w:r>
            <w:r>
              <w:rPr>
                <w:rFonts w:ascii="Times New Roman" w:hAnsi="Times New Roman"/>
                <w:strike/>
                <w:noProof/>
                <w:sz w:val="22"/>
              </w:rPr>
              <w:t>, ktorá sa zakladá na</w:t>
            </w:r>
            <w:r>
              <w:rPr>
                <w:rFonts w:ascii="Times New Roman" w:hAnsi="Times New Roman"/>
                <w:strike/>
                <w:noProof/>
                <w:sz w:val="22"/>
              </w:rPr>
              <w:t xml:space="preserve"> textúre pôdy (alebo na rozdelení veľkosti častíc) a organickom uhlíku v pôde.</w:t>
            </w:r>
          </w:p>
        </w:tc>
        <w:tc>
          <w:tcPr>
            <w:tcW w:w="3290"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bookmarkStart w:id="18" w:name="_Hlk126165520"/>
            <w:r>
              <w:rPr>
                <w:rFonts w:ascii="Times New Roman" w:hAnsi="Times New Roman"/>
                <w:strike/>
                <w:noProof/>
                <w:sz w:val="22"/>
              </w:rPr>
              <w:lastRenderedPageBreak/>
              <w:t>Minimálne kritériá pre odhad celkovej vodozádržnej kapacity pôdy v pôdnom okrsku na úrovni povodia alebo čiastkového povodia:</w:t>
            </w:r>
          </w:p>
          <w:p w:rsidR="009D7883" w:rsidRDefault="00AA63BB">
            <w:pPr>
              <w:widowControl/>
              <w:numPr>
                <w:ilvl w:val="0"/>
                <w:numId w:val="3"/>
              </w:numPr>
              <w:spacing w:before="120" w:after="120" w:line="360" w:lineRule="auto"/>
              <w:jc w:val="both"/>
              <w:rPr>
                <w:rFonts w:ascii="Times New Roman" w:hAnsi="Times New Roman"/>
                <w:strike/>
                <w:noProof/>
                <w:sz w:val="22"/>
              </w:rPr>
            </w:pPr>
            <w:r>
              <w:rPr>
                <w:rFonts w:ascii="Times New Roman" w:hAnsi="Times New Roman"/>
                <w:strike/>
                <w:noProof/>
                <w:sz w:val="22"/>
              </w:rPr>
              <w:t xml:space="preserve">v prípade plochy bez zabratej pôdy celková hodnota </w:t>
            </w:r>
            <w:r>
              <w:rPr>
                <w:rFonts w:ascii="Times New Roman" w:hAnsi="Times New Roman"/>
                <w:strike/>
                <w:noProof/>
                <w:sz w:val="22"/>
              </w:rPr>
              <w:t xml:space="preserve">vodozádržnej kapacity pôdy, </w:t>
            </w:r>
          </w:p>
          <w:p w:rsidR="009D7883" w:rsidRDefault="00AA63BB">
            <w:pPr>
              <w:widowControl/>
              <w:numPr>
                <w:ilvl w:val="0"/>
                <w:numId w:val="3"/>
              </w:numPr>
              <w:spacing w:before="120" w:after="120" w:line="360" w:lineRule="auto"/>
              <w:jc w:val="both"/>
              <w:rPr>
                <w:rFonts w:ascii="Times New Roman" w:hAnsi="Times New Roman"/>
                <w:strike/>
                <w:noProof/>
                <w:sz w:val="22"/>
              </w:rPr>
            </w:pPr>
            <w:r>
              <w:rPr>
                <w:rFonts w:ascii="Times New Roman" w:hAnsi="Times New Roman"/>
                <w:strike/>
                <w:noProof/>
                <w:sz w:val="22"/>
              </w:rPr>
              <w:t xml:space="preserve">v prípade plochy so zabratou pôdou treba zvážiť nastavenie </w:t>
            </w:r>
            <w:r>
              <w:rPr>
                <w:rFonts w:ascii="Times New Roman" w:hAnsi="Times New Roman"/>
                <w:strike/>
                <w:noProof/>
                <w:sz w:val="22"/>
              </w:rPr>
              <w:lastRenderedPageBreak/>
              <w:t>vodozádržnej kapacity pôdy nepriepustných plôch na nulovú hodnotu, pričom sa stredné hodnoty úmerne pridelia polopriepustným a iným umelo vytvoreným plochám.</w:t>
            </w:r>
            <w:bookmarkEnd w:id="18"/>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lastRenderedPageBreak/>
              <w:t>ÁNO (v prí</w:t>
            </w:r>
            <w:r>
              <w:rPr>
                <w:rFonts w:ascii="Times New Roman" w:hAnsi="Times New Roman"/>
                <w:strike/>
                <w:noProof/>
                <w:sz w:val="22"/>
              </w:rPr>
              <w:t>pade bodovej hodnoty)</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dusík v pôde </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ISO 11261:1995 na stanovenie celkového obsahu dusíka v pôde s použitím upravenej Kjeldahlovej metódy</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kyslosť pôdy</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ISO 10390:2005 na určenie pH H2O a extraktu CaCl2 (pH-H2O a pH-CaCl2)</w:t>
            </w: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objemová hmotnosť v </w:t>
            </w:r>
            <w:r>
              <w:rPr>
                <w:rFonts w:ascii="Times New Roman" w:hAnsi="Times New Roman"/>
                <w:strike/>
                <w:noProof/>
                <w:sz w:val="22"/>
              </w:rPr>
              <w:t>„ornici“ (A-horizont</w:t>
            </w:r>
            <w:r>
              <w:rPr>
                <w:rFonts w:ascii="Times New Roman" w:hAnsi="Times New Roman"/>
                <w:strike/>
                <w:noProof/>
                <w:sz w:val="22"/>
                <w:vertAlign w:val="superscript"/>
              </w:rPr>
              <w:footnoteReference w:id="69"/>
            </w:r>
            <w:r>
              <w:rPr>
                <w:rFonts w:ascii="Times New Roman" w:hAnsi="Times New Roman"/>
                <w:strike/>
                <w:noProof/>
                <w:sz w:val="22"/>
              </w:rPr>
              <w:t>)</w:t>
            </w:r>
          </w:p>
        </w:tc>
        <w:tc>
          <w:tcPr>
            <w:tcW w:w="2827" w:type="dxa"/>
            <w:tcBorders>
              <w:top w:val="single" w:sz="4" w:space="0" w:color="auto"/>
              <w:left w:val="single" w:sz="4" w:space="0" w:color="auto"/>
              <w:bottom w:val="single" w:sz="4" w:space="0" w:color="auto"/>
              <w:right w:val="single" w:sz="4" w:space="0" w:color="auto"/>
            </w:tcBorders>
            <w:hideMark/>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ISO 11272:2017 na určenie objemovej hmotnosti suchej hlušiny </w:t>
            </w:r>
          </w:p>
          <w:p w:rsidR="009D7883" w:rsidRDefault="009D7883">
            <w:pPr>
              <w:spacing w:before="120" w:after="120" w:line="360" w:lineRule="auto"/>
              <w:rPr>
                <w:rFonts w:ascii="Times New Roman" w:hAnsi="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ÁNO</w:t>
            </w:r>
          </w:p>
        </w:tc>
      </w:tr>
      <w:tr w:rsidR="009D7883">
        <w:tc>
          <w:tcPr>
            <w:tcW w:w="2071"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bazálna respirácia pôdy</w:t>
            </w: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 Členské štáty si môžu vybrať aj nepovinné deskriptory biodiverzity pôdy, ako je: </w:t>
            </w:r>
            <w:r>
              <w:rPr>
                <w:rFonts w:ascii="Times New Roman" w:hAnsi="Times New Roman"/>
                <w:strike/>
                <w:noProof/>
                <w:sz w:val="22"/>
              </w:rPr>
              <w:br/>
              <w:t xml:space="preserve">– metačiarové </w:t>
            </w:r>
            <w:r>
              <w:rPr>
                <w:rFonts w:ascii="Times New Roman" w:hAnsi="Times New Roman"/>
                <w:strike/>
                <w:noProof/>
                <w:sz w:val="22"/>
              </w:rPr>
              <w:lastRenderedPageBreak/>
              <w:t>kódovanie DNA</w:t>
            </w:r>
            <w:r>
              <w:rPr>
                <w:rFonts w:ascii="Times New Roman" w:hAnsi="Times New Roman"/>
                <w:strike/>
                <w:noProof/>
                <w:sz w:val="22"/>
                <w:vertAlign w:val="superscript"/>
              </w:rPr>
              <w:footnoteReference w:id="70"/>
            </w:r>
            <w:r>
              <w:rPr>
                <w:rFonts w:ascii="Times New Roman" w:hAnsi="Times New Roman"/>
                <w:strike/>
                <w:noProof/>
                <w:sz w:val="22"/>
              </w:rPr>
              <w:t xml:space="preserve"> baktérií, húb, jednobunkovc</w:t>
            </w:r>
            <w:r>
              <w:rPr>
                <w:rFonts w:ascii="Times New Roman" w:hAnsi="Times New Roman"/>
                <w:strike/>
                <w:noProof/>
                <w:sz w:val="22"/>
              </w:rPr>
              <w:t xml:space="preserve">ov a zvierat, </w:t>
            </w:r>
            <w:r>
              <w:rPr>
                <w:rFonts w:ascii="Times New Roman" w:hAnsi="Times New Roman"/>
                <w:strike/>
                <w:noProof/>
                <w:sz w:val="22"/>
              </w:rPr>
              <w:br/>
              <w:t xml:space="preserve"> – abundancia a rozmanitosť hlístovcov, </w:t>
            </w:r>
            <w:r>
              <w:rPr>
                <w:rFonts w:ascii="Times New Roman" w:hAnsi="Times New Roman"/>
                <w:strike/>
                <w:noProof/>
                <w:sz w:val="22"/>
              </w:rPr>
              <w:br/>
              <w:t xml:space="preserve"> – mikrobiálna biomasa, </w:t>
            </w:r>
            <w:r>
              <w:rPr>
                <w:rFonts w:ascii="Times New Roman" w:hAnsi="Times New Roman"/>
                <w:strike/>
                <w:noProof/>
                <w:sz w:val="22"/>
              </w:rPr>
              <w:br/>
              <w:t xml:space="preserve"> – abundancia a rozmanitosť dážďoviek (v ornej pôde).</w:t>
            </w:r>
          </w:p>
        </w:tc>
        <w:tc>
          <w:tcPr>
            <w:tcW w:w="2827"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lastRenderedPageBreak/>
              <w:t xml:space="preserve"> dodržiavanie pokynov opísaných vo vedeckom článku </w:t>
            </w:r>
            <w:r>
              <w:rPr>
                <w:rFonts w:ascii="Times New Roman" w:hAnsi="Times New Roman"/>
                <w:i/>
                <w:iCs/>
                <w:strike/>
                <w:noProof/>
                <w:sz w:val="22"/>
              </w:rPr>
              <w:t>Microbial biomass and activities in soil as affected by frozen and col</w:t>
            </w:r>
            <w:r>
              <w:rPr>
                <w:rFonts w:ascii="Times New Roman" w:hAnsi="Times New Roman"/>
                <w:i/>
                <w:iCs/>
                <w:strike/>
                <w:noProof/>
                <w:sz w:val="22"/>
              </w:rPr>
              <w:t>d storage</w:t>
            </w:r>
            <w:r>
              <w:rPr>
                <w:rFonts w:ascii="Times New Roman" w:hAnsi="Times New Roman"/>
                <w:strike/>
                <w:noProof/>
                <w:sz w:val="22"/>
              </w:rPr>
              <w:t xml:space="preserve"> (Mikrobiálna biomasa a činnosť v pôde pod vplyvom uchovávania v mraze alebo v chlade)</w:t>
            </w:r>
            <w:r>
              <w:rPr>
                <w:rFonts w:ascii="Times New Roman" w:hAnsi="Times New Roman"/>
                <w:strike/>
                <w:noProof/>
                <w:sz w:val="22"/>
                <w:vertAlign w:val="superscript"/>
              </w:rPr>
              <w:footnoteReference w:id="71"/>
            </w: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tcPr>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Uplatňovanie európskych alebo </w:t>
            </w:r>
            <w:r>
              <w:rPr>
                <w:rFonts w:ascii="Times New Roman" w:hAnsi="Times New Roman"/>
                <w:strike/>
                <w:noProof/>
                <w:sz w:val="22"/>
              </w:rPr>
              <w:lastRenderedPageBreak/>
              <w:t xml:space="preserve">medzinárodných noriem, ak sú dostupné; ak takáto norma nie je k dispozícii, zvolená metodika musí byť dostupná buď vo </w:t>
            </w:r>
            <w:r>
              <w:rPr>
                <w:rFonts w:ascii="Times New Roman" w:hAnsi="Times New Roman"/>
                <w:strike/>
                <w:noProof/>
                <w:sz w:val="22"/>
              </w:rPr>
              <w:t>vedeckej literatúre, alebo verejne.</w:t>
            </w: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lastRenderedPageBreak/>
              <w:t>ÁNO</w:t>
            </w: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9D7883">
            <w:pPr>
              <w:spacing w:before="120" w:after="120" w:line="360" w:lineRule="auto"/>
              <w:rPr>
                <w:rFonts w:ascii="Times New Roman" w:hAnsi="Times New Roman"/>
                <w:strike/>
                <w:noProof/>
                <w:sz w:val="22"/>
              </w:rPr>
            </w:pPr>
          </w:p>
          <w:p w:rsidR="009D7883" w:rsidRDefault="00AA63BB">
            <w:pPr>
              <w:spacing w:before="120" w:after="120" w:line="360" w:lineRule="auto"/>
              <w:rPr>
                <w:rFonts w:ascii="Times New Roman" w:hAnsi="Times New Roman"/>
                <w:strike/>
                <w:noProof/>
                <w:sz w:val="22"/>
              </w:rPr>
            </w:pPr>
            <w:r>
              <w:rPr>
                <w:rFonts w:ascii="Times New Roman" w:hAnsi="Times New Roman"/>
                <w:strike/>
                <w:noProof/>
                <w:sz w:val="22"/>
              </w:rPr>
              <w:t xml:space="preserve">v prípade iných deskriptorov biodiverzity pôdy: </w:t>
            </w:r>
            <w:r>
              <w:rPr>
                <w:rFonts w:ascii="Times New Roman" w:hAnsi="Times New Roman"/>
                <w:strike/>
                <w:noProof/>
                <w:sz w:val="22"/>
              </w:rPr>
              <w:lastRenderedPageBreak/>
              <w:t>neuplatňuje sa</w:t>
            </w:r>
          </w:p>
        </w:tc>
      </w:tr>
    </w:tbl>
    <w:tbl>
      <w:tblPr>
        <w:tblStyle w:val="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1"/>
        <w:gridCol w:w="2622"/>
        <w:gridCol w:w="3150"/>
        <w:gridCol w:w="2212"/>
      </w:tblGrid>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bCs/>
                <w:i/>
                <w:iCs/>
                <w:sz w:val="22"/>
                <w:szCs w:val="22"/>
              </w:rPr>
              <w:lastRenderedPageBreak/>
              <w:t xml:space="preserve">Pôdny </w:t>
            </w:r>
            <w:proofErr w:type="spellStart"/>
            <w:r>
              <w:rPr>
                <w:b/>
                <w:bCs/>
                <w:i/>
                <w:iCs/>
                <w:sz w:val="22"/>
                <w:szCs w:val="22"/>
              </w:rPr>
              <w:t>deskriptor</w:t>
            </w:r>
            <w:proofErr w:type="spellEnd"/>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Referenčná metodika</w:t>
            </w:r>
          </w:p>
        </w:tc>
        <w:tc>
          <w:tcPr>
            <w:tcW w:w="3150"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Minimálne metodické kritériá</w:t>
            </w: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 xml:space="preserve">Požaduje sa overená transferová funkcia (ak sa používa iná ako referenčná </w:t>
            </w:r>
            <w:r>
              <w:rPr>
                <w:b/>
                <w:i/>
                <w:sz w:val="22"/>
                <w:szCs w:val="22"/>
              </w:rPr>
              <w:t>metodika)</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 xml:space="preserve">textúra pôdy (obsah ílu, prachu a piesku potrebný na určenie iných </w:t>
            </w:r>
            <w:proofErr w:type="spellStart"/>
            <w:r>
              <w:rPr>
                <w:b/>
                <w:i/>
                <w:sz w:val="22"/>
                <w:szCs w:val="22"/>
              </w:rPr>
              <w:t>deskriptorov</w:t>
            </w:r>
            <w:proofErr w:type="spellEnd"/>
            <w:r>
              <w:rPr>
                <w:b/>
                <w:i/>
                <w:sz w:val="22"/>
                <w:szCs w:val="22"/>
              </w:rPr>
              <w:t xml:space="preserve"> a súvisiacich rozsahov)</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uprednostňovaná metóda: ISO 11277:1998 určenie rozdelenia veľkosti častíc v minerálnej hmote pôdy – metóda preosievania a sedimentácie</w:t>
            </w:r>
          </w:p>
          <w:p w:rsidR="009D7883" w:rsidRDefault="00AA63BB">
            <w:pPr>
              <w:rPr>
                <w:b/>
                <w:i/>
                <w:sz w:val="22"/>
                <w:szCs w:val="22"/>
              </w:rPr>
            </w:pPr>
            <w:r>
              <w:rPr>
                <w:b/>
                <w:i/>
                <w:sz w:val="22"/>
                <w:szCs w:val="22"/>
              </w:rPr>
              <w:t>altern</w:t>
            </w:r>
            <w:r>
              <w:rPr>
                <w:b/>
                <w:i/>
                <w:sz w:val="22"/>
                <w:szCs w:val="22"/>
              </w:rPr>
              <w:t xml:space="preserve">atívna metóda: ISO 13320:2009 – analýza veľkosti častíc – laserové </w:t>
            </w:r>
            <w:proofErr w:type="spellStart"/>
            <w:r>
              <w:rPr>
                <w:b/>
                <w:i/>
                <w:sz w:val="22"/>
                <w:szCs w:val="22"/>
              </w:rPr>
              <w:t>difrakčné</w:t>
            </w:r>
            <w:proofErr w:type="spellEnd"/>
            <w:r>
              <w:rPr>
                <w:b/>
                <w:i/>
                <w:sz w:val="22"/>
                <w:szCs w:val="22"/>
              </w:rPr>
              <w:t xml:space="preserve"> metódy</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szCs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elektrická vodivosť</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možnosť 1: Metóda extrakcie nasýtenej pôdnej pasty (</w:t>
            </w:r>
            <w:proofErr w:type="spellStart"/>
            <w:r>
              <w:rPr>
                <w:b/>
                <w:i/>
                <w:sz w:val="22"/>
              </w:rPr>
              <w:t>ECe</w:t>
            </w:r>
            <w:proofErr w:type="spellEnd"/>
            <w:r>
              <w:rPr>
                <w:b/>
                <w:i/>
                <w:sz w:val="22"/>
              </w:rPr>
              <w:t xml:space="preserve">) (FAO </w:t>
            </w:r>
            <w:proofErr w:type="spellStart"/>
            <w:r>
              <w:rPr>
                <w:b/>
                <w:i/>
                <w:sz w:val="22"/>
              </w:rPr>
              <w:t>SOP</w:t>
            </w:r>
            <w:proofErr w:type="spellEnd"/>
            <w:r>
              <w:rPr>
                <w:b/>
                <w:i/>
                <w:sz w:val="22"/>
              </w:rPr>
              <w:t xml:space="preserve">:  </w:t>
            </w:r>
            <w:proofErr w:type="spellStart"/>
            <w:r>
              <w:rPr>
                <w:b/>
                <w:i/>
                <w:sz w:val="22"/>
              </w:rPr>
              <w:t>GLOSOLAN</w:t>
            </w:r>
            <w:proofErr w:type="spellEnd"/>
            <w:r>
              <w:rPr>
                <w:b/>
                <w:i/>
                <w:sz w:val="22"/>
              </w:rPr>
              <w:t>-</w:t>
            </w:r>
            <w:proofErr w:type="spellStart"/>
            <w:r>
              <w:rPr>
                <w:b/>
                <w:i/>
                <w:sz w:val="22"/>
              </w:rPr>
              <w:t>SOP</w:t>
            </w:r>
            <w:proofErr w:type="spellEnd"/>
            <w:r>
              <w:rPr>
                <w:b/>
                <w:i/>
                <w:sz w:val="22"/>
              </w:rPr>
              <w:t>-08</w:t>
            </w:r>
            <w:r>
              <w:rPr>
                <w:rStyle w:val="FootnoteReference"/>
                <w:b/>
                <w:i/>
                <w:sz w:val="22"/>
              </w:rPr>
              <w:footnoteReference w:id="72"/>
            </w:r>
            <w:r>
              <w:rPr>
                <w:b/>
                <w:i/>
                <w:sz w:val="22"/>
              </w:rPr>
              <w:t>)</w:t>
            </w:r>
          </w:p>
          <w:p w:rsidR="009D7883" w:rsidRDefault="00AA63BB">
            <w:pPr>
              <w:rPr>
                <w:b/>
                <w:i/>
                <w:sz w:val="22"/>
                <w:szCs w:val="22"/>
              </w:rPr>
            </w:pPr>
            <w:r>
              <w:rPr>
                <w:b/>
                <w:i/>
                <w:sz w:val="22"/>
              </w:rPr>
              <w:t xml:space="preserve">možnosť 2: ISO 11265:1994 určenie špecifickej elektrickej vodivosti  </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miera erózie pôdy</w:t>
            </w:r>
          </w:p>
        </w:tc>
        <w:tc>
          <w:tcPr>
            <w:tcW w:w="2622"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Pri odhadovaní miery erózie pôdy by sa mali zohľadniť všetky opatrenia prijaté na zníženie alebo vykompenzovanie rizika erózie vrátane zmierňujúcich opatrení po </w:t>
            </w:r>
            <w:r>
              <w:rPr>
                <w:b/>
                <w:i/>
                <w:sz w:val="22"/>
              </w:rPr>
              <w:t>požiari.</w:t>
            </w:r>
          </w:p>
          <w:p w:rsidR="009D7883" w:rsidRDefault="00AA63BB">
            <w:pPr>
              <w:rPr>
                <w:b/>
                <w:i/>
                <w:sz w:val="22"/>
                <w:szCs w:val="22"/>
              </w:rPr>
            </w:pPr>
            <w:r>
              <w:rPr>
                <w:b/>
                <w:i/>
                <w:sz w:val="22"/>
              </w:rPr>
              <w:lastRenderedPageBreak/>
              <w:t>Do odhadu miery erózie pôdy treba zahrnúť všetky relevantné procesy erózie, ako je erózia spôsobená vodou, vetrom, zberom plodín a obrábaním pôdy.</w:t>
            </w:r>
          </w:p>
          <w:p w:rsidR="009D7883" w:rsidRDefault="00AA63BB">
            <w:pPr>
              <w:rPr>
                <w:b/>
                <w:i/>
                <w:sz w:val="22"/>
                <w:szCs w:val="22"/>
              </w:rPr>
            </w:pPr>
            <w:r>
              <w:rPr>
                <w:b/>
                <w:i/>
                <w:sz w:val="22"/>
              </w:rPr>
              <w:t xml:space="preserve">Pri posudzovaní erózie pôdy spôsobenej vodou treba vziať do úvahy tieto faktory: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vlastnosti pôdy </w:t>
            </w:r>
            <w:r>
              <w:rPr>
                <w:b/>
                <w:i/>
                <w:sz w:val="22"/>
              </w:rPr>
              <w:t xml:space="preserve">(napr. </w:t>
            </w:r>
            <w:proofErr w:type="spellStart"/>
            <w:r>
              <w:rPr>
                <w:b/>
                <w:i/>
                <w:sz w:val="22"/>
              </w:rPr>
              <w:t>erodovateľnosť</w:t>
            </w:r>
            <w:proofErr w:type="spellEnd"/>
            <w:r>
              <w:rPr>
                <w:b/>
                <w:i/>
                <w:sz w:val="22"/>
              </w:rPr>
              <w:t xml:space="preserve">, tvorba pôdnej </w:t>
            </w:r>
            <w:proofErr w:type="spellStart"/>
            <w:r>
              <w:rPr>
                <w:b/>
                <w:i/>
                <w:sz w:val="22"/>
              </w:rPr>
              <w:t>krusty</w:t>
            </w:r>
            <w:proofErr w:type="spellEnd"/>
            <w:r>
              <w:rPr>
                <w:b/>
                <w:i/>
                <w:sz w:val="22"/>
              </w:rPr>
              <w:t xml:space="preserve">, drsnosť povrchu pôdy),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klímu (napr. </w:t>
            </w:r>
            <w:proofErr w:type="spellStart"/>
            <w:r>
              <w:rPr>
                <w:b/>
                <w:i/>
                <w:sz w:val="22"/>
              </w:rPr>
              <w:t>erozivita</w:t>
            </w:r>
            <w:proofErr w:type="spellEnd"/>
            <w:r>
              <w:rPr>
                <w:b/>
                <w:i/>
                <w:sz w:val="22"/>
              </w:rPr>
              <w:t xml:space="preserve"> dažďa – intenzita a trvanie, zváženie relevantných prognóz zmeny klímy v príslušnej oblasti),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topografiu (napr. strmosť a dĺžku svahu),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vegetačný porast, </w:t>
            </w:r>
            <w:r>
              <w:rPr>
                <w:b/>
                <w:i/>
                <w:sz w:val="22"/>
              </w:rPr>
              <w:t>typ plodín, využívanie pôdy a postupy obhospodarovania na kontrolu či zníženie erózie,</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postupy obhospodarovania (napr. krycie plodiny, obmedzené obrábanie pôdy, </w:t>
            </w:r>
            <w:proofErr w:type="spellStart"/>
            <w:r>
              <w:rPr>
                <w:b/>
                <w:i/>
                <w:sz w:val="22"/>
              </w:rPr>
              <w:t>mulčovanie</w:t>
            </w:r>
            <w:proofErr w:type="spellEnd"/>
            <w:r>
              <w:rPr>
                <w:b/>
                <w:i/>
                <w:sz w:val="22"/>
              </w:rPr>
              <w:t xml:space="preserve"> atď.),</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spálené plochy.</w:t>
            </w:r>
          </w:p>
          <w:p w:rsidR="009D7883" w:rsidRDefault="00AA63BB">
            <w:pPr>
              <w:rPr>
                <w:b/>
                <w:i/>
                <w:sz w:val="22"/>
                <w:szCs w:val="22"/>
              </w:rPr>
            </w:pPr>
            <w:r>
              <w:rPr>
                <w:b/>
                <w:i/>
                <w:sz w:val="22"/>
              </w:rPr>
              <w:t>Pri posudzovaní erózie pôdy spôsobenej vetrom treba vziať</w:t>
            </w:r>
            <w:r>
              <w:rPr>
                <w:b/>
                <w:i/>
                <w:sz w:val="22"/>
              </w:rPr>
              <w:t xml:space="preserve"> do úvahy tieto faktory: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vlastnosti pôdy (napr. </w:t>
            </w:r>
            <w:proofErr w:type="spellStart"/>
            <w:r>
              <w:rPr>
                <w:b/>
                <w:i/>
                <w:sz w:val="22"/>
              </w:rPr>
              <w:t>erodovateľnosť</w:t>
            </w:r>
            <w:proofErr w:type="spellEnd"/>
            <w:r>
              <w:rPr>
                <w:b/>
                <w:i/>
                <w:sz w:val="22"/>
              </w:rPr>
              <w:t xml:space="preserve">),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 xml:space="preserve">klímu (napr. vlhkosť pôdy, rýchlosť vetra, odparovanie), </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vegetáciu (napr. typ plodín),</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postupy obhospodarovania na kontrolu alebo zníženie erózie (napr. vetrolamy).</w:t>
            </w:r>
          </w:p>
          <w:p w:rsidR="009D7883" w:rsidRDefault="00AA63BB">
            <w:pPr>
              <w:widowControl/>
              <w:ind w:left="492" w:hanging="360"/>
              <w:rPr>
                <w:b/>
                <w:i/>
                <w:sz w:val="22"/>
                <w:szCs w:val="22"/>
              </w:rPr>
            </w:pPr>
            <w:r>
              <w:rPr>
                <w:rFonts w:ascii="Calibri" w:hAnsi="Calibri"/>
                <w:sz w:val="22"/>
              </w:rPr>
              <w:t>-</w:t>
            </w:r>
            <w:r>
              <w:rPr>
                <w:rFonts w:ascii="Calibri" w:hAnsi="Calibri"/>
                <w:sz w:val="22"/>
              </w:rPr>
              <w:tab/>
            </w:r>
            <w:r>
              <w:rPr>
                <w:b/>
                <w:i/>
                <w:sz w:val="22"/>
              </w:rPr>
              <w:t>spálené ploch</w:t>
            </w:r>
            <w:r>
              <w:rPr>
                <w:b/>
                <w:i/>
                <w:sz w:val="22"/>
              </w:rPr>
              <w:t>y.</w:t>
            </w: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lastRenderedPageBreak/>
              <w:t>neuvádza sa</w:t>
            </w:r>
          </w:p>
        </w:tc>
      </w:tr>
      <w:tr w:rsidR="009D7883">
        <w:trPr>
          <w:trHeight w:val="662"/>
        </w:trPr>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organický uhlík v pôde</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ISO 10694:1995 určenie obsahu organického uhlíka a celkového obsahu uhlíka po suchom </w:t>
            </w:r>
            <w:r>
              <w:rPr>
                <w:b/>
                <w:i/>
                <w:sz w:val="22"/>
              </w:rPr>
              <w:lastRenderedPageBreak/>
              <w:t>spaľovaní</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objemová hmotnosť v </w:t>
            </w:r>
            <w:proofErr w:type="spellStart"/>
            <w:r>
              <w:rPr>
                <w:b/>
                <w:i/>
                <w:sz w:val="22"/>
              </w:rPr>
              <w:t>podornici</w:t>
            </w:r>
            <w:proofErr w:type="spellEnd"/>
            <w:r>
              <w:rPr>
                <w:b/>
                <w:i/>
                <w:sz w:val="22"/>
              </w:rPr>
              <w:t xml:space="preserve"> alebo ekvivalentný</w:t>
            </w:r>
            <w:r>
              <w:rPr>
                <w:rStyle w:val="FootnoteReference"/>
                <w:b/>
                <w:i/>
                <w:sz w:val="22"/>
              </w:rPr>
              <w:footnoteReference w:id="73"/>
            </w:r>
            <w:r>
              <w:rPr>
                <w:b/>
                <w:i/>
                <w:sz w:val="22"/>
              </w:rPr>
              <w:t xml:space="preserve"> parameter podľa výberu členských štátov</w:t>
            </w:r>
          </w:p>
        </w:tc>
        <w:tc>
          <w:tcPr>
            <w:tcW w:w="2622" w:type="dxa"/>
            <w:tcBorders>
              <w:top w:val="single" w:sz="4" w:space="0" w:color="000000"/>
              <w:left w:val="single" w:sz="4" w:space="0" w:color="000000"/>
              <w:bottom w:val="single" w:sz="4" w:space="0" w:color="000000"/>
              <w:right w:val="single" w:sz="4" w:space="0" w:color="000000"/>
            </w:tcBorders>
          </w:tcPr>
          <w:p w:rsidR="009D7883" w:rsidRDefault="00AA63BB">
            <w:pPr>
              <w:rPr>
                <w:b/>
                <w:i/>
                <w:sz w:val="22"/>
                <w:szCs w:val="22"/>
              </w:rPr>
            </w:pPr>
            <w:r>
              <w:rPr>
                <w:b/>
                <w:i/>
                <w:sz w:val="22"/>
              </w:rPr>
              <w:t xml:space="preserve">ISO 11272:2017 na určenie objemovej hmotnosti suchej hlušiny </w:t>
            </w:r>
          </w:p>
          <w:p w:rsidR="009D7883" w:rsidRDefault="009D7883">
            <w:pPr>
              <w:rPr>
                <w:b/>
                <w:i/>
                <w:sz w:val="22"/>
                <w:szCs w:val="22"/>
              </w:rPr>
            </w:pPr>
          </w:p>
          <w:p w:rsidR="009D7883" w:rsidRDefault="00AA63BB">
            <w:pPr>
              <w:rPr>
                <w:b/>
                <w:i/>
                <w:sz w:val="22"/>
                <w:szCs w:val="22"/>
              </w:rPr>
            </w:pPr>
            <w:r>
              <w:rPr>
                <w:b/>
                <w:i/>
                <w:sz w:val="22"/>
              </w:rPr>
              <w:t>Ak bol zvolený ekvivalentný parameter, metodikou je buď európska, alebo medzinárodná norma, ak je dostupná; ak takáto norma nie je k dispozícii, zvolená metodika musí byť dostupná buď vo vedeck</w:t>
            </w:r>
            <w:r>
              <w:rPr>
                <w:b/>
                <w:i/>
                <w:sz w:val="22"/>
              </w:rPr>
              <w:t xml:space="preserve">ej literatúre, alebo verejne. </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extrahovateľný fosfor</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ISO 11263:1994 pre </w:t>
            </w:r>
            <w:proofErr w:type="spellStart"/>
            <w:r>
              <w:rPr>
                <w:b/>
                <w:i/>
                <w:sz w:val="22"/>
              </w:rPr>
              <w:t>spektrometrické</w:t>
            </w:r>
            <w:proofErr w:type="spellEnd"/>
            <w:r>
              <w:rPr>
                <w:b/>
                <w:i/>
                <w:sz w:val="22"/>
              </w:rPr>
              <w:t xml:space="preserve"> stanovenie obsahu fosforu rozpustného v roztoku </w:t>
            </w:r>
            <w:proofErr w:type="spellStart"/>
            <w:r>
              <w:rPr>
                <w:b/>
                <w:i/>
                <w:sz w:val="22"/>
              </w:rPr>
              <w:t>hydrogénuhličitanu</w:t>
            </w:r>
            <w:proofErr w:type="spellEnd"/>
            <w:r>
              <w:rPr>
                <w:b/>
                <w:i/>
                <w:sz w:val="22"/>
              </w:rPr>
              <w:t xml:space="preserve"> sodného (P-</w:t>
            </w:r>
            <w:proofErr w:type="spellStart"/>
            <w:r>
              <w:rPr>
                <w:b/>
                <w:i/>
                <w:sz w:val="22"/>
              </w:rPr>
              <w:t>Olsen</w:t>
            </w:r>
            <w:proofErr w:type="spellEnd"/>
            <w:r>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rPr>
            </w:pPr>
            <w:r>
              <w:rPr>
                <w:b/>
                <w:i/>
                <w:sz w:val="22"/>
              </w:rPr>
              <w:t xml:space="preserve">- koncentrácia ťažkých kovov v pôde: As, </w:t>
            </w:r>
            <w:proofErr w:type="spellStart"/>
            <w:r>
              <w:rPr>
                <w:b/>
                <w:i/>
                <w:sz w:val="22"/>
              </w:rPr>
              <w:t>Sb</w:t>
            </w:r>
            <w:proofErr w:type="spellEnd"/>
            <w:r>
              <w:rPr>
                <w:b/>
                <w:i/>
                <w:sz w:val="22"/>
              </w:rPr>
              <w:t xml:space="preserve">, Cd, </w:t>
            </w:r>
            <w:proofErr w:type="spellStart"/>
            <w:r>
              <w:rPr>
                <w:b/>
                <w:i/>
                <w:sz w:val="22"/>
              </w:rPr>
              <w:t>Co</w:t>
            </w:r>
            <w:proofErr w:type="spellEnd"/>
            <w:r>
              <w:rPr>
                <w:b/>
                <w:i/>
                <w:sz w:val="22"/>
              </w:rPr>
              <w:t xml:space="preserve">, Cr (spolu), Cr (VI), Cu, Hg, Pb, Ni, </w:t>
            </w:r>
            <w:proofErr w:type="spellStart"/>
            <w:r>
              <w:rPr>
                <w:b/>
                <w:i/>
                <w:sz w:val="22"/>
              </w:rPr>
              <w:t>Tl</w:t>
            </w:r>
            <w:proofErr w:type="spellEnd"/>
            <w:r>
              <w:rPr>
                <w:b/>
                <w:i/>
                <w:sz w:val="22"/>
              </w:rPr>
              <w:t xml:space="preserve">, V, Zn </w:t>
            </w:r>
          </w:p>
          <w:p w:rsidR="009D7883" w:rsidRDefault="00AA63BB">
            <w:pPr>
              <w:rPr>
                <w:b/>
                <w:i/>
                <w:sz w:val="22"/>
                <w:szCs w:val="22"/>
              </w:rPr>
            </w:pPr>
            <w:r>
              <w:rPr>
                <w:b/>
                <w:i/>
                <w:sz w:val="22"/>
              </w:rPr>
              <w:t>- koncentrácia vybraných organických kontaminantov, ktoré stanovili členské štáty, pričom sa zohľadňujú existujúce koncentračné limity, (napr. pre kvalitu vody a pesticídy)</w:t>
            </w:r>
          </w:p>
          <w:p w:rsidR="009D7883" w:rsidRDefault="00AA63BB">
            <w:pPr>
              <w:rPr>
                <w:b/>
                <w:i/>
                <w:sz w:val="22"/>
                <w:szCs w:val="22"/>
              </w:rPr>
            </w:pPr>
            <w:r>
              <w:rPr>
                <w:b/>
                <w:i/>
                <w:sz w:val="22"/>
              </w:rPr>
              <w:t xml:space="preserve">- rezíduá pesticídov a </w:t>
            </w:r>
            <w:proofErr w:type="spellStart"/>
            <w:r>
              <w:rPr>
                <w:b/>
                <w:i/>
                <w:sz w:val="22"/>
              </w:rPr>
              <w:t>biocídov</w:t>
            </w:r>
            <w:proofErr w:type="spellEnd"/>
            <w:r>
              <w:rPr>
                <w:b/>
                <w:i/>
                <w:sz w:val="22"/>
              </w:rPr>
              <w:t xml:space="preserve">, </w:t>
            </w:r>
            <w:r>
              <w:rPr>
                <w:b/>
                <w:i/>
                <w:sz w:val="22"/>
              </w:rPr>
              <w:t>veterinárne produkty</w:t>
            </w:r>
          </w:p>
          <w:p w:rsidR="009D7883" w:rsidRDefault="00AA63BB">
            <w:pPr>
              <w:rPr>
                <w:b/>
                <w:i/>
                <w:sz w:val="22"/>
                <w:szCs w:val="22"/>
              </w:rPr>
            </w:pPr>
            <w:r>
              <w:rPr>
                <w:b/>
                <w:i/>
                <w:sz w:val="22"/>
              </w:rPr>
              <w:t>- látky PFAS</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potenciálny environmentálne dostupný obsah ťažkých kovov v pôde na základe normy ISO 17586:2016 pri použití zriedenej kyseliny dusičnej.</w:t>
            </w:r>
          </w:p>
          <w:p w:rsidR="009D7883" w:rsidRDefault="00AA63BB">
            <w:pPr>
              <w:rPr>
                <w:b/>
                <w:i/>
                <w:sz w:val="22"/>
                <w:szCs w:val="22"/>
              </w:rPr>
            </w:pPr>
            <w:r>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p w:rsidR="009D7883" w:rsidRDefault="009D7883">
            <w:pPr>
              <w:rPr>
                <w:b/>
                <w:i/>
                <w:sz w:val="22"/>
                <w:szCs w:val="22"/>
              </w:rPr>
            </w:pPr>
          </w:p>
          <w:p w:rsidR="009D7883" w:rsidRDefault="009D7883">
            <w:pPr>
              <w:rPr>
                <w:b/>
                <w:i/>
                <w:sz w:val="22"/>
                <w:szCs w:val="22"/>
              </w:rPr>
            </w:pPr>
          </w:p>
          <w:p w:rsidR="009D7883" w:rsidRDefault="009D7883">
            <w:pPr>
              <w:rPr>
                <w:b/>
                <w:i/>
                <w:sz w:val="22"/>
                <w:szCs w:val="22"/>
              </w:rPr>
            </w:pPr>
          </w:p>
          <w:p w:rsidR="009D7883" w:rsidRDefault="00AA63BB">
            <w:pPr>
              <w:rPr>
                <w:b/>
                <w:i/>
                <w:sz w:val="22"/>
                <w:szCs w:val="22"/>
              </w:rPr>
            </w:pPr>
            <w:r>
              <w:rPr>
                <w:b/>
                <w:i/>
                <w:sz w:val="22"/>
              </w:rPr>
              <w:t xml:space="preserve">uplatňovanie európskych alebo </w:t>
            </w:r>
            <w:r>
              <w:rPr>
                <w:b/>
                <w:i/>
                <w:sz w:val="22"/>
              </w:rPr>
              <w:t>medzinárodných noriem, ak sú dostupné; ak takáto norma nie je k dispozícii, zvolená metodika musí byť dostupná buď vo vedeckej literatúre, alebo verejne</w:t>
            </w:r>
          </w:p>
        </w:tc>
        <w:tc>
          <w:tcPr>
            <w:tcW w:w="2212" w:type="dxa"/>
            <w:tcBorders>
              <w:top w:val="single" w:sz="4" w:space="0" w:color="000000"/>
              <w:left w:val="single" w:sz="4" w:space="0" w:color="000000"/>
              <w:bottom w:val="single" w:sz="4" w:space="0" w:color="000000"/>
              <w:right w:val="single" w:sz="4" w:space="0" w:color="000000"/>
            </w:tcBorders>
          </w:tcPr>
          <w:p w:rsidR="009D7883" w:rsidRDefault="00AA63BB">
            <w:pPr>
              <w:rPr>
                <w:b/>
                <w:i/>
                <w:sz w:val="22"/>
                <w:szCs w:val="22"/>
              </w:rPr>
            </w:pPr>
            <w:r>
              <w:rPr>
                <w:b/>
                <w:i/>
                <w:sz w:val="22"/>
              </w:rPr>
              <w:t>ÁNO</w:t>
            </w:r>
          </w:p>
          <w:p w:rsidR="009D7883" w:rsidRDefault="009D7883">
            <w:pPr>
              <w:rPr>
                <w:b/>
                <w:i/>
                <w:sz w:val="22"/>
                <w:szCs w:val="22"/>
              </w:rPr>
            </w:pPr>
          </w:p>
          <w:p w:rsidR="009D7883" w:rsidRDefault="009D7883">
            <w:pPr>
              <w:rPr>
                <w:b/>
                <w:i/>
                <w:sz w:val="22"/>
                <w:szCs w:val="22"/>
              </w:rPr>
            </w:pPr>
          </w:p>
          <w:p w:rsidR="009D7883" w:rsidRDefault="009D7883">
            <w:pPr>
              <w:rPr>
                <w:b/>
                <w:i/>
                <w:sz w:val="22"/>
                <w:szCs w:val="22"/>
              </w:rPr>
            </w:pPr>
          </w:p>
          <w:p w:rsidR="009D7883" w:rsidRDefault="009D7883">
            <w:pPr>
              <w:rPr>
                <w:b/>
                <w:i/>
                <w:sz w:val="22"/>
                <w:szCs w:val="22"/>
              </w:rPr>
            </w:pPr>
          </w:p>
          <w:p w:rsidR="009D7883" w:rsidRDefault="009D7883">
            <w:pPr>
              <w:rPr>
                <w:b/>
                <w:i/>
                <w:sz w:val="22"/>
                <w:szCs w:val="22"/>
              </w:rPr>
            </w:pPr>
          </w:p>
          <w:p w:rsidR="009D7883" w:rsidRDefault="00AA63BB">
            <w:pPr>
              <w:rPr>
                <w:b/>
                <w:i/>
                <w:sz w:val="22"/>
                <w:szCs w:val="22"/>
              </w:rPr>
            </w:pPr>
            <w:r>
              <w:rPr>
                <w:b/>
                <w:i/>
                <w:sz w:val="22"/>
              </w:rPr>
              <w:t>neuvádza sa</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proofErr w:type="spellStart"/>
            <w:r>
              <w:rPr>
                <w:b/>
                <w:i/>
                <w:sz w:val="22"/>
              </w:rPr>
              <w:t>vodozádržná</w:t>
            </w:r>
            <w:proofErr w:type="spellEnd"/>
            <w:r>
              <w:rPr>
                <w:b/>
                <w:i/>
                <w:sz w:val="22"/>
              </w:rPr>
              <w:t xml:space="preserve"> kapacita pôdy</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Metodika na stanovenie hodnoty pre jedno miesto odberu </w:t>
            </w:r>
            <w:r>
              <w:rPr>
                <w:b/>
                <w:i/>
                <w:sz w:val="22"/>
              </w:rPr>
              <w:t>vzorky:</w:t>
            </w:r>
          </w:p>
          <w:p w:rsidR="009D7883" w:rsidRDefault="00AA63BB">
            <w:pPr>
              <w:rPr>
                <w:b/>
                <w:i/>
                <w:sz w:val="22"/>
                <w:szCs w:val="22"/>
              </w:rPr>
            </w:pPr>
            <w:r>
              <w:rPr>
                <w:b/>
                <w:i/>
                <w:sz w:val="22"/>
              </w:rPr>
              <w:lastRenderedPageBreak/>
              <w:t xml:space="preserve">možnosť 1: LABORATÓRIUM: ISO 11274:2019 na určenie vlastností zadržiavania vody;                    </w:t>
            </w:r>
          </w:p>
          <w:p w:rsidR="009D7883" w:rsidRDefault="00AA63BB">
            <w:pPr>
              <w:rPr>
                <w:b/>
                <w:i/>
                <w:sz w:val="22"/>
                <w:szCs w:val="22"/>
              </w:rPr>
            </w:pPr>
            <w:r>
              <w:rPr>
                <w:b/>
                <w:i/>
                <w:sz w:val="22"/>
              </w:rPr>
              <w:t xml:space="preserve">možnosť 2: ODHAD: uplatňovanie metodiky opísanej vo vedeckom článku New </w:t>
            </w:r>
            <w:proofErr w:type="spellStart"/>
            <w:r>
              <w:rPr>
                <w:b/>
                <w:i/>
                <w:sz w:val="22"/>
              </w:rPr>
              <w:t>generation</w:t>
            </w:r>
            <w:proofErr w:type="spellEnd"/>
            <w:r>
              <w:rPr>
                <w:b/>
                <w:i/>
                <w:sz w:val="22"/>
              </w:rPr>
              <w:t xml:space="preserve"> of </w:t>
            </w:r>
            <w:proofErr w:type="spellStart"/>
            <w:r>
              <w:rPr>
                <w:b/>
                <w:i/>
                <w:sz w:val="22"/>
              </w:rPr>
              <w:t>hydraulic</w:t>
            </w:r>
            <w:proofErr w:type="spellEnd"/>
            <w:r>
              <w:rPr>
                <w:b/>
                <w:i/>
                <w:sz w:val="22"/>
              </w:rPr>
              <w:t xml:space="preserve"> </w:t>
            </w:r>
            <w:proofErr w:type="spellStart"/>
            <w:r>
              <w:rPr>
                <w:b/>
                <w:i/>
                <w:sz w:val="22"/>
              </w:rPr>
              <w:t>pedotransfer</w:t>
            </w:r>
            <w:proofErr w:type="spellEnd"/>
            <w:r>
              <w:rPr>
                <w:b/>
                <w:i/>
                <w:sz w:val="22"/>
              </w:rPr>
              <w:t xml:space="preserve"> </w:t>
            </w:r>
            <w:proofErr w:type="spellStart"/>
            <w:r>
              <w:rPr>
                <w:b/>
                <w:i/>
                <w:sz w:val="22"/>
              </w:rPr>
              <w:t>functions</w:t>
            </w:r>
            <w:proofErr w:type="spellEnd"/>
            <w:r>
              <w:rPr>
                <w:b/>
                <w:i/>
                <w:sz w:val="22"/>
              </w:rPr>
              <w:t xml:space="preserve"> </w:t>
            </w:r>
            <w:proofErr w:type="spellStart"/>
            <w:r>
              <w:rPr>
                <w:b/>
                <w:i/>
                <w:sz w:val="22"/>
              </w:rPr>
              <w:t>for</w:t>
            </w:r>
            <w:proofErr w:type="spellEnd"/>
            <w:r>
              <w:rPr>
                <w:b/>
                <w:i/>
                <w:sz w:val="22"/>
              </w:rPr>
              <w:t xml:space="preserve"> </w:t>
            </w:r>
            <w:proofErr w:type="spellStart"/>
            <w:r>
              <w:rPr>
                <w:b/>
                <w:i/>
                <w:sz w:val="22"/>
              </w:rPr>
              <w:t>Europe</w:t>
            </w:r>
            <w:proofErr w:type="spellEnd"/>
            <w:r>
              <w:rPr>
                <w:b/>
                <w:i/>
                <w:sz w:val="22"/>
              </w:rPr>
              <w:t xml:space="preserve"> (Nová generácia h</w:t>
            </w:r>
            <w:r>
              <w:rPr>
                <w:b/>
                <w:i/>
                <w:sz w:val="22"/>
              </w:rPr>
              <w:t xml:space="preserve">ydraulickej </w:t>
            </w:r>
            <w:proofErr w:type="spellStart"/>
            <w:r>
              <w:rPr>
                <w:b/>
                <w:i/>
                <w:sz w:val="22"/>
              </w:rPr>
              <w:t>pedotransferových</w:t>
            </w:r>
            <w:proofErr w:type="spellEnd"/>
            <w:r>
              <w:rPr>
                <w:b/>
                <w:i/>
                <w:sz w:val="22"/>
              </w:rPr>
              <w:t xml:space="preserve"> funkcií v Európe), ktorá sa zakladá na textúre pôdy (alebo na rozdelení veľkosti častíc) a organickom uhlíku v pôde.</w:t>
            </w:r>
          </w:p>
        </w:tc>
        <w:tc>
          <w:tcPr>
            <w:tcW w:w="3150"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lastRenderedPageBreak/>
              <w:t xml:space="preserve">Minimálne kritériá pre odhad celkovej </w:t>
            </w:r>
            <w:proofErr w:type="spellStart"/>
            <w:r>
              <w:rPr>
                <w:b/>
                <w:i/>
                <w:sz w:val="22"/>
              </w:rPr>
              <w:t>vodozádržnej</w:t>
            </w:r>
            <w:proofErr w:type="spellEnd"/>
            <w:r>
              <w:rPr>
                <w:b/>
                <w:i/>
                <w:sz w:val="22"/>
              </w:rPr>
              <w:t xml:space="preserve"> kapacity pôdy v pôdnom okrsku na úrovni </w:t>
            </w:r>
            <w:r>
              <w:rPr>
                <w:b/>
                <w:i/>
                <w:sz w:val="22"/>
              </w:rPr>
              <w:lastRenderedPageBreak/>
              <w:t>povodia alebo čias</w:t>
            </w:r>
            <w:r>
              <w:rPr>
                <w:b/>
                <w:i/>
                <w:sz w:val="22"/>
              </w:rPr>
              <w:t>tkového povodia:</w:t>
            </w:r>
          </w:p>
          <w:p w:rsidR="009D7883" w:rsidRDefault="00AA63BB">
            <w:pPr>
              <w:widowControl/>
              <w:ind w:left="720" w:hanging="360"/>
              <w:rPr>
                <w:b/>
                <w:i/>
                <w:sz w:val="22"/>
                <w:szCs w:val="22"/>
              </w:rPr>
            </w:pPr>
            <w:r>
              <w:rPr>
                <w:rFonts w:ascii="Calibri" w:hAnsi="Calibri"/>
                <w:sz w:val="22"/>
              </w:rPr>
              <w:t>-</w:t>
            </w:r>
            <w:r>
              <w:rPr>
                <w:rFonts w:ascii="Calibri" w:hAnsi="Calibri"/>
                <w:sz w:val="22"/>
              </w:rPr>
              <w:tab/>
            </w:r>
            <w:r>
              <w:rPr>
                <w:b/>
                <w:i/>
                <w:sz w:val="22"/>
              </w:rPr>
              <w:t xml:space="preserve">v prípade plochy bez zabratej pôdy celková hodnota </w:t>
            </w:r>
            <w:proofErr w:type="spellStart"/>
            <w:r>
              <w:rPr>
                <w:b/>
                <w:i/>
                <w:sz w:val="22"/>
              </w:rPr>
              <w:t>vodozádržnej</w:t>
            </w:r>
            <w:proofErr w:type="spellEnd"/>
            <w:r>
              <w:rPr>
                <w:b/>
                <w:i/>
                <w:sz w:val="22"/>
              </w:rPr>
              <w:t xml:space="preserve"> kapacity pôdy, </w:t>
            </w:r>
          </w:p>
          <w:p w:rsidR="009D7883" w:rsidRDefault="00AA63BB">
            <w:pPr>
              <w:widowControl/>
              <w:ind w:left="720" w:hanging="360"/>
              <w:rPr>
                <w:b/>
                <w:i/>
                <w:sz w:val="22"/>
                <w:szCs w:val="22"/>
              </w:rPr>
            </w:pPr>
            <w:r>
              <w:rPr>
                <w:rFonts w:ascii="Calibri" w:hAnsi="Calibri"/>
                <w:sz w:val="22"/>
              </w:rPr>
              <w:t>-</w:t>
            </w:r>
            <w:r>
              <w:rPr>
                <w:rFonts w:ascii="Calibri" w:hAnsi="Calibri"/>
                <w:sz w:val="22"/>
              </w:rPr>
              <w:tab/>
            </w:r>
            <w:r>
              <w:rPr>
                <w:b/>
                <w:i/>
                <w:sz w:val="22"/>
              </w:rPr>
              <w:t xml:space="preserve">v prípade plochy so zabratou pôdou treba zvážiť nastavenie </w:t>
            </w:r>
            <w:proofErr w:type="spellStart"/>
            <w:r>
              <w:rPr>
                <w:b/>
                <w:i/>
                <w:sz w:val="22"/>
              </w:rPr>
              <w:t>vodozádržnej</w:t>
            </w:r>
            <w:proofErr w:type="spellEnd"/>
            <w:r>
              <w:rPr>
                <w:b/>
                <w:i/>
                <w:sz w:val="22"/>
              </w:rPr>
              <w:t xml:space="preserve"> kapacity pôdy nepriepustných plôch na nulovú hodnotu, pričom sa stredné hodnoty úme</w:t>
            </w:r>
            <w:r>
              <w:rPr>
                <w:b/>
                <w:i/>
                <w:sz w:val="22"/>
              </w:rPr>
              <w:t>rne pridelia polopriepustným a iným umelo vytvoreným plochám.</w:t>
            </w: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lastRenderedPageBreak/>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dusík v pôde </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ISO 11261:1995 na stanovenie celkového obsahu dusíka v pôde s použitím upravenej </w:t>
            </w:r>
            <w:proofErr w:type="spellStart"/>
            <w:r>
              <w:rPr>
                <w:b/>
                <w:i/>
                <w:sz w:val="22"/>
              </w:rPr>
              <w:t>Kjeldahlovej</w:t>
            </w:r>
            <w:proofErr w:type="spellEnd"/>
            <w:r>
              <w:rPr>
                <w:b/>
                <w:i/>
                <w:sz w:val="22"/>
              </w:rPr>
              <w:t xml:space="preserve"> metódy</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kyslosť pôdy</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ISO 10390:2005 na určenie pH H2O a extraktu CaCl2 </w:t>
            </w:r>
            <w:r>
              <w:rPr>
                <w:b/>
                <w:i/>
                <w:sz w:val="22"/>
              </w:rPr>
              <w:t>(pH-H2O a pH-CaCl2)</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objemová hmotnosť v „ornici“</w:t>
            </w:r>
          </w:p>
        </w:tc>
        <w:tc>
          <w:tcPr>
            <w:tcW w:w="2622" w:type="dxa"/>
            <w:tcBorders>
              <w:top w:val="single" w:sz="4" w:space="0" w:color="000000"/>
              <w:left w:val="single" w:sz="4" w:space="0" w:color="000000"/>
              <w:bottom w:val="single" w:sz="4" w:space="0" w:color="000000"/>
              <w:right w:val="single" w:sz="4" w:space="0" w:color="000000"/>
            </w:tcBorders>
          </w:tcPr>
          <w:p w:rsidR="009D7883" w:rsidRDefault="00AA63BB">
            <w:pPr>
              <w:rPr>
                <w:b/>
                <w:i/>
                <w:sz w:val="22"/>
                <w:szCs w:val="22"/>
              </w:rPr>
            </w:pPr>
            <w:r>
              <w:rPr>
                <w:b/>
                <w:i/>
                <w:sz w:val="22"/>
              </w:rPr>
              <w:t xml:space="preserve">ISO 11272:2017 na určenie objemovej hmotnosti suchej hlušiny </w:t>
            </w:r>
          </w:p>
          <w:p w:rsidR="009D7883" w:rsidRDefault="009D78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bCs/>
                <w:i/>
                <w:iCs/>
                <w:sz w:val="22"/>
              </w:rPr>
              <w:t>kolobeh živín</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Na účely </w:t>
            </w:r>
            <w:proofErr w:type="spellStart"/>
            <w:r>
              <w:rPr>
                <w:b/>
                <w:i/>
                <w:sz w:val="22"/>
              </w:rPr>
              <w:t>mineralizácie</w:t>
            </w:r>
            <w:proofErr w:type="spellEnd"/>
            <w:r>
              <w:rPr>
                <w:b/>
                <w:i/>
                <w:sz w:val="22"/>
              </w:rPr>
              <w:t xml:space="preserve"> dusíka sa vzorky pôdy sušené na vzduchu opätovne zavlažia tak, aby dosiahli 80 % svojej </w:t>
            </w:r>
            <w:proofErr w:type="spellStart"/>
            <w:r>
              <w:rPr>
                <w:b/>
                <w:i/>
                <w:sz w:val="22"/>
              </w:rPr>
              <w:t>vodozádržnej</w:t>
            </w:r>
            <w:proofErr w:type="spellEnd"/>
            <w:r>
              <w:rPr>
                <w:b/>
                <w:i/>
                <w:sz w:val="22"/>
              </w:rPr>
              <w:t xml:space="preserve"> kapacity, a </w:t>
            </w:r>
            <w:proofErr w:type="spellStart"/>
            <w:r>
              <w:rPr>
                <w:b/>
                <w:i/>
                <w:sz w:val="22"/>
              </w:rPr>
              <w:t>inkubujú</w:t>
            </w:r>
            <w:proofErr w:type="spellEnd"/>
            <w:r>
              <w:rPr>
                <w:b/>
                <w:i/>
                <w:sz w:val="22"/>
              </w:rPr>
              <w:t xml:space="preserve"> sa v laboratóriu počas 14 dní pri teplote 30 °C. Potenciálna čistá miera </w:t>
            </w:r>
            <w:proofErr w:type="spellStart"/>
            <w:r>
              <w:rPr>
                <w:b/>
                <w:i/>
                <w:sz w:val="22"/>
              </w:rPr>
              <w:t>mineralizácie</w:t>
            </w:r>
            <w:proofErr w:type="spellEnd"/>
            <w:r>
              <w:rPr>
                <w:b/>
                <w:i/>
                <w:sz w:val="22"/>
              </w:rPr>
              <w:t xml:space="preserve"> dusíka sa odhaduje ako rozdiel medzi počiatočným a konečným anorganickým dusíkom. Dostupnosť živín v pôde sa vypočíta pomocou koreňovýc</w:t>
            </w:r>
            <w:r>
              <w:rPr>
                <w:b/>
                <w:i/>
                <w:sz w:val="22"/>
              </w:rPr>
              <w:t xml:space="preserve">h simulátorov, dostupný dusík a fosfor sa stanovia pomocou </w:t>
            </w:r>
            <w:proofErr w:type="spellStart"/>
            <w:r>
              <w:rPr>
                <w:b/>
                <w:i/>
                <w:sz w:val="22"/>
              </w:rPr>
              <w:t>kolorimetrického</w:t>
            </w:r>
            <w:proofErr w:type="spellEnd"/>
            <w:r>
              <w:rPr>
                <w:b/>
                <w:i/>
                <w:sz w:val="22"/>
              </w:rPr>
              <w:t xml:space="preserve"> stanovenia založeného na </w:t>
            </w:r>
            <w:r>
              <w:rPr>
                <w:b/>
                <w:i/>
                <w:sz w:val="22"/>
              </w:rPr>
              <w:lastRenderedPageBreak/>
              <w:t xml:space="preserve">reakcii s </w:t>
            </w:r>
            <w:proofErr w:type="spellStart"/>
            <w:r>
              <w:rPr>
                <w:b/>
                <w:i/>
                <w:sz w:val="22"/>
              </w:rPr>
              <w:t>molybdénanom</w:t>
            </w:r>
            <w:proofErr w:type="spellEnd"/>
            <w:r>
              <w:rPr>
                <w:b/>
                <w:i/>
                <w:sz w:val="22"/>
              </w:rPr>
              <w:t xml:space="preserve"> amónnym.</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proofErr w:type="spellStart"/>
            <w:r>
              <w:rPr>
                <w:b/>
                <w:bCs/>
                <w:i/>
                <w:iCs/>
                <w:sz w:val="22"/>
              </w:rPr>
              <w:t>Agregácia</w:t>
            </w:r>
            <w:proofErr w:type="spellEnd"/>
            <w:r>
              <w:rPr>
                <w:b/>
                <w:bCs/>
                <w:i/>
                <w:iCs/>
                <w:sz w:val="22"/>
              </w:rPr>
              <w:t xml:space="preserve"> pôdy</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Tieto pôdne </w:t>
            </w:r>
            <w:proofErr w:type="spellStart"/>
            <w:r>
              <w:rPr>
                <w:b/>
                <w:i/>
                <w:sz w:val="22"/>
              </w:rPr>
              <w:t>deskriptory</w:t>
            </w:r>
            <w:proofErr w:type="spellEnd"/>
            <w:r>
              <w:rPr>
                <w:b/>
                <w:i/>
                <w:sz w:val="22"/>
              </w:rPr>
              <w:t xml:space="preserve"> sa uvádzajú ako pôdne agregáty stabilné vo vode, ktoré sa posudzujú určením odolnosti pôdnych agregátov voči vode ako dezintegračnej sile uplatnením upraveného prístupu na základe prístupu, ktorý zaviedli </w:t>
            </w:r>
            <w:proofErr w:type="spellStart"/>
            <w:r>
              <w:rPr>
                <w:b/>
                <w:i/>
                <w:sz w:val="22"/>
              </w:rPr>
              <w:t>Kemper</w:t>
            </w:r>
            <w:proofErr w:type="spellEnd"/>
            <w:r>
              <w:rPr>
                <w:b/>
                <w:i/>
                <w:sz w:val="22"/>
              </w:rPr>
              <w:t xml:space="preserve"> a </w:t>
            </w:r>
            <w:proofErr w:type="spellStart"/>
            <w:r>
              <w:rPr>
                <w:b/>
                <w:i/>
                <w:sz w:val="22"/>
              </w:rPr>
              <w:t>Rosenau</w:t>
            </w:r>
            <w:proofErr w:type="spellEnd"/>
            <w:r>
              <w:rPr>
                <w:b/>
                <w:i/>
                <w:sz w:val="22"/>
              </w:rPr>
              <w:t xml:space="preserve"> (1986). Výsledný index predstavuj</w:t>
            </w:r>
            <w:r>
              <w:rPr>
                <w:b/>
                <w:i/>
                <w:sz w:val="22"/>
              </w:rPr>
              <w:t>e percentuálny podiel agregátov stabilných vo vode</w:t>
            </w:r>
          </w:p>
          <w:p w:rsidR="009D7883" w:rsidRDefault="00AA63BB">
            <w:pPr>
              <w:rPr>
                <w:b/>
                <w:i/>
                <w:sz w:val="22"/>
                <w:szCs w:val="22"/>
              </w:rPr>
            </w:pPr>
            <w:r>
              <w:rPr>
                <w:b/>
                <w:i/>
                <w:sz w:val="22"/>
              </w:rPr>
              <w:t xml:space="preserve">s priemerom menším ako 4 mm. Okrem toho sa úlomky (t. j. hrubé materiály) oddelia od frakcie stabilnej vo vode, aby sa správne určila frakcia agregátov stabilných vo vode vo vzorke: % agregátov stabilných </w:t>
            </w:r>
            <w:r>
              <w:rPr>
                <w:b/>
                <w:i/>
                <w:sz w:val="22"/>
              </w:rPr>
              <w:t>vo vode = (frakcia stabilná vo vode – hrubé materiály)/(4 g – hrubé materiály)</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bCs/>
                <w:i/>
                <w:iCs/>
                <w:sz w:val="22"/>
              </w:rPr>
              <w:t>Enzymatická aktivita</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t>Zeissovej</w:t>
            </w:r>
            <w:proofErr w:type="spellEnd"/>
            <w:r>
              <w:rPr>
                <w:b/>
                <w:i/>
                <w:sz w:val="22"/>
              </w:rPr>
              <w:t xml:space="preserve"> a kol., 2022</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Respirácia pôdy</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dodržiavanie pokynov opísaných vo vedeckom článku </w:t>
            </w:r>
            <w:proofErr w:type="spellStart"/>
            <w:r>
              <w:rPr>
                <w:b/>
                <w:i/>
                <w:sz w:val="22"/>
              </w:rPr>
              <w:t>Microbial</w:t>
            </w:r>
            <w:proofErr w:type="spellEnd"/>
            <w:r>
              <w:rPr>
                <w:b/>
                <w:i/>
                <w:sz w:val="22"/>
              </w:rPr>
              <w:t xml:space="preserve"> </w:t>
            </w:r>
            <w:proofErr w:type="spellStart"/>
            <w:r>
              <w:rPr>
                <w:b/>
                <w:i/>
                <w:sz w:val="22"/>
              </w:rPr>
              <w:t>biomass</w:t>
            </w:r>
            <w:proofErr w:type="spellEnd"/>
            <w:r>
              <w:rPr>
                <w:b/>
                <w:i/>
                <w:sz w:val="22"/>
              </w:rPr>
              <w:t xml:space="preserve"> </w:t>
            </w:r>
            <w:r>
              <w:rPr>
                <w:b/>
                <w:i/>
                <w:sz w:val="22"/>
              </w:rPr>
              <w:t xml:space="preserve">and </w:t>
            </w:r>
            <w:proofErr w:type="spellStart"/>
            <w:r>
              <w:rPr>
                <w:b/>
                <w:i/>
                <w:sz w:val="22"/>
              </w:rPr>
              <w:t>activities</w:t>
            </w:r>
            <w:proofErr w:type="spellEnd"/>
            <w:r>
              <w:rPr>
                <w:b/>
                <w:i/>
                <w:sz w:val="22"/>
              </w:rPr>
              <w:t xml:space="preserve"> in </w:t>
            </w:r>
            <w:proofErr w:type="spellStart"/>
            <w:r>
              <w:rPr>
                <w:b/>
                <w:i/>
                <w:sz w:val="22"/>
              </w:rPr>
              <w:t>soil</w:t>
            </w:r>
            <w:proofErr w:type="spellEnd"/>
            <w:r>
              <w:rPr>
                <w:b/>
                <w:i/>
                <w:sz w:val="22"/>
              </w:rPr>
              <w:t xml:space="preserve"> as </w:t>
            </w:r>
            <w:proofErr w:type="spellStart"/>
            <w:r>
              <w:rPr>
                <w:b/>
                <w:i/>
                <w:sz w:val="22"/>
              </w:rPr>
              <w:t>affected</w:t>
            </w:r>
            <w:proofErr w:type="spellEnd"/>
            <w:r>
              <w:rPr>
                <w:b/>
                <w:i/>
                <w:sz w:val="22"/>
              </w:rPr>
              <w:t xml:space="preserve"> by </w:t>
            </w:r>
            <w:proofErr w:type="spellStart"/>
            <w:r>
              <w:rPr>
                <w:b/>
                <w:i/>
                <w:sz w:val="22"/>
              </w:rPr>
              <w:t>frozen</w:t>
            </w:r>
            <w:proofErr w:type="spellEnd"/>
            <w:r>
              <w:rPr>
                <w:b/>
                <w:i/>
                <w:sz w:val="22"/>
              </w:rPr>
              <w:t xml:space="preserve"> and </w:t>
            </w:r>
            <w:proofErr w:type="spellStart"/>
            <w:r>
              <w:rPr>
                <w:b/>
                <w:i/>
                <w:sz w:val="22"/>
              </w:rPr>
              <w:t>cold</w:t>
            </w:r>
            <w:proofErr w:type="spellEnd"/>
            <w:r>
              <w:rPr>
                <w:b/>
                <w:i/>
                <w:sz w:val="22"/>
              </w:rPr>
              <w:t xml:space="preserve"> </w:t>
            </w:r>
            <w:proofErr w:type="spellStart"/>
            <w:r>
              <w:rPr>
                <w:b/>
                <w:i/>
                <w:sz w:val="22"/>
              </w:rPr>
              <w:t>storage</w:t>
            </w:r>
            <w:proofErr w:type="spellEnd"/>
            <w:r>
              <w:rPr>
                <w:b/>
                <w:i/>
                <w:sz w:val="22"/>
              </w:rPr>
              <w:t xml:space="preserve"> (Mikrobiálna biomasa a činnosť v pôde pod vplyvom uchovávania v mraze alebo v chlade)</w:t>
            </w:r>
            <w:r>
              <w:rPr>
                <w:rStyle w:val="FootnoteReference"/>
                <w:b/>
                <w:i/>
                <w:sz w:val="22"/>
              </w:rPr>
              <w:footnoteReference w:id="74"/>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Rozklad odpadu</w:t>
            </w:r>
          </w:p>
        </w:tc>
        <w:tc>
          <w:tcPr>
            <w:tcW w:w="2622"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Uplatňovanie európskych alebo medzinárodných noriem, ak sú dostupné; ak takáto norma </w:t>
            </w:r>
            <w:r>
              <w:rPr>
                <w:b/>
                <w:i/>
                <w:sz w:val="22"/>
              </w:rPr>
              <w:t>nie je k dispozícii, zvolená metodika musí byť dostupná buď vo vedeckej literatúre, alebo verejne.</w:t>
            </w: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neuvádza sa</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bCs/>
                <w:i/>
                <w:iCs/>
                <w:sz w:val="22"/>
              </w:rPr>
              <w:t>Pôdna biomasa</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lastRenderedPageBreak/>
              <w:t>Guerrovi</w:t>
            </w:r>
            <w:proofErr w:type="spellEnd"/>
            <w:r>
              <w:rPr>
                <w:b/>
                <w:i/>
                <w:sz w:val="22"/>
              </w:rPr>
              <w:t xml:space="preserve"> a kol., 2021,  </w:t>
            </w:r>
            <w:proofErr w:type="spellStart"/>
            <w:r>
              <w:rPr>
                <w:b/>
                <w:i/>
                <w:sz w:val="22"/>
              </w:rPr>
              <w:t>Brionesovej</w:t>
            </w:r>
            <w:proofErr w:type="spellEnd"/>
            <w:r>
              <w:rPr>
                <w:b/>
                <w:i/>
                <w:sz w:val="22"/>
              </w:rPr>
              <w:t xml:space="preserve"> a kol., 2020, a </w:t>
            </w:r>
            <w:proofErr w:type="spellStart"/>
            <w:r>
              <w:rPr>
                <w:b/>
                <w:i/>
                <w:sz w:val="22"/>
              </w:rPr>
              <w:t>Potapovovi</w:t>
            </w:r>
            <w:proofErr w:type="spellEnd"/>
            <w:r>
              <w:rPr>
                <w:b/>
                <w:i/>
                <w:sz w:val="22"/>
              </w:rPr>
              <w:t xml:space="preserve"> a kol., 2022 </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Znaky </w:t>
            </w:r>
            <w:r>
              <w:rPr>
                <w:b/>
                <w:i/>
                <w:sz w:val="22"/>
              </w:rPr>
              <w:t>koreňového spoločenstva</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t>Guerrovi</w:t>
            </w:r>
            <w:proofErr w:type="spellEnd"/>
            <w:r>
              <w:rPr>
                <w:b/>
                <w:i/>
                <w:sz w:val="22"/>
              </w:rPr>
              <w:t xml:space="preserve"> a kol., 2021</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bCs/>
                <w:i/>
                <w:iCs/>
                <w:sz w:val="22"/>
              </w:rPr>
              <w:t>Taxonomická diverzita</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t>Guerrovi</w:t>
            </w:r>
            <w:proofErr w:type="spellEnd"/>
            <w:r>
              <w:rPr>
                <w:b/>
                <w:i/>
                <w:sz w:val="22"/>
              </w:rPr>
              <w:t xml:space="preserve"> a kol., 2021</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proofErr w:type="spellStart"/>
            <w:r>
              <w:rPr>
                <w:b/>
                <w:bCs/>
                <w:i/>
                <w:iCs/>
                <w:sz w:val="22"/>
              </w:rPr>
              <w:t>Abundancia</w:t>
            </w:r>
            <w:proofErr w:type="spellEnd"/>
            <w:r>
              <w:rPr>
                <w:b/>
                <w:bCs/>
                <w:i/>
                <w:iCs/>
                <w:sz w:val="22"/>
              </w:rPr>
              <w:t xml:space="preserve"> populácie</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t>Guerrovi</w:t>
            </w:r>
            <w:proofErr w:type="spellEnd"/>
            <w:r>
              <w:rPr>
                <w:b/>
                <w:i/>
                <w:sz w:val="22"/>
              </w:rPr>
              <w:t xml:space="preserve"> a kol., 2021</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proofErr w:type="spellStart"/>
            <w:r>
              <w:rPr>
                <w:b/>
                <w:i/>
                <w:sz w:val="22"/>
              </w:rPr>
              <w:t>Vnútrodruhová</w:t>
            </w:r>
            <w:proofErr w:type="spellEnd"/>
            <w:r>
              <w:rPr>
                <w:b/>
                <w:i/>
                <w:sz w:val="22"/>
              </w:rPr>
              <w:t xml:space="preserve"> genetická diverzita</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 xml:space="preserve">Postupovať podľa pokynov opísaných v </w:t>
            </w:r>
            <w:proofErr w:type="spellStart"/>
            <w:r>
              <w:rPr>
                <w:b/>
                <w:i/>
                <w:sz w:val="22"/>
              </w:rPr>
              <w:t>Guerrovi</w:t>
            </w:r>
            <w:proofErr w:type="spellEnd"/>
            <w:r>
              <w:rPr>
                <w:b/>
                <w:i/>
                <w:sz w:val="22"/>
              </w:rPr>
              <w:t xml:space="preserve"> a kol., 2021</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r w:rsidR="009D7883">
        <w:tc>
          <w:tcPr>
            <w:tcW w:w="2081"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Štruktúra pôdy</w:t>
            </w:r>
          </w:p>
        </w:tc>
        <w:tc>
          <w:tcPr>
            <w:tcW w:w="262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proofErr w:type="spellStart"/>
            <w:r>
              <w:rPr>
                <w:b/>
                <w:i/>
                <w:sz w:val="22"/>
              </w:rPr>
              <w:t>Granulometrická</w:t>
            </w:r>
            <w:proofErr w:type="spellEnd"/>
            <w:r>
              <w:rPr>
                <w:b/>
                <w:i/>
                <w:sz w:val="22"/>
              </w:rPr>
              <w:t xml:space="preserve"> analýza sa vykonáva na preosiatej pôde (Ø &lt; 2 mm) po zničení organickej hmoty s H2O2. </w:t>
            </w:r>
            <w:proofErr w:type="spellStart"/>
            <w:r>
              <w:rPr>
                <w:b/>
                <w:i/>
                <w:sz w:val="22"/>
              </w:rPr>
              <w:t>Dispergovanie</w:t>
            </w:r>
            <w:proofErr w:type="spellEnd"/>
            <w:r>
              <w:rPr>
                <w:b/>
                <w:i/>
                <w:sz w:val="22"/>
              </w:rPr>
              <w:t xml:space="preserve"> sa vykonáva roztokom </w:t>
            </w:r>
            <w:proofErr w:type="spellStart"/>
            <w:r>
              <w:rPr>
                <w:b/>
                <w:i/>
                <w:sz w:val="22"/>
              </w:rPr>
              <w:t>hexametafosforečnanu</w:t>
            </w:r>
            <w:proofErr w:type="spellEnd"/>
            <w:r>
              <w:rPr>
                <w:b/>
                <w:i/>
                <w:sz w:val="22"/>
              </w:rPr>
              <w:t xml:space="preserve">/uhličitanu sodného a mieša sa 16 hodín. Posudzované </w:t>
            </w:r>
            <w:proofErr w:type="spellStart"/>
            <w:r>
              <w:rPr>
                <w:b/>
                <w:i/>
                <w:sz w:val="22"/>
              </w:rPr>
              <w:t>granulometrické</w:t>
            </w:r>
            <w:proofErr w:type="spellEnd"/>
            <w:r>
              <w:rPr>
                <w:b/>
                <w:i/>
                <w:sz w:val="22"/>
              </w:rPr>
              <w:t xml:space="preserve"> frakcie sú tie, ktoré odporúča Medzinárodná únia pôdoznaleckých vied (</w:t>
            </w:r>
            <w:proofErr w:type="spellStart"/>
            <w:r>
              <w:rPr>
                <w:b/>
                <w:i/>
                <w:sz w:val="22"/>
              </w:rPr>
              <w:t>Atterbergove</w:t>
            </w:r>
            <w:proofErr w:type="spellEnd"/>
            <w:r>
              <w:rPr>
                <w:b/>
                <w:i/>
                <w:sz w:val="22"/>
              </w:rPr>
              <w:t xml:space="preserve"> medze), ktoré sú hrubý piesok (2 &gt; Ø &gt; 0,2 mm), jemný piesok (</w:t>
            </w:r>
            <w:r>
              <w:rPr>
                <w:b/>
                <w:i/>
                <w:sz w:val="22"/>
              </w:rPr>
              <w:t xml:space="preserve">0,2 &gt; Ø &gt; 0,02 mm), prach (0,02 &gt; Ø &gt; 0,002 mm) a íl (Ø &lt; 0,002 mm). Frakcia hrubého piesku sa stanovuje preosievaním, frakcie prachu a ílu sa stanovujú sedimentáciou a pipetovaním s použitím </w:t>
            </w:r>
            <w:proofErr w:type="spellStart"/>
            <w:r>
              <w:rPr>
                <w:b/>
                <w:i/>
                <w:sz w:val="22"/>
              </w:rPr>
              <w:t>Robinsonovej</w:t>
            </w:r>
            <w:proofErr w:type="spellEnd"/>
            <w:r>
              <w:rPr>
                <w:b/>
                <w:i/>
                <w:sz w:val="22"/>
              </w:rPr>
              <w:t xml:space="preserve"> pipety a jemný piesok sa stanovuje sedimentáciou a </w:t>
            </w:r>
            <w:proofErr w:type="spellStart"/>
            <w:r>
              <w:rPr>
                <w:b/>
                <w:i/>
                <w:sz w:val="22"/>
              </w:rPr>
              <w:t>dekantáciou</w:t>
            </w:r>
            <w:proofErr w:type="spellEnd"/>
            <w:r>
              <w:rPr>
                <w:b/>
                <w:i/>
                <w:sz w:val="22"/>
              </w:rPr>
              <w:t xml:space="preserve">. Čas sedimentácie sa vypočíta pomocou </w:t>
            </w:r>
            <w:proofErr w:type="spellStart"/>
            <w:r>
              <w:rPr>
                <w:b/>
                <w:i/>
                <w:sz w:val="22"/>
              </w:rPr>
              <w:t>Stokesovho</w:t>
            </w:r>
            <w:proofErr w:type="spellEnd"/>
            <w:r>
              <w:rPr>
                <w:b/>
                <w:i/>
                <w:sz w:val="22"/>
              </w:rPr>
              <w:t xml:space="preserve"> zákona.</w:t>
            </w:r>
          </w:p>
        </w:tc>
        <w:tc>
          <w:tcPr>
            <w:tcW w:w="3150" w:type="dxa"/>
            <w:tcBorders>
              <w:top w:val="single" w:sz="4" w:space="0" w:color="000000"/>
              <w:left w:val="single" w:sz="4" w:space="0" w:color="000000"/>
              <w:bottom w:val="single" w:sz="4" w:space="0" w:color="000000"/>
              <w:right w:val="single" w:sz="4" w:space="0" w:color="000000"/>
            </w:tcBorders>
          </w:tcPr>
          <w:p w:rsidR="009D7883" w:rsidRDefault="009D7883">
            <w:pPr>
              <w:rPr>
                <w:b/>
                <w:i/>
                <w:sz w:val="22"/>
                <w:szCs w:val="22"/>
              </w:rPr>
            </w:pPr>
          </w:p>
        </w:tc>
        <w:tc>
          <w:tcPr>
            <w:tcW w:w="2212" w:type="dxa"/>
            <w:tcBorders>
              <w:top w:val="single" w:sz="4" w:space="0" w:color="000000"/>
              <w:left w:val="single" w:sz="4" w:space="0" w:color="000000"/>
              <w:bottom w:val="single" w:sz="4" w:space="0" w:color="000000"/>
              <w:right w:val="single" w:sz="4" w:space="0" w:color="000000"/>
            </w:tcBorders>
            <w:hideMark/>
          </w:tcPr>
          <w:p w:rsidR="009D7883" w:rsidRDefault="00AA63BB">
            <w:pPr>
              <w:rPr>
                <w:b/>
                <w:i/>
                <w:sz w:val="22"/>
                <w:szCs w:val="22"/>
              </w:rPr>
            </w:pPr>
            <w:r>
              <w:rPr>
                <w:b/>
                <w:i/>
                <w:sz w:val="22"/>
              </w:rPr>
              <w:t>ÁNO</w:t>
            </w:r>
          </w:p>
        </w:tc>
      </w:tr>
    </w:tbl>
    <w:p w:rsidR="009D7883" w:rsidRDefault="00AA63BB">
      <w:pPr>
        <w:spacing w:before="120" w:after="120" w:line="360" w:lineRule="auto"/>
        <w:jc w:val="right"/>
        <w:rPr>
          <w:b/>
          <w:noProof/>
          <w:szCs w:val="24"/>
          <w:lang w:eastAsia="en-US"/>
        </w:rPr>
      </w:pPr>
      <w:r>
        <w:rPr>
          <w:b/>
          <w:noProof/>
          <w:szCs w:val="24"/>
          <w:lang w:eastAsia="en-US"/>
        </w:rPr>
        <w:t>[PN 202]</w:t>
      </w:r>
    </w:p>
    <w:p w:rsidR="009D7883" w:rsidRDefault="00AA63BB">
      <w:pPr>
        <w:spacing w:before="120" w:after="120" w:line="360" w:lineRule="auto"/>
        <w:rPr>
          <w:b/>
          <w:noProof/>
          <w:szCs w:val="24"/>
          <w:lang w:eastAsia="en-US"/>
        </w:rPr>
      </w:pPr>
      <w:r>
        <w:rPr>
          <w:b/>
          <w:noProof/>
          <w:szCs w:val="24"/>
          <w:lang w:eastAsia="en-US"/>
        </w:rPr>
        <w:t>Časť C: minimálne metodické kritériá na stanovenie hodnôt pre ukazovatele záberu pôdy a straty priepustnosti pôdy</w:t>
      </w:r>
    </w:p>
    <w:p w:rsidR="009D7883" w:rsidRDefault="00AA63BB">
      <w:pPr>
        <w:spacing w:before="120" w:after="120" w:line="360" w:lineRule="auto"/>
        <w:rPr>
          <w:noProof/>
          <w:szCs w:val="24"/>
          <w:lang w:eastAsia="en-US"/>
        </w:rPr>
      </w:pPr>
      <w:r>
        <w:rPr>
          <w:noProof/>
          <w:szCs w:val="24"/>
          <w:lang w:eastAsia="en-US"/>
        </w:rPr>
        <w:t xml:space="preserve">V prípade záberu pôdy, zvrátenia záberu pôdy a čistého </w:t>
      </w:r>
      <w:r>
        <w:rPr>
          <w:noProof/>
          <w:szCs w:val="24"/>
          <w:lang w:eastAsia="en-US"/>
        </w:rPr>
        <w:t xml:space="preserve">záberu pôdy by používané metodiky </w:t>
      </w:r>
      <w:r>
        <w:rPr>
          <w:noProof/>
          <w:szCs w:val="24"/>
          <w:lang w:eastAsia="en-US"/>
        </w:rPr>
        <w:lastRenderedPageBreak/>
        <w:t>mali byť v súlade s vymedzením pojmov v článku 3 a v prílohe I.</w:t>
      </w:r>
    </w:p>
    <w:p w:rsidR="009D7883" w:rsidRDefault="00AA63BB">
      <w:pPr>
        <w:spacing w:before="120" w:after="120" w:line="360" w:lineRule="auto"/>
        <w:rPr>
          <w:noProof/>
          <w:szCs w:val="24"/>
          <w:lang w:eastAsia="en-US"/>
        </w:rPr>
      </w:pPr>
      <w:r>
        <w:rPr>
          <w:noProof/>
          <w:szCs w:val="24"/>
          <w:lang w:eastAsia="en-US"/>
        </w:rPr>
        <w:t>Strata priepustnosti pôdy sa vyjadrí ako percentuálny podiel nepriepustnej plochy na celkovej ploche.</w:t>
      </w:r>
    </w:p>
    <w:p w:rsidR="009D7883" w:rsidRDefault="00AA63BB">
      <w:pPr>
        <w:spacing w:before="120" w:after="120" w:line="360" w:lineRule="auto"/>
        <w:rPr>
          <w:noProof/>
          <w:szCs w:val="24"/>
          <w:lang w:eastAsia="en-US"/>
        </w:rPr>
      </w:pPr>
      <w:r>
        <w:rPr>
          <w:noProof/>
          <w:szCs w:val="24"/>
          <w:lang w:eastAsia="en-US"/>
        </w:rPr>
        <w:t>Zvolené metodiky musia byť dostupné buď vo vedeckej lite</w:t>
      </w:r>
      <w:r>
        <w:rPr>
          <w:noProof/>
          <w:szCs w:val="24"/>
          <w:lang w:eastAsia="en-US"/>
        </w:rPr>
        <w:t>ratúre, alebo verejne.</w:t>
      </w:r>
    </w:p>
    <w:p w:rsidR="009D7883" w:rsidRDefault="009D7883">
      <w:pPr>
        <w:spacing w:before="120" w:after="120" w:line="360" w:lineRule="auto"/>
        <w:rPr>
          <w:noProof/>
          <w:szCs w:val="24"/>
          <w:lang w:eastAsia="en-US"/>
        </w:rPr>
        <w:sectPr w:rsidR="009D7883">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strike/>
          <w:noProof/>
          <w:szCs w:val="22"/>
          <w:lang w:eastAsia="en-US"/>
        </w:rPr>
      </w:pPr>
      <w:r>
        <w:rPr>
          <w:rFonts w:eastAsia="Calibri"/>
          <w:strike/>
          <w:noProof/>
          <w:szCs w:val="22"/>
          <w:lang w:eastAsia="en-US"/>
        </w:rPr>
        <w:lastRenderedPageBreak/>
        <w:t xml:space="preserve">PRÍLOHA III </w:t>
      </w:r>
      <w:r>
        <w:rPr>
          <w:rFonts w:eastAsia="Calibri"/>
          <w:strike/>
          <w:noProof/>
          <w:szCs w:val="22"/>
          <w:lang w:eastAsia="en-US"/>
        </w:rPr>
        <w:br/>
        <w:t xml:space="preserve">ZÁSADY UDRŽATEĽNÉHO OBHOSPODAROVANIA PÔDY </w:t>
      </w:r>
    </w:p>
    <w:p w:rsidR="009D7883" w:rsidRDefault="009D7883">
      <w:pPr>
        <w:spacing w:before="120" w:after="120" w:line="360" w:lineRule="auto"/>
        <w:rPr>
          <w:strike/>
          <w:noProof/>
          <w:szCs w:val="24"/>
          <w:lang w:eastAsia="en-US"/>
        </w:rPr>
      </w:pPr>
    </w:p>
    <w:p w:rsidR="009D7883" w:rsidRDefault="00AA63BB">
      <w:pPr>
        <w:spacing w:before="120" w:after="120" w:line="360" w:lineRule="auto"/>
        <w:rPr>
          <w:strike/>
          <w:noProof/>
          <w:szCs w:val="24"/>
          <w:lang w:eastAsia="en-US"/>
        </w:rPr>
      </w:pPr>
      <w:r>
        <w:rPr>
          <w:strike/>
          <w:noProof/>
          <w:szCs w:val="24"/>
          <w:lang w:eastAsia="en-US"/>
        </w:rPr>
        <w:t>Uplatňujú sa tieto zásady:</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a)</w:t>
      </w:r>
      <w:r>
        <w:rPr>
          <w:rFonts w:eastAsia="Calibri"/>
          <w:strike/>
          <w:noProof/>
          <w:szCs w:val="22"/>
          <w:lang w:eastAsia="en-US"/>
        </w:rPr>
        <w:tab/>
        <w:t xml:space="preserve">predchádzať tomu, aby pôda zostala nepokrytá, a to vytvorením a údržbou vegetačnej pokrývky pôdy, najmä v období </w:t>
      </w:r>
      <w:r>
        <w:rPr>
          <w:rFonts w:eastAsia="Calibri"/>
          <w:strike/>
          <w:noProof/>
          <w:szCs w:val="22"/>
          <w:lang w:eastAsia="en-US"/>
        </w:rPr>
        <w:t>environmentálnej citlivosti;</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b)</w:t>
      </w:r>
      <w:r>
        <w:rPr>
          <w:rFonts w:eastAsia="Calibri"/>
          <w:strike/>
          <w:noProof/>
          <w:szCs w:val="22"/>
          <w:lang w:eastAsia="en-US"/>
        </w:rPr>
        <w:tab/>
        <w:t>minimalizovať fyzické narušenie pôdy;</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c)</w:t>
      </w:r>
      <w:r>
        <w:rPr>
          <w:rFonts w:eastAsia="Calibri"/>
          <w:strike/>
          <w:noProof/>
          <w:szCs w:val="22"/>
          <w:lang w:eastAsia="en-US"/>
        </w:rPr>
        <w:tab/>
        <w:t>predchádzať vstupu alebo vypusteniu látok do pôdy, ak takéto látky môžu byť škodlivé pre ľudské zdravie alebo životné prostredie či spôsobiť degradáciu zdravia pôdy;</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d)</w:t>
      </w:r>
      <w:r>
        <w:rPr>
          <w:rFonts w:eastAsia="Calibri"/>
          <w:strike/>
          <w:noProof/>
          <w:szCs w:val="22"/>
          <w:lang w:eastAsia="en-US"/>
        </w:rPr>
        <w:tab/>
        <w:t>zabezpečiť, ab</w:t>
      </w:r>
      <w:r>
        <w:rPr>
          <w:rFonts w:eastAsia="Calibri"/>
          <w:strike/>
          <w:noProof/>
          <w:szCs w:val="22"/>
          <w:lang w:eastAsia="en-US"/>
        </w:rPr>
        <w:t>y bolo používanie strojov prispôsobené sile pôdy, a zaistiť obmedzenie počtu a frekvencie operácií na pôde, aby nepredstavovali hrozbu pre zdravie pôdy;</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e)</w:t>
      </w:r>
      <w:r>
        <w:rPr>
          <w:rFonts w:eastAsia="Calibri"/>
          <w:strike/>
          <w:noProof/>
          <w:szCs w:val="22"/>
          <w:lang w:eastAsia="en-US"/>
        </w:rPr>
        <w:tab/>
        <w:t>pri aplikácii hnojiva zabezpečiť úpravu v súlade s potrebami rastlín a stromov v danej lokalite a v </w:t>
      </w:r>
      <w:r>
        <w:rPr>
          <w:rFonts w:eastAsia="Calibri"/>
          <w:strike/>
          <w:noProof/>
          <w:szCs w:val="22"/>
          <w:lang w:eastAsia="en-US"/>
        </w:rPr>
        <w:t>príslušnom období a v súlade so stavom pôdy a uprednostňovať obehové riešenia, ktorými sa zvyšuje obsah organických látok;</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f)</w:t>
      </w:r>
      <w:r>
        <w:rPr>
          <w:rFonts w:eastAsia="Calibri"/>
          <w:strike/>
          <w:noProof/>
          <w:szCs w:val="22"/>
          <w:lang w:eastAsia="en-US"/>
        </w:rPr>
        <w:tab/>
        <w:t>v súvislosti so zavlažovaním maximalizovať efektívnosť zavlažovacích systémov a riadenia zavlažovania s cieľom zabezpečiť, aby pri</w:t>
      </w:r>
      <w:r>
        <w:rPr>
          <w:rFonts w:eastAsia="Calibri"/>
          <w:strike/>
          <w:noProof/>
          <w:szCs w:val="22"/>
          <w:lang w:eastAsia="en-US"/>
        </w:rPr>
        <w:t xml:space="preserve"> používaní recyklovanej odpadovej vody kvalita vody spĺňala požiadavky stanovené v prílohe I k nariadeniu Európskeho parlamentu a Rady (EÚ) 2020/741</w:t>
      </w:r>
      <w:r>
        <w:rPr>
          <w:rFonts w:eastAsia="Calibri"/>
          <w:strike/>
          <w:noProof/>
          <w:szCs w:val="22"/>
          <w:vertAlign w:val="superscript"/>
          <w:lang w:eastAsia="en-US"/>
        </w:rPr>
        <w:footnoteReference w:id="75"/>
      </w:r>
      <w:r>
        <w:rPr>
          <w:rFonts w:eastAsia="Calibri"/>
          <w:strike/>
          <w:noProof/>
          <w:szCs w:val="22"/>
          <w:lang w:eastAsia="en-US"/>
        </w:rPr>
        <w:t xml:space="preserve"> a aby pri používaní vody z iných zdrojov nedochádzalo k degradácii zdravia pôdy;</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g)</w:t>
      </w:r>
      <w:r>
        <w:rPr>
          <w:rFonts w:eastAsia="Calibri"/>
          <w:strike/>
          <w:noProof/>
          <w:szCs w:val="22"/>
          <w:lang w:eastAsia="en-US"/>
        </w:rPr>
        <w:tab/>
        <w:t>zaistiť ochranu pôdy p</w:t>
      </w:r>
      <w:r>
        <w:rPr>
          <w:rFonts w:eastAsia="Calibri"/>
          <w:strike/>
          <w:noProof/>
          <w:szCs w:val="22"/>
          <w:lang w:eastAsia="en-US"/>
        </w:rPr>
        <w:t>rostredníctvom vytvorenia a udržiavania vhodných krajinných prvkov na úrovni krajiny</w:t>
      </w:r>
      <w:r>
        <w:rPr>
          <w:rFonts w:eastAsia="Calibri"/>
          <w:strike/>
          <w:noProof/>
          <w:szCs w:val="22"/>
          <w:vertAlign w:val="superscript"/>
          <w:lang w:eastAsia="en-US"/>
        </w:rPr>
        <w:footnoteReference w:id="76"/>
      </w:r>
      <w:r>
        <w:rPr>
          <w:rFonts w:eastAsia="Calibri"/>
          <w:strike/>
          <w:noProof/>
          <w:szCs w:val="22"/>
          <w:lang w:eastAsia="en-US"/>
        </w:rPr>
        <w:t>;</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h)</w:t>
      </w:r>
      <w:r>
        <w:rPr>
          <w:rFonts w:eastAsia="Calibri"/>
          <w:strike/>
          <w:noProof/>
          <w:szCs w:val="22"/>
          <w:lang w:eastAsia="en-US"/>
        </w:rPr>
        <w:tab/>
        <w:t>pri pestovaní plodín, rastlín a stromov používať druhy adaptované na lokalitu, ak tým možno predísť degradácii pôdy alebo prispieť k zlepšeniu zdravia pôdy, pričom sa</w:t>
      </w:r>
      <w:r>
        <w:rPr>
          <w:rFonts w:eastAsia="Calibri"/>
          <w:strike/>
          <w:noProof/>
          <w:szCs w:val="22"/>
          <w:lang w:eastAsia="en-US"/>
        </w:rPr>
        <w:t xml:space="preserve"> takisto zohľadňuje adaptácia na zmenu klímy; </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i)</w:t>
      </w:r>
      <w:r>
        <w:rPr>
          <w:rFonts w:eastAsia="Calibri"/>
          <w:strike/>
          <w:noProof/>
          <w:szCs w:val="22"/>
          <w:lang w:eastAsia="en-US"/>
        </w:rPr>
        <w:tab/>
        <w:t>zabezpečiť optimalizovanú úroveň obsahu vody v organických pôdach, aby štruktúra a zloženie takýchto pôd nepodliehali negatívnemu vplyvu</w:t>
      </w:r>
      <w:r>
        <w:rPr>
          <w:rFonts w:eastAsia="Calibri"/>
          <w:strike/>
          <w:noProof/>
          <w:szCs w:val="22"/>
          <w:vertAlign w:val="superscript"/>
          <w:lang w:eastAsia="en-US"/>
        </w:rPr>
        <w:footnoteReference w:id="77"/>
      </w:r>
      <w:r>
        <w:rPr>
          <w:rFonts w:eastAsia="Calibri"/>
          <w:strike/>
          <w:noProof/>
          <w:szCs w:val="22"/>
          <w:lang w:eastAsia="en-US"/>
        </w:rPr>
        <w:t>;</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j)</w:t>
      </w:r>
      <w:r>
        <w:rPr>
          <w:rFonts w:eastAsia="Calibri"/>
          <w:strike/>
          <w:noProof/>
          <w:szCs w:val="22"/>
          <w:lang w:eastAsia="en-US"/>
        </w:rPr>
        <w:tab/>
        <w:t>v súvislosti s pestovaním plodín zabezpečiť striedanie a rozmani</w:t>
      </w:r>
      <w:r>
        <w:rPr>
          <w:rFonts w:eastAsia="Calibri"/>
          <w:strike/>
          <w:noProof/>
          <w:szCs w:val="22"/>
          <w:lang w:eastAsia="en-US"/>
        </w:rPr>
        <w:t>tosť plodín, pričom sa vezmú do úvahy rôzne čeľade plodín, koreňové systémy, potreby týkajúce sa vody a živín a integrovaná ochrana proti škodcom;</w:t>
      </w:r>
    </w:p>
    <w:p w:rsidR="009D7883" w:rsidRDefault="00AA63BB">
      <w:pPr>
        <w:widowControl/>
        <w:spacing w:before="120" w:after="120"/>
        <w:ind w:left="850" w:hanging="850"/>
        <w:jc w:val="both"/>
        <w:rPr>
          <w:rFonts w:eastAsia="Calibri"/>
          <w:strike/>
          <w:noProof/>
          <w:szCs w:val="22"/>
          <w:lang w:eastAsia="en-US"/>
        </w:rPr>
      </w:pPr>
      <w:r>
        <w:rPr>
          <w:rFonts w:eastAsia="Calibri"/>
          <w:strike/>
          <w:noProof/>
          <w:szCs w:val="22"/>
          <w:lang w:eastAsia="en-US"/>
        </w:rPr>
        <w:t>k)</w:t>
      </w:r>
      <w:r>
        <w:rPr>
          <w:rFonts w:eastAsia="Calibri"/>
          <w:strike/>
          <w:noProof/>
          <w:szCs w:val="22"/>
          <w:lang w:eastAsia="en-US"/>
        </w:rPr>
        <w:tab/>
        <w:t>upraviť pohyb hospodárskych zvierat a ich čas pastvy, pričom sa zohľadnia druhy zvierat a hustota stáda, a</w:t>
      </w:r>
      <w:r>
        <w:rPr>
          <w:rFonts w:eastAsia="Calibri"/>
          <w:strike/>
          <w:noProof/>
          <w:szCs w:val="22"/>
          <w:lang w:eastAsia="en-US"/>
        </w:rPr>
        <w:t>by sa neohrozilo zdravie pôdy a aby neklesla schopnosť pôdy poskytovať krmivo rastlinného pôvodu;</w:t>
      </w:r>
    </w:p>
    <w:p w:rsidR="009D7883" w:rsidRDefault="00AA63BB">
      <w:pPr>
        <w:widowControl/>
        <w:spacing w:before="120" w:after="120"/>
        <w:ind w:left="850" w:hanging="850"/>
        <w:jc w:val="both"/>
        <w:rPr>
          <w:rFonts w:eastAsia="Calibri"/>
          <w:b/>
          <w:noProof/>
          <w:szCs w:val="22"/>
          <w:lang w:eastAsia="en-US"/>
        </w:rPr>
      </w:pPr>
      <w:r>
        <w:rPr>
          <w:rFonts w:eastAsia="Calibri"/>
          <w:strike/>
          <w:noProof/>
          <w:szCs w:val="22"/>
          <w:lang w:eastAsia="en-US"/>
        </w:rPr>
        <w:t>l)</w:t>
      </w:r>
      <w:r>
        <w:rPr>
          <w:rFonts w:eastAsia="Calibri"/>
          <w:strike/>
          <w:noProof/>
          <w:szCs w:val="22"/>
          <w:lang w:eastAsia="en-US"/>
        </w:rPr>
        <w:tab/>
        <w:t>v prípade, že je známa neprimeraná strata jednej alebo viacerých funkcií, čím sa značne znižuje schopnosť pôdy poskytovať ekosystémové služby, treba uplatň</w:t>
      </w:r>
      <w:r>
        <w:rPr>
          <w:rFonts w:eastAsia="Calibri"/>
          <w:strike/>
          <w:noProof/>
          <w:szCs w:val="22"/>
          <w:lang w:eastAsia="en-US"/>
        </w:rPr>
        <w:t>ovať zacielené opatrenia na regeneráciu uvedených pôdnych funkcií.</w:t>
      </w:r>
      <w:r>
        <w:rPr>
          <w:rFonts w:eastAsia="Calibri"/>
          <w:b/>
          <w:noProof/>
          <w:szCs w:val="22"/>
          <w:lang w:eastAsia="en-US"/>
        </w:rPr>
        <w:t xml:space="preserve"> [PN 260]</w:t>
      </w:r>
    </w:p>
    <w:p w:rsidR="009D7883" w:rsidRDefault="009D7883">
      <w:pPr>
        <w:spacing w:before="120" w:after="120" w:line="360" w:lineRule="auto"/>
        <w:rPr>
          <w:noProof/>
          <w:szCs w:val="24"/>
          <w:lang w:eastAsia="en-US"/>
        </w:rPr>
      </w:pPr>
    </w:p>
    <w:p w:rsidR="009D7883" w:rsidRDefault="009D7883">
      <w:pPr>
        <w:spacing w:before="120" w:after="120" w:line="360" w:lineRule="auto"/>
        <w:rPr>
          <w:noProof/>
          <w:szCs w:val="24"/>
          <w:lang w:eastAsia="en-US"/>
        </w:rPr>
        <w:sectPr w:rsidR="009D7883">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noProof/>
          <w:szCs w:val="22"/>
          <w:lang w:eastAsia="en-US"/>
        </w:rPr>
      </w:pPr>
      <w:r>
        <w:rPr>
          <w:rFonts w:eastAsia="Calibri"/>
          <w:noProof/>
          <w:szCs w:val="22"/>
          <w:lang w:eastAsia="en-US"/>
        </w:rPr>
        <w:lastRenderedPageBreak/>
        <w:t xml:space="preserve">PRÍLOHA IV </w:t>
      </w:r>
      <w:r>
        <w:rPr>
          <w:rFonts w:eastAsia="Calibri"/>
          <w:noProof/>
          <w:szCs w:val="22"/>
          <w:lang w:eastAsia="en-US"/>
        </w:rPr>
        <w:br/>
        <w:t xml:space="preserve"> PROGRAMY, PLÁNY, CIELE A OPATRENIA UVEDENÉ V ČLÁNKU 10 </w:t>
      </w:r>
    </w:p>
    <w:p w:rsidR="009D7883" w:rsidRDefault="00AA63BB">
      <w:pPr>
        <w:spacing w:before="120" w:after="120" w:line="360" w:lineRule="auto"/>
        <w:rPr>
          <w:b/>
          <w:noProof/>
          <w:szCs w:val="24"/>
          <w:lang w:eastAsia="en-US"/>
        </w:rPr>
      </w:pPr>
      <w:r>
        <w:rPr>
          <w:b/>
          <w:i/>
          <w:szCs w:val="24"/>
          <w:lang w:eastAsia="en-US"/>
        </w:rPr>
        <w:t>Zohľadní sa tento orientačný zoznam programov, plánov, cieľov a opatrení:</w:t>
      </w:r>
      <w:r>
        <w:rPr>
          <w:b/>
          <w:szCs w:val="24"/>
          <w:lang w:eastAsia="en-US"/>
        </w:rPr>
        <w:t xml:space="preserve"> [PN 214]</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r>
      <w:r>
        <w:rPr>
          <w:rFonts w:eastAsia="Calibri"/>
          <w:noProof/>
          <w:szCs w:val="22"/>
          <w:lang w:eastAsia="en-US"/>
        </w:rPr>
        <w:t>Národné plány obnovy prírody vypracované v súlade s nariadením …/…</w:t>
      </w:r>
      <w:r>
        <w:rPr>
          <w:rFonts w:eastAsia="Calibri"/>
          <w:noProof/>
          <w:szCs w:val="22"/>
          <w:vertAlign w:val="superscript"/>
          <w:lang w:eastAsia="en-US"/>
        </w:rPr>
        <w:footnoteReference w:id="78"/>
      </w:r>
      <w:r>
        <w:rPr>
          <w:rFonts w:eastAsia="Calibri"/>
          <w:noProof/>
          <w:szCs w:val="22"/>
          <w:lang w:eastAsia="en-US"/>
        </w:rPr>
        <w:t>+.</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Strategické plány, ktoré majú vypracovať členské štáty podľa spoločnej poľnohospodárskej politiky v súlade s nariadením (EÚ) 2021/2115.</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3.</w:t>
      </w:r>
      <w:r>
        <w:rPr>
          <w:rFonts w:eastAsia="Calibri"/>
          <w:noProof/>
          <w:szCs w:val="22"/>
          <w:lang w:eastAsia="en-US"/>
        </w:rPr>
        <w:tab/>
        <w:t xml:space="preserve">Kódex vhodných postupov v poľnohospodárstve </w:t>
      </w:r>
      <w:r>
        <w:rPr>
          <w:rFonts w:eastAsia="Calibri"/>
          <w:noProof/>
          <w:szCs w:val="22"/>
          <w:lang w:eastAsia="en-US"/>
        </w:rPr>
        <w:t>a akčné programy pre navrhnuté ohrozené pásma prijaté v zmysle smernice 91/676/EHS.</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Ochranné opatrenia a prioritný akčný rámec zriadený pre lokality sústavy Natura 2000 v súlade so smernicou 92/43/EHS.</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5.</w:t>
      </w:r>
      <w:r>
        <w:rPr>
          <w:rFonts w:eastAsia="Calibri"/>
          <w:noProof/>
          <w:szCs w:val="22"/>
          <w:lang w:eastAsia="en-US"/>
        </w:rPr>
        <w:tab/>
        <w:t>Opatrenia na dosiahnutie dobrého ekologického a </w:t>
      </w:r>
      <w:r>
        <w:rPr>
          <w:rFonts w:eastAsia="Calibri"/>
          <w:noProof/>
          <w:szCs w:val="22"/>
          <w:lang w:eastAsia="en-US"/>
        </w:rPr>
        <w:t>chemického stavu útvarov povrchovej vody a dobrého chemického a kvantitatívneho stavu útvarov podzemnej vody, ktoré sú zahrnuté do plánov manažmentu povodia pripravených podľa smernice 2000/60/ES.</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6.</w:t>
      </w:r>
      <w:r>
        <w:rPr>
          <w:rFonts w:eastAsia="Calibri"/>
          <w:noProof/>
          <w:szCs w:val="22"/>
          <w:lang w:eastAsia="en-US"/>
        </w:rPr>
        <w:tab/>
        <w:t>Opatrenia na manažment povodňových rizík obsiahnuté v pl</w:t>
      </w:r>
      <w:r>
        <w:rPr>
          <w:rFonts w:eastAsia="Calibri"/>
          <w:noProof/>
          <w:szCs w:val="22"/>
          <w:lang w:eastAsia="en-US"/>
        </w:rPr>
        <w:t>ánoch manažmentu povodňového rizika vypracovaných v súlade so smernicou 2007/60/ES.</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7.</w:t>
      </w:r>
      <w:r>
        <w:rPr>
          <w:rFonts w:eastAsia="Calibri"/>
          <w:noProof/>
          <w:szCs w:val="22"/>
          <w:lang w:eastAsia="en-US"/>
        </w:rPr>
        <w:tab/>
        <w:t xml:space="preserve">Plány riadenia stavov sucha, na ktoré sa odkazuje v stratégii Únie pre adaptáciu na zmenu klímy.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8.</w:t>
      </w:r>
      <w:r>
        <w:rPr>
          <w:rFonts w:eastAsia="Calibri"/>
          <w:noProof/>
          <w:szCs w:val="22"/>
          <w:lang w:eastAsia="en-US"/>
        </w:rPr>
        <w:tab/>
        <w:t xml:space="preserve">Národné akčné programy zavedené v súlade s Dohovorom OSN o boji </w:t>
      </w:r>
      <w:r>
        <w:rPr>
          <w:rFonts w:eastAsia="Calibri"/>
          <w:noProof/>
          <w:szCs w:val="22"/>
          <w:lang w:eastAsia="en-US"/>
        </w:rPr>
        <w:t>proti dezertifikácii.</w:t>
      </w:r>
    </w:p>
    <w:p w:rsidR="009D7883" w:rsidRDefault="00AA63BB">
      <w:pPr>
        <w:widowControl/>
        <w:spacing w:before="120" w:after="120"/>
        <w:ind w:left="850" w:hanging="850"/>
        <w:jc w:val="both"/>
        <w:rPr>
          <w:rFonts w:eastAsia="Calibri"/>
          <w:b/>
          <w:noProof/>
          <w:szCs w:val="22"/>
          <w:lang w:eastAsia="en-US"/>
        </w:rPr>
      </w:pPr>
      <w:r>
        <w:rPr>
          <w:rFonts w:eastAsia="Calibri"/>
          <w:b/>
          <w:i/>
          <w:szCs w:val="22"/>
          <w:lang w:eastAsia="en-US"/>
        </w:rPr>
        <w:t>8a.</w:t>
      </w:r>
      <w:r>
        <w:rPr>
          <w:rFonts w:eastAsia="Calibri"/>
          <w:szCs w:val="22"/>
          <w:lang w:eastAsia="en-US"/>
        </w:rPr>
        <w:tab/>
      </w:r>
      <w:r>
        <w:rPr>
          <w:rFonts w:eastAsia="Calibri"/>
          <w:b/>
          <w:i/>
          <w:szCs w:val="22"/>
          <w:lang w:eastAsia="en-US"/>
        </w:rPr>
        <w:t>Národné stratégie a akčné plány v oblasti biodiverzity vypracované v súlade s článkom 6 Dohovoru OSN o biologickej diverzite.</w:t>
      </w:r>
      <w:r>
        <w:rPr>
          <w:rFonts w:eastAsia="Calibri"/>
          <w:b/>
          <w:szCs w:val="22"/>
          <w:lang w:eastAsia="en-US"/>
        </w:rPr>
        <w:t xml:space="preserve"> [PN 215]</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9.</w:t>
      </w:r>
      <w:r>
        <w:rPr>
          <w:rFonts w:eastAsia="Calibri"/>
          <w:noProof/>
          <w:szCs w:val="22"/>
          <w:lang w:eastAsia="en-US"/>
        </w:rPr>
        <w:tab/>
        <w:t>Cieľové hodnoty stanovené podľa nariadenia (EÚ) 2018/841.</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10.</w:t>
      </w:r>
      <w:r>
        <w:rPr>
          <w:rFonts w:eastAsia="Calibri"/>
          <w:noProof/>
          <w:szCs w:val="22"/>
          <w:lang w:eastAsia="en-US"/>
        </w:rPr>
        <w:tab/>
        <w:t>Cieľové hodnoty stanovené podľ</w:t>
      </w:r>
      <w:r>
        <w:rPr>
          <w:rFonts w:eastAsia="Calibri"/>
          <w:noProof/>
          <w:szCs w:val="22"/>
          <w:lang w:eastAsia="en-US"/>
        </w:rPr>
        <w:t>a nariadenia (EÚ) 2018/842.</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11.</w:t>
      </w:r>
      <w:r>
        <w:rPr>
          <w:rFonts w:eastAsia="Calibri"/>
          <w:noProof/>
          <w:szCs w:val="22"/>
          <w:lang w:eastAsia="en-US"/>
        </w:rPr>
        <w:tab/>
        <w:t xml:space="preserve">Národné programy riadenia znečisťovania ovzdušia vypracované podľa smernice (EÚ) 2016/2284 a monitorované údaje týkajúce sa vplyvov znečistenia ovzdušia na ekosystémy, ktoré boli oznámené v uvedenej smernici.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12.</w:t>
      </w:r>
      <w:r>
        <w:rPr>
          <w:rFonts w:eastAsia="Calibri"/>
          <w:noProof/>
          <w:szCs w:val="22"/>
          <w:lang w:eastAsia="en-US"/>
        </w:rPr>
        <w:tab/>
        <w:t>Integrovan</w:t>
      </w:r>
      <w:r>
        <w:rPr>
          <w:rFonts w:eastAsia="Calibri"/>
          <w:noProof/>
          <w:szCs w:val="22"/>
          <w:lang w:eastAsia="en-US"/>
        </w:rPr>
        <w:t xml:space="preserve">ý národný energetický a klimatický plán vytvorený v súlade s nariadením (EÚ) 2018/1999.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13.</w:t>
      </w:r>
      <w:r>
        <w:rPr>
          <w:rFonts w:eastAsia="Calibri"/>
          <w:noProof/>
          <w:szCs w:val="22"/>
          <w:lang w:eastAsia="en-US"/>
        </w:rPr>
        <w:tab/>
        <w:t>Posúdenia rizík a plánovanie riadenia rizika katastrof v zmysle rozhodnutia č. 1313/2013/EÚ.</w:t>
      </w:r>
    </w:p>
    <w:p w:rsidR="009D7883" w:rsidRDefault="00AA63BB">
      <w:pPr>
        <w:widowControl/>
        <w:spacing w:before="120" w:after="120"/>
        <w:ind w:left="850" w:hanging="850"/>
        <w:jc w:val="both"/>
        <w:rPr>
          <w:rFonts w:eastAsia="Calibri"/>
          <w:b/>
          <w:noProof/>
          <w:szCs w:val="22"/>
          <w:lang w:eastAsia="en-US"/>
        </w:rPr>
      </w:pPr>
      <w:r>
        <w:rPr>
          <w:rFonts w:eastAsia="Calibri"/>
          <w:noProof/>
          <w:szCs w:val="22"/>
          <w:lang w:eastAsia="en-US"/>
        </w:rPr>
        <w:t>14.</w:t>
      </w:r>
      <w:r>
        <w:rPr>
          <w:rFonts w:eastAsia="Calibri"/>
          <w:noProof/>
          <w:szCs w:val="22"/>
          <w:lang w:eastAsia="en-US"/>
        </w:rPr>
        <w:tab/>
        <w:t>Národné akčné plány prijaté v súlade s článkom </w:t>
      </w:r>
      <w:r>
        <w:rPr>
          <w:rFonts w:eastAsia="Calibri"/>
          <w:strike/>
          <w:noProof/>
          <w:szCs w:val="22"/>
          <w:lang w:eastAsia="en-US"/>
        </w:rPr>
        <w:t>8 nariadenia …/…</w:t>
      </w:r>
      <w:r>
        <w:rPr>
          <w:rFonts w:eastAsia="Calibri"/>
          <w:strike/>
          <w:noProof/>
          <w:szCs w:val="22"/>
          <w:vertAlign w:val="superscript"/>
          <w:lang w:eastAsia="en-US"/>
        </w:rPr>
        <w:footnoteReference w:id="79"/>
      </w:r>
      <w:r>
        <w:rPr>
          <w:rFonts w:eastAsia="Calibri"/>
          <w:strike/>
          <w:noProof/>
          <w:szCs w:val="22"/>
          <w:lang w:eastAsia="en-US"/>
        </w:rPr>
        <w:t>+</w:t>
      </w:r>
      <w:r>
        <w:rPr>
          <w:rFonts w:eastAsia="Calibri"/>
          <w:b/>
          <w:bCs/>
          <w:i/>
          <w:iCs/>
          <w:szCs w:val="22"/>
          <w:lang w:eastAsia="en-US"/>
        </w:rPr>
        <w:t>4</w:t>
      </w:r>
      <w:r>
        <w:rPr>
          <w:rFonts w:eastAsia="Calibri"/>
          <w:szCs w:val="22"/>
          <w:lang w:eastAsia="en-US"/>
        </w:rPr>
        <w:t xml:space="preserve"> </w:t>
      </w:r>
      <w:r>
        <w:rPr>
          <w:rFonts w:eastAsia="Calibri"/>
          <w:b/>
          <w:bCs/>
          <w:i/>
          <w:iCs/>
          <w:szCs w:val="22"/>
          <w:lang w:eastAsia="en-US"/>
        </w:rPr>
        <w:t>smernice</w:t>
      </w:r>
      <w:r>
        <w:rPr>
          <w:rFonts w:eastAsia="Calibri"/>
          <w:szCs w:val="22"/>
          <w:lang w:eastAsia="en-US"/>
        </w:rPr>
        <w:t xml:space="preserve"> </w:t>
      </w:r>
      <w:r>
        <w:rPr>
          <w:rFonts w:eastAsia="Calibri"/>
          <w:b/>
          <w:i/>
          <w:szCs w:val="22"/>
          <w:lang w:eastAsia="en-US"/>
        </w:rPr>
        <w:t>2009/128/ES</w:t>
      </w:r>
      <w:r>
        <w:rPr>
          <w:rFonts w:eastAsia="Calibri"/>
          <w:noProof/>
          <w:szCs w:val="22"/>
          <w:lang w:eastAsia="en-US"/>
        </w:rPr>
        <w:t xml:space="preserve">. </w:t>
      </w:r>
      <w:r>
        <w:rPr>
          <w:rFonts w:eastAsia="Calibri"/>
          <w:b/>
          <w:noProof/>
          <w:szCs w:val="22"/>
          <w:lang w:eastAsia="en-US"/>
        </w:rPr>
        <w:t xml:space="preserve"> [PN 216]</w:t>
      </w:r>
    </w:p>
    <w:p w:rsidR="009D7883" w:rsidRDefault="009D7883">
      <w:pPr>
        <w:spacing w:before="120" w:after="120" w:line="360" w:lineRule="auto"/>
        <w:rPr>
          <w:noProof/>
          <w:szCs w:val="24"/>
          <w:lang w:eastAsia="en-US"/>
        </w:rPr>
      </w:pPr>
    </w:p>
    <w:p w:rsidR="009D7883" w:rsidRDefault="009D7883">
      <w:pPr>
        <w:spacing w:before="120" w:after="120" w:line="360" w:lineRule="auto"/>
        <w:rPr>
          <w:noProof/>
          <w:szCs w:val="24"/>
          <w:lang w:eastAsia="en-US"/>
        </w:rPr>
        <w:sectPr w:rsidR="009D7883">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noProof/>
          <w:szCs w:val="22"/>
          <w:lang w:eastAsia="en-US"/>
        </w:rPr>
      </w:pPr>
      <w:r>
        <w:rPr>
          <w:rFonts w:eastAsia="Calibri"/>
          <w:noProof/>
          <w:szCs w:val="22"/>
          <w:lang w:eastAsia="en-US"/>
        </w:rPr>
        <w:lastRenderedPageBreak/>
        <w:t xml:space="preserve">PRÍLOHA V </w:t>
      </w:r>
      <w:r>
        <w:rPr>
          <w:rFonts w:eastAsia="Calibri"/>
          <w:noProof/>
          <w:szCs w:val="22"/>
          <w:lang w:eastAsia="en-US"/>
        </w:rPr>
        <w:br/>
        <w:t>ORIENTAČNÝ ZOZNAM OPATRENÍ NA ZNÍŽENIE RIZÍK</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Techniky sanácie na sanáciu </w:t>
      </w:r>
      <w:r>
        <w:rPr>
          <w:rFonts w:eastAsia="Calibri"/>
          <w:i/>
          <w:iCs/>
          <w:noProof/>
          <w:szCs w:val="22"/>
          <w:lang w:eastAsia="en-US"/>
        </w:rPr>
        <w:t>in-situ</w:t>
      </w:r>
      <w:r>
        <w:rPr>
          <w:rFonts w:eastAsia="Calibri"/>
          <w:noProof/>
          <w:szCs w:val="22"/>
          <w:lang w:eastAsia="en-US"/>
        </w:rPr>
        <w:t xml:space="preserve"> alebo </w:t>
      </w:r>
      <w:r>
        <w:rPr>
          <w:rFonts w:eastAsia="Calibri"/>
          <w:i/>
          <w:iCs/>
          <w:noProof/>
          <w:szCs w:val="22"/>
          <w:lang w:eastAsia="en-US"/>
        </w:rPr>
        <w:t>ex-situ</w:t>
      </w:r>
      <w:r>
        <w:rPr>
          <w:rFonts w:eastAsia="Calibri"/>
          <w:noProof/>
          <w:szCs w:val="22"/>
          <w:lang w:eastAsia="en-US"/>
        </w:rPr>
        <w:t>:</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techniky fyzikálnej sanácie: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extrakcia pôdnych pár, prevzdušňovanie vháňaním </w:t>
      </w:r>
      <w:r>
        <w:rPr>
          <w:rFonts w:eastAsia="Calibri"/>
          <w:noProof/>
          <w:szCs w:val="22"/>
          <w:lang w:eastAsia="en-US"/>
        </w:rPr>
        <w:t>vzduchu;</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tepelné ošetrenie, vstrekovanie pary, tepelná desorpcia, vitrifikácia;</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pranie a premývanie pôdy;</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elektrokinetická extrakcia;</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odstraňovanie kvapalnej vrstvy;</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f)</w:t>
      </w:r>
      <w:r>
        <w:rPr>
          <w:rFonts w:eastAsia="Calibri"/>
          <w:noProof/>
          <w:szCs w:val="22"/>
          <w:lang w:eastAsia="en-US"/>
        </w:rPr>
        <w:tab/>
        <w:t>vykopanie a skládkovanie;</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techniky biologickej sanácie: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stimulácia </w:t>
      </w:r>
      <w:r>
        <w:rPr>
          <w:rFonts w:eastAsia="Calibri"/>
          <w:noProof/>
          <w:szCs w:val="22"/>
          <w:lang w:eastAsia="en-US"/>
        </w:rPr>
        <w:t>aeróbnej alebo anaeróbnej degradácie: biosanácia, biostimulácia, bioaugmentácia, bioventilácia (bioventing) a bioareácia (biosparging);</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fytoextrakcia, fytovolatilizácia, fytodegradácia;</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kompostovanie, pôdne kondicionéry, obrábanie pôdy (landfarming) </w:t>
      </w:r>
      <w:r>
        <w:rPr>
          <w:rFonts w:eastAsia="Calibri"/>
          <w:noProof/>
          <w:szCs w:val="22"/>
          <w:lang w:eastAsia="en-US"/>
        </w:rPr>
        <w:t>a bioreaktorové systémy;</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biofiltrácia, mokrade na biologickú sanáciu a biolôžko;</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prirodzené zmierňovanie;</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techniky chemickej sanácie: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chemická oxidácia;</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chemická redukcia a redukčno-oxidačné reakcie (redox);</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čerpanie a úprava podzemnej vo</w:t>
      </w:r>
      <w:r>
        <w:rPr>
          <w:rFonts w:eastAsia="Calibri"/>
          <w:noProof/>
          <w:szCs w:val="22"/>
          <w:lang w:eastAsia="en-US"/>
        </w:rPr>
        <w:t>dy;</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techniky sanácie na izoláciu, zamedzenie a monitorovanie;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tvorba pôdneho prísušku, reaktívne bariéry, zapuzdrovanie;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chemická stabilizácia, solidifikácia a imobilizácia; </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geo-hydrologická izolácia a geo-hydrologické zamedzenie;</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fytostabi</w:t>
      </w:r>
      <w:r>
        <w:rPr>
          <w:rFonts w:eastAsia="Calibri"/>
          <w:noProof/>
          <w:szCs w:val="22"/>
          <w:lang w:eastAsia="en-US"/>
        </w:rPr>
        <w:t xml:space="preserve">lizácia; </w:t>
      </w:r>
    </w:p>
    <w:p w:rsidR="009D7883" w:rsidRDefault="00AA63BB">
      <w:pPr>
        <w:widowControl/>
        <w:spacing w:before="120" w:after="120"/>
        <w:ind w:left="1984"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 xml:space="preserve">kontrola a nadväzná starostlivosť prostredníctvom monitorovacích vrtov.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Opatrenia na zníženie rizík iné než sanácia:</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obmedzenie pestovania a spotreby plodín a zeleniny; </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obmedzenie spotreby vajec; </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obmedzenie prístupu </w:t>
      </w:r>
      <w:r>
        <w:rPr>
          <w:rFonts w:eastAsia="Calibri"/>
          <w:noProof/>
          <w:szCs w:val="22"/>
          <w:lang w:eastAsia="en-US"/>
        </w:rPr>
        <w:t>spoločenských zvierat alebo chovu;</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obmedzenie extrahovania alebo využívania podzemnej vody na pitie, osobnú hygienu či na priemyselné účely;</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obmedzenie búrania, opätovného spriepustnenia alebo výstavby v lokalite;</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f)</w:t>
      </w:r>
      <w:r>
        <w:rPr>
          <w:rFonts w:eastAsia="Calibri"/>
          <w:noProof/>
          <w:szCs w:val="22"/>
          <w:lang w:eastAsia="en-US"/>
        </w:rPr>
        <w:tab/>
        <w:t>obmedzenie prístupu na lokalitu a</w:t>
      </w:r>
      <w:r>
        <w:rPr>
          <w:rFonts w:eastAsia="Calibri"/>
          <w:noProof/>
          <w:szCs w:val="22"/>
          <w:lang w:eastAsia="en-US"/>
        </w:rPr>
        <w:t>lebo do jej susedstva (napr. oplotením);</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g)</w:t>
      </w:r>
      <w:r>
        <w:rPr>
          <w:rFonts w:eastAsia="Calibri"/>
          <w:noProof/>
          <w:szCs w:val="22"/>
          <w:lang w:eastAsia="en-US"/>
        </w:rPr>
        <w:tab/>
        <w:t>obmedzenie využívania pôdy alebo zmien využívania pôdy;</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lastRenderedPageBreak/>
        <w:t>h)</w:t>
      </w:r>
      <w:r>
        <w:rPr>
          <w:rFonts w:eastAsia="Calibri"/>
          <w:noProof/>
          <w:szCs w:val="22"/>
          <w:lang w:eastAsia="en-US"/>
        </w:rPr>
        <w:tab/>
        <w:t xml:space="preserve">obmedzenie kopania, vŕtania alebo hĺbenia; </w:t>
      </w:r>
    </w:p>
    <w:p w:rsidR="009D7883" w:rsidRDefault="00AA63BB">
      <w:pPr>
        <w:widowControl/>
        <w:spacing w:before="120" w:after="120"/>
        <w:ind w:left="1417" w:hanging="567"/>
        <w:jc w:val="both"/>
        <w:rPr>
          <w:rFonts w:eastAsia="Calibri"/>
          <w:noProof/>
          <w:szCs w:val="22"/>
          <w:lang w:eastAsia="en-US"/>
        </w:rPr>
      </w:pPr>
      <w:r>
        <w:rPr>
          <w:rFonts w:eastAsia="Calibri"/>
          <w:noProof/>
          <w:szCs w:val="22"/>
          <w:lang w:eastAsia="en-US"/>
        </w:rPr>
        <w:t>i)</w:t>
      </w:r>
      <w:r>
        <w:rPr>
          <w:rFonts w:eastAsia="Calibri"/>
          <w:noProof/>
          <w:szCs w:val="22"/>
          <w:lang w:eastAsia="en-US"/>
        </w:rPr>
        <w:tab/>
        <w:t xml:space="preserve">obmedzenie s cieľom predchádzať kontaktu s pôdou, prachom alebo vzduchom v interiéri a uplatňovať </w:t>
      </w:r>
      <w:r>
        <w:rPr>
          <w:rFonts w:eastAsia="Calibri"/>
          <w:noProof/>
          <w:szCs w:val="22"/>
          <w:lang w:eastAsia="en-US"/>
        </w:rPr>
        <w:t>bezpečnostné opatrenia na ochranu ľudského zdravia (ako sú respirátory, rukavice, čistenie na mokro atď.).</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3.</w:t>
      </w:r>
      <w:r>
        <w:rPr>
          <w:rFonts w:eastAsia="Calibri"/>
          <w:noProof/>
          <w:szCs w:val="22"/>
          <w:lang w:eastAsia="en-US"/>
        </w:rPr>
        <w:tab/>
        <w:t>Najlepšie dostupné techniky, na ktoré sa odkazuje v smernici 2010/75/EÚ.</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Opatrenia, ktoré po významnej havárii prijali príslušné orgány a priem</w:t>
      </w:r>
      <w:r>
        <w:rPr>
          <w:rFonts w:eastAsia="Calibri"/>
          <w:noProof/>
          <w:szCs w:val="22"/>
          <w:lang w:eastAsia="en-US"/>
        </w:rPr>
        <w:t>yselné subjekty v súlade so smernicou 2012/18/EÚ.</w:t>
      </w:r>
    </w:p>
    <w:p w:rsidR="009D7883" w:rsidRDefault="009D7883">
      <w:pPr>
        <w:spacing w:before="120" w:after="120" w:line="360" w:lineRule="auto"/>
        <w:rPr>
          <w:noProof/>
          <w:szCs w:val="24"/>
          <w:lang w:eastAsia="en-US"/>
        </w:rPr>
      </w:pPr>
    </w:p>
    <w:p w:rsidR="009D7883" w:rsidRDefault="009D7883">
      <w:pPr>
        <w:spacing w:before="120" w:after="120" w:line="360" w:lineRule="auto"/>
        <w:rPr>
          <w:noProof/>
          <w:szCs w:val="24"/>
          <w:lang w:eastAsia="en-US"/>
        </w:rPr>
        <w:sectPr w:rsidR="009D7883">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noProof/>
          <w:szCs w:val="22"/>
          <w:lang w:eastAsia="en-US"/>
        </w:rPr>
      </w:pPr>
      <w:r>
        <w:rPr>
          <w:rFonts w:eastAsia="Calibri"/>
          <w:noProof/>
          <w:szCs w:val="22"/>
          <w:lang w:eastAsia="en-US"/>
        </w:rPr>
        <w:lastRenderedPageBreak/>
        <w:t xml:space="preserve">PRÍLOHA VI </w:t>
      </w:r>
      <w:r>
        <w:rPr>
          <w:rFonts w:eastAsia="Calibri"/>
          <w:noProof/>
          <w:szCs w:val="22"/>
          <w:lang w:eastAsia="en-US"/>
        </w:rPr>
        <w:br/>
        <w:t>FÁZY A POŽIADAVKY POSÚDENIA RIZIKA ŠPECIFICKÉHO PRE DANÚ LOKALITU</w:t>
      </w:r>
    </w:p>
    <w:p w:rsidR="009D7883" w:rsidRDefault="009D7883">
      <w:pPr>
        <w:spacing w:before="120" w:after="120" w:line="360" w:lineRule="auto"/>
        <w:rPr>
          <w:noProof/>
          <w:szCs w:val="24"/>
          <w:lang w:eastAsia="en-US"/>
        </w:rPr>
      </w:pPr>
    </w:p>
    <w:p w:rsidR="009D7883" w:rsidRDefault="00AA63BB">
      <w:pPr>
        <w:spacing w:before="120" w:after="120" w:line="360" w:lineRule="auto"/>
        <w:rPr>
          <w:noProof/>
          <w:szCs w:val="24"/>
          <w:lang w:eastAsia="en-US"/>
        </w:rPr>
      </w:pPr>
      <w:r>
        <w:rPr>
          <w:noProof/>
          <w:szCs w:val="24"/>
          <w:lang w:eastAsia="en-US"/>
        </w:rPr>
        <w:t>1.</w:t>
      </w:r>
      <w:r>
        <w:rPr>
          <w:noProof/>
          <w:szCs w:val="24"/>
          <w:lang w:eastAsia="en-US"/>
        </w:rPr>
        <w:tab/>
        <w:t>Na charakterizovanie kontaminácie je potrebné identifikovať kontaminanty, ktoré sú prítomné v lokalit</w:t>
      </w:r>
      <w:r>
        <w:rPr>
          <w:noProof/>
          <w:szCs w:val="24"/>
          <w:lang w:eastAsia="en-US"/>
        </w:rPr>
        <w:t>e, a určiť ich zdroj, chemickú formu a distribúciu v pôde a podzemnej vode. Prítomnosť a koncentrácia kontaminantov sa stanovuje odberom vzorky pôdy a prieskumom.</w:t>
      </w:r>
    </w:p>
    <w:p w:rsidR="009D7883" w:rsidRDefault="00AA63BB">
      <w:pPr>
        <w:spacing w:before="120" w:after="120" w:line="360" w:lineRule="auto"/>
        <w:rPr>
          <w:noProof/>
          <w:szCs w:val="24"/>
          <w:lang w:eastAsia="en-US"/>
        </w:rPr>
      </w:pPr>
      <w:r>
        <w:rPr>
          <w:noProof/>
          <w:szCs w:val="24"/>
          <w:lang w:eastAsia="en-US"/>
        </w:rPr>
        <w:t>2.</w:t>
      </w:r>
      <w:r>
        <w:rPr>
          <w:noProof/>
          <w:szCs w:val="24"/>
          <w:lang w:eastAsia="en-US"/>
        </w:rPr>
        <w:tab/>
        <w:t>V posúdení expozície sa zisťuje, akou cestou sa pôdne kontaminanty môžu dostať k receptoro</w:t>
      </w:r>
      <w:r>
        <w:rPr>
          <w:noProof/>
          <w:szCs w:val="24"/>
          <w:lang w:eastAsia="en-US"/>
        </w:rPr>
        <w:t>m. Medzi takéto cesty expozície môže patriť vdýchnutie, konzumácia, kontakt s kožou, rastlinný príjem, migrácia do podzemnej vody atď. Na účely odhadu príjmu kontaminantov sa tieto informácie skombinujú s frekvenciou a trvaním expozície a vlastnosťami rece</w:t>
      </w:r>
      <w:r>
        <w:rPr>
          <w:noProof/>
          <w:szCs w:val="24"/>
          <w:lang w:eastAsia="en-US"/>
        </w:rPr>
        <w:t>ptora, ako sú vek, pohlavie a zdravotný stav. Prepojenia medzi zdrojom, cestou a receptorom možno zhrnúť grafickým, schématickým a zjednodušeným zobrazením: koncepčným modelom lokality.</w:t>
      </w:r>
    </w:p>
    <w:p w:rsidR="009D7883" w:rsidRDefault="00AA63BB">
      <w:pPr>
        <w:spacing w:before="120" w:after="120" w:line="360" w:lineRule="auto"/>
        <w:rPr>
          <w:noProof/>
          <w:szCs w:val="24"/>
          <w:lang w:eastAsia="en-US"/>
        </w:rPr>
      </w:pPr>
      <w:r>
        <w:rPr>
          <w:noProof/>
          <w:szCs w:val="24"/>
          <w:lang w:eastAsia="en-US"/>
        </w:rPr>
        <w:t>3.</w:t>
      </w:r>
      <w:r>
        <w:rPr>
          <w:noProof/>
          <w:szCs w:val="24"/>
          <w:lang w:eastAsia="en-US"/>
        </w:rPr>
        <w:tab/>
        <w:t>Posúdenie toxicity alebo nebezpečnosti zahŕňa hodnotenie potenciáln</w:t>
      </w:r>
      <w:r>
        <w:rPr>
          <w:noProof/>
          <w:szCs w:val="24"/>
          <w:lang w:eastAsia="en-US"/>
        </w:rPr>
        <w:t>ych zdravotných a environmentálnych vplyvov kontaminantov na základe dávky a trvania expozície. V rámci toxikológie alebo posúdenia nebezpečnosti sa zohľadňuje inherentná toxicita kontaminantov a citlivosť rôznych populácií, napríklad zvierat, mikroorganiz</w:t>
      </w:r>
      <w:r>
        <w:rPr>
          <w:noProof/>
          <w:szCs w:val="24"/>
          <w:lang w:eastAsia="en-US"/>
        </w:rPr>
        <w:t>mov, rastlín, detí, tehotných žien, starších osôb atď. Toxikologické informácie sa používajú na odhad referenčných dávok alebo koncentrácií, ktoré sa používajú na charakterizáciu rizika.</w:t>
      </w:r>
    </w:p>
    <w:p w:rsidR="009D7883" w:rsidRDefault="00AA63BB">
      <w:pPr>
        <w:spacing w:before="120" w:after="120" w:line="360" w:lineRule="auto"/>
        <w:rPr>
          <w:noProof/>
          <w:szCs w:val="24"/>
          <w:lang w:eastAsia="en-US"/>
        </w:rPr>
      </w:pPr>
      <w:r>
        <w:rPr>
          <w:noProof/>
          <w:szCs w:val="24"/>
          <w:lang w:eastAsia="en-US"/>
        </w:rPr>
        <w:t>4.</w:t>
      </w:r>
      <w:r>
        <w:rPr>
          <w:noProof/>
          <w:szCs w:val="24"/>
          <w:lang w:eastAsia="en-US"/>
        </w:rPr>
        <w:tab/>
        <w:t>Na charakterizáciu rizika sa vyžaduje integrácia informácií z pred</w:t>
      </w:r>
      <w:r>
        <w:rPr>
          <w:noProof/>
          <w:szCs w:val="24"/>
          <w:lang w:eastAsia="en-US"/>
        </w:rPr>
        <w:t>chádzajúcich krokov s cieľom odhadnúť rozsah a pravdepodobnosť nepriaznivých účinkov kontaminovanej lokality na ľudské zdravie a životné prostredie vrátane účinkov migrácie kontaminácie do iných zložiek životného prostredia. Charakterizáciou rizika sa pris</w:t>
      </w:r>
      <w:r>
        <w:rPr>
          <w:noProof/>
          <w:szCs w:val="24"/>
          <w:lang w:eastAsia="en-US"/>
        </w:rPr>
        <w:t>pieva k priorizácii potreby znížiť riziko a zaviesť opatrenia na sanáciu. Takisto môže pomôcť stanoviť ciele v oblasti sanácie a obhospodarovania lokality, napr. dosiahnuť maximálne prijateľné limity alebo skríningové hodnoty, ktoré sú založené na riziku a</w:t>
      </w:r>
      <w:r>
        <w:rPr>
          <w:noProof/>
          <w:szCs w:val="24"/>
          <w:lang w:eastAsia="en-US"/>
        </w:rPr>
        <w:t> špecifické pre danú lokalitu.</w:t>
      </w:r>
    </w:p>
    <w:p w:rsidR="009D7883" w:rsidRDefault="009D7883">
      <w:pPr>
        <w:spacing w:before="120" w:after="120" w:line="360" w:lineRule="auto"/>
        <w:rPr>
          <w:noProof/>
          <w:szCs w:val="24"/>
          <w:lang w:eastAsia="en-US"/>
        </w:rPr>
      </w:pPr>
    </w:p>
    <w:p w:rsidR="009D7883" w:rsidRDefault="009D7883">
      <w:pPr>
        <w:spacing w:before="120" w:after="120" w:line="360" w:lineRule="auto"/>
        <w:rPr>
          <w:noProof/>
          <w:szCs w:val="24"/>
          <w:lang w:eastAsia="en-US"/>
        </w:rPr>
        <w:sectPr w:rsidR="009D7883">
          <w:footnotePr>
            <w:numRestart w:val="eachSect"/>
          </w:footnotePr>
          <w:pgSz w:w="11907" w:h="16839"/>
          <w:pgMar w:top="1134" w:right="1417" w:bottom="1134" w:left="1417" w:header="709" w:footer="709" w:gutter="0"/>
          <w:cols w:space="720"/>
          <w:docGrid w:linePitch="360"/>
        </w:sectPr>
      </w:pPr>
    </w:p>
    <w:p w:rsidR="009D7883" w:rsidRDefault="00AA63BB">
      <w:pPr>
        <w:widowControl/>
        <w:spacing w:before="120" w:after="120"/>
        <w:jc w:val="center"/>
        <w:rPr>
          <w:rFonts w:eastAsia="Calibri"/>
          <w:noProof/>
          <w:szCs w:val="22"/>
          <w:lang w:eastAsia="en-US"/>
        </w:rPr>
      </w:pPr>
      <w:r>
        <w:rPr>
          <w:rFonts w:eastAsia="Calibri"/>
          <w:noProof/>
          <w:szCs w:val="22"/>
          <w:lang w:eastAsia="en-US"/>
        </w:rPr>
        <w:lastRenderedPageBreak/>
        <w:t xml:space="preserve">PRÍLOHA VII </w:t>
      </w:r>
      <w:r>
        <w:rPr>
          <w:rFonts w:eastAsia="Calibri"/>
          <w:noProof/>
          <w:szCs w:val="22"/>
          <w:lang w:eastAsia="en-US"/>
        </w:rPr>
        <w:br/>
        <w:t xml:space="preserve"> OBSAH REGISTRA POTENCIÁLNE KONTAMINOVANÝCH LOKALÍT A KONTAMINOVANÝCH LOKALÍT </w:t>
      </w:r>
    </w:p>
    <w:p w:rsidR="009D7883" w:rsidRDefault="009D7883">
      <w:pPr>
        <w:spacing w:before="120" w:after="120" w:line="360" w:lineRule="auto"/>
        <w:rPr>
          <w:noProof/>
          <w:szCs w:val="24"/>
          <w:lang w:eastAsia="en-US"/>
        </w:rPr>
      </w:pPr>
    </w:p>
    <w:p w:rsidR="009D7883" w:rsidRDefault="00AA63BB">
      <w:pPr>
        <w:spacing w:before="120" w:after="120" w:line="360" w:lineRule="auto"/>
        <w:rPr>
          <w:noProof/>
          <w:szCs w:val="24"/>
          <w:lang w:eastAsia="en-US"/>
        </w:rPr>
      </w:pPr>
      <w:r>
        <w:rPr>
          <w:noProof/>
          <w:szCs w:val="24"/>
          <w:lang w:eastAsia="en-US"/>
        </w:rPr>
        <w:t>Štruktúra a prezentácia údajov v registri má verejnosti umožniť sledovať pokrok v obhospodarovaní potenciálne</w:t>
      </w:r>
      <w:r>
        <w:rPr>
          <w:noProof/>
          <w:szCs w:val="24"/>
          <w:lang w:eastAsia="en-US"/>
        </w:rPr>
        <w:t xml:space="preserve"> kontaminovaných lokalít a kontaminovaných lokalít. V registri majú byť zahrnuté a prezentované tieto informácie na úrovni lokality v prípade známych potenciálne kontaminovaných lokalít, kontaminovaných lokalít, kontaminovaných lokalít, v ktorých sa vyžadu</w:t>
      </w:r>
      <w:r>
        <w:rPr>
          <w:noProof/>
          <w:szCs w:val="24"/>
          <w:lang w:eastAsia="en-US"/>
        </w:rPr>
        <w:t>jú ďalšie opatrenia, a kontaminovaných lokalít, v ktorých sa opatrenia prijímajú alebo už sú prijaté:</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súradnice, adresa alebo katastrálne parcely, na ktorých sa nachádza lokalita, v súlade so smernicami (EÚ) 2019/1024 a 2007/2/ES;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b)</w:t>
      </w:r>
      <w:r>
        <w:rPr>
          <w:rFonts w:eastAsia="Calibri"/>
          <w:noProof/>
          <w:szCs w:val="22"/>
          <w:lang w:eastAsia="en-US"/>
        </w:rPr>
        <w:tab/>
        <w:t>rok zápisu do regi</w:t>
      </w:r>
      <w:r>
        <w:rPr>
          <w:rFonts w:eastAsia="Calibri"/>
          <w:noProof/>
          <w:szCs w:val="22"/>
          <w:lang w:eastAsia="en-US"/>
        </w:rPr>
        <w:t xml:space="preserve">stra;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kontaminujúce alebo potenciálne kontaminujúce rizikové činnosti, ktoré sa uskutočňovali alebo uskutočňujú v lokalite;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d)</w:t>
      </w:r>
      <w:r>
        <w:rPr>
          <w:rFonts w:eastAsia="Calibri"/>
          <w:noProof/>
          <w:szCs w:val="22"/>
          <w:lang w:eastAsia="en-US"/>
        </w:rPr>
        <w:tab/>
        <w:t>stav obhospodarovania lokality;</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e)</w:t>
      </w:r>
      <w:r>
        <w:rPr>
          <w:rFonts w:eastAsia="Calibri"/>
          <w:noProof/>
          <w:szCs w:val="22"/>
          <w:lang w:eastAsia="en-US"/>
        </w:rPr>
        <w:tab/>
        <w:t>závery týkajúce sa prítomnosti alebo neprítomnosti, koncentrácie, typu a rizika kontaminá</w:t>
      </w:r>
      <w:r>
        <w:rPr>
          <w:rFonts w:eastAsia="Calibri"/>
          <w:noProof/>
          <w:szCs w:val="22"/>
          <w:lang w:eastAsia="en-US"/>
        </w:rPr>
        <w:t>cie (alebo zvyškovej kontaminácie po sanácii), ak sú už informácie o týchto prvkoch dostupné z prieskumov pôdy a posúdení rizika, na ktoré sa odkazuje v článkoch 14 a 15;</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f)</w:t>
      </w:r>
      <w:r>
        <w:rPr>
          <w:rFonts w:eastAsia="Calibri"/>
          <w:noProof/>
          <w:szCs w:val="22"/>
          <w:lang w:eastAsia="en-US"/>
        </w:rPr>
        <w:tab/>
        <w:t>ďalšie požadované opatrenia a kroky v oblasti obhospodarovania, na ktoré sa odkazu</w:t>
      </w:r>
      <w:r>
        <w:rPr>
          <w:rFonts w:eastAsia="Calibri"/>
          <w:noProof/>
          <w:szCs w:val="22"/>
          <w:lang w:eastAsia="en-US"/>
        </w:rPr>
        <w:t>je v článkoch 14 a 15, vrátane ich harmonogramu.</w:t>
      </w:r>
    </w:p>
    <w:p w:rsidR="009D7883" w:rsidRDefault="00AA63BB">
      <w:pPr>
        <w:spacing w:before="120" w:after="120" w:line="360" w:lineRule="auto"/>
        <w:rPr>
          <w:noProof/>
          <w:szCs w:val="24"/>
          <w:lang w:eastAsia="en-US"/>
        </w:rPr>
      </w:pPr>
      <w:r>
        <w:rPr>
          <w:noProof/>
          <w:szCs w:val="24"/>
          <w:lang w:eastAsia="en-US"/>
        </w:rPr>
        <w:t>Register môže obsahovať aj tieto informácie na úrovni lokality v prípade známych potenciálne kontaminovaných lokalít, kontaminovaných lokalít, kontaminovaných lokalít, v ktorých sa vyžadujú ďalšie opatrenia, a kontaminovaných lokalít, v ktorých sa opatreni</w:t>
      </w:r>
      <w:r>
        <w:rPr>
          <w:noProof/>
          <w:szCs w:val="24"/>
          <w:lang w:eastAsia="en-US"/>
        </w:rPr>
        <w:t xml:space="preserve">a prijímajú alebo už sú prijaté, ak sú k dispozícii: </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a)</w:t>
      </w:r>
      <w:r>
        <w:rPr>
          <w:rFonts w:eastAsia="Calibri"/>
          <w:noProof/>
          <w:szCs w:val="22"/>
          <w:lang w:eastAsia="en-US"/>
        </w:rPr>
        <w:tab/>
        <w:t>informácie o environmentálnych povoleniach vydaných pre danú lokalitu vrátane prvého a posledného roku vykonávania činnosti;</w:t>
      </w:r>
    </w:p>
    <w:p w:rsidR="009D7883" w:rsidRDefault="00AA63BB">
      <w:pPr>
        <w:widowControl/>
        <w:spacing w:before="120" w:after="120"/>
        <w:ind w:left="850" w:hanging="850"/>
        <w:jc w:val="both"/>
        <w:rPr>
          <w:rFonts w:eastAsia="Calibri"/>
          <w:noProof/>
          <w:szCs w:val="22"/>
          <w:lang w:eastAsia="en-US"/>
        </w:rPr>
      </w:pPr>
      <w:r>
        <w:rPr>
          <w:rFonts w:eastAsia="Calibri"/>
          <w:noProof/>
          <w:szCs w:val="22"/>
          <w:lang w:eastAsia="en-US"/>
        </w:rPr>
        <w:t>b)</w:t>
      </w:r>
      <w:r>
        <w:rPr>
          <w:rFonts w:eastAsia="Calibri"/>
          <w:noProof/>
          <w:szCs w:val="22"/>
          <w:lang w:eastAsia="en-US"/>
        </w:rPr>
        <w:tab/>
        <w:t>súčasné a plánované využívanie pôdy;</w:t>
      </w:r>
    </w:p>
    <w:p w:rsidR="009D7883" w:rsidRDefault="00AA63BB" w:rsidP="00AA63BB">
      <w:pPr>
        <w:widowControl/>
        <w:spacing w:before="120" w:after="120"/>
        <w:ind w:left="850" w:hanging="850"/>
        <w:jc w:val="both"/>
      </w:pPr>
      <w:r>
        <w:rPr>
          <w:rFonts w:eastAsia="Calibri"/>
          <w:noProof/>
          <w:szCs w:val="22"/>
          <w:lang w:eastAsia="en-US"/>
        </w:rPr>
        <w:t>c)</w:t>
      </w:r>
      <w:r>
        <w:rPr>
          <w:rFonts w:eastAsia="Calibri"/>
          <w:noProof/>
          <w:szCs w:val="22"/>
          <w:lang w:eastAsia="en-US"/>
        </w:rPr>
        <w:tab/>
        <w:t>výsledky zo správ o prieskume a</w:t>
      </w:r>
      <w:r>
        <w:rPr>
          <w:rFonts w:eastAsia="Calibri"/>
          <w:noProof/>
          <w:szCs w:val="22"/>
          <w:lang w:eastAsia="en-US"/>
        </w:rPr>
        <w:t> sanácii pôdy, napríklad koncentrácia a vymedzenie kontaminácie, koncepčný model lokality, metodika posúdenia rizika, použité alebo plánované techniky, účinnosť a odhadované náklady spojené s opatreniami na zníženie rizík.</w:t>
      </w:r>
    </w:p>
    <w:sectPr w:rsidR="009D7883">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883" w:rsidRDefault="00AA63BB">
      <w:r>
        <w:separator/>
      </w:r>
    </w:p>
  </w:endnote>
  <w:endnote w:type="continuationSeparator" w:id="0">
    <w:p w:rsidR="009D7883" w:rsidRDefault="00AA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AA63BB">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AA63BB">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883" w:rsidRDefault="00AA63BB">
      <w:r>
        <w:separator/>
      </w:r>
    </w:p>
  </w:footnote>
  <w:footnote w:type="continuationSeparator" w:id="0">
    <w:p w:rsidR="009D7883" w:rsidRDefault="00AA63BB">
      <w:r>
        <w:continuationSeparator/>
      </w:r>
    </w:p>
  </w:footnote>
  <w:footnote w:id="1">
    <w:p w:rsidR="009D7883" w:rsidRDefault="00AA63BB">
      <w:pPr>
        <w:pStyle w:val="FootnoteText"/>
        <w:ind w:left="567" w:hanging="567"/>
        <w:rPr>
          <w:sz w:val="24"/>
          <w:szCs w:val="24"/>
          <w:lang w:val="sk-SK"/>
        </w:rPr>
      </w:pPr>
      <w:r>
        <w:rPr>
          <w:rStyle w:val="FootnoteReference"/>
          <w:sz w:val="24"/>
          <w:szCs w:val="24"/>
          <w:lang w:val="sk-SK"/>
        </w:rPr>
        <w:footnoteRef/>
      </w:r>
      <w:r>
        <w:rPr>
          <w:sz w:val="24"/>
          <w:lang w:val="sk-SK"/>
        </w:rPr>
        <w:t xml:space="preserve"> </w:t>
      </w:r>
      <w:r>
        <w:rPr>
          <w:sz w:val="24"/>
          <w:lang w:val="sk-SK"/>
        </w:rPr>
        <w:tab/>
        <w:t>Ú. v. EÚ C, C/202</w:t>
      </w:r>
      <w:r>
        <w:rPr>
          <w:sz w:val="24"/>
          <w:lang w:val="sk-SK"/>
        </w:rPr>
        <w:t xml:space="preserve">4/887, 6.2.2024, ELI: </w:t>
      </w:r>
      <w:r>
        <w:fldChar w:fldCharType="begin"/>
      </w:r>
      <w:r w:rsidRPr="00AA63BB">
        <w:rPr>
          <w:lang w:val="fi-FI"/>
        </w:rPr>
        <w:instrText xml:space="preserve"> HYPERLINK "http://data.europa.eu/eli/C/2024/887/oj" </w:instrText>
      </w:r>
      <w:r>
        <w:fldChar w:fldCharType="separate"/>
      </w:r>
      <w:r>
        <w:rPr>
          <w:rStyle w:val="Hyperlink"/>
          <w:sz w:val="24"/>
          <w:lang w:val="sk-SK"/>
        </w:rPr>
        <w:t>http://data.europa.eu/eli/C/2024/887/oj</w:t>
      </w:r>
      <w:r>
        <w:rPr>
          <w:rStyle w:val="Hyperlink"/>
          <w:sz w:val="24"/>
          <w:lang w:val="sk-SK"/>
        </w:rPr>
        <w:fldChar w:fldCharType="end"/>
      </w:r>
      <w:r>
        <w:rPr>
          <w:sz w:val="24"/>
          <w:lang w:val="sk-SK"/>
        </w:rPr>
        <w:t>.</w:t>
      </w:r>
    </w:p>
  </w:footnote>
  <w:footnote w:id="2">
    <w:p w:rsidR="009D7883" w:rsidRDefault="00AA63BB">
      <w:pPr>
        <w:pStyle w:val="FootnoteTextForceStyle"/>
        <w:rPr>
          <w:szCs w:val="24"/>
          <w:lang w:val="sk-SK"/>
        </w:rPr>
      </w:pPr>
      <w:r>
        <w:rPr>
          <w:szCs w:val="24"/>
          <w:vertAlign w:val="superscript"/>
          <w:lang w:val="sk-SK"/>
        </w:rPr>
        <w:footnoteRef/>
      </w:r>
      <w:r>
        <w:rPr>
          <w:szCs w:val="24"/>
          <w:lang w:val="sk-SK"/>
        </w:rPr>
        <w:tab/>
        <w:t>Ú. v. EÚ C , , s. .</w:t>
      </w:r>
    </w:p>
  </w:footnote>
  <w:footnote w:id="3">
    <w:p w:rsidR="009D7883" w:rsidRDefault="00AA63BB">
      <w:pPr>
        <w:pStyle w:val="FootnoteTextForceStyle"/>
        <w:rPr>
          <w:szCs w:val="24"/>
          <w:lang w:val="sk-SK"/>
        </w:rPr>
      </w:pPr>
      <w:r>
        <w:rPr>
          <w:szCs w:val="24"/>
          <w:vertAlign w:val="superscript"/>
          <w:lang w:val="sk-SK"/>
        </w:rPr>
        <w:footnoteRef/>
      </w:r>
      <w:r>
        <w:rPr>
          <w:szCs w:val="24"/>
          <w:lang w:val="sk-SK"/>
        </w:rPr>
        <w:tab/>
        <w:t>Ú. v. EÚ C , , s. .</w:t>
      </w:r>
    </w:p>
  </w:footnote>
  <w:footnote w:id="4">
    <w:p w:rsidR="009D7883" w:rsidRDefault="00AA63BB">
      <w:pPr>
        <w:pStyle w:val="FootnoteTextForceStyle"/>
        <w:rPr>
          <w:szCs w:val="24"/>
          <w:lang w:val="sk-SK"/>
        </w:rPr>
      </w:pPr>
      <w:r>
        <w:rPr>
          <w:szCs w:val="24"/>
          <w:vertAlign w:val="superscript"/>
          <w:lang w:val="sk-SK"/>
        </w:rPr>
        <w:footnoteRef/>
      </w:r>
      <w:r>
        <w:rPr>
          <w:szCs w:val="24"/>
          <w:lang w:val="sk-SK"/>
        </w:rPr>
        <w:tab/>
      </w:r>
      <w:r>
        <w:rPr>
          <w:szCs w:val="24"/>
          <w:lang w:val="sk-SK"/>
        </w:rPr>
        <w:t>Oznámenie Komisie Európskemu parlamentu, Európskej rade, Rade, Európskemu hospodárskemu a sociálnemu výboru a Výboru regiónov s názvom Európska zelená dohoda [</w:t>
      </w:r>
      <w:proofErr w:type="spellStart"/>
      <w:r>
        <w:rPr>
          <w:szCs w:val="24"/>
          <w:lang w:val="sk-SK"/>
        </w:rPr>
        <w:t>COM</w:t>
      </w:r>
      <w:proofErr w:type="spellEnd"/>
      <w:r>
        <w:rPr>
          <w:szCs w:val="24"/>
          <w:lang w:val="sk-SK"/>
        </w:rPr>
        <w:t xml:space="preserve">(2019) 640 </w:t>
      </w:r>
      <w:proofErr w:type="spellStart"/>
      <w:r>
        <w:rPr>
          <w:szCs w:val="24"/>
          <w:lang w:val="sk-SK"/>
        </w:rPr>
        <w:t>final</w:t>
      </w:r>
      <w:proofErr w:type="spellEnd"/>
      <w:r>
        <w:rPr>
          <w:szCs w:val="24"/>
          <w:lang w:val="sk-SK"/>
        </w:rPr>
        <w:t>].</w:t>
      </w:r>
    </w:p>
  </w:footnote>
  <w:footnote w:id="5">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Rade, Európskemu hospodárskemu a</w:t>
      </w:r>
      <w:r>
        <w:rPr>
          <w:szCs w:val="24"/>
          <w:lang w:val="sk-SK"/>
        </w:rPr>
        <w:t xml:space="preserve"> sociálnemu výboru a Výboru regiónov s názvom Stratégia EÚ v oblasti biodiverzity do roku 2030, Prinavrátenie prírody do našich životov [</w:t>
      </w:r>
      <w:proofErr w:type="spellStart"/>
      <w:r>
        <w:rPr>
          <w:szCs w:val="24"/>
          <w:lang w:val="sk-SK"/>
        </w:rPr>
        <w:t>COM</w:t>
      </w:r>
      <w:proofErr w:type="spellEnd"/>
      <w:r>
        <w:rPr>
          <w:szCs w:val="24"/>
          <w:lang w:val="sk-SK"/>
        </w:rPr>
        <w:t xml:space="preserve">(2020) 380 </w:t>
      </w:r>
      <w:proofErr w:type="spellStart"/>
      <w:r>
        <w:rPr>
          <w:szCs w:val="24"/>
          <w:lang w:val="sk-SK"/>
        </w:rPr>
        <w:t>final</w:t>
      </w:r>
      <w:proofErr w:type="spellEnd"/>
      <w:r>
        <w:rPr>
          <w:szCs w:val="24"/>
          <w:lang w:val="sk-SK"/>
        </w:rPr>
        <w:t>].</w:t>
      </w:r>
    </w:p>
  </w:footnote>
  <w:footnote w:id="6">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Rade, Európskemu hospodárskemu a sociálnemu výboru a V</w:t>
      </w:r>
      <w:r>
        <w:rPr>
          <w:szCs w:val="24"/>
          <w:lang w:val="sk-SK"/>
        </w:rPr>
        <w:t>ýboru regiónov s názvom Stratégia „z farmy na stôl“ v záujme spravodlivého, zdravého potravinového systému šetrného k životnému prostrediu [</w:t>
      </w:r>
      <w:proofErr w:type="spellStart"/>
      <w:r>
        <w:rPr>
          <w:szCs w:val="24"/>
          <w:lang w:val="sk-SK"/>
        </w:rPr>
        <w:t>COM</w:t>
      </w:r>
      <w:proofErr w:type="spellEnd"/>
      <w:r>
        <w:rPr>
          <w:szCs w:val="24"/>
          <w:lang w:val="sk-SK"/>
        </w:rPr>
        <w:t xml:space="preserve">(2020) 381 </w:t>
      </w:r>
      <w:proofErr w:type="spellStart"/>
      <w:r>
        <w:rPr>
          <w:szCs w:val="24"/>
          <w:lang w:val="sk-SK"/>
        </w:rPr>
        <w:t>final</w:t>
      </w:r>
      <w:proofErr w:type="spellEnd"/>
      <w:r>
        <w:rPr>
          <w:szCs w:val="24"/>
          <w:lang w:val="sk-SK"/>
        </w:rPr>
        <w:t>].</w:t>
      </w:r>
    </w:p>
  </w:footnote>
  <w:footnote w:id="7">
    <w:p w:rsidR="009D7883" w:rsidRDefault="00AA63BB">
      <w:pPr>
        <w:pStyle w:val="FootnoteTextForceStyle"/>
        <w:rPr>
          <w:szCs w:val="24"/>
          <w:lang w:val="sk-SK"/>
        </w:rPr>
      </w:pPr>
      <w:r>
        <w:rPr>
          <w:szCs w:val="24"/>
          <w:vertAlign w:val="superscript"/>
          <w:lang w:val="sk-SK"/>
        </w:rPr>
        <w:footnoteRef/>
      </w:r>
      <w:r>
        <w:rPr>
          <w:szCs w:val="24"/>
          <w:lang w:val="sk-SK"/>
        </w:rPr>
        <w:tab/>
        <w:t xml:space="preserve">Oznámenie Komisie Európskemu parlamentu, Rade, Európskemu hospodárskemu a sociálnemu výboru </w:t>
      </w:r>
      <w:r>
        <w:rPr>
          <w:szCs w:val="24"/>
          <w:lang w:val="sk-SK"/>
        </w:rPr>
        <w:t>a Výboru regiónov s názvom Cesta k zdravej planéte pre všetkých, Akčný plán EÚ: „Dosahovanie nulového znečisťovania ovzdušia, vody a pôdy“ [</w:t>
      </w:r>
      <w:proofErr w:type="spellStart"/>
      <w:r>
        <w:rPr>
          <w:szCs w:val="24"/>
          <w:lang w:val="sk-SK"/>
        </w:rPr>
        <w:t>COM</w:t>
      </w:r>
      <w:proofErr w:type="spellEnd"/>
      <w:r>
        <w:rPr>
          <w:szCs w:val="24"/>
          <w:lang w:val="sk-SK"/>
        </w:rPr>
        <w:t xml:space="preserve">(2021) 400 </w:t>
      </w:r>
      <w:proofErr w:type="spellStart"/>
      <w:r>
        <w:rPr>
          <w:szCs w:val="24"/>
          <w:lang w:val="sk-SK"/>
        </w:rPr>
        <w:t>final</w:t>
      </w:r>
      <w:proofErr w:type="spellEnd"/>
      <w:r>
        <w:rPr>
          <w:szCs w:val="24"/>
          <w:lang w:val="sk-SK"/>
        </w:rPr>
        <w:t>].</w:t>
      </w:r>
    </w:p>
  </w:footnote>
  <w:footnote w:id="8">
    <w:p w:rsidR="009D7883" w:rsidRDefault="00AA63BB">
      <w:pPr>
        <w:pStyle w:val="FootnoteTextForceStyle"/>
        <w:rPr>
          <w:szCs w:val="24"/>
          <w:lang w:val="sk-SK"/>
        </w:rPr>
      </w:pPr>
      <w:r>
        <w:rPr>
          <w:szCs w:val="24"/>
          <w:vertAlign w:val="superscript"/>
          <w:lang w:val="sk-SK"/>
        </w:rPr>
        <w:footnoteRef/>
      </w:r>
      <w:r>
        <w:rPr>
          <w:szCs w:val="24"/>
          <w:lang w:val="sk-SK"/>
        </w:rPr>
        <w:tab/>
        <w:t xml:space="preserve">Oznámenie Komisie Európskemu parlamentu, Rade, Európskemu hospodárskemu a sociálnemu výboru </w:t>
      </w:r>
      <w:r>
        <w:rPr>
          <w:szCs w:val="24"/>
          <w:lang w:val="sk-SK"/>
        </w:rPr>
        <w:t>a Výboru regiónov s názvom Budovanie Európy odolnej proti zmene klímy – nová stratégia EÚ pre adaptáciu na zmenu klímy [</w:t>
      </w:r>
      <w:proofErr w:type="spellStart"/>
      <w:r>
        <w:rPr>
          <w:szCs w:val="24"/>
          <w:lang w:val="sk-SK"/>
        </w:rPr>
        <w:t>COM</w:t>
      </w:r>
      <w:proofErr w:type="spellEnd"/>
      <w:r>
        <w:rPr>
          <w:szCs w:val="24"/>
          <w:lang w:val="sk-SK"/>
        </w:rPr>
        <w:t xml:space="preserve">(2021) 82 </w:t>
      </w:r>
      <w:proofErr w:type="spellStart"/>
      <w:r>
        <w:rPr>
          <w:szCs w:val="24"/>
          <w:lang w:val="sk-SK"/>
        </w:rPr>
        <w:t>final</w:t>
      </w:r>
      <w:proofErr w:type="spellEnd"/>
      <w:r>
        <w:rPr>
          <w:szCs w:val="24"/>
          <w:lang w:val="sk-SK"/>
        </w:rPr>
        <w:t>].</w:t>
      </w:r>
    </w:p>
  </w:footnote>
  <w:footnote w:id="9">
    <w:p w:rsidR="009D7883" w:rsidRDefault="00AA63BB">
      <w:pPr>
        <w:pStyle w:val="FootnoteTextForceStyle"/>
        <w:rPr>
          <w:szCs w:val="24"/>
          <w:lang w:val="sk-SK"/>
        </w:rPr>
      </w:pPr>
      <w:r>
        <w:rPr>
          <w:szCs w:val="24"/>
          <w:vertAlign w:val="superscript"/>
          <w:lang w:val="sk-SK"/>
        </w:rPr>
        <w:footnoteRef/>
      </w:r>
      <w:r>
        <w:rPr>
          <w:szCs w:val="24"/>
          <w:lang w:val="sk-SK"/>
        </w:rPr>
        <w:tab/>
      </w:r>
      <w:r>
        <w:rPr>
          <w:szCs w:val="24"/>
          <w:lang w:val="sk-SK"/>
        </w:rPr>
        <w:t>Oznámenie Komisie Európskemu parlamentu, Rade, Európskemu hospodárskemu a sociálnemu výboru a Výboru regiónov s názvom Stratégia EÚ v oblasti pôdy do roku 2030, Využívanie prínosov zdravej pôdy v prospech ľudí, potravín, prírody a klímy [</w:t>
      </w:r>
      <w:proofErr w:type="spellStart"/>
      <w:r>
        <w:rPr>
          <w:szCs w:val="24"/>
          <w:lang w:val="sk-SK"/>
        </w:rPr>
        <w:t>COM</w:t>
      </w:r>
      <w:proofErr w:type="spellEnd"/>
      <w:r>
        <w:rPr>
          <w:szCs w:val="24"/>
          <w:lang w:val="sk-SK"/>
        </w:rPr>
        <w:t xml:space="preserve">(2021) 699 </w:t>
      </w:r>
      <w:proofErr w:type="spellStart"/>
      <w:r>
        <w:rPr>
          <w:szCs w:val="24"/>
          <w:lang w:val="sk-SK"/>
        </w:rPr>
        <w:t>fina</w:t>
      </w:r>
      <w:r>
        <w:rPr>
          <w:szCs w:val="24"/>
          <w:lang w:val="sk-SK"/>
        </w:rPr>
        <w:t>l</w:t>
      </w:r>
      <w:proofErr w:type="spellEnd"/>
      <w:r>
        <w:rPr>
          <w:szCs w:val="24"/>
          <w:lang w:val="sk-SK"/>
        </w:rPr>
        <w:t>].</w:t>
      </w:r>
    </w:p>
  </w:footnote>
  <w:footnote w:id="10">
    <w:p w:rsidR="009D7883" w:rsidRDefault="00AA63BB">
      <w:pPr>
        <w:pStyle w:val="FootnoteTextForceStyle"/>
        <w:rPr>
          <w:szCs w:val="24"/>
          <w:lang w:val="sk-SK"/>
        </w:rPr>
      </w:pPr>
      <w:r>
        <w:rPr>
          <w:szCs w:val="24"/>
          <w:vertAlign w:val="superscript"/>
          <w:lang w:val="sk-SK"/>
        </w:rPr>
        <w:footnoteRef/>
      </w:r>
      <w:r>
        <w:rPr>
          <w:szCs w:val="24"/>
          <w:lang w:val="sk-SK"/>
        </w:rPr>
        <w:tab/>
        <w:t>https://sdgs.un.org/goals.</w:t>
      </w:r>
    </w:p>
  </w:footnote>
  <w:footnote w:id="11">
    <w:p w:rsidR="009D7883" w:rsidRDefault="00AA63BB">
      <w:pPr>
        <w:pStyle w:val="FootnoteTextForceStyle"/>
        <w:rPr>
          <w:szCs w:val="24"/>
          <w:lang w:val="sk-SK"/>
        </w:rPr>
      </w:pPr>
      <w:r>
        <w:rPr>
          <w:szCs w:val="24"/>
          <w:vertAlign w:val="superscript"/>
          <w:lang w:val="sk-SK"/>
        </w:rPr>
        <w:footnoteRef/>
      </w:r>
      <w:r>
        <w:rPr>
          <w:szCs w:val="24"/>
          <w:lang w:val="sk-SK"/>
        </w:rPr>
        <w:tab/>
        <w:t>Rozhodnutie Rady z 25. októbra 1993 o uzavretí Dohovoru o biologickej diverzite (93/626/EHS) (Ú. v. ES L 309, 13.12.1993, s. 1).</w:t>
      </w:r>
    </w:p>
  </w:footnote>
  <w:footnote w:id="12">
    <w:p w:rsidR="009D7883" w:rsidRDefault="00AA63BB">
      <w:pPr>
        <w:pStyle w:val="FootnoteTextForceStyle"/>
        <w:rPr>
          <w:szCs w:val="24"/>
          <w:lang w:val="sk-SK"/>
        </w:rPr>
      </w:pPr>
      <w:r>
        <w:rPr>
          <w:szCs w:val="24"/>
          <w:vertAlign w:val="superscript"/>
          <w:lang w:val="sk-SK"/>
        </w:rPr>
        <w:footnoteRef/>
      </w:r>
      <w:r>
        <w:rPr>
          <w:szCs w:val="24"/>
          <w:lang w:val="sk-SK"/>
        </w:rPr>
        <w:tab/>
        <w:t>Rozhodnutie prijaté konferenciou zmluvných strán Dohovoru o biologickej diverzite 19. dece</w:t>
      </w:r>
      <w:r>
        <w:rPr>
          <w:szCs w:val="24"/>
          <w:lang w:val="sk-SK"/>
        </w:rPr>
        <w:t>mbra 2022, 15/4. Globálny rámec pre biodiverzitu po roku 2020.</w:t>
      </w:r>
    </w:p>
  </w:footnote>
  <w:footnote w:id="13">
    <w:p w:rsidR="009D7883" w:rsidRDefault="00AA63BB">
      <w:pPr>
        <w:pStyle w:val="FootnoteTextForceStyle"/>
        <w:rPr>
          <w:szCs w:val="24"/>
          <w:lang w:val="sk-SK"/>
        </w:rPr>
      </w:pPr>
      <w:r>
        <w:rPr>
          <w:szCs w:val="24"/>
          <w:vertAlign w:val="superscript"/>
          <w:lang w:val="sk-SK"/>
        </w:rPr>
        <w:footnoteRef/>
      </w:r>
      <w:r>
        <w:rPr>
          <w:szCs w:val="24"/>
          <w:lang w:val="sk-SK"/>
        </w:rPr>
        <w:tab/>
        <w:t>Rozhodnutie Rady z 9. marca 1998 o uzavretí Dohovoru Organizácie Spojených národov o boji proti rozširovaniu púští v krajinách vážne postihnutých suchom a/alebo rozširovaním púští, najmä v Af</w:t>
      </w:r>
      <w:r>
        <w:rPr>
          <w:szCs w:val="24"/>
          <w:lang w:val="sk-SK"/>
        </w:rPr>
        <w:t>rike, v mene Európskeho spoločenstva (Ú. v. ES L 83, 19.3.1998, s. 1).</w:t>
      </w:r>
    </w:p>
  </w:footnote>
  <w:footnote w:id="14">
    <w:p w:rsidR="009D7883" w:rsidRDefault="00AA63BB">
      <w:pPr>
        <w:pStyle w:val="FootnoteTextForceStyle"/>
        <w:rPr>
          <w:szCs w:val="24"/>
          <w:lang w:val="sk-SK"/>
        </w:rPr>
      </w:pPr>
      <w:r>
        <w:rPr>
          <w:szCs w:val="24"/>
          <w:vertAlign w:val="superscript"/>
          <w:lang w:val="sk-SK"/>
        </w:rPr>
        <w:footnoteRef/>
      </w:r>
      <w:r>
        <w:rPr>
          <w:szCs w:val="24"/>
          <w:lang w:val="sk-SK"/>
        </w:rPr>
        <w:tab/>
        <w:t>Bulharsko, Cyprus, Grécko, Chorvátsko, Lotyšsko, Maďarsko, Malta, Portugalsko, Rumunsko, Slovensko, Slovinsko, Španielsko a Taliansko.</w:t>
      </w:r>
    </w:p>
  </w:footnote>
  <w:footnote w:id="15">
    <w:p w:rsidR="009D7883" w:rsidRDefault="00AA63BB">
      <w:pPr>
        <w:pStyle w:val="FootnoteTextForceStyle"/>
        <w:rPr>
          <w:szCs w:val="24"/>
          <w:lang w:val="sk-SK"/>
        </w:rPr>
      </w:pPr>
      <w:r>
        <w:rPr>
          <w:szCs w:val="24"/>
          <w:vertAlign w:val="superscript"/>
          <w:lang w:val="sk-SK"/>
        </w:rPr>
        <w:footnoteRef/>
      </w:r>
      <w:r>
        <w:rPr>
          <w:szCs w:val="24"/>
          <w:lang w:val="sk-SK"/>
        </w:rPr>
        <w:tab/>
        <w:t>Uznesenie Európskeho parlamentu z 28. apríla 2</w:t>
      </w:r>
      <w:r>
        <w:rPr>
          <w:szCs w:val="24"/>
          <w:lang w:val="sk-SK"/>
        </w:rPr>
        <w:t>021 o ochrane pôdy [2021/2548(RSP)].</w:t>
      </w:r>
    </w:p>
  </w:footnote>
  <w:footnote w:id="16">
    <w:p w:rsidR="009D7883" w:rsidRDefault="00AA63BB">
      <w:pPr>
        <w:pStyle w:val="FootnoteTextForceStyle"/>
        <w:rPr>
          <w:szCs w:val="24"/>
          <w:lang w:val="sk-SK"/>
        </w:rPr>
      </w:pPr>
      <w:r>
        <w:rPr>
          <w:szCs w:val="24"/>
          <w:vertAlign w:val="superscript"/>
          <w:lang w:val="sk-SK"/>
        </w:rPr>
        <w:footnoteRef/>
      </w:r>
      <w:r>
        <w:rPr>
          <w:szCs w:val="24"/>
          <w:lang w:val="sk-SK"/>
        </w:rPr>
        <w:tab/>
        <w:t>Závery Rady – Biodiverzita – je nutné bezodkladne konať, 12210/20.</w:t>
      </w:r>
    </w:p>
  </w:footnote>
  <w:footnote w:id="17">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2021/1119 z 30. júna 2021, ktorým sa stanovuje rámec na dosiahnutie klimatickej neutrality a menia nari</w:t>
      </w:r>
      <w:r>
        <w:rPr>
          <w:szCs w:val="24"/>
          <w:lang w:val="sk-SK"/>
        </w:rPr>
        <w:t>adenia (ES) č. 401/2009 a (EÚ) 2018/1999 (európsky právny predpis v oblasti klímy) (Ú. v. EÚ L 243, 9.7.2021, s. 1).</w:t>
      </w:r>
    </w:p>
  </w:footnote>
  <w:footnote w:id="18">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a Rade s názvom Udržateľný kolobeh uhlíka [</w:t>
      </w:r>
      <w:proofErr w:type="spellStart"/>
      <w:r>
        <w:rPr>
          <w:szCs w:val="24"/>
          <w:lang w:val="sk-SK"/>
        </w:rPr>
        <w:t>COM</w:t>
      </w:r>
      <w:proofErr w:type="spellEnd"/>
      <w:r>
        <w:rPr>
          <w:szCs w:val="24"/>
          <w:lang w:val="sk-SK"/>
        </w:rPr>
        <w:t xml:space="preserve">(2021) 800 </w:t>
      </w:r>
      <w:proofErr w:type="spellStart"/>
      <w:r>
        <w:rPr>
          <w:szCs w:val="24"/>
          <w:lang w:val="sk-SK"/>
        </w:rPr>
        <w:t>final</w:t>
      </w:r>
      <w:proofErr w:type="spellEnd"/>
      <w:r>
        <w:rPr>
          <w:szCs w:val="24"/>
          <w:lang w:val="sk-SK"/>
        </w:rPr>
        <w:t>].</w:t>
      </w:r>
    </w:p>
  </w:footnote>
  <w:footnote w:id="19">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w:t>
      </w:r>
      <w:r>
        <w:rPr>
          <w:szCs w:val="24"/>
          <w:lang w:val="sk-SK"/>
        </w:rPr>
        <w:t>arlamentu, Rade, Európskemu hospodárskemu a sociálnemu výboru a Výboru regiónov. Budovanie Európy odolnej proti zmene klímy – nová stratégia EÚ pre adaptáciu na zmenu klímy [</w:t>
      </w:r>
      <w:proofErr w:type="spellStart"/>
      <w:r>
        <w:rPr>
          <w:szCs w:val="24"/>
          <w:lang w:val="sk-SK"/>
        </w:rPr>
        <w:t>COM</w:t>
      </w:r>
      <w:proofErr w:type="spellEnd"/>
      <w:r>
        <w:rPr>
          <w:szCs w:val="24"/>
          <w:lang w:val="sk-SK"/>
        </w:rPr>
        <w:t xml:space="preserve">(2021) 82 </w:t>
      </w:r>
      <w:proofErr w:type="spellStart"/>
      <w:r>
        <w:rPr>
          <w:szCs w:val="24"/>
          <w:lang w:val="sk-SK"/>
        </w:rPr>
        <w:t>final</w:t>
      </w:r>
      <w:proofErr w:type="spellEnd"/>
      <w:r>
        <w:rPr>
          <w:szCs w:val="24"/>
          <w:lang w:val="sk-SK"/>
        </w:rPr>
        <w:t>].</w:t>
      </w:r>
    </w:p>
  </w:footnote>
  <w:footnote w:id="20">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Európskej rade, Ra</w:t>
      </w:r>
      <w:r>
        <w:rPr>
          <w:szCs w:val="24"/>
          <w:lang w:val="sk-SK"/>
        </w:rPr>
        <w:t>de, Európskemu hospodárskemu a sociálnemu výboru a Výboru regiónov s názvom Zaistenie potravinovej bezpečnosti a posilnenie odolnosti potravinových systémov [</w:t>
      </w:r>
      <w:proofErr w:type="spellStart"/>
      <w:r>
        <w:rPr>
          <w:szCs w:val="24"/>
          <w:lang w:val="sk-SK"/>
        </w:rPr>
        <w:t>COM</w:t>
      </w:r>
      <w:proofErr w:type="spellEnd"/>
      <w:r>
        <w:rPr>
          <w:szCs w:val="24"/>
          <w:lang w:val="sk-SK"/>
        </w:rPr>
        <w:t xml:space="preserve">(2022) 133 </w:t>
      </w:r>
      <w:proofErr w:type="spellStart"/>
      <w:r>
        <w:rPr>
          <w:szCs w:val="24"/>
          <w:lang w:val="sk-SK"/>
        </w:rPr>
        <w:t>final</w:t>
      </w:r>
      <w:proofErr w:type="spellEnd"/>
      <w:r>
        <w:rPr>
          <w:szCs w:val="24"/>
          <w:lang w:val="sk-SK"/>
        </w:rPr>
        <w:t>].</w:t>
      </w:r>
    </w:p>
  </w:footnote>
  <w:footnote w:id="21">
    <w:p w:rsidR="009D7883" w:rsidRDefault="00AA63BB">
      <w:pPr>
        <w:pStyle w:val="FootnoteText"/>
        <w:ind w:left="851" w:hanging="851"/>
        <w:rPr>
          <w:lang w:val="sk-SK"/>
        </w:rPr>
      </w:pPr>
      <w:r>
        <w:rPr>
          <w:rStyle w:val="FootnoteReference"/>
          <w:strike/>
          <w:lang w:val="sk-SK"/>
        </w:rPr>
        <w:t>+</w:t>
      </w:r>
      <w:r>
        <w:rPr>
          <w:strike/>
          <w:lang w:val="sk-SK"/>
        </w:rPr>
        <w:t xml:space="preserve"> </w:t>
      </w:r>
      <w:r>
        <w:rPr>
          <w:lang w:val="sk-SK"/>
        </w:rPr>
        <w:tab/>
      </w:r>
      <w:r>
        <w:rPr>
          <w:strike/>
          <w:szCs w:val="24"/>
          <w:lang w:val="sk-SK"/>
        </w:rPr>
        <w:t>Úrad pre publikácie: vložte do textu číslo nariadenia o certifikácii odst</w:t>
      </w:r>
      <w:r>
        <w:rPr>
          <w:strike/>
          <w:szCs w:val="24"/>
          <w:lang w:val="sk-SK"/>
        </w:rPr>
        <w:t xml:space="preserve">raňovania uhlíka nachádzajúceho sa v dokumente </w:t>
      </w:r>
      <w:proofErr w:type="spellStart"/>
      <w:r>
        <w:rPr>
          <w:strike/>
          <w:szCs w:val="24"/>
          <w:lang w:val="sk-SK"/>
        </w:rPr>
        <w:t>COM</w:t>
      </w:r>
      <w:proofErr w:type="spellEnd"/>
      <w:r>
        <w:rPr>
          <w:strike/>
          <w:szCs w:val="24"/>
          <w:lang w:val="sk-SK"/>
        </w:rPr>
        <w:t xml:space="preserve">(2022) 672 </w:t>
      </w:r>
      <w:proofErr w:type="spellStart"/>
      <w:r>
        <w:rPr>
          <w:strike/>
          <w:szCs w:val="24"/>
          <w:lang w:val="sk-SK"/>
        </w:rPr>
        <w:t>final</w:t>
      </w:r>
      <w:proofErr w:type="spellEnd"/>
      <w:r>
        <w:rPr>
          <w:strike/>
          <w:szCs w:val="24"/>
          <w:lang w:val="sk-SK"/>
        </w:rPr>
        <w:t xml:space="preserve"> a do poznámky pod čiarou vložte číslo, dátum, názov daného nariadenia a odkaz naň v Úradom vestníku</w:t>
      </w:r>
    </w:p>
  </w:footnote>
  <w:footnote w:id="22">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(ES) č. 1059/2003 z 26. mája 2003 o zostavení s</w:t>
      </w:r>
      <w:r>
        <w:rPr>
          <w:szCs w:val="24"/>
          <w:lang w:val="sk-SK"/>
        </w:rPr>
        <w:t>poločnej nomenklatúry územných jednotiek pre štatistické účely (NUTS) (Ú. v. EÚ L 154, 21.6.2003, s. 1).</w:t>
      </w:r>
    </w:p>
  </w:footnote>
  <w:footnote w:id="23">
    <w:p w:rsidR="009D7883" w:rsidRDefault="00AA63BB">
      <w:pPr>
        <w:pStyle w:val="FootnoteTextForceStyle"/>
        <w:rPr>
          <w:szCs w:val="24"/>
          <w:lang w:val="sk-SK"/>
        </w:rPr>
      </w:pPr>
      <w:r>
        <w:rPr>
          <w:strike/>
          <w:szCs w:val="24"/>
          <w:vertAlign w:val="superscript"/>
          <w:lang w:val="sk-SK"/>
        </w:rPr>
        <w:footnoteRef/>
      </w:r>
      <w:r>
        <w:rPr>
          <w:szCs w:val="24"/>
          <w:lang w:val="sk-SK"/>
        </w:rPr>
        <w:tab/>
      </w:r>
      <w:r>
        <w:rPr>
          <w:strike/>
          <w:szCs w:val="24"/>
          <w:lang w:val="sk-SK"/>
        </w:rPr>
        <w:t xml:space="preserve">Smernica Európskeho parlamentu a Rady (EÚ) 2018/2001 z 11. decembra 2018 o podpore využívania energie z obnoviteľných zdrojov (prepracované znenie) </w:t>
      </w:r>
      <w:r>
        <w:rPr>
          <w:strike/>
          <w:szCs w:val="24"/>
          <w:lang w:val="sk-SK"/>
        </w:rPr>
        <w:t>(Ú. v. EÚ L 328, 21.12.2018, s. 82).</w:t>
      </w:r>
    </w:p>
  </w:footnote>
  <w:footnote w:id="24">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Rade, Európskemu hospodárskemu a sociálnemu výboru a Výboru regiónov s názvom Európska dátová stratégia [</w:t>
      </w:r>
      <w:proofErr w:type="spellStart"/>
      <w:r>
        <w:rPr>
          <w:szCs w:val="24"/>
          <w:lang w:val="sk-SK"/>
        </w:rPr>
        <w:t>COM</w:t>
      </w:r>
      <w:proofErr w:type="spellEnd"/>
      <w:r>
        <w:rPr>
          <w:szCs w:val="24"/>
          <w:lang w:val="sk-SK"/>
        </w:rPr>
        <w:t xml:space="preserve">(2020) 66 </w:t>
      </w:r>
      <w:proofErr w:type="spellStart"/>
      <w:r>
        <w:rPr>
          <w:szCs w:val="24"/>
          <w:lang w:val="sk-SK"/>
        </w:rPr>
        <w:t>final</w:t>
      </w:r>
      <w:proofErr w:type="spellEnd"/>
      <w:r>
        <w:rPr>
          <w:szCs w:val="24"/>
          <w:lang w:val="sk-SK"/>
        </w:rPr>
        <w:t>].</w:t>
      </w:r>
    </w:p>
  </w:footnote>
  <w:footnote w:id="25">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202</w:t>
      </w:r>
      <w:r>
        <w:rPr>
          <w:szCs w:val="24"/>
          <w:lang w:val="sk-SK"/>
        </w:rPr>
        <w:t>1/2115 z 2. decembra 2021, ktorým sa stanovujú pravidlá podpory strategických plánov, ktoré majú zostaviť členské štáty v rámci spoločnej poľnohospodárskej politiky (strategické plány SPP) a ktoré sú financované z Európskeho poľnohospodárskeho záručného fo</w:t>
      </w:r>
      <w:r>
        <w:rPr>
          <w:szCs w:val="24"/>
          <w:lang w:val="sk-SK"/>
        </w:rPr>
        <w:t>ndu (EPZF) a Európskeho poľnohospodárskeho fondu pre rozvoj vidieka (EPFRV), a ktorým sa zrušujú nariadenia (EÚ) č. 1305/2013 a (EÚ) č. 1307/2013 (Ú. v. EÚ L 435, 6.12.2021, s. 1).</w:t>
      </w:r>
    </w:p>
  </w:footnote>
  <w:footnote w:id="26">
    <w:p w:rsidR="009D7883" w:rsidRDefault="00AA63BB">
      <w:pPr>
        <w:pStyle w:val="FootnoteTextForceStyle"/>
        <w:rPr>
          <w:szCs w:val="24"/>
          <w:lang w:val="sk-SK"/>
        </w:rPr>
      </w:pPr>
      <w:r>
        <w:rPr>
          <w:szCs w:val="24"/>
          <w:vertAlign w:val="superscript"/>
          <w:lang w:val="sk-SK"/>
        </w:rPr>
        <w:footnoteRef/>
      </w:r>
      <w:r>
        <w:rPr>
          <w:szCs w:val="24"/>
          <w:lang w:val="sk-SK"/>
        </w:rPr>
        <w:tab/>
        <w:t>Úrad pre publikácie: vložte do textu číslo nariadenia o obnove prírody na</w:t>
      </w:r>
      <w:r>
        <w:rPr>
          <w:szCs w:val="24"/>
          <w:lang w:val="sk-SK"/>
        </w:rPr>
        <w:t>chádzajúceho sa v dokumente COM(2022) 304 a do poznámky pod čiarou vložte číslo, dátum, názov a odkaz na dané nariadenie v Úradnom vestníku; nariadenie Európskeho parlamentu a Rady (EÚ) …/… o obnove prírody.</w:t>
      </w:r>
    </w:p>
  </w:footnote>
  <w:footnote w:id="27">
    <w:p w:rsidR="009D7883" w:rsidRDefault="00AA63BB">
      <w:pPr>
        <w:pStyle w:val="FootnoteTextForceStyle"/>
        <w:rPr>
          <w:szCs w:val="24"/>
          <w:lang w:val="sk-SK"/>
        </w:rPr>
      </w:pPr>
      <w:r>
        <w:rPr>
          <w:szCs w:val="24"/>
          <w:vertAlign w:val="superscript"/>
          <w:lang w:val="sk-SK"/>
        </w:rPr>
        <w:footnoteRef/>
      </w:r>
      <w:r>
        <w:rPr>
          <w:szCs w:val="24"/>
          <w:lang w:val="sk-SK"/>
        </w:rPr>
        <w:tab/>
        <w:t>Smernica Rady 91/676/EHS z 12. decembra 1991 o</w:t>
      </w:r>
      <w:r>
        <w:rPr>
          <w:szCs w:val="24"/>
          <w:lang w:val="sk-SK"/>
        </w:rPr>
        <w:t xml:space="preserve"> ochrane vôd pred znečistením dusičnanmi z poľnohospodárskych zdrojov (Ú. v. ES L 375, 31.12.1991, s. 1).</w:t>
      </w:r>
    </w:p>
  </w:footnote>
  <w:footnote w:id="28">
    <w:p w:rsidR="009D7883" w:rsidRDefault="00AA63BB">
      <w:pPr>
        <w:pStyle w:val="FootnoteTextForceStyle"/>
        <w:rPr>
          <w:szCs w:val="24"/>
          <w:lang w:val="sk-SK"/>
        </w:rPr>
      </w:pPr>
      <w:r>
        <w:rPr>
          <w:szCs w:val="24"/>
          <w:vertAlign w:val="superscript"/>
          <w:lang w:val="sk-SK"/>
        </w:rPr>
        <w:footnoteRef/>
      </w:r>
      <w:r>
        <w:rPr>
          <w:szCs w:val="24"/>
          <w:lang w:val="sk-SK"/>
        </w:rPr>
        <w:tab/>
        <w:t>Smernica Rady 92/43/EHS z 21. mája 1992 o ochrane prirodzených biotopov a voľne žijúcich živočíchov a rastlín (Ú. v. ES L 206, 22.7.1992, s. 7).</w:t>
      </w:r>
    </w:p>
  </w:footnote>
  <w:footnote w:id="29">
    <w:p w:rsidR="009D7883" w:rsidRDefault="00AA63BB">
      <w:pPr>
        <w:pStyle w:val="FootnoteTextForceStyle"/>
        <w:rPr>
          <w:szCs w:val="24"/>
          <w:lang w:val="sk-SK"/>
        </w:rPr>
      </w:pPr>
      <w:r>
        <w:rPr>
          <w:szCs w:val="24"/>
          <w:vertAlign w:val="superscript"/>
          <w:lang w:val="sk-SK"/>
        </w:rPr>
        <w:footnoteRef/>
      </w:r>
      <w:r>
        <w:rPr>
          <w:szCs w:val="24"/>
          <w:lang w:val="sk-SK"/>
        </w:rPr>
        <w:tab/>
        <w:t>S</w:t>
      </w:r>
      <w:r>
        <w:rPr>
          <w:szCs w:val="24"/>
          <w:lang w:val="sk-SK"/>
        </w:rPr>
        <w:t>mernica Európskeho parlamentu a Rady 2000/60/ES z 23. októbra 2000, ktorou sa stanovuje rámec pôsobnosti pre opatrenia Spoločenstva v oblasti vodného hospodárstva (Ú. v. ES L 327, 22.12.2000, s. 1 – 73).</w:t>
      </w:r>
    </w:p>
  </w:footnote>
  <w:footnote w:id="30">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2007/60/ES z</w:t>
      </w:r>
      <w:r>
        <w:rPr>
          <w:szCs w:val="24"/>
          <w:lang w:val="sk-SK"/>
        </w:rPr>
        <w:t xml:space="preserve"> 23. októbra 2007 o hodnotení a manažmente povodňových rizík (Ú. v. EÚ L 288, 6.11.2007, s. 27).</w:t>
      </w:r>
    </w:p>
  </w:footnote>
  <w:footnote w:id="31">
    <w:p w:rsidR="009D7883" w:rsidRDefault="00AA63BB">
      <w:pPr>
        <w:pStyle w:val="FootnoteTextForceStyle"/>
        <w:rPr>
          <w:szCs w:val="24"/>
          <w:lang w:val="sk-SK"/>
        </w:rPr>
      </w:pPr>
      <w:r>
        <w:rPr>
          <w:szCs w:val="24"/>
          <w:vertAlign w:val="superscript"/>
          <w:lang w:val="sk-SK"/>
        </w:rPr>
        <w:footnoteRef/>
      </w:r>
      <w:r>
        <w:rPr>
          <w:szCs w:val="24"/>
          <w:lang w:val="sk-SK"/>
        </w:rPr>
        <w:tab/>
        <w:t>Oznámenie Komisie Európskemu parlamentu, Rade, Európskemu hospodárskemu a sociálnemu výboru a Výboru regiónov. Budovanie Európy odolnej proti zmene klímy – n</w:t>
      </w:r>
      <w:r>
        <w:rPr>
          <w:szCs w:val="24"/>
          <w:lang w:val="sk-SK"/>
        </w:rPr>
        <w:t>ová stratégia EÚ pre adaptáciu na zmenu klímy [</w:t>
      </w:r>
      <w:proofErr w:type="spellStart"/>
      <w:r>
        <w:rPr>
          <w:szCs w:val="24"/>
          <w:lang w:val="sk-SK"/>
        </w:rPr>
        <w:t>COM</w:t>
      </w:r>
      <w:proofErr w:type="spellEnd"/>
      <w:r>
        <w:rPr>
          <w:szCs w:val="24"/>
          <w:lang w:val="sk-SK"/>
        </w:rPr>
        <w:t xml:space="preserve">(2021) 82 </w:t>
      </w:r>
      <w:proofErr w:type="spellStart"/>
      <w:r>
        <w:rPr>
          <w:szCs w:val="24"/>
          <w:lang w:val="sk-SK"/>
        </w:rPr>
        <w:t>final</w:t>
      </w:r>
      <w:proofErr w:type="spellEnd"/>
      <w:r>
        <w:rPr>
          <w:szCs w:val="24"/>
          <w:lang w:val="sk-SK"/>
        </w:rPr>
        <w:t>].</w:t>
      </w:r>
    </w:p>
  </w:footnote>
  <w:footnote w:id="32">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2018/841 z 30. mája 2018 o začlenení emisií a odstraňovania skleníkových plynov z využívania pôdy, zo zmien vo využívaní pôdy a z lesného hos</w:t>
      </w:r>
      <w:r>
        <w:rPr>
          <w:szCs w:val="24"/>
          <w:lang w:val="sk-SK"/>
        </w:rPr>
        <w:t>podárstva do rámca politík v oblasti klímy a energetiky na rok 2030, ktorým sa mení nariadenie (EÚ) č. 525/2013 a rozhodnutie č. 529/2013/EÚ (Ú. v. EÚ L 156, 19.6.2018, s. 1).</w:t>
      </w:r>
    </w:p>
  </w:footnote>
  <w:footnote w:id="33">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2018/842 z 30. mája 2018 o záväzn</w:t>
      </w:r>
      <w:r>
        <w:rPr>
          <w:szCs w:val="24"/>
          <w:lang w:val="sk-SK"/>
        </w:rPr>
        <w:t>om ročnom znižovaní emisií skleníkových plynov členskými štátmi v rokoch 2021 až 2030, ktorým sa prispieva k opatreniam v oblasti klímy zameraným na splnenie záväzkov podľa Parížskej dohody, a o zmene nariadenia (EÚ) č. 525/2013 (Ú. v. EÚ L 156, 19.6.2018,</w:t>
      </w:r>
      <w:r>
        <w:rPr>
          <w:szCs w:val="24"/>
          <w:lang w:val="sk-SK"/>
        </w:rPr>
        <w:t xml:space="preserve"> s. 26).</w:t>
      </w:r>
    </w:p>
  </w:footnote>
  <w:footnote w:id="34">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2018/1999 z 11. decembra 2018 o riadení energetickej únie a opatrení v oblasti klímy, ktorým sa menia nariadenia Európskeho parlamentu a Rady (ES) č. 663/2009 a (ES) č. 715/2009, smernice Európskeho p</w:t>
      </w:r>
      <w:r>
        <w:rPr>
          <w:szCs w:val="24"/>
          <w:lang w:val="sk-SK"/>
        </w:rPr>
        <w:t>arlamentu a Rady 94/22/ES, 98/70/ES, 2009/31/ES, 2009/73/ES, 2010/31/EÚ, 2012/27/EÚ a 2013/30/EÚ, smernice Rady 2009/119/ES a (EÚ) 2015/652 a ktorým sa zrušuje nariadenie Európskeho parlamentu a Rady (EÚ) č. 525/2013 (Ú. v. EÚ L 328, 21.12.2018, s. 1).</w:t>
      </w:r>
    </w:p>
  </w:footnote>
  <w:footnote w:id="35">
    <w:p w:rsidR="009D7883" w:rsidRDefault="00AA63BB">
      <w:pPr>
        <w:pStyle w:val="FootnoteTextForceStyle"/>
        <w:rPr>
          <w:szCs w:val="24"/>
          <w:lang w:val="sk-SK"/>
        </w:rPr>
      </w:pPr>
      <w:r>
        <w:rPr>
          <w:szCs w:val="24"/>
          <w:vertAlign w:val="superscript"/>
          <w:lang w:val="sk-SK"/>
        </w:rPr>
        <w:footnoteRef/>
      </w:r>
      <w:r>
        <w:rPr>
          <w:szCs w:val="24"/>
          <w:lang w:val="sk-SK"/>
        </w:rPr>
        <w:tab/>
        <w:t>S</w:t>
      </w:r>
      <w:r>
        <w:rPr>
          <w:szCs w:val="24"/>
          <w:lang w:val="sk-SK"/>
        </w:rPr>
        <w:t>mernica Európskeho parlamentu a Rady (EÚ) 2016/2284 zo 14. decembra 2016 o znížení národných emisií určitých látok znečisťujúcich ovzdušie, ktorou sa mení smernica 2003/35/ES a zrušuje smernica 2001/81/ES (Ú. v. EÚ L 344, 17.12.2016, s. 1).</w:t>
      </w:r>
    </w:p>
  </w:footnote>
  <w:footnote w:id="36">
    <w:p w:rsidR="009D7883" w:rsidRDefault="00AA63BB">
      <w:pPr>
        <w:pStyle w:val="FootnoteTextForceStyle"/>
        <w:rPr>
          <w:szCs w:val="24"/>
          <w:lang w:val="sk-SK"/>
        </w:rPr>
      </w:pPr>
      <w:r>
        <w:rPr>
          <w:szCs w:val="24"/>
          <w:vertAlign w:val="superscript"/>
          <w:lang w:val="sk-SK"/>
        </w:rPr>
        <w:footnoteRef/>
      </w:r>
      <w:r>
        <w:rPr>
          <w:szCs w:val="24"/>
          <w:lang w:val="sk-SK"/>
        </w:rPr>
        <w:tab/>
        <w:t>Rozhodnutie E</w:t>
      </w:r>
      <w:r>
        <w:rPr>
          <w:szCs w:val="24"/>
          <w:lang w:val="sk-SK"/>
        </w:rPr>
        <w:t>urópskeho parlamentu a Rady č. 1313/2013/EÚ zo 17. decembra 2013 o mechanizme Únie v oblasti civilnej ochrany (Ú. v. EÚ L 347, 20.12.2013, s. 924).</w:t>
      </w:r>
    </w:p>
  </w:footnote>
  <w:footnote w:id="37">
    <w:p w:rsidR="009D7883" w:rsidRDefault="00AA63BB">
      <w:pPr>
        <w:pStyle w:val="FootnoteTextForceStyle"/>
        <w:rPr>
          <w:szCs w:val="24"/>
          <w:lang w:val="sk-SK"/>
        </w:rPr>
      </w:pPr>
      <w:r>
        <w:rPr>
          <w:strike/>
          <w:szCs w:val="24"/>
          <w:vertAlign w:val="superscript"/>
          <w:lang w:val="sk-SK"/>
        </w:rPr>
        <w:footnoteRef/>
      </w:r>
      <w:r>
        <w:rPr>
          <w:szCs w:val="24"/>
          <w:lang w:val="sk-SK"/>
        </w:rPr>
        <w:tab/>
      </w:r>
      <w:r>
        <w:rPr>
          <w:strike/>
          <w:szCs w:val="24"/>
          <w:lang w:val="sk-SK"/>
        </w:rPr>
        <w:t xml:space="preserve">+ Úrad pre publikácie: vložte do textu číslo nariadenia o udržateľnom používaní prípravkov na ochranu </w:t>
      </w:r>
      <w:r>
        <w:rPr>
          <w:strike/>
          <w:szCs w:val="24"/>
          <w:lang w:val="sk-SK"/>
        </w:rPr>
        <w:t>rastlín a o zmene nariadenia (EÚ) 2021/2115 nachádzajúceho sa v dokumente COM(2022) 305 a do poznámky pod čiarou vložte číslo, dátum, názov daného nariadenia smernice a odkaz naň v Úradom vestníku.</w:t>
      </w:r>
    </w:p>
  </w:footnote>
  <w:footnote w:id="38">
    <w:p w:rsidR="009D7883" w:rsidRDefault="00AA63BB">
      <w:pPr>
        <w:pStyle w:val="FootnoteTextForceStyle"/>
        <w:rPr>
          <w:szCs w:val="24"/>
          <w:lang w:val="sk-SK"/>
        </w:rPr>
      </w:pPr>
      <w:r>
        <w:rPr>
          <w:szCs w:val="24"/>
          <w:vertAlign w:val="superscript"/>
          <w:lang w:val="sk-SK"/>
        </w:rPr>
        <w:footnoteRef/>
      </w:r>
      <w:r>
        <w:rPr>
          <w:szCs w:val="24"/>
          <w:lang w:val="sk-SK"/>
        </w:rPr>
        <w:tab/>
        <w:t>Nariadenie (EÚ) 2022/2379 o štatistike poľnohospodárskyc</w:t>
      </w:r>
      <w:r>
        <w:rPr>
          <w:szCs w:val="24"/>
          <w:lang w:val="sk-SK"/>
        </w:rPr>
        <w:t>h vstupov a výstupov.</w:t>
      </w:r>
    </w:p>
  </w:footnote>
  <w:footnote w:id="39">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2010/75/EÚ z 24. novembra 2010 o priemyselných emisiách (Ú. v. EÚ L 334, 17.12.2010, s. 17).</w:t>
      </w:r>
    </w:p>
  </w:footnote>
  <w:footnote w:id="40">
    <w:p w:rsidR="009D7883" w:rsidRDefault="00AA63BB">
      <w:pPr>
        <w:pStyle w:val="FootnoteTextForceStyle"/>
        <w:rPr>
          <w:szCs w:val="24"/>
          <w:lang w:val="sk-SK"/>
        </w:rPr>
      </w:pPr>
      <w:r>
        <w:rPr>
          <w:szCs w:val="24"/>
          <w:vertAlign w:val="superscript"/>
          <w:lang w:val="sk-SK"/>
        </w:rPr>
        <w:footnoteRef/>
      </w:r>
      <w:r>
        <w:rPr>
          <w:szCs w:val="24"/>
          <w:lang w:val="sk-SK"/>
        </w:rPr>
        <w:tab/>
        <w:t xml:space="preserve">+ Úrad pre publikácie: vložte do textu číslo nariadenia, ktorým sa stanovuje rámec na zabezpečenie </w:t>
      </w:r>
      <w:r>
        <w:rPr>
          <w:szCs w:val="24"/>
          <w:lang w:val="sk-SK"/>
        </w:rPr>
        <w:t>bezpečných a udržateľných dodávok kritických surovín a ktorým sa menia nariadenia (EÚ) č. 168/2013, (EÚ) 2018/858, (EÚ) 2018/1724 a (EÚ) 2019/1020 nachádzajúceho sa v dokumente COM(2023) 160 a do poznámky pod čiarou vložte číslo, dátum, názov daného nariad</w:t>
      </w:r>
      <w:r>
        <w:rPr>
          <w:szCs w:val="24"/>
          <w:lang w:val="sk-SK"/>
        </w:rPr>
        <w:t>enia a odkaz naň v Úradom vestníku.</w:t>
      </w:r>
    </w:p>
  </w:footnote>
  <w:footnote w:id="41">
    <w:p w:rsidR="009D7883" w:rsidRDefault="00AA63BB">
      <w:pPr>
        <w:pStyle w:val="FootnoteTextForceStyle"/>
        <w:rPr>
          <w:szCs w:val="24"/>
          <w:lang w:val="sk-SK"/>
        </w:rPr>
      </w:pPr>
      <w:r>
        <w:rPr>
          <w:szCs w:val="24"/>
          <w:vertAlign w:val="superscript"/>
          <w:lang w:val="sk-SK"/>
        </w:rPr>
        <w:footnoteRef/>
      </w:r>
      <w:r>
        <w:rPr>
          <w:szCs w:val="24"/>
          <w:lang w:val="sk-SK"/>
        </w:rPr>
        <w:tab/>
        <w:t>Dohovor o prístupe k informáciám, účasti verejnosti na rozhodovacom procese a prístupe k spravodlivosti v záležitostiach životného prostredia – Vyhlásenia (Ú. v. EÚ L 124, 17.5.2005).</w:t>
      </w:r>
    </w:p>
  </w:footnote>
  <w:footnote w:id="42">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w:t>
      </w:r>
      <w:r>
        <w:rPr>
          <w:szCs w:val="24"/>
          <w:lang w:val="sk-SK"/>
        </w:rPr>
        <w:t xml:space="preserve"> Rady (EÚ) 2019/1024 z 20. júna 2019 o otvorených dátach a opakovanom použití informácií verejného sektora (Ú. v. EÚ L 172, 26.6.2019, s. 56).</w:t>
      </w:r>
    </w:p>
  </w:footnote>
  <w:footnote w:id="43">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2003/4/ES z 28. januára 2003 o prístupe verejnosti k informáciám o životn</w:t>
      </w:r>
      <w:r>
        <w:rPr>
          <w:szCs w:val="24"/>
          <w:lang w:val="sk-SK"/>
        </w:rPr>
        <w:t>om prostredí, ktorou sa zrušuje smernica Rady 90/313/EHS (Ú. v. EÚ L 41, 14.2.2003, s. 26).</w:t>
      </w:r>
    </w:p>
  </w:footnote>
  <w:footnote w:id="44">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2007/2/ES zo 14. marca 2007, ktorou sa zriaďuje Infraštruktúra pre priestorové informácie v Európskom spoločenstve (</w:t>
      </w:r>
      <w:proofErr w:type="spellStart"/>
      <w:r>
        <w:rPr>
          <w:szCs w:val="24"/>
          <w:lang w:val="sk-SK"/>
        </w:rPr>
        <w:t>Inspire</w:t>
      </w:r>
      <w:proofErr w:type="spellEnd"/>
      <w:r>
        <w:rPr>
          <w:szCs w:val="24"/>
          <w:lang w:val="sk-SK"/>
        </w:rPr>
        <w:t>)</w:t>
      </w:r>
      <w:r>
        <w:rPr>
          <w:szCs w:val="24"/>
          <w:lang w:val="sk-SK"/>
        </w:rPr>
        <w:t xml:space="preserve"> (Ú. v. EÚ L 108, 25.4.2007, s. 1).</w:t>
      </w:r>
    </w:p>
  </w:footnote>
  <w:footnote w:id="45">
    <w:p w:rsidR="009D7883" w:rsidRDefault="00AA63BB">
      <w:pPr>
        <w:pStyle w:val="FootnoteTextForceStyle"/>
        <w:rPr>
          <w:szCs w:val="24"/>
          <w:lang w:val="sk-SK"/>
        </w:rPr>
      </w:pPr>
      <w:r>
        <w:rPr>
          <w:szCs w:val="24"/>
          <w:vertAlign w:val="superscript"/>
          <w:lang w:val="sk-SK"/>
        </w:rPr>
        <w:footnoteRef/>
      </w:r>
      <w:r>
        <w:rPr>
          <w:szCs w:val="24"/>
          <w:lang w:val="sk-SK"/>
        </w:rPr>
        <w:tab/>
      </w:r>
      <w:proofErr w:type="spellStart"/>
      <w:r>
        <w:rPr>
          <w:szCs w:val="24"/>
          <w:lang w:val="sk-SK"/>
        </w:rPr>
        <w:t>Medziinštitucionálna</w:t>
      </w:r>
      <w:proofErr w:type="spellEnd"/>
      <w:r>
        <w:rPr>
          <w:szCs w:val="24"/>
          <w:lang w:val="sk-SK"/>
        </w:rPr>
        <w:t xml:space="preserve"> dohoda medzi Európskym parlamentom, Radou Európskej únie a Európskou komisiou o lepšej tvorbe práva z 13. apríla 2016 (Ú. v. EÚ L 123, 12.5.2016, s. 1).</w:t>
      </w:r>
    </w:p>
  </w:footnote>
  <w:footnote w:id="46">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w:t>
      </w:r>
      <w:r>
        <w:rPr>
          <w:szCs w:val="24"/>
          <w:lang w:val="sk-SK"/>
        </w:rPr>
        <w:t>Ú) č. 182/2011 zo 16. februára 2011, ktorým sa ustanovujú pravidlá a všeobecné zásady mechanizmu, na základe ktorého členské štáty kontrolujú vykonávanie vykonávacích právomocí Komisie (Ú. v. EÚ L 55, 28.2.2011, s. 13).</w:t>
      </w:r>
    </w:p>
  </w:footnote>
  <w:footnote w:id="47">
    <w:p w:rsidR="009D7883" w:rsidRDefault="00AA63BB">
      <w:pPr>
        <w:pStyle w:val="FootnoteTextForceStyle"/>
        <w:rPr>
          <w:szCs w:val="24"/>
          <w:lang w:val="sk-SK"/>
        </w:rPr>
      </w:pPr>
      <w:r>
        <w:rPr>
          <w:szCs w:val="24"/>
          <w:vertAlign w:val="superscript"/>
          <w:lang w:val="sk-SK"/>
        </w:rPr>
        <w:footnoteRef/>
      </w:r>
      <w:r>
        <w:rPr>
          <w:szCs w:val="24"/>
          <w:lang w:val="sk-SK"/>
        </w:rPr>
        <w:tab/>
        <w:t>Ú. v. EÚ C 369, 17.12.2011, s. 14.</w:t>
      </w:r>
    </w:p>
  </w:footnote>
  <w:footnote w:id="48">
    <w:p w:rsidR="009D7883" w:rsidRDefault="00AA63BB">
      <w:pPr>
        <w:pStyle w:val="FootnoteTextForceStyle"/>
        <w:rPr>
          <w:szCs w:val="24"/>
          <w:lang w:val="sk-SK"/>
        </w:rPr>
      </w:pPr>
      <w:r>
        <w:rPr>
          <w:szCs w:val="24"/>
          <w:vertAlign w:val="superscript"/>
          <w:lang w:val="sk-SK"/>
        </w:rPr>
        <w:footnoteRef/>
      </w:r>
      <w:r>
        <w:rPr>
          <w:szCs w:val="24"/>
          <w:lang w:val="sk-SK"/>
        </w:rPr>
        <w:tab/>
        <w:t>https://www.fao.org/soils-portal/data-hub/soil-classification/world-reference-base/en/.</w:t>
      </w:r>
    </w:p>
  </w:footnote>
  <w:footnote w:id="49">
    <w:p w:rsidR="009D7883" w:rsidRDefault="00AA63BB">
      <w:pPr>
        <w:pStyle w:val="FootnoteTextForceStyle"/>
        <w:rPr>
          <w:szCs w:val="24"/>
          <w:lang w:val="sk-SK"/>
        </w:rPr>
      </w:pPr>
      <w:r>
        <w:rPr>
          <w:szCs w:val="24"/>
          <w:vertAlign w:val="superscript"/>
          <w:lang w:val="sk-SK"/>
        </w:rPr>
        <w:footnoteRef/>
      </w:r>
      <w:r>
        <w:rPr>
          <w:szCs w:val="24"/>
          <w:lang w:val="sk-SK"/>
        </w:rPr>
        <w:tab/>
        <w:t xml:space="preserve">M. J. </w:t>
      </w:r>
      <w:proofErr w:type="spellStart"/>
      <w:r>
        <w:rPr>
          <w:szCs w:val="24"/>
          <w:lang w:val="sk-SK"/>
        </w:rPr>
        <w:t>Metzger</w:t>
      </w:r>
      <w:proofErr w:type="spellEnd"/>
      <w:r>
        <w:rPr>
          <w:szCs w:val="24"/>
          <w:lang w:val="sk-SK"/>
        </w:rPr>
        <w:t xml:space="preserve">, A. D. </w:t>
      </w:r>
      <w:proofErr w:type="spellStart"/>
      <w:r>
        <w:rPr>
          <w:szCs w:val="24"/>
          <w:lang w:val="sk-SK"/>
        </w:rPr>
        <w:t>Shkaruba</w:t>
      </w:r>
      <w:proofErr w:type="spellEnd"/>
      <w:r>
        <w:rPr>
          <w:szCs w:val="24"/>
          <w:lang w:val="sk-SK"/>
        </w:rPr>
        <w:t xml:space="preserve">, R. H. G. </w:t>
      </w:r>
      <w:proofErr w:type="spellStart"/>
      <w:r>
        <w:rPr>
          <w:szCs w:val="24"/>
          <w:lang w:val="sk-SK"/>
        </w:rPr>
        <w:t>Jongman</w:t>
      </w:r>
      <w:proofErr w:type="spellEnd"/>
      <w:r>
        <w:rPr>
          <w:szCs w:val="24"/>
          <w:lang w:val="sk-SK"/>
        </w:rPr>
        <w:t xml:space="preserve"> a R. G. H. </w:t>
      </w:r>
      <w:proofErr w:type="spellStart"/>
      <w:r>
        <w:rPr>
          <w:szCs w:val="24"/>
          <w:lang w:val="sk-SK"/>
        </w:rPr>
        <w:t>Bunce</w:t>
      </w:r>
      <w:proofErr w:type="spellEnd"/>
      <w:r>
        <w:rPr>
          <w:szCs w:val="24"/>
          <w:lang w:val="sk-SK"/>
        </w:rPr>
        <w:t xml:space="preserve">, </w:t>
      </w:r>
      <w:proofErr w:type="spellStart"/>
      <w:r>
        <w:rPr>
          <w:szCs w:val="24"/>
          <w:lang w:val="sk-SK"/>
        </w:rPr>
        <w:t>Descriptions</w:t>
      </w:r>
      <w:proofErr w:type="spellEnd"/>
      <w:r>
        <w:rPr>
          <w:szCs w:val="24"/>
          <w:lang w:val="sk-SK"/>
        </w:rPr>
        <w:t xml:space="preserve"> of </w:t>
      </w:r>
      <w:proofErr w:type="spellStart"/>
      <w:r>
        <w:rPr>
          <w:szCs w:val="24"/>
          <w:lang w:val="sk-SK"/>
        </w:rPr>
        <w:t>the</w:t>
      </w:r>
      <w:proofErr w:type="spellEnd"/>
      <w:r>
        <w:rPr>
          <w:szCs w:val="24"/>
          <w:lang w:val="sk-SK"/>
        </w:rPr>
        <w:t xml:space="preserve"> </w:t>
      </w:r>
      <w:proofErr w:type="spellStart"/>
      <w:r>
        <w:rPr>
          <w:szCs w:val="24"/>
          <w:lang w:val="sk-SK"/>
        </w:rPr>
        <w:t>European</w:t>
      </w:r>
      <w:proofErr w:type="spellEnd"/>
      <w:r>
        <w:rPr>
          <w:szCs w:val="24"/>
          <w:lang w:val="sk-SK"/>
        </w:rPr>
        <w:t xml:space="preserve"> </w:t>
      </w:r>
      <w:proofErr w:type="spellStart"/>
      <w:r>
        <w:rPr>
          <w:szCs w:val="24"/>
          <w:lang w:val="sk-SK"/>
        </w:rPr>
        <w:t>Environmental</w:t>
      </w:r>
      <w:proofErr w:type="spellEnd"/>
      <w:r>
        <w:rPr>
          <w:szCs w:val="24"/>
          <w:lang w:val="sk-SK"/>
        </w:rPr>
        <w:t xml:space="preserve"> </w:t>
      </w:r>
      <w:proofErr w:type="spellStart"/>
      <w:r>
        <w:rPr>
          <w:szCs w:val="24"/>
          <w:lang w:val="sk-SK"/>
        </w:rPr>
        <w:t>Zones</w:t>
      </w:r>
      <w:proofErr w:type="spellEnd"/>
      <w:r>
        <w:rPr>
          <w:szCs w:val="24"/>
          <w:lang w:val="sk-SK"/>
        </w:rPr>
        <w:t xml:space="preserve"> and Strata (Opisy európskych environmentálnych z</w:t>
      </w:r>
      <w:r>
        <w:rPr>
          <w:szCs w:val="24"/>
          <w:lang w:val="sk-SK"/>
        </w:rPr>
        <w:t xml:space="preserve">ón a vrstiev), </w:t>
      </w:r>
      <w:proofErr w:type="spellStart"/>
      <w:r>
        <w:rPr>
          <w:szCs w:val="24"/>
          <w:lang w:val="sk-SK"/>
        </w:rPr>
        <w:t>Alterra</w:t>
      </w:r>
      <w:proofErr w:type="spellEnd"/>
      <w:r>
        <w:rPr>
          <w:szCs w:val="24"/>
          <w:lang w:val="sk-SK"/>
        </w:rPr>
        <w:t xml:space="preserve"> Report 2281, </w:t>
      </w:r>
      <w:proofErr w:type="spellStart"/>
      <w:r>
        <w:rPr>
          <w:szCs w:val="24"/>
          <w:lang w:val="sk-SK"/>
        </w:rPr>
        <w:t>ISSN</w:t>
      </w:r>
      <w:proofErr w:type="spellEnd"/>
      <w:r>
        <w:rPr>
          <w:szCs w:val="24"/>
          <w:lang w:val="sk-SK"/>
        </w:rPr>
        <w:t xml:space="preserve"> 1566-7197.</w:t>
      </w:r>
    </w:p>
  </w:footnote>
  <w:footnote w:id="50">
    <w:p w:rsidR="009D7883" w:rsidRDefault="00AA63BB">
      <w:pPr>
        <w:pStyle w:val="FootnoteTextForceStyle"/>
        <w:rPr>
          <w:szCs w:val="24"/>
          <w:lang w:val="sk-SK"/>
        </w:rPr>
      </w:pPr>
      <w:r>
        <w:rPr>
          <w:szCs w:val="24"/>
          <w:vertAlign w:val="superscript"/>
          <w:lang w:val="sk-SK"/>
        </w:rPr>
        <w:footnoteRef/>
      </w:r>
      <w:r>
        <w:rPr>
          <w:szCs w:val="24"/>
          <w:lang w:val="sk-SK"/>
        </w:rPr>
        <w:tab/>
      </w:r>
      <w:r>
        <w:rPr>
          <w:b/>
          <w:i/>
          <w:szCs w:val="24"/>
          <w:lang w:val="sk-SK"/>
        </w:rPr>
        <w:t xml:space="preserve">Nariadenie Európskeho parlamentu a Rady (ES) č. 223/2009 z 11. marca 2009 o európskej štatistike a o zrušení nariadenia (ES, </w:t>
      </w:r>
      <w:proofErr w:type="spellStart"/>
      <w:r>
        <w:rPr>
          <w:b/>
          <w:i/>
          <w:szCs w:val="24"/>
          <w:lang w:val="sk-SK"/>
        </w:rPr>
        <w:t>Euratom</w:t>
      </w:r>
      <w:proofErr w:type="spellEnd"/>
      <w:r>
        <w:rPr>
          <w:b/>
          <w:i/>
          <w:szCs w:val="24"/>
          <w:lang w:val="sk-SK"/>
        </w:rPr>
        <w:t xml:space="preserve">) č. 1101/2008 o prenose dôverných štatistických údajov Štatistickému </w:t>
      </w:r>
      <w:r>
        <w:rPr>
          <w:b/>
          <w:i/>
          <w:szCs w:val="24"/>
          <w:lang w:val="sk-SK"/>
        </w:rPr>
        <w:t xml:space="preserve">úradu Európskych spoločenstiev, nariadenia Rady (ES) č. 322/97 o štatistike Spoločenstva a rozhodnutia Rady 89/382/EHS, </w:t>
      </w:r>
      <w:proofErr w:type="spellStart"/>
      <w:r>
        <w:rPr>
          <w:b/>
          <w:i/>
          <w:szCs w:val="24"/>
          <w:lang w:val="sk-SK"/>
        </w:rPr>
        <w:t>Euratom</w:t>
      </w:r>
      <w:proofErr w:type="spellEnd"/>
      <w:r>
        <w:rPr>
          <w:b/>
          <w:i/>
          <w:szCs w:val="24"/>
          <w:lang w:val="sk-SK"/>
        </w:rPr>
        <w:t xml:space="preserve"> o založení Výboru pre štatistické programy Európskych spoločenstiev (Ú. v. EÚ L 87, 31.3.2009, s. 164).</w:t>
      </w:r>
    </w:p>
  </w:footnote>
  <w:footnote w:id="51">
    <w:p w:rsidR="009D7883" w:rsidRDefault="00AA63BB">
      <w:pPr>
        <w:pStyle w:val="FootnoteTextForceStyle"/>
        <w:rPr>
          <w:szCs w:val="24"/>
          <w:lang w:val="sk-SK"/>
        </w:rPr>
      </w:pPr>
      <w:r>
        <w:rPr>
          <w:szCs w:val="24"/>
          <w:vertAlign w:val="superscript"/>
          <w:lang w:val="sk-SK"/>
        </w:rPr>
        <w:footnoteRef/>
      </w:r>
      <w:r>
        <w:rPr>
          <w:szCs w:val="24"/>
          <w:lang w:val="sk-SK"/>
        </w:rPr>
        <w:tab/>
        <w:t xml:space="preserve">Smernica Európskeho </w:t>
      </w:r>
      <w:r>
        <w:rPr>
          <w:szCs w:val="24"/>
          <w:lang w:val="sk-SK"/>
        </w:rPr>
        <w:t>parlamentu a Rady 2012/18/EÚ zo 4. júla 2012 o kontrole nebezpečenstiev závažných havárií s prítomnosťou nebezpečných látok, ktorou sa mení a dopĺňa a následne zrušuje smernica Rady 96/82/ES (Ú. v. EÚ L 197, 24.7.2012, s. 1).</w:t>
      </w:r>
    </w:p>
  </w:footnote>
  <w:footnote w:id="52">
    <w:p w:rsidR="009D7883" w:rsidRDefault="00AA63BB">
      <w:pPr>
        <w:pStyle w:val="FootnoteTextForceStyle"/>
        <w:rPr>
          <w:szCs w:val="24"/>
          <w:lang w:val="sk-SK"/>
        </w:rPr>
      </w:pPr>
      <w:r>
        <w:rPr>
          <w:strike/>
          <w:szCs w:val="24"/>
          <w:vertAlign w:val="superscript"/>
          <w:lang w:val="sk-SK"/>
        </w:rPr>
        <w:footnoteRef/>
      </w:r>
      <w:r>
        <w:rPr>
          <w:szCs w:val="24"/>
          <w:lang w:val="sk-SK"/>
        </w:rPr>
        <w:tab/>
      </w:r>
      <w:r>
        <w:rPr>
          <w:strike/>
          <w:szCs w:val="24"/>
          <w:lang w:val="sk-SK"/>
        </w:rPr>
        <w:t>Smernica Európskeho parlamen</w:t>
      </w:r>
      <w:r>
        <w:rPr>
          <w:strike/>
          <w:szCs w:val="24"/>
          <w:lang w:val="sk-SK"/>
        </w:rPr>
        <w:t>tu a Rady 2004/35/ES z 21. apríla 2004 o environmentálnej zodpovednosti pri prevencii a odstraňovaní environmentálnych škôd (Ú. v. EÚ L 143, 30.4.2004, s. 56).</w:t>
      </w:r>
    </w:p>
  </w:footnote>
  <w:footnote w:id="53">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2003/4/ES z 28. januára 2003 o prístupe verejnosti k inf</w:t>
      </w:r>
      <w:r>
        <w:rPr>
          <w:szCs w:val="24"/>
          <w:lang w:val="sk-SK"/>
        </w:rPr>
        <w:t>ormáciám o životnom prostredí, ktorou sa zrušuje smernica Rady 90/313/EHS (Ú. v. EÚ L 41, 14.2.2003, s. 26).</w:t>
      </w:r>
    </w:p>
  </w:footnote>
  <w:footnote w:id="54">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2007/2/ES zo 14. marca 2007, ktorou sa zriaďuje Infraštruktúra pre priestorové informácie v Európskom spolo</w:t>
      </w:r>
      <w:r>
        <w:rPr>
          <w:szCs w:val="24"/>
          <w:lang w:val="sk-SK"/>
        </w:rPr>
        <w:t>čenstve (</w:t>
      </w:r>
      <w:proofErr w:type="spellStart"/>
      <w:r>
        <w:rPr>
          <w:szCs w:val="24"/>
          <w:lang w:val="sk-SK"/>
        </w:rPr>
        <w:t>Inspire</w:t>
      </w:r>
      <w:proofErr w:type="spellEnd"/>
      <w:r>
        <w:rPr>
          <w:szCs w:val="24"/>
          <w:lang w:val="sk-SK"/>
        </w:rPr>
        <w:t>) (Ú. v. EÚ L 108, 25.4.2007, s. 1).</w:t>
      </w:r>
    </w:p>
  </w:footnote>
  <w:footnote w:id="55">
    <w:p w:rsidR="009D7883" w:rsidRDefault="00AA63BB">
      <w:pPr>
        <w:pStyle w:val="FootnoteTextForceStyle"/>
        <w:rPr>
          <w:szCs w:val="24"/>
          <w:lang w:val="sk-SK"/>
        </w:rPr>
      </w:pPr>
      <w:r>
        <w:rPr>
          <w:szCs w:val="24"/>
          <w:vertAlign w:val="superscript"/>
          <w:lang w:val="sk-SK"/>
        </w:rPr>
        <w:footnoteRef/>
      </w:r>
      <w:r>
        <w:rPr>
          <w:szCs w:val="24"/>
          <w:lang w:val="sk-SK"/>
        </w:rPr>
        <w:tab/>
        <w:t>Nariadenie Európskeho parlamentu a Rady (EÚ) 2018/1725 z 23. októbra 2018 o ochrane fyzických osôb pri spracúvaní osobných údajov inštitúciami, orgánmi, úradmi a agentúrami Únie a o voľnom pohybe takýc</w:t>
      </w:r>
      <w:r>
        <w:rPr>
          <w:szCs w:val="24"/>
          <w:lang w:val="sk-SK"/>
        </w:rPr>
        <w:t>hto údajov, ktorým sa zrušuje nariadenie (ES) č. 45/2001 a rozhodnutie č. 1247/2002/ES (Ú. v. EÚ L 295, 21.11.2018, s. 39).</w:t>
      </w:r>
    </w:p>
  </w:footnote>
  <w:footnote w:id="56">
    <w:p w:rsidR="009D7883" w:rsidRDefault="00AA63BB">
      <w:pPr>
        <w:pStyle w:val="FootnoteTextForceStyle"/>
        <w:rPr>
          <w:szCs w:val="24"/>
          <w:lang w:val="sk-SK"/>
        </w:rPr>
      </w:pPr>
      <w:r>
        <w:rPr>
          <w:szCs w:val="24"/>
          <w:vertAlign w:val="superscript"/>
          <w:lang w:val="sk-SK"/>
        </w:rPr>
        <w:footnoteRef/>
      </w:r>
      <w:r>
        <w:rPr>
          <w:szCs w:val="24"/>
          <w:lang w:val="sk-SK"/>
        </w:rPr>
        <w:tab/>
        <w:t xml:space="preserve">Nariadenie Európskeho parlamentu a Rady (ES) č. 1367/2006 zo 6. septembra 2006 o uplatňovaní ustanovení </w:t>
      </w:r>
      <w:proofErr w:type="spellStart"/>
      <w:r>
        <w:rPr>
          <w:szCs w:val="24"/>
          <w:lang w:val="sk-SK"/>
        </w:rPr>
        <w:t>Aarhuského</w:t>
      </w:r>
      <w:proofErr w:type="spellEnd"/>
      <w:r>
        <w:rPr>
          <w:szCs w:val="24"/>
          <w:lang w:val="sk-SK"/>
        </w:rPr>
        <w:t xml:space="preserve"> dohovoru o prís</w:t>
      </w:r>
      <w:r>
        <w:rPr>
          <w:szCs w:val="24"/>
          <w:lang w:val="sk-SK"/>
        </w:rPr>
        <w:t>tupe k informáciám, účasti verejnosti na rozhodovacom procese a prístupe k spravodlivosti v záležitostiach životného prostredia na inštitúcie a orgány Spoločenstva (Ú. v. EÚ L 264, 25.9.2006, s. 13).</w:t>
      </w:r>
    </w:p>
  </w:footnote>
  <w:footnote w:id="57">
    <w:p w:rsidR="009D7883" w:rsidRDefault="00AA63BB">
      <w:pPr>
        <w:pStyle w:val="FootnoteTextForceStyle"/>
        <w:rPr>
          <w:szCs w:val="24"/>
          <w:lang w:val="sk-SK"/>
        </w:rPr>
      </w:pPr>
      <w:r>
        <w:rPr>
          <w:szCs w:val="24"/>
          <w:vertAlign w:val="superscript"/>
          <w:lang w:val="sk-SK"/>
        </w:rPr>
        <w:footnoteRef/>
      </w:r>
      <w:r>
        <w:rPr>
          <w:szCs w:val="24"/>
          <w:lang w:val="sk-SK"/>
        </w:rPr>
        <w:tab/>
        <w:t>Smernica Európskeho parlamentu a Rady (EÚ) 2019/1024 z</w:t>
      </w:r>
      <w:r>
        <w:rPr>
          <w:szCs w:val="24"/>
          <w:lang w:val="sk-SK"/>
        </w:rPr>
        <w:t xml:space="preserve"> 20. júna 2019 o otvorených dátach a opakovanom použití informácií verejného sektora (Ú. v. EÚ L 172, 26.6.2019, s. 56).</w:t>
      </w:r>
    </w:p>
  </w:footnote>
  <w:footnote w:id="58">
    <w:p w:rsidR="009D7883" w:rsidRDefault="00AA63BB">
      <w:pPr>
        <w:pStyle w:val="FootnoteText"/>
        <w:rPr>
          <w:strike/>
          <w:sz w:val="24"/>
          <w:szCs w:val="24"/>
          <w:lang w:val="sk-SK"/>
        </w:rPr>
      </w:pPr>
      <w:r>
        <w:rPr>
          <w:rStyle w:val="FootnoteReference"/>
          <w:strike/>
          <w:szCs w:val="24"/>
          <w:lang w:val="sk-SK"/>
        </w:rPr>
        <w:t>+</w:t>
      </w:r>
      <w:r>
        <w:rPr>
          <w:strike/>
          <w:sz w:val="24"/>
          <w:szCs w:val="24"/>
          <w:lang w:val="sk-SK"/>
        </w:rPr>
        <w:tab/>
        <w:t xml:space="preserve">Úrad pre publikácie: vložte do textu číslo nariadenia o obnove prírody nachádzajúceho sa v dokumente COM(2022) 304. </w:t>
      </w:r>
    </w:p>
  </w:footnote>
  <w:footnote w:id="59">
    <w:p w:rsidR="009D7883" w:rsidRDefault="00AA63BB">
      <w:pPr>
        <w:pStyle w:val="FootnoteText"/>
        <w:rPr>
          <w:sz w:val="24"/>
          <w:szCs w:val="24"/>
          <w:lang w:val="sk-SK"/>
        </w:rPr>
      </w:pPr>
      <w:r>
        <w:rPr>
          <w:rStyle w:val="FootnoteReference"/>
          <w:strike/>
          <w:szCs w:val="24"/>
          <w:lang w:val="sk-SK"/>
        </w:rPr>
        <w:footnoteRef/>
      </w:r>
      <w:r>
        <w:rPr>
          <w:strike/>
          <w:sz w:val="24"/>
          <w:szCs w:val="24"/>
          <w:lang w:val="sk-SK"/>
        </w:rPr>
        <w:tab/>
        <w:t>Ako sa vymedzu</w:t>
      </w:r>
      <w:r>
        <w:rPr>
          <w:strike/>
          <w:sz w:val="24"/>
          <w:szCs w:val="24"/>
          <w:lang w:val="sk-SK"/>
        </w:rPr>
        <w:t xml:space="preserve">je v kapitole 5 dokumentu organizácie FAO </w:t>
      </w:r>
      <w:proofErr w:type="spellStart"/>
      <w:r>
        <w:rPr>
          <w:i/>
          <w:iCs/>
          <w:strike/>
          <w:sz w:val="24"/>
          <w:szCs w:val="24"/>
          <w:lang w:val="sk-SK"/>
        </w:rPr>
        <w:t>Guidelines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w:t>
      </w:r>
      <w:proofErr w:type="spellStart"/>
      <w:r>
        <w:rPr>
          <w:i/>
          <w:iCs/>
          <w:strike/>
          <w:sz w:val="24"/>
          <w:szCs w:val="24"/>
          <w:lang w:val="sk-SK"/>
        </w:rPr>
        <w:t>soil</w:t>
      </w:r>
      <w:proofErr w:type="spellEnd"/>
      <w:r>
        <w:rPr>
          <w:i/>
          <w:iCs/>
          <w:sz w:val="24"/>
          <w:szCs w:val="24"/>
          <w:lang w:val="sk-SK"/>
        </w:rPr>
        <w:t xml:space="preserve"> </w:t>
      </w:r>
      <w:proofErr w:type="spellStart"/>
      <w:r>
        <w:rPr>
          <w:i/>
          <w:iCs/>
          <w:sz w:val="24"/>
          <w:szCs w:val="24"/>
          <w:lang w:val="sk-SK"/>
        </w:rPr>
        <w:t>description</w:t>
      </w:r>
      <w:proofErr w:type="spellEnd"/>
      <w:r>
        <w:rPr>
          <w:sz w:val="24"/>
          <w:szCs w:val="24"/>
          <w:lang w:val="sk-SK"/>
        </w:rPr>
        <w:t xml:space="preserve"> (Usmernenia k opisu pôdy) (</w:t>
      </w:r>
      <w:r>
        <w:fldChar w:fldCharType="begin"/>
      </w:r>
      <w:r w:rsidRPr="00AA63BB">
        <w:rPr>
          <w:lang w:val="sk-SK"/>
        </w:rPr>
        <w:instrText xml:space="preserve"> HYPERLINK "https://www.fao.org/3/a0541e/a0541e.pdf" </w:instrText>
      </w:r>
      <w:r>
        <w:fldChar w:fldCharType="separate"/>
      </w:r>
      <w:r>
        <w:rPr>
          <w:rStyle w:val="Hyperlink"/>
          <w:sz w:val="24"/>
          <w:szCs w:val="24"/>
          <w:lang w:val="sk-SK"/>
        </w:rPr>
        <w:t>https://www.fao.org/3/a0541e/a0541e.pdf</w:t>
      </w:r>
      <w:r>
        <w:rPr>
          <w:rStyle w:val="Hyperlink"/>
          <w:sz w:val="24"/>
          <w:szCs w:val="24"/>
          <w:lang w:val="sk-SK"/>
        </w:rPr>
        <w:fldChar w:fldCharType="end"/>
      </w:r>
      <w:r>
        <w:rPr>
          <w:sz w:val="24"/>
          <w:szCs w:val="24"/>
          <w:lang w:val="sk-SK"/>
        </w:rPr>
        <w:t>).</w:t>
      </w:r>
    </w:p>
  </w:footnote>
  <w:footnote w:id="60">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Ako sa vymedzuje v publikácii M. A. </w:t>
      </w:r>
      <w:proofErr w:type="spellStart"/>
      <w:r>
        <w:rPr>
          <w:strike/>
          <w:sz w:val="24"/>
          <w:szCs w:val="24"/>
          <w:lang w:val="sk-SK"/>
        </w:rPr>
        <w:t>Arshad</w:t>
      </w:r>
      <w:proofErr w:type="spellEnd"/>
      <w:r>
        <w:rPr>
          <w:strike/>
          <w:sz w:val="24"/>
          <w:szCs w:val="24"/>
          <w:lang w:val="sk-SK"/>
        </w:rPr>
        <w:t>, B. </w:t>
      </w:r>
      <w:proofErr w:type="spellStart"/>
      <w:r>
        <w:rPr>
          <w:strike/>
          <w:sz w:val="24"/>
          <w:szCs w:val="24"/>
          <w:lang w:val="sk-SK"/>
        </w:rPr>
        <w:t>Lowery</w:t>
      </w:r>
      <w:proofErr w:type="spellEnd"/>
      <w:r>
        <w:rPr>
          <w:strike/>
          <w:sz w:val="24"/>
          <w:szCs w:val="24"/>
          <w:lang w:val="sk-SK"/>
        </w:rPr>
        <w:t xml:space="preserve"> a</w:t>
      </w:r>
      <w:r>
        <w:rPr>
          <w:strike/>
          <w:sz w:val="24"/>
          <w:szCs w:val="24"/>
          <w:lang w:val="sk-SK"/>
        </w:rPr>
        <w:t> B. </w:t>
      </w:r>
      <w:proofErr w:type="spellStart"/>
      <w:r>
        <w:rPr>
          <w:strike/>
          <w:sz w:val="24"/>
          <w:szCs w:val="24"/>
          <w:lang w:val="sk-SK"/>
        </w:rPr>
        <w:t>Grossman</w:t>
      </w:r>
      <w:proofErr w:type="spellEnd"/>
      <w:r>
        <w:rPr>
          <w:strike/>
          <w:sz w:val="24"/>
          <w:szCs w:val="24"/>
          <w:lang w:val="sk-SK"/>
        </w:rPr>
        <w:t xml:space="preserve">. 1996. </w:t>
      </w:r>
      <w:proofErr w:type="spellStart"/>
      <w:r>
        <w:rPr>
          <w:i/>
          <w:iCs/>
          <w:strike/>
          <w:sz w:val="24"/>
          <w:szCs w:val="24"/>
          <w:lang w:val="sk-SK"/>
        </w:rPr>
        <w:t>Physical</w:t>
      </w:r>
      <w:proofErr w:type="spellEnd"/>
      <w:r>
        <w:rPr>
          <w:i/>
          <w:iCs/>
          <w:strike/>
          <w:sz w:val="24"/>
          <w:szCs w:val="24"/>
          <w:lang w:val="sk-SK"/>
        </w:rPr>
        <w:t xml:space="preserve"> </w:t>
      </w:r>
      <w:proofErr w:type="spellStart"/>
      <w:r>
        <w:rPr>
          <w:i/>
          <w:iCs/>
          <w:strike/>
          <w:sz w:val="24"/>
          <w:szCs w:val="24"/>
          <w:lang w:val="sk-SK"/>
        </w:rPr>
        <w:t>tests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monitoring </w:t>
      </w:r>
      <w:proofErr w:type="spellStart"/>
      <w:r>
        <w:rPr>
          <w:i/>
          <w:iCs/>
          <w:strike/>
          <w:sz w:val="24"/>
          <w:szCs w:val="24"/>
          <w:lang w:val="sk-SK"/>
        </w:rPr>
        <w:t>soil</w:t>
      </w:r>
      <w:proofErr w:type="spellEnd"/>
      <w:r>
        <w:rPr>
          <w:i/>
          <w:iCs/>
          <w:strike/>
          <w:sz w:val="24"/>
          <w:szCs w:val="24"/>
          <w:lang w:val="sk-SK"/>
        </w:rPr>
        <w:t xml:space="preserve"> </w:t>
      </w:r>
      <w:proofErr w:type="spellStart"/>
      <w:r>
        <w:rPr>
          <w:i/>
          <w:iCs/>
          <w:strike/>
          <w:sz w:val="24"/>
          <w:szCs w:val="24"/>
          <w:lang w:val="sk-SK"/>
        </w:rPr>
        <w:t>quality</w:t>
      </w:r>
      <w:proofErr w:type="spellEnd"/>
      <w:r>
        <w:rPr>
          <w:strike/>
          <w:sz w:val="24"/>
          <w:szCs w:val="24"/>
          <w:lang w:val="sk-SK"/>
        </w:rPr>
        <w:t xml:space="preserve"> (Fyzikálne testy na monitorovanie kvality pôdy), s. 123 – 142. In: J. W. </w:t>
      </w:r>
      <w:proofErr w:type="spellStart"/>
      <w:r>
        <w:rPr>
          <w:strike/>
          <w:sz w:val="24"/>
          <w:szCs w:val="24"/>
          <w:lang w:val="sk-SK"/>
        </w:rPr>
        <w:t>Doran</w:t>
      </w:r>
      <w:proofErr w:type="spellEnd"/>
      <w:r>
        <w:rPr>
          <w:strike/>
          <w:sz w:val="24"/>
          <w:szCs w:val="24"/>
          <w:lang w:val="sk-SK"/>
        </w:rPr>
        <w:t xml:space="preserve"> a </w:t>
      </w:r>
      <w:proofErr w:type="spellStart"/>
      <w:r>
        <w:rPr>
          <w:strike/>
          <w:sz w:val="24"/>
          <w:szCs w:val="24"/>
          <w:lang w:val="sk-SK"/>
        </w:rPr>
        <w:t>A</w:t>
      </w:r>
      <w:proofErr w:type="spellEnd"/>
      <w:r>
        <w:rPr>
          <w:strike/>
          <w:sz w:val="24"/>
          <w:szCs w:val="24"/>
          <w:lang w:val="sk-SK"/>
        </w:rPr>
        <w:t xml:space="preserve">. J. </w:t>
      </w:r>
      <w:proofErr w:type="spellStart"/>
      <w:r>
        <w:rPr>
          <w:strike/>
          <w:sz w:val="24"/>
          <w:szCs w:val="24"/>
          <w:lang w:val="sk-SK"/>
        </w:rPr>
        <w:t>Jones</w:t>
      </w:r>
      <w:proofErr w:type="spellEnd"/>
      <w:r>
        <w:rPr>
          <w:strike/>
          <w:sz w:val="24"/>
          <w:szCs w:val="24"/>
          <w:lang w:val="sk-SK"/>
        </w:rPr>
        <w:t xml:space="preserve"> (</w:t>
      </w:r>
      <w:proofErr w:type="spellStart"/>
      <w:r>
        <w:rPr>
          <w:strike/>
          <w:sz w:val="24"/>
          <w:szCs w:val="24"/>
          <w:lang w:val="sk-SK"/>
        </w:rPr>
        <w:t>eds</w:t>
      </w:r>
      <w:proofErr w:type="spellEnd"/>
      <w:r>
        <w:rPr>
          <w:strike/>
          <w:sz w:val="24"/>
          <w:szCs w:val="24"/>
          <w:lang w:val="sk-SK"/>
        </w:rPr>
        <w:t xml:space="preserve">.). </w:t>
      </w:r>
      <w:proofErr w:type="spellStart"/>
      <w:r>
        <w:rPr>
          <w:i/>
          <w:iCs/>
          <w:strike/>
          <w:sz w:val="24"/>
          <w:szCs w:val="24"/>
          <w:lang w:val="sk-SK"/>
        </w:rPr>
        <w:t>Methods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w:t>
      </w:r>
      <w:proofErr w:type="spellStart"/>
      <w:r>
        <w:rPr>
          <w:i/>
          <w:iCs/>
          <w:strike/>
          <w:sz w:val="24"/>
          <w:szCs w:val="24"/>
          <w:lang w:val="sk-SK"/>
        </w:rPr>
        <w:t>assessing</w:t>
      </w:r>
      <w:proofErr w:type="spellEnd"/>
      <w:r>
        <w:rPr>
          <w:i/>
          <w:iCs/>
          <w:strike/>
          <w:sz w:val="24"/>
          <w:szCs w:val="24"/>
          <w:lang w:val="sk-SK"/>
        </w:rPr>
        <w:t xml:space="preserve"> </w:t>
      </w:r>
      <w:proofErr w:type="spellStart"/>
      <w:r>
        <w:rPr>
          <w:i/>
          <w:iCs/>
          <w:strike/>
          <w:sz w:val="24"/>
          <w:szCs w:val="24"/>
          <w:lang w:val="sk-SK"/>
        </w:rPr>
        <w:t>soil</w:t>
      </w:r>
      <w:proofErr w:type="spellEnd"/>
      <w:r>
        <w:rPr>
          <w:i/>
          <w:iCs/>
          <w:strike/>
          <w:sz w:val="24"/>
          <w:szCs w:val="24"/>
          <w:lang w:val="sk-SK"/>
        </w:rPr>
        <w:t xml:space="preserve"> </w:t>
      </w:r>
      <w:proofErr w:type="spellStart"/>
      <w:r>
        <w:rPr>
          <w:i/>
          <w:iCs/>
          <w:strike/>
          <w:sz w:val="24"/>
          <w:szCs w:val="24"/>
          <w:lang w:val="sk-SK"/>
        </w:rPr>
        <w:t>quality</w:t>
      </w:r>
      <w:proofErr w:type="spellEnd"/>
      <w:r>
        <w:rPr>
          <w:strike/>
          <w:sz w:val="24"/>
          <w:szCs w:val="24"/>
          <w:lang w:val="sk-SK"/>
        </w:rPr>
        <w:t xml:space="preserve"> (Metódy posudzovania kvality pôdy). </w:t>
      </w:r>
      <w:proofErr w:type="spellStart"/>
      <w:r>
        <w:rPr>
          <w:strike/>
          <w:sz w:val="24"/>
          <w:szCs w:val="24"/>
          <w:lang w:val="sk-SK"/>
        </w:rPr>
        <w:t>Soil</w:t>
      </w:r>
      <w:proofErr w:type="spellEnd"/>
      <w:r>
        <w:rPr>
          <w:strike/>
          <w:sz w:val="24"/>
          <w:szCs w:val="24"/>
          <w:lang w:val="sk-SK"/>
        </w:rPr>
        <w:t xml:space="preserve"> </w:t>
      </w:r>
      <w:proofErr w:type="spellStart"/>
      <w:r>
        <w:rPr>
          <w:strike/>
          <w:sz w:val="24"/>
          <w:szCs w:val="24"/>
          <w:lang w:val="sk-SK"/>
        </w:rPr>
        <w:t>Sci</w:t>
      </w:r>
      <w:proofErr w:type="spellEnd"/>
      <w:r>
        <w:rPr>
          <w:strike/>
          <w:sz w:val="24"/>
          <w:szCs w:val="24"/>
          <w:lang w:val="sk-SK"/>
        </w:rPr>
        <w:t>. Soc. Am., š</w:t>
      </w:r>
      <w:r>
        <w:rPr>
          <w:strike/>
          <w:sz w:val="24"/>
          <w:szCs w:val="24"/>
          <w:lang w:val="sk-SK"/>
        </w:rPr>
        <w:t>peciálne vyd. 49. SSSA, Madison, WI.</w:t>
      </w:r>
    </w:p>
  </w:footnote>
  <w:footnote w:id="61">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Smernica Rady 92/43/EHS z 21. mája 1992 o ochrane prirodzených biotopov a voľne žijúcich živočíchov a rastlín (Ú. v. ES L 206, 22.7.1992, s. 7).</w:t>
      </w:r>
    </w:p>
  </w:footnote>
  <w:footnote w:id="62">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 xml:space="preserve">Ako sa vymedzuje v kapitole 5 dokumentu organizácie FAO </w:t>
      </w:r>
      <w:proofErr w:type="spellStart"/>
      <w:r>
        <w:rPr>
          <w:i/>
          <w:iCs/>
          <w:strike/>
          <w:sz w:val="24"/>
          <w:szCs w:val="24"/>
          <w:lang w:val="sk-SK"/>
        </w:rPr>
        <w:t>Guidelines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w:t>
      </w:r>
      <w:proofErr w:type="spellStart"/>
      <w:r>
        <w:rPr>
          <w:i/>
          <w:iCs/>
          <w:strike/>
          <w:sz w:val="24"/>
          <w:szCs w:val="24"/>
          <w:lang w:val="sk-SK"/>
        </w:rPr>
        <w:t>soil</w:t>
      </w:r>
      <w:proofErr w:type="spellEnd"/>
      <w:r>
        <w:rPr>
          <w:i/>
          <w:iCs/>
          <w:strike/>
          <w:sz w:val="24"/>
          <w:szCs w:val="24"/>
          <w:lang w:val="sk-SK"/>
        </w:rPr>
        <w:t xml:space="preserve"> </w:t>
      </w:r>
      <w:proofErr w:type="spellStart"/>
      <w:r>
        <w:rPr>
          <w:i/>
          <w:iCs/>
          <w:strike/>
          <w:sz w:val="24"/>
          <w:szCs w:val="24"/>
          <w:lang w:val="sk-SK"/>
        </w:rPr>
        <w:t>description</w:t>
      </w:r>
      <w:proofErr w:type="spellEnd"/>
      <w:r>
        <w:rPr>
          <w:strike/>
          <w:sz w:val="24"/>
          <w:szCs w:val="24"/>
          <w:lang w:val="sk-SK"/>
        </w:rPr>
        <w:t xml:space="preserve"> (Usmernenia k opisu pôdy) (</w:t>
      </w:r>
      <w:r>
        <w:fldChar w:fldCharType="begin"/>
      </w:r>
      <w:r w:rsidRPr="00AA63BB">
        <w:rPr>
          <w:lang w:val="sk-SK"/>
        </w:rPr>
        <w:instrText xml:space="preserve"> HYPERLINK "https://www.fao.org/3/a0541e/a0541e.pdf" </w:instrText>
      </w:r>
      <w:r>
        <w:fldChar w:fldCharType="separate"/>
      </w:r>
      <w:r>
        <w:rPr>
          <w:rStyle w:val="Hyperlink"/>
          <w:strike/>
          <w:sz w:val="24"/>
          <w:szCs w:val="24"/>
          <w:lang w:val="sk-SK"/>
        </w:rPr>
        <w:t>https://www.fao.org/3/a0541e/a0541e.pdf</w:t>
      </w:r>
      <w:r>
        <w:rPr>
          <w:rStyle w:val="Hyperlink"/>
          <w:strike/>
          <w:sz w:val="24"/>
          <w:szCs w:val="24"/>
          <w:lang w:val="sk-SK"/>
        </w:rPr>
        <w:fldChar w:fldCharType="end"/>
      </w:r>
      <w:r>
        <w:rPr>
          <w:strike/>
          <w:sz w:val="24"/>
          <w:szCs w:val="24"/>
          <w:lang w:val="sk-SK"/>
        </w:rPr>
        <w:t>).</w:t>
      </w:r>
    </w:p>
  </w:footnote>
  <w:footnote w:id="63">
    <w:p w:rsidR="009D7883" w:rsidRDefault="00AA63BB">
      <w:pPr>
        <w:pStyle w:val="FootnoteText"/>
        <w:rPr>
          <w:rFonts w:ascii="Calibri" w:hAnsi="Calibri"/>
          <w:strike/>
          <w:sz w:val="24"/>
          <w:szCs w:val="24"/>
          <w:lang w:val="sk-SK"/>
        </w:rPr>
      </w:pPr>
      <w:r>
        <w:rPr>
          <w:rStyle w:val="FootnoteReference"/>
          <w:strike/>
          <w:szCs w:val="24"/>
          <w:lang w:val="sk-SK"/>
        </w:rPr>
        <w:footnoteRef/>
      </w:r>
      <w:r>
        <w:rPr>
          <w:strike/>
          <w:sz w:val="24"/>
          <w:szCs w:val="24"/>
          <w:lang w:val="sk-SK"/>
        </w:rPr>
        <w:tab/>
      </w:r>
      <w:proofErr w:type="spellStart"/>
      <w:r>
        <w:rPr>
          <w:strike/>
          <w:sz w:val="24"/>
          <w:szCs w:val="24"/>
          <w:lang w:val="sk-SK"/>
        </w:rPr>
        <w:t>Bethel</w:t>
      </w:r>
      <w:proofErr w:type="spellEnd"/>
      <w:r>
        <w:rPr>
          <w:strike/>
          <w:sz w:val="24"/>
          <w:szCs w:val="24"/>
          <w:lang w:val="sk-SK"/>
        </w:rPr>
        <w:t>, J. 1989. „</w:t>
      </w:r>
      <w:proofErr w:type="spellStart"/>
      <w:r>
        <w:rPr>
          <w:strike/>
          <w:sz w:val="24"/>
          <w:szCs w:val="24"/>
          <w:lang w:val="sk-SK"/>
        </w:rPr>
        <w:t>Sample</w:t>
      </w:r>
      <w:proofErr w:type="spellEnd"/>
      <w:r>
        <w:rPr>
          <w:strike/>
          <w:sz w:val="24"/>
          <w:szCs w:val="24"/>
          <w:lang w:val="sk-SK"/>
        </w:rPr>
        <w:t xml:space="preserve"> </w:t>
      </w:r>
      <w:proofErr w:type="spellStart"/>
      <w:r>
        <w:rPr>
          <w:strike/>
          <w:sz w:val="24"/>
          <w:szCs w:val="24"/>
          <w:lang w:val="sk-SK"/>
        </w:rPr>
        <w:t>Allocation</w:t>
      </w:r>
      <w:proofErr w:type="spellEnd"/>
      <w:r>
        <w:rPr>
          <w:strike/>
          <w:sz w:val="24"/>
          <w:szCs w:val="24"/>
          <w:lang w:val="sk-SK"/>
        </w:rPr>
        <w:t xml:space="preserve"> in </w:t>
      </w:r>
      <w:proofErr w:type="spellStart"/>
      <w:r>
        <w:rPr>
          <w:strike/>
          <w:sz w:val="24"/>
          <w:szCs w:val="24"/>
          <w:lang w:val="sk-SK"/>
        </w:rPr>
        <w:t>Multivariate</w:t>
      </w:r>
      <w:proofErr w:type="spellEnd"/>
      <w:r>
        <w:rPr>
          <w:strike/>
          <w:sz w:val="24"/>
          <w:szCs w:val="24"/>
          <w:lang w:val="sk-SK"/>
        </w:rPr>
        <w:t xml:space="preserve"> </w:t>
      </w:r>
      <w:proofErr w:type="spellStart"/>
      <w:r>
        <w:rPr>
          <w:strike/>
          <w:sz w:val="24"/>
          <w:szCs w:val="24"/>
          <w:lang w:val="sk-SK"/>
        </w:rPr>
        <w:t>Surveys</w:t>
      </w:r>
      <w:proofErr w:type="spellEnd"/>
      <w:r>
        <w:rPr>
          <w:strike/>
          <w:sz w:val="24"/>
          <w:szCs w:val="24"/>
          <w:lang w:val="sk-SK"/>
        </w:rPr>
        <w:t>“ (Prideľovanie vzoriek v zisťovaniach s viacerými p</w:t>
      </w:r>
      <w:r>
        <w:rPr>
          <w:strike/>
          <w:sz w:val="24"/>
          <w:szCs w:val="24"/>
          <w:lang w:val="sk-SK"/>
        </w:rPr>
        <w:t xml:space="preserve">remennými). </w:t>
      </w:r>
      <w:proofErr w:type="spellStart"/>
      <w:r>
        <w:rPr>
          <w:strike/>
          <w:sz w:val="24"/>
          <w:szCs w:val="24"/>
          <w:lang w:val="sk-SK"/>
        </w:rPr>
        <w:t>Survey</w:t>
      </w:r>
      <w:proofErr w:type="spellEnd"/>
      <w:r>
        <w:rPr>
          <w:strike/>
          <w:sz w:val="24"/>
          <w:szCs w:val="24"/>
          <w:lang w:val="sk-SK"/>
        </w:rPr>
        <w:t xml:space="preserve"> </w:t>
      </w:r>
      <w:proofErr w:type="spellStart"/>
      <w:r>
        <w:rPr>
          <w:strike/>
          <w:sz w:val="24"/>
          <w:szCs w:val="24"/>
          <w:lang w:val="sk-SK"/>
        </w:rPr>
        <w:t>Methodology</w:t>
      </w:r>
      <w:proofErr w:type="spellEnd"/>
      <w:r>
        <w:rPr>
          <w:strike/>
          <w:sz w:val="24"/>
          <w:szCs w:val="24"/>
          <w:lang w:val="sk-SK"/>
        </w:rPr>
        <w:t xml:space="preserve"> č. 15, 47 – 57.</w:t>
      </w:r>
    </w:p>
  </w:footnote>
  <w:footnote w:id="64">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Metodika, ktorá sa líši od referenčnej metodiky, musí byť dostupná buď vo vedeckej literatúre, alebo verejne.</w:t>
      </w:r>
    </w:p>
  </w:footnote>
  <w:footnote w:id="65">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r>
      <w:r>
        <w:fldChar w:fldCharType="begin"/>
      </w:r>
      <w:r w:rsidRPr="00AA63BB">
        <w:rPr>
          <w:lang w:val="sk-SK"/>
        </w:rPr>
        <w:instrText xml:space="preserve"> HYPERLINK "https://www.fao.org/3/cb3355en/cb3355en.pdf" </w:instrText>
      </w:r>
      <w:r>
        <w:fldChar w:fldCharType="separate"/>
      </w:r>
      <w:r>
        <w:rPr>
          <w:rStyle w:val="Hyperlink"/>
          <w:strike/>
          <w:sz w:val="24"/>
          <w:szCs w:val="24"/>
          <w:lang w:val="sk-SK"/>
        </w:rPr>
        <w:t>https://www.fao.org/3/cb3355en/cb33</w:t>
      </w:r>
      <w:r>
        <w:rPr>
          <w:rStyle w:val="Hyperlink"/>
          <w:strike/>
          <w:sz w:val="24"/>
          <w:szCs w:val="24"/>
          <w:lang w:val="sk-SK"/>
        </w:rPr>
        <w:t>55en.pdf</w:t>
      </w:r>
      <w:r>
        <w:rPr>
          <w:rStyle w:val="Hyperlink"/>
          <w:strike/>
          <w:sz w:val="24"/>
          <w:szCs w:val="24"/>
          <w:lang w:val="sk-SK"/>
        </w:rPr>
        <w:fldChar w:fldCharType="end"/>
      </w:r>
      <w:r>
        <w:rPr>
          <w:strike/>
          <w:sz w:val="24"/>
          <w:szCs w:val="24"/>
          <w:lang w:val="sk-SK"/>
        </w:rPr>
        <w:t xml:space="preserve">. </w:t>
      </w:r>
    </w:p>
  </w:footnote>
  <w:footnote w:id="66">
    <w:p w:rsidR="009D7883" w:rsidRDefault="00AA63BB">
      <w:pPr>
        <w:pStyle w:val="FootnoteText"/>
        <w:rPr>
          <w:rFonts w:ascii="Calibri" w:hAnsi="Calibri"/>
          <w:strike/>
          <w:sz w:val="24"/>
          <w:szCs w:val="24"/>
          <w:lang w:val="sk-SK"/>
        </w:rPr>
      </w:pPr>
      <w:r>
        <w:rPr>
          <w:rStyle w:val="FootnoteReference"/>
          <w:strike/>
          <w:szCs w:val="24"/>
          <w:lang w:val="sk-SK"/>
        </w:rPr>
        <w:footnoteRef/>
      </w:r>
      <w:r>
        <w:rPr>
          <w:strike/>
          <w:sz w:val="24"/>
          <w:szCs w:val="24"/>
          <w:lang w:val="sk-SK"/>
        </w:rPr>
        <w:tab/>
        <w:t xml:space="preserve">Ako sa vymedzuje v kapitole 5 dokumentu organizácie FAO </w:t>
      </w:r>
      <w:proofErr w:type="spellStart"/>
      <w:r>
        <w:rPr>
          <w:i/>
          <w:iCs/>
          <w:strike/>
          <w:sz w:val="24"/>
          <w:szCs w:val="24"/>
          <w:lang w:val="sk-SK"/>
        </w:rPr>
        <w:t>Guidelines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w:t>
      </w:r>
      <w:proofErr w:type="spellStart"/>
      <w:r>
        <w:rPr>
          <w:i/>
          <w:iCs/>
          <w:strike/>
          <w:sz w:val="24"/>
          <w:szCs w:val="24"/>
          <w:lang w:val="sk-SK"/>
        </w:rPr>
        <w:t>soil</w:t>
      </w:r>
      <w:proofErr w:type="spellEnd"/>
      <w:r>
        <w:rPr>
          <w:i/>
          <w:iCs/>
          <w:strike/>
          <w:sz w:val="24"/>
          <w:szCs w:val="24"/>
          <w:lang w:val="sk-SK"/>
        </w:rPr>
        <w:t xml:space="preserve"> </w:t>
      </w:r>
      <w:proofErr w:type="spellStart"/>
      <w:r>
        <w:rPr>
          <w:i/>
          <w:iCs/>
          <w:strike/>
          <w:sz w:val="24"/>
          <w:szCs w:val="24"/>
          <w:lang w:val="sk-SK"/>
        </w:rPr>
        <w:t>description</w:t>
      </w:r>
      <w:proofErr w:type="spellEnd"/>
      <w:r>
        <w:rPr>
          <w:strike/>
          <w:sz w:val="24"/>
          <w:szCs w:val="24"/>
          <w:lang w:val="sk-SK"/>
        </w:rPr>
        <w:t xml:space="preserve"> (Usmernenia k opisu pôdy) (</w:t>
      </w:r>
      <w:r>
        <w:fldChar w:fldCharType="begin"/>
      </w:r>
      <w:r w:rsidRPr="00AA63BB">
        <w:rPr>
          <w:lang w:val="sk-SK"/>
        </w:rPr>
        <w:instrText xml:space="preserve"> HYPERLINK "https://www.fao.org/3/a0541e/a0541e.pdf" </w:instrText>
      </w:r>
      <w:r>
        <w:fldChar w:fldCharType="separate"/>
      </w:r>
      <w:r>
        <w:rPr>
          <w:rStyle w:val="Hyperlink"/>
          <w:strike/>
          <w:sz w:val="24"/>
          <w:szCs w:val="24"/>
          <w:lang w:val="sk-SK"/>
        </w:rPr>
        <w:t>https://www.fao.org/3/a0541e/a0541e.pdf</w:t>
      </w:r>
      <w:r>
        <w:rPr>
          <w:rStyle w:val="Hyperlink"/>
          <w:strike/>
          <w:sz w:val="24"/>
          <w:szCs w:val="24"/>
          <w:lang w:val="sk-SK"/>
        </w:rPr>
        <w:fldChar w:fldCharType="end"/>
      </w:r>
      <w:r>
        <w:rPr>
          <w:strike/>
          <w:sz w:val="24"/>
          <w:szCs w:val="24"/>
          <w:lang w:val="sk-SK"/>
        </w:rPr>
        <w:t xml:space="preserve">). </w:t>
      </w:r>
    </w:p>
  </w:footnote>
  <w:footnote w:id="67">
    <w:p w:rsidR="009D7883" w:rsidRDefault="00AA63BB">
      <w:pPr>
        <w:pStyle w:val="FootnoteText"/>
        <w:rPr>
          <w:sz w:val="24"/>
          <w:szCs w:val="24"/>
          <w:lang w:val="sk-SK"/>
        </w:rPr>
      </w:pPr>
      <w:r>
        <w:rPr>
          <w:rStyle w:val="FootnoteReference"/>
          <w:strike/>
          <w:szCs w:val="24"/>
          <w:lang w:val="sk-SK"/>
        </w:rPr>
        <w:footnoteRef/>
      </w:r>
      <w:r>
        <w:rPr>
          <w:strike/>
          <w:sz w:val="24"/>
          <w:szCs w:val="24"/>
          <w:lang w:val="sk-SK"/>
        </w:rPr>
        <w:tab/>
      </w:r>
      <w:r>
        <w:rPr>
          <w:strike/>
          <w:sz w:val="24"/>
          <w:szCs w:val="24"/>
          <w:lang w:val="sk-SK"/>
        </w:rPr>
        <w:t xml:space="preserve">Ekvivalent podľa správy agentúry </w:t>
      </w:r>
      <w:proofErr w:type="spellStart"/>
      <w:r>
        <w:rPr>
          <w:strike/>
          <w:sz w:val="24"/>
          <w:szCs w:val="24"/>
          <w:lang w:val="sk-SK"/>
        </w:rPr>
        <w:t>EEA</w:t>
      </w:r>
      <w:proofErr w:type="spellEnd"/>
      <w:r>
        <w:rPr>
          <w:strike/>
          <w:sz w:val="24"/>
          <w:szCs w:val="24"/>
          <w:lang w:val="sk-SK"/>
        </w:rPr>
        <w:t xml:space="preserve">: </w:t>
      </w:r>
      <w:r>
        <w:fldChar w:fldCharType="begin"/>
      </w:r>
      <w:r w:rsidRPr="00AA63BB">
        <w:rPr>
          <w:lang w:val="sk-SK"/>
        </w:rPr>
        <w:instrText xml:space="preserve"> HYPERLINK "https://www.eea.europa.eu/publications/soil-monitoring-in-europe" </w:instrText>
      </w:r>
      <w:r>
        <w:fldChar w:fldCharType="separate"/>
      </w:r>
      <w:proofErr w:type="spellStart"/>
      <w:r>
        <w:rPr>
          <w:rStyle w:val="Hyperlink"/>
          <w:i/>
          <w:iCs/>
          <w:strike/>
          <w:sz w:val="24"/>
          <w:szCs w:val="24"/>
          <w:lang w:val="sk-SK"/>
        </w:rPr>
        <w:t>Soil</w:t>
      </w:r>
      <w:proofErr w:type="spellEnd"/>
      <w:r>
        <w:rPr>
          <w:rStyle w:val="Hyperlink"/>
          <w:i/>
          <w:iCs/>
          <w:strike/>
          <w:sz w:val="24"/>
          <w:szCs w:val="24"/>
          <w:lang w:val="sk-SK"/>
        </w:rPr>
        <w:t xml:space="preserve"> monitoring in </w:t>
      </w:r>
      <w:proofErr w:type="spellStart"/>
      <w:r>
        <w:rPr>
          <w:rStyle w:val="Hyperlink"/>
          <w:i/>
          <w:iCs/>
          <w:strike/>
          <w:sz w:val="24"/>
          <w:szCs w:val="24"/>
          <w:lang w:val="sk-SK"/>
        </w:rPr>
        <w:t>Europe</w:t>
      </w:r>
      <w:proofErr w:type="spellEnd"/>
      <w:r>
        <w:rPr>
          <w:rStyle w:val="Hyperlink"/>
          <w:i/>
          <w:iCs/>
          <w:strike/>
          <w:sz w:val="24"/>
          <w:szCs w:val="24"/>
          <w:lang w:val="sk-SK"/>
        </w:rPr>
        <w:t xml:space="preserve"> – </w:t>
      </w:r>
      <w:proofErr w:type="spellStart"/>
      <w:r>
        <w:rPr>
          <w:rStyle w:val="Hyperlink"/>
          <w:i/>
          <w:iCs/>
          <w:strike/>
          <w:sz w:val="24"/>
          <w:szCs w:val="24"/>
          <w:lang w:val="sk-SK"/>
        </w:rPr>
        <w:t>Indicators</w:t>
      </w:r>
      <w:proofErr w:type="spellEnd"/>
      <w:r>
        <w:rPr>
          <w:rStyle w:val="Hyperlink"/>
          <w:i/>
          <w:iCs/>
          <w:strike/>
          <w:sz w:val="24"/>
          <w:szCs w:val="24"/>
          <w:lang w:val="sk-SK"/>
        </w:rPr>
        <w:t xml:space="preserve"> and </w:t>
      </w:r>
      <w:proofErr w:type="spellStart"/>
      <w:r>
        <w:rPr>
          <w:rStyle w:val="Hyperlink"/>
          <w:i/>
          <w:iCs/>
          <w:strike/>
          <w:sz w:val="24"/>
          <w:szCs w:val="24"/>
          <w:lang w:val="sk-SK"/>
        </w:rPr>
        <w:t>thresholds</w:t>
      </w:r>
      <w:proofErr w:type="spellEnd"/>
      <w:r>
        <w:rPr>
          <w:rStyle w:val="Hyperlink"/>
          <w:i/>
          <w:iCs/>
          <w:strike/>
          <w:sz w:val="24"/>
          <w:szCs w:val="24"/>
          <w:lang w:val="sk-SK"/>
        </w:rPr>
        <w:t xml:space="preserve"> </w:t>
      </w:r>
      <w:proofErr w:type="spellStart"/>
      <w:r>
        <w:rPr>
          <w:rStyle w:val="Hyperlink"/>
          <w:i/>
          <w:iCs/>
          <w:strike/>
          <w:sz w:val="24"/>
          <w:szCs w:val="24"/>
          <w:lang w:val="sk-SK"/>
        </w:rPr>
        <w:t>for</w:t>
      </w:r>
      <w:proofErr w:type="spellEnd"/>
      <w:r>
        <w:rPr>
          <w:rStyle w:val="Hyperlink"/>
          <w:i/>
          <w:iCs/>
          <w:strike/>
          <w:sz w:val="24"/>
          <w:szCs w:val="24"/>
          <w:lang w:val="sk-SK"/>
        </w:rPr>
        <w:t xml:space="preserve"> </w:t>
      </w:r>
      <w:proofErr w:type="spellStart"/>
      <w:r>
        <w:rPr>
          <w:rStyle w:val="Hyperlink"/>
          <w:i/>
          <w:iCs/>
          <w:strike/>
          <w:sz w:val="24"/>
          <w:szCs w:val="24"/>
          <w:lang w:val="sk-SK"/>
        </w:rPr>
        <w:t>soil</w:t>
      </w:r>
      <w:proofErr w:type="spellEnd"/>
      <w:r>
        <w:rPr>
          <w:rStyle w:val="Hyperlink"/>
          <w:i/>
          <w:iCs/>
          <w:strike/>
          <w:sz w:val="24"/>
          <w:szCs w:val="24"/>
          <w:lang w:val="sk-SK"/>
        </w:rPr>
        <w:t xml:space="preserve"> </w:t>
      </w:r>
      <w:proofErr w:type="spellStart"/>
      <w:r>
        <w:rPr>
          <w:rStyle w:val="Hyperlink"/>
          <w:i/>
          <w:iCs/>
          <w:strike/>
          <w:sz w:val="24"/>
          <w:szCs w:val="24"/>
          <w:lang w:val="sk-SK"/>
        </w:rPr>
        <w:t>health</w:t>
      </w:r>
      <w:proofErr w:type="spellEnd"/>
      <w:r>
        <w:rPr>
          <w:rStyle w:val="Hyperlink"/>
          <w:i/>
          <w:iCs/>
          <w:strike/>
          <w:sz w:val="24"/>
          <w:szCs w:val="24"/>
          <w:lang w:val="sk-SK"/>
        </w:rPr>
        <w:t xml:space="preserve"> </w:t>
      </w:r>
      <w:proofErr w:type="spellStart"/>
      <w:r>
        <w:rPr>
          <w:rStyle w:val="Hyperlink"/>
          <w:i/>
          <w:iCs/>
          <w:strike/>
          <w:sz w:val="24"/>
          <w:szCs w:val="24"/>
          <w:lang w:val="sk-SK"/>
        </w:rPr>
        <w:t>assessments</w:t>
      </w:r>
      <w:proofErr w:type="spellEnd"/>
      <w:r>
        <w:rPr>
          <w:rStyle w:val="Hyperlink"/>
          <w:i/>
          <w:iCs/>
          <w:strike/>
          <w:sz w:val="24"/>
          <w:szCs w:val="24"/>
          <w:lang w:val="sk-SK"/>
        </w:rPr>
        <w:t xml:space="preserve"> — </w:t>
      </w:r>
      <w:proofErr w:type="spellStart"/>
      <w:r>
        <w:rPr>
          <w:rStyle w:val="Hyperlink"/>
          <w:i/>
          <w:iCs/>
          <w:strike/>
          <w:sz w:val="24"/>
          <w:szCs w:val="24"/>
          <w:lang w:val="sk-SK"/>
        </w:rPr>
        <w:t>European</w:t>
      </w:r>
      <w:proofErr w:type="spellEnd"/>
      <w:r>
        <w:rPr>
          <w:rStyle w:val="Hyperlink"/>
          <w:i/>
          <w:iCs/>
          <w:strike/>
          <w:sz w:val="24"/>
          <w:szCs w:val="24"/>
          <w:lang w:val="sk-SK"/>
        </w:rPr>
        <w:t xml:space="preserve"> </w:t>
      </w:r>
      <w:proofErr w:type="spellStart"/>
      <w:r>
        <w:rPr>
          <w:rStyle w:val="Hyperlink"/>
          <w:i/>
          <w:iCs/>
          <w:strike/>
          <w:sz w:val="24"/>
          <w:szCs w:val="24"/>
          <w:lang w:val="sk-SK"/>
        </w:rPr>
        <w:t>Environment</w:t>
      </w:r>
      <w:proofErr w:type="spellEnd"/>
      <w:r>
        <w:rPr>
          <w:rStyle w:val="Hyperlink"/>
          <w:i/>
          <w:iCs/>
          <w:strike/>
          <w:sz w:val="24"/>
          <w:szCs w:val="24"/>
          <w:lang w:val="sk-SK"/>
        </w:rPr>
        <w:t xml:space="preserve"> </w:t>
      </w:r>
      <w:proofErr w:type="spellStart"/>
      <w:r>
        <w:rPr>
          <w:rStyle w:val="Hyperlink"/>
          <w:i/>
          <w:iCs/>
          <w:strike/>
          <w:sz w:val="24"/>
          <w:szCs w:val="24"/>
          <w:lang w:val="sk-SK"/>
        </w:rPr>
        <w:t>Agency</w:t>
      </w:r>
      <w:proofErr w:type="spellEnd"/>
      <w:r>
        <w:rPr>
          <w:rStyle w:val="Hyperlink"/>
          <w:strike/>
          <w:sz w:val="24"/>
          <w:szCs w:val="24"/>
          <w:lang w:val="sk-SK"/>
        </w:rPr>
        <w:t xml:space="preserve"> (Monitorovanie pôdy v Eur</w:t>
      </w:r>
      <w:r>
        <w:rPr>
          <w:rStyle w:val="Hyperlink"/>
          <w:strike/>
          <w:sz w:val="24"/>
          <w:szCs w:val="24"/>
          <w:lang w:val="sk-SK"/>
        </w:rPr>
        <w:t>ópe – ukazovatele a prahové hodnoty pri posúdení zdravia pôdy – Európska environmentálna agentúra) (europa.eu)</w:t>
      </w:r>
      <w:r>
        <w:rPr>
          <w:rStyle w:val="Hyperlink"/>
          <w:strike/>
          <w:sz w:val="24"/>
          <w:szCs w:val="24"/>
          <w:lang w:val="sk-SK"/>
        </w:rPr>
        <w:fldChar w:fldCharType="end"/>
      </w:r>
      <w:r>
        <w:rPr>
          <w:strike/>
          <w:sz w:val="24"/>
          <w:szCs w:val="24"/>
          <w:lang w:val="sk-SK"/>
        </w:rPr>
        <w:t>.</w:t>
      </w:r>
    </w:p>
  </w:footnote>
  <w:footnote w:id="68">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r>
    </w:p>
  </w:footnote>
  <w:footnote w:id="69">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 xml:space="preserve">Ako sa vymedzuje v kapitole 5 dokumentu organizácie FAO </w:t>
      </w:r>
      <w:proofErr w:type="spellStart"/>
      <w:r>
        <w:rPr>
          <w:i/>
          <w:iCs/>
          <w:strike/>
          <w:sz w:val="24"/>
          <w:szCs w:val="24"/>
          <w:lang w:val="sk-SK"/>
        </w:rPr>
        <w:t>Guidelines</w:t>
      </w:r>
      <w:proofErr w:type="spellEnd"/>
      <w:r>
        <w:rPr>
          <w:i/>
          <w:iCs/>
          <w:strike/>
          <w:sz w:val="24"/>
          <w:szCs w:val="24"/>
          <w:lang w:val="sk-SK"/>
        </w:rPr>
        <w:t xml:space="preserve"> </w:t>
      </w:r>
      <w:proofErr w:type="spellStart"/>
      <w:r>
        <w:rPr>
          <w:i/>
          <w:iCs/>
          <w:strike/>
          <w:sz w:val="24"/>
          <w:szCs w:val="24"/>
          <w:lang w:val="sk-SK"/>
        </w:rPr>
        <w:t>for</w:t>
      </w:r>
      <w:proofErr w:type="spellEnd"/>
      <w:r>
        <w:rPr>
          <w:i/>
          <w:iCs/>
          <w:strike/>
          <w:sz w:val="24"/>
          <w:szCs w:val="24"/>
          <w:lang w:val="sk-SK"/>
        </w:rPr>
        <w:t xml:space="preserve"> </w:t>
      </w:r>
      <w:proofErr w:type="spellStart"/>
      <w:r>
        <w:rPr>
          <w:i/>
          <w:iCs/>
          <w:strike/>
          <w:sz w:val="24"/>
          <w:szCs w:val="24"/>
          <w:lang w:val="sk-SK"/>
        </w:rPr>
        <w:t>soil</w:t>
      </w:r>
      <w:proofErr w:type="spellEnd"/>
      <w:r>
        <w:rPr>
          <w:i/>
          <w:iCs/>
          <w:strike/>
          <w:sz w:val="24"/>
          <w:szCs w:val="24"/>
          <w:lang w:val="sk-SK"/>
        </w:rPr>
        <w:t xml:space="preserve"> </w:t>
      </w:r>
      <w:proofErr w:type="spellStart"/>
      <w:r>
        <w:rPr>
          <w:i/>
          <w:iCs/>
          <w:strike/>
          <w:sz w:val="24"/>
          <w:szCs w:val="24"/>
          <w:lang w:val="sk-SK"/>
        </w:rPr>
        <w:t>description</w:t>
      </w:r>
      <w:proofErr w:type="spellEnd"/>
      <w:r>
        <w:rPr>
          <w:strike/>
          <w:sz w:val="24"/>
          <w:szCs w:val="24"/>
          <w:lang w:val="sk-SK"/>
        </w:rPr>
        <w:t xml:space="preserve"> (Usmernenia k opisu pôdy) (</w:t>
      </w:r>
      <w:r>
        <w:fldChar w:fldCharType="begin"/>
      </w:r>
      <w:r w:rsidRPr="00AA63BB">
        <w:rPr>
          <w:lang w:val="sk-SK"/>
        </w:rPr>
        <w:instrText xml:space="preserve"> HYPERLINK "https://ww</w:instrText>
      </w:r>
      <w:r w:rsidRPr="00AA63BB">
        <w:rPr>
          <w:lang w:val="sk-SK"/>
        </w:rPr>
        <w:instrText xml:space="preserve">w.fao.org/3/a0541e/a0541e.pdf" </w:instrText>
      </w:r>
      <w:r>
        <w:fldChar w:fldCharType="separate"/>
      </w:r>
      <w:r>
        <w:rPr>
          <w:rStyle w:val="Hyperlink"/>
          <w:strike/>
          <w:sz w:val="24"/>
          <w:szCs w:val="24"/>
          <w:lang w:val="sk-SK"/>
        </w:rPr>
        <w:t>https://www.fao.org/3/a0541e/a0541e.pdf</w:t>
      </w:r>
      <w:r>
        <w:rPr>
          <w:rStyle w:val="Hyperlink"/>
          <w:strike/>
          <w:sz w:val="24"/>
          <w:szCs w:val="24"/>
          <w:lang w:val="sk-SK"/>
        </w:rPr>
        <w:fldChar w:fldCharType="end"/>
      </w:r>
      <w:r>
        <w:rPr>
          <w:strike/>
          <w:sz w:val="24"/>
          <w:szCs w:val="24"/>
          <w:lang w:val="sk-SK"/>
        </w:rPr>
        <w:t xml:space="preserve">). </w:t>
      </w:r>
    </w:p>
  </w:footnote>
  <w:footnote w:id="70">
    <w:p w:rsidR="009D7883" w:rsidRDefault="00AA63BB">
      <w:pPr>
        <w:pStyle w:val="FootnoteText"/>
        <w:rPr>
          <w:sz w:val="24"/>
          <w:szCs w:val="24"/>
          <w:lang w:val="sk-SK"/>
        </w:rPr>
      </w:pPr>
      <w:r>
        <w:rPr>
          <w:rStyle w:val="FootnoteReference"/>
          <w:strike/>
          <w:szCs w:val="24"/>
          <w:lang w:val="sk-SK"/>
        </w:rPr>
        <w:footnoteRef/>
      </w:r>
      <w:r>
        <w:rPr>
          <w:strike/>
          <w:sz w:val="24"/>
          <w:szCs w:val="24"/>
          <w:lang w:val="sk-SK"/>
        </w:rPr>
        <w:tab/>
      </w:r>
      <w:proofErr w:type="spellStart"/>
      <w:r>
        <w:rPr>
          <w:strike/>
          <w:sz w:val="24"/>
          <w:szCs w:val="24"/>
          <w:lang w:val="sk-SK"/>
        </w:rPr>
        <w:t>Sekvenovanie</w:t>
      </w:r>
      <w:proofErr w:type="spellEnd"/>
      <w:r>
        <w:rPr>
          <w:strike/>
          <w:sz w:val="24"/>
          <w:szCs w:val="24"/>
          <w:lang w:val="sk-SK"/>
        </w:rPr>
        <w:t xml:space="preserve"> čiarových kódov DNA s cieľom merať rozmanitosť taxonómie a funkcií </w:t>
      </w:r>
      <w:proofErr w:type="spellStart"/>
      <w:r>
        <w:rPr>
          <w:strike/>
          <w:sz w:val="24"/>
          <w:szCs w:val="24"/>
          <w:lang w:val="sk-SK"/>
        </w:rPr>
        <w:t>archeónov</w:t>
      </w:r>
      <w:proofErr w:type="spellEnd"/>
      <w:r>
        <w:rPr>
          <w:strike/>
          <w:sz w:val="24"/>
          <w:szCs w:val="24"/>
          <w:lang w:val="sk-SK"/>
        </w:rPr>
        <w:t xml:space="preserve">, baktérií, húb a iných </w:t>
      </w:r>
      <w:proofErr w:type="spellStart"/>
      <w:r>
        <w:rPr>
          <w:strike/>
          <w:sz w:val="24"/>
          <w:szCs w:val="24"/>
          <w:lang w:val="sk-SK"/>
        </w:rPr>
        <w:t>eukaryotických</w:t>
      </w:r>
      <w:proofErr w:type="spellEnd"/>
      <w:r>
        <w:rPr>
          <w:strike/>
          <w:sz w:val="24"/>
          <w:szCs w:val="24"/>
          <w:lang w:val="sk-SK"/>
        </w:rPr>
        <w:t xml:space="preserve"> organizmov ako v programe LUCAS pre biodiverzitu pô</w:t>
      </w:r>
      <w:r>
        <w:rPr>
          <w:strike/>
          <w:sz w:val="24"/>
          <w:szCs w:val="24"/>
          <w:lang w:val="sk-SK"/>
        </w:rPr>
        <w:t xml:space="preserve">dy na základe </w:t>
      </w:r>
      <w:r>
        <w:fldChar w:fldCharType="begin"/>
      </w:r>
      <w:r w:rsidRPr="00AA63BB">
        <w:rPr>
          <w:lang w:val="sk-SK"/>
        </w:rPr>
        <w:instrText xml:space="preserve"> HYPERLINK "https://doi.org/10.1111/ejss.13299" </w:instrText>
      </w:r>
      <w:r>
        <w:fldChar w:fldCharType="separate"/>
      </w:r>
      <w:r>
        <w:rPr>
          <w:rStyle w:val="Hyperlink"/>
          <w:strike/>
          <w:sz w:val="24"/>
          <w:szCs w:val="24"/>
          <w:lang w:val="sk-SK"/>
        </w:rPr>
        <w:t>https://doi.org/10.1111/ejss.13299</w:t>
      </w:r>
      <w:r>
        <w:rPr>
          <w:rStyle w:val="Hyperlink"/>
          <w:strike/>
          <w:sz w:val="24"/>
          <w:szCs w:val="24"/>
          <w:lang w:val="sk-SK"/>
        </w:rPr>
        <w:fldChar w:fldCharType="end"/>
      </w:r>
      <w:r>
        <w:rPr>
          <w:strike/>
          <w:sz w:val="24"/>
          <w:szCs w:val="24"/>
          <w:lang w:val="sk-SK"/>
        </w:rPr>
        <w:t>.</w:t>
      </w:r>
      <w:r>
        <w:rPr>
          <w:sz w:val="24"/>
          <w:szCs w:val="24"/>
          <w:lang w:val="sk-SK"/>
        </w:rPr>
        <w:t xml:space="preserve"> </w:t>
      </w:r>
    </w:p>
  </w:footnote>
  <w:footnote w:id="71">
    <w:p w:rsidR="009D7883" w:rsidRDefault="00AA63BB">
      <w:pPr>
        <w:pStyle w:val="FootnoteText"/>
        <w:rPr>
          <w:sz w:val="24"/>
          <w:szCs w:val="24"/>
          <w:lang w:val="sk-SK"/>
        </w:rPr>
      </w:pPr>
      <w:r>
        <w:rPr>
          <w:rStyle w:val="FootnoteReference"/>
          <w:szCs w:val="24"/>
          <w:lang w:val="sk-SK"/>
        </w:rPr>
        <w:footnoteRef/>
      </w:r>
      <w:r>
        <w:rPr>
          <w:sz w:val="24"/>
          <w:szCs w:val="24"/>
          <w:lang w:val="sk-SK"/>
        </w:rPr>
        <w:tab/>
      </w:r>
      <w:r>
        <w:fldChar w:fldCharType="begin"/>
      </w:r>
      <w:r w:rsidRPr="00AA63BB">
        <w:rPr>
          <w:lang w:val="sk-SK"/>
        </w:rPr>
        <w:instrText xml:space="preserve"> HYPERLINK "https://www.sciencedirect.com/science/article/abs/pii/S0038071797001259" </w:instrText>
      </w:r>
      <w:r>
        <w:fldChar w:fldCharType="separate"/>
      </w:r>
      <w:r>
        <w:rPr>
          <w:rStyle w:val="Hyperlink"/>
          <w:sz w:val="24"/>
          <w:szCs w:val="24"/>
          <w:lang w:val="sk-SK"/>
        </w:rPr>
        <w:t>https://www.sciencedirect.com/science/article/abs/pii/S0038071797001259</w:t>
      </w:r>
      <w:r>
        <w:rPr>
          <w:rStyle w:val="Hyperlink"/>
          <w:sz w:val="24"/>
          <w:szCs w:val="24"/>
          <w:lang w:val="sk-SK"/>
        </w:rPr>
        <w:fldChar w:fldCharType="end"/>
      </w:r>
      <w:r>
        <w:rPr>
          <w:sz w:val="24"/>
          <w:szCs w:val="24"/>
          <w:lang w:val="sk-SK"/>
        </w:rPr>
        <w:t>.</w:t>
      </w:r>
      <w:r>
        <w:rPr>
          <w:color w:val="000000"/>
          <w:sz w:val="24"/>
          <w:szCs w:val="24"/>
          <w:lang w:val="sk-SK"/>
        </w:rPr>
        <w:t xml:space="preserve"> </w:t>
      </w:r>
    </w:p>
  </w:footnote>
  <w:footnote w:id="72">
    <w:p w:rsidR="009D7883" w:rsidRDefault="00AA63BB">
      <w:pPr>
        <w:pStyle w:val="FootnoteText"/>
        <w:ind w:left="426" w:hanging="426"/>
        <w:rPr>
          <w:lang w:val="sk-SK"/>
        </w:rPr>
      </w:pPr>
      <w:r>
        <w:rPr>
          <w:rStyle w:val="FootnoteReference"/>
          <w:lang w:val="sk-SK"/>
        </w:rPr>
        <w:footnoteRef/>
      </w:r>
      <w:r>
        <w:rPr>
          <w:lang w:val="sk-SK"/>
        </w:rPr>
        <w:t xml:space="preserve"> </w:t>
      </w:r>
      <w:r>
        <w:rPr>
          <w:lang w:val="sk-SK"/>
        </w:rPr>
        <w:tab/>
      </w:r>
      <w:r>
        <w:rPr>
          <w:b/>
          <w:i/>
          <w:lang w:val="sk-SK"/>
        </w:rPr>
        <w:t>https://www.fao.org/3/cb3355en/cb3355en.pdf</w:t>
      </w:r>
    </w:p>
  </w:footnote>
  <w:footnote w:id="73">
    <w:p w:rsidR="009D7883" w:rsidRDefault="00AA63BB">
      <w:pPr>
        <w:pStyle w:val="FootnoteText"/>
        <w:rPr>
          <w:lang w:val="sk-SK"/>
        </w:rPr>
      </w:pPr>
      <w:r>
        <w:rPr>
          <w:rStyle w:val="FootnoteReference"/>
          <w:lang w:val="sk-SK"/>
        </w:rPr>
        <w:footnoteRef/>
      </w:r>
      <w:r>
        <w:rPr>
          <w:lang w:val="sk-SK"/>
        </w:rPr>
        <w:t xml:space="preserve"> </w:t>
      </w:r>
      <w:r>
        <w:rPr>
          <w:lang w:val="sk-SK"/>
        </w:rPr>
        <w:tab/>
      </w:r>
      <w:r>
        <w:rPr>
          <w:b/>
          <w:i/>
          <w:lang w:val="sk-SK"/>
        </w:rPr>
        <w:t xml:space="preserve">Ekvivalent podľa správy agentúry </w:t>
      </w:r>
      <w:proofErr w:type="spellStart"/>
      <w:r>
        <w:rPr>
          <w:b/>
          <w:i/>
          <w:lang w:val="sk-SK"/>
        </w:rPr>
        <w:t>EEA</w:t>
      </w:r>
      <w:proofErr w:type="spellEnd"/>
      <w:r>
        <w:rPr>
          <w:b/>
          <w:i/>
          <w:lang w:val="sk-SK"/>
        </w:rPr>
        <w:t xml:space="preserve">: </w:t>
      </w:r>
      <w:r>
        <w:fldChar w:fldCharType="begin"/>
      </w:r>
      <w:r w:rsidRPr="00AA63BB">
        <w:rPr>
          <w:lang w:val="sk-SK"/>
        </w:rPr>
        <w:instrText xml:space="preserve"> HYPERLINK "https://www.eea.europa.eu/publications/soil-monitoring-in-europe" </w:instrText>
      </w:r>
      <w:r>
        <w:fldChar w:fldCharType="separate"/>
      </w:r>
      <w:proofErr w:type="spellStart"/>
      <w:r>
        <w:rPr>
          <w:b/>
          <w:i/>
          <w:lang w:val="sk-SK"/>
        </w:rPr>
        <w:t>Soil</w:t>
      </w:r>
      <w:proofErr w:type="spellEnd"/>
      <w:r>
        <w:rPr>
          <w:b/>
          <w:i/>
          <w:lang w:val="sk-SK"/>
        </w:rPr>
        <w:t xml:space="preserve"> monitori</w:t>
      </w:r>
      <w:r>
        <w:rPr>
          <w:b/>
          <w:i/>
          <w:lang w:val="sk-SK"/>
        </w:rPr>
        <w:t xml:space="preserve">ng in </w:t>
      </w:r>
      <w:proofErr w:type="spellStart"/>
      <w:r>
        <w:rPr>
          <w:b/>
          <w:i/>
          <w:lang w:val="sk-SK"/>
        </w:rPr>
        <w:t>Europe</w:t>
      </w:r>
      <w:proofErr w:type="spellEnd"/>
      <w:r>
        <w:rPr>
          <w:b/>
          <w:i/>
          <w:lang w:val="sk-SK"/>
        </w:rPr>
        <w:t xml:space="preserve"> – </w:t>
      </w:r>
      <w:proofErr w:type="spellStart"/>
      <w:r>
        <w:rPr>
          <w:b/>
          <w:i/>
          <w:lang w:val="sk-SK"/>
        </w:rPr>
        <w:t>Indicators</w:t>
      </w:r>
      <w:proofErr w:type="spellEnd"/>
      <w:r>
        <w:rPr>
          <w:b/>
          <w:i/>
          <w:lang w:val="sk-SK"/>
        </w:rPr>
        <w:t xml:space="preserve"> and </w:t>
      </w:r>
      <w:proofErr w:type="spellStart"/>
      <w:r>
        <w:rPr>
          <w:b/>
          <w:i/>
          <w:lang w:val="sk-SK"/>
        </w:rPr>
        <w:t>thresholds</w:t>
      </w:r>
      <w:proofErr w:type="spellEnd"/>
      <w:r>
        <w:rPr>
          <w:b/>
          <w:i/>
          <w:lang w:val="sk-SK"/>
        </w:rPr>
        <w:t xml:space="preserve"> </w:t>
      </w:r>
      <w:proofErr w:type="spellStart"/>
      <w:r>
        <w:rPr>
          <w:b/>
          <w:i/>
          <w:lang w:val="sk-SK"/>
        </w:rPr>
        <w:t>for</w:t>
      </w:r>
      <w:proofErr w:type="spellEnd"/>
      <w:r>
        <w:rPr>
          <w:b/>
          <w:i/>
          <w:lang w:val="sk-SK"/>
        </w:rPr>
        <w:t xml:space="preserve"> </w:t>
      </w:r>
      <w:proofErr w:type="spellStart"/>
      <w:r>
        <w:rPr>
          <w:b/>
          <w:i/>
          <w:lang w:val="sk-SK"/>
        </w:rPr>
        <w:t>soil</w:t>
      </w:r>
      <w:proofErr w:type="spellEnd"/>
      <w:r>
        <w:rPr>
          <w:b/>
          <w:i/>
          <w:lang w:val="sk-SK"/>
        </w:rPr>
        <w:t xml:space="preserve"> </w:t>
      </w:r>
      <w:proofErr w:type="spellStart"/>
      <w:r>
        <w:rPr>
          <w:b/>
          <w:i/>
          <w:lang w:val="sk-SK"/>
        </w:rPr>
        <w:t>health</w:t>
      </w:r>
      <w:proofErr w:type="spellEnd"/>
      <w:r>
        <w:rPr>
          <w:b/>
          <w:i/>
          <w:lang w:val="sk-SK"/>
        </w:rPr>
        <w:t xml:space="preserve"> </w:t>
      </w:r>
      <w:proofErr w:type="spellStart"/>
      <w:r>
        <w:rPr>
          <w:b/>
          <w:i/>
          <w:lang w:val="sk-SK"/>
        </w:rPr>
        <w:t>assessments</w:t>
      </w:r>
      <w:proofErr w:type="spellEnd"/>
      <w:r>
        <w:rPr>
          <w:b/>
          <w:i/>
          <w:lang w:val="sk-SK"/>
        </w:rPr>
        <w:t xml:space="preserve"> — </w:t>
      </w:r>
      <w:proofErr w:type="spellStart"/>
      <w:r>
        <w:rPr>
          <w:b/>
          <w:i/>
          <w:lang w:val="sk-SK"/>
        </w:rPr>
        <w:t>European</w:t>
      </w:r>
      <w:proofErr w:type="spellEnd"/>
      <w:r>
        <w:rPr>
          <w:b/>
          <w:i/>
          <w:lang w:val="sk-SK"/>
        </w:rPr>
        <w:t xml:space="preserve"> </w:t>
      </w:r>
      <w:proofErr w:type="spellStart"/>
      <w:r>
        <w:rPr>
          <w:b/>
          <w:i/>
          <w:lang w:val="sk-SK"/>
        </w:rPr>
        <w:t>Environment</w:t>
      </w:r>
      <w:proofErr w:type="spellEnd"/>
      <w:r>
        <w:rPr>
          <w:b/>
          <w:i/>
          <w:lang w:val="sk-SK"/>
        </w:rPr>
        <w:t xml:space="preserve"> </w:t>
      </w:r>
      <w:proofErr w:type="spellStart"/>
      <w:r>
        <w:rPr>
          <w:b/>
          <w:i/>
          <w:lang w:val="sk-SK"/>
        </w:rPr>
        <w:t>Agency</w:t>
      </w:r>
      <w:proofErr w:type="spellEnd"/>
      <w:r>
        <w:rPr>
          <w:b/>
          <w:i/>
          <w:lang w:val="sk-SK"/>
        </w:rPr>
        <w:fldChar w:fldCharType="end"/>
      </w:r>
      <w:r>
        <w:rPr>
          <w:lang w:val="sk-SK"/>
        </w:rPr>
        <w:t xml:space="preserve"> </w:t>
      </w:r>
      <w:r>
        <w:rPr>
          <w:b/>
          <w:i/>
          <w:lang w:val="sk-SK"/>
        </w:rPr>
        <w:t>(Monitorovanie pôdy v Európe – ukazovatele a prahové hodnoty pri posúdení zdravia pôdy – Európska environmentálna agentúra) (europa.eu).</w:t>
      </w:r>
    </w:p>
  </w:footnote>
  <w:footnote w:id="74">
    <w:p w:rsidR="009D7883" w:rsidRDefault="00AA63BB">
      <w:pPr>
        <w:pStyle w:val="FootnoteText"/>
        <w:rPr>
          <w:lang w:val="sk-SK"/>
        </w:rPr>
      </w:pPr>
      <w:r>
        <w:rPr>
          <w:rStyle w:val="FootnoteReference"/>
          <w:lang w:val="sk-SK"/>
        </w:rPr>
        <w:footnoteRef/>
      </w:r>
      <w:r>
        <w:rPr>
          <w:lang w:val="sk-SK"/>
        </w:rPr>
        <w:t xml:space="preserve"> </w:t>
      </w:r>
      <w:r>
        <w:rPr>
          <w:lang w:val="sk-SK"/>
        </w:rPr>
        <w:tab/>
      </w:r>
      <w:r>
        <w:fldChar w:fldCharType="begin"/>
      </w:r>
      <w:r w:rsidRPr="00AA63BB">
        <w:rPr>
          <w:lang w:val="sk-SK"/>
        </w:rPr>
        <w:instrText xml:space="preserve"> HYPERLINK "htt</w:instrText>
      </w:r>
      <w:r w:rsidRPr="00AA63BB">
        <w:rPr>
          <w:lang w:val="sk-SK"/>
        </w:rPr>
        <w:instrText xml:space="preserve">ps://www.sciencedirect.com/science/article/abs/pii/S0038071797001259." </w:instrText>
      </w:r>
      <w:r>
        <w:fldChar w:fldCharType="separate"/>
      </w:r>
      <w:r>
        <w:rPr>
          <w:b/>
          <w:i/>
          <w:lang w:val="sk-SK"/>
        </w:rPr>
        <w:t>https://www.sciencedirect.com/science/article/abs/pii/S0038071797001259</w:t>
      </w:r>
      <w:r>
        <w:rPr>
          <w:b/>
          <w:i/>
          <w:lang w:val="sk-SK"/>
        </w:rPr>
        <w:fldChar w:fldCharType="end"/>
      </w:r>
    </w:p>
  </w:footnote>
  <w:footnote w:id="75">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Nariadenie Európskeho parlamentu a Rady (EÚ) 2020/741 z 25. mája 2020 o minimálnych požiadavkách na opätovné v</w:t>
      </w:r>
      <w:r>
        <w:rPr>
          <w:strike/>
          <w:sz w:val="24"/>
          <w:szCs w:val="24"/>
          <w:lang w:val="sk-SK"/>
        </w:rPr>
        <w:t>yužívanie vody (Ú. v. EÚ L 177, 5.6.2020, s. 32).</w:t>
      </w:r>
    </w:p>
  </w:footnote>
  <w:footnote w:id="76">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Táto zásada sa neuplatňuje na lesné pôdy.</w:t>
      </w:r>
    </w:p>
  </w:footnote>
  <w:footnote w:id="77">
    <w:p w:rsidR="009D7883" w:rsidRDefault="00AA63BB">
      <w:pPr>
        <w:pStyle w:val="FootnoteText"/>
        <w:rPr>
          <w:sz w:val="24"/>
          <w:szCs w:val="24"/>
          <w:lang w:val="sk-SK"/>
        </w:rPr>
      </w:pPr>
      <w:r>
        <w:rPr>
          <w:rStyle w:val="FootnoteReference"/>
          <w:strike/>
          <w:szCs w:val="24"/>
          <w:lang w:val="sk-SK"/>
        </w:rPr>
        <w:footnoteRef/>
      </w:r>
      <w:r>
        <w:rPr>
          <w:strike/>
          <w:sz w:val="24"/>
          <w:szCs w:val="24"/>
          <w:lang w:val="sk-SK"/>
        </w:rPr>
        <w:tab/>
        <w:t>Táto zásada sa neuplatňuje na mestské pôdy.</w:t>
      </w:r>
    </w:p>
  </w:footnote>
  <w:footnote w:id="78">
    <w:p w:rsidR="009D7883" w:rsidRDefault="00AA63BB">
      <w:pPr>
        <w:pStyle w:val="FootnoteText"/>
        <w:rPr>
          <w:sz w:val="24"/>
          <w:szCs w:val="24"/>
          <w:lang w:val="sk-SK"/>
        </w:rPr>
      </w:pPr>
      <w:r>
        <w:rPr>
          <w:rStyle w:val="FootnoteReference"/>
          <w:szCs w:val="24"/>
          <w:lang w:val="sk-SK"/>
        </w:rPr>
        <w:footnoteRef/>
      </w:r>
      <w:r>
        <w:rPr>
          <w:sz w:val="24"/>
          <w:szCs w:val="24"/>
          <w:lang w:val="sk-SK"/>
        </w:rPr>
        <w:tab/>
        <w:t>+ Úrad pre publikácie: vložte do textu číslo nariadenia o obnove prírody nachádzajúceho sa v dokumente COM(2022) 3</w:t>
      </w:r>
      <w:r>
        <w:rPr>
          <w:sz w:val="24"/>
          <w:szCs w:val="24"/>
          <w:lang w:val="sk-SK"/>
        </w:rPr>
        <w:t xml:space="preserve">04. </w:t>
      </w:r>
    </w:p>
  </w:footnote>
  <w:footnote w:id="79">
    <w:p w:rsidR="009D7883" w:rsidRDefault="00AA63BB">
      <w:pPr>
        <w:pStyle w:val="FootnoteText"/>
        <w:rPr>
          <w:strike/>
          <w:sz w:val="24"/>
          <w:szCs w:val="24"/>
          <w:lang w:val="sk-SK"/>
        </w:rPr>
      </w:pPr>
      <w:r>
        <w:rPr>
          <w:rStyle w:val="FootnoteReference"/>
          <w:strike/>
          <w:szCs w:val="24"/>
          <w:lang w:val="sk-SK"/>
        </w:rPr>
        <w:footnoteRef/>
      </w:r>
      <w:r>
        <w:rPr>
          <w:strike/>
          <w:sz w:val="24"/>
          <w:szCs w:val="24"/>
          <w:lang w:val="sk-SK"/>
        </w:rPr>
        <w:tab/>
        <w:t>+ Úrad pre publikácie: vložte do textu číslo nariadenia Európskeho parlamentu a Rady o udržateľnom používaní prípravkov na ochranu rastlín a o zmene nariadenia (EÚ) 2021/2115 nachádzajúceho sa v dokumente COM(2022) 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83" w:rsidRDefault="009D788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AD841088"/>
    <w:lvl w:ilvl="0" w:tplc="0072937E">
      <w:start w:val="1"/>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SK"/>
    <w:docVar w:name="dvnumam" w:val="350"/>
    <w:docVar w:name="dvpe" w:val="754.698"/>
    <w:docVar w:name="dvrapporteur" w:val="Spravodajca: "/>
    <w:docVar w:name="dvstar" w:val="***I"/>
    <w:docVar w:name="dvtitre" w:val="Legislatívne uznesenie Európskeho parlamentu z xx. aprila 2024 o návrhu smernice Európskeho parlamentu a Rady o monitorovaní a odolnosti pôdy (smernica o monitorovaní pôdy)(COM(2023)0416 – C9-0234/2023 – 2023/0232(COD))"/>
  </w:docVars>
  <w:rsids>
    <w:rsidRoot w:val="009D7883"/>
    <w:rsid w:val="009D7883"/>
    <w:rsid w:val="00AA63B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8BAAD"/>
  <w15:chartTrackingRefBased/>
  <w15:docId w15:val="{F4F5D1A6-0B23-4193-B266-2B032A78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rPr>
      <w:sz w:val="24"/>
      <w:lang w:val="fr-FR" w:eastAsia="fr-FR"/>
    </w:rPr>
  </w:style>
  <w:style w:type="character" w:customStyle="1" w:styleId="Heading3Char">
    <w:name w:val="Heading 3 Char"/>
    <w:basedOn w:val="DefaultParagraphFont"/>
    <w:link w:val="Heading3"/>
    <w:rPr>
      <w:rFonts w:ascii="Arial" w:hAnsi="Arial"/>
      <w:sz w:val="24"/>
      <w:lang w:val="fr-FR" w:eastAsia="fr-FR"/>
    </w:rPr>
  </w:style>
  <w:style w:type="character" w:customStyle="1" w:styleId="Heading4Char">
    <w:name w:val="Heading 4 Char"/>
    <w:basedOn w:val="DefaultParagraphFont"/>
    <w:link w:val="Heading4"/>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Pr>
      <w:b/>
      <w:sz w:val="24"/>
      <w:lang w:val="sk-SK"/>
    </w:rPr>
  </w:style>
  <w:style w:type="paragraph" w:customStyle="1" w:styleId="NormalBold12b">
    <w:name w:val="NormalBold12b"/>
    <w:basedOn w:val="Normal"/>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styleId="Hyperlink">
    <w:name w:val="Hyperlink"/>
    <w:basedOn w:val="DefaultParagraphFont"/>
    <w:uiPriority w:val="99"/>
    <w:unhideWhenUsed/>
    <w:rPr>
      <w:color w:val="0000FF"/>
      <w:u w:val="single"/>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paragraph" w:customStyle="1" w:styleId="EntPE">
    <w:name w:val="EntPE"/>
    <w:basedOn w:val="Normal12"/>
    <w:pPr>
      <w:jc w:val="center"/>
    </w:pPr>
    <w:rPr>
      <w:noProof w:val="0"/>
      <w:sz w:val="56"/>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pPr>
      <w:spacing w:after="240"/>
      <w:jc w:val="center"/>
    </w:pPr>
    <w:rPr>
      <w:i/>
    </w:rPr>
  </w:style>
  <w:style w:type="paragraph" w:customStyle="1" w:styleId="Olang">
    <w:name w:val="Olang"/>
    <w:basedOn w:val="Normal"/>
    <w:pPr>
      <w:spacing w:before="240" w:after="240"/>
      <w:jc w:val="right"/>
    </w:pPr>
    <w:rPr>
      <w:noProof/>
      <w:szCs w:val="24"/>
    </w:rPr>
  </w:style>
  <w:style w:type="paragraph" w:customStyle="1" w:styleId="JustificationTitle">
    <w:name w:val="JustificationTitle"/>
    <w:basedOn w:val="Normal"/>
    <w:next w:val="Normal12"/>
    <w:pPr>
      <w:keepNext/>
      <w:spacing w:before="240" w:after="240"/>
      <w:jc w:val="center"/>
    </w:pPr>
    <w:rPr>
      <w:i/>
      <w:noProof/>
    </w:rPr>
  </w:style>
  <w:style w:type="character" w:customStyle="1" w:styleId="ui-provider">
    <w:name w:val="ui-provider"/>
    <w:basedOn w:val="DefaultParagraphFont"/>
  </w:style>
  <w:style w:type="table" w:customStyle="1" w:styleId="3">
    <w:name w:val="3"/>
    <w:basedOn w:val="TableNormal"/>
    <w:pPr>
      <w:spacing w:before="120"/>
      <w:jc w:val="both"/>
    </w:pPr>
    <w:rPr>
      <w:sz w:val="24"/>
      <w:szCs w:val="24"/>
      <w:lang w:val="sk-SK" w:eastAsia="en-US"/>
    </w:rPr>
    <w:tblPr>
      <w:tblStyleRowBandSize w:val="1"/>
      <w:tblStyleColBandSize w:val="1"/>
    </w:tblPr>
  </w:style>
  <w:style w:type="paragraph" w:styleId="CommentText">
    <w:name w:val="annotation text"/>
    <w:basedOn w:val="Normal"/>
    <w:link w:val="CommentTextChar"/>
    <w:uiPriority w:val="99"/>
    <w:unhideWhenUsed/>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Pr>
      <w:lang w:val="sk-SK" w:eastAsia="en-US"/>
    </w:rPr>
  </w:style>
  <w:style w:type="table" w:customStyle="1" w:styleId="2">
    <w:name w:val="2"/>
    <w:basedOn w:val="TableNormal"/>
    <w:pPr>
      <w:spacing w:before="120"/>
      <w:jc w:val="both"/>
    </w:pPr>
    <w:rPr>
      <w:sz w:val="24"/>
      <w:szCs w:val="24"/>
      <w:lang w:val="sk-SK" w:eastAsia="en-US"/>
    </w:rPr>
    <w:tblPr>
      <w:tblStyleRowBandSize w:val="1"/>
      <w:tblStyleColBandSize w:val="1"/>
    </w:tblPr>
  </w:style>
  <w:style w:type="table" w:customStyle="1" w:styleId="1">
    <w:name w:val="1"/>
    <w:basedOn w:val="TableNormal"/>
    <w:pPr>
      <w:spacing w:before="120"/>
      <w:jc w:val="both"/>
    </w:pPr>
    <w:rPr>
      <w:sz w:val="24"/>
      <w:szCs w:val="24"/>
      <w:lang w:val="sk-SK" w:eastAsia="en-US"/>
    </w:rPr>
    <w:tblPr>
      <w:tblStyleRowBandSize w:val="1"/>
      <w:tblStyleColBandSize w:val="1"/>
    </w:tbl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unhideWhenUsed/>
    <w:pPr>
      <w:widowControl w:val="0"/>
      <w:spacing w:before="0" w:after="0"/>
      <w:jc w:val="left"/>
    </w:pPr>
    <w:rPr>
      <w:b/>
      <w:bCs/>
      <w:lang w:eastAsia="en-GB"/>
    </w:rPr>
  </w:style>
  <w:style w:type="character" w:customStyle="1" w:styleId="CommentSubjectChar">
    <w:name w:val="Comment Subject Char"/>
    <w:basedOn w:val="CommentTextChar"/>
    <w:link w:val="CommentSubject"/>
    <w:rPr>
      <w:b/>
      <w:bCs/>
      <w:lang w:val="sk-SK" w:eastAsia="en-US"/>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lang w:val="sk-SK"/>
    </w:rPr>
  </w:style>
  <w:style w:type="character" w:styleId="FollowedHyperlink">
    <w:name w:val="FollowedHyperlink"/>
    <w:basedOn w:val="DefaultParagraphFont"/>
    <w:rPr>
      <w:color w:val="954F72" w:themeColor="followedHyperlink"/>
      <w:u w:val="single"/>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TableParagraph">
    <w:name w:val="Table Paragraph"/>
    <w:uiPriority w:val="1"/>
    <w:qFormat/>
    <w:pPr>
      <w:widowControl w:val="0"/>
      <w:ind w:left="107"/>
    </w:pPr>
    <w:rPr>
      <w:rFonts w:eastAsia="Arial Unicode MS" w:cs="Arial Unicode MS"/>
      <w:color w:val="000000"/>
      <w:sz w:val="22"/>
      <w:szCs w:val="22"/>
      <w:u w:color="000000"/>
      <w:lang w:val="sk-SK" w:eastAsia="de-DE"/>
    </w:rPr>
  </w:style>
  <w:style w:type="character" w:customStyle="1" w:styleId="Ohne">
    <w:name w:val="Ohne"/>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paragraph" w:customStyle="1" w:styleId="CrossRef">
    <w:name w:val="CrossRef"/>
    <w:basedOn w:val="Normal"/>
    <w:pPr>
      <w:spacing w:before="240"/>
      <w:jc w:val="center"/>
    </w:pPr>
    <w:rPr>
      <w:i/>
    </w:rPr>
  </w:style>
  <w:style w:type="character" w:customStyle="1" w:styleId="Footer2Middle">
    <w:name w:val="Footer2Middle"/>
    <w:rPr>
      <w:rFonts w:ascii="Arial" w:cs="Arial"/>
      <w:b w:val="0"/>
      <w:i/>
      <w:color w:val="C0C0C0"/>
      <w:sz w:val="22"/>
    </w:rPr>
  </w:style>
  <w:style w:type="paragraph" w:customStyle="1" w:styleId="Text1">
    <w:name w:val="Text 1"/>
    <w:basedOn w:val="Normal"/>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pPr>
      <w:spacing w:after="480"/>
    </w:pPr>
  </w:style>
  <w:style w:type="character" w:customStyle="1" w:styleId="Normal24aChar">
    <w:name w:val="Normal24a Char"/>
    <w:basedOn w:val="DefaultParagraphFont"/>
    <w:link w:val="Normal24a"/>
    <w:rPr>
      <w:sz w:val="24"/>
      <w:lang w:val="sk-SK"/>
    </w:rPr>
  </w:style>
  <w:style w:type="paragraph" w:styleId="EndnoteText">
    <w:name w:val="endnote text"/>
    <w:basedOn w:val="Normal"/>
    <w:link w:val="EndnoteTextChar"/>
    <w:rPr>
      <w:sz w:val="20"/>
    </w:rPr>
  </w:style>
  <w:style w:type="character" w:customStyle="1" w:styleId="EndnoteTextChar">
    <w:name w:val="Endnote Text Char"/>
    <w:basedOn w:val="DefaultParagraphFont"/>
    <w:link w:val="EndnoteText"/>
    <w:rPr>
      <w:lang w:val="sk-SK"/>
    </w:rPr>
  </w:style>
  <w:style w:type="character" w:styleId="EndnoteReference">
    <w:name w:val="endnote reference"/>
    <w:basedOn w:val="DefaultParagraphFont"/>
    <w:rPr>
      <w:vertAlign w:val="superscript"/>
    </w:rPr>
  </w:style>
  <w:style w:type="paragraph" w:customStyle="1" w:styleId="HideTWBExtn">
    <w:name w:val="HideTWBExtn"/>
    <w:basedOn w:val="NormalBold"/>
  </w:style>
  <w:style w:type="paragraph" w:customStyle="1" w:styleId="msonormal0">
    <w:name w:val="msonormal"/>
    <w:basedOn w:val="Normal"/>
    <w:pPr>
      <w:widowControl/>
      <w:spacing w:before="100" w:beforeAutospacing="1" w:after="100" w:afterAutospacing="1"/>
    </w:pPr>
    <w:rPr>
      <w:szCs w:val="24"/>
    </w:rPr>
  </w:style>
  <w:style w:type="paragraph" w:customStyle="1" w:styleId="Default">
    <w:name w:val="Default"/>
    <w:pPr>
      <w:autoSpaceDE w:val="0"/>
      <w:autoSpaceDN w:val="0"/>
      <w:adjustRightInd w:val="0"/>
    </w:pPr>
    <w:rPr>
      <w:color w:val="000000"/>
      <w:sz w:val="24"/>
      <w:szCs w:val="24"/>
      <w:lang w:val="sk-SK"/>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paragraph" w:customStyle="1" w:styleId="AmDocTypeTab">
    <w:name w:val="AmDocTypeTab"/>
    <w:basedOn w:val="Normal"/>
    <w:pPr>
      <w:tabs>
        <w:tab w:val="right" w:pos="9070"/>
      </w:tabs>
    </w:pPr>
    <w:rPr>
      <w:b/>
      <w:szCs w:val="24"/>
      <w:lang w:eastAsia="en-US"/>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Considrant">
    <w:name w:val="Considérant"/>
    <w:basedOn w:val="Normal"/>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pPr>
      <w:keepNext/>
      <w:tabs>
        <w:tab w:val="left" w:pos="4252"/>
      </w:tabs>
      <w:spacing w:before="720" w:line="360" w:lineRule="auto"/>
    </w:pPr>
    <w:rPr>
      <w:i/>
      <w:szCs w:val="24"/>
      <w:lang w:val="en-GB" w:eastAsia="en-US"/>
    </w:rPr>
  </w:style>
  <w:style w:type="paragraph" w:customStyle="1" w:styleId="Fait">
    <w:name w:val="Fait à"/>
    <w:basedOn w:val="Normal"/>
    <w:pPr>
      <w:keepNext/>
      <w:widowControl/>
      <w:spacing w:before="120" w:line="360" w:lineRule="auto"/>
    </w:pPr>
    <w:rPr>
      <w:szCs w:val="24"/>
      <w:lang w:val="en-GB"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Applicationdirecte">
    <w:name w:val="Application directe"/>
    <w:basedOn w:val="Normal"/>
    <w:next w:val="Normal"/>
    <w:pPr>
      <w:spacing w:before="120" w:after="120" w:line="360" w:lineRule="auto"/>
    </w:pPr>
    <w:rPr>
      <w:szCs w:val="24"/>
      <w:lang w:val="en-GB" w:eastAsia="en-US"/>
    </w:rPr>
  </w:style>
  <w:style w:type="paragraph" w:customStyle="1" w:styleId="Normale">
    <w:name w:val="Normale"/>
    <w:pPr>
      <w:widowControl w:val="0"/>
      <w:spacing w:before="120" w:after="120" w:line="360" w:lineRule="auto"/>
    </w:pPr>
    <w:rPr>
      <w:sz w:val="24"/>
      <w:lang w:eastAsia="en-US"/>
    </w:rPr>
  </w:style>
  <w:style w:type="paragraph" w:customStyle="1" w:styleId="Formuledadoption">
    <w:name w:val="Formule d'adoption"/>
    <w:basedOn w:val="Normal"/>
    <w:next w:val="Normal"/>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pPr>
      <w:widowControl/>
      <w:spacing w:after="240" w:line="360" w:lineRule="auto"/>
      <w:ind w:left="5102"/>
    </w:pPr>
    <w:rPr>
      <w:szCs w:val="24"/>
      <w:lang w:val="en-GB"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pPr>
      <w:widowControl/>
      <w:spacing w:before="840" w:line="360" w:lineRule="auto"/>
      <w:jc w:val="center"/>
    </w:pPr>
    <w:rPr>
      <w:szCs w:val="24"/>
      <w:lang w:val="en-GB" w:eastAsia="en-US"/>
    </w:rPr>
  </w:style>
  <w:style w:type="paragraph" w:customStyle="1" w:styleId="Typedudocument">
    <w:name w:val="Type du document"/>
    <w:basedOn w:val="Normal"/>
    <w:next w:val="Normal"/>
    <w:pPr>
      <w:widowControl/>
      <w:spacing w:before="360" w:line="360" w:lineRule="auto"/>
      <w:jc w:val="center"/>
    </w:pPr>
    <w:rPr>
      <w:b/>
      <w:szCs w:val="24"/>
      <w:lang w:val="en-GB" w:eastAsia="en-US"/>
    </w:rPr>
  </w:style>
  <w:style w:type="paragraph" w:customStyle="1" w:styleId="Titreobjet">
    <w:name w:val="Titre objet"/>
    <w:basedOn w:val="Normal"/>
    <w:next w:val="Normal"/>
    <w:pPr>
      <w:widowControl/>
      <w:spacing w:before="360" w:after="360" w:line="360" w:lineRule="auto"/>
      <w:jc w:val="center"/>
    </w:pPr>
    <w:rPr>
      <w:b/>
      <w:szCs w:val="24"/>
      <w:lang w:val="en-GB" w:eastAsia="en-US"/>
    </w:rPr>
  </w:style>
  <w:style w:type="paragraph" w:customStyle="1" w:styleId="IntrtEEE">
    <w:name w:val="Intérêt EEE"/>
    <w:basedOn w:val="Normal"/>
    <w:next w:val="Normal"/>
    <w:pPr>
      <w:widowControl/>
      <w:spacing w:before="360" w:after="240" w:line="360" w:lineRule="auto"/>
      <w:jc w:val="center"/>
    </w:pPr>
    <w:rPr>
      <w:szCs w:val="24"/>
      <w:lang w:val="en-GB" w:eastAsia="en-US"/>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Pr>
      <w:sz w:val="24"/>
      <w:szCs w:val="24"/>
    </w:rPr>
  </w:style>
  <w:style w:type="table" w:customStyle="1" w:styleId="TableGrid1">
    <w:name w:val="Table Grid1"/>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2">
    <w:name w:val="Point 2"/>
    <w:basedOn w:val="Normal"/>
    <w:pPr>
      <w:widowControl/>
      <w:spacing w:before="120" w:after="120"/>
      <w:ind w:left="1984" w:hanging="567"/>
      <w:jc w:val="both"/>
    </w:pPr>
    <w:rPr>
      <w:rFonts w:eastAsia="Calibri"/>
      <w:szCs w:val="22"/>
      <w:lang w:eastAsia="en-US"/>
    </w:rPr>
  </w:style>
  <w:style w:type="paragraph" w:customStyle="1" w:styleId="Point0">
    <w:name w:val="Point 0"/>
    <w:basedOn w:val="Normal"/>
    <w:pPr>
      <w:widowControl/>
      <w:spacing w:before="120" w:after="120"/>
      <w:ind w:left="850" w:hanging="850"/>
      <w:jc w:val="both"/>
    </w:pPr>
    <w:rPr>
      <w:rFonts w:eastAsia="Calibri"/>
      <w:szCs w:val="22"/>
      <w:lang w:eastAsia="en-US"/>
    </w:rPr>
  </w:style>
  <w:style w:type="paragraph" w:customStyle="1" w:styleId="Point1">
    <w:name w:val="Point 1"/>
    <w:basedOn w:val="Normal"/>
    <w:pPr>
      <w:widowControl/>
      <w:spacing w:before="120" w:after="120"/>
      <w:ind w:left="1417" w:hanging="567"/>
      <w:jc w:val="both"/>
    </w:pPr>
    <w:rPr>
      <w:rFonts w:eastAsia="Calibri"/>
      <w:szCs w:val="22"/>
      <w:lang w:eastAsia="en-US"/>
    </w:rPr>
  </w:style>
  <w:style w:type="paragraph" w:customStyle="1" w:styleId="Annexetitre">
    <w:name w:val="Annexe titre"/>
    <w:basedOn w:val="Normal"/>
    <w:next w:val="Normal"/>
    <w:pPr>
      <w:widowControl/>
      <w:spacing w:before="120" w:after="120"/>
      <w:jc w:val="center"/>
    </w:pPr>
    <w:rPr>
      <w:rFonts w:eastAsia="Calibri"/>
      <w:b/>
      <w:szCs w:val="22"/>
      <w:u w:val="single"/>
      <w:lang w:eastAsia="en-US"/>
    </w:rPr>
  </w:style>
  <w:style w:type="table" w:customStyle="1" w:styleId="TableGrid11">
    <w:name w:val="Table Grid1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C8BFB-685B-40A9-8C59-936C69978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22135</Words>
  <Characters>134879</Characters>
  <Application>Microsoft Office Word</Application>
  <DocSecurity>0</DocSecurity>
  <Lines>1123</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2024-10-08T14:28:00Z</dcterms:created>
  <dcterms:modified xsi:type="dcterms:W3CDTF">2024-10-08T14:28:00Z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A9-0138/2024</vt:lpwstr>
  </property>
  <property fmtid="{D5CDD505-2E9C-101B-9397-08002B2CF9AE}" pid="4" name="&lt;Type&gt;">
    <vt:lpwstr>RR</vt:lpwstr>
  </property>
</Properties>
</file>