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6042" w:rsidTr="0010095E">
        <w:trPr>
          <w:trHeight w:hRule="exact" w:val="1418"/>
        </w:trPr>
        <w:tc>
          <w:tcPr>
            <w:tcW w:w="6804" w:type="dxa"/>
            <w:shd w:val="clear" w:color="auto" w:fill="auto"/>
            <w:vAlign w:val="center"/>
          </w:tcPr>
          <w:p w:rsidR="00751A4A" w:rsidRPr="00BE6042" w:rsidRDefault="007753EA" w:rsidP="0010095E">
            <w:pPr>
              <w:pStyle w:val="EPName"/>
            </w:pPr>
            <w:r w:rsidRPr="00BE6042">
              <w:t>Europaparlamentet</w:t>
            </w:r>
          </w:p>
          <w:p w:rsidR="00751A4A" w:rsidRPr="00BE6042" w:rsidRDefault="00817416" w:rsidP="00756632">
            <w:pPr>
              <w:pStyle w:val="EPTerm"/>
              <w:rPr>
                <w:rStyle w:val="HideTWBExt"/>
                <w:noProof w:val="0"/>
                <w:vanish w:val="0"/>
                <w:color w:val="auto"/>
              </w:rPr>
            </w:pPr>
            <w:r w:rsidRPr="00BE6042">
              <w:t>2019-2024</w:t>
            </w:r>
          </w:p>
        </w:tc>
        <w:tc>
          <w:tcPr>
            <w:tcW w:w="2268" w:type="dxa"/>
            <w:shd w:val="clear" w:color="auto" w:fill="auto"/>
          </w:tcPr>
          <w:p w:rsidR="00751A4A" w:rsidRPr="00BE6042" w:rsidRDefault="00187494" w:rsidP="0010095E">
            <w:pPr>
              <w:pStyle w:val="EPLogo"/>
            </w:pPr>
            <w:r w:rsidRPr="00BE60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6042" w:rsidRDefault="00D058B8" w:rsidP="004C5D52">
      <w:pPr>
        <w:pStyle w:val="LineTop"/>
      </w:pPr>
    </w:p>
    <w:p w:rsidR="00680577" w:rsidRPr="00BE6042" w:rsidRDefault="007753EA" w:rsidP="00680577">
      <w:pPr>
        <w:pStyle w:val="EPBodyTA1"/>
      </w:pPr>
      <w:r w:rsidRPr="00BE6042">
        <w:t>ANTAGNA TEXTER</w:t>
      </w:r>
    </w:p>
    <w:p w:rsidR="00D058B8" w:rsidRPr="00BE6042" w:rsidRDefault="00D058B8" w:rsidP="00D058B8">
      <w:pPr>
        <w:pStyle w:val="LineBottom"/>
      </w:pPr>
    </w:p>
    <w:p w:rsidR="007753EA" w:rsidRPr="00BE6042" w:rsidRDefault="007753EA" w:rsidP="007753EA">
      <w:pPr>
        <w:pStyle w:val="ATHeading1"/>
      </w:pPr>
      <w:bookmarkStart w:id="0" w:name="TANumber"/>
      <w:r w:rsidRPr="00BE6042">
        <w:t>P9_TA(2024)0</w:t>
      </w:r>
      <w:r w:rsidR="009778FB" w:rsidRPr="00BE6042">
        <w:t>205</w:t>
      </w:r>
      <w:bookmarkEnd w:id="0"/>
    </w:p>
    <w:p w:rsidR="007753EA" w:rsidRPr="00BE6042" w:rsidRDefault="007753EA" w:rsidP="007753EA">
      <w:pPr>
        <w:pStyle w:val="ATHeading2"/>
      </w:pPr>
      <w:bookmarkStart w:id="1" w:name="title"/>
      <w:r w:rsidRPr="00BE6042">
        <w:t>Redovisning av växthusgasutsläpp från transporttjänster</w:t>
      </w:r>
      <w:bookmarkEnd w:id="1"/>
    </w:p>
    <w:p w:rsidR="007753EA" w:rsidRPr="00BE6042" w:rsidRDefault="007753EA" w:rsidP="007753EA">
      <w:pPr>
        <w:rPr>
          <w:i/>
          <w:vanish/>
        </w:rPr>
      </w:pPr>
      <w:r w:rsidRPr="00BE6042">
        <w:rPr>
          <w:i/>
        </w:rPr>
        <w:fldChar w:fldCharType="begin"/>
      </w:r>
      <w:r w:rsidRPr="00BE6042">
        <w:rPr>
          <w:i/>
        </w:rPr>
        <w:instrText xml:space="preserve"> TC"(</w:instrText>
      </w:r>
      <w:bookmarkStart w:id="2" w:name="DocNumber"/>
      <w:r w:rsidRPr="00BE6042">
        <w:rPr>
          <w:i/>
        </w:rPr>
        <w:instrText>A9-0070/2024</w:instrText>
      </w:r>
      <w:bookmarkEnd w:id="2"/>
      <w:r w:rsidRPr="00BE6042">
        <w:rPr>
          <w:i/>
        </w:rPr>
        <w:instrText xml:space="preserve"> - Föredragande: Pascal Canfin, Barbara Thaler)"\l3 \n&gt; \* MERGEFORMAT </w:instrText>
      </w:r>
      <w:r w:rsidRPr="00BE6042">
        <w:rPr>
          <w:i/>
        </w:rPr>
        <w:fldChar w:fldCharType="end"/>
      </w:r>
    </w:p>
    <w:p w:rsidR="007753EA" w:rsidRPr="00BE6042" w:rsidRDefault="007753EA" w:rsidP="007753EA">
      <w:pPr>
        <w:rPr>
          <w:vanish/>
        </w:rPr>
      </w:pPr>
      <w:bookmarkStart w:id="3" w:name="Commission"/>
      <w:r w:rsidRPr="00BE6042">
        <w:rPr>
          <w:vanish/>
        </w:rPr>
        <w:t>Utskottet för miljö, folkhälsa och livsmedelssäkerhet</w:t>
      </w:r>
      <w:bookmarkEnd w:id="3"/>
      <w:r w:rsidR="00383831" w:rsidRPr="00BE6042">
        <w:rPr>
          <w:vanish/>
        </w:rPr>
        <w:t>, utskottet för transport och turism</w:t>
      </w:r>
    </w:p>
    <w:p w:rsidR="007753EA" w:rsidRPr="00BE6042" w:rsidRDefault="007753EA" w:rsidP="007753EA">
      <w:pPr>
        <w:rPr>
          <w:vanish/>
        </w:rPr>
      </w:pPr>
      <w:bookmarkStart w:id="4" w:name="PE"/>
      <w:r w:rsidRPr="00BE6042">
        <w:rPr>
          <w:vanish/>
        </w:rPr>
        <w:t>PE757.207</w:t>
      </w:r>
      <w:bookmarkEnd w:id="4"/>
    </w:p>
    <w:p w:rsidR="007753EA" w:rsidRPr="00BE6042" w:rsidRDefault="007753EA" w:rsidP="007753EA">
      <w:pPr>
        <w:pStyle w:val="ATHeading3"/>
      </w:pPr>
      <w:bookmarkStart w:id="5" w:name="Sujet"/>
      <w:r w:rsidRPr="00BE6042">
        <w:t xml:space="preserve">Europaparlamentets lagstiftningsresolution av den </w:t>
      </w:r>
      <w:r w:rsidR="00075DC5" w:rsidRPr="00BE6042">
        <w:t>10</w:t>
      </w:r>
      <w:r w:rsidRPr="00BE6042">
        <w:t xml:space="preserve"> </w:t>
      </w:r>
      <w:r w:rsidR="00BD7B9D" w:rsidRPr="00BE6042">
        <w:t>april</w:t>
      </w:r>
      <w:r w:rsidRPr="00BE6042">
        <w:t xml:space="preserve"> 2024 om förslaget till Europaparlamentets och rådets förordning om redovisning av växthusgasutsläpp från transporttjänster</w:t>
      </w:r>
      <w:bookmarkEnd w:id="5"/>
      <w:r w:rsidRPr="00BE6042">
        <w:t xml:space="preserve"> </w:t>
      </w:r>
      <w:bookmarkStart w:id="6" w:name="References"/>
      <w:r w:rsidRPr="00BE6042">
        <w:t>(COM(2023)0441 – C9-0305/2023 – 2023/0266(COD))</w:t>
      </w:r>
      <w:bookmarkEnd w:id="6"/>
    </w:p>
    <w:p w:rsidR="00133C99" w:rsidRPr="00BE6042" w:rsidRDefault="00133C99" w:rsidP="00133C99">
      <w:pPr>
        <w:pStyle w:val="NormalBold"/>
      </w:pPr>
      <w:bookmarkStart w:id="7" w:name="TextBodyBegin"/>
      <w:bookmarkEnd w:id="7"/>
      <w:r w:rsidRPr="00BE6042">
        <w:t>(Ordinarie lagstiftningsförfarande: första behandlingen)</w:t>
      </w:r>
    </w:p>
    <w:p w:rsidR="00133C99" w:rsidRPr="00BE6042" w:rsidRDefault="00133C99" w:rsidP="00133C99">
      <w:pPr>
        <w:pStyle w:val="EPComma"/>
      </w:pPr>
      <w:r w:rsidRPr="00BE6042">
        <w:rPr>
          <w:i/>
        </w:rPr>
        <w:t>Europaparlamentet utfärdar denna resolution</w:t>
      </w:r>
    </w:p>
    <w:p w:rsidR="00133C99" w:rsidRPr="00BE6042" w:rsidRDefault="00133C99" w:rsidP="00133C99">
      <w:pPr>
        <w:pStyle w:val="NormalHanging12a"/>
      </w:pPr>
      <w:r w:rsidRPr="00BE6042">
        <w:t>–</w:t>
      </w:r>
      <w:r w:rsidRPr="00BE6042">
        <w:tab/>
        <w:t>med beaktande av kommissionens förslag till Europaparlamentet och rådet (COM(2023)0441),</w:t>
      </w:r>
    </w:p>
    <w:p w:rsidR="00133C99" w:rsidRPr="00BE6042" w:rsidRDefault="00133C99" w:rsidP="00133C99">
      <w:pPr>
        <w:pStyle w:val="NormalHanging12a"/>
      </w:pPr>
      <w:r w:rsidRPr="00BE6042">
        <w:t>–</w:t>
      </w:r>
      <w:r w:rsidRPr="00BE6042">
        <w:tab/>
        <w:t>med beaktande av artiklarna 294.2, 91.1 och 100.2 i fördraget om Europeiska unionens funktionssätt, i enlighet med vilka kommissionen har lagt fram sitt förslag för parlamentet (C9</w:t>
      </w:r>
      <w:r w:rsidRPr="00BE6042">
        <w:noBreakHyphen/>
        <w:t>0305/2023),</w:t>
      </w:r>
    </w:p>
    <w:p w:rsidR="00133C99" w:rsidRPr="00BE6042" w:rsidRDefault="00133C99" w:rsidP="00133C99">
      <w:pPr>
        <w:pStyle w:val="NormalHanging12a"/>
      </w:pPr>
      <w:r w:rsidRPr="00BE6042">
        <w:t>–</w:t>
      </w:r>
      <w:r w:rsidRPr="00BE6042">
        <w:tab/>
        <w:t>med beaktande av artikel 294.3 i fördraget om Europeiska unionens funktionssätt,</w:t>
      </w:r>
    </w:p>
    <w:p w:rsidR="00133C99" w:rsidRPr="00BE6042" w:rsidRDefault="00133C99" w:rsidP="00133C99">
      <w:pPr>
        <w:pStyle w:val="NormalHanging12a"/>
      </w:pPr>
      <w:r w:rsidRPr="00BE6042">
        <w:t>–</w:t>
      </w:r>
      <w:r w:rsidRPr="00BE6042">
        <w:tab/>
        <w:t>med beaktande av Europeiska ekonomiska och sociala kommitténs yttrande</w:t>
      </w:r>
      <w:r w:rsidRPr="00BE6042">
        <w:rPr>
          <w:rStyle w:val="FootnoteReference"/>
        </w:rPr>
        <w:footnoteReference w:id="1"/>
      </w:r>
      <w:r w:rsidRPr="00BE6042">
        <w:t>,</w:t>
      </w:r>
    </w:p>
    <w:p w:rsidR="00133C99" w:rsidRPr="00BE6042" w:rsidRDefault="00133C99" w:rsidP="00133C99">
      <w:pPr>
        <w:pStyle w:val="NormalHanging12a"/>
      </w:pPr>
      <w:r w:rsidRPr="00BE6042">
        <w:t>–</w:t>
      </w:r>
      <w:r w:rsidRPr="00BE6042">
        <w:tab/>
        <w:t>med beaktande av Regionkommitténs yttrande</w:t>
      </w:r>
      <w:r w:rsidRPr="00BE6042">
        <w:rPr>
          <w:rStyle w:val="FootnoteReference"/>
          <w:szCs w:val="24"/>
        </w:rPr>
        <w:footnoteReference w:id="2"/>
      </w:r>
      <w:r w:rsidRPr="00BE6042">
        <w:t>,</w:t>
      </w:r>
    </w:p>
    <w:p w:rsidR="00133C99" w:rsidRPr="00BE6042" w:rsidRDefault="00133C99" w:rsidP="00133C99">
      <w:pPr>
        <w:pStyle w:val="NormalHanging12a"/>
      </w:pPr>
      <w:r w:rsidRPr="00BE6042">
        <w:t>–</w:t>
      </w:r>
      <w:r w:rsidRPr="00BE6042">
        <w:tab/>
        <w:t>med beaktande av artikel 59 i arbetsordningen,</w:t>
      </w:r>
    </w:p>
    <w:p w:rsidR="00133C99" w:rsidRPr="00BE6042" w:rsidRDefault="00133C99" w:rsidP="00133C99">
      <w:pPr>
        <w:pStyle w:val="NormalHanging12a"/>
      </w:pPr>
      <w:r w:rsidRPr="00BE6042">
        <w:t>–</w:t>
      </w:r>
      <w:r w:rsidRPr="00BE6042">
        <w:tab/>
        <w:t>med beaktande av den gemensamma behandlingen av ärendet i utskottet för miljö, folkhälsa och livsmedelssäkerhet och utskottet för transport och turism, i enlighet med artikel 58 i arbetsordningen,</w:t>
      </w:r>
    </w:p>
    <w:p w:rsidR="00133C99" w:rsidRPr="00BE6042" w:rsidRDefault="00133C99" w:rsidP="00133C99">
      <w:pPr>
        <w:pStyle w:val="NormalHanging12a"/>
      </w:pPr>
      <w:r w:rsidRPr="00BE6042">
        <w:t>–</w:t>
      </w:r>
      <w:r w:rsidRPr="00BE6042">
        <w:tab/>
        <w:t>med beaktande av betänkandet från utskottet för miljö, folkhälsa och livsmedelssäkerhet och utskottet för transport och turism (A9-0070/2024).</w:t>
      </w:r>
    </w:p>
    <w:p w:rsidR="00133C99" w:rsidRPr="00BE6042" w:rsidRDefault="00133C99" w:rsidP="00133C99">
      <w:pPr>
        <w:pStyle w:val="NormalHanging12a"/>
      </w:pPr>
      <w:r w:rsidRPr="00BE6042">
        <w:t>1.</w:t>
      </w:r>
      <w:r w:rsidRPr="00BE6042">
        <w:tab/>
        <w:t>Europaparlamentet antar nedanstående ståndpunkt vid första behandlingen.</w:t>
      </w:r>
    </w:p>
    <w:p w:rsidR="00133C99" w:rsidRPr="00BE6042" w:rsidRDefault="00133C99" w:rsidP="00133C99">
      <w:pPr>
        <w:pStyle w:val="NormalHanging12a"/>
      </w:pPr>
      <w:r w:rsidRPr="00BE6042">
        <w:t>2.</w:t>
      </w:r>
      <w:r w:rsidRPr="00BE6042">
        <w:tab/>
        <w:t xml:space="preserve">Europaparlamentet uppmanar kommissionen att på nytt lägga fram ärendet för </w:t>
      </w:r>
      <w:r w:rsidRPr="00BE6042">
        <w:lastRenderedPageBreak/>
        <w:t>parlamentet om den ersätter, väsentligt ändrar eller har för avsikt att väsentligt ändra sitt förslag.</w:t>
      </w:r>
    </w:p>
    <w:p w:rsidR="00483368" w:rsidRPr="00BE6042" w:rsidRDefault="00133C99" w:rsidP="00133C99">
      <w:pPr>
        <w:pStyle w:val="NormalHanging12a"/>
        <w:sectPr w:rsidR="00483368" w:rsidRPr="00BE6042" w:rsidSect="00BC76E1">
          <w:footnotePr>
            <w:numRestart w:val="eachPage"/>
          </w:footnotePr>
          <w:endnotePr>
            <w:numFmt w:val="decimal"/>
          </w:endnotePr>
          <w:pgSz w:w="11906" w:h="16838" w:code="9"/>
          <w:pgMar w:top="1134" w:right="1418" w:bottom="1418" w:left="1418" w:header="1134" w:footer="567" w:gutter="0"/>
          <w:cols w:space="720"/>
          <w:noEndnote/>
          <w:docGrid w:linePitch="326"/>
        </w:sectPr>
      </w:pPr>
      <w:r w:rsidRPr="00BE6042">
        <w:t>3.</w:t>
      </w:r>
      <w:r w:rsidRPr="00BE6042">
        <w:tab/>
        <w:t>Europaparlamentet uppdrar åt talmannen att översända parlamentets ståndpunkt till rådet, kommissionen och de nationella parlamenten.</w:t>
      </w:r>
    </w:p>
    <w:p w:rsidR="003D1F39" w:rsidRPr="003D1F39" w:rsidRDefault="003D1F39" w:rsidP="003D1F39">
      <w:pPr>
        <w:pStyle w:val="Typedudocument"/>
        <w:spacing w:before="0" w:after="240"/>
        <w:jc w:val="left"/>
      </w:pPr>
      <w:bookmarkStart w:id="8" w:name="TextBodyEnd"/>
      <w:bookmarkEnd w:id="8"/>
      <w:r w:rsidRPr="003D1F39">
        <w:lastRenderedPageBreak/>
        <w:t>P9_TC1-COD(20</w:t>
      </w:r>
      <w:r>
        <w:t>23</w:t>
      </w:r>
      <w:r w:rsidRPr="003D1F39">
        <w:t>)</w:t>
      </w:r>
      <w:r>
        <w:t>0266</w:t>
      </w:r>
    </w:p>
    <w:p w:rsidR="003D1F39" w:rsidRPr="003D1F39" w:rsidRDefault="003D1F39" w:rsidP="00DA5633">
      <w:pPr>
        <w:pStyle w:val="Typedudocument"/>
        <w:spacing w:before="0" w:after="240"/>
        <w:jc w:val="left"/>
        <w:rPr>
          <w:szCs w:val="24"/>
          <w:lang w:eastAsia="en-US"/>
        </w:rPr>
      </w:pPr>
      <w:r w:rsidRPr="003D1F39">
        <w:t xml:space="preserve">Europaparlamentets ståndpunkt fastställd vid första behandlingen den </w:t>
      </w:r>
      <w:r w:rsidR="00CE1749">
        <w:t>10</w:t>
      </w:r>
      <w:r w:rsidRPr="003D1F39">
        <w:t xml:space="preserve"> </w:t>
      </w:r>
      <w:r w:rsidR="00CE1749">
        <w:t>april</w:t>
      </w:r>
      <w:r w:rsidRPr="003D1F39">
        <w:t xml:space="preserve"> 2024 inför antagandet av Europaparlamentets och rådets </w:t>
      </w:r>
      <w:r w:rsidRPr="00DA5633">
        <w:t xml:space="preserve">förordning </w:t>
      </w:r>
      <w:r w:rsidRPr="003D1F39">
        <w:t xml:space="preserve">(EU) 2024/… </w:t>
      </w:r>
      <w:r w:rsidRPr="003D1F39">
        <w:rPr>
          <w:szCs w:val="24"/>
          <w:lang w:eastAsia="en-US"/>
        </w:rPr>
        <w:t>om redovisning av växthusgasutsläpp från transporttjänster</w:t>
      </w:r>
    </w:p>
    <w:p w:rsidR="003D1F39" w:rsidRPr="003D1F39" w:rsidRDefault="003D1F39" w:rsidP="003D1F39">
      <w:pPr>
        <w:widowControl/>
        <w:spacing w:before="360" w:after="240" w:line="360" w:lineRule="auto"/>
        <w:jc w:val="center"/>
        <w:rPr>
          <w:szCs w:val="24"/>
          <w:lang w:eastAsia="en-US"/>
        </w:rPr>
      </w:pPr>
      <w:r w:rsidRPr="003D1F39">
        <w:rPr>
          <w:szCs w:val="24"/>
          <w:lang w:eastAsia="en-US"/>
        </w:rPr>
        <w:t>(Text av betydelse för EES)</w:t>
      </w:r>
    </w:p>
    <w:p w:rsidR="003D1F39" w:rsidRPr="003D1F39" w:rsidRDefault="003D1F39" w:rsidP="003D1F39">
      <w:pPr>
        <w:keepNext/>
        <w:spacing w:before="600" w:after="120" w:line="360" w:lineRule="auto"/>
        <w:rPr>
          <w:szCs w:val="24"/>
          <w:lang w:eastAsia="en-US"/>
        </w:rPr>
      </w:pPr>
      <w:r w:rsidRPr="003D1F39">
        <w:rPr>
          <w:szCs w:val="24"/>
          <w:lang w:eastAsia="en-US"/>
        </w:rPr>
        <w:t>EUROPAPARLAMENTET OCH EUROPEISKA UNIONENS RÅD HAR ANTAGIT DENNA FÖRORDNING</w:t>
      </w:r>
    </w:p>
    <w:p w:rsidR="003D1F39" w:rsidRPr="003D1F39" w:rsidRDefault="003D1F39" w:rsidP="003D1F39">
      <w:pPr>
        <w:spacing w:before="120" w:after="120" w:line="360" w:lineRule="auto"/>
        <w:rPr>
          <w:lang w:eastAsia="en-US"/>
        </w:rPr>
      </w:pPr>
      <w:r w:rsidRPr="003D1F39">
        <w:rPr>
          <w:lang w:eastAsia="en-US"/>
        </w:rPr>
        <w:t>med beaktande av fördraget om Europeiska unionens funktionssätt, särskilt artiklarna 91.1 och 100.2,</w:t>
      </w:r>
    </w:p>
    <w:p w:rsidR="003D1F39" w:rsidRPr="003D1F39" w:rsidRDefault="003D1F39" w:rsidP="003D1F39">
      <w:pPr>
        <w:spacing w:before="120" w:after="120" w:line="360" w:lineRule="auto"/>
        <w:rPr>
          <w:lang w:eastAsia="en-US"/>
        </w:rPr>
      </w:pPr>
      <w:r w:rsidRPr="003D1F39">
        <w:rPr>
          <w:lang w:eastAsia="en-US"/>
        </w:rPr>
        <w:t>med beaktande av Europeiska kommissionens förslag,</w:t>
      </w:r>
    </w:p>
    <w:p w:rsidR="003D1F39" w:rsidRPr="003D1F39" w:rsidRDefault="003D1F39" w:rsidP="003D1F39">
      <w:pPr>
        <w:spacing w:before="120" w:after="120" w:line="360" w:lineRule="auto"/>
        <w:rPr>
          <w:lang w:eastAsia="en-US"/>
        </w:rPr>
      </w:pPr>
      <w:r w:rsidRPr="003D1F39">
        <w:rPr>
          <w:lang w:eastAsia="en-US"/>
        </w:rPr>
        <w:t>efter översändande av utkastet till lagstiftningsakt till de nationella parlamenten,</w:t>
      </w:r>
    </w:p>
    <w:p w:rsidR="003D1F39" w:rsidRPr="003D1F39" w:rsidRDefault="003D1F39" w:rsidP="003D1F39">
      <w:pPr>
        <w:spacing w:before="120" w:after="120" w:line="360" w:lineRule="auto"/>
        <w:rPr>
          <w:lang w:eastAsia="en-US"/>
        </w:rPr>
      </w:pPr>
      <w:r w:rsidRPr="003D1F39">
        <w:rPr>
          <w:lang w:eastAsia="en-US"/>
        </w:rPr>
        <w:t>med beaktande av Europeiska ekonomiska och sociala kommitténs yttrande</w:t>
      </w:r>
      <w:r w:rsidRPr="003D1F39">
        <w:rPr>
          <w:vertAlign w:val="superscript"/>
          <w:lang w:val="en-GB" w:eastAsia="en-US"/>
        </w:rPr>
        <w:footnoteReference w:id="3"/>
      </w:r>
      <w:r w:rsidRPr="003D1F39">
        <w:rPr>
          <w:lang w:eastAsia="en-US"/>
        </w:rPr>
        <w:t>,</w:t>
      </w:r>
    </w:p>
    <w:p w:rsidR="003D1F39" w:rsidRPr="003D1F39" w:rsidRDefault="003D1F39" w:rsidP="003D1F39">
      <w:pPr>
        <w:spacing w:before="120" w:after="120" w:line="360" w:lineRule="auto"/>
        <w:rPr>
          <w:lang w:eastAsia="en-US"/>
        </w:rPr>
      </w:pPr>
      <w:r w:rsidRPr="003D1F39">
        <w:rPr>
          <w:lang w:eastAsia="en-US"/>
        </w:rPr>
        <w:t>med beaktande av Regionkommitténs yttrande</w:t>
      </w:r>
      <w:r w:rsidRPr="003D1F39">
        <w:rPr>
          <w:vertAlign w:val="superscript"/>
          <w:lang w:val="en-GB" w:eastAsia="en-US"/>
        </w:rPr>
        <w:footnoteReference w:id="4"/>
      </w:r>
      <w:r w:rsidRPr="003D1F39">
        <w:rPr>
          <w:lang w:eastAsia="en-US"/>
        </w:rPr>
        <w:t>,</w:t>
      </w:r>
    </w:p>
    <w:p w:rsidR="003D1F39" w:rsidRPr="003D1F39" w:rsidRDefault="003D1F39" w:rsidP="003D1F39">
      <w:pPr>
        <w:spacing w:before="120" w:after="120" w:line="360" w:lineRule="auto"/>
        <w:rPr>
          <w:lang w:eastAsia="en-US"/>
        </w:rPr>
      </w:pPr>
      <w:r w:rsidRPr="003D1F39">
        <w:rPr>
          <w:lang w:eastAsia="en-US"/>
        </w:rPr>
        <w:t>i enlighet med det ordinarie lagstiftningsförfarandet, och</w:t>
      </w:r>
    </w:p>
    <w:p w:rsidR="00432005" w:rsidRDefault="00432005" w:rsidP="00432005">
      <w:pPr>
        <w:widowControl/>
        <w:rPr>
          <w:lang w:eastAsia="en-US"/>
        </w:rPr>
      </w:pPr>
      <w:r>
        <w:rPr>
          <w:lang w:eastAsia="en-US"/>
        </w:rPr>
        <w:br w:type="page"/>
      </w:r>
    </w:p>
    <w:p w:rsidR="003D1F39" w:rsidRDefault="003D1F39" w:rsidP="003D1F39">
      <w:pPr>
        <w:spacing w:before="120" w:after="120" w:line="360" w:lineRule="auto"/>
        <w:rPr>
          <w:lang w:eastAsia="en-US"/>
        </w:rPr>
      </w:pPr>
      <w:r w:rsidRPr="003D1F39">
        <w:rPr>
          <w:lang w:eastAsia="en-US"/>
        </w:rPr>
        <w:lastRenderedPageBreak/>
        <w:t>av följande skäl:</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 xml:space="preserve">Stöd till insatser för bättre hållbarhet och effektivitet i unionens transportsystem är en förutsättning för att upprätthålla en stabil kurs mot klimatneutralitet </w:t>
      </w:r>
      <w:r w:rsidRPr="00DA5633">
        <w:rPr>
          <w:b/>
          <w:i/>
          <w:szCs w:val="24"/>
          <w:lang w:eastAsia="en-US"/>
        </w:rPr>
        <w:t>senast</w:t>
      </w:r>
      <w:r w:rsidRPr="003D1F39">
        <w:rPr>
          <w:szCs w:val="24"/>
          <w:lang w:eastAsia="en-US"/>
        </w:rPr>
        <w:t xml:space="preserve"> 2050, samtidigt som vederbörlig hänsyn tas till behovet av att </w:t>
      </w:r>
      <w:r w:rsidRPr="003D1F39">
        <w:rPr>
          <w:b/>
          <w:i/>
          <w:szCs w:val="24"/>
          <w:lang w:eastAsia="en-US"/>
        </w:rPr>
        <w:t xml:space="preserve">säkerställa en rättvis och inkluderande omställning, </w:t>
      </w:r>
      <w:r w:rsidRPr="004465A9">
        <w:rPr>
          <w:szCs w:val="24"/>
          <w:lang w:eastAsia="en-US"/>
        </w:rPr>
        <w:t>säkra</w:t>
      </w:r>
      <w:r w:rsidRPr="00DA5633">
        <w:rPr>
          <w:szCs w:val="24"/>
          <w:lang w:eastAsia="en-US"/>
        </w:rPr>
        <w:t xml:space="preserve"> en fortsatt tillväxt</w:t>
      </w:r>
      <w:r w:rsidRPr="003D1F39">
        <w:rPr>
          <w:b/>
          <w:i/>
          <w:szCs w:val="24"/>
          <w:lang w:eastAsia="en-US"/>
        </w:rPr>
        <w:t xml:space="preserve"> och stärka</w:t>
      </w:r>
      <w:r w:rsidRPr="003D1F39">
        <w:rPr>
          <w:szCs w:val="24"/>
          <w:lang w:eastAsia="en-US"/>
        </w:rPr>
        <w:t xml:space="preserve"> den europeiska industrins </w:t>
      </w:r>
      <w:r w:rsidRPr="003D1F39">
        <w:rPr>
          <w:strike/>
          <w:szCs w:val="24"/>
          <w:lang w:eastAsia="en-US"/>
        </w:rPr>
        <w:t xml:space="preserve">fortsatta tillväxt och </w:t>
      </w:r>
      <w:r w:rsidRPr="003D1F39">
        <w:rPr>
          <w:szCs w:val="24"/>
          <w:lang w:eastAsia="en-US"/>
        </w:rPr>
        <w:t>konkurrenskraft.</w:t>
      </w:r>
      <w:r>
        <w:rPr>
          <w:b/>
          <w:szCs w:val="24"/>
          <w:lang w:eastAsia="en-US"/>
        </w:rPr>
        <w:t xml:space="preserve"> [Ändr. 1]</w:t>
      </w:r>
    </w:p>
    <w:p w:rsidR="003D1F39"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Redovisning av växthusgasutsläpp används inom olika ekonomiska sektorer – bland annat transportsektorn – för att kvantifiera data om växthusgasutsläpp från specifika verksamheter hos företag och enskilda. Bättre information om transporttjänsternas prestanda är ett kraftfullt verktyg för att</w:t>
      </w:r>
      <w:r w:rsidRPr="003D1F39">
        <w:rPr>
          <w:b/>
          <w:i/>
          <w:szCs w:val="24"/>
          <w:lang w:eastAsia="en-US"/>
        </w:rPr>
        <w:t xml:space="preserve"> minska koldioxidavtrycket från offentliga upphandlingar,</w:t>
      </w:r>
      <w:r w:rsidRPr="003D1F39">
        <w:rPr>
          <w:szCs w:val="24"/>
          <w:lang w:eastAsia="en-US"/>
        </w:rPr>
        <w:t xml:space="preserve"> skapa rätt incitament för transportanvändarna att göra mer hållbara val och för att påverka transportorganisatörernas och transportoperatörernas affärsbeslut. Tillförlitliga och jämförbara data om växthusgasutsläpp är en förutsättning för att skapa dessa incitament och därmed främja beteendeförändringar hos både konsumenter och företag, i syfte att bidra till målen i den europeiska gröna given</w:t>
      </w:r>
      <w:r w:rsidRPr="003D1F39">
        <w:rPr>
          <w:szCs w:val="24"/>
          <w:vertAlign w:val="superscript"/>
          <w:lang w:val="en-GB" w:eastAsia="en-US"/>
        </w:rPr>
        <w:footnoteReference w:id="5"/>
      </w:r>
      <w:r w:rsidRPr="003D1F39">
        <w:rPr>
          <w:szCs w:val="24"/>
          <w:lang w:eastAsia="en-US"/>
        </w:rPr>
        <w:t xml:space="preserve"> för transporter och den europeiska klimatlagen.</w:t>
      </w:r>
      <w:r>
        <w:rPr>
          <w:b/>
          <w:szCs w:val="24"/>
          <w:lang w:eastAsia="en-US"/>
        </w:rPr>
        <w:t xml:space="preserve"> [Ändr. 2]</w:t>
      </w:r>
    </w:p>
    <w:p w:rsidR="003D1F39" w:rsidRDefault="003D1F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(3)</w:t>
      </w:r>
      <w:r w:rsidRPr="003D1F39">
        <w:rPr>
          <w:szCs w:val="24"/>
          <w:lang w:eastAsia="en-US"/>
        </w:rPr>
        <w:tab/>
        <w:t xml:space="preserve">Trots ett växande intresse bland berörda parter inom transportsektorn används redovisning av växthusgasutsläpp för transporttjänster fortfarande bara i begränsad omfattning. I de flesta fall får användarna inte korrekt information om transporttjänsternas prestanda, och </w:t>
      </w:r>
      <w:r w:rsidRPr="003D1F39">
        <w:rPr>
          <w:strike/>
          <w:szCs w:val="24"/>
          <w:lang w:eastAsia="en-US"/>
        </w:rPr>
        <w:t>organisatörer</w:t>
      </w:r>
      <w:r w:rsidRPr="003D1F39">
        <w:rPr>
          <w:b/>
          <w:i/>
          <w:szCs w:val="24"/>
          <w:lang w:eastAsia="en-US"/>
        </w:rPr>
        <w:t>anordnare</w:t>
      </w:r>
      <w:r w:rsidRPr="003D1F39">
        <w:rPr>
          <w:szCs w:val="24"/>
          <w:lang w:eastAsia="en-US"/>
        </w:rPr>
        <w:t xml:space="preserve"> och operatörer av transporttjänster beräknar inte och redovisar inte sina utsläpp. Oproportionerligt liten användning av redovisning av växthusgasutsläpp kan observeras särskilt bland små och medelstora företag, det vill säga den stora majoriteten av de företag som erbjuder transporttjänster på EU-marknaden.</w:t>
      </w:r>
      <w:r w:rsidRPr="003D1F39">
        <w:rPr>
          <w:b/>
          <w:i/>
          <w:szCs w:val="24"/>
          <w:lang w:eastAsia="en-US"/>
        </w:rPr>
        <w:t xml:space="preserve"> Faktum är att små och medelstora företag ställs inför oproportionerligt större ekonomiska och byråkratiska bördor när de beslutar att redovisa sina växthusgasutsläpp.</w:t>
      </w:r>
      <w:r w:rsidR="008C4239">
        <w:rPr>
          <w:b/>
          <w:szCs w:val="24"/>
          <w:lang w:eastAsia="en-US"/>
        </w:rPr>
        <w:t xml:space="preserve"> [Ändr. 3]</w:t>
      </w:r>
    </w:p>
    <w:p w:rsidR="008C4239" w:rsidRDefault="003D1F39" w:rsidP="003D1F39">
      <w:pPr>
        <w:spacing w:before="120" w:after="120" w:line="360" w:lineRule="auto"/>
        <w:ind w:left="850" w:hanging="850"/>
        <w:rPr>
          <w:szCs w:val="24"/>
          <w:lang w:eastAsia="en-US"/>
        </w:rPr>
      </w:pPr>
      <w:r w:rsidRPr="003D1F39">
        <w:rPr>
          <w:szCs w:val="24"/>
          <w:lang w:eastAsia="en-US"/>
        </w:rPr>
        <w:t>(4)</w:t>
      </w:r>
      <w:r w:rsidRPr="003D1F39">
        <w:rPr>
          <w:szCs w:val="24"/>
          <w:lang w:eastAsia="en-US"/>
        </w:rPr>
        <w:tab/>
        <w:t>År 2011 antog Europeiska kommissionen vitboken om transporter</w:t>
      </w:r>
      <w:r w:rsidRPr="003D1F39">
        <w:rPr>
          <w:szCs w:val="24"/>
          <w:vertAlign w:val="superscript"/>
          <w:lang w:val="en-GB" w:eastAsia="en-US"/>
        </w:rPr>
        <w:footnoteReference w:id="6"/>
      </w:r>
      <w:r w:rsidRPr="003D1F39">
        <w:rPr>
          <w:szCs w:val="24"/>
          <w:lang w:eastAsia="en-US"/>
        </w:rPr>
        <w:t>, där man presenterade en vision om framtiden för EU:s transportsystem och fastställde en politisk agenda för att ta itu med transportsektorns framtida utmaningar, särskilt behovet av att upprätthålla och utveckla mobiliteten och avsevärt minska koldioxidavtrycket från transporter och logistisk verksamhet.</w:t>
      </w:r>
    </w:p>
    <w:p w:rsidR="008C4239" w:rsidRDefault="008C4239">
      <w:pPr>
        <w:widowControl/>
        <w:rPr>
          <w:szCs w:val="24"/>
          <w:lang w:eastAsia="en-US"/>
        </w:rPr>
      </w:pPr>
      <w:r>
        <w:rPr>
          <w:szCs w:val="24"/>
          <w:lang w:eastAsia="en-US"/>
        </w:rPr>
        <w:br w:type="page"/>
      </w:r>
    </w:p>
    <w:p w:rsidR="008C4239" w:rsidRDefault="003D1F39" w:rsidP="003D1F39">
      <w:pPr>
        <w:spacing w:before="120" w:after="120" w:line="360" w:lineRule="auto"/>
        <w:ind w:left="850" w:hanging="850"/>
        <w:rPr>
          <w:b/>
          <w:szCs w:val="24"/>
          <w:lang w:eastAsia="en-US"/>
        </w:rPr>
      </w:pPr>
      <w:r w:rsidRPr="003D1F39">
        <w:rPr>
          <w:szCs w:val="24"/>
          <w:lang w:eastAsia="en-US"/>
        </w:rPr>
        <w:lastRenderedPageBreak/>
        <w:t>(5)</w:t>
      </w:r>
      <w:r w:rsidRPr="003D1F39">
        <w:rPr>
          <w:szCs w:val="24"/>
          <w:lang w:eastAsia="en-US"/>
        </w:rPr>
        <w:tab/>
        <w:t xml:space="preserve">I </w:t>
      </w:r>
      <w:r w:rsidRPr="003D1F39">
        <w:rPr>
          <w:strike/>
          <w:szCs w:val="24"/>
          <w:lang w:eastAsia="en-US"/>
        </w:rPr>
        <w:t>strategin</w:t>
      </w:r>
      <w:r w:rsidRPr="003D1F39">
        <w:rPr>
          <w:b/>
          <w:i/>
          <w:szCs w:val="24"/>
          <w:lang w:eastAsia="en-US"/>
        </w:rPr>
        <w:t xml:space="preserve">kommissionens meddelande </w:t>
      </w:r>
      <w:r w:rsidRPr="00DA5633">
        <w:rPr>
          <w:szCs w:val="24"/>
          <w:lang w:eastAsia="en-US"/>
        </w:rPr>
        <w:t>om en strategi</w:t>
      </w:r>
      <w:r w:rsidRPr="003D1F39">
        <w:rPr>
          <w:szCs w:val="24"/>
          <w:lang w:eastAsia="en-US"/>
        </w:rPr>
        <w:t xml:space="preserve"> för hållbar och smart mobilitet från december 2020</w:t>
      </w:r>
      <w:r w:rsidRPr="003D1F39">
        <w:rPr>
          <w:szCs w:val="24"/>
          <w:vertAlign w:val="superscript"/>
          <w:lang w:val="en-GB" w:eastAsia="en-US"/>
        </w:rPr>
        <w:footnoteReference w:id="7"/>
      </w:r>
      <w:r w:rsidRPr="003D1F39">
        <w:rPr>
          <w:szCs w:val="24"/>
          <w:lang w:eastAsia="en-US"/>
        </w:rPr>
        <w:t xml:space="preserve"> hänvisas till incitament för att välja de mest hållbara transportalternativen, både inom och mellan transportsätt</w:t>
      </w:r>
      <w:r w:rsidRPr="003D1F39">
        <w:rPr>
          <w:b/>
          <w:i/>
          <w:szCs w:val="24"/>
          <w:lang w:eastAsia="en-US"/>
        </w:rPr>
        <w:t xml:space="preserve">, och stark tonvikt läggs på att en övergång till järnväg för både passagerare och gods, inklusive konkreta mål för båda, kan bidra konkret till transportsektorns roll för att uppnå det bindande </w:t>
      </w:r>
      <w:r w:rsidR="004465A9">
        <w:rPr>
          <w:b/>
          <w:i/>
          <w:szCs w:val="24"/>
          <w:lang w:eastAsia="en-US"/>
        </w:rPr>
        <w:t xml:space="preserve">unionsrättsliga </w:t>
      </w:r>
      <w:r w:rsidRPr="003D1F39">
        <w:rPr>
          <w:b/>
          <w:i/>
          <w:szCs w:val="24"/>
          <w:lang w:eastAsia="en-US"/>
        </w:rPr>
        <w:t>mål som fastställs i Europaparlamentets och rådets förordning (EU) 2021/1119</w:t>
      </w:r>
      <w:r w:rsidRPr="003D1F39">
        <w:rPr>
          <w:szCs w:val="24"/>
          <w:vertAlign w:val="superscript"/>
          <w:lang w:val="en-GB" w:eastAsia="en-US"/>
        </w:rPr>
        <w:footnoteReference w:id="8"/>
      </w:r>
      <w:r w:rsidRPr="003D1F39">
        <w:rPr>
          <w:b/>
          <w:i/>
          <w:szCs w:val="24"/>
          <w:lang w:eastAsia="en-US"/>
        </w:rPr>
        <w:t xml:space="preserve"> om att minska unionens nettoutsläpp av växthusgaser med minst 55 % jämfört med 1990 års nivåer senast 2030, och målet att uppnå klimatneutralitet i hela ekonomin senast 2050</w:t>
      </w:r>
      <w:r w:rsidRPr="003D1F39">
        <w:rPr>
          <w:szCs w:val="24"/>
          <w:lang w:eastAsia="en-US"/>
        </w:rPr>
        <w:t xml:space="preserve">. Dessa incitament omfattar bland annat inrättandet av en europeisk ram för harmoniserad mätning av växthusgasutsläpp från transporter och logistik, baserat på globalt erkända standarder, vilket sedan skulle kunna användas för att ge företag och slutanvändare en uppskattning av koldioxidavtrycket från deras val och öka efterfrågan från slutanvändare och konsumenter på mer hållbara transport- och mobilitetslösningar, </w:t>
      </w:r>
      <w:r w:rsidRPr="003D1F39">
        <w:rPr>
          <w:b/>
          <w:i/>
          <w:szCs w:val="24"/>
          <w:lang w:eastAsia="en-US"/>
        </w:rPr>
        <w:t xml:space="preserve">inklusive paketleveranser, </w:t>
      </w:r>
      <w:r w:rsidRPr="003D1F39">
        <w:rPr>
          <w:szCs w:val="24"/>
          <w:lang w:eastAsia="en-US"/>
        </w:rPr>
        <w:t>samtidigt som ”grönmålning” undviks.</w:t>
      </w:r>
      <w:r w:rsidR="008C4239">
        <w:rPr>
          <w:b/>
          <w:szCs w:val="24"/>
          <w:lang w:eastAsia="en-US"/>
        </w:rPr>
        <w:t xml:space="preserve"> [Ändr. 4]</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(5a)</w:t>
      </w:r>
      <w:r w:rsidRPr="003D1F39">
        <w:rPr>
          <w:szCs w:val="24"/>
          <w:lang w:eastAsia="en-US"/>
        </w:rPr>
        <w:tab/>
      </w:r>
      <w:r w:rsidRPr="003D1F39">
        <w:rPr>
          <w:b/>
          <w:i/>
          <w:szCs w:val="24"/>
          <w:lang w:eastAsia="en-US"/>
        </w:rPr>
        <w:t>De största växthusgasutsläppen från transport och logistik uppstår vid användning av ett fordon, produktion av en energibärare och tillverkning av ett fordon.</w:t>
      </w:r>
      <w:r w:rsidR="008C4239">
        <w:rPr>
          <w:b/>
          <w:szCs w:val="24"/>
          <w:lang w:eastAsia="en-US"/>
        </w:rPr>
        <w:t xml:space="preserve"> [Ändr. 5]</w:t>
      </w:r>
    </w:p>
    <w:p w:rsidR="008C4239" w:rsidRDefault="003D1F39" w:rsidP="003D1F39">
      <w:pPr>
        <w:spacing w:before="120" w:after="120" w:line="360" w:lineRule="auto"/>
        <w:ind w:left="850" w:hanging="850"/>
        <w:rPr>
          <w:b/>
          <w:szCs w:val="24"/>
          <w:lang w:eastAsia="en-US"/>
        </w:rPr>
      </w:pPr>
      <w:r w:rsidRPr="003D1F39">
        <w:rPr>
          <w:szCs w:val="24"/>
          <w:lang w:eastAsia="en-US"/>
        </w:rPr>
        <w:t>(6)</w:t>
      </w:r>
      <w:r w:rsidRPr="003D1F39">
        <w:rPr>
          <w:szCs w:val="24"/>
          <w:lang w:eastAsia="en-US"/>
        </w:rPr>
        <w:tab/>
        <w:t xml:space="preserve">Det är därför lämpligt att fastställa harmoniserade regler för redovisning av växthusgasutsläpp från gods- och persontransporttjänster för att få fram jämförbara siffror för växthusgasutsläpp från transporttjänster och för att undvika vilseledande information om deras prestanda till följd av möjligheten att välja mellan olika indata och metoder för beräkning av utsläpp. Sådana regler bör säkerställa lika villkor mellan </w:t>
      </w:r>
      <w:r w:rsidRPr="003D1F39">
        <w:rPr>
          <w:b/>
          <w:i/>
          <w:szCs w:val="24"/>
          <w:lang w:eastAsia="en-US"/>
        </w:rPr>
        <w:t xml:space="preserve">EU:s transportenheter och transportenheter från tredjeländer samt mellan </w:t>
      </w:r>
      <w:r w:rsidRPr="003D1F39">
        <w:rPr>
          <w:szCs w:val="24"/>
          <w:lang w:eastAsia="en-US"/>
        </w:rPr>
        <w:t>transportsätt</w:t>
      </w:r>
      <w:r w:rsidRPr="003D1F39">
        <w:rPr>
          <w:strike/>
          <w:szCs w:val="24"/>
          <w:lang w:eastAsia="en-US"/>
        </w:rPr>
        <w:t xml:space="preserve"> och</w:t>
      </w:r>
      <w:r w:rsidRPr="003D1F39">
        <w:rPr>
          <w:b/>
          <w:i/>
          <w:szCs w:val="24"/>
          <w:lang w:eastAsia="en-US"/>
        </w:rPr>
        <w:t>,</w:t>
      </w:r>
      <w:r w:rsidRPr="003D1F39">
        <w:rPr>
          <w:szCs w:val="24"/>
          <w:lang w:eastAsia="en-US"/>
        </w:rPr>
        <w:t xml:space="preserve"> segment </w:t>
      </w:r>
      <w:proofErr w:type="spellStart"/>
      <w:r w:rsidRPr="003D1F39">
        <w:rPr>
          <w:strike/>
          <w:szCs w:val="24"/>
          <w:lang w:eastAsia="en-US"/>
        </w:rPr>
        <w:t>samt</w:t>
      </w:r>
      <w:r w:rsidRPr="003D1F39">
        <w:rPr>
          <w:b/>
          <w:i/>
          <w:szCs w:val="24"/>
          <w:lang w:eastAsia="en-US"/>
        </w:rPr>
        <w:t>och</w:t>
      </w:r>
      <w:proofErr w:type="spellEnd"/>
      <w:r w:rsidRPr="003D1F39">
        <w:rPr>
          <w:szCs w:val="24"/>
          <w:lang w:eastAsia="en-US"/>
        </w:rPr>
        <w:t xml:space="preserve"> de nationella näten i unionen. Detta bör också bidra till att skapa incitament för beteendeförändringar bland </w:t>
      </w:r>
      <w:r w:rsidRPr="003D1F39">
        <w:rPr>
          <w:b/>
          <w:i/>
          <w:szCs w:val="24"/>
          <w:lang w:eastAsia="en-US"/>
        </w:rPr>
        <w:t xml:space="preserve">offentliga organ, </w:t>
      </w:r>
      <w:r w:rsidRPr="003D1F39">
        <w:rPr>
          <w:szCs w:val="24"/>
          <w:lang w:eastAsia="en-US"/>
        </w:rPr>
        <w:t>företag och</w:t>
      </w:r>
      <w:r w:rsidRPr="003D1F39">
        <w:rPr>
          <w:b/>
          <w:i/>
          <w:szCs w:val="24"/>
          <w:lang w:eastAsia="en-US"/>
        </w:rPr>
        <w:t xml:space="preserve"> andra</w:t>
      </w:r>
      <w:r w:rsidRPr="003D1F39">
        <w:rPr>
          <w:szCs w:val="24"/>
          <w:lang w:eastAsia="en-US"/>
        </w:rPr>
        <w:t xml:space="preserve"> kunder för att minska växthusgasutsläppen från transporttjänster genom införande och användning av jämförbara och tillförlitliga data om växthusgasutsläpp.</w:t>
      </w:r>
      <w:r w:rsidR="008C4239">
        <w:rPr>
          <w:b/>
          <w:szCs w:val="24"/>
          <w:lang w:eastAsia="en-US"/>
        </w:rPr>
        <w:t xml:space="preserve"> [Ändr. 6]</w:t>
      </w:r>
    </w:p>
    <w:p w:rsidR="008C4239" w:rsidRDefault="008C4239">
      <w:pPr>
        <w:widowControl/>
        <w:rPr>
          <w:b/>
          <w:szCs w:val="24"/>
          <w:lang w:eastAsia="en-US"/>
        </w:rPr>
      </w:pPr>
      <w:r>
        <w:rPr>
          <w:b/>
          <w:szCs w:val="24"/>
          <w:lang w:eastAsia="en-US"/>
        </w:rPr>
        <w:br w:type="page"/>
      </w:r>
    </w:p>
    <w:p w:rsidR="008C4239" w:rsidRDefault="003D1F39" w:rsidP="003D1F39">
      <w:pPr>
        <w:spacing w:before="120" w:after="120" w:line="360" w:lineRule="auto"/>
        <w:ind w:left="850" w:hanging="850"/>
        <w:rPr>
          <w:b/>
          <w:szCs w:val="24"/>
          <w:lang w:eastAsia="en-US"/>
        </w:rPr>
      </w:pPr>
      <w:r w:rsidRPr="003D1F39">
        <w:rPr>
          <w:szCs w:val="24"/>
          <w:lang w:eastAsia="en-US"/>
        </w:rPr>
        <w:lastRenderedPageBreak/>
        <w:t>(7)</w:t>
      </w:r>
      <w:r w:rsidRPr="003D1F39">
        <w:rPr>
          <w:szCs w:val="24"/>
          <w:lang w:eastAsia="en-US"/>
        </w:rPr>
        <w:tab/>
        <w:t>Denna förordning</w:t>
      </w:r>
      <w:r w:rsidRPr="003D1F39">
        <w:rPr>
          <w:b/>
          <w:i/>
          <w:szCs w:val="24"/>
          <w:lang w:eastAsia="en-US"/>
        </w:rPr>
        <w:t xml:space="preserve"> bör tillhandahålla en referensram för utlämnande av information om växthusgasutsläpp på frivillig eller avtalsmässig grund eller på grund av skyldigheter enligt unionsrätten och nationell rätt. Den</w:t>
      </w:r>
      <w:r w:rsidRPr="003D1F39">
        <w:rPr>
          <w:szCs w:val="24"/>
          <w:lang w:eastAsia="en-US"/>
        </w:rPr>
        <w:t xml:space="preserve"> bör tillhandahålla en referensram för andra åtgärder för utsläppsminskning som kan vidtas av offentliga myndigheter och industrin, inbegripet vid fastställande av transparensklausuler för växthusgaser i transportavtal, tillhandahållande av information om växthusgasutsläpp från rese- eller leveransalternativ till passagerare eller kunder, eller fastställande av klimatrelaterade kriterier för miljöanpassad upphandling.</w:t>
      </w:r>
      <w:r w:rsidRPr="003D1F39">
        <w:rPr>
          <w:b/>
          <w:i/>
          <w:szCs w:val="24"/>
          <w:lang w:eastAsia="en-US"/>
        </w:rPr>
        <w:t xml:space="preserve"> När det gäller e-handel och paketleveranser skulle den göra det lättare att uppfylla kravet på att, tillsammans med den aktuella informationen om beräknat leveransdatum, ange priset för och utsläppen från de olika alternativen.</w:t>
      </w:r>
      <w:r w:rsidR="008C4239">
        <w:rPr>
          <w:b/>
          <w:szCs w:val="24"/>
          <w:lang w:eastAsia="en-US"/>
        </w:rPr>
        <w:t xml:space="preserve"> [Ändr. 7]</w:t>
      </w:r>
    </w:p>
    <w:p w:rsidR="008C4239" w:rsidRDefault="008C4239">
      <w:pPr>
        <w:widowControl/>
        <w:rPr>
          <w:b/>
          <w:szCs w:val="24"/>
          <w:lang w:eastAsia="en-US"/>
        </w:rPr>
      </w:pPr>
      <w:r>
        <w:rPr>
          <w:b/>
          <w:szCs w:val="24"/>
          <w:lang w:eastAsia="en-US"/>
        </w:rPr>
        <w:br w:type="page"/>
      </w:r>
    </w:p>
    <w:p w:rsidR="008C4239" w:rsidRDefault="003D1F39" w:rsidP="003D1F39">
      <w:pPr>
        <w:spacing w:before="120" w:after="120" w:line="360" w:lineRule="auto"/>
        <w:ind w:left="850" w:hanging="850"/>
        <w:rPr>
          <w:b/>
          <w:szCs w:val="24"/>
          <w:lang w:eastAsia="en-US"/>
        </w:rPr>
      </w:pPr>
      <w:r w:rsidRPr="003D1F39">
        <w:rPr>
          <w:szCs w:val="24"/>
          <w:lang w:eastAsia="en-US"/>
        </w:rPr>
        <w:lastRenderedPageBreak/>
        <w:t>(8)</w:t>
      </w:r>
      <w:r w:rsidRPr="003D1F39">
        <w:rPr>
          <w:szCs w:val="24"/>
          <w:lang w:eastAsia="en-US"/>
        </w:rPr>
        <w:tab/>
        <w:t>Trots fördelarna med den ökade insynen i transporttjänsters prestanda skulle en obligatorisk tillämpning av denna förordning för alla enheter som erbjuder transporttjänster på unionsmarknaden vara oproportionerlig och leda till orimliga kostnader och bördor. Därför bör denna förordning endast tillämpas på de enheter som själva beslutar, eller som är bundna av andra relevanta lagstiftnings- och icke-lagstiftningssystem, att beräkna och lämna ut information om växthusgasutsläpp från gods- eller persontransporttjänster som börjar eller slutar på unionens territorium. Detta omfattar följaktligen tjänster vars ursprungs- eller bestämmelseorter är belägna i ett tredjeland.</w:t>
      </w:r>
      <w:r w:rsidRPr="003D1F39">
        <w:rPr>
          <w:b/>
          <w:i/>
          <w:szCs w:val="24"/>
          <w:lang w:eastAsia="en-US"/>
        </w:rPr>
        <w:t xml:space="preserve"> För att säkerställa att alla relevanta transporttjänster redovisas och garantera lika villkor mellan EU:s transportenheter och transportenheter från tredjeländer bör denna förordning tillämpas på transporttjänster som börjar och slutar utanför unionens territorium men där stopp görs i unionen för att släppa på eller av passagerare eller för att lasta eller lossa gods.</w:t>
      </w:r>
      <w:r w:rsidR="008C4239">
        <w:rPr>
          <w:b/>
          <w:szCs w:val="24"/>
          <w:lang w:eastAsia="en-US"/>
        </w:rPr>
        <w:t xml:space="preserve"> [Ändr. 8]</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(9)</w:t>
      </w:r>
      <w:r w:rsidRPr="003D1F39">
        <w:rPr>
          <w:szCs w:val="24"/>
          <w:lang w:eastAsia="en-US"/>
        </w:rPr>
        <w:tab/>
        <w:t>Denna förordning bör</w:t>
      </w:r>
      <w:r w:rsidRPr="003D1F39">
        <w:rPr>
          <w:strike/>
          <w:szCs w:val="24"/>
          <w:lang w:eastAsia="en-US"/>
        </w:rPr>
        <w:t xml:space="preserve"> inte</w:t>
      </w:r>
      <w:r w:rsidRPr="003D1F39">
        <w:rPr>
          <w:szCs w:val="24"/>
          <w:lang w:eastAsia="en-US"/>
        </w:rPr>
        <w:t xml:space="preserve"> tillämpas på dataförmedlare, till exempel sådana som erbjuder multimodala digitala mobilitetstjänster</w:t>
      </w:r>
      <w:r w:rsidRPr="003D1F39">
        <w:rPr>
          <w:b/>
          <w:i/>
          <w:szCs w:val="24"/>
          <w:lang w:eastAsia="en-US"/>
        </w:rPr>
        <w:t xml:space="preserve"> samt digitala navigationstjänster och ruttplaneringstjänster, när de</w:t>
      </w:r>
      <w:r w:rsidRPr="003D1F39">
        <w:rPr>
          <w:strike/>
          <w:szCs w:val="24"/>
          <w:lang w:eastAsia="en-US"/>
        </w:rPr>
        <w:t xml:space="preserve">, om de inte </w:t>
      </w:r>
      <w:r w:rsidRPr="00DA5633">
        <w:rPr>
          <w:b/>
          <w:i/>
          <w:strike/>
          <w:szCs w:val="24"/>
          <w:lang w:eastAsia="en-US"/>
        </w:rPr>
        <w:t>direkt</w:t>
      </w:r>
      <w:r w:rsidRPr="00DA5633">
        <w:rPr>
          <w:b/>
          <w:i/>
          <w:szCs w:val="24"/>
          <w:lang w:eastAsia="en-US"/>
        </w:rPr>
        <w:t xml:space="preserve"> beräknar information om växthusgasutsläpp från transporttjänster</w:t>
      </w:r>
      <w:r w:rsidRPr="00DA5633">
        <w:rPr>
          <w:b/>
          <w:i/>
          <w:strike/>
          <w:szCs w:val="24"/>
          <w:lang w:eastAsia="en-US"/>
        </w:rPr>
        <w:t xml:space="preserve"> </w:t>
      </w:r>
      <w:r w:rsidRPr="003D1F39">
        <w:rPr>
          <w:strike/>
          <w:szCs w:val="24"/>
          <w:lang w:eastAsia="en-US"/>
        </w:rPr>
        <w:t>utan endast lämnar ut sådan</w:t>
      </w:r>
      <w:r w:rsidRPr="003D1F39">
        <w:rPr>
          <w:b/>
          <w:i/>
          <w:szCs w:val="24"/>
          <w:lang w:eastAsia="en-US"/>
        </w:rPr>
        <w:t xml:space="preserve">, inbegripet när de </w:t>
      </w:r>
      <w:r w:rsidRPr="004465A9">
        <w:rPr>
          <w:b/>
          <w:i/>
          <w:szCs w:val="24"/>
          <w:lang w:eastAsia="en-US"/>
        </w:rPr>
        <w:t>sammanställer</w:t>
      </w:r>
      <w:r w:rsidRPr="00DA5633">
        <w:rPr>
          <w:b/>
          <w:i/>
          <w:szCs w:val="24"/>
          <w:lang w:eastAsia="en-US"/>
        </w:rPr>
        <w:t xml:space="preserve"> information om</w:t>
      </w:r>
      <w:r w:rsidRPr="003D1F39">
        <w:rPr>
          <w:szCs w:val="24"/>
          <w:lang w:eastAsia="en-US"/>
        </w:rPr>
        <w:t xml:space="preserve"> </w:t>
      </w:r>
      <w:proofErr w:type="spellStart"/>
      <w:r w:rsidRPr="003D1F39">
        <w:rPr>
          <w:strike/>
          <w:szCs w:val="24"/>
          <w:lang w:eastAsia="en-US"/>
        </w:rPr>
        <w:t>utsläppen</w:t>
      </w:r>
      <w:r w:rsidRPr="003D1F39">
        <w:rPr>
          <w:b/>
          <w:i/>
          <w:szCs w:val="24"/>
          <w:lang w:eastAsia="en-US"/>
        </w:rPr>
        <w:t>växthusgasutsläpp</w:t>
      </w:r>
      <w:proofErr w:type="spellEnd"/>
      <w:r w:rsidRPr="003D1F39">
        <w:rPr>
          <w:szCs w:val="24"/>
          <w:lang w:eastAsia="en-US"/>
        </w:rPr>
        <w:t xml:space="preserve"> </w:t>
      </w:r>
      <w:r w:rsidRPr="00DA5633">
        <w:rPr>
          <w:b/>
          <w:i/>
          <w:szCs w:val="24"/>
          <w:lang w:eastAsia="en-US"/>
        </w:rPr>
        <w:t>som tillhandahållits av en berörd enhet eller annan relevant juridisk eller fysisk person</w:t>
      </w:r>
      <w:r w:rsidRPr="003D1F39">
        <w:rPr>
          <w:szCs w:val="24"/>
          <w:lang w:eastAsia="en-US"/>
        </w:rPr>
        <w:t xml:space="preserve">. </w:t>
      </w:r>
      <w:r w:rsidRPr="003D1F39">
        <w:rPr>
          <w:strike/>
          <w:szCs w:val="24"/>
          <w:lang w:eastAsia="en-US"/>
        </w:rPr>
        <w:t xml:space="preserve">Dataförmedlarna bör </w:t>
      </w:r>
      <w:proofErr w:type="spellStart"/>
      <w:r w:rsidRPr="003D1F39">
        <w:rPr>
          <w:strike/>
          <w:szCs w:val="24"/>
          <w:lang w:eastAsia="en-US"/>
        </w:rPr>
        <w:t>dock</w:t>
      </w:r>
      <w:r w:rsidRPr="003D1F39">
        <w:rPr>
          <w:b/>
          <w:i/>
          <w:szCs w:val="24"/>
          <w:lang w:eastAsia="en-US"/>
        </w:rPr>
        <w:t>Dataförmedlare</w:t>
      </w:r>
      <w:proofErr w:type="spellEnd"/>
      <w:r w:rsidRPr="003D1F39">
        <w:rPr>
          <w:b/>
          <w:i/>
          <w:szCs w:val="24"/>
          <w:lang w:eastAsia="en-US"/>
        </w:rPr>
        <w:t xml:space="preserve"> </w:t>
      </w:r>
      <w:proofErr w:type="gramStart"/>
      <w:r w:rsidRPr="00DA5633">
        <w:rPr>
          <w:szCs w:val="24"/>
          <w:lang w:eastAsia="en-US"/>
        </w:rPr>
        <w:t>bör</w:t>
      </w:r>
      <w:proofErr w:type="gramEnd"/>
      <w:r w:rsidRPr="00DA5633">
        <w:rPr>
          <w:szCs w:val="24"/>
          <w:lang w:eastAsia="en-US"/>
        </w:rPr>
        <w:t>, när de inte beräknar information om växthusgasutsläpp från transporttjänster utan endast lämnar ut information om dessa utsläpp,</w:t>
      </w:r>
      <w:r w:rsidRPr="003D1F39">
        <w:rPr>
          <w:szCs w:val="24"/>
          <w:lang w:eastAsia="en-US"/>
        </w:rPr>
        <w:t xml:space="preserve"> vara bundna av relevanta regler om meddelande av och insyn i de data om växthusgasutsläpp som lämnas ut, för att säkerställa att dessa data är jämförbara på marknaden</w:t>
      </w:r>
      <w:r w:rsidRPr="003D1F39">
        <w:rPr>
          <w:b/>
          <w:i/>
          <w:szCs w:val="24"/>
          <w:lang w:eastAsia="en-US"/>
        </w:rPr>
        <w:t xml:space="preserve"> och mellan olika transportsätt</w:t>
      </w:r>
      <w:r w:rsidRPr="003D1F39">
        <w:rPr>
          <w:szCs w:val="24"/>
          <w:lang w:eastAsia="en-US"/>
        </w:rPr>
        <w:t>.</w:t>
      </w:r>
      <w:r w:rsidR="008C4239">
        <w:rPr>
          <w:b/>
          <w:szCs w:val="24"/>
          <w:lang w:eastAsia="en-US"/>
        </w:rPr>
        <w:t xml:space="preserve"> [Ändr. 9]</w:t>
      </w:r>
    </w:p>
    <w:p w:rsidR="008C4239" w:rsidRDefault="003D1F39" w:rsidP="003D1F39">
      <w:pPr>
        <w:spacing w:before="120" w:after="120" w:line="360" w:lineRule="auto"/>
        <w:ind w:left="850" w:hanging="850"/>
        <w:rPr>
          <w:b/>
          <w:szCs w:val="24"/>
          <w:lang w:eastAsia="en-US"/>
        </w:rPr>
      </w:pPr>
      <w:r w:rsidRPr="003D1F39">
        <w:rPr>
          <w:b/>
          <w:i/>
          <w:szCs w:val="24"/>
          <w:lang w:eastAsia="en-US"/>
        </w:rPr>
        <w:t>(9a)</w:t>
      </w:r>
      <w:r w:rsidRPr="003D1F39">
        <w:rPr>
          <w:szCs w:val="24"/>
          <w:lang w:eastAsia="en-US"/>
        </w:rPr>
        <w:tab/>
      </w:r>
      <w:r w:rsidRPr="003D1F39">
        <w:rPr>
          <w:b/>
          <w:i/>
          <w:szCs w:val="24"/>
          <w:lang w:eastAsia="en-US"/>
        </w:rPr>
        <w:t>Dataförmedlare som erbjuder multimodala digitala mobilitetstjänster ger konsumenterna flera valmöjligheter baserade på restid, tillhörande kostnader och transportsätt. Dessa dataförmedlare bör också kunna ge konsumenterna information om växthusgasutsläppen från en viss resa. Därför bör berörda enheter eller andra relevanta juridiska eller fysiska personer vara skyldiga att tillhandahålla denna information till dataförmedlare.</w:t>
      </w:r>
      <w:r w:rsidR="008C4239">
        <w:rPr>
          <w:b/>
          <w:szCs w:val="24"/>
          <w:lang w:eastAsia="en-US"/>
        </w:rPr>
        <w:t xml:space="preserve"> [Ändr. 10]</w:t>
      </w:r>
    </w:p>
    <w:p w:rsidR="008C4239" w:rsidRDefault="008C4239">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(10)</w:t>
      </w:r>
      <w:r w:rsidRPr="003D1F39">
        <w:rPr>
          <w:szCs w:val="24"/>
          <w:lang w:eastAsia="en-US"/>
        </w:rPr>
        <w:tab/>
        <w:t>Denna förordning bör inte tillämpas när beräkningen och utlämningen av växthusgasutsläpp görs i aggregerad form. Detta inbegriper situationer där obligatorisk utlämning av miljörelaterad information för hållbarhetsrapportering och upprättande av miljöräkenskaper för statistiska ändamål baseras på andra unionsregler, till exempel de som fastställs i direktivet om företagens hållbarhetsrapportering</w:t>
      </w:r>
      <w:r w:rsidRPr="003D1F39">
        <w:rPr>
          <w:szCs w:val="24"/>
          <w:vertAlign w:val="superscript"/>
          <w:lang w:val="en-GB" w:eastAsia="en-US"/>
        </w:rPr>
        <w:footnoteReference w:id="9"/>
      </w:r>
      <w:r w:rsidRPr="003D1F39">
        <w:rPr>
          <w:szCs w:val="24"/>
          <w:lang w:eastAsia="en-US"/>
        </w:rPr>
        <w:t xml:space="preserve"> och förordningen om europeiska miljöräkenskaper</w:t>
      </w:r>
      <w:r w:rsidRPr="003D1F39">
        <w:rPr>
          <w:szCs w:val="24"/>
          <w:vertAlign w:val="superscript"/>
          <w:lang w:val="en-GB" w:eastAsia="en-US"/>
        </w:rPr>
        <w:footnoteReference w:id="10"/>
      </w:r>
      <w:r w:rsidRPr="003D1F39">
        <w:rPr>
          <w:szCs w:val="24"/>
          <w:lang w:eastAsia="en-US"/>
        </w:rPr>
        <w:t>. Omvänt kan information som erhålls på grundval av denna förordning bidra till utarbetandet av de konsoliderade utsläppsrapporter som krävs enligt annan tillämplig unionslagstiftning, förutsatt att respektive metoder och insamlade data är tillräckligt kompatibla.</w:t>
      </w:r>
    </w:p>
    <w:p w:rsidR="008C4239" w:rsidRDefault="003D1F39" w:rsidP="003D1F39">
      <w:pPr>
        <w:spacing w:before="120" w:after="120" w:line="360" w:lineRule="auto"/>
        <w:ind w:left="850" w:hanging="850"/>
        <w:rPr>
          <w:b/>
          <w:szCs w:val="24"/>
          <w:lang w:eastAsia="en-US"/>
        </w:rPr>
      </w:pPr>
      <w:r w:rsidRPr="003D1F39">
        <w:rPr>
          <w:b/>
          <w:i/>
          <w:szCs w:val="24"/>
          <w:lang w:eastAsia="en-US"/>
        </w:rPr>
        <w:t>(10a)</w:t>
      </w:r>
      <w:r w:rsidRPr="003D1F39">
        <w:rPr>
          <w:szCs w:val="24"/>
          <w:lang w:eastAsia="en-US"/>
        </w:rPr>
        <w:tab/>
      </w:r>
      <w:r w:rsidRPr="003D1F39">
        <w:rPr>
          <w:b/>
          <w:i/>
          <w:szCs w:val="24"/>
          <w:lang w:eastAsia="en-US"/>
        </w:rPr>
        <w:t>Alla påståenden som görs på grundval av utdata som rapporteras i enlighet med denna förordning bör vara i full överensstämmelse med direktiv (EU) (…)/(…) om styrkande och framförande av uttryckliga miljöpåståenden (direktivet om miljöpåståenden) samt direktiv (…)/(…) om ändring av direktiven 2005/29/EG och 2011/83/EU vad gäller mer konsumentmakt i den gröna omställningen genom bättre skydd mot otillbörliga affärsmetoder och bättre information.</w:t>
      </w:r>
      <w:r w:rsidR="008C4239">
        <w:rPr>
          <w:b/>
          <w:szCs w:val="24"/>
          <w:lang w:eastAsia="en-US"/>
        </w:rPr>
        <w:t xml:space="preserve"> [Ändr. 11]</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(11)</w:t>
      </w:r>
      <w:r w:rsidRPr="003D1F39">
        <w:rPr>
          <w:szCs w:val="24"/>
          <w:lang w:eastAsia="en-US"/>
        </w:rPr>
        <w:tab/>
        <w:t xml:space="preserve">En lämplig metod för beräkning av växthusgasutsläpp från transporttjänster är en av de viktigaste aspekterna för den harmoniserade unionsram som fastställs i denna förordning. Metoden bör säkerställa att de utsläppsberäkningar som görs för en transportkedja ger upphov till jämförbara och korrekta data om växthusgasutsläpp genom att följa en enda uppsättning metodologiska steg. Den bör också på lämpligt sätt ta hänsyn till transportmarknadens behov så att man undviker onödig komplexitet samt alltför stora bördor och kostnader, </w:t>
      </w:r>
      <w:r w:rsidRPr="003D1F39">
        <w:rPr>
          <w:b/>
          <w:i/>
          <w:szCs w:val="24"/>
          <w:lang w:eastAsia="en-US"/>
        </w:rPr>
        <w:t xml:space="preserve">särskilt för små och medelstora företag, </w:t>
      </w:r>
      <w:r w:rsidRPr="003D1F39">
        <w:rPr>
          <w:szCs w:val="24"/>
          <w:lang w:eastAsia="en-US"/>
        </w:rPr>
        <w:t>och den bör kunna godtas av de berörda parterna.</w:t>
      </w:r>
      <w:r w:rsidR="008C4239">
        <w:rPr>
          <w:b/>
          <w:szCs w:val="24"/>
          <w:lang w:eastAsia="en-US"/>
        </w:rPr>
        <w:t xml:space="preserve"> [Ändr. 12]</w:t>
      </w:r>
    </w:p>
    <w:p w:rsidR="008C4239" w:rsidRDefault="003D1F39" w:rsidP="003D1F39">
      <w:pPr>
        <w:spacing w:before="120" w:after="120" w:line="360" w:lineRule="auto"/>
        <w:ind w:left="850" w:hanging="850"/>
        <w:rPr>
          <w:b/>
          <w:szCs w:val="24"/>
          <w:lang w:eastAsia="en-US"/>
        </w:rPr>
      </w:pPr>
      <w:r w:rsidRPr="003D1F39">
        <w:rPr>
          <w:szCs w:val="24"/>
          <w:lang w:eastAsia="en-US"/>
        </w:rPr>
        <w:t>(12)</w:t>
      </w:r>
      <w:r w:rsidRPr="003D1F39">
        <w:rPr>
          <w:szCs w:val="24"/>
          <w:lang w:eastAsia="en-US"/>
        </w:rPr>
        <w:tab/>
        <w:t>Standarden SS-EN ISO 14083:2023, som offentliggjordes av Europeiska standardiseringskommittén</w:t>
      </w:r>
      <w:r w:rsidRPr="003D1F39">
        <w:rPr>
          <w:szCs w:val="24"/>
          <w:vertAlign w:val="superscript"/>
          <w:lang w:val="en-GB" w:eastAsia="en-US"/>
        </w:rPr>
        <w:footnoteReference w:id="11"/>
      </w:r>
      <w:r w:rsidRPr="003D1F39">
        <w:rPr>
          <w:szCs w:val="24"/>
          <w:lang w:eastAsia="en-US"/>
        </w:rPr>
        <w:t xml:space="preserve"> i april 2023 och som införlivar ISO-standarden 14083:2023, </w:t>
      </w:r>
      <w:r w:rsidRPr="003D1F39">
        <w:rPr>
          <w:strike/>
          <w:szCs w:val="24"/>
          <w:lang w:eastAsia="en-US"/>
        </w:rPr>
        <w:t xml:space="preserve">har valts </w:t>
      </w:r>
      <w:proofErr w:type="spellStart"/>
      <w:r w:rsidRPr="003D1F39">
        <w:rPr>
          <w:strike/>
          <w:szCs w:val="24"/>
          <w:lang w:eastAsia="en-US"/>
        </w:rPr>
        <w:t>som</w:t>
      </w:r>
      <w:r w:rsidRPr="003D1F39">
        <w:rPr>
          <w:b/>
          <w:i/>
          <w:szCs w:val="24"/>
          <w:lang w:eastAsia="en-US"/>
        </w:rPr>
        <w:t>bör</w:t>
      </w:r>
      <w:proofErr w:type="spellEnd"/>
      <w:r w:rsidRPr="003D1F39">
        <w:rPr>
          <w:b/>
          <w:i/>
          <w:szCs w:val="24"/>
          <w:lang w:eastAsia="en-US"/>
        </w:rPr>
        <w:t xml:space="preserve"> vara</w:t>
      </w:r>
      <w:r w:rsidRPr="003D1F39">
        <w:rPr>
          <w:szCs w:val="24"/>
          <w:lang w:eastAsia="en-US"/>
        </w:rPr>
        <w:t xml:space="preserve"> </w:t>
      </w:r>
      <w:proofErr w:type="spellStart"/>
      <w:r w:rsidRPr="003D1F39">
        <w:rPr>
          <w:szCs w:val="24"/>
          <w:lang w:eastAsia="en-US"/>
        </w:rPr>
        <w:t>referensmetod</w:t>
      </w:r>
      <w:proofErr w:type="spellEnd"/>
      <w:r w:rsidRPr="003D1F39">
        <w:rPr>
          <w:szCs w:val="24"/>
          <w:lang w:eastAsia="en-US"/>
        </w:rPr>
        <w:t xml:space="preserve"> för </w:t>
      </w:r>
      <w:proofErr w:type="spellStart"/>
      <w:r w:rsidRPr="003D1F39">
        <w:rPr>
          <w:strike/>
          <w:szCs w:val="24"/>
          <w:lang w:eastAsia="en-US"/>
        </w:rPr>
        <w:t>beräkning</w:t>
      </w:r>
      <w:r w:rsidRPr="003D1F39">
        <w:rPr>
          <w:b/>
          <w:i/>
          <w:szCs w:val="24"/>
          <w:lang w:eastAsia="en-US"/>
        </w:rPr>
        <w:t>beräkningen</w:t>
      </w:r>
      <w:proofErr w:type="spellEnd"/>
      <w:r w:rsidRPr="003D1F39">
        <w:rPr>
          <w:szCs w:val="24"/>
          <w:lang w:eastAsia="en-US"/>
        </w:rPr>
        <w:t xml:space="preserve"> av växthusgasutsläpp</w:t>
      </w:r>
      <w:r w:rsidRPr="003D1F39">
        <w:rPr>
          <w:b/>
          <w:i/>
          <w:szCs w:val="24"/>
          <w:lang w:eastAsia="en-US"/>
        </w:rPr>
        <w:t xml:space="preserve"> från källa till hjul</w:t>
      </w:r>
      <w:r w:rsidRPr="003D1F39">
        <w:rPr>
          <w:szCs w:val="24"/>
          <w:lang w:eastAsia="en-US"/>
        </w:rPr>
        <w:t xml:space="preserve"> från transporttjänster enligt denna förordning. Analysen visade att ISO-standarden 14083:2023 var den mest relevanta och proportionella när det gäller att uppnå målen i denna förordning</w:t>
      </w:r>
      <w:r w:rsidRPr="003D1F39">
        <w:rPr>
          <w:b/>
          <w:i/>
          <w:szCs w:val="24"/>
          <w:lang w:eastAsia="en-US"/>
        </w:rPr>
        <w:t>, bland annat en snabb spridning på marknaden och möjlighet att jämföra data</w:t>
      </w:r>
      <w:r w:rsidRPr="003D1F39">
        <w:rPr>
          <w:szCs w:val="24"/>
          <w:lang w:eastAsia="en-US"/>
        </w:rPr>
        <w:t>. Kvantifieringen av utsläppen görs från källa till hjul, vilket inbegriper växthusgasutsläpp från energiförsörjning samt fordonsanvändning under transport och terminalverksamhet.</w:t>
      </w:r>
      <w:r w:rsidR="008C4239">
        <w:rPr>
          <w:b/>
          <w:szCs w:val="24"/>
          <w:lang w:eastAsia="en-US"/>
        </w:rPr>
        <w:t xml:space="preserve"> [Ändr. 13]</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(12a)</w:t>
      </w:r>
      <w:r w:rsidRPr="003D1F39">
        <w:rPr>
          <w:szCs w:val="24"/>
          <w:lang w:eastAsia="en-US"/>
        </w:rPr>
        <w:tab/>
      </w:r>
      <w:r w:rsidRPr="003D1F39">
        <w:rPr>
          <w:b/>
          <w:i/>
          <w:szCs w:val="24"/>
          <w:lang w:eastAsia="en-US"/>
        </w:rPr>
        <w:t xml:space="preserve">Standarden SS-EN ISO 14083:2023 har sina begränsningar; framför allt tar den inte hänsyn till växthusgasutsläpp under transporttjänsternas hela livscykel. Kommissionen bör därför bedöma möjligheten att utvidga tillämpningsområdet för </w:t>
      </w:r>
      <w:proofErr w:type="spellStart"/>
      <w:r w:rsidRPr="003D1F39">
        <w:rPr>
          <w:b/>
          <w:i/>
          <w:szCs w:val="24"/>
          <w:lang w:eastAsia="en-US"/>
        </w:rPr>
        <w:t>referensmetoden</w:t>
      </w:r>
      <w:proofErr w:type="spellEnd"/>
      <w:r w:rsidRPr="003D1F39">
        <w:rPr>
          <w:b/>
          <w:i/>
          <w:szCs w:val="24"/>
          <w:lang w:eastAsia="en-US"/>
        </w:rPr>
        <w:t xml:space="preserve"> för att beräkna växthusgasutsläpp från transporttjänster inom den närmaste framtiden så att det blir möjligt att beräkna och rapportera om växthusgasutsläpp under transporttjänsternas hela livscykel. Den framtida metoden bör ta hänsyn till användningen av utsläppsfria fordon och bestämmelserna i artikel 14.5 i direktiv 2003/87/EG. I detta syfte bör kommissionen överväga befintliga insatser såsom ISO 14067:2018 och produktkategorireglerna för transporttjänster som fastställts i det internationella systemet för miljövarudeklarationer.</w:t>
      </w:r>
      <w:r w:rsidR="008C4239">
        <w:rPr>
          <w:b/>
          <w:szCs w:val="24"/>
          <w:lang w:eastAsia="en-US"/>
        </w:rPr>
        <w:t xml:space="preserve"> [Ändr. 14]</w:t>
      </w:r>
    </w:p>
    <w:p w:rsidR="008C4239" w:rsidRDefault="003D1F39" w:rsidP="003D1F39">
      <w:pPr>
        <w:spacing w:before="120" w:after="120" w:line="360" w:lineRule="auto"/>
        <w:ind w:left="850" w:hanging="850"/>
        <w:rPr>
          <w:b/>
          <w:szCs w:val="24"/>
          <w:lang w:eastAsia="en-US"/>
        </w:rPr>
      </w:pPr>
      <w:r w:rsidRPr="003D1F39">
        <w:rPr>
          <w:b/>
          <w:i/>
          <w:szCs w:val="24"/>
          <w:lang w:eastAsia="en-US"/>
        </w:rPr>
        <w:t>(12b)</w:t>
      </w:r>
      <w:r w:rsidRPr="003D1F39">
        <w:rPr>
          <w:szCs w:val="24"/>
          <w:lang w:eastAsia="en-US"/>
        </w:rPr>
        <w:tab/>
      </w:r>
      <w:r w:rsidRPr="003D1F39">
        <w:rPr>
          <w:b/>
          <w:i/>
          <w:szCs w:val="24"/>
          <w:lang w:eastAsia="en-US"/>
        </w:rPr>
        <w:t>Kommissionen bör, i samarbete med Europeiska standardiseringskommittén och medlemsstaternas nationella standardiseringsorgan, säkerställa att mikroföretag samt små och medelstora företag (SMF) enligt definitionen i kommissionens rekommendation 2003/361/EG, inom transportsektorn har kostnadsfri tillgång till standarden ISO 14083:2023 eller till den motsvarande europeiska standarden CEN ISO 14083. Standarderna bör vara tillgängliga i sina autentiska versioner och på alla unionens officiella språk för att göra denna förordning fullt tillgänglig för alla som omfattas av den.</w:t>
      </w:r>
      <w:r w:rsidR="008C4239">
        <w:rPr>
          <w:b/>
          <w:szCs w:val="24"/>
          <w:lang w:eastAsia="en-US"/>
        </w:rPr>
        <w:t xml:space="preserve"> [Ändr. 111]</w:t>
      </w:r>
    </w:p>
    <w:p w:rsidR="008C4239" w:rsidRDefault="008C4239">
      <w:pPr>
        <w:widowControl/>
        <w:rPr>
          <w:b/>
          <w:szCs w:val="24"/>
          <w:lang w:eastAsia="en-US"/>
        </w:rPr>
      </w:pPr>
      <w:r>
        <w:rPr>
          <w:b/>
          <w:szCs w:val="24"/>
          <w:lang w:eastAsia="en-US"/>
        </w:rPr>
        <w:br w:type="page"/>
      </w:r>
    </w:p>
    <w:p w:rsidR="008C4239" w:rsidRDefault="003D1F39" w:rsidP="003D1F39">
      <w:pPr>
        <w:spacing w:before="120" w:after="120" w:line="360" w:lineRule="auto"/>
        <w:ind w:left="850" w:hanging="850"/>
        <w:rPr>
          <w:b/>
          <w:szCs w:val="24"/>
          <w:lang w:eastAsia="en-US"/>
        </w:rPr>
      </w:pPr>
      <w:r w:rsidRPr="003D1F39">
        <w:rPr>
          <w:b/>
          <w:i/>
          <w:szCs w:val="24"/>
          <w:lang w:eastAsia="en-US"/>
        </w:rPr>
        <w:lastRenderedPageBreak/>
        <w:t>(12c)</w:t>
      </w:r>
      <w:r w:rsidRPr="003D1F39">
        <w:rPr>
          <w:szCs w:val="24"/>
          <w:lang w:eastAsia="en-US"/>
        </w:rPr>
        <w:tab/>
      </w:r>
      <w:r w:rsidRPr="003D1F39">
        <w:rPr>
          <w:b/>
          <w:i/>
          <w:szCs w:val="24"/>
          <w:lang w:eastAsia="en-US"/>
        </w:rPr>
        <w:t xml:space="preserve">I artikel 2 i EU-fördraget föreskrivs att unionen bygger på rättsstatsprincipen, som kräver att alla fysiska eller juridiska personer i unionen ska ha fri tillgång till unionsrätten och att enskilda på ett otvetydigt sätt ska kunna få kännedom om sina rättigheter och skyldigheter (dom av den 22 februari 2022, Stichting </w:t>
      </w:r>
      <w:proofErr w:type="spellStart"/>
      <w:r w:rsidRPr="003D1F39">
        <w:rPr>
          <w:b/>
          <w:i/>
          <w:szCs w:val="24"/>
          <w:lang w:eastAsia="en-US"/>
        </w:rPr>
        <w:t>Rookpreventie</w:t>
      </w:r>
      <w:proofErr w:type="spellEnd"/>
      <w:r w:rsidRPr="003D1F39">
        <w:rPr>
          <w:b/>
          <w:i/>
          <w:szCs w:val="24"/>
          <w:lang w:eastAsia="en-US"/>
        </w:rPr>
        <w:t xml:space="preserve"> </w:t>
      </w:r>
      <w:proofErr w:type="spellStart"/>
      <w:r w:rsidRPr="003D1F39">
        <w:rPr>
          <w:b/>
          <w:i/>
          <w:szCs w:val="24"/>
          <w:lang w:eastAsia="en-US"/>
        </w:rPr>
        <w:t>Jeugd</w:t>
      </w:r>
      <w:proofErr w:type="spellEnd"/>
      <w:r w:rsidRPr="003D1F39">
        <w:rPr>
          <w:b/>
          <w:i/>
          <w:szCs w:val="24"/>
          <w:lang w:eastAsia="en-US"/>
        </w:rPr>
        <w:t xml:space="preserve"> m.fl., C‑160/20, punkt 41). Denna rätt till fri tillgång ska särskilt göra det möjligt för var och en som lagen syftar till att skydda att, inom de gränser som följer av lagstiftningen, kontrollera att de som bestämmelserna </w:t>
      </w:r>
      <w:r w:rsidR="001E6C30">
        <w:rPr>
          <w:b/>
          <w:i/>
          <w:szCs w:val="24"/>
          <w:lang w:eastAsia="en-US"/>
        </w:rPr>
        <w:t>denna lagstiftning</w:t>
      </w:r>
      <w:r w:rsidRPr="003D1F39">
        <w:rPr>
          <w:b/>
          <w:i/>
          <w:szCs w:val="24"/>
          <w:lang w:eastAsia="en-US"/>
        </w:rPr>
        <w:t xml:space="preserve"> riktar sig till faktiskt följer dessa bestämmelser. En harmoniserad standard kan således, genom den verkan som den har enligt unionslagstiftningen, närmare beskriva vilka rättigheter och skyldigheter som enskilda har, och dessa beskrivningar kan vara nödvändiga för de enskilda så att de kan kontrollera huruvida en viss vara eller tjänst verkligen uppfyller kraven i en sådan lagstiftning.</w:t>
      </w:r>
      <w:r w:rsidR="008C4239">
        <w:rPr>
          <w:b/>
          <w:szCs w:val="24"/>
          <w:lang w:eastAsia="en-US"/>
        </w:rPr>
        <w:t xml:space="preserve"> [Ändr. 112]</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(12d)</w:t>
      </w:r>
      <w:r w:rsidRPr="003D1F39">
        <w:rPr>
          <w:szCs w:val="24"/>
          <w:lang w:eastAsia="en-US"/>
        </w:rPr>
        <w:tab/>
      </w:r>
      <w:r w:rsidRPr="003D1F39">
        <w:rPr>
          <w:b/>
          <w:i/>
          <w:szCs w:val="24"/>
          <w:lang w:eastAsia="en-US"/>
        </w:rPr>
        <w:t>I sin dom av den 27 oktober 2016 i mål C-613/14 slog domstolen fast att en harmoniserad standard som antagits med stöd av ett direktiv och till vilken hänvisningar skett genom offentliggörande i Europeiska unionens officiella tidning, ingår i unionsrätten på grund av dess rättsverkningar. I sin dom av den 5 mars 2024 i mål C-588/21 P fann domstolen att det förelåg ett övervägande allmänintresse, i den mening som avses i sista delen i artikel 4.2 i förordning nr 1049/2001, som följer av rättsstatsprincipen, insynsprincipen, öppenhetsprincipen och principen om god förvaltning, och som motiverade att särskilda harmoniserade standarder lämnas ut, eftersom dessa standarder ingår i unionsrätten på grund av deras rättsverkningar.</w:t>
      </w:r>
      <w:r w:rsidR="008C4239">
        <w:rPr>
          <w:b/>
          <w:szCs w:val="24"/>
          <w:lang w:eastAsia="en-US"/>
        </w:rPr>
        <w:t xml:space="preserve"> [Ändr. 113]</w:t>
      </w:r>
    </w:p>
    <w:p w:rsidR="008C4239" w:rsidRDefault="003D1F39" w:rsidP="003D1F39">
      <w:pPr>
        <w:spacing w:before="120" w:after="120" w:line="360" w:lineRule="auto"/>
        <w:ind w:left="850" w:hanging="850"/>
        <w:rPr>
          <w:b/>
          <w:szCs w:val="24"/>
          <w:lang w:eastAsia="en-US"/>
        </w:rPr>
      </w:pPr>
      <w:r w:rsidRPr="003D1F39">
        <w:rPr>
          <w:b/>
          <w:i/>
          <w:szCs w:val="24"/>
          <w:lang w:eastAsia="en-US"/>
        </w:rPr>
        <w:t>(12e)</w:t>
      </w:r>
      <w:r w:rsidRPr="003D1F39">
        <w:rPr>
          <w:szCs w:val="24"/>
          <w:lang w:eastAsia="en-US"/>
        </w:rPr>
        <w:tab/>
      </w:r>
      <w:r w:rsidRPr="003D1F39">
        <w:rPr>
          <w:b/>
          <w:i/>
          <w:szCs w:val="24"/>
          <w:lang w:eastAsia="en-US"/>
        </w:rPr>
        <w:t>Utsläpp under hela livscykeln anses i allmänhet omfatta växthusgasutsläpp från källa till hjul och utsläpp från produktion, underhåll och bortskaffande av fordon samt infrastruktur i den mån det är relevant, i enlighet med kommissionens rekommendation (EU) 2021/2279. Av proportionalitetsskäl och för att begränsa den administrativa komplexiteten och genomförandekostnaderna bör infrastruktur inte inkluderas när utsläpp under hela livscykeln bedöms i enlighet med denna förordning.</w:t>
      </w:r>
      <w:r w:rsidR="008C4239">
        <w:rPr>
          <w:b/>
          <w:szCs w:val="24"/>
          <w:lang w:eastAsia="en-US"/>
        </w:rPr>
        <w:t xml:space="preserve"> [Ändr. 16]</w:t>
      </w:r>
    </w:p>
    <w:p w:rsidR="008C4239" w:rsidRDefault="008C4239">
      <w:pPr>
        <w:widowControl/>
        <w:rPr>
          <w:b/>
          <w:szCs w:val="24"/>
          <w:lang w:eastAsia="en-US"/>
        </w:rPr>
      </w:pPr>
      <w:r>
        <w:rPr>
          <w:b/>
          <w:szCs w:val="24"/>
          <w:lang w:eastAsia="en-US"/>
        </w:rPr>
        <w:br w:type="page"/>
      </w:r>
    </w:p>
    <w:p w:rsidR="008C4239" w:rsidRDefault="003D1F39" w:rsidP="003D1F39">
      <w:pPr>
        <w:spacing w:before="120" w:after="120" w:line="360" w:lineRule="auto"/>
        <w:ind w:left="850" w:hanging="850"/>
        <w:rPr>
          <w:b/>
          <w:szCs w:val="24"/>
          <w:lang w:eastAsia="en-US"/>
        </w:rPr>
      </w:pPr>
      <w:r w:rsidRPr="003D1F39">
        <w:rPr>
          <w:szCs w:val="24"/>
          <w:lang w:eastAsia="en-US"/>
        </w:rPr>
        <w:lastRenderedPageBreak/>
        <w:t>(13)</w:t>
      </w:r>
      <w:r w:rsidRPr="003D1F39">
        <w:rPr>
          <w:szCs w:val="24"/>
          <w:lang w:eastAsia="en-US"/>
        </w:rPr>
        <w:tab/>
        <w:t xml:space="preserve">Det bör inte göras några avvikelser från de ursprungliga metodvalen i standarden SS-EN ISO 14083:2023; detta för att undvika inkonsekvenser i beräkningen av växthusgasutsläpp från transporttjänster på marknaden, särskilt för internationella transportkedjor. </w:t>
      </w:r>
      <w:r w:rsidRPr="003D1F39">
        <w:rPr>
          <w:strike/>
          <w:szCs w:val="24"/>
          <w:lang w:eastAsia="en-US"/>
        </w:rPr>
        <w:t xml:space="preserve">Ibland är </w:t>
      </w:r>
      <w:proofErr w:type="spellStart"/>
      <w:r w:rsidRPr="003D1F39">
        <w:rPr>
          <w:strike/>
          <w:szCs w:val="24"/>
          <w:lang w:eastAsia="en-US"/>
        </w:rPr>
        <w:t>det</w:t>
      </w:r>
      <w:r w:rsidRPr="003D1F39">
        <w:rPr>
          <w:b/>
          <w:i/>
          <w:szCs w:val="24"/>
          <w:lang w:eastAsia="en-US"/>
        </w:rPr>
        <w:t>Det</w:t>
      </w:r>
      <w:proofErr w:type="spellEnd"/>
      <w:r w:rsidRPr="003D1F39">
        <w:rPr>
          <w:b/>
          <w:i/>
          <w:szCs w:val="24"/>
          <w:lang w:eastAsia="en-US"/>
        </w:rPr>
        <w:t xml:space="preserve"> är</w:t>
      </w:r>
      <w:r w:rsidRPr="003D1F39">
        <w:rPr>
          <w:szCs w:val="24"/>
          <w:lang w:eastAsia="en-US"/>
        </w:rPr>
        <w:t xml:space="preserve"> dock lämpligt att</w:t>
      </w:r>
      <w:r w:rsidRPr="003D1F39">
        <w:rPr>
          <w:b/>
          <w:i/>
          <w:szCs w:val="24"/>
          <w:lang w:eastAsia="en-US"/>
        </w:rPr>
        <w:t xml:space="preserve"> regelbundet</w:t>
      </w:r>
      <w:r w:rsidRPr="003D1F39">
        <w:rPr>
          <w:szCs w:val="24"/>
          <w:lang w:eastAsia="en-US"/>
        </w:rPr>
        <w:t xml:space="preserve"> bedöma behovet av en eventuell anpassning av SS-EN ISO 14083:2023 med hänsyn till unionens politik</w:t>
      </w:r>
      <w:r w:rsidRPr="003D1F39">
        <w:rPr>
          <w:b/>
          <w:i/>
          <w:szCs w:val="24"/>
          <w:lang w:eastAsia="en-US"/>
        </w:rPr>
        <w:t>, inklusive kommande lagstiftning</w:t>
      </w:r>
      <w:r w:rsidRPr="003D1F39">
        <w:rPr>
          <w:szCs w:val="24"/>
          <w:lang w:eastAsia="en-US"/>
        </w:rPr>
        <w:t>, samt framtida ändringar av standarden som kan genomföras av Europeiska standardiseringskommittén eller något annat behörigt organ.</w:t>
      </w:r>
      <w:r w:rsidR="001E6C30">
        <w:rPr>
          <w:szCs w:val="24"/>
          <w:lang w:eastAsia="en-US"/>
        </w:rPr>
        <w:t xml:space="preserve"> </w:t>
      </w:r>
      <w:r w:rsidRPr="003D1F39">
        <w:rPr>
          <w:szCs w:val="24"/>
          <w:lang w:eastAsia="en-US"/>
        </w:rPr>
        <w:t xml:space="preserve">Om dessa bedömningar </w:t>
      </w:r>
      <w:r w:rsidRPr="003D1F39">
        <w:rPr>
          <w:strike/>
          <w:szCs w:val="24"/>
          <w:lang w:eastAsia="en-US"/>
        </w:rPr>
        <w:t>visar</w:t>
      </w:r>
      <w:r w:rsidRPr="003D1F39">
        <w:rPr>
          <w:b/>
          <w:i/>
          <w:szCs w:val="24"/>
          <w:lang w:eastAsia="en-US"/>
        </w:rPr>
        <w:t>leder till slutsatsen</w:t>
      </w:r>
      <w:r w:rsidRPr="003D1F39">
        <w:rPr>
          <w:szCs w:val="24"/>
          <w:lang w:eastAsia="en-US"/>
        </w:rPr>
        <w:t xml:space="preserve"> att det finns en risk för att vissa delar av standarden kan skapa otillbörliga obalanser vid beräkningen av växthusgasutsläpp från transporttjänster inom specifika marknadssegment eller leda till skillnader mellan den standarden och målen i denna förordning eller annan tillämplig unionslagstiftning, får kommissionen i samarbete med medlemsstaterna överväga att begära att Europeiska standardiseringskommittén reviderar standarden i enlighet med detta, eller besluta att undanta den delen av standarden från denna förordnings tillämpningsområde.</w:t>
      </w:r>
      <w:r w:rsidRPr="003D1F39">
        <w:rPr>
          <w:b/>
          <w:i/>
          <w:szCs w:val="24"/>
          <w:lang w:eastAsia="en-US"/>
        </w:rPr>
        <w:t xml:space="preserve"> En ändring av standarden eller av en komponent som skapar en uppenbar risk för oförenlighet med målen i denna förordning och andra tillämpliga unionsregler, särskilt med unionens långsiktiga klimatmål och mellanliggande mål enligt förordning (EU) 2021/1119, och annan unionslagstiftning på klimatområdet, bör uteslutas.</w:t>
      </w:r>
      <w:r w:rsidR="008C4239">
        <w:rPr>
          <w:b/>
          <w:szCs w:val="24"/>
          <w:lang w:eastAsia="en-US"/>
        </w:rPr>
        <w:t xml:space="preserve"> [Ändr. 17]</w:t>
      </w:r>
    </w:p>
    <w:p w:rsidR="008C4239" w:rsidRDefault="008C4239">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(14)</w:t>
      </w:r>
      <w:r w:rsidRPr="003D1F39">
        <w:rPr>
          <w:szCs w:val="24"/>
          <w:lang w:eastAsia="en-US"/>
        </w:rPr>
        <w:tab/>
        <w:t xml:space="preserve">För att undvika spridning av felaktig information på marknaden kan det uppstå ett behov av att klargöra </w:t>
      </w:r>
      <w:proofErr w:type="spellStart"/>
      <w:r w:rsidRPr="003D1F39">
        <w:rPr>
          <w:szCs w:val="24"/>
          <w:lang w:eastAsia="en-US"/>
        </w:rPr>
        <w:t>referensmetoden</w:t>
      </w:r>
      <w:proofErr w:type="spellEnd"/>
      <w:r w:rsidRPr="003D1F39">
        <w:rPr>
          <w:szCs w:val="24"/>
          <w:lang w:eastAsia="en-US"/>
        </w:rPr>
        <w:t xml:space="preserve"> för parametrar och antaganden som är relevanta för växthusgasutsläpp och som används för att beräkna utsläpp innan en tjänst tillhandahålls. Detsamma gäller andra relevanta tekniska parametrar som rör tilldelning av utsläpp eller aggregering av dataelement om användningen av dessa parametrar inte uttryckligen klargörs i metoden.</w:t>
      </w:r>
    </w:p>
    <w:p w:rsidR="008C4239" w:rsidRDefault="003D1F39" w:rsidP="003D1F39">
      <w:pPr>
        <w:spacing w:before="120" w:after="120" w:line="360" w:lineRule="auto"/>
        <w:ind w:left="850" w:hanging="850"/>
        <w:rPr>
          <w:b/>
          <w:szCs w:val="24"/>
          <w:lang w:eastAsia="en-US"/>
        </w:rPr>
      </w:pPr>
      <w:r w:rsidRPr="003D1F39">
        <w:rPr>
          <w:szCs w:val="24"/>
          <w:lang w:eastAsia="en-US"/>
        </w:rPr>
        <w:t>(15)</w:t>
      </w:r>
      <w:r w:rsidRPr="003D1F39">
        <w:rPr>
          <w:szCs w:val="24"/>
          <w:lang w:eastAsia="en-US"/>
        </w:rPr>
        <w:tab/>
        <w:t xml:space="preserve">Olika typer av indata, inklusive primär- och sekundärdata, kan användas för att beräkna växthusgasutsläpp från transporttjänster. Användningen av primärdata ger </w:t>
      </w:r>
      <w:proofErr w:type="spellStart"/>
      <w:r w:rsidRPr="003D1F39">
        <w:rPr>
          <w:strike/>
          <w:szCs w:val="24"/>
          <w:lang w:eastAsia="en-US"/>
        </w:rPr>
        <w:t>mer</w:t>
      </w:r>
      <w:r w:rsidRPr="003D1F39">
        <w:rPr>
          <w:b/>
          <w:i/>
          <w:szCs w:val="24"/>
          <w:lang w:eastAsia="en-US"/>
        </w:rPr>
        <w:t>de</w:t>
      </w:r>
      <w:proofErr w:type="spellEnd"/>
      <w:r w:rsidRPr="003D1F39">
        <w:rPr>
          <w:b/>
          <w:i/>
          <w:szCs w:val="24"/>
          <w:lang w:eastAsia="en-US"/>
        </w:rPr>
        <w:t xml:space="preserve"> mest</w:t>
      </w:r>
      <w:r w:rsidRPr="003D1F39">
        <w:rPr>
          <w:szCs w:val="24"/>
          <w:lang w:eastAsia="en-US"/>
        </w:rPr>
        <w:t xml:space="preserve"> tillförlitliga och korrekta </w:t>
      </w:r>
      <w:r w:rsidRPr="003D1F39">
        <w:rPr>
          <w:strike/>
          <w:szCs w:val="24"/>
          <w:lang w:eastAsia="en-US"/>
        </w:rPr>
        <w:t>resultat</w:t>
      </w:r>
      <w:r w:rsidRPr="003D1F39">
        <w:rPr>
          <w:b/>
          <w:i/>
          <w:szCs w:val="24"/>
          <w:lang w:eastAsia="en-US"/>
        </w:rPr>
        <w:t>resultaten</w:t>
      </w:r>
      <w:r w:rsidRPr="003D1F39">
        <w:rPr>
          <w:szCs w:val="24"/>
          <w:lang w:eastAsia="en-US"/>
        </w:rPr>
        <w:t xml:space="preserve"> och bör därför </w:t>
      </w:r>
      <w:r w:rsidRPr="003D1F39">
        <w:rPr>
          <w:strike/>
          <w:szCs w:val="24"/>
          <w:lang w:eastAsia="en-US"/>
        </w:rPr>
        <w:t xml:space="preserve">prioriteras för att möjliggöra en gradvis användning av dessa </w:t>
      </w:r>
      <w:proofErr w:type="spellStart"/>
      <w:r w:rsidRPr="003D1F39">
        <w:rPr>
          <w:strike/>
          <w:szCs w:val="24"/>
          <w:lang w:eastAsia="en-US"/>
        </w:rPr>
        <w:t>data</w:t>
      </w:r>
      <w:r w:rsidRPr="003D1F39">
        <w:rPr>
          <w:b/>
          <w:i/>
          <w:szCs w:val="24"/>
          <w:lang w:eastAsia="en-US"/>
        </w:rPr>
        <w:t>vara</w:t>
      </w:r>
      <w:proofErr w:type="spellEnd"/>
      <w:r w:rsidRPr="003D1F39">
        <w:rPr>
          <w:b/>
          <w:i/>
          <w:szCs w:val="24"/>
          <w:lang w:eastAsia="en-US"/>
        </w:rPr>
        <w:t xml:space="preserve"> obligatorisk</w:t>
      </w:r>
      <w:r w:rsidRPr="003D1F39">
        <w:rPr>
          <w:szCs w:val="24"/>
          <w:lang w:eastAsia="en-US"/>
        </w:rPr>
        <w:t xml:space="preserve"> i beräkningsprocesserna för växthusgasutsläpp. </w:t>
      </w:r>
      <w:r w:rsidR="001E6C30">
        <w:rPr>
          <w:b/>
          <w:i/>
          <w:szCs w:val="24"/>
          <w:lang w:eastAsia="en-US"/>
        </w:rPr>
        <w:t>E</w:t>
      </w:r>
      <w:r w:rsidRPr="003D1F39">
        <w:rPr>
          <w:b/>
          <w:i/>
          <w:szCs w:val="24"/>
          <w:lang w:eastAsia="en-US"/>
        </w:rPr>
        <w:t xml:space="preserve">ftersom </w:t>
      </w:r>
      <w:r w:rsidRPr="003D1F39">
        <w:rPr>
          <w:szCs w:val="24"/>
          <w:lang w:eastAsia="en-US"/>
        </w:rPr>
        <w:t xml:space="preserve">primärdata </w:t>
      </w:r>
      <w:proofErr w:type="gramStart"/>
      <w:r w:rsidRPr="003D1F39">
        <w:rPr>
          <w:szCs w:val="24"/>
          <w:lang w:eastAsia="en-US"/>
        </w:rPr>
        <w:t>kan</w:t>
      </w:r>
      <w:r w:rsidRPr="003D1F39">
        <w:rPr>
          <w:strike/>
          <w:szCs w:val="24"/>
          <w:lang w:eastAsia="en-US"/>
        </w:rPr>
        <w:t xml:space="preserve"> dock</w:t>
      </w:r>
      <w:proofErr w:type="gramEnd"/>
      <w:r w:rsidRPr="003D1F39">
        <w:rPr>
          <w:szCs w:val="24"/>
          <w:lang w:eastAsia="en-US"/>
        </w:rPr>
        <w:t xml:space="preserve"> vara omöjliga att erhålla eller orimligt dyra för </w:t>
      </w:r>
      <w:r w:rsidRPr="003D1F39">
        <w:rPr>
          <w:strike/>
          <w:szCs w:val="24"/>
          <w:lang w:eastAsia="en-US"/>
        </w:rPr>
        <w:t xml:space="preserve">vissa berörda parter, </w:t>
      </w:r>
      <w:proofErr w:type="spellStart"/>
      <w:r w:rsidRPr="003D1F39">
        <w:rPr>
          <w:strike/>
          <w:szCs w:val="24"/>
          <w:lang w:eastAsia="en-US"/>
        </w:rPr>
        <w:t>särskilt</w:t>
      </w:r>
      <w:r w:rsidRPr="003D1F39">
        <w:rPr>
          <w:b/>
          <w:i/>
          <w:szCs w:val="24"/>
          <w:lang w:eastAsia="en-US"/>
        </w:rPr>
        <w:t>små</w:t>
      </w:r>
      <w:proofErr w:type="spellEnd"/>
      <w:r w:rsidRPr="003D1F39">
        <w:rPr>
          <w:b/>
          <w:i/>
          <w:szCs w:val="24"/>
          <w:lang w:eastAsia="en-US"/>
        </w:rPr>
        <w:t xml:space="preserve"> och medelstora företag bör</w:t>
      </w:r>
      <w:r w:rsidRPr="003D1F39">
        <w:rPr>
          <w:szCs w:val="24"/>
          <w:lang w:eastAsia="en-US"/>
        </w:rPr>
        <w:t xml:space="preserve"> små och medelstora företag</w:t>
      </w:r>
      <w:r w:rsidRPr="003D1F39">
        <w:rPr>
          <w:b/>
          <w:i/>
          <w:szCs w:val="24"/>
          <w:lang w:eastAsia="en-US"/>
        </w:rPr>
        <w:t xml:space="preserve"> </w:t>
      </w:r>
      <w:r w:rsidR="001E6C30">
        <w:rPr>
          <w:b/>
          <w:i/>
          <w:szCs w:val="24"/>
          <w:lang w:eastAsia="en-US"/>
        </w:rPr>
        <w:t xml:space="preserve">emellertid </w:t>
      </w:r>
      <w:r w:rsidRPr="003D1F39">
        <w:rPr>
          <w:b/>
          <w:i/>
          <w:szCs w:val="24"/>
          <w:lang w:eastAsia="en-US"/>
        </w:rPr>
        <w:t>undantas</w:t>
      </w:r>
      <w:r w:rsidRPr="003D1F39">
        <w:rPr>
          <w:szCs w:val="24"/>
          <w:lang w:eastAsia="en-US"/>
        </w:rPr>
        <w:t xml:space="preserve">. Användningen av sekundärdata bör därför tillåtas på </w:t>
      </w:r>
      <w:r w:rsidRPr="003D1F39">
        <w:rPr>
          <w:strike/>
          <w:szCs w:val="24"/>
          <w:lang w:eastAsia="en-US"/>
        </w:rPr>
        <w:t xml:space="preserve">vissa tydlig </w:t>
      </w:r>
      <w:proofErr w:type="spellStart"/>
      <w:r w:rsidRPr="003D1F39">
        <w:rPr>
          <w:strike/>
          <w:szCs w:val="24"/>
          <w:lang w:eastAsia="en-US"/>
        </w:rPr>
        <w:t>angivna</w:t>
      </w:r>
      <w:r w:rsidRPr="003D1F39">
        <w:rPr>
          <w:b/>
          <w:i/>
          <w:szCs w:val="24"/>
          <w:lang w:eastAsia="en-US"/>
        </w:rPr>
        <w:t>de</w:t>
      </w:r>
      <w:proofErr w:type="spellEnd"/>
      <w:r w:rsidRPr="003D1F39">
        <w:rPr>
          <w:szCs w:val="24"/>
          <w:lang w:eastAsia="en-US"/>
        </w:rPr>
        <w:t xml:space="preserve"> villkor</w:t>
      </w:r>
      <w:r w:rsidRPr="003D1F39">
        <w:rPr>
          <w:b/>
          <w:i/>
          <w:szCs w:val="24"/>
          <w:lang w:eastAsia="en-US"/>
        </w:rPr>
        <w:t xml:space="preserve"> som fastställs i denna förordning</w:t>
      </w:r>
      <w:r w:rsidRPr="003D1F39">
        <w:rPr>
          <w:szCs w:val="24"/>
          <w:lang w:eastAsia="en-US"/>
        </w:rPr>
        <w:t>.</w:t>
      </w:r>
      <w:r w:rsidRPr="003D1F39">
        <w:rPr>
          <w:b/>
          <w:i/>
          <w:szCs w:val="24"/>
          <w:lang w:eastAsia="en-US"/>
        </w:rPr>
        <w:t xml:space="preserve"> Tillverkare av originalutrustning bör ge små och medelstora företag åtkomst till fordonsdata som är relevanta för detta ändamål.</w:t>
      </w:r>
      <w:r w:rsidR="008C4239">
        <w:rPr>
          <w:b/>
          <w:szCs w:val="24"/>
          <w:lang w:eastAsia="en-US"/>
        </w:rPr>
        <w:t xml:space="preserve"> [Ändr. 18]</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(15a)</w:t>
      </w:r>
      <w:r w:rsidRPr="003D1F39">
        <w:rPr>
          <w:szCs w:val="24"/>
          <w:lang w:eastAsia="en-US"/>
        </w:rPr>
        <w:tab/>
      </w:r>
      <w:r w:rsidRPr="003D1F39">
        <w:rPr>
          <w:b/>
          <w:i/>
          <w:szCs w:val="24"/>
          <w:lang w:eastAsia="en-US"/>
        </w:rPr>
        <w:t>Om en anordnare av transporttjänster helt eller delvis lägger ut det konkreta utförandet av en transporttjänst på underentreprenad och beslutar att integrera underleverantörens data om växthusgasutsläpp i sin övergripande beräkning, bör den kunna förlita sig på sekundärdata om de transporttjänster som underleverantören/underleverantörerna utför. Flexibilitet bör medges för användning av sekundärdata från en eller flera underleverantörer, även om primärdata används för att beräkna växthusgasutsläpp från transporttjänster som utförs av andra underleverantörer eller av transporttjänsteanordnarens egen fordonspark.</w:t>
      </w:r>
      <w:r w:rsidR="008C4239">
        <w:rPr>
          <w:b/>
          <w:szCs w:val="24"/>
          <w:lang w:eastAsia="en-US"/>
        </w:rPr>
        <w:t xml:space="preserve"> [Ändr. 19]</w:t>
      </w:r>
    </w:p>
    <w:p w:rsidR="008C4239" w:rsidRDefault="003D1F39" w:rsidP="003D1F39">
      <w:pPr>
        <w:spacing w:before="120" w:after="120" w:line="360" w:lineRule="auto"/>
        <w:ind w:left="850" w:hanging="850"/>
        <w:rPr>
          <w:b/>
          <w:szCs w:val="24"/>
          <w:lang w:eastAsia="en-US"/>
        </w:rPr>
      </w:pPr>
      <w:r w:rsidRPr="003D1F39">
        <w:rPr>
          <w:b/>
          <w:i/>
          <w:szCs w:val="24"/>
          <w:lang w:eastAsia="en-US"/>
        </w:rPr>
        <w:t>(15b)</w:t>
      </w:r>
      <w:r w:rsidRPr="003D1F39">
        <w:rPr>
          <w:szCs w:val="24"/>
          <w:lang w:eastAsia="en-US"/>
        </w:rPr>
        <w:tab/>
      </w:r>
      <w:r w:rsidRPr="003D1F39">
        <w:rPr>
          <w:b/>
          <w:i/>
          <w:szCs w:val="24"/>
          <w:lang w:eastAsia="en-US"/>
        </w:rPr>
        <w:t>Medlemsstaterna kan införa incitament av administrativ, ekonomisk eller operativ karaktär för att främja användningen av primärdata, och i detta avseende bör medlemsstaterna underrätta kommissionen när de inför sådana incitament så att kommissionen kan övervaka att den inre marknaden fungerar väl och säkerställa lika villkor.</w:t>
      </w:r>
      <w:r w:rsidR="008C4239">
        <w:rPr>
          <w:b/>
          <w:szCs w:val="24"/>
          <w:lang w:eastAsia="en-US"/>
        </w:rPr>
        <w:t xml:space="preserve"> [Ändr. 20]</w:t>
      </w:r>
    </w:p>
    <w:p w:rsidR="008C4239" w:rsidRDefault="008C4239">
      <w:pPr>
        <w:widowControl/>
        <w:rPr>
          <w:b/>
          <w:szCs w:val="24"/>
          <w:lang w:eastAsia="en-US"/>
        </w:rPr>
      </w:pPr>
      <w:r>
        <w:rPr>
          <w:b/>
          <w:szCs w:val="24"/>
          <w:lang w:eastAsia="en-US"/>
        </w:rPr>
        <w:br w:type="page"/>
      </w:r>
    </w:p>
    <w:p w:rsidR="008C4239" w:rsidRDefault="003D1F39" w:rsidP="003D1F39">
      <w:pPr>
        <w:spacing w:before="120" w:after="120" w:line="360" w:lineRule="auto"/>
        <w:ind w:left="850" w:hanging="850"/>
        <w:rPr>
          <w:b/>
          <w:szCs w:val="24"/>
          <w:lang w:eastAsia="en-US"/>
        </w:rPr>
      </w:pPr>
      <w:r w:rsidRPr="003D1F39">
        <w:rPr>
          <w:szCs w:val="24"/>
          <w:lang w:eastAsia="en-US"/>
        </w:rPr>
        <w:lastRenderedPageBreak/>
        <w:t>(16)</w:t>
      </w:r>
      <w:r w:rsidRPr="003D1F39">
        <w:rPr>
          <w:szCs w:val="24"/>
          <w:lang w:eastAsia="en-US"/>
        </w:rPr>
        <w:tab/>
        <w:t xml:space="preserve">När det gäller sekundärdata kan växthusgasutsläpp för en transporttjänst beräknas med hjälp av standardvärden eller modellerade data. Användningen av standardvärden och modellerade data bör dock ge korrekt och tillförlitlig information om växthusgasutsläppen från en viss transporttjänst, och därför bör sådana standardvärden fastställas och modellerade data tas fram </w:t>
      </w:r>
      <w:r w:rsidRPr="003D1F39">
        <w:rPr>
          <w:b/>
          <w:i/>
          <w:szCs w:val="24"/>
          <w:lang w:eastAsia="en-US"/>
        </w:rPr>
        <w:t xml:space="preserve">och regelbundet uppdateras </w:t>
      </w:r>
      <w:r w:rsidRPr="003D1F39">
        <w:rPr>
          <w:szCs w:val="24"/>
          <w:lang w:eastAsia="en-US"/>
        </w:rPr>
        <w:t>på ett neutralt och objektivt sätt, på grundval av tillförlitliga källor och lämpliga parametrar.</w:t>
      </w:r>
      <w:r w:rsidRPr="003D1F39">
        <w:rPr>
          <w:b/>
          <w:i/>
          <w:szCs w:val="24"/>
          <w:lang w:eastAsia="en-US"/>
        </w:rPr>
        <w:t xml:space="preserve"> Databaser och standardvärden som skulle leda till en underskattning av de utsläppsresultat som erhålls jämfört med dem som erhålls vid redovisning av primärdata anses inte klara den tekniska kvalitetskontrollen avseende uppgifternas korrekthet och tillförlitlighet. Dessa tekniska kvalitetskontroller bör upprepas regelbundet.</w:t>
      </w:r>
      <w:r w:rsidR="008C4239">
        <w:rPr>
          <w:b/>
          <w:szCs w:val="24"/>
          <w:lang w:eastAsia="en-US"/>
        </w:rPr>
        <w:t xml:space="preserve"> [Ändr. 21]</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(17)</w:t>
      </w:r>
      <w:r w:rsidRPr="003D1F39">
        <w:rPr>
          <w:szCs w:val="24"/>
          <w:lang w:eastAsia="en-US"/>
        </w:rPr>
        <w:tab/>
        <w:t>En central EU-databas med standardvärden för växthusgasintensitet bör därför inrättas för att förbättra jämförbarheten mellan de resultat för växthusgasutsläpp som erhålls vid tillämpningen av denna förordning</w:t>
      </w:r>
      <w:r w:rsidRPr="003D1F39">
        <w:rPr>
          <w:b/>
          <w:i/>
          <w:szCs w:val="24"/>
          <w:lang w:eastAsia="en-US"/>
        </w:rPr>
        <w:t>. Denna databas bör vara tillräckligt detaljerad och återspegla de sektorsspecifika, nationella och regionala särdragen i hela unionen, och den bör innehålla separata tabeller för varje transportsätt för att säkerställa regelbunden uppdatering och införlivande av de senaste tekniska framstegen när det gäller utsläppsminskning i tillämpliga fall</w:t>
      </w:r>
      <w:r w:rsidRPr="003D1F39">
        <w:rPr>
          <w:szCs w:val="24"/>
          <w:lang w:eastAsia="en-US"/>
        </w:rPr>
        <w:t xml:space="preserve">. Med tanke på de sektorsspecifika, nationella och regionala särdragen hos dessa standardvärden i hela unionen bör dock andra relevanta databaser och </w:t>
      </w:r>
      <w:proofErr w:type="spellStart"/>
      <w:r w:rsidRPr="003D1F39">
        <w:rPr>
          <w:szCs w:val="24"/>
          <w:lang w:eastAsia="en-US"/>
        </w:rPr>
        <w:t>dataset</w:t>
      </w:r>
      <w:proofErr w:type="spellEnd"/>
      <w:r w:rsidRPr="003D1F39">
        <w:rPr>
          <w:szCs w:val="24"/>
          <w:lang w:eastAsia="en-US"/>
        </w:rPr>
        <w:t xml:space="preserve"> som administreras av tredje parter tillåtas, på villkor att de genomgår en teknisk kvalitetskontroll på unionsnivå.</w:t>
      </w:r>
      <w:r w:rsidR="008C4239">
        <w:rPr>
          <w:b/>
          <w:szCs w:val="24"/>
          <w:lang w:eastAsia="en-US"/>
        </w:rPr>
        <w:t xml:space="preserve"> [Ändr. 22]</w:t>
      </w:r>
    </w:p>
    <w:p w:rsidR="008C4239" w:rsidRDefault="003D1F39" w:rsidP="003D1F39">
      <w:pPr>
        <w:spacing w:before="120" w:after="120" w:line="360" w:lineRule="auto"/>
        <w:ind w:left="850" w:hanging="850"/>
        <w:rPr>
          <w:szCs w:val="24"/>
          <w:lang w:eastAsia="en-US"/>
        </w:rPr>
      </w:pPr>
      <w:r w:rsidRPr="003D1F39">
        <w:rPr>
          <w:szCs w:val="24"/>
          <w:lang w:eastAsia="en-US"/>
        </w:rPr>
        <w:t>(18)</w:t>
      </w:r>
      <w:r w:rsidRPr="003D1F39">
        <w:rPr>
          <w:szCs w:val="24"/>
          <w:lang w:eastAsia="en-US"/>
        </w:rPr>
        <w:tab/>
        <w:t>Vid fastställandet av växthusgasintensiteten för en transporttjänst måste utsläppsfaktorer för växthusgas för transportenergibärare härleda uppskattningar av växthusgasutsläpp som återspeglar den energimängd som används från källa till hjul. En central EU-databas över utsläppsfaktorer för växthusgas för energibärare bör därför inrättas för att garantera att indata är jämförbara och håller hög kvalitet.</w:t>
      </w:r>
    </w:p>
    <w:p w:rsidR="008C4239" w:rsidRDefault="008C4239">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w:t>
      </w:r>
      <w:proofErr w:type="spellStart"/>
      <w:r w:rsidRPr="003D1F39">
        <w:rPr>
          <w:b/>
          <w:i/>
          <w:szCs w:val="24"/>
          <w:lang w:eastAsia="en-US"/>
        </w:rPr>
        <w:t>18a</w:t>
      </w:r>
      <w:proofErr w:type="spellEnd"/>
      <w:r w:rsidRPr="003D1F39">
        <w:rPr>
          <w:b/>
          <w:i/>
          <w:szCs w:val="24"/>
          <w:lang w:eastAsia="en-US"/>
        </w:rPr>
        <w:t>)</w:t>
      </w:r>
      <w:r w:rsidRPr="003D1F39">
        <w:rPr>
          <w:szCs w:val="24"/>
          <w:lang w:eastAsia="en-US"/>
        </w:rPr>
        <w:tab/>
      </w:r>
      <w:r w:rsidRPr="003D1F39">
        <w:rPr>
          <w:b/>
          <w:i/>
          <w:szCs w:val="24"/>
          <w:lang w:eastAsia="en-US"/>
        </w:rPr>
        <w:t xml:space="preserve">En </w:t>
      </w:r>
      <w:proofErr w:type="spellStart"/>
      <w:r w:rsidRPr="003D1F39">
        <w:rPr>
          <w:b/>
          <w:i/>
          <w:szCs w:val="24"/>
          <w:lang w:eastAsia="en-US"/>
        </w:rPr>
        <w:t>platsbaserad</w:t>
      </w:r>
      <w:proofErr w:type="spellEnd"/>
      <w:r w:rsidRPr="003D1F39">
        <w:rPr>
          <w:b/>
          <w:i/>
          <w:szCs w:val="24"/>
          <w:lang w:eastAsia="en-US"/>
        </w:rPr>
        <w:t xml:space="preserve"> strategi, som bygger på att en uppsättning aktuella och korrekta värden för intensitet säkerställs för de olika medlemsstaterna, bör uppmuntras när utsläppen i samband med elanvändning kvantifieras utifrån varje medlemsstats aktuella och korrekta värden för utsläppsintensitet. Det är dessutom önskvärt med en marknadsbaserad strategi, under förutsättning att korrekt spårbarhet säkerställs genom ett giltigt avtal med ursprungsgarantier. Siffrorna i de databaser som upprättas genom denna förordning bör baseras på en </w:t>
      </w:r>
      <w:proofErr w:type="spellStart"/>
      <w:r w:rsidRPr="003D1F39">
        <w:rPr>
          <w:b/>
          <w:i/>
          <w:szCs w:val="24"/>
          <w:lang w:eastAsia="en-US"/>
        </w:rPr>
        <w:t>platsbaserad</w:t>
      </w:r>
      <w:proofErr w:type="spellEnd"/>
      <w:r w:rsidRPr="003D1F39">
        <w:rPr>
          <w:b/>
          <w:i/>
          <w:szCs w:val="24"/>
          <w:lang w:eastAsia="en-US"/>
        </w:rPr>
        <w:t xml:space="preserve"> metod.</w:t>
      </w:r>
      <w:r w:rsidR="008C4239">
        <w:rPr>
          <w:b/>
          <w:szCs w:val="24"/>
          <w:lang w:eastAsia="en-US"/>
        </w:rPr>
        <w:t xml:space="preserve"> [Ändr. 23]</w:t>
      </w:r>
    </w:p>
    <w:p w:rsidR="008C4239" w:rsidRDefault="003D1F39" w:rsidP="003D1F39">
      <w:pPr>
        <w:spacing w:before="120" w:after="120" w:line="360" w:lineRule="auto"/>
        <w:ind w:left="850" w:hanging="850"/>
        <w:rPr>
          <w:b/>
          <w:szCs w:val="24"/>
          <w:lang w:eastAsia="en-US"/>
        </w:rPr>
      </w:pPr>
      <w:r w:rsidRPr="003D1F39">
        <w:rPr>
          <w:szCs w:val="24"/>
          <w:lang w:eastAsia="en-US"/>
        </w:rPr>
        <w:t>(19)</w:t>
      </w:r>
      <w:r w:rsidRPr="003D1F39">
        <w:rPr>
          <w:szCs w:val="24"/>
          <w:lang w:eastAsia="en-US"/>
        </w:rPr>
        <w:tab/>
        <w:t>Utvecklingen och underhållet av</w:t>
      </w:r>
      <w:r w:rsidRPr="003D1F39">
        <w:rPr>
          <w:b/>
          <w:i/>
          <w:szCs w:val="24"/>
          <w:lang w:eastAsia="en-US"/>
        </w:rPr>
        <w:t xml:space="preserve"> </w:t>
      </w:r>
      <w:r w:rsidRPr="00DA5633">
        <w:rPr>
          <w:szCs w:val="24"/>
          <w:lang w:eastAsia="en-US"/>
        </w:rPr>
        <w:t>de</w:t>
      </w:r>
      <w:r w:rsidRPr="003D1F39">
        <w:rPr>
          <w:szCs w:val="24"/>
          <w:lang w:eastAsia="en-US"/>
        </w:rPr>
        <w:t xml:space="preserve"> EU-databaser med standardvärden för växthusgasintensitet och utsläppsfaktorer för växthusgas</w:t>
      </w:r>
      <w:r w:rsidRPr="003D1F39">
        <w:rPr>
          <w:b/>
          <w:i/>
          <w:szCs w:val="24"/>
          <w:lang w:eastAsia="en-US"/>
        </w:rPr>
        <w:t xml:space="preserve"> som upprättas genom denna förordning</w:t>
      </w:r>
      <w:r w:rsidRPr="003D1F39">
        <w:rPr>
          <w:szCs w:val="24"/>
          <w:lang w:eastAsia="en-US"/>
        </w:rPr>
        <w:t xml:space="preserve"> samt den tekniska kvalitetskontrollen av externa databaser och </w:t>
      </w:r>
      <w:proofErr w:type="spellStart"/>
      <w:r w:rsidRPr="003D1F39">
        <w:rPr>
          <w:szCs w:val="24"/>
          <w:lang w:eastAsia="en-US"/>
        </w:rPr>
        <w:t>dataset</w:t>
      </w:r>
      <w:proofErr w:type="spellEnd"/>
      <w:r w:rsidRPr="003D1F39">
        <w:rPr>
          <w:szCs w:val="24"/>
          <w:lang w:eastAsia="en-US"/>
        </w:rPr>
        <w:t xml:space="preserve"> som administreras av tredje parter bör utföras av ett neutralt och behörigt organ som verkar på unionsnivå. Med tanke på sitt uppdrag är Europeiska miljöbyrån bäst lämpad att tillhandahålla det stöd som krävs för ett korrekt genomförande av denna del av förordningen. I förekommande fall kan detta arbete bygga på bidrag från och stödjas av andra sektorsspecifika </w:t>
      </w:r>
      <w:r w:rsidR="00095E9D">
        <w:rPr>
          <w:szCs w:val="24"/>
          <w:lang w:eastAsia="en-US"/>
        </w:rPr>
        <w:t>unions</w:t>
      </w:r>
      <w:r w:rsidRPr="003D1F39">
        <w:rPr>
          <w:szCs w:val="24"/>
          <w:lang w:eastAsia="en-US"/>
        </w:rPr>
        <w:t>organ, i enlighet med separat unionslagstiftning.</w:t>
      </w:r>
      <w:r w:rsidR="008C4239">
        <w:rPr>
          <w:b/>
          <w:szCs w:val="24"/>
          <w:lang w:eastAsia="en-US"/>
        </w:rPr>
        <w:t xml:space="preserve"> [Ändr. 24]</w:t>
      </w:r>
    </w:p>
    <w:p w:rsidR="008C4239" w:rsidRDefault="008C4239">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(20)</w:t>
      </w:r>
      <w:r w:rsidRPr="003D1F39">
        <w:rPr>
          <w:szCs w:val="24"/>
          <w:lang w:eastAsia="en-US"/>
        </w:rPr>
        <w:tab/>
        <w:t xml:space="preserve">Modellerade data får användas om de bygger på en modell som fastställts i enlighet med </w:t>
      </w:r>
      <w:proofErr w:type="spellStart"/>
      <w:r w:rsidRPr="003D1F39">
        <w:rPr>
          <w:szCs w:val="24"/>
          <w:lang w:eastAsia="en-US"/>
        </w:rPr>
        <w:t>referensmetoden</w:t>
      </w:r>
      <w:proofErr w:type="spellEnd"/>
      <w:r w:rsidRPr="003D1F39">
        <w:rPr>
          <w:szCs w:val="24"/>
          <w:lang w:eastAsia="en-US"/>
        </w:rPr>
        <w:t xml:space="preserve"> och, i förekommande fall, andra bestämmelser om användning av sekundärdata och beräkningsverktyg som anges i denna förordning.</w:t>
      </w:r>
    </w:p>
    <w:p w:rsidR="008C4239" w:rsidRDefault="003D1F39" w:rsidP="003D1F39">
      <w:pPr>
        <w:spacing w:before="120" w:after="120" w:line="360" w:lineRule="auto"/>
        <w:ind w:left="850" w:hanging="850"/>
        <w:rPr>
          <w:b/>
          <w:szCs w:val="24"/>
          <w:lang w:eastAsia="en-US"/>
        </w:rPr>
      </w:pPr>
      <w:r w:rsidRPr="003D1F39">
        <w:rPr>
          <w:szCs w:val="24"/>
          <w:lang w:eastAsia="en-US"/>
        </w:rPr>
        <w:t>(21)</w:t>
      </w:r>
      <w:r w:rsidRPr="003D1F39">
        <w:rPr>
          <w:szCs w:val="24"/>
          <w:lang w:eastAsia="en-US"/>
        </w:rPr>
        <w:tab/>
        <w:t>Enligt förordning (EU) 2015/757</w:t>
      </w:r>
      <w:r w:rsidRPr="003D1F39">
        <w:rPr>
          <w:szCs w:val="24"/>
          <w:vertAlign w:val="superscript"/>
          <w:lang w:val="en-GB" w:eastAsia="en-US"/>
        </w:rPr>
        <w:footnoteReference w:id="12"/>
      </w:r>
      <w:r w:rsidRPr="003D1F39">
        <w:rPr>
          <w:szCs w:val="24"/>
          <w:lang w:eastAsia="en-US"/>
        </w:rPr>
        <w:t xml:space="preserve"> och direktiv 2003/87/EG</w:t>
      </w:r>
      <w:r w:rsidRPr="003D1F39">
        <w:rPr>
          <w:szCs w:val="24"/>
          <w:vertAlign w:val="superscript"/>
          <w:lang w:val="en-GB" w:eastAsia="en-US"/>
        </w:rPr>
        <w:footnoteReference w:id="13"/>
      </w:r>
      <w:r w:rsidRPr="003D1F39">
        <w:rPr>
          <w:szCs w:val="24"/>
          <w:lang w:eastAsia="en-US"/>
        </w:rPr>
        <w:t xml:space="preserve"> ska </w:t>
      </w:r>
      <w:proofErr w:type="spellStart"/>
      <w:r w:rsidRPr="003D1F39">
        <w:rPr>
          <w:strike/>
          <w:szCs w:val="24"/>
          <w:lang w:eastAsia="en-US"/>
        </w:rPr>
        <w:t>koldioxidutsläppen</w:t>
      </w:r>
      <w:r w:rsidRPr="003D1F39">
        <w:rPr>
          <w:b/>
          <w:i/>
          <w:szCs w:val="24"/>
          <w:lang w:eastAsia="en-US"/>
        </w:rPr>
        <w:t>växthusgasutsläppen</w:t>
      </w:r>
      <w:proofErr w:type="spellEnd"/>
      <w:r w:rsidRPr="003D1F39">
        <w:rPr>
          <w:szCs w:val="24"/>
          <w:lang w:eastAsia="en-US"/>
        </w:rPr>
        <w:t xml:space="preserve"> från fartyg respektive luftfartyg sammanställas, beräknas och årligen rapporteras. Förordning (EU) 2015/757 och direktiv 2003/87/EG kan i viss utsträckning komplettera bestämmelserna i den här förordningen, särskilt när det gäller framtagningen av data om bränsle som förbränns som underlag för kvantifiering av utsläpp från transporttjänster. Indata för växthusgasutsläpp från transporttjänster kan också erhållas via genomförandet av andra rättsliga ramar, till exempel förordning (EU) 2019/1242</w:t>
      </w:r>
      <w:r w:rsidRPr="003D1F39">
        <w:rPr>
          <w:szCs w:val="24"/>
          <w:vertAlign w:val="superscript"/>
          <w:lang w:val="en-GB" w:eastAsia="en-US"/>
        </w:rPr>
        <w:footnoteReference w:id="14"/>
      </w:r>
      <w:r w:rsidRPr="003D1F39">
        <w:rPr>
          <w:strike/>
          <w:szCs w:val="24"/>
          <w:lang w:eastAsia="en-US"/>
        </w:rPr>
        <w:t xml:space="preserve"> och</w:t>
      </w:r>
      <w:r w:rsidRPr="003D1F39">
        <w:rPr>
          <w:b/>
          <w:i/>
          <w:szCs w:val="24"/>
          <w:lang w:eastAsia="en-US"/>
        </w:rPr>
        <w:t>,</w:t>
      </w:r>
      <w:r w:rsidRPr="003D1F39">
        <w:rPr>
          <w:szCs w:val="24"/>
          <w:lang w:eastAsia="en-US"/>
        </w:rPr>
        <w:t xml:space="preserve"> förordning (EU) 2019/631</w:t>
      </w:r>
      <w:r w:rsidRPr="003D1F39">
        <w:rPr>
          <w:szCs w:val="24"/>
          <w:vertAlign w:val="superscript"/>
          <w:lang w:val="en-GB" w:eastAsia="en-US"/>
        </w:rPr>
        <w:footnoteReference w:id="15"/>
      </w:r>
      <w:r w:rsidRPr="003D1F39">
        <w:rPr>
          <w:b/>
          <w:i/>
          <w:szCs w:val="24"/>
          <w:lang w:eastAsia="en-US"/>
        </w:rPr>
        <w:t xml:space="preserve"> och förordning (EU) 2023/2405</w:t>
      </w:r>
      <w:r w:rsidRPr="003D1F39">
        <w:rPr>
          <w:szCs w:val="24"/>
          <w:vertAlign w:val="superscript"/>
          <w:lang w:val="en-GB" w:eastAsia="en-US"/>
        </w:rPr>
        <w:footnoteReference w:id="16"/>
      </w:r>
      <w:r w:rsidRPr="003D1F39">
        <w:rPr>
          <w:szCs w:val="24"/>
          <w:lang w:eastAsia="en-US"/>
        </w:rPr>
        <w:t>.</w:t>
      </w:r>
      <w:r w:rsidR="008C4239">
        <w:rPr>
          <w:b/>
          <w:szCs w:val="24"/>
          <w:lang w:eastAsia="en-US"/>
        </w:rPr>
        <w:t xml:space="preserve"> [Ändr. 25]</w:t>
      </w:r>
    </w:p>
    <w:p w:rsidR="008C4239" w:rsidRDefault="008C4239">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(22)</w:t>
      </w:r>
      <w:r w:rsidRPr="003D1F39">
        <w:rPr>
          <w:szCs w:val="24"/>
          <w:lang w:eastAsia="en-US"/>
        </w:rPr>
        <w:tab/>
        <w:t xml:space="preserve">Det är lämpligt att fastställa gemensamma mått för att uttrycka de utdata om växthusgasutsläpp som ligger till grund för dessa datas jämförbarhet och som möjliggör en effektiv </w:t>
      </w:r>
      <w:proofErr w:type="spellStart"/>
      <w:r w:rsidRPr="003D1F39">
        <w:rPr>
          <w:szCs w:val="24"/>
          <w:lang w:eastAsia="en-US"/>
        </w:rPr>
        <w:t>riktmärkning</w:t>
      </w:r>
      <w:proofErr w:type="spellEnd"/>
      <w:r w:rsidRPr="003D1F39">
        <w:rPr>
          <w:szCs w:val="24"/>
          <w:lang w:eastAsia="en-US"/>
        </w:rPr>
        <w:t xml:space="preserve"> av olika transporttjänster. Gemensamma mått bör också möjliggöra tydlig kommunikation från en dataleverantör och en korrekt förståelse av denna kommunikation för en datamottagare.</w:t>
      </w:r>
      <w:r w:rsidRPr="003D1F39">
        <w:rPr>
          <w:b/>
          <w:i/>
          <w:szCs w:val="24"/>
          <w:lang w:eastAsia="en-US"/>
        </w:rPr>
        <w:t xml:space="preserve"> I detta avseende bör kommissionen när den fastställer avstånd, särskilt vid fastställandet av utsläppsintensitet, ange detaljerade regler för hur alternativet ”storcirkelavstånd” i ISO 14083 ska användas. Dessa regler bör inte hindra användningen av primärdata om faktiskt avstånd, till exempel inom järnvägssektorn.</w:t>
      </w:r>
      <w:r w:rsidR="00D23316">
        <w:rPr>
          <w:b/>
          <w:szCs w:val="24"/>
          <w:lang w:eastAsia="en-US"/>
        </w:rPr>
        <w:t xml:space="preserve"> [Ändr. 26]</w:t>
      </w:r>
    </w:p>
    <w:p w:rsidR="00D23316" w:rsidRDefault="003D1F39" w:rsidP="003D1F39">
      <w:pPr>
        <w:spacing w:before="120" w:after="120" w:line="360" w:lineRule="auto"/>
        <w:ind w:left="850" w:hanging="850"/>
        <w:rPr>
          <w:szCs w:val="24"/>
          <w:lang w:eastAsia="en-US"/>
        </w:rPr>
      </w:pPr>
      <w:r w:rsidRPr="003D1F39">
        <w:rPr>
          <w:szCs w:val="24"/>
          <w:lang w:eastAsia="en-US"/>
        </w:rPr>
        <w:t>(23)</w:t>
      </w:r>
      <w:r w:rsidRPr="003D1F39">
        <w:rPr>
          <w:szCs w:val="24"/>
          <w:lang w:eastAsia="en-US"/>
        </w:rPr>
        <w:tab/>
        <w:t>All disaggregerad information om växthusgasutsläpp från en transporttjänst som lämnas ut till en tredje part för kommersiella eller regleringsmässiga ändamål i enlighet med denna förordnings tillämpningsområde bör oundgängligen och på ett tydligt sätt inbegripa utdata som fastställts i enlighet med de särskilda regler för beräkning av växthusgasutsläpp som fastställs i denna förordning. Ytterligare dataelement för andra ändamål än de som definieras i denna förordning kan läggas till, där så är relevant.</w:t>
      </w:r>
    </w:p>
    <w:p w:rsidR="00D23316" w:rsidRDefault="00D23316">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(23a)</w:t>
      </w:r>
      <w:r w:rsidRPr="003D1F39">
        <w:rPr>
          <w:szCs w:val="24"/>
          <w:lang w:eastAsia="en-US"/>
        </w:rPr>
        <w:tab/>
      </w:r>
      <w:r w:rsidRPr="003D1F39">
        <w:rPr>
          <w:b/>
          <w:i/>
          <w:szCs w:val="24"/>
          <w:lang w:eastAsia="en-US"/>
        </w:rPr>
        <w:t>Utlämnandet av information om växthusgasutsläpp innan en transporttjänst tillhandahålls är avgörande för att uppmuntra medborgarna att fatta välinformerade beslut och påverkar affärsbesluten hos de enheter som anordnar och tillhandahåller dessa tjänster på marknaden. Därför bör berörda enheter och dataförmedlare, när så är möjligt, lämna ut information om växthusgasutsläpp från en specifik transporttjänst innan transporttjänsten tillhandahålls. Information om växthusgasutsläpp får emellertid visas efter tillhandahållandet av transporttjänsten, särskilt när kommunikationen mellan företag kräver en mer detaljerad informationsnivå, framför allt i samband med logistikkedjor och i förbindelser där avtal ingåtts med underleverantörer.</w:t>
      </w:r>
      <w:r w:rsidR="00D23316">
        <w:rPr>
          <w:b/>
          <w:szCs w:val="24"/>
          <w:lang w:eastAsia="en-US"/>
        </w:rPr>
        <w:t xml:space="preserve"> [Ändr. 27]</w:t>
      </w:r>
    </w:p>
    <w:p w:rsidR="00D23316" w:rsidRDefault="003D1F39" w:rsidP="003D1F39">
      <w:pPr>
        <w:spacing w:before="120" w:after="120" w:line="360" w:lineRule="auto"/>
        <w:ind w:left="850" w:hanging="850"/>
        <w:rPr>
          <w:b/>
          <w:szCs w:val="24"/>
          <w:lang w:eastAsia="en-US"/>
        </w:rPr>
      </w:pPr>
      <w:r w:rsidRPr="003D1F39">
        <w:rPr>
          <w:b/>
          <w:i/>
          <w:szCs w:val="24"/>
          <w:lang w:eastAsia="en-US"/>
        </w:rPr>
        <w:t>(23b)</w:t>
      </w:r>
      <w:r w:rsidRPr="003D1F39">
        <w:rPr>
          <w:szCs w:val="24"/>
          <w:lang w:eastAsia="en-US"/>
        </w:rPr>
        <w:tab/>
      </w:r>
      <w:r w:rsidRPr="003D1F39">
        <w:rPr>
          <w:b/>
          <w:i/>
          <w:szCs w:val="24"/>
          <w:lang w:eastAsia="en-US"/>
        </w:rPr>
        <w:t>Dataförmedlare bör vara skyldiga att göra informationen synlig i varje sökresultat och att inkludera rangordning efter utsläpp, där det miljövänligaste alternativet visas först, som ett standardalternativ för sortering, samt en enkel jämförelse mellan olika transportval, inbegripet användning av privata fordon och, i förekommande fall, alternativ med cykel. E-handelsaktörer bör också visa utsläppen från transporttjänster för de olika alternativen för paketleverans, tillsammans med en uppskattning av det leveransdatum och den kostnad som gäller vid det aktuella tillfället. Utdata om de faktiska utsläppen från transporttjänsten bör också tillhandahållas efter att den har genomförts.</w:t>
      </w:r>
      <w:r w:rsidR="00D23316">
        <w:rPr>
          <w:b/>
          <w:szCs w:val="24"/>
          <w:lang w:eastAsia="en-US"/>
        </w:rPr>
        <w:t xml:space="preserve"> [Ändr. 28]</w:t>
      </w:r>
    </w:p>
    <w:p w:rsidR="00D23316" w:rsidRDefault="00D23316">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(24)</w:t>
      </w:r>
      <w:r w:rsidRPr="003D1F39">
        <w:rPr>
          <w:szCs w:val="24"/>
          <w:lang w:eastAsia="en-US"/>
        </w:rPr>
        <w:tab/>
        <w:t>För att visa att kraven i denna förordning är uppfyllda bör en enhet som beräknar och offentliggör information om växthusgasutsläpp från en transporttjänst kunna ta fram bevis som styrker respektive utdata. Bevisen bör tas fram i enlighet med de regler om rapportering på transporttjänstnivå som fastställs i standarden SS-EN ISO 14083:2023, och de ska göras tillgängliga på begäran av en behörig myndighet, t.ex. en domstol, eller någon annan tredje part om detta krävs enligt separata arrangemang, inklusive sådana mellan företag.</w:t>
      </w:r>
    </w:p>
    <w:p w:rsidR="00D23316" w:rsidRDefault="003D1F39" w:rsidP="003D1F39">
      <w:pPr>
        <w:spacing w:before="120" w:after="120" w:line="360" w:lineRule="auto"/>
        <w:ind w:left="850" w:hanging="850"/>
        <w:rPr>
          <w:szCs w:val="24"/>
          <w:lang w:eastAsia="en-US"/>
        </w:rPr>
      </w:pPr>
      <w:r w:rsidRPr="003D1F39">
        <w:rPr>
          <w:szCs w:val="24"/>
          <w:lang w:eastAsia="en-US"/>
        </w:rPr>
        <w:t>(25)</w:t>
      </w:r>
      <w:r w:rsidRPr="003D1F39">
        <w:rPr>
          <w:szCs w:val="24"/>
          <w:lang w:eastAsia="en-US"/>
        </w:rPr>
        <w:tab/>
        <w:t>Såvida inte separata arrangemang tillämpas bör en dataförmedlare som samlar in information om växthusgasutsläpp från en transporttjänst från en berörd enhet eller annan relevant juridisk eller fysisk person, och som lämnar ut den på marknaden, inte betraktas som ansvarig om denna information strider mot något av de krav avseende beräkning och verifiering av växthusgasutsläpp från transporttjänster och certifiering av beräkningsverktyg som fastställs i denna förordning. Dataförmedlaren bör dock anstränga sig för att förhindra att felaktig eller inkorrekt information lämnas ut och bör respektera reglerna för utdata om växthusgasutsläpp, kommunikation och öppenhet. Dessutom bör dataförmedlaren ange källan till denna information för att göra det möjligt att identifiera respektive informationsleverantör.</w:t>
      </w:r>
    </w:p>
    <w:p w:rsidR="00D23316" w:rsidRDefault="00D23316">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(26)</w:t>
      </w:r>
      <w:r w:rsidRPr="003D1F39">
        <w:rPr>
          <w:szCs w:val="24"/>
          <w:lang w:eastAsia="en-US"/>
        </w:rPr>
        <w:tab/>
        <w:t xml:space="preserve">Externa beräkningsverktyg som tillhandahålls på marknaden för en bredare kommersiell och icke-kommersiell användning kan underlätta redovisningen av växthusgasutsläpp från transporttjänster och på så sätt bidra till att den sprids till bredare grupper av berörda parter. Användningen av dessa verktyg bör certifieras för att garantera att de uppfyller kraven i denna förordning, särskilt när det gäller användningen av den gemensamma </w:t>
      </w:r>
      <w:proofErr w:type="spellStart"/>
      <w:r w:rsidRPr="003D1F39">
        <w:rPr>
          <w:szCs w:val="24"/>
          <w:lang w:eastAsia="en-US"/>
        </w:rPr>
        <w:t>referensmetoden</w:t>
      </w:r>
      <w:proofErr w:type="spellEnd"/>
      <w:r w:rsidRPr="003D1F39">
        <w:rPr>
          <w:szCs w:val="24"/>
          <w:lang w:eastAsia="en-US"/>
        </w:rPr>
        <w:t xml:space="preserve"> och en lämplig uppsättning indata.</w:t>
      </w:r>
      <w:r w:rsidRPr="003D1F39">
        <w:rPr>
          <w:b/>
          <w:i/>
          <w:szCs w:val="24"/>
          <w:lang w:eastAsia="en-US"/>
        </w:rPr>
        <w:t xml:space="preserve"> I certifieringen bör det anges om beräkningsverktyget stöder beräkningar baserade på primärdata.</w:t>
      </w:r>
      <w:r w:rsidR="00D23316">
        <w:rPr>
          <w:b/>
          <w:szCs w:val="24"/>
          <w:lang w:eastAsia="en-US"/>
        </w:rPr>
        <w:t xml:space="preserve"> [Ändr. 29]</w:t>
      </w:r>
    </w:p>
    <w:p w:rsidR="00D23316" w:rsidRDefault="003D1F39" w:rsidP="003D1F39">
      <w:pPr>
        <w:spacing w:before="120" w:after="120" w:line="360" w:lineRule="auto"/>
        <w:ind w:left="850" w:hanging="850"/>
        <w:rPr>
          <w:b/>
          <w:szCs w:val="24"/>
          <w:lang w:eastAsia="en-US"/>
        </w:rPr>
      </w:pPr>
      <w:r w:rsidRPr="003D1F39">
        <w:rPr>
          <w:b/>
          <w:i/>
          <w:szCs w:val="24"/>
          <w:lang w:eastAsia="en-US"/>
        </w:rPr>
        <w:t>(26a)</w:t>
      </w:r>
      <w:r w:rsidRPr="003D1F39">
        <w:rPr>
          <w:szCs w:val="24"/>
          <w:lang w:eastAsia="en-US"/>
        </w:rPr>
        <w:tab/>
      </w:r>
      <w:r w:rsidRPr="003D1F39">
        <w:rPr>
          <w:b/>
          <w:i/>
          <w:szCs w:val="24"/>
          <w:lang w:eastAsia="en-US"/>
        </w:rPr>
        <w:t>För att skapa ett gemensamt och lätt jämförbart förfarande samt minska den administrativa och ekonomiska bördan för enheter som vill beräkna sina utsläpp, särskilt små och medelstora företag, bör kommissionen utveckla ett kostnadsfritt offentligt beräkningsverktyg som garanterar tillgång till utdata och som är enkelt att använda och lättillgängligt online. Detta beräkningsverktyg bör åtföljas av dokument med detaljerade instruktioner. Kommissionen bör se till att detta verktyg bidrar till att öka medvetenheten och uppmuntrar användningen av primärdata för beräkning av växthusgasutsläpp.</w:t>
      </w:r>
      <w:r w:rsidR="00D23316">
        <w:rPr>
          <w:b/>
          <w:szCs w:val="24"/>
          <w:lang w:eastAsia="en-US"/>
        </w:rPr>
        <w:t xml:space="preserve"> [Ändr. 30]</w:t>
      </w:r>
    </w:p>
    <w:p w:rsidR="00D23316" w:rsidRDefault="00D23316">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(27)</w:t>
      </w:r>
      <w:r w:rsidRPr="003D1F39">
        <w:rPr>
          <w:szCs w:val="24"/>
          <w:lang w:eastAsia="en-US"/>
        </w:rPr>
        <w:tab/>
        <w:t xml:space="preserve">Ett lämpligt utformat verifieringssystem för att kontrollera att de utdata om växthusgasutsläpp som lämnas ut på marknaden och de underliggande beräkningsprocesserna överensstämmer med kraven i denna förordning bör avsevärt öka förtroendet för att dessa data är tillförlitliga och korrekta. Enheter som framgångsrikt har genomgått bedömningen av överensstämmelse bör ha rätt att erhålla ett bevis på överensstämmelse som ska vara allmänt erkänt i hela unionen. </w:t>
      </w:r>
      <w:r w:rsidRPr="003D1F39">
        <w:rPr>
          <w:strike/>
          <w:szCs w:val="24"/>
          <w:lang w:eastAsia="en-US"/>
        </w:rPr>
        <w:t xml:space="preserve">Om primärdata har tagits med bör detta framgå </w:t>
      </w:r>
      <w:proofErr w:type="spellStart"/>
      <w:r w:rsidRPr="003D1F39">
        <w:rPr>
          <w:strike/>
          <w:szCs w:val="24"/>
          <w:lang w:eastAsia="en-US"/>
        </w:rPr>
        <w:t>av</w:t>
      </w:r>
      <w:r w:rsidRPr="00DA5633">
        <w:rPr>
          <w:szCs w:val="24"/>
          <w:lang w:eastAsia="en-US"/>
        </w:rPr>
        <w:t>I</w:t>
      </w:r>
      <w:proofErr w:type="spellEnd"/>
      <w:r w:rsidRPr="00585C14">
        <w:rPr>
          <w:szCs w:val="24"/>
          <w:lang w:eastAsia="en-US"/>
        </w:rPr>
        <w:t xml:space="preserve"> </w:t>
      </w:r>
      <w:r w:rsidRPr="003D1F39">
        <w:rPr>
          <w:szCs w:val="24"/>
          <w:lang w:eastAsia="en-US"/>
        </w:rPr>
        <w:t>beviset på överensstämmelse</w:t>
      </w:r>
      <w:r w:rsidRPr="003D1F39">
        <w:rPr>
          <w:strike/>
          <w:szCs w:val="24"/>
          <w:lang w:eastAsia="en-US"/>
        </w:rPr>
        <w:t>, särskilt</w:t>
      </w:r>
      <w:r w:rsidRPr="003D1F39">
        <w:rPr>
          <w:b/>
          <w:i/>
          <w:szCs w:val="24"/>
          <w:lang w:eastAsia="en-US"/>
        </w:rPr>
        <w:t xml:space="preserve"> bör det anges hur stor andel primärdata som använts</w:t>
      </w:r>
      <w:r w:rsidR="00585C14">
        <w:rPr>
          <w:b/>
          <w:i/>
          <w:szCs w:val="24"/>
          <w:lang w:eastAsia="en-US"/>
        </w:rPr>
        <w:t>,</w:t>
      </w:r>
      <w:r w:rsidRPr="003D1F39">
        <w:rPr>
          <w:szCs w:val="24"/>
          <w:lang w:eastAsia="en-US"/>
        </w:rPr>
        <w:t xml:space="preserve"> för att uppmuntra alla enheter som berörs av reglerna i denna förordning att samla in och använda primärdata.</w:t>
      </w:r>
      <w:r w:rsidR="00D23316">
        <w:rPr>
          <w:b/>
          <w:szCs w:val="24"/>
          <w:lang w:eastAsia="en-US"/>
        </w:rPr>
        <w:t xml:space="preserve"> [Ändr. 31]</w:t>
      </w:r>
    </w:p>
    <w:p w:rsidR="00D23316" w:rsidRDefault="003D1F39" w:rsidP="003D1F39">
      <w:pPr>
        <w:spacing w:before="120" w:after="120" w:line="360" w:lineRule="auto"/>
        <w:ind w:left="850" w:hanging="850"/>
        <w:rPr>
          <w:szCs w:val="24"/>
          <w:lang w:eastAsia="en-US"/>
        </w:rPr>
      </w:pPr>
      <w:r w:rsidRPr="003D1F39">
        <w:rPr>
          <w:szCs w:val="24"/>
          <w:lang w:eastAsia="en-US"/>
        </w:rPr>
        <w:t>(28)</w:t>
      </w:r>
      <w:r w:rsidRPr="003D1F39">
        <w:rPr>
          <w:szCs w:val="24"/>
          <w:lang w:eastAsia="en-US"/>
        </w:rPr>
        <w:tab/>
        <w:t>Den administrativa bördan i samband med verifieringen kan vara oproportionerlig för mindre företag och bör därför undvikas. I detta syfte bör små och medelstora företag undantas från kraven i samband med verifieringen, såvida inte dessa företag vill erhålla de olika bevisen på överensstämmelse. Dessutom bör stora företag beakta proportionalitetsprincipen när de överväger att begära en verifiering av överensstämmelse från partner i värdekedjan, särskilt om dessa är små och medelstora företag.</w:t>
      </w:r>
    </w:p>
    <w:p w:rsidR="00D23316" w:rsidRDefault="00D23316">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(28a)</w:t>
      </w:r>
      <w:r w:rsidRPr="003D1F39">
        <w:rPr>
          <w:szCs w:val="24"/>
          <w:lang w:eastAsia="en-US"/>
        </w:rPr>
        <w:tab/>
      </w:r>
      <w:r w:rsidRPr="003D1F39">
        <w:rPr>
          <w:b/>
          <w:i/>
          <w:szCs w:val="24"/>
          <w:lang w:eastAsia="en-US"/>
        </w:rPr>
        <w:t>Redovisning av växthusgasutsläpp baserat på primärdata kan visa den mängd bränsle eller energi som förbrukas i samband med specifika kunders uppdrag, och utsläppen kan därför omvänt omvandlas till driftskostnader. Detta påverkar de små och medelstora företagens förhandlingsstyrka negativt, särskilt inom godstransportsektorn. Därför bör stora företag inte tillåtas att begära uppgifter om växthusgasutsläpp som bygger på primärdata från partner i värdekedjan, särskilt inte från små och medelstora företag.</w:t>
      </w:r>
      <w:r w:rsidR="00D23316">
        <w:rPr>
          <w:b/>
          <w:szCs w:val="24"/>
          <w:lang w:eastAsia="en-US"/>
        </w:rPr>
        <w:t xml:space="preserve"> [Ändr. 32]</w:t>
      </w:r>
    </w:p>
    <w:p w:rsidR="00D23316" w:rsidRDefault="003D1F39" w:rsidP="003D1F39">
      <w:pPr>
        <w:spacing w:before="120" w:after="120" w:line="360" w:lineRule="auto"/>
        <w:ind w:left="850" w:hanging="850"/>
        <w:rPr>
          <w:szCs w:val="24"/>
          <w:lang w:eastAsia="en-US"/>
        </w:rPr>
      </w:pPr>
      <w:r w:rsidRPr="003D1F39">
        <w:rPr>
          <w:szCs w:val="24"/>
          <w:lang w:eastAsia="en-US"/>
        </w:rPr>
        <w:t>(29)</w:t>
      </w:r>
      <w:r w:rsidRPr="003D1F39">
        <w:rPr>
          <w:szCs w:val="24"/>
          <w:lang w:eastAsia="en-US"/>
        </w:rPr>
        <w:tab/>
        <w:t xml:space="preserve">Om verifieringen av data om växthusgasutsläpp från transporttjänster organiseras i enlighet med särskilda regler i annan unionslagstiftning, inbegripet en förordning om säkerställande av lika villkor för hållbar luftfart och genomförs av Europeiska unionens byrå för luftfartssäkerhet, ska dessa </w:t>
      </w:r>
      <w:r w:rsidR="00321967">
        <w:rPr>
          <w:szCs w:val="24"/>
          <w:lang w:eastAsia="en-US"/>
        </w:rPr>
        <w:t>regle</w:t>
      </w:r>
      <w:r w:rsidR="00321967" w:rsidRPr="003D1F39">
        <w:rPr>
          <w:szCs w:val="24"/>
          <w:lang w:eastAsia="en-US"/>
        </w:rPr>
        <w:t xml:space="preserve">r </w:t>
      </w:r>
      <w:r w:rsidRPr="003D1F39">
        <w:rPr>
          <w:szCs w:val="24"/>
          <w:lang w:eastAsia="en-US"/>
        </w:rPr>
        <w:t>behandlas på ett likvärdigt sätt, under förutsättning att verifieringsbedömningen fastställs i enlighet med kraven i denna förordning.</w:t>
      </w:r>
    </w:p>
    <w:p w:rsidR="00D23316" w:rsidRDefault="00D23316">
      <w:pPr>
        <w:widowControl/>
        <w:rPr>
          <w:szCs w:val="24"/>
          <w:lang w:eastAsia="en-US"/>
        </w:rPr>
      </w:pPr>
      <w:r>
        <w:rPr>
          <w:szCs w:val="24"/>
          <w:lang w:eastAsia="en-US"/>
        </w:rPr>
        <w:br w:type="page"/>
      </w:r>
    </w:p>
    <w:p w:rsidR="00D23316" w:rsidRDefault="003D1F39" w:rsidP="003D1F39">
      <w:pPr>
        <w:spacing w:before="120" w:after="120" w:line="360" w:lineRule="auto"/>
        <w:ind w:left="850" w:hanging="850"/>
        <w:rPr>
          <w:b/>
          <w:szCs w:val="24"/>
          <w:lang w:eastAsia="en-US"/>
        </w:rPr>
      </w:pPr>
      <w:r w:rsidRPr="003D1F39">
        <w:rPr>
          <w:b/>
          <w:i/>
          <w:szCs w:val="24"/>
          <w:lang w:eastAsia="en-US"/>
        </w:rPr>
        <w:lastRenderedPageBreak/>
        <w:t>(29a)</w:t>
      </w:r>
      <w:r w:rsidRPr="003D1F39">
        <w:rPr>
          <w:szCs w:val="24"/>
          <w:lang w:eastAsia="en-US"/>
        </w:rPr>
        <w:tab/>
      </w:r>
      <w:r w:rsidRPr="003D1F39">
        <w:rPr>
          <w:b/>
          <w:i/>
          <w:szCs w:val="24"/>
          <w:lang w:eastAsia="en-US"/>
        </w:rPr>
        <w:t>För att säkerställa att denna förordning tillämpas och genomförs korrekt bör medlemsstaterna bidra till att den efterlevs, bland annat genom att inrätta ett sanktionssystem. Böterna bör vara proportionella och avskräckande och hänsyn bör tas till eventuella återkommande fall där berörda enheter inte uppfyller beräknings- och informationskraven eller där de tillhandahåller vilseledande information. De minimi- eller maximibelopp som fastställs bör inte på något sätt uppmuntra till bristande efterlevnad.</w:t>
      </w:r>
      <w:r w:rsidR="00D23316">
        <w:rPr>
          <w:b/>
          <w:szCs w:val="24"/>
          <w:lang w:eastAsia="en-US"/>
        </w:rPr>
        <w:t xml:space="preserve"> [Ändr. 33]</w:t>
      </w:r>
    </w:p>
    <w:p w:rsidR="00D23316" w:rsidRDefault="00D23316">
      <w:pPr>
        <w:widowControl/>
        <w:rPr>
          <w:b/>
          <w:szCs w:val="24"/>
          <w:lang w:eastAsia="en-US"/>
        </w:rPr>
      </w:pPr>
      <w:r>
        <w:rPr>
          <w:b/>
          <w:szCs w:val="24"/>
          <w:lang w:eastAsia="en-US"/>
        </w:rPr>
        <w:br w:type="page"/>
      </w:r>
    </w:p>
    <w:p w:rsidR="00D23316" w:rsidRDefault="003D1F39" w:rsidP="003D1F39">
      <w:pPr>
        <w:spacing w:before="120" w:after="120" w:line="360" w:lineRule="auto"/>
        <w:ind w:left="850" w:hanging="850"/>
        <w:rPr>
          <w:szCs w:val="24"/>
          <w:lang w:eastAsia="en-US"/>
        </w:rPr>
      </w:pPr>
      <w:r w:rsidRPr="003D1F39">
        <w:rPr>
          <w:szCs w:val="24"/>
          <w:lang w:eastAsia="en-US"/>
        </w:rPr>
        <w:lastRenderedPageBreak/>
        <w:t>(30)</w:t>
      </w:r>
      <w:r w:rsidRPr="003D1F39">
        <w:rPr>
          <w:szCs w:val="24"/>
          <w:lang w:eastAsia="en-US"/>
        </w:rPr>
        <w:tab/>
        <w:t xml:space="preserve">I syfte att denna förordning ska fungera effektivt bör befogenheten att anta akter i enlighet med artikel 290 i fördraget om Europeiska unionens funktionssätt delegeras till kommissionen med avseende på bedömning och uteslutande av vissa delar av </w:t>
      </w:r>
      <w:proofErr w:type="spellStart"/>
      <w:r w:rsidRPr="003D1F39">
        <w:rPr>
          <w:szCs w:val="24"/>
          <w:lang w:eastAsia="en-US"/>
        </w:rPr>
        <w:t>referensmetoden</w:t>
      </w:r>
      <w:proofErr w:type="spellEnd"/>
      <w:r w:rsidRPr="003D1F39">
        <w:rPr>
          <w:szCs w:val="24"/>
          <w:lang w:eastAsia="en-US"/>
        </w:rPr>
        <w:t>. lämna in begäranden till Europeiska standardiseringskommittén, fastställa regler för den tekniska kvalitetskontrollen av externa databaser över standardvärden, anpassa måtten för utdata om växthusgasutsläpp och fastställa ytterligare metoder och kriterier för ackreditering av organ för bedömning av överensstämmelse.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3D1F39">
        <w:rPr>
          <w:szCs w:val="24"/>
          <w:vertAlign w:val="superscript"/>
          <w:lang w:val="en-GB" w:eastAsia="en-US"/>
        </w:rPr>
        <w:footnoteReference w:id="17"/>
      </w:r>
      <w:r w:rsidRPr="003D1F39">
        <w:rPr>
          <w:szCs w:val="24"/>
          <w:lang w:eastAsia="en-US"/>
        </w:rP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rsidR="00D23316" w:rsidRDefault="00D23316">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(31)</w:t>
      </w:r>
      <w:r w:rsidRPr="003D1F39">
        <w:rPr>
          <w:szCs w:val="24"/>
          <w:lang w:eastAsia="en-US"/>
        </w:rPr>
        <w:tab/>
        <w:t>För att säkerställa enhetliga villkor för genomförandet av denna förordning bör kommissionen ges genomförandebefogenheter avseende certifiering av beräkningsverktyg och verifiering av data om växthusgasutsläpp. Dessa befogenheter bör utövas i enlighet med Europaparlamentets och rådets förordning (EU) nr 182/2011</w:t>
      </w:r>
      <w:r w:rsidRPr="003D1F39">
        <w:rPr>
          <w:szCs w:val="24"/>
          <w:vertAlign w:val="superscript"/>
          <w:lang w:val="en-GB" w:eastAsia="en-US"/>
        </w:rPr>
        <w:footnoteReference w:id="18"/>
      </w:r>
      <w:r w:rsidRPr="003D1F39">
        <w:rPr>
          <w:szCs w:val="24"/>
          <w:lang w:eastAsia="en-US"/>
        </w:rPr>
        <w:t>.</w:t>
      </w:r>
    </w:p>
    <w:p w:rsidR="00D23316" w:rsidRDefault="003D1F39" w:rsidP="003D1F39">
      <w:pPr>
        <w:spacing w:before="120" w:after="120" w:line="360" w:lineRule="auto"/>
        <w:ind w:left="850" w:hanging="850"/>
        <w:rPr>
          <w:szCs w:val="24"/>
          <w:lang w:eastAsia="en-US"/>
        </w:rPr>
      </w:pPr>
      <w:r w:rsidRPr="003D1F39">
        <w:rPr>
          <w:szCs w:val="24"/>
          <w:lang w:eastAsia="en-US"/>
        </w:rPr>
        <w:t>(32)</w:t>
      </w:r>
      <w:r w:rsidRPr="003D1F39">
        <w:rPr>
          <w:szCs w:val="24"/>
          <w:lang w:eastAsia="en-US"/>
        </w:rPr>
        <w:tab/>
        <w:t>Jämförbarhet mellan data om växthusgasutsläpp från transporttjänster och bredare användning av redovisning av växthusgasutsläpp i affärspraxis är inte mål som i tillräcklig utsträckning kan uppnås av medlemsstaterna utan att riskera att skapa byråkrati på den inre marknaden och medföra ytterligare kostnader och administrativa bördor för industrin. Dessa mål kan snarare, på grund av de nätverkseffekter som uppstår då medlemsstaterna agerar tillsammans, bättre uppnås på unionsnivå. Unionen får därför vidta åtgärder i enlighet med subsidiaritetsprincipen enligt artikel 5 i fördraget om Europeiska unionen.</w:t>
      </w:r>
    </w:p>
    <w:p w:rsidR="00D23316" w:rsidRDefault="00D23316">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(33)</w:t>
      </w:r>
      <w:r w:rsidRPr="003D1F39">
        <w:rPr>
          <w:szCs w:val="24"/>
          <w:lang w:eastAsia="en-US"/>
        </w:rPr>
        <w:tab/>
        <w:t>I enlighet med proportionalitetsprincipen är det nödvändigt och lämpligt för att uppnå det grundläggande målet att uppmuntra beteendeförändringar bland företag och kunder att minska växthusgasutsläppen från transporttjänster genom införande och användning av jämförbara och tillförlitliga data om växthusgasutsläpp och genom fastställande av regler för redovisning av växthusgasutsläpp från transporttjänster. Denna förordning går inte utöver vad som är nödvändigt för att uppnå de eftersträvade målen, i enlighet med artikel 5.4 i fördraget om Europeiska unionen.</w:t>
      </w:r>
    </w:p>
    <w:p w:rsidR="00D23316" w:rsidRDefault="003D1F39" w:rsidP="003D1F39">
      <w:pPr>
        <w:keepNext/>
        <w:widowControl/>
        <w:spacing w:before="120" w:after="120" w:line="360" w:lineRule="auto"/>
        <w:rPr>
          <w:szCs w:val="24"/>
          <w:lang w:eastAsia="en-US"/>
        </w:rPr>
      </w:pPr>
      <w:r w:rsidRPr="003D1F39">
        <w:rPr>
          <w:szCs w:val="24"/>
          <w:lang w:eastAsia="en-US"/>
        </w:rPr>
        <w:t>HÄRIGENOM FÖRESKRIVS FÖLJANDE.</w:t>
      </w:r>
    </w:p>
    <w:p w:rsidR="00D23316" w:rsidRDefault="00D23316">
      <w:pPr>
        <w:widowControl/>
        <w:rPr>
          <w:szCs w:val="24"/>
          <w:lang w:eastAsia="en-US"/>
        </w:rPr>
      </w:pPr>
      <w:r>
        <w:rPr>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I</w:t>
      </w:r>
      <w:r w:rsidRPr="003D1F39">
        <w:rPr>
          <w:szCs w:val="24"/>
          <w:lang w:eastAsia="en-US"/>
        </w:rPr>
        <w:br/>
        <w:t>ALLMÄNNA BESTÄMMELSER</w:t>
      </w:r>
    </w:p>
    <w:p w:rsidR="003D1F39" w:rsidRPr="003D1F39" w:rsidRDefault="003D1F39" w:rsidP="003D1F39">
      <w:pPr>
        <w:spacing w:before="120" w:after="120" w:line="360" w:lineRule="auto"/>
        <w:jc w:val="center"/>
        <w:rPr>
          <w:szCs w:val="24"/>
          <w:lang w:eastAsia="en-US"/>
        </w:rPr>
      </w:pPr>
      <w:r w:rsidRPr="003D1F39">
        <w:rPr>
          <w:szCs w:val="24"/>
          <w:lang w:eastAsia="en-US"/>
        </w:rPr>
        <w:t>Artikel 1</w:t>
      </w:r>
      <w:r w:rsidRPr="003D1F39">
        <w:rPr>
          <w:szCs w:val="24"/>
          <w:lang w:eastAsia="en-US"/>
        </w:rPr>
        <w:br/>
        <w:t>Innehåll</w:t>
      </w:r>
    </w:p>
    <w:p w:rsidR="003D1F39" w:rsidRPr="00DA5633" w:rsidRDefault="003D1F39" w:rsidP="003D1F39">
      <w:pPr>
        <w:spacing w:before="120" w:after="120" w:line="360" w:lineRule="auto"/>
        <w:rPr>
          <w:b/>
          <w:szCs w:val="24"/>
          <w:lang w:eastAsia="en-US"/>
        </w:rPr>
      </w:pPr>
      <w:r w:rsidRPr="003D1F39">
        <w:rPr>
          <w:szCs w:val="24"/>
          <w:lang w:eastAsia="en-US"/>
        </w:rPr>
        <w:t xml:space="preserve">I denna förordning fastställs regler för redovisning </w:t>
      </w:r>
      <w:r w:rsidRPr="003D1F39">
        <w:rPr>
          <w:b/>
          <w:i/>
          <w:szCs w:val="24"/>
          <w:lang w:eastAsia="en-US"/>
        </w:rPr>
        <w:t xml:space="preserve">och utlämnande av information </w:t>
      </w:r>
      <w:proofErr w:type="spellStart"/>
      <w:r w:rsidRPr="003D1F39">
        <w:rPr>
          <w:b/>
          <w:i/>
          <w:szCs w:val="24"/>
          <w:lang w:eastAsia="en-US"/>
        </w:rPr>
        <w:t>om</w:t>
      </w:r>
      <w:r w:rsidRPr="003D1F39">
        <w:rPr>
          <w:strike/>
          <w:szCs w:val="24"/>
          <w:lang w:eastAsia="en-US"/>
        </w:rPr>
        <w:t>av</w:t>
      </w:r>
      <w:proofErr w:type="spellEnd"/>
      <w:r w:rsidRPr="003D1F39">
        <w:rPr>
          <w:szCs w:val="24"/>
          <w:lang w:eastAsia="en-US"/>
        </w:rPr>
        <w:t xml:space="preserve"> växthusgasutsläpp från transporttjänster som börjar eller slutar på unionens territorium.</w:t>
      </w:r>
      <w:r w:rsidR="00D23316">
        <w:rPr>
          <w:b/>
          <w:szCs w:val="24"/>
          <w:lang w:eastAsia="en-US"/>
        </w:rPr>
        <w:t xml:space="preserve"> [Ändr. 34]</w:t>
      </w:r>
    </w:p>
    <w:p w:rsidR="003D1F39" w:rsidRPr="003D1F39" w:rsidRDefault="003D1F39" w:rsidP="003D1F39">
      <w:pPr>
        <w:spacing w:before="120" w:after="120" w:line="360" w:lineRule="auto"/>
        <w:jc w:val="center"/>
        <w:rPr>
          <w:szCs w:val="24"/>
          <w:lang w:eastAsia="en-US"/>
        </w:rPr>
      </w:pPr>
      <w:r w:rsidRPr="003D1F39">
        <w:rPr>
          <w:szCs w:val="24"/>
          <w:lang w:eastAsia="en-US"/>
        </w:rPr>
        <w:t>Artikel 2</w:t>
      </w:r>
      <w:r w:rsidRPr="003D1F39">
        <w:rPr>
          <w:szCs w:val="24"/>
          <w:lang w:eastAsia="en-US"/>
        </w:rPr>
        <w:br/>
        <w:t>Tillämpningsområde</w:t>
      </w:r>
    </w:p>
    <w:p w:rsidR="003D1F39" w:rsidRPr="003D1F39" w:rsidRDefault="003D1F39" w:rsidP="003D1F39">
      <w:pPr>
        <w:spacing w:before="120" w:after="120" w:line="360" w:lineRule="auto"/>
        <w:rPr>
          <w:szCs w:val="24"/>
          <w:lang w:eastAsia="en-US"/>
        </w:rPr>
      </w:pPr>
      <w:r w:rsidRPr="003D1F39">
        <w:rPr>
          <w:szCs w:val="24"/>
          <w:lang w:eastAsia="en-US"/>
        </w:rPr>
        <w:t>Denna förordning är tillämplig på</w:t>
      </w:r>
      <w:r w:rsidRPr="003D1F39">
        <w:rPr>
          <w:strike/>
          <w:szCs w:val="24"/>
          <w:lang w:eastAsia="en-US"/>
        </w:rPr>
        <w:t xml:space="preserve"> varje enhet som tillhandahåller eller organiserar gods- och persontrafik i unionen, som beräknar växthusgasutsläpp från en transporttjänst med början eller slut på unionens territorium, och som lämnar disaggregerad information om dessa utsläpp till en tredje part, för kommersiella eller regleringsmässiga ändamål.</w:t>
      </w:r>
    </w:p>
    <w:p w:rsidR="003D1F39" w:rsidRPr="003D1F39" w:rsidRDefault="003D1F39" w:rsidP="003D1F39">
      <w:pPr>
        <w:spacing w:before="120" w:after="120" w:line="360" w:lineRule="auto"/>
        <w:ind w:left="850" w:hanging="850"/>
        <w:rPr>
          <w:szCs w:val="24"/>
          <w:lang w:eastAsia="en-US"/>
        </w:rPr>
      </w:pPr>
      <w:r w:rsidRPr="003D1F39">
        <w:rPr>
          <w:b/>
          <w:i/>
          <w:szCs w:val="24"/>
          <w:lang w:eastAsia="en-US"/>
        </w:rPr>
        <w:t>a)</w:t>
      </w:r>
      <w:r w:rsidRPr="003D1F39">
        <w:rPr>
          <w:szCs w:val="24"/>
          <w:lang w:eastAsia="en-US"/>
        </w:rPr>
        <w:tab/>
      </w:r>
      <w:r w:rsidRPr="003D1F39">
        <w:rPr>
          <w:b/>
          <w:i/>
          <w:szCs w:val="24"/>
          <w:lang w:eastAsia="en-US"/>
        </w:rPr>
        <w:t>enheter som tillhandahåller eller anordnar gods- och persontransporttjänster i unionen, som beräknar växthusgasutsläpp från en transporttjänst med början eller slut på unionens territorium, och som lämnar ut disaggregerad information om dessa utsläpp till en tredje part,</w:t>
      </w:r>
    </w:p>
    <w:p w:rsidR="00D23316" w:rsidRDefault="003D1F39" w:rsidP="003D1F39">
      <w:pPr>
        <w:spacing w:before="120" w:after="120" w:line="360" w:lineRule="auto"/>
        <w:ind w:left="850" w:hanging="850"/>
        <w:rPr>
          <w:b/>
          <w:szCs w:val="24"/>
          <w:lang w:eastAsia="en-US"/>
        </w:rPr>
      </w:pPr>
      <w:r w:rsidRPr="003D1F39">
        <w:rPr>
          <w:b/>
          <w:i/>
          <w:szCs w:val="24"/>
          <w:lang w:eastAsia="en-US"/>
        </w:rPr>
        <w:t>b)</w:t>
      </w:r>
      <w:r w:rsidRPr="003D1F39">
        <w:rPr>
          <w:szCs w:val="24"/>
          <w:lang w:eastAsia="en-US"/>
        </w:rPr>
        <w:tab/>
      </w:r>
      <w:r w:rsidRPr="003D1F39">
        <w:rPr>
          <w:b/>
          <w:i/>
          <w:szCs w:val="24"/>
          <w:lang w:eastAsia="en-US"/>
        </w:rPr>
        <w:t>dataförmedlare som beräknar information om växthusgasutsläpp från transporttjänster och inte endast lämnar ut sådan information om dessa utsläpp som tillhandahållits av en berörd enhet eller annan relevant juridisk eller fysisk person.</w:t>
      </w:r>
      <w:r w:rsidR="00D23316">
        <w:rPr>
          <w:b/>
          <w:szCs w:val="24"/>
          <w:lang w:eastAsia="en-US"/>
        </w:rPr>
        <w:t xml:space="preserve"> [Ändr. 35]</w:t>
      </w:r>
    </w:p>
    <w:p w:rsidR="00D23316" w:rsidRDefault="00D23316">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Artikel 3</w:t>
      </w:r>
      <w:r w:rsidRPr="003D1F39">
        <w:rPr>
          <w:szCs w:val="24"/>
          <w:lang w:eastAsia="en-US"/>
        </w:rPr>
        <w:br/>
        <w:t>Definitioner</w:t>
      </w:r>
    </w:p>
    <w:p w:rsidR="003D1F39" w:rsidRPr="003D1F39" w:rsidRDefault="003D1F39" w:rsidP="003D1F39">
      <w:pPr>
        <w:spacing w:before="120" w:after="120" w:line="360" w:lineRule="auto"/>
        <w:rPr>
          <w:szCs w:val="24"/>
          <w:lang w:eastAsia="en-US"/>
        </w:rPr>
      </w:pPr>
      <w:r w:rsidRPr="003D1F39">
        <w:rPr>
          <w:szCs w:val="24"/>
          <w:lang w:eastAsia="en-US"/>
        </w:rPr>
        <w:t>I denna förordning gäller följande definitioner:</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 xml:space="preserve">växthusgas: de gasformiga beståndsdelar, både naturliga och </w:t>
      </w:r>
      <w:proofErr w:type="spellStart"/>
      <w:r w:rsidRPr="003D1F39">
        <w:rPr>
          <w:szCs w:val="24"/>
          <w:lang w:eastAsia="en-US"/>
        </w:rPr>
        <w:t>antropogena</w:t>
      </w:r>
      <w:proofErr w:type="spellEnd"/>
      <w:r w:rsidRPr="003D1F39">
        <w:rPr>
          <w:szCs w:val="24"/>
          <w:lang w:eastAsia="en-US"/>
        </w:rPr>
        <w:t>, i atmosfären som absorberar och avger strålning vid specifika våglängder inom det spektrum av infraröd strålning som avges av jordens yta, av atmosfären och av molnen</w:t>
      </w:r>
      <w:r w:rsidRPr="003D1F39">
        <w:rPr>
          <w:b/>
          <w:i/>
          <w:szCs w:val="24"/>
          <w:lang w:eastAsia="en-US"/>
        </w:rPr>
        <w:t xml:space="preserve"> i enlighet med den senaste utvärderingsrapporten från den mellanstatliga panelen för klimatförändringar (IPCC)</w:t>
      </w:r>
      <w:r w:rsidRPr="003D1F39">
        <w:rPr>
          <w:szCs w:val="24"/>
          <w:lang w:eastAsia="en-US"/>
        </w:rPr>
        <w:t>.</w:t>
      </w:r>
      <w:r w:rsidR="00D23316">
        <w:rPr>
          <w:b/>
          <w:szCs w:val="24"/>
          <w:lang w:eastAsia="en-US"/>
        </w:rPr>
        <w:t xml:space="preserve"> [Ändr. 36]</w:t>
      </w:r>
    </w:p>
    <w:p w:rsidR="003D1F39" w:rsidRPr="003D1F39" w:rsidRDefault="003D1F39" w:rsidP="003D1F39">
      <w:pPr>
        <w:spacing w:before="120" w:after="120" w:line="360" w:lineRule="auto"/>
        <w:ind w:left="850" w:hanging="850"/>
        <w:rPr>
          <w:szCs w:val="24"/>
          <w:lang w:eastAsia="en-US"/>
        </w:rPr>
      </w:pPr>
      <w:r w:rsidRPr="003D1F39">
        <w:rPr>
          <w:szCs w:val="24"/>
          <w:lang w:eastAsia="en-US"/>
        </w:rPr>
        <w:t>(2)</w:t>
      </w:r>
      <w:r w:rsidRPr="003D1F39">
        <w:rPr>
          <w:szCs w:val="24"/>
          <w:lang w:eastAsia="en-US"/>
        </w:rPr>
        <w:tab/>
        <w:t>växthusgasutsläpp: utsläpp till atmosfären av en växthusgas, uttryckt i massan koldioxidekvivalenter.</w:t>
      </w:r>
    </w:p>
    <w:p w:rsidR="003D1F39" w:rsidRPr="003D1F39" w:rsidRDefault="003D1F39" w:rsidP="003D1F39">
      <w:pPr>
        <w:spacing w:before="120" w:after="120" w:line="360" w:lineRule="auto"/>
        <w:ind w:left="850" w:hanging="850"/>
        <w:rPr>
          <w:szCs w:val="24"/>
          <w:lang w:eastAsia="en-US"/>
        </w:rPr>
      </w:pPr>
      <w:r w:rsidRPr="003D1F39">
        <w:rPr>
          <w:szCs w:val="24"/>
          <w:lang w:eastAsia="en-US"/>
        </w:rPr>
        <w:t>(3)</w:t>
      </w:r>
      <w:r w:rsidRPr="003D1F39">
        <w:rPr>
          <w:szCs w:val="24"/>
          <w:lang w:eastAsia="en-US"/>
        </w:rPr>
        <w:tab/>
        <w:t>koldioxidekvivalent (CO2e): enhet för jämförelse av strålningsdrivningen hos en växthusgas med den hos koldioxid.</w:t>
      </w:r>
    </w:p>
    <w:p w:rsidR="00626197" w:rsidRDefault="003D1F39" w:rsidP="003D1F39">
      <w:pPr>
        <w:spacing w:before="120" w:after="120" w:line="360" w:lineRule="auto"/>
        <w:ind w:left="850" w:hanging="850"/>
        <w:rPr>
          <w:szCs w:val="24"/>
          <w:lang w:eastAsia="en-US"/>
        </w:rPr>
      </w:pPr>
      <w:r w:rsidRPr="003D1F39">
        <w:rPr>
          <w:szCs w:val="24"/>
          <w:lang w:eastAsia="en-US"/>
        </w:rPr>
        <w:t>(4)</w:t>
      </w:r>
      <w:r w:rsidRPr="003D1F39">
        <w:rPr>
          <w:szCs w:val="24"/>
          <w:lang w:eastAsia="en-US"/>
        </w:rPr>
        <w:tab/>
        <w:t>redovisning av växthusgasutsläpp: de åtgärder som vidtas för att genom mätningar och beräkningar kvantifiera växthusgasutsläpp och för att rapportera dessa utsläpp.</w:t>
      </w:r>
    </w:p>
    <w:p w:rsidR="00626197" w:rsidRDefault="00626197">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(5)</w:t>
      </w:r>
      <w:r w:rsidRPr="003D1F39">
        <w:rPr>
          <w:szCs w:val="24"/>
          <w:lang w:eastAsia="en-US"/>
        </w:rPr>
        <w:tab/>
        <w:t>transporttjänst: transport av gods eller passagerare från en startpunkt till en slutpunkt. En transporttjänst kan omfatta ett eller flera inslag i en transportkedja som kräver transportverksamhet och/eller terminalverksamhet.</w:t>
      </w:r>
    </w:p>
    <w:p w:rsidR="003D1F39" w:rsidRPr="003D1F39" w:rsidRDefault="003D1F39" w:rsidP="003D1F39">
      <w:pPr>
        <w:spacing w:before="120" w:after="120" w:line="360" w:lineRule="auto"/>
        <w:ind w:left="850" w:hanging="850"/>
        <w:rPr>
          <w:szCs w:val="24"/>
          <w:lang w:eastAsia="en-US"/>
        </w:rPr>
      </w:pPr>
      <w:r w:rsidRPr="003D1F39">
        <w:rPr>
          <w:szCs w:val="24"/>
          <w:lang w:eastAsia="en-US"/>
        </w:rPr>
        <w:t>(6)</w:t>
      </w:r>
      <w:r w:rsidRPr="003D1F39">
        <w:rPr>
          <w:szCs w:val="24"/>
          <w:lang w:eastAsia="en-US"/>
        </w:rPr>
        <w:tab/>
        <w:t>transportverksamhet: användning av ett fordon i syfte att transportera passagerare och/eller gods.</w:t>
      </w:r>
    </w:p>
    <w:p w:rsidR="003D1F39" w:rsidRPr="003D1F39" w:rsidRDefault="003D1F39" w:rsidP="003D1F39">
      <w:pPr>
        <w:spacing w:before="120" w:after="120" w:line="360" w:lineRule="auto"/>
        <w:ind w:left="850" w:hanging="850"/>
        <w:rPr>
          <w:szCs w:val="24"/>
          <w:lang w:eastAsia="en-US"/>
        </w:rPr>
      </w:pPr>
      <w:r w:rsidRPr="003D1F39">
        <w:rPr>
          <w:szCs w:val="24"/>
          <w:lang w:eastAsia="en-US"/>
        </w:rPr>
        <w:t>(7)</w:t>
      </w:r>
      <w:r w:rsidRPr="003D1F39">
        <w:rPr>
          <w:szCs w:val="24"/>
          <w:lang w:eastAsia="en-US"/>
        </w:rPr>
        <w:tab/>
        <w:t>terminalverksamhet: verksamhet som syftar till att överföra gods eller passagerare i en terminal.</w:t>
      </w:r>
    </w:p>
    <w:p w:rsidR="003D1F39" w:rsidRPr="003D1F39" w:rsidRDefault="003D1F39" w:rsidP="003D1F39">
      <w:pPr>
        <w:spacing w:before="120" w:after="120" w:line="360" w:lineRule="auto"/>
        <w:ind w:left="850" w:hanging="850"/>
        <w:rPr>
          <w:szCs w:val="24"/>
          <w:lang w:eastAsia="en-US"/>
        </w:rPr>
      </w:pPr>
      <w:r w:rsidRPr="003D1F39">
        <w:rPr>
          <w:szCs w:val="24"/>
          <w:lang w:eastAsia="en-US"/>
        </w:rPr>
        <w:t>(8)</w:t>
      </w:r>
      <w:r w:rsidRPr="003D1F39">
        <w:rPr>
          <w:szCs w:val="24"/>
          <w:lang w:eastAsia="en-US"/>
        </w:rPr>
        <w:tab/>
        <w:t>fordon: ett transportmedel för passagerare och/eller gods, oavsett transportsätt.</w:t>
      </w:r>
    </w:p>
    <w:p w:rsidR="003D1F39" w:rsidRPr="003D1F39" w:rsidRDefault="003D1F39" w:rsidP="003D1F39">
      <w:pPr>
        <w:spacing w:before="120" w:after="120" w:line="360" w:lineRule="auto"/>
        <w:ind w:left="850" w:hanging="850"/>
        <w:rPr>
          <w:szCs w:val="24"/>
          <w:lang w:eastAsia="en-US"/>
        </w:rPr>
      </w:pPr>
      <w:r w:rsidRPr="003D1F39">
        <w:rPr>
          <w:szCs w:val="24"/>
          <w:lang w:eastAsia="en-US"/>
        </w:rPr>
        <w:t>(9)</w:t>
      </w:r>
      <w:r w:rsidRPr="003D1F39">
        <w:rPr>
          <w:szCs w:val="24"/>
          <w:lang w:eastAsia="en-US"/>
        </w:rPr>
        <w:tab/>
        <w:t>transportkedja: en serie transportinslag som rör gods eller en (grupp av) passagerare och som tillsammans utgör förflyttningen från en startpunkt till en slutpunkt.</w:t>
      </w:r>
    </w:p>
    <w:p w:rsidR="00626197" w:rsidRDefault="003D1F39" w:rsidP="003D1F39">
      <w:pPr>
        <w:spacing w:before="120" w:after="120" w:line="360" w:lineRule="auto"/>
        <w:ind w:left="850" w:hanging="850"/>
        <w:rPr>
          <w:szCs w:val="24"/>
          <w:lang w:eastAsia="en-US"/>
        </w:rPr>
      </w:pPr>
      <w:r w:rsidRPr="003D1F39">
        <w:rPr>
          <w:szCs w:val="24"/>
          <w:lang w:eastAsia="en-US"/>
        </w:rPr>
        <w:t>(10)</w:t>
      </w:r>
      <w:r w:rsidRPr="003D1F39">
        <w:rPr>
          <w:szCs w:val="24"/>
          <w:lang w:eastAsia="en-US"/>
        </w:rPr>
        <w:tab/>
        <w:t>transportkedjeinslag: en del av en transportkedja inom vilken gods eller en (grupp av) passagerare transporteras med ett enda fordon eller transiteras i en enda terminal.</w:t>
      </w:r>
    </w:p>
    <w:p w:rsidR="00626197" w:rsidRDefault="00626197">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(11)</w:t>
      </w:r>
      <w:r w:rsidRPr="003D1F39">
        <w:rPr>
          <w:szCs w:val="24"/>
          <w:lang w:eastAsia="en-US"/>
        </w:rPr>
        <w:tab/>
        <w:t>utlämnande av information om växthusgasutsläpp från en transporttjänst: överföring av disaggregerad information om en viss transporttjänsts växthusgasutsläpp från en berörd enhet eller en dataförmedlare till en tredje part i samband med tillhandahållande av, kommunikation om eller marknadsföring av denna tjänst, antingen före eller efter tillhandahållandet av transporttjänsten.</w:t>
      </w:r>
    </w:p>
    <w:p w:rsidR="003D1F39" w:rsidRPr="003D1F39" w:rsidRDefault="003D1F39" w:rsidP="003D1F39">
      <w:pPr>
        <w:spacing w:before="120" w:after="120" w:line="360" w:lineRule="auto"/>
        <w:ind w:left="850" w:hanging="850"/>
        <w:rPr>
          <w:szCs w:val="24"/>
          <w:lang w:eastAsia="en-US"/>
        </w:rPr>
      </w:pPr>
      <w:r w:rsidRPr="003D1F39">
        <w:rPr>
          <w:szCs w:val="24"/>
          <w:lang w:eastAsia="en-US"/>
        </w:rPr>
        <w:t>(12)</w:t>
      </w:r>
      <w:r w:rsidRPr="003D1F39">
        <w:rPr>
          <w:szCs w:val="24"/>
          <w:lang w:eastAsia="en-US"/>
        </w:rPr>
        <w:tab/>
        <w:t>berörd enhet: en enhet som beräknar växthusgasutsläpp från en transporttjänst med början eller slut på unionens territorium, och som lämnar information om dessa utsläpp till en tredje part, för kommersiella eller regleringsmässiga ändamål.</w:t>
      </w:r>
    </w:p>
    <w:p w:rsidR="003D1F39" w:rsidRPr="003D1F39" w:rsidRDefault="003D1F39" w:rsidP="003D1F39">
      <w:pPr>
        <w:spacing w:before="120" w:after="120" w:line="360" w:lineRule="auto"/>
        <w:ind w:left="850" w:hanging="850"/>
        <w:rPr>
          <w:szCs w:val="24"/>
          <w:lang w:eastAsia="en-US"/>
        </w:rPr>
      </w:pPr>
      <w:r w:rsidRPr="003D1F39">
        <w:rPr>
          <w:szCs w:val="24"/>
          <w:lang w:eastAsia="en-US"/>
        </w:rPr>
        <w:t>(13)</w:t>
      </w:r>
      <w:r w:rsidRPr="003D1F39">
        <w:rPr>
          <w:szCs w:val="24"/>
          <w:lang w:eastAsia="en-US"/>
        </w:rPr>
        <w:tab/>
        <w:t>dataförmedlare: en juridisk eller fysisk person som samlar in</w:t>
      </w:r>
      <w:r w:rsidRPr="003D1F39">
        <w:rPr>
          <w:b/>
          <w:i/>
          <w:szCs w:val="24"/>
          <w:lang w:eastAsia="en-US"/>
        </w:rPr>
        <w:t>, beräknar eller</w:t>
      </w:r>
      <w:r w:rsidRPr="003D1F39">
        <w:rPr>
          <w:strike/>
          <w:szCs w:val="24"/>
          <w:lang w:eastAsia="en-US"/>
        </w:rPr>
        <w:t xml:space="preserve"> och</w:t>
      </w:r>
      <w:r w:rsidRPr="003D1F39">
        <w:rPr>
          <w:szCs w:val="24"/>
          <w:lang w:eastAsia="en-US"/>
        </w:rPr>
        <w:t xml:space="preserve"> lämnar ut information om växthusgasutsläpp från en transporttjänst</w:t>
      </w:r>
      <w:r w:rsidRPr="003D1F39">
        <w:rPr>
          <w:strike/>
          <w:szCs w:val="24"/>
          <w:lang w:eastAsia="en-US"/>
        </w:rPr>
        <w:t xml:space="preserve"> på grundval av separata rättsliga, avtalsmässiga eller andra relevanta arrangemang</w:t>
      </w:r>
      <w:r w:rsidRPr="003D1F39">
        <w:rPr>
          <w:szCs w:val="24"/>
          <w:lang w:eastAsia="en-US"/>
        </w:rPr>
        <w:t>.</w:t>
      </w:r>
      <w:r w:rsidR="00626197">
        <w:rPr>
          <w:b/>
          <w:szCs w:val="24"/>
          <w:lang w:eastAsia="en-US"/>
        </w:rPr>
        <w:t xml:space="preserve"> [Ändr. 37]</w:t>
      </w:r>
    </w:p>
    <w:p w:rsidR="003D1F39" w:rsidRPr="003D1F39" w:rsidRDefault="003D1F39" w:rsidP="003D1F39">
      <w:pPr>
        <w:spacing w:before="120" w:after="120" w:line="360" w:lineRule="auto"/>
        <w:ind w:left="850" w:hanging="850"/>
        <w:rPr>
          <w:szCs w:val="24"/>
          <w:lang w:eastAsia="en-US"/>
        </w:rPr>
      </w:pPr>
      <w:r w:rsidRPr="003D1F39">
        <w:rPr>
          <w:szCs w:val="24"/>
          <w:lang w:eastAsia="en-US"/>
        </w:rPr>
        <w:t>(14)</w:t>
      </w:r>
      <w:r w:rsidRPr="003D1F39">
        <w:rPr>
          <w:szCs w:val="24"/>
          <w:lang w:eastAsia="en-US"/>
        </w:rPr>
        <w:tab/>
        <w:t>växthusgasverksamhet: verksamhet som leder till växthusgasutsläpp.</w:t>
      </w:r>
    </w:p>
    <w:p w:rsidR="003D1F39" w:rsidRPr="003D1F39" w:rsidRDefault="003D1F39" w:rsidP="003D1F39">
      <w:pPr>
        <w:spacing w:before="120" w:after="120" w:line="360" w:lineRule="auto"/>
        <w:ind w:left="850" w:hanging="850"/>
        <w:rPr>
          <w:szCs w:val="24"/>
          <w:lang w:eastAsia="en-US"/>
        </w:rPr>
      </w:pPr>
      <w:r w:rsidRPr="003D1F39">
        <w:rPr>
          <w:szCs w:val="24"/>
          <w:lang w:eastAsia="en-US"/>
        </w:rPr>
        <w:t>(15)</w:t>
      </w:r>
      <w:r w:rsidRPr="003D1F39">
        <w:rPr>
          <w:szCs w:val="24"/>
          <w:lang w:eastAsia="en-US"/>
        </w:rPr>
        <w:tab/>
        <w:t>data om växthusgasverksamhet: ett kvantitativt mått på växthusgasverksamhet.</w:t>
      </w:r>
    </w:p>
    <w:p w:rsidR="00626197" w:rsidRDefault="003D1F39" w:rsidP="003D1F39">
      <w:pPr>
        <w:spacing w:before="120" w:after="120" w:line="360" w:lineRule="auto"/>
        <w:ind w:left="850" w:hanging="850"/>
        <w:rPr>
          <w:szCs w:val="24"/>
          <w:lang w:eastAsia="en-US"/>
        </w:rPr>
      </w:pPr>
      <w:r w:rsidRPr="003D1F39">
        <w:rPr>
          <w:szCs w:val="24"/>
          <w:lang w:eastAsia="en-US"/>
        </w:rPr>
        <w:t>(16)</w:t>
      </w:r>
      <w:r w:rsidRPr="003D1F39">
        <w:rPr>
          <w:szCs w:val="24"/>
          <w:lang w:eastAsia="en-US"/>
        </w:rPr>
        <w:tab/>
        <w:t>växthusgasintensitet: en koefficient som kopplar ihop data om växthusgasverksamhet med växthusgasutsläpp.</w:t>
      </w:r>
    </w:p>
    <w:p w:rsidR="00626197" w:rsidRDefault="00626197">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(17)</w:t>
      </w:r>
      <w:r w:rsidRPr="003D1F39">
        <w:rPr>
          <w:szCs w:val="24"/>
          <w:lang w:eastAsia="en-US"/>
        </w:rPr>
        <w:tab/>
        <w:t xml:space="preserve">utsläppsfaktor för växthusgas: en koefficient som beskriver förhållandet mellan </w:t>
      </w:r>
      <w:r w:rsidRPr="003D1F39">
        <w:rPr>
          <w:b/>
          <w:i/>
          <w:szCs w:val="24"/>
          <w:lang w:eastAsia="en-US"/>
        </w:rPr>
        <w:t xml:space="preserve">de data som anges för en </w:t>
      </w:r>
      <w:r w:rsidRPr="003D1F39">
        <w:rPr>
          <w:szCs w:val="24"/>
          <w:lang w:eastAsia="en-US"/>
        </w:rPr>
        <w:t xml:space="preserve">växthusgasverksamhet och </w:t>
      </w:r>
      <w:r w:rsidRPr="003D1F39">
        <w:rPr>
          <w:strike/>
          <w:szCs w:val="24"/>
          <w:lang w:eastAsia="en-US"/>
        </w:rPr>
        <w:t>växthusgasutsläpp</w:t>
      </w:r>
      <w:r w:rsidRPr="003D1F39">
        <w:rPr>
          <w:b/>
          <w:i/>
          <w:szCs w:val="24"/>
          <w:lang w:eastAsia="en-US"/>
        </w:rPr>
        <w:t>växthusgasutsläppet</w:t>
      </w:r>
      <w:r w:rsidRPr="003D1F39">
        <w:rPr>
          <w:szCs w:val="24"/>
          <w:lang w:eastAsia="en-US"/>
        </w:rPr>
        <w:t>.</w:t>
      </w:r>
      <w:r w:rsidR="00626197">
        <w:rPr>
          <w:b/>
          <w:szCs w:val="24"/>
          <w:lang w:eastAsia="en-US"/>
        </w:rPr>
        <w:t xml:space="preserve"> [Ändr. 38]</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(18)</w:t>
      </w:r>
      <w:r w:rsidRPr="003D1F39">
        <w:rPr>
          <w:szCs w:val="24"/>
          <w:lang w:eastAsia="en-US"/>
        </w:rPr>
        <w:tab/>
        <w:t>växthusgasutsläpp från källa till hjul (</w:t>
      </w:r>
      <w:proofErr w:type="spellStart"/>
      <w:r w:rsidRPr="003D1F39">
        <w:rPr>
          <w:szCs w:val="24"/>
          <w:lang w:eastAsia="en-US"/>
        </w:rPr>
        <w:t>well</w:t>
      </w:r>
      <w:proofErr w:type="spellEnd"/>
      <w:r w:rsidRPr="003D1F39">
        <w:rPr>
          <w:szCs w:val="24"/>
          <w:lang w:eastAsia="en-US"/>
        </w:rPr>
        <w:t>-to-</w:t>
      </w:r>
      <w:proofErr w:type="spellStart"/>
      <w:r w:rsidRPr="003D1F39">
        <w:rPr>
          <w:szCs w:val="24"/>
          <w:lang w:eastAsia="en-US"/>
        </w:rPr>
        <w:t>wheel</w:t>
      </w:r>
      <w:proofErr w:type="spellEnd"/>
      <w:r w:rsidRPr="003D1F39">
        <w:rPr>
          <w:szCs w:val="24"/>
          <w:lang w:eastAsia="en-US"/>
        </w:rPr>
        <w:t>): växthusgasutsläpp till följd av både användning av ett fordon och tillhandahållande av den energi som krävs i fordonet</w:t>
      </w:r>
      <w:r w:rsidRPr="003D1F39">
        <w:rPr>
          <w:b/>
          <w:i/>
          <w:szCs w:val="24"/>
          <w:lang w:eastAsia="en-US"/>
        </w:rPr>
        <w:t>, vilka är en del av utsläppen under hela livscykeln</w:t>
      </w:r>
      <w:r w:rsidRPr="003D1F39">
        <w:rPr>
          <w:szCs w:val="24"/>
          <w:lang w:eastAsia="en-US"/>
        </w:rPr>
        <w:t>.</w:t>
      </w:r>
      <w:r w:rsidR="00626197">
        <w:rPr>
          <w:b/>
          <w:szCs w:val="24"/>
          <w:lang w:eastAsia="en-US"/>
        </w:rPr>
        <w:t xml:space="preserve"> [Ändr. 39]</w:t>
      </w:r>
    </w:p>
    <w:p w:rsidR="003D1F39" w:rsidRPr="003D1F39" w:rsidRDefault="003D1F39" w:rsidP="003D1F39">
      <w:pPr>
        <w:spacing w:before="120" w:after="120" w:line="360" w:lineRule="auto"/>
        <w:ind w:left="850" w:hanging="850"/>
        <w:rPr>
          <w:szCs w:val="24"/>
          <w:lang w:eastAsia="en-US"/>
        </w:rPr>
      </w:pPr>
      <w:r w:rsidRPr="003D1F39">
        <w:rPr>
          <w:szCs w:val="24"/>
          <w:lang w:eastAsia="en-US"/>
        </w:rPr>
        <w:t>(19)</w:t>
      </w:r>
      <w:r w:rsidRPr="003D1F39">
        <w:rPr>
          <w:szCs w:val="24"/>
          <w:lang w:eastAsia="en-US"/>
        </w:rPr>
        <w:tab/>
        <w:t>utsläpp från tank till hjul (tank-to-</w:t>
      </w:r>
      <w:proofErr w:type="spellStart"/>
      <w:r w:rsidRPr="003D1F39">
        <w:rPr>
          <w:szCs w:val="24"/>
          <w:lang w:eastAsia="en-US"/>
        </w:rPr>
        <w:t>wheel</w:t>
      </w:r>
      <w:proofErr w:type="spellEnd"/>
      <w:r w:rsidRPr="003D1F39">
        <w:rPr>
          <w:szCs w:val="24"/>
          <w:lang w:eastAsia="en-US"/>
        </w:rPr>
        <w:t>): utsläpp till följd av användningen av den energi som krävs för att driva fordonet, dvs. en delmängd av utsläppen från källa till hjul.</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19a.</w:t>
      </w:r>
      <w:r w:rsidRPr="003D1F39">
        <w:rPr>
          <w:szCs w:val="24"/>
          <w:lang w:eastAsia="en-US"/>
        </w:rPr>
        <w:tab/>
      </w:r>
      <w:r w:rsidRPr="003D1F39">
        <w:rPr>
          <w:b/>
          <w:i/>
          <w:szCs w:val="24"/>
          <w:lang w:eastAsia="en-US"/>
        </w:rPr>
        <w:t>utsläpp under hela livscykeln: de utsläpp som motsvarar summan av den andel utsläpp som uppstår i samband med byggandet av infrastruktur som används av fordonet, de utsläpp som uppstår i samband med produktion och underhåll av fordonet samt vid hantering av fordonet när det är uttjänt och utsläppen från källa till hjul.</w:t>
      </w:r>
      <w:r w:rsidR="00626197">
        <w:rPr>
          <w:b/>
          <w:szCs w:val="24"/>
          <w:lang w:eastAsia="en-US"/>
        </w:rPr>
        <w:t xml:space="preserve"> [Ändr. 40]</w:t>
      </w:r>
    </w:p>
    <w:p w:rsidR="003D1F39" w:rsidRPr="003D1F39" w:rsidRDefault="003D1F39" w:rsidP="003D1F39">
      <w:pPr>
        <w:spacing w:before="120" w:after="120" w:line="360" w:lineRule="auto"/>
        <w:ind w:left="850" w:hanging="850"/>
        <w:rPr>
          <w:szCs w:val="24"/>
          <w:lang w:eastAsia="en-US"/>
        </w:rPr>
      </w:pPr>
      <w:r w:rsidRPr="003D1F39">
        <w:rPr>
          <w:szCs w:val="24"/>
          <w:lang w:eastAsia="en-US"/>
        </w:rPr>
        <w:t>(20)</w:t>
      </w:r>
      <w:r w:rsidRPr="003D1F39">
        <w:rPr>
          <w:szCs w:val="24"/>
          <w:lang w:eastAsia="en-US"/>
        </w:rPr>
        <w:tab/>
        <w:t>energibärare: ett ämne eller fenomen som kan användas för att producera mekaniskt arbete eller värme eller för att driva kemiska eller fysikaliska processer.</w:t>
      </w:r>
    </w:p>
    <w:p w:rsidR="00626197" w:rsidRDefault="003D1F39" w:rsidP="003D1F39">
      <w:pPr>
        <w:spacing w:before="120" w:after="120" w:line="360" w:lineRule="auto"/>
        <w:ind w:left="850" w:hanging="850"/>
        <w:rPr>
          <w:szCs w:val="24"/>
          <w:lang w:eastAsia="en-US"/>
        </w:rPr>
      </w:pPr>
      <w:r w:rsidRPr="003D1F39">
        <w:rPr>
          <w:szCs w:val="24"/>
          <w:lang w:eastAsia="en-US"/>
        </w:rPr>
        <w:t>(21)</w:t>
      </w:r>
      <w:r w:rsidRPr="003D1F39">
        <w:rPr>
          <w:szCs w:val="24"/>
          <w:lang w:eastAsia="en-US"/>
        </w:rPr>
        <w:tab/>
        <w:t>primärdata: kvantifierat värde för en process eller en aktivitet som erhålls genom en direkt mätning eller genom en beräkning baserad på direkta mätningar.</w:t>
      </w:r>
    </w:p>
    <w:p w:rsidR="00626197" w:rsidRDefault="00626197">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(22)</w:t>
      </w:r>
      <w:r w:rsidRPr="003D1F39">
        <w:rPr>
          <w:szCs w:val="24"/>
          <w:lang w:eastAsia="en-US"/>
        </w:rPr>
        <w:tab/>
        <w:t xml:space="preserve">sekundärdata: antingen modellerade data eller standardvärden som inte uppfyller kraven för primärdata, inklusive data från databaser och publicerad litteratur, standardutsläppsfaktorer för växthusgaser från nationella inventeringar, beräknade data, uppskattningar eller andra representativa data, samt data som erhållits från </w:t>
      </w:r>
      <w:proofErr w:type="spellStart"/>
      <w:r w:rsidRPr="003D1F39">
        <w:rPr>
          <w:szCs w:val="24"/>
          <w:lang w:eastAsia="en-US"/>
        </w:rPr>
        <w:t>proxyprocesser</w:t>
      </w:r>
      <w:proofErr w:type="spellEnd"/>
      <w:r w:rsidRPr="003D1F39">
        <w:rPr>
          <w:szCs w:val="24"/>
          <w:lang w:eastAsia="en-US"/>
        </w:rPr>
        <w:t xml:space="preserve"> eller </w:t>
      </w:r>
      <w:proofErr w:type="spellStart"/>
      <w:r w:rsidRPr="003D1F39">
        <w:rPr>
          <w:szCs w:val="24"/>
          <w:lang w:eastAsia="en-US"/>
        </w:rPr>
        <w:t>proxyuppskattningar</w:t>
      </w:r>
      <w:proofErr w:type="spellEnd"/>
      <w:r w:rsidRPr="003D1F39">
        <w:rPr>
          <w:szCs w:val="24"/>
          <w:lang w:eastAsia="en-US"/>
        </w:rPr>
        <w:t>.</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(23)</w:t>
      </w:r>
      <w:r w:rsidRPr="003D1F39">
        <w:rPr>
          <w:szCs w:val="24"/>
          <w:lang w:eastAsia="en-US"/>
        </w:rPr>
        <w:tab/>
        <w:t xml:space="preserve">standardvärde: värde för sekundärdata som </w:t>
      </w:r>
      <w:proofErr w:type="spellStart"/>
      <w:r w:rsidRPr="003D1F39">
        <w:rPr>
          <w:strike/>
          <w:szCs w:val="24"/>
          <w:lang w:eastAsia="en-US"/>
        </w:rPr>
        <w:t>hämtas</w:t>
      </w:r>
      <w:r w:rsidRPr="003D1F39">
        <w:rPr>
          <w:b/>
          <w:i/>
          <w:szCs w:val="24"/>
          <w:lang w:eastAsia="en-US"/>
        </w:rPr>
        <w:t>hämtats</w:t>
      </w:r>
      <w:proofErr w:type="spellEnd"/>
      <w:r w:rsidRPr="003D1F39">
        <w:rPr>
          <w:szCs w:val="24"/>
          <w:lang w:eastAsia="en-US"/>
        </w:rPr>
        <w:t xml:space="preserve"> från en publicerad källa</w:t>
      </w:r>
      <w:r w:rsidRPr="003D1F39">
        <w:rPr>
          <w:b/>
          <w:i/>
          <w:szCs w:val="24"/>
          <w:lang w:eastAsia="en-US"/>
        </w:rPr>
        <w:t xml:space="preserve"> och verifierats av ett organ för bedömning av överensstämmelse</w:t>
      </w:r>
      <w:r w:rsidRPr="003D1F39">
        <w:rPr>
          <w:szCs w:val="24"/>
          <w:lang w:eastAsia="en-US"/>
        </w:rPr>
        <w:t xml:space="preserve"> och som betraktas som standard i avsaknad av primärdata eller modellerade data.</w:t>
      </w:r>
      <w:r w:rsidR="00626197">
        <w:rPr>
          <w:b/>
          <w:szCs w:val="24"/>
          <w:lang w:eastAsia="en-US"/>
        </w:rPr>
        <w:t xml:space="preserve"> [Ändr. 41]</w:t>
      </w:r>
    </w:p>
    <w:p w:rsidR="003D1F39" w:rsidRPr="003D1F39" w:rsidRDefault="003D1F39" w:rsidP="003D1F39">
      <w:pPr>
        <w:spacing w:before="120" w:after="120" w:line="360" w:lineRule="auto"/>
        <w:ind w:left="850" w:hanging="850"/>
        <w:rPr>
          <w:szCs w:val="24"/>
          <w:lang w:eastAsia="en-US"/>
        </w:rPr>
      </w:pPr>
      <w:r w:rsidRPr="003D1F39">
        <w:rPr>
          <w:szCs w:val="24"/>
          <w:lang w:eastAsia="en-US"/>
        </w:rPr>
        <w:t>(24)</w:t>
      </w:r>
      <w:r w:rsidRPr="003D1F39">
        <w:rPr>
          <w:szCs w:val="24"/>
          <w:lang w:eastAsia="en-US"/>
        </w:rPr>
        <w:tab/>
        <w:t>modellerade data: data som fastställs med hjälp av en modell som tar hänsyn till primärdata och/eller relevanta parametrar för växthusgasutsläpp från en transportverksamhet eller en terminalverksamhet, inklusive genom användning av en modell som tillhandahålls från ett beräkningsverktyg.</w:t>
      </w:r>
    </w:p>
    <w:p w:rsidR="003D1F39" w:rsidRPr="003D1F39" w:rsidRDefault="003D1F39" w:rsidP="003D1F39">
      <w:pPr>
        <w:spacing w:before="120" w:after="120" w:line="360" w:lineRule="auto"/>
        <w:ind w:left="850" w:hanging="850"/>
        <w:rPr>
          <w:szCs w:val="24"/>
          <w:lang w:eastAsia="en-US"/>
        </w:rPr>
      </w:pPr>
      <w:r w:rsidRPr="003D1F39">
        <w:rPr>
          <w:szCs w:val="24"/>
          <w:lang w:eastAsia="en-US"/>
        </w:rPr>
        <w:t>(25)</w:t>
      </w:r>
      <w:r w:rsidRPr="003D1F39">
        <w:rPr>
          <w:szCs w:val="24"/>
          <w:lang w:eastAsia="en-US"/>
        </w:rPr>
        <w:tab/>
        <w:t xml:space="preserve">utdata: disaggregerade data om växthusgasutsläpp från en transporttjänst som fastställs med hjälp av den </w:t>
      </w:r>
      <w:proofErr w:type="spellStart"/>
      <w:r w:rsidRPr="003D1F39">
        <w:rPr>
          <w:szCs w:val="24"/>
          <w:lang w:eastAsia="en-US"/>
        </w:rPr>
        <w:t>referensmetod</w:t>
      </w:r>
      <w:proofErr w:type="spellEnd"/>
      <w:r w:rsidRPr="003D1F39">
        <w:rPr>
          <w:szCs w:val="24"/>
          <w:lang w:eastAsia="en-US"/>
        </w:rPr>
        <w:t xml:space="preserve"> och de indata som fastställs i denna förordning.</w:t>
      </w:r>
    </w:p>
    <w:p w:rsidR="00626197" w:rsidRDefault="003D1F39" w:rsidP="003D1F39">
      <w:pPr>
        <w:spacing w:before="120" w:after="120" w:line="360" w:lineRule="auto"/>
        <w:ind w:left="850" w:hanging="850"/>
        <w:rPr>
          <w:szCs w:val="24"/>
          <w:lang w:eastAsia="en-US"/>
        </w:rPr>
      </w:pPr>
      <w:r w:rsidRPr="003D1F39">
        <w:rPr>
          <w:szCs w:val="24"/>
          <w:lang w:eastAsia="en-US"/>
        </w:rPr>
        <w:t>(26)</w:t>
      </w:r>
      <w:r w:rsidRPr="003D1F39">
        <w:rPr>
          <w:szCs w:val="24"/>
          <w:lang w:eastAsia="en-US"/>
        </w:rPr>
        <w:tab/>
        <w:t>mått: ett uppmätt värde från en kvantitativ bedömning.</w:t>
      </w:r>
    </w:p>
    <w:p w:rsidR="00626197" w:rsidRDefault="00626197">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(27)</w:t>
      </w:r>
      <w:r w:rsidRPr="003D1F39">
        <w:rPr>
          <w:szCs w:val="24"/>
          <w:lang w:eastAsia="en-US"/>
        </w:rPr>
        <w:tab/>
        <w:t>bevis som styrker information om växthusgasutsläpp från en transporttjänst: en rapport som upprättas på begäran och som gäller en enskild transporttjänst, i enlighet med EN ISO 14083:2023.</w:t>
      </w:r>
    </w:p>
    <w:p w:rsidR="003D1F39" w:rsidRPr="003D1F39" w:rsidRDefault="003D1F39" w:rsidP="003D1F39">
      <w:pPr>
        <w:spacing w:before="120" w:after="120" w:line="360" w:lineRule="auto"/>
        <w:ind w:left="850" w:hanging="850"/>
        <w:rPr>
          <w:szCs w:val="24"/>
          <w:lang w:eastAsia="en-US"/>
        </w:rPr>
      </w:pPr>
      <w:r w:rsidRPr="003D1F39">
        <w:rPr>
          <w:szCs w:val="24"/>
          <w:lang w:eastAsia="en-US"/>
        </w:rPr>
        <w:t>(28)</w:t>
      </w:r>
      <w:r w:rsidRPr="003D1F39">
        <w:rPr>
          <w:szCs w:val="24"/>
          <w:lang w:eastAsia="en-US"/>
        </w:rPr>
        <w:tab/>
        <w:t>beräkningsverktyg: en applikation, modell eller programvara som möjliggör automatisk beräkning av växthusgasutsläpp från en transporttjänst.</w:t>
      </w:r>
    </w:p>
    <w:p w:rsidR="003D1F39" w:rsidRPr="003D1F39" w:rsidRDefault="003D1F39" w:rsidP="003D1F39">
      <w:pPr>
        <w:spacing w:before="120" w:after="120" w:line="360" w:lineRule="auto"/>
        <w:ind w:left="850" w:hanging="850"/>
        <w:rPr>
          <w:szCs w:val="24"/>
          <w:lang w:eastAsia="en-US"/>
        </w:rPr>
      </w:pPr>
      <w:r w:rsidRPr="003D1F39">
        <w:rPr>
          <w:szCs w:val="24"/>
          <w:lang w:eastAsia="en-US"/>
        </w:rPr>
        <w:t>(29)</w:t>
      </w:r>
      <w:r w:rsidRPr="003D1F39">
        <w:rPr>
          <w:szCs w:val="24"/>
          <w:lang w:eastAsia="en-US"/>
        </w:rPr>
        <w:tab/>
        <w:t>externt beräkningsverktyg: ett beräkningsverktyg som tillhandahålls på marknaden av en tredje part för en bredare kommersiell eller icke-kommersiell användning.</w:t>
      </w:r>
    </w:p>
    <w:p w:rsidR="003D1F39" w:rsidRPr="003D1F39" w:rsidRDefault="003D1F39" w:rsidP="003D1F39">
      <w:pPr>
        <w:spacing w:before="120" w:after="120" w:line="360" w:lineRule="auto"/>
        <w:ind w:left="850" w:hanging="850"/>
        <w:rPr>
          <w:szCs w:val="24"/>
          <w:lang w:eastAsia="en-US"/>
        </w:rPr>
      </w:pPr>
      <w:r w:rsidRPr="003D1F39">
        <w:rPr>
          <w:szCs w:val="24"/>
          <w:lang w:eastAsia="en-US"/>
        </w:rPr>
        <w:t>(30)</w:t>
      </w:r>
      <w:r w:rsidRPr="003D1F39">
        <w:rPr>
          <w:szCs w:val="24"/>
          <w:lang w:eastAsia="en-US"/>
        </w:rPr>
        <w:tab/>
        <w:t>organ för bedömning av överensstämmelse: ett organ för bedömning av överensstämmelse enligt definitionen i artikel 2.13 i förordning (EG) nr 765/2008</w:t>
      </w:r>
      <w:r w:rsidRPr="003D1F39">
        <w:rPr>
          <w:szCs w:val="24"/>
          <w:vertAlign w:val="superscript"/>
          <w:lang w:val="en-GB" w:eastAsia="en-US"/>
        </w:rPr>
        <w:footnoteReference w:id="19"/>
      </w:r>
      <w:r w:rsidRPr="003D1F39">
        <w:rPr>
          <w:szCs w:val="24"/>
          <w:lang w:eastAsia="en-US"/>
        </w:rPr>
        <w:t>.</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30a.</w:t>
      </w:r>
      <w:r w:rsidRPr="003D1F39">
        <w:rPr>
          <w:szCs w:val="24"/>
          <w:lang w:eastAsia="en-US"/>
        </w:rPr>
        <w:tab/>
      </w:r>
      <w:r w:rsidRPr="003D1F39">
        <w:rPr>
          <w:b/>
          <w:i/>
          <w:szCs w:val="24"/>
          <w:lang w:eastAsia="en-US"/>
        </w:rPr>
        <w:t>anordnare av transporttjänster: en enhet som tillhandahåller transporttjänster inom vilka vissa delar av transportkedjan läggs ut på entreprenad till en eller flera enheter som utför dem.</w:t>
      </w:r>
      <w:r w:rsidR="00626197">
        <w:rPr>
          <w:b/>
          <w:szCs w:val="24"/>
          <w:lang w:eastAsia="en-US"/>
        </w:rPr>
        <w:t xml:space="preserve"> [Ändr. 42]</w:t>
      </w:r>
    </w:p>
    <w:p w:rsidR="00626197" w:rsidRDefault="003D1F39" w:rsidP="003D1F39">
      <w:pPr>
        <w:spacing w:before="120" w:after="120" w:line="360" w:lineRule="auto"/>
        <w:ind w:left="850" w:hanging="850"/>
        <w:rPr>
          <w:b/>
          <w:szCs w:val="24"/>
          <w:lang w:eastAsia="en-US"/>
        </w:rPr>
      </w:pPr>
      <w:r w:rsidRPr="003D1F39">
        <w:rPr>
          <w:b/>
          <w:i/>
          <w:szCs w:val="24"/>
          <w:lang w:eastAsia="en-US"/>
        </w:rPr>
        <w:t>30b.</w:t>
      </w:r>
      <w:r w:rsidRPr="003D1F39">
        <w:rPr>
          <w:szCs w:val="24"/>
          <w:lang w:eastAsia="en-US"/>
        </w:rPr>
        <w:tab/>
      </w:r>
      <w:r w:rsidRPr="003D1F39">
        <w:rPr>
          <w:b/>
          <w:i/>
          <w:szCs w:val="24"/>
          <w:lang w:eastAsia="en-US"/>
        </w:rPr>
        <w:t>underleverantör inom transport: en enhet som bedriver transportverksamhet för en eller flera delar av transportkedjan på uppdrag av en anordnare av transporttjänster, enligt kontraktsmässiga arrangemang.</w:t>
      </w:r>
      <w:r w:rsidR="00626197">
        <w:rPr>
          <w:b/>
          <w:szCs w:val="24"/>
          <w:lang w:eastAsia="en-US"/>
        </w:rPr>
        <w:t xml:space="preserve"> [Ändr. 43]</w:t>
      </w:r>
    </w:p>
    <w:p w:rsidR="00626197" w:rsidRDefault="00626197">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II</w:t>
      </w:r>
      <w:r w:rsidRPr="003D1F39">
        <w:rPr>
          <w:szCs w:val="24"/>
          <w:lang w:eastAsia="en-US"/>
        </w:rPr>
        <w:br/>
        <w:t>METOD</w:t>
      </w:r>
    </w:p>
    <w:p w:rsidR="003D1F39" w:rsidRPr="003D1F39" w:rsidRDefault="003D1F39" w:rsidP="003D1F39">
      <w:pPr>
        <w:spacing w:before="120" w:after="120" w:line="360" w:lineRule="auto"/>
        <w:jc w:val="center"/>
        <w:rPr>
          <w:szCs w:val="24"/>
          <w:lang w:eastAsia="en-US"/>
        </w:rPr>
      </w:pPr>
      <w:r w:rsidRPr="003D1F39">
        <w:rPr>
          <w:szCs w:val="24"/>
          <w:lang w:eastAsia="en-US"/>
        </w:rPr>
        <w:t>Artikel 4</w:t>
      </w:r>
      <w:r w:rsidRPr="003D1F39">
        <w:rPr>
          <w:szCs w:val="24"/>
          <w:lang w:eastAsia="en-US"/>
        </w:rPr>
        <w:br/>
        <w:t>Metod för beräkning av växthusgasutsläpp från transporttjänster</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r>
      <w:proofErr w:type="spellStart"/>
      <w:r w:rsidRPr="003D1F39">
        <w:rPr>
          <w:strike/>
          <w:szCs w:val="24"/>
          <w:lang w:eastAsia="en-US"/>
        </w:rPr>
        <w:t>Växthusgasutsläpp</w:t>
      </w:r>
      <w:r w:rsidRPr="003D1F39">
        <w:rPr>
          <w:b/>
          <w:i/>
          <w:szCs w:val="24"/>
          <w:lang w:eastAsia="en-US"/>
        </w:rPr>
        <w:t>Växthusgasutsläppen</w:t>
      </w:r>
      <w:proofErr w:type="spellEnd"/>
      <w:r w:rsidRPr="003D1F39">
        <w:rPr>
          <w:b/>
          <w:i/>
          <w:szCs w:val="24"/>
          <w:lang w:eastAsia="en-US"/>
        </w:rPr>
        <w:t xml:space="preserve"> från källa till hjul</w:t>
      </w:r>
      <w:r w:rsidRPr="003D1F39">
        <w:rPr>
          <w:szCs w:val="24"/>
          <w:lang w:eastAsia="en-US"/>
        </w:rPr>
        <w:t xml:space="preserve"> från transporttjänster ska beräknas på grundval av den metod som definieras i standarden SS-EN ISO 14083:2023, i gällande version, och reglerna i kapitel III i denna förordning.</w:t>
      </w:r>
      <w:r w:rsidR="00626197">
        <w:rPr>
          <w:b/>
          <w:szCs w:val="24"/>
          <w:lang w:eastAsia="en-US"/>
        </w:rPr>
        <w:t xml:space="preserve"> [Ändr. 44]</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1a.</w:t>
      </w:r>
      <w:r w:rsidRPr="003D1F39">
        <w:rPr>
          <w:szCs w:val="24"/>
          <w:lang w:eastAsia="en-US"/>
        </w:rPr>
        <w:tab/>
      </w:r>
      <w:r w:rsidRPr="003D1F39">
        <w:rPr>
          <w:b/>
          <w:i/>
          <w:szCs w:val="24"/>
          <w:lang w:eastAsia="en-US"/>
        </w:rPr>
        <w:t>Kommissionen ska senast den</w:t>
      </w:r>
      <w:r w:rsidR="00095E9D">
        <w:rPr>
          <w:b/>
          <w:i/>
          <w:szCs w:val="24"/>
          <w:lang w:eastAsia="en-US"/>
        </w:rPr>
        <w:t xml:space="preserve"> ...</w:t>
      </w:r>
      <w:r w:rsidRPr="003D1F39">
        <w:rPr>
          <w:b/>
          <w:i/>
          <w:szCs w:val="24"/>
          <w:lang w:eastAsia="en-US"/>
        </w:rPr>
        <w:t xml:space="preserve"> [datumet för denna förordnings ikraftträdande] ge kostnadsfri tillgång till standarden SS-EN ISO 14083:2023 via en lättillgänglig webbplats.</w:t>
      </w:r>
      <w:r w:rsidR="00626197">
        <w:rPr>
          <w:b/>
          <w:szCs w:val="24"/>
          <w:lang w:eastAsia="en-US"/>
        </w:rPr>
        <w:t xml:space="preserve"> [Ändr. 45]</w:t>
      </w:r>
    </w:p>
    <w:p w:rsidR="00626197"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Kommissionen ska senast 36 månader efter den dag då denna förordning börjar tillämpas bedöma behovet av anpassning av någon del av den standard som avses i punkt 1</w:t>
      </w:r>
      <w:r w:rsidRPr="003D1F39">
        <w:rPr>
          <w:b/>
          <w:i/>
          <w:szCs w:val="24"/>
          <w:lang w:eastAsia="en-US"/>
        </w:rPr>
        <w:t>, särskilt för att säkerställa att den överensstämmer med unionens långsiktiga och mellanliggande klimatmål enligt förordning (EU) 2021/1119 och med annan unionslagstiftning på klimat- och energiområdet</w:t>
      </w:r>
      <w:r w:rsidRPr="003D1F39">
        <w:rPr>
          <w:szCs w:val="24"/>
          <w:lang w:eastAsia="en-US"/>
        </w:rPr>
        <w:t>.</w:t>
      </w:r>
      <w:r w:rsidR="00626197">
        <w:rPr>
          <w:b/>
          <w:szCs w:val="24"/>
          <w:lang w:eastAsia="en-US"/>
        </w:rPr>
        <w:t xml:space="preserve"> [Ändr. 46]</w:t>
      </w:r>
    </w:p>
    <w:p w:rsidR="00626197" w:rsidRDefault="00626197">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2a.</w:t>
      </w:r>
      <w:r w:rsidRPr="003D1F39">
        <w:rPr>
          <w:szCs w:val="24"/>
          <w:lang w:eastAsia="en-US"/>
        </w:rPr>
        <w:tab/>
      </w:r>
      <w:r w:rsidRPr="003D1F39">
        <w:rPr>
          <w:b/>
          <w:i/>
          <w:szCs w:val="24"/>
          <w:lang w:eastAsia="en-US"/>
        </w:rPr>
        <w:t>Kommissionen ska senast den</w:t>
      </w:r>
      <w:r w:rsidR="00095E9D">
        <w:rPr>
          <w:b/>
          <w:i/>
          <w:szCs w:val="24"/>
          <w:lang w:eastAsia="en-US"/>
        </w:rPr>
        <w:t xml:space="preserve"> ...</w:t>
      </w:r>
      <w:r w:rsidRPr="003D1F39">
        <w:rPr>
          <w:b/>
          <w:i/>
          <w:szCs w:val="24"/>
          <w:lang w:eastAsia="en-US"/>
        </w:rPr>
        <w:t xml:space="preserve"> [24 månader efter denna förordnings ikraftträdande] lägga fram en rapport för Europaparlamentet och rådet där den fastställer en unionsgemensam metod för att beräkna växthusgasutsläppen under hela livscykeln för alla transportsätt, särskilt utsläpp som uppstår vid tillverkning, underhåll och bortskaffande av fordon. Kommissionen ska ta vederbörlig hänsyn till alla metoder för att beräkna utsläpp under hela livscykeln som tagits fram i enlighet med förordning (EU) 2019/631, förordning (EU) 2023/1542 och förordning (EU) 2019/1242. Rapporten ska innehålla en bedömning av det bästa sättet att genomföra unionens gemensamma livscykelmetod i enlighet med denna förordning och ska vid behov omedelbart åtföljas av ett lagstiftningsförslag om ändring av denna förordning.</w:t>
      </w:r>
      <w:r w:rsidR="00626197">
        <w:rPr>
          <w:b/>
          <w:szCs w:val="24"/>
          <w:lang w:eastAsia="en-US"/>
        </w:rPr>
        <w:t xml:space="preserve"> [Ändr. 47]</w:t>
      </w:r>
    </w:p>
    <w:p w:rsidR="00626197" w:rsidRDefault="003D1F39" w:rsidP="003D1F39">
      <w:pPr>
        <w:spacing w:before="120" w:after="120" w:line="360" w:lineRule="auto"/>
        <w:ind w:left="850" w:hanging="850"/>
        <w:rPr>
          <w:b/>
          <w:szCs w:val="24"/>
          <w:lang w:eastAsia="en-US"/>
        </w:rPr>
      </w:pPr>
      <w:r w:rsidRPr="003D1F39">
        <w:rPr>
          <w:b/>
          <w:i/>
          <w:szCs w:val="24"/>
          <w:lang w:eastAsia="en-US"/>
        </w:rPr>
        <w:t>2b.</w:t>
      </w:r>
      <w:r w:rsidRPr="003D1F39">
        <w:rPr>
          <w:szCs w:val="24"/>
          <w:lang w:eastAsia="en-US"/>
        </w:rPr>
        <w:tab/>
      </w:r>
      <w:r w:rsidRPr="003D1F39">
        <w:rPr>
          <w:b/>
          <w:i/>
          <w:szCs w:val="24"/>
          <w:lang w:eastAsia="en-US"/>
        </w:rPr>
        <w:t>Som en del av den bedömning som avses i punkt 2 ska kommissionen bedöma om det är genomförbart att inkludera redovisning av luftföroreningar orsakade av transporttjänster som börjar eller slutar på unionens territorium i denna förordnings tillämpningsområde</w:t>
      </w:r>
      <w:r w:rsidR="00095E9D">
        <w:rPr>
          <w:b/>
          <w:i/>
          <w:szCs w:val="24"/>
          <w:lang w:eastAsia="en-US"/>
        </w:rPr>
        <w:t>,</w:t>
      </w:r>
      <w:r w:rsidRPr="003D1F39">
        <w:rPr>
          <w:b/>
          <w:i/>
          <w:szCs w:val="24"/>
          <w:lang w:eastAsia="en-US"/>
        </w:rPr>
        <w:t xml:space="preserve"> samt vilka ekonomiska, miljömässiga, hälsomässiga och sociala konsekvenser det skulle få.</w:t>
      </w:r>
      <w:r w:rsidR="00626197">
        <w:rPr>
          <w:b/>
          <w:szCs w:val="24"/>
          <w:lang w:eastAsia="en-US"/>
        </w:rPr>
        <w:t xml:space="preserve"> [Ändr. 48]</w:t>
      </w:r>
    </w:p>
    <w:p w:rsidR="00626197" w:rsidRDefault="00626197">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3.</w:t>
      </w:r>
      <w:r w:rsidRPr="003D1F39">
        <w:rPr>
          <w:szCs w:val="24"/>
          <w:lang w:eastAsia="en-US"/>
        </w:rPr>
        <w:tab/>
        <w:t>Kommissionen får inleda en kontroll av överensstämmelse för att bedöma eventuella ändringar av den standard som avses i punkt 1. Kontrollen av överensstämmelse ska inledas av kommissionen, som vid behov får agera på begäran av en medlemsstat.</w:t>
      </w:r>
    </w:p>
    <w:p w:rsidR="003D1F39" w:rsidRPr="003D1F39" w:rsidRDefault="003D1F39" w:rsidP="003D1F39">
      <w:pPr>
        <w:spacing w:before="120" w:after="120" w:line="360" w:lineRule="auto"/>
        <w:ind w:left="850" w:hanging="850"/>
        <w:rPr>
          <w:szCs w:val="24"/>
          <w:lang w:eastAsia="en-US"/>
        </w:rPr>
      </w:pPr>
      <w:r w:rsidRPr="003D1F39">
        <w:rPr>
          <w:szCs w:val="24"/>
          <w:lang w:eastAsia="en-US"/>
        </w:rPr>
        <w:t>4.</w:t>
      </w:r>
      <w:r w:rsidRPr="003D1F39">
        <w:rPr>
          <w:szCs w:val="24"/>
          <w:lang w:eastAsia="en-US"/>
        </w:rPr>
        <w:tab/>
        <w:t>Kommissionen ska ges befogenhet att anta delegerade akter i enlighet med artikel 16 för att från denna förordnings tillämpningsområde undanta en ändring som avses i punkt 3 och en komponent som avses i punkt 2, om denna ändring eller komponent enligt kommissionens bedömning medför en uppenbar risk för oförenlighet med målen för denna förordning och andra tillämpliga unionsregler.</w:t>
      </w:r>
    </w:p>
    <w:p w:rsidR="00626197" w:rsidRDefault="003D1F39" w:rsidP="003D1F39">
      <w:pPr>
        <w:spacing w:before="120" w:after="120" w:line="360" w:lineRule="auto"/>
        <w:ind w:left="850" w:hanging="850"/>
        <w:rPr>
          <w:szCs w:val="24"/>
          <w:lang w:eastAsia="en-US"/>
        </w:rPr>
      </w:pPr>
      <w:r w:rsidRPr="003D1F39">
        <w:rPr>
          <w:szCs w:val="24"/>
          <w:lang w:eastAsia="en-US"/>
        </w:rPr>
        <w:t>5.</w:t>
      </w:r>
      <w:r w:rsidRPr="003D1F39">
        <w:rPr>
          <w:szCs w:val="24"/>
          <w:lang w:eastAsia="en-US"/>
        </w:rPr>
        <w:tab/>
        <w:t>Kommissionen ska ges befogenhet att anta delegerade akter i enlighet med artikel 16 för att begära att Europeiska standardiseringskommittén reviderar den standard som avses i punkt 1, inbegripet på grundval av resultatet av den bedömning som avses i punkt 2 och den kontroll av överensstämmelse som avses i punkt 3.</w:t>
      </w:r>
    </w:p>
    <w:p w:rsidR="00626197" w:rsidRDefault="00626197">
      <w:pPr>
        <w:widowControl/>
        <w:rPr>
          <w:szCs w:val="24"/>
          <w:lang w:eastAsia="en-US"/>
        </w:rPr>
      </w:pPr>
      <w:r>
        <w:rPr>
          <w:szCs w:val="24"/>
          <w:lang w:eastAsia="en-US"/>
        </w:rPr>
        <w:br w:type="page"/>
      </w:r>
    </w:p>
    <w:p w:rsidR="00626197" w:rsidRDefault="003D1F39" w:rsidP="003D1F39">
      <w:pPr>
        <w:spacing w:before="120" w:after="120" w:line="360" w:lineRule="auto"/>
        <w:ind w:left="850" w:hanging="850"/>
        <w:rPr>
          <w:b/>
          <w:szCs w:val="24"/>
          <w:lang w:eastAsia="en-US"/>
        </w:rPr>
      </w:pPr>
      <w:r w:rsidRPr="003D1F39">
        <w:rPr>
          <w:szCs w:val="24"/>
          <w:lang w:eastAsia="en-US"/>
        </w:rPr>
        <w:lastRenderedPageBreak/>
        <w:t>6.</w:t>
      </w:r>
      <w:r w:rsidRPr="003D1F39">
        <w:rPr>
          <w:szCs w:val="24"/>
          <w:lang w:eastAsia="en-US"/>
        </w:rPr>
        <w:tab/>
        <w:t xml:space="preserve">Kommissionen ska ges befogenhet att anta </w:t>
      </w:r>
      <w:r w:rsidRPr="003D1F39">
        <w:rPr>
          <w:strike/>
          <w:szCs w:val="24"/>
          <w:lang w:eastAsia="en-US"/>
        </w:rPr>
        <w:t>genomförandeakter</w:t>
      </w:r>
      <w:r w:rsidRPr="003D1F39">
        <w:rPr>
          <w:b/>
          <w:i/>
          <w:szCs w:val="24"/>
          <w:lang w:eastAsia="en-US"/>
        </w:rPr>
        <w:t>delegerade akter</w:t>
      </w:r>
      <w:r w:rsidRPr="003D1F39">
        <w:rPr>
          <w:szCs w:val="24"/>
          <w:lang w:eastAsia="en-US"/>
        </w:rPr>
        <w:t xml:space="preserve"> i enlighet med artikel </w:t>
      </w:r>
      <w:r w:rsidRPr="003D1F39">
        <w:rPr>
          <w:strike/>
          <w:szCs w:val="24"/>
          <w:lang w:eastAsia="en-US"/>
        </w:rPr>
        <w:t>17</w:t>
      </w:r>
      <w:r w:rsidRPr="003D1F39">
        <w:rPr>
          <w:b/>
          <w:i/>
          <w:szCs w:val="24"/>
          <w:lang w:eastAsia="en-US"/>
        </w:rPr>
        <w:t>16</w:t>
      </w:r>
      <w:r w:rsidRPr="003D1F39">
        <w:rPr>
          <w:szCs w:val="24"/>
          <w:lang w:eastAsia="en-US"/>
        </w:rPr>
        <w:t xml:space="preserve"> för att komplettera denna förordning i syfte att förtydliga den </w:t>
      </w:r>
      <w:proofErr w:type="spellStart"/>
      <w:r w:rsidRPr="003D1F39">
        <w:rPr>
          <w:szCs w:val="24"/>
          <w:lang w:eastAsia="en-US"/>
        </w:rPr>
        <w:t>referensmetod</w:t>
      </w:r>
      <w:proofErr w:type="spellEnd"/>
      <w:r w:rsidRPr="003D1F39">
        <w:rPr>
          <w:szCs w:val="24"/>
          <w:lang w:eastAsia="en-US"/>
        </w:rPr>
        <w:t xml:space="preserve"> som avses i punkt 1, säkerställa ett enhetligt genomförande på marknaden när det gäller metoden för att fastställa lämpliga utsläppsrelevanta parametrar för beräkning av växthusgasutsläpp innan en tjänst tillhandahålls och, i tillämpliga fall, andra tekniska parametrar för tilldelning av utsläpp eller aggregering av dataelement som inte uttryckligen förklaras i metoden.</w:t>
      </w:r>
      <w:r w:rsidR="00626197">
        <w:rPr>
          <w:b/>
          <w:szCs w:val="24"/>
          <w:lang w:eastAsia="en-US"/>
        </w:rPr>
        <w:t xml:space="preserve"> [Ändr. 49]</w:t>
      </w:r>
    </w:p>
    <w:p w:rsidR="00626197" w:rsidRDefault="00626197">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III</w:t>
      </w:r>
      <w:r w:rsidRPr="003D1F39">
        <w:rPr>
          <w:szCs w:val="24"/>
          <w:lang w:eastAsia="en-US"/>
        </w:rPr>
        <w:br/>
        <w:t>INDATA OCH KÄLLOR</w:t>
      </w:r>
    </w:p>
    <w:p w:rsidR="003D1F39" w:rsidRPr="003D1F39" w:rsidRDefault="003D1F39" w:rsidP="003D1F39">
      <w:pPr>
        <w:spacing w:before="120" w:after="120" w:line="360" w:lineRule="auto"/>
        <w:jc w:val="center"/>
        <w:rPr>
          <w:szCs w:val="24"/>
          <w:lang w:eastAsia="en-US"/>
        </w:rPr>
      </w:pPr>
      <w:r w:rsidRPr="003D1F39">
        <w:rPr>
          <w:szCs w:val="24"/>
          <w:lang w:eastAsia="en-US"/>
        </w:rPr>
        <w:t>Artikel 5</w:t>
      </w:r>
      <w:r w:rsidRPr="003D1F39">
        <w:rPr>
          <w:szCs w:val="24"/>
          <w:lang w:eastAsia="en-US"/>
        </w:rPr>
        <w:br/>
        <w:t>Användning av primär- och sekundärdata</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De enheter som avses i artikel 2</w:t>
      </w:r>
      <w:r w:rsidRPr="003D1F39">
        <w:rPr>
          <w:b/>
          <w:i/>
          <w:szCs w:val="24"/>
          <w:lang w:eastAsia="en-US"/>
        </w:rPr>
        <w:t xml:space="preserve"> ska använda primärdata för att beräkna växthusgasutsläppen från en transporttjänst som de tillhandahåller, med undantag av tjänster som tillhandahålls av mikroföretag samt små och medelstora företag enligt definitionen i kommissionens rekommendation 2003/361/EG. Små och medelstora företag</w:t>
      </w:r>
      <w:r w:rsidRPr="003D1F39">
        <w:rPr>
          <w:szCs w:val="24"/>
          <w:lang w:eastAsia="en-US"/>
        </w:rPr>
        <w:t xml:space="preserve"> ska prioritera användning av primärdata för beräkning av växthusgasutsläpp från en transporttjänst.</w:t>
      </w:r>
      <w:r w:rsidR="00626197">
        <w:rPr>
          <w:b/>
          <w:szCs w:val="24"/>
          <w:lang w:eastAsia="en-US"/>
        </w:rPr>
        <w:t xml:space="preserve"> [Ändr. 50]</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1a.</w:t>
      </w:r>
      <w:r w:rsidRPr="003D1F39">
        <w:rPr>
          <w:szCs w:val="24"/>
          <w:lang w:eastAsia="en-US"/>
        </w:rPr>
        <w:tab/>
      </w:r>
      <w:r w:rsidRPr="003D1F39">
        <w:rPr>
          <w:b/>
          <w:i/>
          <w:szCs w:val="24"/>
          <w:lang w:eastAsia="en-US"/>
        </w:rPr>
        <w:t>När små och medelstora företag agerar som underleverantörer inom transport ska de kunna förlita sig på sekundärdata, även om transportanordnaren använder primärdata för att beräkna växthusgasutsläppen från en transporttjänst som utförs av andra transportunderleverantörer eller den egna fordonsparken.</w:t>
      </w:r>
      <w:r w:rsidR="00626197">
        <w:rPr>
          <w:b/>
          <w:szCs w:val="24"/>
          <w:lang w:eastAsia="en-US"/>
        </w:rPr>
        <w:t xml:space="preserve"> [Ändr. 51]</w:t>
      </w:r>
    </w:p>
    <w:p w:rsidR="00626197" w:rsidRDefault="003D1F39" w:rsidP="003D1F39">
      <w:pPr>
        <w:spacing w:before="120" w:after="120" w:line="360" w:lineRule="auto"/>
        <w:ind w:left="850" w:hanging="850"/>
        <w:rPr>
          <w:b/>
          <w:szCs w:val="24"/>
          <w:lang w:eastAsia="en-US"/>
        </w:rPr>
      </w:pPr>
      <w:r w:rsidRPr="003D1F39">
        <w:rPr>
          <w:b/>
          <w:i/>
          <w:szCs w:val="24"/>
          <w:lang w:eastAsia="en-US"/>
        </w:rPr>
        <w:t>1b.</w:t>
      </w:r>
      <w:r w:rsidRPr="003D1F39">
        <w:rPr>
          <w:szCs w:val="24"/>
          <w:lang w:eastAsia="en-US"/>
        </w:rPr>
        <w:tab/>
      </w:r>
      <w:r w:rsidRPr="003D1F39">
        <w:rPr>
          <w:b/>
          <w:i/>
          <w:szCs w:val="24"/>
          <w:lang w:eastAsia="en-US"/>
        </w:rPr>
        <w:t>Medlemsstaterna får införa administrativa, ekonomiska eller operativa incitament för att främja användningen av primärdata och bör underrätta kommissionen om deras art och tidsram.</w:t>
      </w:r>
      <w:r w:rsidR="00626197">
        <w:rPr>
          <w:b/>
          <w:szCs w:val="24"/>
          <w:lang w:eastAsia="en-US"/>
        </w:rPr>
        <w:t xml:space="preserve"> [Ändr. 52]</w:t>
      </w:r>
    </w:p>
    <w:p w:rsidR="00626197" w:rsidRDefault="00626197">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2.</w:t>
      </w:r>
      <w:r w:rsidRPr="003D1F39">
        <w:rPr>
          <w:szCs w:val="24"/>
          <w:lang w:eastAsia="en-US"/>
        </w:rPr>
        <w:tab/>
        <w:t xml:space="preserve">Användning av sekundärdata för beräkning av växthusgasutsläpp från en transporttjänst ska tillåtas </w:t>
      </w:r>
      <w:r w:rsidRPr="003D1F39">
        <w:rPr>
          <w:b/>
          <w:i/>
          <w:szCs w:val="24"/>
          <w:lang w:eastAsia="en-US"/>
        </w:rPr>
        <w:t xml:space="preserve">för små och medelstora företag </w:t>
      </w:r>
      <w:r w:rsidRPr="003D1F39">
        <w:rPr>
          <w:szCs w:val="24"/>
          <w:lang w:eastAsia="en-US"/>
        </w:rPr>
        <w:t>på följande villkor:</w:t>
      </w:r>
      <w:r w:rsidR="00626197">
        <w:rPr>
          <w:b/>
          <w:szCs w:val="24"/>
          <w:lang w:eastAsia="en-US"/>
        </w:rPr>
        <w:t xml:space="preserve"> [Ändr. 53]</w:t>
      </w:r>
    </w:p>
    <w:p w:rsidR="003D1F39" w:rsidRPr="003D1F39" w:rsidRDefault="003D1F39" w:rsidP="003D1F39">
      <w:pPr>
        <w:spacing w:before="120" w:after="120" w:line="360" w:lineRule="auto"/>
        <w:ind w:left="1416" w:hanging="566"/>
        <w:rPr>
          <w:szCs w:val="24"/>
          <w:lang w:eastAsia="en-US"/>
        </w:rPr>
      </w:pPr>
      <w:r w:rsidRPr="003D1F39">
        <w:rPr>
          <w:szCs w:val="24"/>
          <w:lang w:eastAsia="en-US"/>
        </w:rPr>
        <w:t>(a)</w:t>
      </w:r>
      <w:r w:rsidRPr="003D1F39">
        <w:rPr>
          <w:szCs w:val="24"/>
          <w:lang w:eastAsia="en-US"/>
        </w:rPr>
        <w:tab/>
        <w:t>Standardvärdena för växthusgasintensitet härleds från</w:t>
      </w:r>
    </w:p>
    <w:p w:rsidR="003D1F39" w:rsidRPr="003D1F39" w:rsidRDefault="003D1F39" w:rsidP="003D1F39">
      <w:pPr>
        <w:spacing w:before="120" w:after="120" w:line="360" w:lineRule="auto"/>
        <w:ind w:left="1982" w:hanging="566"/>
        <w:rPr>
          <w:szCs w:val="24"/>
          <w:lang w:eastAsia="en-US"/>
        </w:rPr>
      </w:pPr>
      <w:r w:rsidRPr="003D1F39">
        <w:rPr>
          <w:szCs w:val="24"/>
          <w:lang w:eastAsia="en-US"/>
        </w:rPr>
        <w:t>(i)</w:t>
      </w:r>
      <w:r w:rsidRPr="003D1F39">
        <w:rPr>
          <w:szCs w:val="24"/>
          <w:lang w:eastAsia="en-US"/>
        </w:rPr>
        <w:tab/>
        <w:t>den centrala EU-databas med standardvärden för växthusgasintensitet som avses i artikel 6.1,</w:t>
      </w:r>
    </w:p>
    <w:p w:rsidR="003D1F39" w:rsidRPr="003D1F39" w:rsidRDefault="003D1F39" w:rsidP="003D1F39">
      <w:pPr>
        <w:spacing w:before="120" w:after="120" w:line="360" w:lineRule="auto"/>
        <w:ind w:left="1982" w:hanging="566"/>
        <w:rPr>
          <w:szCs w:val="24"/>
          <w:lang w:eastAsia="en-US"/>
        </w:rPr>
      </w:pPr>
      <w:r w:rsidRPr="003D1F39">
        <w:rPr>
          <w:szCs w:val="24"/>
          <w:lang w:eastAsia="en-US"/>
        </w:rPr>
        <w:t>(ii)</w:t>
      </w:r>
      <w:r w:rsidRPr="003D1F39">
        <w:rPr>
          <w:szCs w:val="24"/>
          <w:lang w:eastAsia="en-US"/>
        </w:rPr>
        <w:tab/>
        <w:t xml:space="preserve">databaser och </w:t>
      </w:r>
      <w:proofErr w:type="spellStart"/>
      <w:r w:rsidRPr="003D1F39">
        <w:rPr>
          <w:szCs w:val="24"/>
          <w:lang w:eastAsia="en-US"/>
        </w:rPr>
        <w:t>dataset</w:t>
      </w:r>
      <w:proofErr w:type="spellEnd"/>
      <w:r w:rsidRPr="003D1F39">
        <w:rPr>
          <w:szCs w:val="24"/>
          <w:lang w:eastAsia="en-US"/>
        </w:rPr>
        <w:t xml:space="preserve"> med standardvärden för växthusgasintensitet som administreras av tredje part, i enlighet med artikel 7.</w:t>
      </w:r>
    </w:p>
    <w:p w:rsidR="003D1F39" w:rsidRPr="003D1F39" w:rsidRDefault="003D1F39" w:rsidP="003D1F39">
      <w:pPr>
        <w:spacing w:before="120" w:after="120" w:line="360" w:lineRule="auto"/>
        <w:ind w:left="1416" w:hanging="566"/>
        <w:rPr>
          <w:szCs w:val="24"/>
          <w:lang w:eastAsia="en-US"/>
        </w:rPr>
      </w:pPr>
      <w:r w:rsidRPr="003D1F39">
        <w:rPr>
          <w:szCs w:val="24"/>
          <w:lang w:eastAsia="en-US"/>
        </w:rPr>
        <w:t>(b)</w:t>
      </w:r>
      <w:r w:rsidRPr="003D1F39">
        <w:rPr>
          <w:szCs w:val="24"/>
          <w:lang w:eastAsia="en-US"/>
        </w:rPr>
        <w:tab/>
        <w:t>Standardvärdena för utsläppsfaktorer för växthusgas för transportenergibärare härrör från den centrala EU-databas med standardvärden för utsläppsfaktorer för växthusgas som avses i artikel 8.</w:t>
      </w:r>
    </w:p>
    <w:p w:rsidR="00626197" w:rsidRDefault="003D1F39" w:rsidP="003D1F39">
      <w:pPr>
        <w:spacing w:before="120" w:after="120" w:line="360" w:lineRule="auto"/>
        <w:ind w:left="1416" w:hanging="566"/>
        <w:rPr>
          <w:szCs w:val="24"/>
          <w:lang w:eastAsia="en-US"/>
        </w:rPr>
      </w:pPr>
      <w:r w:rsidRPr="003D1F39">
        <w:rPr>
          <w:szCs w:val="24"/>
          <w:lang w:eastAsia="en-US"/>
        </w:rPr>
        <w:t>(c)</w:t>
      </w:r>
      <w:r w:rsidRPr="003D1F39">
        <w:rPr>
          <w:szCs w:val="24"/>
          <w:lang w:eastAsia="en-US"/>
        </w:rPr>
        <w:tab/>
        <w:t>Modellerade data bygger på en modell som fastställts i enlighet med den metod som avses i artikel 4 och reglerna i artikel 5.2 b och artikel 11, i tillämpliga fall.</w:t>
      </w:r>
    </w:p>
    <w:p w:rsidR="00626197" w:rsidRDefault="00626197">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2a.</w:t>
      </w:r>
      <w:r w:rsidRPr="003D1F39">
        <w:rPr>
          <w:szCs w:val="24"/>
          <w:lang w:eastAsia="en-US"/>
        </w:rPr>
        <w:tab/>
      </w:r>
      <w:r w:rsidRPr="003D1F39">
        <w:rPr>
          <w:b/>
          <w:i/>
          <w:szCs w:val="24"/>
          <w:lang w:eastAsia="en-US"/>
        </w:rPr>
        <w:t>Kommissionen ska senast den</w:t>
      </w:r>
      <w:r w:rsidR="00095E9D">
        <w:rPr>
          <w:b/>
          <w:i/>
          <w:szCs w:val="24"/>
          <w:lang w:eastAsia="en-US"/>
        </w:rPr>
        <w:t xml:space="preserve"> ...</w:t>
      </w:r>
      <w:r w:rsidRPr="003D1F39">
        <w:rPr>
          <w:b/>
          <w:i/>
          <w:szCs w:val="24"/>
          <w:lang w:eastAsia="en-US"/>
        </w:rPr>
        <w:t xml:space="preserve"> [tolv månader efter denna förordnings ikraftträdande] anta delegerade akter i enlighet med artikel 16 för att komplettera denna förordning genom att fastställa detaljerade </w:t>
      </w:r>
      <w:r w:rsidR="00321967">
        <w:rPr>
          <w:b/>
          <w:i/>
          <w:szCs w:val="24"/>
          <w:lang w:eastAsia="en-US"/>
        </w:rPr>
        <w:t>bestämmelse</w:t>
      </w:r>
      <w:r w:rsidR="00321967" w:rsidRPr="003D1F39">
        <w:rPr>
          <w:b/>
          <w:i/>
          <w:szCs w:val="24"/>
          <w:lang w:eastAsia="en-US"/>
        </w:rPr>
        <w:t xml:space="preserve">r </w:t>
      </w:r>
      <w:r w:rsidRPr="003D1F39">
        <w:rPr>
          <w:b/>
          <w:i/>
          <w:szCs w:val="24"/>
          <w:lang w:eastAsia="en-US"/>
        </w:rPr>
        <w:t>om hur brytpunktskriterier och avvikelser från storcirkelavståndet ska tillämpas.</w:t>
      </w:r>
      <w:r w:rsidR="00626197">
        <w:rPr>
          <w:b/>
          <w:szCs w:val="24"/>
          <w:lang w:eastAsia="en-US"/>
        </w:rPr>
        <w:t xml:space="preserve"> [Ändr. 54]</w:t>
      </w:r>
    </w:p>
    <w:p w:rsidR="00626197" w:rsidRDefault="003D1F39" w:rsidP="003D1F39">
      <w:pPr>
        <w:spacing w:before="120" w:after="120" w:line="360" w:lineRule="auto"/>
        <w:ind w:left="850" w:hanging="850"/>
        <w:rPr>
          <w:b/>
          <w:szCs w:val="24"/>
          <w:lang w:eastAsia="en-US"/>
        </w:rPr>
      </w:pPr>
      <w:r w:rsidRPr="003D1F39">
        <w:rPr>
          <w:b/>
          <w:i/>
          <w:szCs w:val="24"/>
          <w:lang w:eastAsia="en-US"/>
        </w:rPr>
        <w:t>2b.</w:t>
      </w:r>
      <w:r w:rsidRPr="003D1F39">
        <w:rPr>
          <w:szCs w:val="24"/>
          <w:lang w:eastAsia="en-US"/>
        </w:rPr>
        <w:tab/>
      </w:r>
      <w:r w:rsidRPr="003D1F39">
        <w:rPr>
          <w:b/>
          <w:i/>
          <w:szCs w:val="24"/>
          <w:lang w:eastAsia="en-US"/>
        </w:rPr>
        <w:t>Tillverkare av originalutrustning ska ge små och medelstora företag tillräcklig tillgång till relevanta fordonsdata i den omfattning som krävs för att uppfylla kraven i denna förordning och så länge det är relevant för att underlätta deras korrekta datainsamling och efterföljande beräkningar.</w:t>
      </w:r>
      <w:r w:rsidR="00626197">
        <w:rPr>
          <w:b/>
          <w:szCs w:val="24"/>
          <w:lang w:eastAsia="en-US"/>
        </w:rPr>
        <w:t xml:space="preserve"> [Ändr. 55]</w:t>
      </w:r>
    </w:p>
    <w:p w:rsidR="00626197" w:rsidRDefault="00626197">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Artikel 6</w:t>
      </w:r>
      <w:r w:rsidRPr="003D1F39">
        <w:rPr>
          <w:szCs w:val="24"/>
          <w:lang w:eastAsia="en-US"/>
        </w:rPr>
        <w:br/>
        <w:t>Central EU-databas med standardvärden för växthusgasintensitet</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Kommissionen ska</w:t>
      </w:r>
      <w:r w:rsidRPr="003D1F39">
        <w:rPr>
          <w:b/>
          <w:i/>
          <w:szCs w:val="24"/>
          <w:lang w:eastAsia="en-US"/>
        </w:rPr>
        <w:t xml:space="preserve"> inom 18 månader från denna förordnings ikraftträdande</w:t>
      </w:r>
      <w:r w:rsidRPr="003D1F39">
        <w:rPr>
          <w:szCs w:val="24"/>
          <w:lang w:eastAsia="en-US"/>
        </w:rPr>
        <w:t>, med bistånd av Europeiska miljöbyrån</w:t>
      </w:r>
      <w:r w:rsidRPr="003D1F39">
        <w:rPr>
          <w:b/>
          <w:i/>
          <w:szCs w:val="24"/>
          <w:lang w:eastAsia="en-US"/>
        </w:rPr>
        <w:t xml:space="preserve"> och med beaktande av berörda intressenters och andra sektorsspecifika </w:t>
      </w:r>
      <w:r w:rsidR="00095E9D">
        <w:rPr>
          <w:b/>
          <w:i/>
          <w:szCs w:val="24"/>
          <w:lang w:eastAsia="en-US"/>
        </w:rPr>
        <w:t>unions</w:t>
      </w:r>
      <w:r w:rsidRPr="003D1F39">
        <w:rPr>
          <w:b/>
          <w:i/>
          <w:szCs w:val="24"/>
          <w:lang w:eastAsia="en-US"/>
        </w:rPr>
        <w:t>organs expertis, upprätta en kostnadsfritt tillgänglig</w:t>
      </w:r>
      <w:r w:rsidRPr="003D1F39">
        <w:rPr>
          <w:strike/>
          <w:szCs w:val="24"/>
          <w:lang w:eastAsia="en-US"/>
        </w:rPr>
        <w:t>, inrätta en</w:t>
      </w:r>
      <w:r w:rsidRPr="003D1F39">
        <w:rPr>
          <w:szCs w:val="24"/>
          <w:lang w:eastAsia="en-US"/>
        </w:rPr>
        <w:t xml:space="preserve"> central EU-databas med sådana standardvärden för utsläppsintensitet som avses i artikel 5.2 a i.</w:t>
      </w:r>
      <w:r w:rsidR="00626197">
        <w:rPr>
          <w:b/>
          <w:szCs w:val="24"/>
          <w:lang w:eastAsia="en-US"/>
        </w:rPr>
        <w:t xml:space="preserve"> [Ändr. 56]</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1a.</w:t>
      </w:r>
      <w:r w:rsidRPr="003D1F39">
        <w:rPr>
          <w:szCs w:val="24"/>
          <w:lang w:eastAsia="en-US"/>
        </w:rPr>
        <w:tab/>
      </w:r>
      <w:r w:rsidRPr="003D1F39">
        <w:rPr>
          <w:b/>
          <w:i/>
          <w:szCs w:val="24"/>
          <w:lang w:eastAsia="en-US"/>
        </w:rPr>
        <w:t>Vid upprättandet av den centrala EU-databas med standardvärden för utsläppsintensitet som avses i artikel 5.2 a i ska kommissionen och Europeiska miljöbyrån ta fram en separat tabell för varje transportsätt.</w:t>
      </w:r>
      <w:r w:rsidR="00626197">
        <w:rPr>
          <w:b/>
          <w:szCs w:val="24"/>
          <w:lang w:eastAsia="en-US"/>
        </w:rPr>
        <w:t xml:space="preserve"> [Ändr. 57]</w:t>
      </w:r>
    </w:p>
    <w:p w:rsidR="003D1F39" w:rsidRPr="003D1F39" w:rsidRDefault="003D1F39" w:rsidP="003D1F39">
      <w:pPr>
        <w:spacing w:before="120" w:after="120" w:line="360" w:lineRule="auto"/>
        <w:ind w:left="850" w:hanging="850"/>
        <w:rPr>
          <w:szCs w:val="24"/>
          <w:lang w:eastAsia="en-US"/>
        </w:rPr>
      </w:pPr>
      <w:r w:rsidRPr="003D1F39">
        <w:rPr>
          <w:b/>
          <w:i/>
          <w:szCs w:val="24"/>
          <w:lang w:eastAsia="en-US"/>
        </w:rPr>
        <w:t>1b.</w:t>
      </w:r>
      <w:r w:rsidRPr="003D1F39">
        <w:rPr>
          <w:szCs w:val="24"/>
          <w:lang w:eastAsia="en-US"/>
        </w:rPr>
        <w:tab/>
      </w:r>
      <w:r w:rsidRPr="003D1F39">
        <w:rPr>
          <w:b/>
          <w:i/>
          <w:szCs w:val="24"/>
          <w:lang w:eastAsia="en-US"/>
        </w:rPr>
        <w:t>Vid framtagandet av standardvärdena för växthusgasintensitet ska kommissionen</w:t>
      </w:r>
    </w:p>
    <w:p w:rsidR="003D1F39" w:rsidRPr="003D1F39" w:rsidRDefault="003D1F39" w:rsidP="003D1F39">
      <w:pPr>
        <w:spacing w:before="120" w:after="120" w:line="360" w:lineRule="auto"/>
        <w:ind w:left="1416" w:hanging="566"/>
        <w:rPr>
          <w:szCs w:val="24"/>
          <w:lang w:eastAsia="en-US"/>
        </w:rPr>
      </w:pPr>
      <w:r w:rsidRPr="003D1F39">
        <w:rPr>
          <w:b/>
          <w:i/>
          <w:szCs w:val="24"/>
          <w:lang w:eastAsia="en-US"/>
        </w:rPr>
        <w:t>a)</w:t>
      </w:r>
      <w:r w:rsidRPr="003D1F39">
        <w:rPr>
          <w:szCs w:val="24"/>
          <w:lang w:eastAsia="en-US"/>
        </w:rPr>
        <w:tab/>
      </w:r>
      <w:r w:rsidRPr="003D1F39">
        <w:rPr>
          <w:b/>
          <w:i/>
          <w:szCs w:val="24"/>
          <w:lang w:eastAsia="en-US"/>
        </w:rPr>
        <w:t xml:space="preserve">tillämpa den </w:t>
      </w:r>
      <w:proofErr w:type="spellStart"/>
      <w:r w:rsidRPr="003D1F39">
        <w:rPr>
          <w:b/>
          <w:i/>
          <w:szCs w:val="24"/>
          <w:lang w:eastAsia="en-US"/>
        </w:rPr>
        <w:t>platsbaserade</w:t>
      </w:r>
      <w:proofErr w:type="spellEnd"/>
      <w:r w:rsidRPr="003D1F39">
        <w:rPr>
          <w:b/>
          <w:i/>
          <w:szCs w:val="24"/>
          <w:lang w:eastAsia="en-US"/>
        </w:rPr>
        <w:t xml:space="preserve"> metod som fastställs i den standard som avses i artikel 4 (den </w:t>
      </w:r>
      <w:proofErr w:type="spellStart"/>
      <w:r w:rsidRPr="003D1F39">
        <w:rPr>
          <w:b/>
          <w:i/>
          <w:szCs w:val="24"/>
          <w:lang w:eastAsia="en-US"/>
        </w:rPr>
        <w:t>platsbaserade</w:t>
      </w:r>
      <w:proofErr w:type="spellEnd"/>
      <w:r w:rsidRPr="003D1F39">
        <w:rPr>
          <w:b/>
          <w:i/>
          <w:szCs w:val="24"/>
          <w:lang w:eastAsia="en-US"/>
        </w:rPr>
        <w:t xml:space="preserve"> metoden),</w:t>
      </w:r>
    </w:p>
    <w:p w:rsidR="00626197" w:rsidRDefault="003D1F39" w:rsidP="003D1F39">
      <w:pPr>
        <w:spacing w:before="120" w:after="120" w:line="360" w:lineRule="auto"/>
        <w:ind w:left="1416" w:hanging="566"/>
        <w:rPr>
          <w:b/>
          <w:szCs w:val="24"/>
          <w:lang w:eastAsia="en-US"/>
        </w:rPr>
      </w:pPr>
      <w:r w:rsidRPr="003D1F39">
        <w:rPr>
          <w:b/>
          <w:i/>
          <w:szCs w:val="24"/>
          <w:lang w:eastAsia="en-US"/>
        </w:rPr>
        <w:t>b)</w:t>
      </w:r>
      <w:r w:rsidRPr="003D1F39">
        <w:rPr>
          <w:szCs w:val="24"/>
          <w:lang w:eastAsia="en-US"/>
        </w:rPr>
        <w:tab/>
      </w:r>
      <w:r w:rsidRPr="003D1F39">
        <w:rPr>
          <w:b/>
          <w:i/>
          <w:szCs w:val="24"/>
          <w:lang w:eastAsia="en-US"/>
        </w:rPr>
        <w:t>ta hänsyn till de utsläppsfaktorer för växthusgas som har fastställts i enlighet med direktiv (EU) 2018/2001.</w:t>
      </w:r>
      <w:r w:rsidR="00626197">
        <w:rPr>
          <w:b/>
          <w:szCs w:val="24"/>
          <w:lang w:eastAsia="en-US"/>
        </w:rPr>
        <w:t xml:space="preserve"> [Ändr. 58]</w:t>
      </w:r>
    </w:p>
    <w:p w:rsidR="00626197" w:rsidRDefault="00626197">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1c.</w:t>
      </w:r>
      <w:r w:rsidRPr="003D1F39">
        <w:rPr>
          <w:szCs w:val="24"/>
          <w:lang w:eastAsia="en-US"/>
        </w:rPr>
        <w:tab/>
      </w:r>
      <w:r w:rsidRPr="003D1F39">
        <w:rPr>
          <w:b/>
          <w:i/>
          <w:szCs w:val="24"/>
          <w:lang w:eastAsia="en-US"/>
        </w:rPr>
        <w:t xml:space="preserve">När utsläppen av växthusgaser från el som förbrukas av transporter kan kvantifieras med hjälp av den </w:t>
      </w:r>
      <w:proofErr w:type="spellStart"/>
      <w:r w:rsidRPr="003D1F39">
        <w:rPr>
          <w:b/>
          <w:i/>
          <w:szCs w:val="24"/>
          <w:lang w:eastAsia="en-US"/>
        </w:rPr>
        <w:t>platsbaserade</w:t>
      </w:r>
      <w:proofErr w:type="spellEnd"/>
      <w:r w:rsidRPr="003D1F39">
        <w:rPr>
          <w:b/>
          <w:i/>
          <w:szCs w:val="24"/>
          <w:lang w:eastAsia="en-US"/>
        </w:rPr>
        <w:t xml:space="preserve"> metoden och den marknadsbaserade metoden enligt SS-EN ISO 14083:2023 ska den marknadsbaserade </w:t>
      </w:r>
      <w:proofErr w:type="spellStart"/>
      <w:r w:rsidRPr="003D1F39">
        <w:rPr>
          <w:b/>
          <w:i/>
          <w:szCs w:val="24"/>
          <w:lang w:eastAsia="en-US"/>
        </w:rPr>
        <w:t>elmixen</w:t>
      </w:r>
      <w:proofErr w:type="spellEnd"/>
      <w:r w:rsidRPr="003D1F39">
        <w:rPr>
          <w:b/>
          <w:i/>
          <w:szCs w:val="24"/>
          <w:lang w:eastAsia="en-US"/>
        </w:rPr>
        <w:t xml:space="preserve"> rapporteras, förutsatt att villkoren i bilaga J till den standarden är uppfyllda.</w:t>
      </w:r>
      <w:r w:rsidR="00626197">
        <w:rPr>
          <w:b/>
          <w:szCs w:val="24"/>
          <w:lang w:eastAsia="en-US"/>
        </w:rPr>
        <w:t xml:space="preserve"> [Ändr. 59]</w:t>
      </w:r>
    </w:p>
    <w:p w:rsidR="00626197" w:rsidRDefault="003D1F39" w:rsidP="003D1F39">
      <w:pPr>
        <w:spacing w:before="120" w:after="120" w:line="360" w:lineRule="auto"/>
        <w:ind w:left="850" w:hanging="850"/>
        <w:rPr>
          <w:b/>
          <w:szCs w:val="24"/>
          <w:lang w:eastAsia="en-US"/>
        </w:rPr>
      </w:pPr>
      <w:r w:rsidRPr="003D1F39">
        <w:rPr>
          <w:b/>
          <w:i/>
          <w:szCs w:val="24"/>
          <w:lang w:eastAsia="en-US"/>
        </w:rPr>
        <w:t>1d.</w:t>
      </w:r>
      <w:r w:rsidRPr="003D1F39">
        <w:rPr>
          <w:szCs w:val="24"/>
          <w:lang w:eastAsia="en-US"/>
        </w:rPr>
        <w:tab/>
      </w:r>
      <w:r w:rsidRPr="003D1F39">
        <w:rPr>
          <w:b/>
          <w:i/>
          <w:szCs w:val="24"/>
          <w:lang w:eastAsia="en-US"/>
        </w:rPr>
        <w:t>Fram till dess att den centrala EU-databasen har upprättats får enheter hänvisa till andra nationella databaser som anses ha verifierats i enlighet med artikel 13.8 eller som har verifierats i enlighet med annan befintlig unionslagstiftning, förutsatt att sådana uppgifter finns tillgängliga på samma aggregeringsnivå som den som krävs enligt denna förordning.</w:t>
      </w:r>
      <w:r w:rsidR="00626197">
        <w:rPr>
          <w:b/>
          <w:szCs w:val="24"/>
          <w:lang w:eastAsia="en-US"/>
        </w:rPr>
        <w:t xml:space="preserve"> [Ändr. 60]</w:t>
      </w:r>
    </w:p>
    <w:p w:rsidR="00626197" w:rsidRDefault="00626197">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2.</w:t>
      </w:r>
      <w:r w:rsidRPr="003D1F39">
        <w:rPr>
          <w:szCs w:val="24"/>
          <w:lang w:eastAsia="en-US"/>
        </w:rPr>
        <w:tab/>
        <w:t xml:space="preserve">Kommissionen ska </w:t>
      </w:r>
      <w:r w:rsidRPr="003D1F39">
        <w:rPr>
          <w:b/>
          <w:i/>
          <w:szCs w:val="24"/>
          <w:lang w:eastAsia="en-US"/>
        </w:rPr>
        <w:t xml:space="preserve">minst en gång per år </w:t>
      </w:r>
      <w:r w:rsidRPr="003D1F39">
        <w:rPr>
          <w:szCs w:val="24"/>
          <w:lang w:eastAsia="en-US"/>
        </w:rPr>
        <w:t xml:space="preserve">säkerställa </w:t>
      </w:r>
      <w:r w:rsidRPr="003D1F39">
        <w:rPr>
          <w:strike/>
          <w:szCs w:val="24"/>
          <w:lang w:eastAsia="en-US"/>
        </w:rPr>
        <w:t xml:space="preserve">underhåll, uppdatering och kontinuerlig utveckling </w:t>
      </w:r>
      <w:proofErr w:type="spellStart"/>
      <w:r w:rsidRPr="003D1F39">
        <w:rPr>
          <w:strike/>
          <w:szCs w:val="24"/>
          <w:lang w:eastAsia="en-US"/>
        </w:rPr>
        <w:t>av</w:t>
      </w:r>
      <w:r w:rsidRPr="003D1F39">
        <w:rPr>
          <w:b/>
          <w:i/>
          <w:szCs w:val="24"/>
          <w:lang w:eastAsia="en-US"/>
        </w:rPr>
        <w:t>att</w:t>
      </w:r>
      <w:proofErr w:type="spellEnd"/>
      <w:r w:rsidRPr="003D1F39">
        <w:rPr>
          <w:szCs w:val="24"/>
          <w:lang w:eastAsia="en-US"/>
        </w:rPr>
        <w:t xml:space="preserve"> den databas som avses i punkt 1</w:t>
      </w:r>
      <w:r w:rsidRPr="003D1F39">
        <w:rPr>
          <w:b/>
          <w:i/>
          <w:szCs w:val="24"/>
          <w:lang w:eastAsia="en-US"/>
        </w:rPr>
        <w:t xml:space="preserve"> underhålls, uppdateras och utvecklas kontinuerligt samt att den håller en lämplig säkerhetsnivå</w:t>
      </w:r>
      <w:r w:rsidRPr="003D1F39">
        <w:rPr>
          <w:szCs w:val="24"/>
          <w:lang w:eastAsia="en-US"/>
        </w:rPr>
        <w:t>, med beaktande av den senaste tekniska utvecklingen inom transportsektorn och av nya metoder för beräkning av växthusgasutsläpp.</w:t>
      </w:r>
      <w:r w:rsidRPr="003D1F39">
        <w:rPr>
          <w:b/>
          <w:i/>
          <w:szCs w:val="24"/>
          <w:lang w:eastAsia="en-US"/>
        </w:rPr>
        <w:t xml:space="preserve"> Alla uppdateringar av standardvärdena ska utan dröjsmål meddelas allmänheten. Efter en sådan uppdatering ska de berörda enheterna använda de senast tillgängliga uppgifterna när de beräknar och lämnar ut sin information om växthusgasutsläpp.</w:t>
      </w:r>
      <w:r w:rsidR="00626197">
        <w:rPr>
          <w:b/>
          <w:szCs w:val="24"/>
          <w:lang w:eastAsia="en-US"/>
        </w:rPr>
        <w:t xml:space="preserve"> [Ändr. 61]</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2a.</w:t>
      </w:r>
      <w:r w:rsidRPr="003D1F39">
        <w:rPr>
          <w:szCs w:val="24"/>
          <w:lang w:eastAsia="en-US"/>
        </w:rPr>
        <w:tab/>
      </w:r>
      <w:r w:rsidRPr="003D1F39">
        <w:rPr>
          <w:b/>
          <w:i/>
          <w:szCs w:val="24"/>
          <w:lang w:eastAsia="en-US"/>
        </w:rPr>
        <w:t xml:space="preserve">Kommissionen ska, med bistånd av Europeiska miljöbyrån och med beaktande av berörda intressenters expertis, säkerställa att tekniska kvalitetskontroller av standardvärden för växthusgasintensitet utförs, på liknande sätt som de som gäller för databaser eller </w:t>
      </w:r>
      <w:proofErr w:type="spellStart"/>
      <w:r w:rsidRPr="003D1F39">
        <w:rPr>
          <w:b/>
          <w:i/>
          <w:szCs w:val="24"/>
          <w:lang w:eastAsia="en-US"/>
        </w:rPr>
        <w:t>dataset</w:t>
      </w:r>
      <w:proofErr w:type="spellEnd"/>
      <w:r w:rsidRPr="003D1F39">
        <w:rPr>
          <w:b/>
          <w:i/>
          <w:szCs w:val="24"/>
          <w:lang w:eastAsia="en-US"/>
        </w:rPr>
        <w:t xml:space="preserve"> som administreras av tredje part.</w:t>
      </w:r>
      <w:r w:rsidR="00626197">
        <w:rPr>
          <w:b/>
          <w:szCs w:val="24"/>
          <w:lang w:eastAsia="en-US"/>
        </w:rPr>
        <w:t xml:space="preserve"> [Ändr. 62]</w:t>
      </w:r>
    </w:p>
    <w:p w:rsidR="00626197" w:rsidRDefault="003D1F39" w:rsidP="003D1F39">
      <w:pPr>
        <w:spacing w:before="120" w:after="120" w:line="360" w:lineRule="auto"/>
        <w:ind w:left="850" w:hanging="850"/>
        <w:rPr>
          <w:b/>
          <w:szCs w:val="24"/>
          <w:lang w:eastAsia="en-US"/>
        </w:rPr>
      </w:pPr>
      <w:r w:rsidRPr="003D1F39">
        <w:rPr>
          <w:szCs w:val="24"/>
          <w:lang w:eastAsia="en-US"/>
        </w:rPr>
        <w:t>3.</w:t>
      </w:r>
      <w:r w:rsidRPr="003D1F39">
        <w:rPr>
          <w:szCs w:val="24"/>
          <w:lang w:eastAsia="en-US"/>
        </w:rPr>
        <w:tab/>
        <w:t>Allmänheten ska ha</w:t>
      </w:r>
      <w:r w:rsidRPr="003D1F39">
        <w:rPr>
          <w:b/>
          <w:i/>
          <w:szCs w:val="24"/>
          <w:lang w:eastAsia="en-US"/>
        </w:rPr>
        <w:t xml:space="preserve"> enkel,</w:t>
      </w:r>
      <w:r w:rsidRPr="003D1F39">
        <w:rPr>
          <w:szCs w:val="24"/>
          <w:lang w:eastAsia="en-US"/>
        </w:rPr>
        <w:t xml:space="preserve"> öppen och kostnadsfri </w:t>
      </w:r>
      <w:r w:rsidRPr="00DA5633">
        <w:rPr>
          <w:b/>
          <w:i/>
          <w:szCs w:val="24"/>
          <w:lang w:eastAsia="en-US"/>
        </w:rPr>
        <w:t>tillgång</w:t>
      </w:r>
      <w:r w:rsidRPr="003D1F39">
        <w:rPr>
          <w:szCs w:val="24"/>
          <w:lang w:eastAsia="en-US"/>
        </w:rPr>
        <w:t xml:space="preserve"> till den databas som avses i punkt 1, för sökning eller användning av standardvärden för utsläppsintensitet.</w:t>
      </w:r>
      <w:r w:rsidR="00626197">
        <w:rPr>
          <w:b/>
          <w:szCs w:val="24"/>
          <w:lang w:eastAsia="en-US"/>
        </w:rPr>
        <w:t xml:space="preserve"> [Ändr. 63]</w:t>
      </w:r>
    </w:p>
    <w:p w:rsidR="00626197" w:rsidRDefault="00626197">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Artikel 7</w:t>
      </w:r>
      <w:r w:rsidRPr="003D1F39">
        <w:rPr>
          <w:szCs w:val="24"/>
          <w:lang w:eastAsia="en-US"/>
        </w:rPr>
        <w:br/>
        <w:t xml:space="preserve">Databaser och </w:t>
      </w:r>
      <w:proofErr w:type="spellStart"/>
      <w:r w:rsidRPr="003D1F39">
        <w:rPr>
          <w:szCs w:val="24"/>
          <w:lang w:eastAsia="en-US"/>
        </w:rPr>
        <w:t>dataset</w:t>
      </w:r>
      <w:proofErr w:type="spellEnd"/>
      <w:r w:rsidRPr="003D1F39">
        <w:rPr>
          <w:szCs w:val="24"/>
          <w:lang w:eastAsia="en-US"/>
        </w:rPr>
        <w:t xml:space="preserve"> med standardvärden för växthusgasintensitet som administreras av tredje part </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r>
      <w:r w:rsidRPr="003D1F39">
        <w:rPr>
          <w:b/>
          <w:i/>
          <w:szCs w:val="24"/>
          <w:lang w:eastAsia="en-US"/>
        </w:rPr>
        <w:t xml:space="preserve">Databaser eller </w:t>
      </w:r>
      <w:proofErr w:type="spellStart"/>
      <w:r w:rsidRPr="003D1F39">
        <w:rPr>
          <w:b/>
          <w:i/>
          <w:szCs w:val="24"/>
          <w:lang w:eastAsia="en-US"/>
        </w:rPr>
        <w:t>dataset</w:t>
      </w:r>
      <w:proofErr w:type="spellEnd"/>
      <w:r w:rsidRPr="003D1F39">
        <w:rPr>
          <w:b/>
          <w:i/>
          <w:szCs w:val="24"/>
          <w:lang w:eastAsia="en-US"/>
        </w:rPr>
        <w:t xml:space="preserve"> som avses i artikel 5.2 a ii får endast användas för att härleda sekundärdata om de tillhandahåller mer detaljerade eller sektorspecifika data än dem som finns i den centrala EU-databas som avses i artikel 6. </w:t>
      </w:r>
      <w:r w:rsidRPr="003D1F39">
        <w:rPr>
          <w:szCs w:val="24"/>
          <w:lang w:eastAsia="en-US"/>
        </w:rPr>
        <w:t xml:space="preserve">En utvecklare av en databas eller ett </w:t>
      </w:r>
      <w:proofErr w:type="spellStart"/>
      <w:r w:rsidRPr="003D1F39">
        <w:rPr>
          <w:szCs w:val="24"/>
          <w:lang w:eastAsia="en-US"/>
        </w:rPr>
        <w:t>dataset</w:t>
      </w:r>
      <w:proofErr w:type="spellEnd"/>
      <w:r w:rsidRPr="003D1F39">
        <w:rPr>
          <w:szCs w:val="24"/>
          <w:lang w:eastAsia="en-US"/>
        </w:rPr>
        <w:t xml:space="preserve"> enligt vad som avses i artikel 5.2 a ii ska lämna in en ansökan till kommissionen om en teknisk kvalitetskontroll av standardvärdena för växthusgasintensitet i databasen eller datasetet. Kommissionen ska, med bistånd av Europeiska miljöbyrån, utföra den tekniska kvalitetskontrollen i enlighet med kraven i artiklarna 4–8 i denna förordning.</w:t>
      </w:r>
      <w:r w:rsidRPr="003D1F39">
        <w:rPr>
          <w:b/>
          <w:i/>
          <w:szCs w:val="24"/>
          <w:lang w:eastAsia="en-US"/>
        </w:rPr>
        <w:t xml:space="preserve"> Den tekniska kvalitetskontrollen ska utföras inom tolv månader från det att ansökan har mottagits officiellt.</w:t>
      </w:r>
      <w:r w:rsidR="00626197">
        <w:rPr>
          <w:b/>
          <w:szCs w:val="24"/>
          <w:lang w:eastAsia="en-US"/>
        </w:rPr>
        <w:t xml:space="preserve"> [Ändr. 64]</w:t>
      </w:r>
    </w:p>
    <w:p w:rsidR="00626197" w:rsidRDefault="003D1F39" w:rsidP="003D1F39">
      <w:pPr>
        <w:spacing w:before="120" w:after="120" w:line="360" w:lineRule="auto"/>
        <w:ind w:left="850" w:hanging="850"/>
        <w:rPr>
          <w:b/>
          <w:szCs w:val="24"/>
          <w:lang w:eastAsia="en-US"/>
        </w:rPr>
      </w:pPr>
      <w:r w:rsidRPr="003D1F39">
        <w:rPr>
          <w:b/>
          <w:i/>
          <w:szCs w:val="24"/>
          <w:lang w:eastAsia="en-US"/>
        </w:rPr>
        <w:t>1a.</w:t>
      </w:r>
      <w:r w:rsidRPr="003D1F39">
        <w:rPr>
          <w:szCs w:val="24"/>
          <w:lang w:eastAsia="en-US"/>
        </w:rPr>
        <w:tab/>
      </w:r>
      <w:r w:rsidRPr="003D1F39">
        <w:rPr>
          <w:b/>
          <w:i/>
          <w:szCs w:val="24"/>
          <w:lang w:eastAsia="en-US"/>
        </w:rPr>
        <w:t xml:space="preserve">Vid den tekniska kvalitetskontroll av standardvärden för växthusgasintensitet i databaser och </w:t>
      </w:r>
      <w:proofErr w:type="spellStart"/>
      <w:r w:rsidRPr="003D1F39">
        <w:rPr>
          <w:b/>
          <w:i/>
          <w:szCs w:val="24"/>
          <w:lang w:eastAsia="en-US"/>
        </w:rPr>
        <w:t>dataset</w:t>
      </w:r>
      <w:proofErr w:type="spellEnd"/>
      <w:r w:rsidRPr="003D1F39">
        <w:rPr>
          <w:b/>
          <w:i/>
          <w:szCs w:val="24"/>
          <w:lang w:eastAsia="en-US"/>
        </w:rPr>
        <w:t xml:space="preserve"> som avses i punkt 1 ska en jämförelse göras mellan utsläpp så som de rapporteras med hjälp av primärdata och utsläpp så som de skulle rapporteras med hjälp av databasen eller standardvärden för motsvarande representativa fall. Databaser och standardvärden som skulle leda till en underskattning av utsläppen jämfört med de utsläpp som anges i rapporteringen av primärdata ska få en negativ bedömning vid den tekniska kvalitetskontrollen.</w:t>
      </w:r>
      <w:r w:rsidR="00626197">
        <w:rPr>
          <w:b/>
          <w:szCs w:val="24"/>
          <w:lang w:eastAsia="en-US"/>
        </w:rPr>
        <w:t xml:space="preserve"> [Ändr. 65]</w:t>
      </w:r>
    </w:p>
    <w:p w:rsidR="00626197" w:rsidRDefault="00626197">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1b.</w:t>
      </w:r>
      <w:r w:rsidRPr="003D1F39">
        <w:rPr>
          <w:szCs w:val="24"/>
          <w:lang w:eastAsia="en-US"/>
        </w:rPr>
        <w:tab/>
      </w:r>
      <w:r w:rsidRPr="003D1F39">
        <w:rPr>
          <w:b/>
          <w:i/>
          <w:szCs w:val="24"/>
          <w:lang w:eastAsia="en-US"/>
        </w:rPr>
        <w:t xml:space="preserve">Den tekniska kvalitetskontrollen ska också säkerställa att databaser och </w:t>
      </w:r>
      <w:proofErr w:type="spellStart"/>
      <w:r w:rsidRPr="003D1F39">
        <w:rPr>
          <w:b/>
          <w:i/>
          <w:szCs w:val="24"/>
          <w:lang w:eastAsia="en-US"/>
        </w:rPr>
        <w:t>dataset</w:t>
      </w:r>
      <w:proofErr w:type="spellEnd"/>
      <w:r w:rsidRPr="003D1F39">
        <w:rPr>
          <w:b/>
          <w:i/>
          <w:szCs w:val="24"/>
          <w:lang w:eastAsia="en-US"/>
        </w:rPr>
        <w:t xml:space="preserve"> som administreras av tredje parter överensstämmer med bestämmelserna i den delegerade akt som avses i artikel 5.2a.</w:t>
      </w:r>
      <w:r w:rsidR="00626197">
        <w:rPr>
          <w:b/>
          <w:szCs w:val="24"/>
          <w:lang w:eastAsia="en-US"/>
        </w:rPr>
        <w:t xml:space="preserve"> [Ändr. 66]</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 xml:space="preserve">Endast databaser och </w:t>
      </w:r>
      <w:proofErr w:type="spellStart"/>
      <w:r w:rsidRPr="003D1F39">
        <w:rPr>
          <w:szCs w:val="24"/>
          <w:lang w:eastAsia="en-US"/>
        </w:rPr>
        <w:t>dataset</w:t>
      </w:r>
      <w:proofErr w:type="spellEnd"/>
      <w:r w:rsidRPr="003D1F39">
        <w:rPr>
          <w:szCs w:val="24"/>
          <w:lang w:eastAsia="en-US"/>
        </w:rPr>
        <w:t xml:space="preserve"> med standardvärden för utsläppsintensitet som har bedömts positivt i den tekniska kvalitetskontroll som avses i punkt 1 ska användas för utnyttjandet av sekundärdata i enlighet med artikel 5.2 a ii.</w:t>
      </w:r>
      <w:r w:rsidRPr="003D1F39">
        <w:rPr>
          <w:b/>
          <w:i/>
          <w:szCs w:val="24"/>
          <w:lang w:eastAsia="en-US"/>
        </w:rPr>
        <w:t xml:space="preserve"> Kommissionen ska offentliggöra och upprätthålla en uppdaterad förteckning över de databaser för standardvärden för växthusgasintensitet som administreras av tredje parter och som har bedömts positivt. Den uppdaterade förteckningen ska finnas tillgänglig för allmänheten på en särskild webbplats.</w:t>
      </w:r>
      <w:r w:rsidR="00626197">
        <w:rPr>
          <w:b/>
          <w:szCs w:val="24"/>
          <w:lang w:eastAsia="en-US"/>
        </w:rPr>
        <w:t xml:space="preserve"> [Ändr. 67]</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3.</w:t>
      </w:r>
      <w:r w:rsidRPr="003D1F39">
        <w:rPr>
          <w:szCs w:val="24"/>
          <w:lang w:eastAsia="en-US"/>
        </w:rPr>
        <w:tab/>
        <w:t xml:space="preserve">Den tekniska kvalitetskontrollen ska göras senast </w:t>
      </w:r>
      <w:r w:rsidRPr="003D1F39">
        <w:rPr>
          <w:strike/>
          <w:szCs w:val="24"/>
          <w:lang w:eastAsia="en-US"/>
        </w:rPr>
        <w:t>24</w:t>
      </w:r>
      <w:r w:rsidRPr="003D1F39">
        <w:rPr>
          <w:b/>
          <w:i/>
          <w:szCs w:val="24"/>
          <w:lang w:eastAsia="en-US"/>
        </w:rPr>
        <w:t>tolv</w:t>
      </w:r>
      <w:r w:rsidRPr="003D1F39">
        <w:rPr>
          <w:szCs w:val="24"/>
          <w:lang w:eastAsia="en-US"/>
        </w:rPr>
        <w:t xml:space="preserve"> månader efter </w:t>
      </w:r>
      <w:r w:rsidRPr="003D1F39">
        <w:rPr>
          <w:strike/>
          <w:szCs w:val="24"/>
          <w:lang w:eastAsia="en-US"/>
        </w:rPr>
        <w:t xml:space="preserve">den dag då denna förordning börjar </w:t>
      </w:r>
      <w:proofErr w:type="spellStart"/>
      <w:r w:rsidRPr="003D1F39">
        <w:rPr>
          <w:strike/>
          <w:szCs w:val="24"/>
          <w:lang w:eastAsia="en-US"/>
        </w:rPr>
        <w:t>tillämpas</w:t>
      </w:r>
      <w:r w:rsidRPr="003D1F39">
        <w:rPr>
          <w:b/>
          <w:i/>
          <w:szCs w:val="24"/>
          <w:lang w:eastAsia="en-US"/>
        </w:rPr>
        <w:t>det</w:t>
      </w:r>
      <w:proofErr w:type="spellEnd"/>
      <w:r w:rsidRPr="003D1F39">
        <w:rPr>
          <w:b/>
          <w:i/>
          <w:szCs w:val="24"/>
          <w:lang w:eastAsia="en-US"/>
        </w:rPr>
        <w:t xml:space="preserve"> tillämpningsdatum som anges i punkt 1</w:t>
      </w:r>
      <w:r w:rsidRPr="003D1F39">
        <w:rPr>
          <w:szCs w:val="24"/>
          <w:lang w:eastAsia="en-US"/>
        </w:rPr>
        <w:t>. Ett register över positiva bedömningar från denna kvalitetskontroll ska vara giltigt i två år.</w:t>
      </w:r>
      <w:r w:rsidR="00626197">
        <w:rPr>
          <w:b/>
          <w:szCs w:val="24"/>
          <w:lang w:eastAsia="en-US"/>
        </w:rPr>
        <w:t xml:space="preserve"> [Ändr. 68]</w:t>
      </w:r>
    </w:p>
    <w:p w:rsidR="003D1F39" w:rsidRPr="003D1F39" w:rsidRDefault="003D1F39" w:rsidP="003D1F39">
      <w:pPr>
        <w:spacing w:before="120" w:after="120" w:line="360" w:lineRule="auto"/>
        <w:ind w:left="850" w:hanging="850"/>
        <w:rPr>
          <w:szCs w:val="24"/>
          <w:lang w:eastAsia="en-US"/>
        </w:rPr>
      </w:pPr>
      <w:r w:rsidRPr="003D1F39">
        <w:rPr>
          <w:szCs w:val="24"/>
          <w:lang w:eastAsia="en-US"/>
        </w:rPr>
        <w:t>4.</w:t>
      </w:r>
      <w:r w:rsidRPr="003D1F39">
        <w:rPr>
          <w:szCs w:val="24"/>
          <w:lang w:eastAsia="en-US"/>
        </w:rPr>
        <w:tab/>
        <w:t xml:space="preserve">Kommissionen ska anta </w:t>
      </w:r>
      <w:proofErr w:type="spellStart"/>
      <w:r w:rsidRPr="003D1F39">
        <w:rPr>
          <w:szCs w:val="24"/>
          <w:lang w:eastAsia="en-US"/>
        </w:rPr>
        <w:t>genomförandeakter</w:t>
      </w:r>
      <w:proofErr w:type="spellEnd"/>
      <w:r w:rsidRPr="003D1F39">
        <w:rPr>
          <w:szCs w:val="24"/>
          <w:lang w:eastAsia="en-US"/>
        </w:rPr>
        <w:t xml:space="preserve"> i enlighet med artikel 17 för att komplettera denna förordning genom att fastställa regler och villkor för utförandet av den tekniska kvalitetskontroll som avses i punkt 1.</w:t>
      </w:r>
    </w:p>
    <w:p w:rsidR="00626197" w:rsidRDefault="003D1F39" w:rsidP="003D1F39">
      <w:pPr>
        <w:spacing w:before="120" w:after="120" w:line="360" w:lineRule="auto"/>
        <w:ind w:left="850" w:hanging="850"/>
        <w:rPr>
          <w:b/>
          <w:szCs w:val="24"/>
          <w:lang w:eastAsia="en-US"/>
        </w:rPr>
      </w:pPr>
      <w:r w:rsidRPr="003D1F39">
        <w:rPr>
          <w:b/>
          <w:i/>
          <w:szCs w:val="24"/>
          <w:lang w:eastAsia="en-US"/>
        </w:rPr>
        <w:t>4a.</w:t>
      </w:r>
      <w:r w:rsidRPr="003D1F39">
        <w:rPr>
          <w:szCs w:val="24"/>
          <w:lang w:eastAsia="en-US"/>
        </w:rPr>
        <w:tab/>
      </w:r>
      <w:r w:rsidRPr="003D1F39">
        <w:rPr>
          <w:b/>
          <w:i/>
          <w:szCs w:val="24"/>
          <w:lang w:eastAsia="en-US"/>
        </w:rPr>
        <w:t>Den databas som avses i punkt 1 ska vara öppet tillgänglig för allmänheten för sökning eller användning av standardvärden för utsläppsintensitet och vara kostnadsfri för små och medelstora företag.</w:t>
      </w:r>
      <w:r w:rsidR="00626197">
        <w:rPr>
          <w:b/>
          <w:szCs w:val="24"/>
          <w:lang w:eastAsia="en-US"/>
        </w:rPr>
        <w:t xml:space="preserve"> [Ändr. 69]</w:t>
      </w:r>
    </w:p>
    <w:p w:rsidR="00626197" w:rsidRDefault="00626197">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Artikel 8</w:t>
      </w:r>
      <w:r w:rsidRPr="003D1F39">
        <w:rPr>
          <w:szCs w:val="24"/>
          <w:lang w:eastAsia="en-US"/>
        </w:rPr>
        <w:br/>
        <w:t>Central EU-databas med standardvärden för utsläppsfaktorer för växthusgas</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Kommissionen ska</w:t>
      </w:r>
      <w:r w:rsidRPr="003D1F39">
        <w:rPr>
          <w:b/>
          <w:i/>
          <w:szCs w:val="24"/>
          <w:lang w:eastAsia="en-US"/>
        </w:rPr>
        <w:t xml:space="preserve"> senast den</w:t>
      </w:r>
      <w:r w:rsidR="00144DA4">
        <w:rPr>
          <w:b/>
          <w:i/>
          <w:szCs w:val="24"/>
          <w:lang w:eastAsia="en-US"/>
        </w:rPr>
        <w:t xml:space="preserve"> ...</w:t>
      </w:r>
      <w:r w:rsidRPr="003D1F39">
        <w:rPr>
          <w:b/>
          <w:i/>
          <w:szCs w:val="24"/>
          <w:lang w:eastAsia="en-US"/>
        </w:rPr>
        <w:t xml:space="preserve"> [tolv månader efter denna förordnings ikraftträdande]</w:t>
      </w:r>
      <w:r w:rsidRPr="003D1F39">
        <w:rPr>
          <w:szCs w:val="24"/>
          <w:lang w:eastAsia="en-US"/>
        </w:rPr>
        <w:t>, med bistånd av Europeiska miljöbyrån</w:t>
      </w:r>
      <w:r w:rsidRPr="003D1F39">
        <w:rPr>
          <w:b/>
          <w:i/>
          <w:szCs w:val="24"/>
          <w:lang w:eastAsia="en-US"/>
        </w:rPr>
        <w:t xml:space="preserve"> och med beaktande av berörda intressenters och andra sektorsspecifika </w:t>
      </w:r>
      <w:r w:rsidR="00095E9D">
        <w:rPr>
          <w:b/>
          <w:i/>
          <w:szCs w:val="24"/>
          <w:lang w:eastAsia="en-US"/>
        </w:rPr>
        <w:t>unions</w:t>
      </w:r>
      <w:r w:rsidRPr="003D1F39">
        <w:rPr>
          <w:b/>
          <w:i/>
          <w:szCs w:val="24"/>
          <w:lang w:eastAsia="en-US"/>
        </w:rPr>
        <w:t>organs expertis, upprätta</w:t>
      </w:r>
      <w:r w:rsidRPr="003D1F39">
        <w:rPr>
          <w:strike/>
          <w:szCs w:val="24"/>
          <w:lang w:eastAsia="en-US"/>
        </w:rPr>
        <w:t>, inrätta</w:t>
      </w:r>
      <w:r w:rsidRPr="003D1F39">
        <w:rPr>
          <w:szCs w:val="24"/>
          <w:lang w:eastAsia="en-US"/>
        </w:rPr>
        <w:t xml:space="preserve"> en central EU-databas med sådana standardvärden för utsläppsfaktorer för växthusgas som avses i artikel 5.2 b.</w:t>
      </w:r>
      <w:r w:rsidR="008D7AB2">
        <w:rPr>
          <w:b/>
          <w:szCs w:val="24"/>
          <w:lang w:eastAsia="en-US"/>
        </w:rPr>
        <w:t xml:space="preserve"> [Ändr. 70]</w:t>
      </w:r>
    </w:p>
    <w:p w:rsidR="003D1F39" w:rsidRPr="003D1F39" w:rsidRDefault="003D1F39" w:rsidP="003D1F39">
      <w:pPr>
        <w:spacing w:before="120" w:after="120" w:line="360" w:lineRule="auto"/>
        <w:ind w:left="850" w:hanging="850"/>
        <w:rPr>
          <w:szCs w:val="24"/>
          <w:lang w:eastAsia="en-US"/>
        </w:rPr>
      </w:pPr>
      <w:r w:rsidRPr="003D1F39">
        <w:rPr>
          <w:b/>
          <w:i/>
          <w:szCs w:val="24"/>
          <w:lang w:eastAsia="en-US"/>
        </w:rPr>
        <w:t>1a.</w:t>
      </w:r>
      <w:r w:rsidRPr="003D1F39">
        <w:rPr>
          <w:szCs w:val="24"/>
          <w:lang w:eastAsia="en-US"/>
        </w:rPr>
        <w:tab/>
      </w:r>
      <w:r w:rsidRPr="003D1F39">
        <w:rPr>
          <w:b/>
          <w:i/>
          <w:szCs w:val="24"/>
          <w:lang w:eastAsia="en-US"/>
        </w:rPr>
        <w:t>Vid framtagandet av standardvärdena för utsläppsfaktorer ska kommissionen</w:t>
      </w:r>
    </w:p>
    <w:p w:rsidR="003D1F39" w:rsidRPr="003D1F39" w:rsidRDefault="003D1F39" w:rsidP="003D1F39">
      <w:pPr>
        <w:spacing w:before="120" w:after="120" w:line="360" w:lineRule="auto"/>
        <w:ind w:left="1416" w:hanging="566"/>
        <w:rPr>
          <w:szCs w:val="24"/>
          <w:lang w:eastAsia="en-US"/>
        </w:rPr>
      </w:pPr>
      <w:r w:rsidRPr="003D1F39">
        <w:rPr>
          <w:b/>
          <w:i/>
          <w:szCs w:val="24"/>
          <w:lang w:eastAsia="en-US"/>
        </w:rPr>
        <w:t>a)</w:t>
      </w:r>
      <w:r w:rsidRPr="003D1F39">
        <w:rPr>
          <w:szCs w:val="24"/>
          <w:lang w:eastAsia="en-US"/>
        </w:rPr>
        <w:tab/>
      </w:r>
      <w:r w:rsidRPr="003D1F39">
        <w:rPr>
          <w:b/>
          <w:i/>
          <w:szCs w:val="24"/>
          <w:lang w:eastAsia="en-US"/>
        </w:rPr>
        <w:t xml:space="preserve">tillämpa den </w:t>
      </w:r>
      <w:proofErr w:type="spellStart"/>
      <w:r w:rsidRPr="003D1F39">
        <w:rPr>
          <w:b/>
          <w:i/>
          <w:szCs w:val="24"/>
          <w:lang w:eastAsia="en-US"/>
        </w:rPr>
        <w:t>platsbaserade</w:t>
      </w:r>
      <w:proofErr w:type="spellEnd"/>
      <w:r w:rsidRPr="003D1F39">
        <w:rPr>
          <w:b/>
          <w:i/>
          <w:szCs w:val="24"/>
          <w:lang w:eastAsia="en-US"/>
        </w:rPr>
        <w:t xml:space="preserve"> metod som fastställs i den standard som avses i artikel 4 (den </w:t>
      </w:r>
      <w:proofErr w:type="spellStart"/>
      <w:r w:rsidRPr="003D1F39">
        <w:rPr>
          <w:b/>
          <w:i/>
          <w:szCs w:val="24"/>
          <w:lang w:eastAsia="en-US"/>
        </w:rPr>
        <w:t>platsbaserade</w:t>
      </w:r>
      <w:proofErr w:type="spellEnd"/>
      <w:r w:rsidRPr="003D1F39">
        <w:rPr>
          <w:b/>
          <w:i/>
          <w:szCs w:val="24"/>
          <w:lang w:eastAsia="en-US"/>
        </w:rPr>
        <w:t xml:space="preserve"> metoden),</w:t>
      </w:r>
    </w:p>
    <w:p w:rsidR="008D7AB2" w:rsidRDefault="003D1F39" w:rsidP="003D1F39">
      <w:pPr>
        <w:spacing w:before="120" w:after="120" w:line="360" w:lineRule="auto"/>
        <w:ind w:left="1416" w:hanging="566"/>
        <w:rPr>
          <w:b/>
          <w:szCs w:val="24"/>
          <w:lang w:eastAsia="en-US"/>
        </w:rPr>
      </w:pPr>
      <w:r w:rsidRPr="003D1F39">
        <w:rPr>
          <w:b/>
          <w:i/>
          <w:szCs w:val="24"/>
          <w:lang w:eastAsia="en-US"/>
        </w:rPr>
        <w:t>b)</w:t>
      </w:r>
      <w:r w:rsidRPr="003D1F39">
        <w:rPr>
          <w:szCs w:val="24"/>
          <w:lang w:eastAsia="en-US"/>
        </w:rPr>
        <w:tab/>
      </w:r>
      <w:r w:rsidRPr="003D1F39">
        <w:rPr>
          <w:b/>
          <w:i/>
          <w:szCs w:val="24"/>
          <w:lang w:eastAsia="en-US"/>
        </w:rPr>
        <w:t>ta hänsyn till de utsläppsfaktorer för växthusgas som har fastställts i enlighet med direktiv (EU) 2018/2001.</w:t>
      </w:r>
      <w:r w:rsidR="008D7AB2">
        <w:rPr>
          <w:b/>
          <w:szCs w:val="24"/>
          <w:lang w:eastAsia="en-US"/>
        </w:rPr>
        <w:t xml:space="preserve"> [Ändr. 71]</w:t>
      </w:r>
    </w:p>
    <w:p w:rsidR="008D7AB2" w:rsidRDefault="008D7AB2">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1b.</w:t>
      </w:r>
      <w:r w:rsidRPr="003D1F39">
        <w:rPr>
          <w:szCs w:val="24"/>
          <w:lang w:eastAsia="en-US"/>
        </w:rPr>
        <w:tab/>
      </w:r>
      <w:r w:rsidRPr="003D1F39">
        <w:rPr>
          <w:b/>
          <w:i/>
          <w:szCs w:val="24"/>
          <w:lang w:eastAsia="en-US"/>
        </w:rPr>
        <w:t xml:space="preserve">När utsläppen av växthusgaser från el som förbrukas av transporter kan kvantifieras med hjälp av den </w:t>
      </w:r>
      <w:proofErr w:type="spellStart"/>
      <w:r w:rsidRPr="003D1F39">
        <w:rPr>
          <w:b/>
          <w:i/>
          <w:szCs w:val="24"/>
          <w:lang w:eastAsia="en-US"/>
        </w:rPr>
        <w:t>platsbaserade</w:t>
      </w:r>
      <w:proofErr w:type="spellEnd"/>
      <w:r w:rsidRPr="003D1F39">
        <w:rPr>
          <w:b/>
          <w:i/>
          <w:szCs w:val="24"/>
          <w:lang w:eastAsia="en-US"/>
        </w:rPr>
        <w:t xml:space="preserve"> metoden och den marknadsbaserade metoden enligt SS-EN ISO 14083:2023 ska den marknadsbaserade </w:t>
      </w:r>
      <w:proofErr w:type="spellStart"/>
      <w:r w:rsidRPr="003D1F39">
        <w:rPr>
          <w:b/>
          <w:i/>
          <w:szCs w:val="24"/>
          <w:lang w:eastAsia="en-US"/>
        </w:rPr>
        <w:t>elmixen</w:t>
      </w:r>
      <w:proofErr w:type="spellEnd"/>
      <w:r w:rsidRPr="003D1F39">
        <w:rPr>
          <w:b/>
          <w:i/>
          <w:szCs w:val="24"/>
          <w:lang w:eastAsia="en-US"/>
        </w:rPr>
        <w:t xml:space="preserve"> rapporteras, förutsatt att villkoren i bilaga J till den standarden är uppfyllda.</w:t>
      </w:r>
      <w:r w:rsidR="008D7AB2">
        <w:rPr>
          <w:b/>
          <w:szCs w:val="24"/>
          <w:lang w:eastAsia="en-US"/>
        </w:rPr>
        <w:t xml:space="preserve"> [Ändr. 72]</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1c.</w:t>
      </w:r>
      <w:r w:rsidRPr="003D1F39">
        <w:rPr>
          <w:szCs w:val="24"/>
          <w:lang w:eastAsia="en-US"/>
        </w:rPr>
        <w:tab/>
      </w:r>
      <w:r w:rsidRPr="003D1F39">
        <w:rPr>
          <w:b/>
          <w:i/>
          <w:szCs w:val="24"/>
          <w:lang w:eastAsia="en-US"/>
        </w:rPr>
        <w:t>Fram till dess att den centrala EU-databasen har upprättats får enheter hänvisa till andra nationella databaser som anses ha verifierats i enlighet med artikel 13.8 eller som har verifierats i enlighet med annan befintlig unionslagstiftning, förutsatt att sådana uppgifter finns tillgängliga på samma aggregeringsnivå som den som krävs enligt denna förordning.</w:t>
      </w:r>
      <w:r w:rsidR="008D7AB2">
        <w:rPr>
          <w:b/>
          <w:szCs w:val="24"/>
          <w:lang w:eastAsia="en-US"/>
        </w:rPr>
        <w:t xml:space="preserve"> [Ändr. 73]</w:t>
      </w:r>
    </w:p>
    <w:p w:rsidR="008D7AB2"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 xml:space="preserve">Kommissionen ska, med bistånd av Europeiska miljöbyrån, </w:t>
      </w:r>
      <w:r w:rsidRPr="003D1F39">
        <w:rPr>
          <w:b/>
          <w:i/>
          <w:szCs w:val="24"/>
          <w:lang w:eastAsia="en-US"/>
        </w:rPr>
        <w:t xml:space="preserve">minst en gång per år </w:t>
      </w:r>
      <w:r w:rsidRPr="003D1F39">
        <w:rPr>
          <w:szCs w:val="24"/>
          <w:lang w:eastAsia="en-US"/>
        </w:rPr>
        <w:t xml:space="preserve">säkerställa </w:t>
      </w:r>
      <w:r w:rsidRPr="003D1F39">
        <w:rPr>
          <w:strike/>
          <w:szCs w:val="24"/>
          <w:lang w:eastAsia="en-US"/>
        </w:rPr>
        <w:t xml:space="preserve">underhåll, uppdatering och kontinuerlig utveckling </w:t>
      </w:r>
      <w:proofErr w:type="spellStart"/>
      <w:r w:rsidRPr="003D1F39">
        <w:rPr>
          <w:strike/>
          <w:szCs w:val="24"/>
          <w:lang w:eastAsia="en-US"/>
        </w:rPr>
        <w:t>av</w:t>
      </w:r>
      <w:r w:rsidRPr="003D1F39">
        <w:rPr>
          <w:b/>
          <w:i/>
          <w:szCs w:val="24"/>
          <w:lang w:eastAsia="en-US"/>
        </w:rPr>
        <w:t>att</w:t>
      </w:r>
      <w:proofErr w:type="spellEnd"/>
      <w:r w:rsidRPr="003D1F39">
        <w:rPr>
          <w:szCs w:val="24"/>
          <w:lang w:eastAsia="en-US"/>
        </w:rPr>
        <w:t xml:space="preserve"> den databas som avses i punkt 1</w:t>
      </w:r>
      <w:r w:rsidRPr="003D1F39">
        <w:rPr>
          <w:b/>
          <w:i/>
          <w:szCs w:val="24"/>
          <w:lang w:eastAsia="en-US"/>
        </w:rPr>
        <w:t xml:space="preserve"> underhålls, uppdateras och utvecklas kontinuerligt samt att den håller en lämplig säkerhetsnivå</w:t>
      </w:r>
      <w:r w:rsidRPr="003D1F39">
        <w:rPr>
          <w:szCs w:val="24"/>
          <w:lang w:eastAsia="en-US"/>
        </w:rPr>
        <w:t>, med beaktande av den senaste tekniska utvecklingen inom transportsektorn och av nya metoder för beräkning av växthusgasutsläpp.</w:t>
      </w:r>
      <w:r w:rsidRPr="003D1F39">
        <w:rPr>
          <w:b/>
          <w:i/>
          <w:szCs w:val="24"/>
          <w:lang w:eastAsia="en-US"/>
        </w:rPr>
        <w:t xml:space="preserve"> Alla uppdateringar av standardvärdena ska utan dröjsmål meddelas allmänheten. Efter en sådan uppdatering ska de berörda enheterna använda de senast tillgängliga uppgifterna när de beräknar och lämnar ut sin information om växthusgasutsläpp.</w:t>
      </w:r>
      <w:r w:rsidR="008D7AB2">
        <w:rPr>
          <w:b/>
          <w:szCs w:val="24"/>
          <w:lang w:eastAsia="en-US"/>
        </w:rPr>
        <w:t xml:space="preserve"> [Ändr. 74]</w:t>
      </w:r>
    </w:p>
    <w:p w:rsidR="008D7AB2" w:rsidRDefault="008D7AB2">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3.</w:t>
      </w:r>
      <w:r w:rsidRPr="003D1F39">
        <w:rPr>
          <w:szCs w:val="24"/>
          <w:lang w:eastAsia="en-US"/>
        </w:rPr>
        <w:tab/>
        <w:t>Allmänheten ska ha</w:t>
      </w:r>
      <w:r w:rsidRPr="003D1F39">
        <w:rPr>
          <w:b/>
          <w:i/>
          <w:szCs w:val="24"/>
          <w:lang w:eastAsia="en-US"/>
        </w:rPr>
        <w:t xml:space="preserve"> enkel,</w:t>
      </w:r>
      <w:r w:rsidRPr="003D1F39">
        <w:rPr>
          <w:szCs w:val="24"/>
          <w:lang w:eastAsia="en-US"/>
        </w:rPr>
        <w:t xml:space="preserve"> öppen och kostnadsfri </w:t>
      </w:r>
      <w:r w:rsidRPr="00DA5633">
        <w:rPr>
          <w:b/>
          <w:i/>
          <w:szCs w:val="24"/>
          <w:lang w:eastAsia="en-US"/>
        </w:rPr>
        <w:t>tillgång</w:t>
      </w:r>
      <w:r w:rsidRPr="003D1F39">
        <w:rPr>
          <w:szCs w:val="24"/>
          <w:lang w:eastAsia="en-US"/>
        </w:rPr>
        <w:t xml:space="preserve"> till den databas som avses i punkt 1, för sökning eller användning av standardvärden för utsläppsfaktorer för växthusgas</w:t>
      </w:r>
      <w:r w:rsidRPr="003D1F39">
        <w:rPr>
          <w:b/>
          <w:i/>
          <w:szCs w:val="24"/>
          <w:lang w:eastAsia="en-US"/>
        </w:rPr>
        <w:t xml:space="preserve"> </w:t>
      </w:r>
      <w:r w:rsidRPr="00DA5633">
        <w:rPr>
          <w:szCs w:val="24"/>
          <w:lang w:eastAsia="en-US"/>
        </w:rPr>
        <w:t>för transportenergibärare</w:t>
      </w:r>
      <w:r w:rsidRPr="003D1F39">
        <w:rPr>
          <w:szCs w:val="24"/>
          <w:lang w:eastAsia="en-US"/>
        </w:rPr>
        <w:t>.</w:t>
      </w:r>
      <w:r w:rsidR="00D96F45">
        <w:rPr>
          <w:b/>
          <w:szCs w:val="24"/>
          <w:lang w:eastAsia="en-US"/>
        </w:rPr>
        <w:t xml:space="preserve"> [Ändr. 75]</w:t>
      </w:r>
    </w:p>
    <w:p w:rsidR="003D1F39" w:rsidRPr="003D1F39" w:rsidRDefault="003D1F39" w:rsidP="003D1F39">
      <w:pPr>
        <w:spacing w:before="120" w:after="120" w:line="360" w:lineRule="auto"/>
        <w:jc w:val="center"/>
        <w:rPr>
          <w:szCs w:val="24"/>
          <w:lang w:eastAsia="en-US"/>
        </w:rPr>
      </w:pPr>
      <w:r w:rsidRPr="003D1F39">
        <w:rPr>
          <w:b/>
          <w:i/>
          <w:szCs w:val="24"/>
          <w:lang w:eastAsia="en-US"/>
        </w:rPr>
        <w:t>Artikel 8a</w:t>
      </w:r>
      <w:r w:rsidRPr="003D1F39">
        <w:rPr>
          <w:szCs w:val="24"/>
          <w:lang w:eastAsia="en-US"/>
        </w:rPr>
        <w:br/>
      </w:r>
      <w:r w:rsidRPr="003D1F39">
        <w:rPr>
          <w:b/>
          <w:i/>
          <w:szCs w:val="24"/>
          <w:lang w:eastAsia="en-US"/>
        </w:rPr>
        <w:t>Förvaltningsstöd till små och medelstora företag</w:t>
      </w:r>
    </w:p>
    <w:p w:rsidR="003D1F39" w:rsidRPr="003D1F39" w:rsidRDefault="003D1F39" w:rsidP="003D1F39">
      <w:pPr>
        <w:spacing w:before="120" w:after="120" w:line="360" w:lineRule="auto"/>
        <w:ind w:left="850" w:hanging="850"/>
        <w:rPr>
          <w:szCs w:val="24"/>
          <w:lang w:eastAsia="en-US"/>
        </w:rPr>
      </w:pPr>
      <w:r w:rsidRPr="003D1F39">
        <w:rPr>
          <w:b/>
          <w:i/>
          <w:szCs w:val="24"/>
          <w:lang w:eastAsia="en-US"/>
        </w:rPr>
        <w:t>1.</w:t>
      </w:r>
      <w:r w:rsidRPr="003D1F39">
        <w:rPr>
          <w:szCs w:val="24"/>
          <w:lang w:eastAsia="en-US"/>
        </w:rPr>
        <w:tab/>
      </w:r>
      <w:r w:rsidRPr="003D1F39">
        <w:rPr>
          <w:b/>
          <w:i/>
          <w:szCs w:val="24"/>
          <w:lang w:eastAsia="en-US"/>
        </w:rPr>
        <w:t>Senast den ... [tolv månader från dagen för denna förordnings ikraftträdande] ska kommissionen ha utarbetat ett förenklat beräkningsverktyg för små och medelstora företag som är tillgängligt för allmänheten, användarvänligt och kostnadsfritt i enlighet med artikel 11. Det ska åtföljas av dokument med detaljerade instruktioner som tydligt förklarar hur beräkningsverktyget fungerar.</w:t>
      </w:r>
    </w:p>
    <w:p w:rsidR="00D96F45" w:rsidRDefault="003D1F39" w:rsidP="003D1F39">
      <w:pPr>
        <w:spacing w:before="120" w:after="120" w:line="360" w:lineRule="auto"/>
        <w:ind w:left="850" w:hanging="850"/>
        <w:rPr>
          <w:b/>
          <w:szCs w:val="24"/>
          <w:lang w:eastAsia="en-US"/>
        </w:rPr>
      </w:pPr>
      <w:r w:rsidRPr="003D1F39">
        <w:rPr>
          <w:b/>
          <w:i/>
          <w:szCs w:val="24"/>
          <w:lang w:eastAsia="en-US"/>
        </w:rPr>
        <w:t>2.</w:t>
      </w:r>
      <w:r w:rsidRPr="003D1F39">
        <w:rPr>
          <w:szCs w:val="24"/>
          <w:lang w:eastAsia="en-US"/>
        </w:rPr>
        <w:tab/>
      </w:r>
      <w:r w:rsidRPr="003D1F39">
        <w:rPr>
          <w:b/>
          <w:i/>
          <w:szCs w:val="24"/>
          <w:lang w:eastAsia="en-US"/>
        </w:rPr>
        <w:t>Kommissionen ska övervaka risken för att de data som lämnas ut av små och medelstora företag som agerar som underleverantörer i enlighet med denna förordning kan användas av anordnare av transporttjänster för otillbörliga affärsmetoder. Senast den</w:t>
      </w:r>
      <w:r w:rsidR="00144DA4">
        <w:rPr>
          <w:b/>
          <w:i/>
          <w:szCs w:val="24"/>
          <w:lang w:eastAsia="en-US"/>
        </w:rPr>
        <w:t xml:space="preserve"> ...</w:t>
      </w:r>
      <w:r w:rsidRPr="003D1F39">
        <w:rPr>
          <w:b/>
          <w:i/>
          <w:szCs w:val="24"/>
          <w:lang w:eastAsia="en-US"/>
        </w:rPr>
        <w:t xml:space="preserve"> [två år från dagen för denna förordnings ikraftträdande] ska kommissionen lägga fram en rapport för Europaparlamentet och rådet. Rapporten ska vid behov åtföljas av ett lagstiftningsförslag om att vidta åtgärder för att skydda </w:t>
      </w:r>
      <w:proofErr w:type="spellStart"/>
      <w:r w:rsidR="00A90A93">
        <w:rPr>
          <w:b/>
          <w:i/>
          <w:szCs w:val="24"/>
          <w:lang w:eastAsia="en-US"/>
        </w:rPr>
        <w:t>konfidentialiteten</w:t>
      </w:r>
      <w:proofErr w:type="spellEnd"/>
      <w:r w:rsidR="00A90A93">
        <w:rPr>
          <w:b/>
          <w:i/>
          <w:szCs w:val="24"/>
          <w:lang w:eastAsia="en-US"/>
        </w:rPr>
        <w:t xml:space="preserve"> för </w:t>
      </w:r>
      <w:r w:rsidRPr="003D1F39">
        <w:rPr>
          <w:b/>
          <w:i/>
          <w:szCs w:val="24"/>
          <w:lang w:eastAsia="en-US"/>
        </w:rPr>
        <w:t>kommersiellt känsliga uppgifter.</w:t>
      </w:r>
      <w:r w:rsidR="00D96F45">
        <w:rPr>
          <w:b/>
          <w:szCs w:val="24"/>
          <w:lang w:eastAsia="en-US"/>
        </w:rPr>
        <w:t xml:space="preserve"> [Ändr. 76]</w:t>
      </w:r>
    </w:p>
    <w:p w:rsidR="00D96F45" w:rsidRDefault="00D96F45">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IV</w:t>
      </w:r>
      <w:r w:rsidRPr="003D1F39">
        <w:rPr>
          <w:szCs w:val="24"/>
          <w:lang w:eastAsia="en-US"/>
        </w:rPr>
        <w:br/>
        <w:t>UTDATA OCH ÖPPENHET</w:t>
      </w:r>
    </w:p>
    <w:p w:rsidR="003D1F39" w:rsidRPr="003D1F39" w:rsidRDefault="003D1F39" w:rsidP="003D1F39">
      <w:pPr>
        <w:spacing w:before="120" w:after="120" w:line="360" w:lineRule="auto"/>
        <w:jc w:val="center"/>
        <w:rPr>
          <w:szCs w:val="24"/>
          <w:lang w:eastAsia="en-US"/>
        </w:rPr>
      </w:pPr>
      <w:r w:rsidRPr="003D1F39">
        <w:rPr>
          <w:szCs w:val="24"/>
          <w:lang w:eastAsia="en-US"/>
        </w:rPr>
        <w:t>Artikel 9</w:t>
      </w:r>
      <w:r w:rsidRPr="003D1F39">
        <w:rPr>
          <w:szCs w:val="24"/>
          <w:lang w:eastAsia="en-US"/>
        </w:rPr>
        <w:br/>
        <w:t xml:space="preserve">Fastställande av utdata om växthusgasutsläpp från transporttjänster </w:t>
      </w:r>
    </w:p>
    <w:p w:rsidR="003D1F39" w:rsidRPr="003D1F39" w:rsidRDefault="003D1F39" w:rsidP="003D1F39">
      <w:pPr>
        <w:spacing w:before="120" w:after="120" w:line="360" w:lineRule="auto"/>
        <w:ind w:left="850" w:hanging="850"/>
        <w:rPr>
          <w:szCs w:val="24"/>
          <w:lang w:eastAsia="en-US"/>
        </w:rPr>
      </w:pPr>
      <w:r w:rsidRPr="003D1F39">
        <w:rPr>
          <w:szCs w:val="24"/>
          <w:lang w:eastAsia="en-US"/>
        </w:rPr>
        <w:t>1.</w:t>
      </w:r>
      <w:r w:rsidRPr="003D1F39">
        <w:rPr>
          <w:szCs w:val="24"/>
          <w:lang w:eastAsia="en-US"/>
        </w:rPr>
        <w:tab/>
        <w:t xml:space="preserve">Utdata ska fastställas med hjälp av </w:t>
      </w:r>
      <w:proofErr w:type="spellStart"/>
      <w:r w:rsidRPr="003D1F39">
        <w:rPr>
          <w:szCs w:val="24"/>
          <w:lang w:eastAsia="en-US"/>
        </w:rPr>
        <w:t>referensmetoden</w:t>
      </w:r>
      <w:proofErr w:type="spellEnd"/>
      <w:r w:rsidRPr="003D1F39">
        <w:rPr>
          <w:szCs w:val="24"/>
          <w:lang w:eastAsia="en-US"/>
        </w:rPr>
        <w:t>, och indata ska fastställas i enlighet med artiklarna 4–8 i denna förordning.</w:t>
      </w:r>
    </w:p>
    <w:p w:rsidR="003D1F39" w:rsidRPr="003D1F39" w:rsidRDefault="003D1F39" w:rsidP="003D1F39">
      <w:pPr>
        <w:spacing w:before="120" w:after="120" w:line="360" w:lineRule="auto"/>
        <w:ind w:left="850" w:hanging="850"/>
        <w:rPr>
          <w:szCs w:val="24"/>
          <w:lang w:eastAsia="en-US"/>
        </w:rPr>
      </w:pPr>
      <w:r w:rsidRPr="003D1F39">
        <w:rPr>
          <w:szCs w:val="24"/>
          <w:lang w:eastAsia="en-US"/>
        </w:rPr>
        <w:t>2.</w:t>
      </w:r>
      <w:r w:rsidRPr="003D1F39">
        <w:rPr>
          <w:szCs w:val="24"/>
          <w:lang w:eastAsia="en-US"/>
        </w:rPr>
        <w:tab/>
        <w:t>Utdata får fastställas med hjälp av beräkningsverktyg. Externa beräkningsverktyg ska uppfylla kraven i artikel 11.</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3.</w:t>
      </w:r>
      <w:r w:rsidRPr="003D1F39">
        <w:rPr>
          <w:szCs w:val="24"/>
          <w:lang w:eastAsia="en-US"/>
        </w:rPr>
        <w:tab/>
        <w:t>Utdata ska</w:t>
      </w:r>
      <w:r w:rsidRPr="003D1F39">
        <w:rPr>
          <w:strike/>
          <w:szCs w:val="24"/>
          <w:lang w:eastAsia="en-US"/>
        </w:rPr>
        <w:t xml:space="preserve"> minst</w:t>
      </w:r>
      <w:r w:rsidRPr="003D1F39">
        <w:rPr>
          <w:szCs w:val="24"/>
          <w:lang w:eastAsia="en-US"/>
        </w:rPr>
        <w:t xml:space="preserve"> bestå av den totala massan koldioxidekvivalenter (CO2e) per transporttjänst och, för den berörda typen av transporttjänst, minst ett av följande mått för data:</w:t>
      </w:r>
      <w:r w:rsidR="00DB3F47">
        <w:rPr>
          <w:b/>
          <w:szCs w:val="24"/>
          <w:lang w:eastAsia="en-US"/>
        </w:rPr>
        <w:t xml:space="preserve"> [Ändr. 77]</w:t>
      </w:r>
    </w:p>
    <w:p w:rsidR="003D1F39" w:rsidRPr="003D1F39" w:rsidRDefault="003D1F39" w:rsidP="003D1F39">
      <w:pPr>
        <w:spacing w:before="120" w:after="120" w:line="360" w:lineRule="auto"/>
        <w:ind w:left="1416" w:hanging="566"/>
        <w:rPr>
          <w:szCs w:val="24"/>
          <w:lang w:eastAsia="en-US"/>
        </w:rPr>
      </w:pPr>
      <w:r w:rsidRPr="003D1F39">
        <w:rPr>
          <w:szCs w:val="24"/>
          <w:lang w:eastAsia="en-US"/>
        </w:rPr>
        <w:t>(a)</w:t>
      </w:r>
      <w:r w:rsidRPr="003D1F39">
        <w:rPr>
          <w:szCs w:val="24"/>
          <w:lang w:eastAsia="en-US"/>
        </w:rPr>
        <w:tab/>
        <w:t>Massan CO2e per tonkilometer, eller motsvarande enheter, för godstransport.</w:t>
      </w:r>
    </w:p>
    <w:p w:rsidR="003D1F39" w:rsidRPr="003D1F39" w:rsidRDefault="003D1F39" w:rsidP="003D1F39">
      <w:pPr>
        <w:spacing w:before="120" w:after="120" w:line="360" w:lineRule="auto"/>
        <w:ind w:left="1416" w:hanging="566"/>
        <w:rPr>
          <w:szCs w:val="24"/>
          <w:lang w:eastAsia="en-US"/>
        </w:rPr>
      </w:pPr>
      <w:r w:rsidRPr="003D1F39">
        <w:rPr>
          <w:szCs w:val="24"/>
          <w:lang w:eastAsia="en-US"/>
        </w:rPr>
        <w:t>(b)</w:t>
      </w:r>
      <w:r w:rsidRPr="003D1F39">
        <w:rPr>
          <w:szCs w:val="24"/>
          <w:lang w:eastAsia="en-US"/>
        </w:rPr>
        <w:tab/>
        <w:t>Massan CO2e per ton, eller motsvarande enheter, för godstransporter som passerar en terminal.</w:t>
      </w:r>
    </w:p>
    <w:p w:rsidR="003D1F39" w:rsidRPr="003D1F39" w:rsidRDefault="003D1F39" w:rsidP="003D1F39">
      <w:pPr>
        <w:spacing w:before="120" w:after="120" w:line="360" w:lineRule="auto"/>
        <w:ind w:left="1416" w:hanging="566"/>
        <w:rPr>
          <w:szCs w:val="24"/>
          <w:lang w:eastAsia="en-US"/>
        </w:rPr>
      </w:pPr>
      <w:r w:rsidRPr="003D1F39">
        <w:rPr>
          <w:szCs w:val="24"/>
          <w:lang w:eastAsia="en-US"/>
        </w:rPr>
        <w:t>(c)</w:t>
      </w:r>
      <w:r w:rsidRPr="003D1F39">
        <w:rPr>
          <w:szCs w:val="24"/>
          <w:lang w:eastAsia="en-US"/>
        </w:rPr>
        <w:tab/>
        <w:t>Massan CO2e per passagerarkilometer, eller motsvarande enheter, för persontransport.</w:t>
      </w:r>
    </w:p>
    <w:p w:rsidR="00DB3F47" w:rsidRDefault="003D1F39" w:rsidP="003D1F39">
      <w:pPr>
        <w:spacing w:before="120" w:after="120" w:line="360" w:lineRule="auto"/>
        <w:ind w:left="1416" w:hanging="566"/>
        <w:rPr>
          <w:szCs w:val="24"/>
          <w:lang w:eastAsia="en-US"/>
        </w:rPr>
      </w:pPr>
      <w:r w:rsidRPr="003D1F39">
        <w:rPr>
          <w:szCs w:val="24"/>
          <w:lang w:eastAsia="en-US"/>
        </w:rPr>
        <w:t>(d)</w:t>
      </w:r>
      <w:r w:rsidRPr="003D1F39">
        <w:rPr>
          <w:szCs w:val="24"/>
          <w:lang w:eastAsia="en-US"/>
        </w:rPr>
        <w:tab/>
        <w:t>Massan CO2e per passagerare, eller motsvarande enheter, för persontransporter som passerar en terminal.</w:t>
      </w:r>
    </w:p>
    <w:p w:rsidR="00DB3F47" w:rsidRDefault="00DB3F47">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4.</w:t>
      </w:r>
      <w:r w:rsidRPr="003D1F39">
        <w:rPr>
          <w:szCs w:val="24"/>
          <w:lang w:eastAsia="en-US"/>
        </w:rPr>
        <w:tab/>
        <w:t>Kommissionen ska ges befogenhet att anta delegerade akter i enlighet med artikel 16 för att komplettera den förteckning över mått för utdata som avses i punkt 3.</w:t>
      </w:r>
    </w:p>
    <w:p w:rsidR="003D1F39" w:rsidRPr="003D1F39" w:rsidRDefault="003D1F39" w:rsidP="003D1F39">
      <w:pPr>
        <w:spacing w:before="120" w:after="120" w:line="360" w:lineRule="auto"/>
        <w:jc w:val="center"/>
        <w:rPr>
          <w:szCs w:val="24"/>
          <w:lang w:eastAsia="en-US"/>
        </w:rPr>
      </w:pPr>
      <w:r w:rsidRPr="003D1F39">
        <w:rPr>
          <w:szCs w:val="24"/>
          <w:lang w:eastAsia="en-US"/>
        </w:rPr>
        <w:t>Artikel 10</w:t>
      </w:r>
      <w:r w:rsidRPr="003D1F39">
        <w:rPr>
          <w:szCs w:val="24"/>
          <w:lang w:eastAsia="en-US"/>
        </w:rPr>
        <w:br/>
        <w:t>Kommunikation och öppenhet</w:t>
      </w:r>
    </w:p>
    <w:p w:rsidR="00DB3F47"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De berörda enheterna ska lämna ut utdata på ett klart och otvetydigt sätt</w:t>
      </w:r>
      <w:r w:rsidRPr="003D1F39">
        <w:rPr>
          <w:b/>
          <w:i/>
          <w:szCs w:val="24"/>
          <w:lang w:eastAsia="en-US"/>
        </w:rPr>
        <w:t xml:space="preserve"> närhelst det är möjligt innan en transporttjänst tillhandahålls eller ett avtal ingås</w:t>
      </w:r>
      <w:r w:rsidRPr="003D1F39">
        <w:rPr>
          <w:szCs w:val="24"/>
          <w:lang w:eastAsia="en-US"/>
        </w:rPr>
        <w:t>. När berörda enheter lämnar ut utdata ska de i det åtföljande meddelandet inkludera följande text: ”Växthusgasutsläpp från källa till hjul beräknade i enlighet med</w:t>
      </w:r>
      <w:r w:rsidRPr="003D1F39">
        <w:rPr>
          <w:strike/>
          <w:szCs w:val="24"/>
          <w:lang w:eastAsia="en-US"/>
        </w:rPr>
        <w:t xml:space="preserve"> Europaparlamentets och rådets</w:t>
      </w:r>
      <w:r w:rsidRPr="003D1F39">
        <w:rPr>
          <w:szCs w:val="24"/>
          <w:lang w:eastAsia="en-US"/>
        </w:rPr>
        <w:t xml:space="preserve"> förordning [hänvisning till denna förordning]” på åtminstone ett av EU:s officiella språk, och om möjligt på ett av de officiella språken i den medlemsstat på vars territorium tjänsten utförs.</w:t>
      </w:r>
      <w:r w:rsidR="00DB3F47">
        <w:rPr>
          <w:b/>
          <w:szCs w:val="24"/>
          <w:lang w:eastAsia="en-US"/>
        </w:rPr>
        <w:t xml:space="preserve"> [Ändr. 78]</w:t>
      </w:r>
    </w:p>
    <w:p w:rsidR="00DB3F47" w:rsidRDefault="00DB3F47">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b/>
          <w:i/>
          <w:szCs w:val="24"/>
          <w:lang w:eastAsia="en-US"/>
        </w:rPr>
        <w:lastRenderedPageBreak/>
        <w:t>1a.</w:t>
      </w:r>
      <w:r w:rsidRPr="003D1F39">
        <w:rPr>
          <w:szCs w:val="24"/>
          <w:lang w:eastAsia="en-US"/>
        </w:rPr>
        <w:tab/>
      </w:r>
      <w:r w:rsidRPr="003D1F39">
        <w:rPr>
          <w:b/>
          <w:i/>
          <w:szCs w:val="24"/>
          <w:lang w:eastAsia="en-US"/>
        </w:rPr>
        <w:t>Berörda enheter får välja att tydligt visa följande information:</w:t>
      </w:r>
    </w:p>
    <w:p w:rsidR="003D1F39" w:rsidRPr="003D1F39" w:rsidRDefault="003D1F39" w:rsidP="003D1F39">
      <w:pPr>
        <w:spacing w:before="120" w:after="120" w:line="360" w:lineRule="auto"/>
        <w:ind w:left="1416" w:hanging="566"/>
        <w:rPr>
          <w:szCs w:val="24"/>
          <w:lang w:eastAsia="en-US"/>
        </w:rPr>
      </w:pPr>
      <w:r w:rsidRPr="003D1F39">
        <w:rPr>
          <w:b/>
          <w:i/>
          <w:szCs w:val="24"/>
          <w:lang w:eastAsia="en-US"/>
        </w:rPr>
        <w:t>a)</w:t>
      </w:r>
      <w:r w:rsidRPr="003D1F39">
        <w:rPr>
          <w:szCs w:val="24"/>
          <w:lang w:eastAsia="en-US"/>
        </w:rPr>
        <w:tab/>
      </w:r>
      <w:r w:rsidRPr="003D1F39">
        <w:rPr>
          <w:b/>
          <w:i/>
          <w:szCs w:val="24"/>
          <w:lang w:eastAsia="en-US"/>
        </w:rPr>
        <w:t>Huruvida deras data faller inom ramen för den årliga verifieringen.</w:t>
      </w:r>
    </w:p>
    <w:p w:rsidR="003D1F39" w:rsidRPr="003D1F39" w:rsidRDefault="003D1F39" w:rsidP="003D1F39">
      <w:pPr>
        <w:spacing w:before="120" w:after="120" w:line="360" w:lineRule="auto"/>
        <w:ind w:left="1416" w:hanging="566"/>
        <w:rPr>
          <w:szCs w:val="24"/>
          <w:lang w:eastAsia="en-US"/>
        </w:rPr>
      </w:pPr>
      <w:r w:rsidRPr="003D1F39">
        <w:rPr>
          <w:b/>
          <w:i/>
          <w:szCs w:val="24"/>
          <w:lang w:eastAsia="en-US"/>
        </w:rPr>
        <w:t>b)</w:t>
      </w:r>
      <w:r w:rsidRPr="003D1F39">
        <w:rPr>
          <w:szCs w:val="24"/>
          <w:lang w:eastAsia="en-US"/>
        </w:rPr>
        <w:tab/>
      </w:r>
      <w:r w:rsidRPr="003D1F39">
        <w:rPr>
          <w:b/>
          <w:i/>
          <w:szCs w:val="24"/>
          <w:lang w:eastAsia="en-US"/>
        </w:rPr>
        <w:t>Huruvida de har använt primärdata; om så är fallet ska de variabler som har härletts från primärdata tillhandahållas.</w:t>
      </w:r>
    </w:p>
    <w:p w:rsidR="003D1F39" w:rsidRPr="00DA5633" w:rsidRDefault="003D1F39" w:rsidP="003D1F39">
      <w:pPr>
        <w:spacing w:before="120" w:after="120" w:line="360" w:lineRule="auto"/>
        <w:ind w:left="1416" w:hanging="566"/>
        <w:rPr>
          <w:b/>
          <w:szCs w:val="24"/>
          <w:lang w:eastAsia="en-US"/>
        </w:rPr>
      </w:pPr>
      <w:r w:rsidRPr="003D1F39">
        <w:rPr>
          <w:b/>
          <w:i/>
          <w:szCs w:val="24"/>
          <w:lang w:eastAsia="en-US"/>
        </w:rPr>
        <w:t>c)</w:t>
      </w:r>
      <w:r w:rsidRPr="003D1F39">
        <w:rPr>
          <w:szCs w:val="24"/>
          <w:lang w:eastAsia="en-US"/>
        </w:rPr>
        <w:tab/>
      </w:r>
      <w:r w:rsidRPr="003D1F39">
        <w:rPr>
          <w:b/>
          <w:i/>
          <w:szCs w:val="24"/>
          <w:lang w:eastAsia="en-US"/>
        </w:rPr>
        <w:t>Huruvida de har använt det EU-beräkningsverktyg som inrättats genom artikel 9.2a.</w:t>
      </w:r>
      <w:r w:rsidR="00DB3F47">
        <w:rPr>
          <w:b/>
          <w:szCs w:val="24"/>
          <w:lang w:eastAsia="en-US"/>
        </w:rPr>
        <w:t xml:space="preserve"> [Ändr. 79]</w:t>
      </w:r>
    </w:p>
    <w:p w:rsidR="00DB3F47"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Om utdata</w:t>
      </w:r>
      <w:r w:rsidRPr="003D1F39">
        <w:rPr>
          <w:strike/>
          <w:szCs w:val="24"/>
          <w:lang w:eastAsia="en-US"/>
        </w:rPr>
        <w:t xml:space="preserve"> erhålls och</w:t>
      </w:r>
      <w:r w:rsidRPr="003D1F39">
        <w:rPr>
          <w:szCs w:val="24"/>
          <w:lang w:eastAsia="en-US"/>
        </w:rPr>
        <w:t xml:space="preserve"> lämnas ut av</w:t>
      </w:r>
      <w:r w:rsidRPr="003D1F39">
        <w:rPr>
          <w:strike/>
          <w:szCs w:val="24"/>
          <w:lang w:eastAsia="en-US"/>
        </w:rPr>
        <w:t xml:space="preserve"> en</w:t>
      </w:r>
      <w:r w:rsidRPr="003D1F39">
        <w:rPr>
          <w:szCs w:val="24"/>
          <w:lang w:eastAsia="en-US"/>
        </w:rPr>
        <w:t xml:space="preserve"> dataförmedlare</w:t>
      </w:r>
      <w:r w:rsidRPr="003D1F39">
        <w:rPr>
          <w:b/>
          <w:i/>
          <w:szCs w:val="24"/>
          <w:lang w:eastAsia="en-US"/>
        </w:rPr>
        <w:t>, särskilt digitala navigerings- och ruttplaneringstjänster,</w:t>
      </w:r>
      <w:r w:rsidRPr="003D1F39">
        <w:rPr>
          <w:szCs w:val="24"/>
          <w:lang w:eastAsia="en-US"/>
        </w:rPr>
        <w:t xml:space="preserve"> på grundval av separata arrangemang ska bestämmelserna i punkt 1 och artikel 9.3 tillämpas. När utdata lämnas ut ska dataförmedlaren inkludera en hänvisning till källan för dessa data.</w:t>
      </w:r>
      <w:r w:rsidR="00DB3F47">
        <w:rPr>
          <w:b/>
          <w:szCs w:val="24"/>
          <w:lang w:eastAsia="en-US"/>
        </w:rPr>
        <w:t xml:space="preserve"> [Ändr. 80]</w:t>
      </w:r>
    </w:p>
    <w:p w:rsidR="00DB3F47" w:rsidRDefault="00DB3F47">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2a.</w:t>
      </w:r>
      <w:r w:rsidRPr="003D1F39">
        <w:rPr>
          <w:szCs w:val="24"/>
          <w:lang w:eastAsia="en-US"/>
        </w:rPr>
        <w:tab/>
      </w:r>
      <w:r w:rsidRPr="003D1F39">
        <w:rPr>
          <w:b/>
          <w:i/>
          <w:szCs w:val="24"/>
          <w:lang w:eastAsia="en-US"/>
        </w:rPr>
        <w:t>Digitala dataförmedlare ska erhålla information om växthusgasutsläpp från en transporttjänst från en berörd enhet eller annan relevant juridisk eller fysisk person. Informationen i de utdata som dessa digitala dataförmedlare lämnar ut ska vara synlig i varje sökresultat och ska inkludera rangordning efter utsläpp, där det miljövänligaste alternativet visas först, som ett standardalternativ för sortering, samt en enkel jämförelse mellan olika transportval, inbegripet användning av privata fordon och, i förekommande fall, alternativ med cykel.</w:t>
      </w:r>
      <w:r w:rsidR="00DB3F47">
        <w:rPr>
          <w:b/>
          <w:szCs w:val="24"/>
          <w:lang w:eastAsia="en-US"/>
        </w:rPr>
        <w:t xml:space="preserve"> [Ändr. 81]</w:t>
      </w:r>
    </w:p>
    <w:p w:rsidR="00725FB2" w:rsidRDefault="003D1F39" w:rsidP="003D1F39">
      <w:pPr>
        <w:spacing w:before="120" w:after="120" w:line="360" w:lineRule="auto"/>
        <w:ind w:left="850" w:hanging="850"/>
        <w:rPr>
          <w:szCs w:val="24"/>
          <w:lang w:eastAsia="en-US"/>
        </w:rPr>
      </w:pPr>
      <w:r w:rsidRPr="003D1F39">
        <w:rPr>
          <w:szCs w:val="24"/>
          <w:lang w:eastAsia="en-US"/>
        </w:rPr>
        <w:t>3.</w:t>
      </w:r>
      <w:r w:rsidRPr="003D1F39">
        <w:rPr>
          <w:szCs w:val="24"/>
          <w:lang w:eastAsia="en-US"/>
        </w:rPr>
        <w:tab/>
        <w:t>Om primärdata används i den mening som avses i artikel 5.1 ska de berörda enheterna ha rätt att meddela detta till samtliga tredje parter om användningen av primärdata har verifierats i enlighet med artiklarna 12 och 13.</w:t>
      </w:r>
    </w:p>
    <w:p w:rsidR="00725FB2" w:rsidRDefault="00725FB2">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4.</w:t>
      </w:r>
      <w:r w:rsidRPr="003D1F39">
        <w:rPr>
          <w:szCs w:val="24"/>
          <w:lang w:eastAsia="en-US"/>
        </w:rPr>
        <w:tab/>
        <w:t xml:space="preserve">De berörda enheterna ska kunna ta fram bevis som styrker hur utdata har fastställts. Dessa bevis ska tas fram i enlighet med kraven i den </w:t>
      </w:r>
      <w:proofErr w:type="spellStart"/>
      <w:r w:rsidRPr="003D1F39">
        <w:rPr>
          <w:szCs w:val="24"/>
          <w:lang w:eastAsia="en-US"/>
        </w:rPr>
        <w:t>referensmetod</w:t>
      </w:r>
      <w:proofErr w:type="spellEnd"/>
      <w:r w:rsidRPr="003D1F39">
        <w:rPr>
          <w:szCs w:val="24"/>
          <w:lang w:eastAsia="en-US"/>
        </w:rPr>
        <w:t xml:space="preserve"> som avses i artikel 4.1, och</w:t>
      </w:r>
    </w:p>
    <w:p w:rsidR="003D1F39" w:rsidRPr="003D1F39" w:rsidRDefault="003D1F39" w:rsidP="003D1F39">
      <w:pPr>
        <w:spacing w:before="120" w:after="120" w:line="360" w:lineRule="auto"/>
        <w:ind w:left="1416" w:hanging="566"/>
        <w:rPr>
          <w:szCs w:val="24"/>
          <w:lang w:eastAsia="en-US"/>
        </w:rPr>
      </w:pPr>
      <w:r w:rsidRPr="003D1F39">
        <w:rPr>
          <w:szCs w:val="24"/>
          <w:lang w:eastAsia="en-US"/>
        </w:rPr>
        <w:t>(a)</w:t>
      </w:r>
      <w:r w:rsidRPr="003D1F39">
        <w:rPr>
          <w:szCs w:val="24"/>
          <w:lang w:eastAsia="en-US"/>
        </w:rPr>
        <w:tab/>
        <w:t>de ska ligga till grund för verifieringsbedömningen i enlighet med artiklarna 12 och 13,</w:t>
      </w:r>
    </w:p>
    <w:p w:rsidR="003D1F39" w:rsidRPr="00DA5633" w:rsidRDefault="003D1F39" w:rsidP="003D1F39">
      <w:pPr>
        <w:spacing w:before="120" w:after="120" w:line="360" w:lineRule="auto"/>
        <w:ind w:left="1416" w:hanging="566"/>
        <w:rPr>
          <w:b/>
          <w:szCs w:val="24"/>
          <w:lang w:eastAsia="en-US"/>
        </w:rPr>
      </w:pPr>
      <w:r w:rsidRPr="003D1F39">
        <w:rPr>
          <w:szCs w:val="24"/>
          <w:lang w:eastAsia="en-US"/>
        </w:rPr>
        <w:t>(b)</w:t>
      </w:r>
      <w:r w:rsidRPr="003D1F39">
        <w:rPr>
          <w:szCs w:val="24"/>
          <w:lang w:eastAsia="en-US"/>
        </w:rPr>
        <w:tab/>
        <w:t>de ska göras tillgängliga på begäran av en behörig myndighet</w:t>
      </w:r>
      <w:r w:rsidRPr="003D1F39">
        <w:rPr>
          <w:b/>
          <w:i/>
          <w:szCs w:val="24"/>
          <w:lang w:eastAsia="en-US"/>
        </w:rPr>
        <w:t>, i enlighet med reglerna i den delegerade akt som avses i artikel 13.9,</w:t>
      </w:r>
      <w:r w:rsidRPr="003D1F39">
        <w:rPr>
          <w:szCs w:val="24"/>
          <w:lang w:eastAsia="en-US"/>
        </w:rPr>
        <w:t xml:space="preserve"> eller</w:t>
      </w:r>
      <w:r w:rsidRPr="003D1F39">
        <w:rPr>
          <w:b/>
          <w:i/>
          <w:szCs w:val="24"/>
          <w:lang w:eastAsia="en-US"/>
        </w:rPr>
        <w:t xml:space="preserve"> </w:t>
      </w:r>
      <w:r w:rsidRPr="00DA5633">
        <w:rPr>
          <w:szCs w:val="24"/>
          <w:lang w:eastAsia="en-US"/>
        </w:rPr>
        <w:t>av</w:t>
      </w:r>
      <w:r w:rsidRPr="003D1F39">
        <w:rPr>
          <w:szCs w:val="24"/>
          <w:lang w:eastAsia="en-US"/>
        </w:rPr>
        <w:t xml:space="preserve"> en annan tredje part i den mån separata rättsliga eller avtalsmässiga arrangemang är tillämpliga,</w:t>
      </w:r>
      <w:r w:rsidR="00725FB2">
        <w:rPr>
          <w:b/>
          <w:szCs w:val="24"/>
          <w:lang w:eastAsia="en-US"/>
        </w:rPr>
        <w:t xml:space="preserve"> [Ändr. 82]</w:t>
      </w:r>
    </w:p>
    <w:p w:rsidR="003D1F39" w:rsidRPr="003D1F39" w:rsidRDefault="003D1F39" w:rsidP="003D1F39">
      <w:pPr>
        <w:spacing w:before="120" w:after="120" w:line="360" w:lineRule="auto"/>
        <w:ind w:left="1416" w:hanging="566"/>
        <w:rPr>
          <w:szCs w:val="24"/>
          <w:lang w:eastAsia="en-US"/>
        </w:rPr>
      </w:pPr>
      <w:r w:rsidRPr="003D1F39">
        <w:rPr>
          <w:szCs w:val="24"/>
          <w:lang w:eastAsia="en-US"/>
        </w:rPr>
        <w:t>(c)</w:t>
      </w:r>
      <w:r w:rsidRPr="003D1F39">
        <w:rPr>
          <w:szCs w:val="24"/>
          <w:lang w:eastAsia="en-US"/>
        </w:rPr>
        <w:tab/>
        <w:t>om verifieringen utförs i enlighet med artiklarna 12 och 13 ska den innehålla en hänvisning till det bevis på överensstämmelse som avses i artikel 13.6 och kontaktuppgifter för det organ för bedömning av överensstämmelse som har upprättat beviset på överensstämmelse,</w:t>
      </w:r>
    </w:p>
    <w:p w:rsidR="00725FB2" w:rsidRDefault="003D1F39" w:rsidP="003D1F39">
      <w:pPr>
        <w:spacing w:before="120" w:after="120" w:line="360" w:lineRule="auto"/>
        <w:ind w:left="1416" w:hanging="566"/>
        <w:rPr>
          <w:szCs w:val="24"/>
          <w:lang w:eastAsia="en-US"/>
        </w:rPr>
      </w:pPr>
      <w:r w:rsidRPr="003D1F39">
        <w:rPr>
          <w:szCs w:val="24"/>
          <w:lang w:eastAsia="en-US"/>
        </w:rPr>
        <w:t>(d)</w:t>
      </w:r>
      <w:r w:rsidRPr="003D1F39">
        <w:rPr>
          <w:szCs w:val="24"/>
          <w:lang w:eastAsia="en-US"/>
        </w:rPr>
        <w:tab/>
        <w:t>om utdata fastställs med hjälp av ett sådant externt beräkningsverktyg som avses i artikel 9.2 ska de innehålla en hänvisning till det beräkningsverktyget.</w:t>
      </w:r>
    </w:p>
    <w:p w:rsidR="00725FB2" w:rsidRDefault="00725FB2">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5.</w:t>
      </w:r>
      <w:r w:rsidRPr="003D1F39">
        <w:rPr>
          <w:szCs w:val="24"/>
          <w:lang w:eastAsia="en-US"/>
        </w:rPr>
        <w:tab/>
        <w:t xml:space="preserve">De utdata och bevis som avses i punkt </w:t>
      </w:r>
      <w:r w:rsidRPr="003D1F39">
        <w:rPr>
          <w:strike/>
          <w:szCs w:val="24"/>
          <w:lang w:eastAsia="en-US"/>
        </w:rPr>
        <w:t>5</w:t>
      </w:r>
      <w:r w:rsidRPr="003D1F39">
        <w:rPr>
          <w:b/>
          <w:i/>
          <w:szCs w:val="24"/>
          <w:lang w:eastAsia="en-US"/>
        </w:rPr>
        <w:t>4</w:t>
      </w:r>
      <w:r w:rsidRPr="003D1F39">
        <w:rPr>
          <w:szCs w:val="24"/>
          <w:lang w:eastAsia="en-US"/>
        </w:rPr>
        <w:t xml:space="preserve"> ska fastställas på ett klart och otvetydigt sätt och på åtminstone ett av unionens officiella språk. De ska</w:t>
      </w:r>
      <w:r w:rsidRPr="003D1F39">
        <w:rPr>
          <w:strike/>
          <w:szCs w:val="24"/>
          <w:lang w:eastAsia="en-US"/>
        </w:rPr>
        <w:t>, där så är möjligt,</w:t>
      </w:r>
      <w:r w:rsidRPr="003D1F39">
        <w:rPr>
          <w:szCs w:val="24"/>
          <w:lang w:eastAsia="en-US"/>
        </w:rPr>
        <w:t xml:space="preserve"> göras tillgängliga</w:t>
      </w:r>
      <w:r w:rsidRPr="003D1F39">
        <w:rPr>
          <w:b/>
          <w:i/>
          <w:szCs w:val="24"/>
          <w:lang w:eastAsia="en-US"/>
        </w:rPr>
        <w:t xml:space="preserve"> i ett harmoniserat och enkelt format</w:t>
      </w:r>
      <w:r w:rsidRPr="003D1F39">
        <w:rPr>
          <w:szCs w:val="24"/>
          <w:lang w:eastAsia="en-US"/>
        </w:rPr>
        <w:t xml:space="preserve"> genom en webblänk eller en QR-kod eller motsvarande</w:t>
      </w:r>
      <w:r w:rsidRPr="003D1F39">
        <w:rPr>
          <w:b/>
          <w:i/>
          <w:szCs w:val="24"/>
          <w:lang w:eastAsia="en-US"/>
        </w:rPr>
        <w:t xml:space="preserve"> för att möjliggöra </w:t>
      </w:r>
      <w:proofErr w:type="spellStart"/>
      <w:r w:rsidRPr="003D1F39">
        <w:rPr>
          <w:b/>
          <w:i/>
          <w:szCs w:val="24"/>
          <w:lang w:eastAsia="en-US"/>
        </w:rPr>
        <w:t>interoperabilitet</w:t>
      </w:r>
      <w:proofErr w:type="spellEnd"/>
      <w:r w:rsidRPr="003D1F39">
        <w:rPr>
          <w:b/>
          <w:i/>
          <w:szCs w:val="24"/>
          <w:lang w:eastAsia="en-US"/>
        </w:rPr>
        <w:t xml:space="preserve"> för utdata och bevis mellan olika leverantörer av transporttjänster</w:t>
      </w:r>
      <w:r w:rsidRPr="003D1F39">
        <w:rPr>
          <w:szCs w:val="24"/>
          <w:lang w:eastAsia="en-US"/>
        </w:rPr>
        <w:t>.</w:t>
      </w:r>
      <w:r w:rsidR="00725FB2">
        <w:rPr>
          <w:b/>
          <w:szCs w:val="24"/>
          <w:lang w:eastAsia="en-US"/>
        </w:rPr>
        <w:t xml:space="preserve"> [Ändr. 83]</w:t>
      </w:r>
    </w:p>
    <w:p w:rsidR="003D1F39" w:rsidRPr="003D1F39" w:rsidRDefault="003D1F39" w:rsidP="003D1F39">
      <w:pPr>
        <w:spacing w:before="120" w:after="120" w:line="360" w:lineRule="auto"/>
        <w:ind w:left="850" w:hanging="850"/>
        <w:rPr>
          <w:szCs w:val="24"/>
          <w:lang w:eastAsia="en-US"/>
        </w:rPr>
      </w:pPr>
      <w:r w:rsidRPr="003D1F39">
        <w:rPr>
          <w:szCs w:val="24"/>
          <w:lang w:eastAsia="en-US"/>
        </w:rPr>
        <w:t>6.</w:t>
      </w:r>
      <w:r w:rsidRPr="003D1F39">
        <w:rPr>
          <w:szCs w:val="24"/>
          <w:lang w:eastAsia="en-US"/>
        </w:rPr>
        <w:tab/>
        <w:t>Personuppgifter ska behandlas i enlighet med Europaparlamentets och rådets förordning (EU) 2016/679</w:t>
      </w:r>
      <w:r w:rsidRPr="003D1F39">
        <w:rPr>
          <w:szCs w:val="24"/>
          <w:vertAlign w:val="superscript"/>
          <w:lang w:val="en-GB" w:eastAsia="en-US"/>
        </w:rPr>
        <w:footnoteReference w:id="20"/>
      </w:r>
      <w:r w:rsidRPr="003D1F39">
        <w:rPr>
          <w:szCs w:val="24"/>
          <w:lang w:eastAsia="en-US"/>
        </w:rPr>
        <w:t>.</w:t>
      </w:r>
    </w:p>
    <w:p w:rsidR="00725FB2" w:rsidRDefault="003D1F39" w:rsidP="003D1F39">
      <w:pPr>
        <w:spacing w:before="120" w:after="120" w:line="360" w:lineRule="auto"/>
        <w:ind w:left="850" w:hanging="850"/>
        <w:rPr>
          <w:b/>
          <w:szCs w:val="24"/>
          <w:lang w:eastAsia="en-US"/>
        </w:rPr>
      </w:pPr>
      <w:r w:rsidRPr="003D1F39">
        <w:rPr>
          <w:szCs w:val="24"/>
          <w:lang w:eastAsia="en-US"/>
        </w:rPr>
        <w:t>7.</w:t>
      </w:r>
      <w:r w:rsidRPr="003D1F39">
        <w:rPr>
          <w:szCs w:val="24"/>
          <w:lang w:eastAsia="en-US"/>
        </w:rPr>
        <w:tab/>
        <w:t xml:space="preserve">Varje mottagare av utdata och bevis som avses i punkt </w:t>
      </w:r>
      <w:r w:rsidRPr="003D1F39">
        <w:rPr>
          <w:strike/>
          <w:szCs w:val="24"/>
          <w:lang w:eastAsia="en-US"/>
        </w:rPr>
        <w:t>5</w:t>
      </w:r>
      <w:r w:rsidRPr="003D1F39">
        <w:rPr>
          <w:b/>
          <w:i/>
          <w:szCs w:val="24"/>
          <w:lang w:eastAsia="en-US"/>
        </w:rPr>
        <w:t>4</w:t>
      </w:r>
      <w:r w:rsidRPr="003D1F39">
        <w:rPr>
          <w:szCs w:val="24"/>
          <w:lang w:eastAsia="en-US"/>
        </w:rPr>
        <w:t xml:space="preserve"> ska vidta åtgärder för att säkerställa </w:t>
      </w:r>
      <w:proofErr w:type="spellStart"/>
      <w:r w:rsidRPr="003D1F39">
        <w:rPr>
          <w:szCs w:val="24"/>
          <w:lang w:eastAsia="en-US"/>
        </w:rPr>
        <w:t>konfidentialiteten</w:t>
      </w:r>
      <w:proofErr w:type="spellEnd"/>
      <w:r w:rsidRPr="003D1F39">
        <w:rPr>
          <w:szCs w:val="24"/>
          <w:lang w:eastAsia="en-US"/>
        </w:rPr>
        <w:t xml:space="preserve"> för relevanta kommersiella data som behandlas och överförs i enlighet med denna förordning, och se till att tillgången till, behandlingen av och utlämnandet av sådana data endast sker när så är tillåtet.</w:t>
      </w:r>
      <w:r w:rsidR="00725FB2">
        <w:rPr>
          <w:b/>
          <w:szCs w:val="24"/>
          <w:lang w:eastAsia="en-US"/>
        </w:rPr>
        <w:t xml:space="preserve"> [Ändr. 84]</w:t>
      </w:r>
    </w:p>
    <w:p w:rsidR="00725FB2" w:rsidRDefault="00725FB2">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V</w:t>
      </w:r>
      <w:r w:rsidRPr="003D1F39">
        <w:rPr>
          <w:szCs w:val="24"/>
          <w:lang w:eastAsia="en-US"/>
        </w:rPr>
        <w:br/>
        <w:t>KOMPLETTERANDE ÅTGÄRDER</w:t>
      </w:r>
    </w:p>
    <w:p w:rsidR="003D1F39" w:rsidRPr="003D1F39" w:rsidRDefault="003D1F39" w:rsidP="003D1F39">
      <w:pPr>
        <w:spacing w:before="120" w:after="120" w:line="360" w:lineRule="auto"/>
        <w:jc w:val="center"/>
        <w:rPr>
          <w:szCs w:val="24"/>
          <w:lang w:eastAsia="en-US"/>
        </w:rPr>
      </w:pPr>
      <w:r w:rsidRPr="003D1F39">
        <w:rPr>
          <w:szCs w:val="24"/>
          <w:lang w:eastAsia="en-US"/>
        </w:rPr>
        <w:t>Artikel 11</w:t>
      </w:r>
      <w:r w:rsidRPr="003D1F39">
        <w:rPr>
          <w:szCs w:val="24"/>
          <w:lang w:eastAsia="en-US"/>
        </w:rPr>
        <w:br/>
        <w:t>Certifiering av beräkningsverktyg</w:t>
      </w:r>
    </w:p>
    <w:p w:rsidR="003D1F39" w:rsidRPr="003D1F39" w:rsidRDefault="003D1F39" w:rsidP="003D1F39">
      <w:pPr>
        <w:spacing w:before="120" w:after="120" w:line="360" w:lineRule="auto"/>
        <w:ind w:left="850" w:hanging="850"/>
        <w:rPr>
          <w:szCs w:val="24"/>
          <w:lang w:eastAsia="en-US"/>
        </w:rPr>
      </w:pPr>
      <w:r w:rsidRPr="003D1F39">
        <w:rPr>
          <w:szCs w:val="24"/>
          <w:lang w:eastAsia="en-US"/>
        </w:rPr>
        <w:t>1.</w:t>
      </w:r>
      <w:r w:rsidRPr="003D1F39">
        <w:rPr>
          <w:szCs w:val="24"/>
          <w:lang w:eastAsia="en-US"/>
        </w:rPr>
        <w:tab/>
        <w:t>De externa beräkningsverktyg som avses i artikel 9.2 ska certifieras av ett sådant organ för bedömning av överensstämmelse som avses i artikel 14.</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Utvecklare av beräkningsverktyg ska lämna in en ansökan till ett organ för bedömning av överensstämmelse som ska bedöma om beräkningsverktyget uppfyller kraven i artiklarna 4–9. Om bedömningen är positiv ska organet för bedömning av överensstämmelse utfärda ett intyg om överensstämmelse för beräkningsverktyget enligt denna förordning</w:t>
      </w:r>
      <w:r w:rsidRPr="003D1F39">
        <w:rPr>
          <w:b/>
          <w:i/>
          <w:szCs w:val="24"/>
          <w:lang w:eastAsia="en-US"/>
        </w:rPr>
        <w:t xml:space="preserve"> i vilket det anges huruvida verktyget stöder beräkningar baserade på primärdata</w:t>
      </w:r>
      <w:r w:rsidRPr="003D1F39">
        <w:rPr>
          <w:szCs w:val="24"/>
          <w:lang w:eastAsia="en-US"/>
        </w:rPr>
        <w:t>. Om bedömningen är negativ ska organet för bedömning av överensstämmelse upplysa sökanden om skälen för den negativa bedömningen.</w:t>
      </w:r>
      <w:r w:rsidR="00725FB2">
        <w:rPr>
          <w:b/>
          <w:szCs w:val="24"/>
          <w:lang w:eastAsia="en-US"/>
        </w:rPr>
        <w:t xml:space="preserve"> [Ändr. 85]</w:t>
      </w:r>
    </w:p>
    <w:p w:rsidR="00725FB2" w:rsidRDefault="003D1F39" w:rsidP="003D1F39">
      <w:pPr>
        <w:spacing w:before="120" w:after="120" w:line="360" w:lineRule="auto"/>
        <w:ind w:left="850" w:hanging="850"/>
        <w:rPr>
          <w:b/>
          <w:szCs w:val="24"/>
          <w:lang w:eastAsia="en-US"/>
        </w:rPr>
      </w:pPr>
      <w:r w:rsidRPr="003D1F39">
        <w:rPr>
          <w:b/>
          <w:i/>
          <w:szCs w:val="24"/>
          <w:lang w:eastAsia="en-US"/>
        </w:rPr>
        <w:t>2a.</w:t>
      </w:r>
      <w:r w:rsidRPr="003D1F39">
        <w:rPr>
          <w:szCs w:val="24"/>
          <w:lang w:eastAsia="en-US"/>
        </w:rPr>
        <w:tab/>
      </w:r>
      <w:r w:rsidRPr="003D1F39">
        <w:rPr>
          <w:b/>
          <w:i/>
          <w:szCs w:val="24"/>
          <w:lang w:eastAsia="en-US"/>
        </w:rPr>
        <w:t xml:space="preserve">Beräkningsverktyg som används internt av en enhet för att beräkna växthusgasutsläpp från en transporttjänst inom ramen för denna förordning ska också anpassas till kraven i den </w:t>
      </w:r>
      <w:proofErr w:type="spellStart"/>
      <w:r w:rsidRPr="003D1F39">
        <w:rPr>
          <w:b/>
          <w:i/>
          <w:szCs w:val="24"/>
          <w:lang w:eastAsia="en-US"/>
        </w:rPr>
        <w:t>referensmetod</w:t>
      </w:r>
      <w:proofErr w:type="spellEnd"/>
      <w:r w:rsidRPr="003D1F39">
        <w:rPr>
          <w:b/>
          <w:i/>
          <w:szCs w:val="24"/>
          <w:lang w:eastAsia="en-US"/>
        </w:rPr>
        <w:t xml:space="preserve"> som avses i artikel 4.1.</w:t>
      </w:r>
      <w:r w:rsidR="00725FB2">
        <w:rPr>
          <w:b/>
          <w:szCs w:val="24"/>
          <w:lang w:eastAsia="en-US"/>
        </w:rPr>
        <w:t xml:space="preserve"> [Ändr. 86]</w:t>
      </w:r>
    </w:p>
    <w:p w:rsidR="00725FB2" w:rsidRDefault="00725FB2">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3.</w:t>
      </w:r>
      <w:r w:rsidRPr="003D1F39">
        <w:rPr>
          <w:szCs w:val="24"/>
          <w:lang w:eastAsia="en-US"/>
        </w:rPr>
        <w:tab/>
        <w:t>Det berörda organet för bedömning av överensstämmelse ska föra en uppdaterad förteckning över de beräkningsverktyg som det har certifierat och för vilka det slutgiltigt eller tillfälligt har återkallat certifieringen. Organet ska göra förteckningen allmänt tillgänglig på sin webbplats och utan dröjsmål meddela webbplatsens adress till kommissionen.</w:t>
      </w:r>
    </w:p>
    <w:p w:rsidR="003D1F39" w:rsidRPr="003D1F39" w:rsidRDefault="003D1F39" w:rsidP="003D1F39">
      <w:pPr>
        <w:spacing w:before="120" w:after="120" w:line="360" w:lineRule="auto"/>
        <w:ind w:left="850" w:hanging="850"/>
        <w:rPr>
          <w:szCs w:val="24"/>
          <w:lang w:eastAsia="en-US"/>
        </w:rPr>
      </w:pPr>
      <w:r w:rsidRPr="003D1F39">
        <w:rPr>
          <w:szCs w:val="24"/>
          <w:lang w:eastAsia="en-US"/>
        </w:rPr>
        <w:t>4.</w:t>
      </w:r>
      <w:r w:rsidRPr="003D1F39">
        <w:rPr>
          <w:szCs w:val="24"/>
          <w:lang w:eastAsia="en-US"/>
        </w:rPr>
        <w:tab/>
        <w:t>Intyget ska vara giltigt i två år.</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5.</w:t>
      </w:r>
      <w:r w:rsidRPr="003D1F39">
        <w:rPr>
          <w:szCs w:val="24"/>
          <w:lang w:eastAsia="en-US"/>
        </w:rPr>
        <w:tab/>
        <w:t>Kommissionen ska på sin officiella webbplats offentliggöra en</w:t>
      </w:r>
      <w:r w:rsidRPr="003D1F39">
        <w:rPr>
          <w:b/>
          <w:i/>
          <w:szCs w:val="24"/>
          <w:lang w:eastAsia="en-US"/>
        </w:rPr>
        <w:t xml:space="preserve"> lättillgänglig</w:t>
      </w:r>
      <w:r w:rsidRPr="003D1F39">
        <w:rPr>
          <w:szCs w:val="24"/>
          <w:lang w:eastAsia="en-US"/>
        </w:rPr>
        <w:t xml:space="preserve"> förteckning över alla beräkningsverktyg som är certifierade i enlighet med punkterna 1 och 2</w:t>
      </w:r>
      <w:r w:rsidRPr="003D1F39">
        <w:rPr>
          <w:b/>
          <w:i/>
          <w:szCs w:val="24"/>
          <w:lang w:eastAsia="en-US"/>
        </w:rPr>
        <w:t xml:space="preserve"> samt en länk till de webbplatser som avses i punkt 3</w:t>
      </w:r>
      <w:r w:rsidRPr="003D1F39">
        <w:rPr>
          <w:szCs w:val="24"/>
          <w:lang w:eastAsia="en-US"/>
        </w:rPr>
        <w:t>.</w:t>
      </w:r>
      <w:r w:rsidR="00725FB2">
        <w:rPr>
          <w:b/>
          <w:szCs w:val="24"/>
          <w:lang w:eastAsia="en-US"/>
        </w:rPr>
        <w:t xml:space="preserve"> [Ändr. 87]</w:t>
      </w:r>
    </w:p>
    <w:p w:rsidR="00725FB2" w:rsidRDefault="003D1F39" w:rsidP="003D1F39">
      <w:pPr>
        <w:spacing w:before="120" w:after="120" w:line="360" w:lineRule="auto"/>
        <w:ind w:left="850" w:hanging="850"/>
        <w:rPr>
          <w:szCs w:val="24"/>
          <w:lang w:eastAsia="en-US"/>
        </w:rPr>
      </w:pPr>
      <w:r w:rsidRPr="003D1F39">
        <w:rPr>
          <w:szCs w:val="24"/>
          <w:lang w:eastAsia="en-US"/>
        </w:rPr>
        <w:t>6.</w:t>
      </w:r>
      <w:r w:rsidRPr="003D1F39">
        <w:rPr>
          <w:szCs w:val="24"/>
          <w:lang w:eastAsia="en-US"/>
        </w:rPr>
        <w:tab/>
        <w:t xml:space="preserve">Kommissionen ska anta </w:t>
      </w:r>
      <w:proofErr w:type="spellStart"/>
      <w:r w:rsidRPr="003D1F39">
        <w:rPr>
          <w:szCs w:val="24"/>
          <w:lang w:eastAsia="en-US"/>
        </w:rPr>
        <w:t>genomförandeakter</w:t>
      </w:r>
      <w:proofErr w:type="spellEnd"/>
      <w:r w:rsidRPr="003D1F39">
        <w:rPr>
          <w:szCs w:val="24"/>
          <w:lang w:eastAsia="en-US"/>
        </w:rPr>
        <w:t xml:space="preserve"> i enlighet med artikel 17 för att fastställa regler för certifiering av beräkningsverktyg och tillhörande intyg om överensstämmelse, inbegripet regler om förnyelse, tillfälligt upphävande och återkallande av certifiering.</w:t>
      </w:r>
    </w:p>
    <w:p w:rsidR="00725FB2" w:rsidRDefault="00725FB2">
      <w:pPr>
        <w:widowControl/>
        <w:rPr>
          <w:szCs w:val="24"/>
          <w:lang w:eastAsia="en-US"/>
        </w:rPr>
      </w:pPr>
      <w:r>
        <w:rPr>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VI</w:t>
      </w:r>
      <w:r w:rsidRPr="003D1F39">
        <w:rPr>
          <w:szCs w:val="24"/>
          <w:lang w:eastAsia="en-US"/>
        </w:rPr>
        <w:br/>
        <w:t>VERIFIERING AV DATA OM VÄXTHUSGASUTSLÄPP OCH BERÄKNINGSPROCESSER</w:t>
      </w:r>
    </w:p>
    <w:p w:rsidR="003D1F39" w:rsidRPr="003D1F39" w:rsidRDefault="003D1F39" w:rsidP="003D1F39">
      <w:pPr>
        <w:spacing w:before="120" w:after="120" w:line="360" w:lineRule="auto"/>
        <w:jc w:val="center"/>
        <w:rPr>
          <w:szCs w:val="24"/>
          <w:lang w:eastAsia="en-US"/>
        </w:rPr>
      </w:pPr>
      <w:r w:rsidRPr="003D1F39">
        <w:rPr>
          <w:szCs w:val="24"/>
          <w:lang w:eastAsia="en-US"/>
        </w:rPr>
        <w:t>Artikel 12</w:t>
      </w:r>
      <w:r w:rsidRPr="003D1F39">
        <w:rPr>
          <w:szCs w:val="24"/>
          <w:lang w:eastAsia="en-US"/>
        </w:rPr>
        <w:br/>
        <w:t>Verifieringens omfattning</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De utdata som avses i artikel 9 ska verifieras med avseende på om de uppfyller kraven i artiklarna 4–9 i denna förordning.</w:t>
      </w:r>
      <w:r w:rsidRPr="003D1F39">
        <w:rPr>
          <w:b/>
          <w:i/>
          <w:szCs w:val="24"/>
          <w:lang w:eastAsia="en-US"/>
        </w:rPr>
        <w:t xml:space="preserve"> Verifieringen ska utföras minst en gång om året i enlighet med de delegerade akter som avses i artikel 13.9. En verifiering får också begäras av organet för bedömning av överensstämmelse, en annan berörd enhet eller dess kunder.</w:t>
      </w:r>
      <w:r w:rsidR="00725FB2">
        <w:rPr>
          <w:b/>
          <w:szCs w:val="24"/>
          <w:lang w:eastAsia="en-US"/>
        </w:rPr>
        <w:t xml:space="preserve"> [Ändr. 88]</w:t>
      </w:r>
    </w:p>
    <w:p w:rsidR="00725FB2"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 xml:space="preserve">De </w:t>
      </w:r>
      <w:r w:rsidRPr="003D1F39">
        <w:rPr>
          <w:strike/>
          <w:szCs w:val="24"/>
          <w:lang w:eastAsia="en-US"/>
        </w:rPr>
        <w:t>verifieringskrav</w:t>
      </w:r>
      <w:r w:rsidRPr="003D1F39">
        <w:rPr>
          <w:b/>
          <w:i/>
          <w:szCs w:val="24"/>
          <w:lang w:eastAsia="en-US"/>
        </w:rPr>
        <w:t>krav på årlig verifiering</w:t>
      </w:r>
      <w:r w:rsidRPr="003D1F39">
        <w:rPr>
          <w:szCs w:val="24"/>
          <w:lang w:eastAsia="en-US"/>
        </w:rPr>
        <w:t xml:space="preserve"> som avses i punkt 1 ska tillämpas på de berörda enheter som avses i artikel 2, med undantag för sådana mikroföretag samt små och medelstora företag som avses i kommissionens rekommendation 2003/361/EG</w:t>
      </w:r>
      <w:r w:rsidRPr="003D1F39">
        <w:rPr>
          <w:szCs w:val="24"/>
          <w:vertAlign w:val="superscript"/>
          <w:lang w:val="en-GB" w:eastAsia="en-US"/>
        </w:rPr>
        <w:footnoteReference w:id="21"/>
      </w:r>
      <w:r w:rsidRPr="003D1F39">
        <w:rPr>
          <w:szCs w:val="24"/>
          <w:lang w:eastAsia="en-US"/>
        </w:rPr>
        <w:t>. Mikroföretag samt små och medelstora företag får genomgå verifiering på egen begäran.</w:t>
      </w:r>
      <w:r w:rsidR="00725FB2">
        <w:rPr>
          <w:b/>
          <w:szCs w:val="24"/>
          <w:lang w:eastAsia="en-US"/>
        </w:rPr>
        <w:t xml:space="preserve"> [Ändr. 89]</w:t>
      </w:r>
    </w:p>
    <w:p w:rsidR="00725FB2" w:rsidRDefault="00725FB2">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Artikel 13</w:t>
      </w:r>
      <w:r w:rsidRPr="003D1F39">
        <w:rPr>
          <w:szCs w:val="24"/>
          <w:lang w:eastAsia="en-US"/>
        </w:rPr>
        <w:br/>
        <w:t>Verifieringsverksamhet och verifieringsprocess</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1.</w:t>
      </w:r>
      <w:r w:rsidRPr="003D1F39">
        <w:rPr>
          <w:szCs w:val="24"/>
          <w:lang w:eastAsia="en-US"/>
        </w:rPr>
        <w:tab/>
        <w:t>Det organ för bedömning av överensstämmelse som avses i artikel 14 ska verifiera tillförlitligheten, trovärdigheten, efterlevnaden och korrektheten hos de utdata som lämnas ut av en berörd enhet.</w:t>
      </w:r>
      <w:r w:rsidRPr="003D1F39">
        <w:rPr>
          <w:b/>
          <w:i/>
          <w:szCs w:val="24"/>
          <w:lang w:eastAsia="en-US"/>
        </w:rPr>
        <w:t xml:space="preserve"> Verifieringen ska utföras minst en gång </w:t>
      </w:r>
      <w:r w:rsidR="00321967">
        <w:rPr>
          <w:b/>
          <w:i/>
          <w:szCs w:val="24"/>
          <w:lang w:eastAsia="en-US"/>
        </w:rPr>
        <w:t>per</w:t>
      </w:r>
      <w:r w:rsidRPr="003D1F39">
        <w:rPr>
          <w:b/>
          <w:i/>
          <w:szCs w:val="24"/>
          <w:lang w:eastAsia="en-US"/>
        </w:rPr>
        <w:t xml:space="preserve"> år och i enlighet med de detaljerade regler som fastställs i de delegerade akter som avses i artikel 13.9.</w:t>
      </w:r>
      <w:r w:rsidR="00725FB2">
        <w:rPr>
          <w:b/>
          <w:szCs w:val="24"/>
          <w:lang w:eastAsia="en-US"/>
        </w:rPr>
        <w:t xml:space="preserve"> [Ändr. 90]</w:t>
      </w:r>
    </w:p>
    <w:p w:rsidR="003D1F39" w:rsidRPr="003D1F39" w:rsidRDefault="003D1F39" w:rsidP="003D1F39">
      <w:pPr>
        <w:spacing w:before="120" w:after="120" w:line="360" w:lineRule="auto"/>
        <w:ind w:left="850" w:hanging="850"/>
        <w:rPr>
          <w:szCs w:val="24"/>
          <w:lang w:eastAsia="en-US"/>
        </w:rPr>
      </w:pPr>
      <w:r w:rsidRPr="003D1F39">
        <w:rPr>
          <w:szCs w:val="24"/>
          <w:lang w:eastAsia="en-US"/>
        </w:rPr>
        <w:t>2.</w:t>
      </w:r>
      <w:r w:rsidRPr="003D1F39">
        <w:rPr>
          <w:szCs w:val="24"/>
          <w:lang w:eastAsia="en-US"/>
        </w:rPr>
        <w:tab/>
        <w:t>Verifieringen ska utföras i enlighet med kraven i artiklarna 4–9 och bygga på de bevis som avses i artikel 10.5. Verifieringen ska omfatta</w:t>
      </w:r>
    </w:p>
    <w:p w:rsidR="003D1F39" w:rsidRPr="003D1F39" w:rsidRDefault="003D1F39" w:rsidP="003D1F39">
      <w:pPr>
        <w:spacing w:before="120" w:after="120" w:line="360" w:lineRule="auto"/>
        <w:ind w:left="1416" w:hanging="566"/>
        <w:rPr>
          <w:szCs w:val="24"/>
          <w:lang w:eastAsia="en-US"/>
        </w:rPr>
      </w:pPr>
      <w:r w:rsidRPr="003D1F39">
        <w:rPr>
          <w:szCs w:val="24"/>
          <w:lang w:eastAsia="en-US"/>
        </w:rPr>
        <w:t>(a)</w:t>
      </w:r>
      <w:r w:rsidRPr="003D1F39">
        <w:rPr>
          <w:szCs w:val="24"/>
          <w:lang w:eastAsia="en-US"/>
        </w:rPr>
        <w:tab/>
        <w:t>den beräkningsmetod som använts,</w:t>
      </w:r>
    </w:p>
    <w:p w:rsidR="003D1F39" w:rsidRPr="00DA5633" w:rsidRDefault="003D1F39" w:rsidP="003D1F39">
      <w:pPr>
        <w:spacing w:before="120" w:after="120" w:line="360" w:lineRule="auto"/>
        <w:ind w:left="1416" w:hanging="566"/>
        <w:rPr>
          <w:b/>
          <w:szCs w:val="24"/>
          <w:lang w:eastAsia="en-US"/>
        </w:rPr>
      </w:pPr>
      <w:r w:rsidRPr="003D1F39">
        <w:rPr>
          <w:szCs w:val="24"/>
          <w:lang w:eastAsia="en-US"/>
        </w:rPr>
        <w:t>(b)</w:t>
      </w:r>
      <w:r w:rsidRPr="003D1F39">
        <w:rPr>
          <w:szCs w:val="24"/>
          <w:lang w:eastAsia="en-US"/>
        </w:rPr>
        <w:tab/>
        <w:t>källan eller källorna för de indata som använts för beräkningen</w:t>
      </w:r>
      <w:r w:rsidRPr="003D1F39">
        <w:rPr>
          <w:b/>
          <w:i/>
          <w:szCs w:val="24"/>
          <w:lang w:eastAsia="en-US"/>
        </w:rPr>
        <w:t xml:space="preserve"> samt andelen primärdata som använts</w:t>
      </w:r>
      <w:r w:rsidRPr="003D1F39">
        <w:rPr>
          <w:szCs w:val="24"/>
          <w:lang w:eastAsia="en-US"/>
        </w:rPr>
        <w:t>,</w:t>
      </w:r>
      <w:r w:rsidR="00725FB2">
        <w:rPr>
          <w:b/>
          <w:szCs w:val="24"/>
          <w:lang w:eastAsia="en-US"/>
        </w:rPr>
        <w:t xml:space="preserve"> [Ändr. 91]</w:t>
      </w:r>
    </w:p>
    <w:p w:rsidR="003D1F39" w:rsidRPr="003D1F39" w:rsidRDefault="003D1F39" w:rsidP="003D1F39">
      <w:pPr>
        <w:spacing w:before="120" w:after="120" w:line="360" w:lineRule="auto"/>
        <w:ind w:left="1416" w:hanging="566"/>
        <w:rPr>
          <w:szCs w:val="24"/>
          <w:lang w:eastAsia="en-US"/>
        </w:rPr>
      </w:pPr>
      <w:r w:rsidRPr="003D1F39">
        <w:rPr>
          <w:szCs w:val="24"/>
          <w:lang w:eastAsia="en-US"/>
        </w:rPr>
        <w:t>(c)</w:t>
      </w:r>
      <w:r w:rsidRPr="003D1F39">
        <w:rPr>
          <w:szCs w:val="24"/>
          <w:lang w:eastAsia="en-US"/>
        </w:rPr>
        <w:tab/>
        <w:t>korrektheten hos den beräkning som utförts,</w:t>
      </w:r>
    </w:p>
    <w:p w:rsidR="00725FB2" w:rsidRDefault="003D1F39" w:rsidP="003D1F39">
      <w:pPr>
        <w:spacing w:before="120" w:after="120" w:line="360" w:lineRule="auto"/>
        <w:ind w:left="1416" w:hanging="566"/>
        <w:rPr>
          <w:szCs w:val="24"/>
          <w:lang w:eastAsia="en-US"/>
        </w:rPr>
      </w:pPr>
      <w:r w:rsidRPr="003D1F39">
        <w:rPr>
          <w:szCs w:val="24"/>
          <w:lang w:eastAsia="en-US"/>
        </w:rPr>
        <w:t>(d)</w:t>
      </w:r>
      <w:r w:rsidRPr="003D1F39">
        <w:rPr>
          <w:szCs w:val="24"/>
          <w:lang w:eastAsia="en-US"/>
        </w:rPr>
        <w:tab/>
        <w:t>de mått som använts.</w:t>
      </w:r>
    </w:p>
    <w:p w:rsidR="00725FB2" w:rsidRDefault="00725FB2">
      <w:pPr>
        <w:widowControl/>
        <w:rPr>
          <w:szCs w:val="24"/>
          <w:lang w:eastAsia="en-US"/>
        </w:rPr>
      </w:pPr>
      <w:r>
        <w:rPr>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2a.</w:t>
      </w:r>
      <w:r w:rsidRPr="003D1F39">
        <w:rPr>
          <w:szCs w:val="24"/>
          <w:lang w:eastAsia="en-US"/>
        </w:rPr>
        <w:tab/>
      </w:r>
      <w:r w:rsidRPr="003D1F39">
        <w:rPr>
          <w:b/>
          <w:i/>
          <w:szCs w:val="24"/>
          <w:lang w:eastAsia="en-US"/>
        </w:rPr>
        <w:t>Dataförmedlare ska verifieras på grundval av huruvida deras algoritmer innehåller information som har sorterats korrekt efter utsläpp och gör det möjligt att visa denna sortering som ett standardalternativ, liksom de olika filtren och urvalen avseende datakvalitet, i enlighet med artikel 10.2a.</w:t>
      </w:r>
      <w:r w:rsidR="00725FB2">
        <w:rPr>
          <w:b/>
          <w:szCs w:val="24"/>
          <w:lang w:eastAsia="en-US"/>
        </w:rPr>
        <w:t xml:space="preserve"> [Ändr. 92]</w:t>
      </w:r>
    </w:p>
    <w:p w:rsidR="003D1F39" w:rsidRPr="003D1F39" w:rsidRDefault="003D1F39" w:rsidP="003D1F39">
      <w:pPr>
        <w:spacing w:before="120" w:after="120" w:line="360" w:lineRule="auto"/>
        <w:ind w:left="850" w:hanging="850"/>
        <w:rPr>
          <w:szCs w:val="24"/>
          <w:lang w:eastAsia="en-US"/>
        </w:rPr>
      </w:pPr>
      <w:r w:rsidRPr="003D1F39">
        <w:rPr>
          <w:szCs w:val="24"/>
          <w:lang w:eastAsia="en-US"/>
        </w:rPr>
        <w:t>3.</w:t>
      </w:r>
      <w:r w:rsidRPr="003D1F39">
        <w:rPr>
          <w:szCs w:val="24"/>
          <w:lang w:eastAsia="en-US"/>
        </w:rPr>
        <w:tab/>
        <w:t>Om externa beräkningsverktyg använts ska organet för bedömning av överensstämmelse beakta deras respektive intyg om överensstämmelse enligt artikel 11.</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3a.</w:t>
      </w:r>
      <w:r w:rsidRPr="003D1F39">
        <w:rPr>
          <w:szCs w:val="24"/>
          <w:lang w:eastAsia="en-US"/>
        </w:rPr>
        <w:tab/>
      </w:r>
      <w:r w:rsidRPr="003D1F39">
        <w:rPr>
          <w:b/>
          <w:i/>
          <w:szCs w:val="24"/>
          <w:lang w:eastAsia="en-US"/>
        </w:rPr>
        <w:t xml:space="preserve">Om enheten använder sina egna beräkningsverktyg för de utdata som avses i artikel 9.1 första meningen ska organet för bedömning av överensstämmelse bedöma om de uppfyller kraven i den </w:t>
      </w:r>
      <w:proofErr w:type="spellStart"/>
      <w:r w:rsidRPr="003D1F39">
        <w:rPr>
          <w:b/>
          <w:i/>
          <w:szCs w:val="24"/>
          <w:lang w:eastAsia="en-US"/>
        </w:rPr>
        <w:t>referensmetod</w:t>
      </w:r>
      <w:proofErr w:type="spellEnd"/>
      <w:r w:rsidRPr="003D1F39">
        <w:rPr>
          <w:b/>
          <w:i/>
          <w:szCs w:val="24"/>
          <w:lang w:eastAsia="en-US"/>
        </w:rPr>
        <w:t xml:space="preserve"> som avses i artikel 4.1.</w:t>
      </w:r>
      <w:r w:rsidR="00725FB2">
        <w:rPr>
          <w:b/>
          <w:szCs w:val="24"/>
          <w:lang w:eastAsia="en-US"/>
        </w:rPr>
        <w:t xml:space="preserve"> [Ändr. 93]</w:t>
      </w:r>
    </w:p>
    <w:p w:rsidR="00725FB2" w:rsidRDefault="003D1F39" w:rsidP="003D1F39">
      <w:pPr>
        <w:spacing w:before="120" w:after="120" w:line="360" w:lineRule="auto"/>
        <w:ind w:left="850" w:hanging="850"/>
        <w:rPr>
          <w:b/>
          <w:szCs w:val="24"/>
          <w:lang w:eastAsia="en-US"/>
        </w:rPr>
      </w:pPr>
      <w:r w:rsidRPr="003D1F39">
        <w:rPr>
          <w:szCs w:val="24"/>
          <w:lang w:eastAsia="en-US"/>
        </w:rPr>
        <w:t>4.</w:t>
      </w:r>
      <w:r w:rsidRPr="003D1F39">
        <w:rPr>
          <w:szCs w:val="24"/>
          <w:lang w:eastAsia="en-US"/>
        </w:rPr>
        <w:tab/>
        <w:t xml:space="preserve">Om det i samband med verifieringsbedömningen upptäcks felaktiga beräkningar eller bristande efterlevnad av artiklarna 4–9 i denna förordning ska organet för bedömning av överensstämmelse </w:t>
      </w:r>
      <w:r w:rsidRPr="003D1F39">
        <w:rPr>
          <w:b/>
          <w:i/>
          <w:szCs w:val="24"/>
          <w:lang w:eastAsia="en-US"/>
        </w:rPr>
        <w:t xml:space="preserve">utan dröjsmål </w:t>
      </w:r>
      <w:r w:rsidRPr="003D1F39">
        <w:rPr>
          <w:szCs w:val="24"/>
          <w:lang w:eastAsia="en-US"/>
        </w:rPr>
        <w:t>informera den berörda enheten om detta</w:t>
      </w:r>
      <w:r w:rsidRPr="003D1F39">
        <w:rPr>
          <w:strike/>
          <w:szCs w:val="24"/>
          <w:lang w:eastAsia="en-US"/>
        </w:rPr>
        <w:t xml:space="preserve"> i god tid</w:t>
      </w:r>
      <w:r w:rsidRPr="003D1F39">
        <w:rPr>
          <w:szCs w:val="24"/>
          <w:lang w:eastAsia="en-US"/>
        </w:rPr>
        <w:t>. Enheten i fråga ska då korrigera beräkningen eller åtgärda den bristande efterlevnaden så att verifieringsprocessen kan slutföras.</w:t>
      </w:r>
      <w:r w:rsidR="00725FB2">
        <w:rPr>
          <w:b/>
          <w:szCs w:val="24"/>
          <w:lang w:eastAsia="en-US"/>
        </w:rPr>
        <w:t xml:space="preserve"> [Ändr. 94]</w:t>
      </w:r>
    </w:p>
    <w:p w:rsidR="00725FB2" w:rsidRDefault="00725FB2">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lastRenderedPageBreak/>
        <w:t>4a.</w:t>
      </w:r>
      <w:r w:rsidRPr="003D1F39">
        <w:rPr>
          <w:szCs w:val="24"/>
          <w:lang w:eastAsia="en-US"/>
        </w:rPr>
        <w:tab/>
      </w:r>
      <w:r w:rsidRPr="003D1F39">
        <w:rPr>
          <w:b/>
          <w:i/>
          <w:szCs w:val="24"/>
          <w:lang w:eastAsia="en-US"/>
        </w:rPr>
        <w:t>Om enheten efter minst två meddelanden från organet för bedömning av överensstämmelse vägrar att korrigera beräkningarna eller åtgärda bristande överensstämmelse med avseende på artiklarna 4–9 i denna förordning ska den behöriga myndigheten på begäran av organet för bedömning av överensstämmelse inleda ett sanktionsförfarande i enlighet med de detaljerade regler som fastställs i den delegerade akt som avses i punkt 9. Böterna ska vara ändamålsenliga, proportionella och avskräckande och hänsyn får, i tillämpliga fall, bland annat tas till de ekonomiska fördelar som den berörda enheten har dragit eller förväntas dra till följd av den bristande efterlevnaden.</w:t>
      </w:r>
      <w:r w:rsidR="00725FB2">
        <w:rPr>
          <w:b/>
          <w:szCs w:val="24"/>
          <w:lang w:eastAsia="en-US"/>
        </w:rPr>
        <w:t xml:space="preserve"> [Ändr. 95]</w:t>
      </w:r>
    </w:p>
    <w:p w:rsidR="00725FB2" w:rsidRDefault="003D1F39" w:rsidP="003D1F39">
      <w:pPr>
        <w:spacing w:before="120" w:after="120" w:line="360" w:lineRule="auto"/>
        <w:ind w:left="850" w:hanging="850"/>
        <w:rPr>
          <w:b/>
          <w:szCs w:val="24"/>
          <w:lang w:eastAsia="en-US"/>
        </w:rPr>
      </w:pPr>
      <w:r w:rsidRPr="003D1F39">
        <w:rPr>
          <w:szCs w:val="24"/>
          <w:lang w:eastAsia="en-US"/>
        </w:rPr>
        <w:t>5.</w:t>
      </w:r>
      <w:r w:rsidRPr="003D1F39">
        <w:rPr>
          <w:szCs w:val="24"/>
          <w:lang w:eastAsia="en-US"/>
        </w:rPr>
        <w:tab/>
        <w:t>Den berörda enheten ska</w:t>
      </w:r>
      <w:r w:rsidRPr="003D1F39">
        <w:rPr>
          <w:b/>
          <w:i/>
          <w:szCs w:val="24"/>
          <w:lang w:eastAsia="en-US"/>
        </w:rPr>
        <w:t xml:space="preserve"> inom 30 dagar</w:t>
      </w:r>
      <w:r w:rsidRPr="003D1F39">
        <w:rPr>
          <w:szCs w:val="24"/>
          <w:lang w:eastAsia="en-US"/>
        </w:rPr>
        <w:t xml:space="preserve"> förse organet för bedömning av överensstämmelse med all ytterligare information som gör det möjligt att genomföra verifieringsförfarandena. Under verifieringsprocessen får organet för bedömning av överensstämmelse</w:t>
      </w:r>
      <w:r w:rsidRPr="003D1F39">
        <w:rPr>
          <w:b/>
          <w:i/>
          <w:szCs w:val="24"/>
          <w:lang w:eastAsia="en-US"/>
        </w:rPr>
        <w:t>, enligt de detaljerade regler som fastställs i den delegerade akt som avses i punkt 9,</w:t>
      </w:r>
      <w:r w:rsidRPr="003D1F39">
        <w:rPr>
          <w:szCs w:val="24"/>
          <w:lang w:eastAsia="en-US"/>
        </w:rPr>
        <w:t xml:space="preserve"> göra kontroller för att fastställa tillförlitligheten hos data och beräkningar.</w:t>
      </w:r>
      <w:r w:rsidR="00725FB2">
        <w:rPr>
          <w:b/>
          <w:szCs w:val="24"/>
          <w:lang w:eastAsia="en-US"/>
        </w:rPr>
        <w:t xml:space="preserve"> [Ändr. 96]</w:t>
      </w:r>
    </w:p>
    <w:p w:rsidR="00725FB2" w:rsidRDefault="00725FB2">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6.</w:t>
      </w:r>
      <w:r w:rsidRPr="003D1F39">
        <w:rPr>
          <w:szCs w:val="24"/>
          <w:lang w:eastAsia="en-US"/>
        </w:rPr>
        <w:tab/>
        <w:t>När verifieringen har slutförts ska organet för bedömning av överensstämmelse</w:t>
      </w:r>
      <w:r w:rsidRPr="003D1F39">
        <w:rPr>
          <w:strike/>
          <w:szCs w:val="24"/>
          <w:lang w:eastAsia="en-US"/>
        </w:rPr>
        <w:t xml:space="preserve"> vid behov</w:t>
      </w:r>
      <w:r w:rsidRPr="003D1F39">
        <w:rPr>
          <w:szCs w:val="24"/>
          <w:lang w:eastAsia="en-US"/>
        </w:rPr>
        <w:t xml:space="preserve"> utfärda ett bevis på överensstämmelse som bekräftar att utdata uppfyller respektive krav enligt denna förordning</w:t>
      </w:r>
      <w:r w:rsidRPr="003D1F39">
        <w:rPr>
          <w:b/>
          <w:i/>
          <w:szCs w:val="24"/>
          <w:lang w:eastAsia="en-US"/>
        </w:rPr>
        <w:t xml:space="preserve"> och anger huruvida enheten använder primärdata</w:t>
      </w:r>
      <w:r w:rsidRPr="003D1F39">
        <w:rPr>
          <w:szCs w:val="24"/>
          <w:lang w:eastAsia="en-US"/>
        </w:rPr>
        <w:t>.</w:t>
      </w:r>
      <w:r w:rsidR="00725FB2">
        <w:rPr>
          <w:b/>
          <w:szCs w:val="24"/>
          <w:lang w:eastAsia="en-US"/>
        </w:rPr>
        <w:t xml:space="preserve"> [Ändr. 97]</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7.</w:t>
      </w:r>
      <w:r w:rsidRPr="003D1F39">
        <w:rPr>
          <w:szCs w:val="24"/>
          <w:lang w:eastAsia="en-US"/>
        </w:rPr>
        <w:tab/>
        <w:t>Det berörda organet för bedömning av överensstämmelse ska upprätta och upprätthålla en uppdaterad förteckning över de enheter som har genomgått</w:t>
      </w:r>
      <w:r w:rsidRPr="003D1F39">
        <w:rPr>
          <w:b/>
          <w:i/>
          <w:szCs w:val="24"/>
          <w:lang w:eastAsia="en-US"/>
        </w:rPr>
        <w:t xml:space="preserve"> den årliga</w:t>
      </w:r>
      <w:r w:rsidRPr="003D1F39">
        <w:rPr>
          <w:szCs w:val="24"/>
          <w:lang w:eastAsia="en-US"/>
        </w:rPr>
        <w:t xml:space="preserve"> verifieringen enligt punkterna 1–6. Organet för bedömning av överensstämmelse ska anmäla förteckningen till kommissionen senast den 31 mars varje år.</w:t>
      </w:r>
      <w:r w:rsidR="00725FB2">
        <w:rPr>
          <w:b/>
          <w:szCs w:val="24"/>
          <w:lang w:eastAsia="en-US"/>
        </w:rPr>
        <w:t xml:space="preserve"> [Ändr. 98]</w:t>
      </w:r>
    </w:p>
    <w:p w:rsidR="003D1F39" w:rsidRPr="003D1F39" w:rsidRDefault="003D1F39" w:rsidP="003D1F39">
      <w:pPr>
        <w:spacing w:before="120" w:after="120" w:line="360" w:lineRule="auto"/>
        <w:ind w:left="850" w:hanging="850"/>
        <w:rPr>
          <w:szCs w:val="24"/>
          <w:lang w:eastAsia="en-US"/>
        </w:rPr>
      </w:pPr>
      <w:r w:rsidRPr="003D1F39">
        <w:rPr>
          <w:szCs w:val="24"/>
          <w:lang w:eastAsia="en-US"/>
        </w:rPr>
        <w:t>8.</w:t>
      </w:r>
      <w:r w:rsidRPr="003D1F39">
        <w:rPr>
          <w:szCs w:val="24"/>
          <w:lang w:eastAsia="en-US"/>
        </w:rPr>
        <w:tab/>
        <w:t>Om det i annan unionslagstiftning fastställs särskilda regler för verifieringsbedömningen av utdata ska dessa regler behandlas på ett likvärdigt sätt, under förutsättning att verifieringsbedömningen fastställs i enlighet med denna förordning.</w:t>
      </w:r>
    </w:p>
    <w:p w:rsidR="00725FB2" w:rsidRDefault="003D1F39" w:rsidP="003D1F39">
      <w:pPr>
        <w:spacing w:before="120" w:after="120" w:line="360" w:lineRule="auto"/>
        <w:ind w:left="850" w:hanging="850"/>
        <w:rPr>
          <w:b/>
          <w:szCs w:val="24"/>
          <w:lang w:eastAsia="en-US"/>
        </w:rPr>
      </w:pPr>
      <w:r w:rsidRPr="003D1F39">
        <w:rPr>
          <w:szCs w:val="24"/>
          <w:lang w:eastAsia="en-US"/>
        </w:rPr>
        <w:t>9.</w:t>
      </w:r>
      <w:r w:rsidRPr="003D1F39">
        <w:rPr>
          <w:szCs w:val="24"/>
          <w:lang w:eastAsia="en-US"/>
        </w:rPr>
        <w:tab/>
        <w:t xml:space="preserve">Kommissionen ska anta </w:t>
      </w:r>
      <w:r w:rsidRPr="003D1F39">
        <w:rPr>
          <w:strike/>
          <w:szCs w:val="24"/>
          <w:lang w:eastAsia="en-US"/>
        </w:rPr>
        <w:t>genomförandeakter</w:t>
      </w:r>
      <w:r w:rsidRPr="003D1F39">
        <w:rPr>
          <w:b/>
          <w:i/>
          <w:szCs w:val="24"/>
          <w:lang w:eastAsia="en-US"/>
        </w:rPr>
        <w:t>delegerade akter</w:t>
      </w:r>
      <w:r w:rsidRPr="003D1F39">
        <w:rPr>
          <w:szCs w:val="24"/>
          <w:lang w:eastAsia="en-US"/>
        </w:rPr>
        <w:t xml:space="preserve"> i enlighet med artikel </w:t>
      </w:r>
      <w:r w:rsidRPr="003D1F39">
        <w:rPr>
          <w:strike/>
          <w:szCs w:val="24"/>
          <w:lang w:eastAsia="en-US"/>
        </w:rPr>
        <w:t>17</w:t>
      </w:r>
      <w:r w:rsidRPr="003D1F39">
        <w:rPr>
          <w:b/>
          <w:i/>
          <w:szCs w:val="24"/>
          <w:lang w:eastAsia="en-US"/>
        </w:rPr>
        <w:t>16</w:t>
      </w:r>
      <w:r w:rsidRPr="003D1F39">
        <w:rPr>
          <w:szCs w:val="24"/>
          <w:lang w:eastAsia="en-US"/>
        </w:rPr>
        <w:t xml:space="preserve"> med närmare bestämmelser om verifieringen av utdata</w:t>
      </w:r>
      <w:r w:rsidRPr="003D1F39">
        <w:rPr>
          <w:b/>
          <w:i/>
          <w:szCs w:val="24"/>
          <w:lang w:eastAsia="en-US"/>
        </w:rPr>
        <w:t>, det</w:t>
      </w:r>
      <w:r w:rsidRPr="003D1F39">
        <w:rPr>
          <w:strike/>
          <w:szCs w:val="24"/>
          <w:lang w:eastAsia="en-US"/>
        </w:rPr>
        <w:t xml:space="preserve"> och</w:t>
      </w:r>
      <w:r w:rsidRPr="003D1F39">
        <w:rPr>
          <w:szCs w:val="24"/>
          <w:lang w:eastAsia="en-US"/>
        </w:rPr>
        <w:t xml:space="preserve"> tillhörande </w:t>
      </w:r>
      <w:r w:rsidRPr="003D1F39">
        <w:rPr>
          <w:strike/>
          <w:szCs w:val="24"/>
          <w:lang w:eastAsia="en-US"/>
        </w:rPr>
        <w:t>bevis</w:t>
      </w:r>
      <w:r w:rsidRPr="003D1F39">
        <w:rPr>
          <w:b/>
          <w:i/>
          <w:szCs w:val="24"/>
          <w:lang w:eastAsia="en-US"/>
        </w:rPr>
        <w:t>beviset</w:t>
      </w:r>
      <w:r w:rsidRPr="003D1F39">
        <w:rPr>
          <w:szCs w:val="24"/>
          <w:lang w:eastAsia="en-US"/>
        </w:rPr>
        <w:t xml:space="preserve"> på överensstämmelse</w:t>
      </w:r>
      <w:r w:rsidRPr="003D1F39">
        <w:rPr>
          <w:b/>
          <w:i/>
          <w:szCs w:val="24"/>
          <w:lang w:eastAsia="en-US"/>
        </w:rPr>
        <w:t xml:space="preserve"> och sanktionsförfaranden</w:t>
      </w:r>
      <w:r w:rsidRPr="003D1F39">
        <w:rPr>
          <w:szCs w:val="24"/>
          <w:lang w:eastAsia="en-US"/>
        </w:rPr>
        <w:t>. Dessa regler ska innehålla bestämmelser om de bevis som avses i artikel 10.5 och de kommunikationsrättigheter som är knutna till användningen av primärdata enligt vad som avses i artikel 10.4.</w:t>
      </w:r>
      <w:r w:rsidR="00725FB2">
        <w:rPr>
          <w:b/>
          <w:szCs w:val="24"/>
          <w:lang w:eastAsia="en-US"/>
        </w:rPr>
        <w:t xml:space="preserve"> [Ändr. 99]</w:t>
      </w:r>
    </w:p>
    <w:p w:rsidR="00725FB2" w:rsidRDefault="00725FB2">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VII</w:t>
      </w:r>
      <w:r w:rsidRPr="003D1F39">
        <w:rPr>
          <w:szCs w:val="24"/>
          <w:lang w:eastAsia="en-US"/>
        </w:rPr>
        <w:br/>
        <w:t>ACKREDITERING</w:t>
      </w:r>
    </w:p>
    <w:p w:rsidR="003D1F39" w:rsidRPr="003D1F39" w:rsidRDefault="003D1F39" w:rsidP="003D1F39">
      <w:pPr>
        <w:spacing w:before="120" w:after="120" w:line="360" w:lineRule="auto"/>
        <w:jc w:val="center"/>
        <w:rPr>
          <w:szCs w:val="24"/>
          <w:lang w:eastAsia="en-US"/>
        </w:rPr>
      </w:pPr>
      <w:r w:rsidRPr="003D1F39">
        <w:rPr>
          <w:szCs w:val="24"/>
          <w:lang w:eastAsia="en-US"/>
        </w:rPr>
        <w:t>Artikel 14</w:t>
      </w:r>
      <w:r w:rsidRPr="003D1F39">
        <w:rPr>
          <w:szCs w:val="24"/>
          <w:lang w:eastAsia="en-US"/>
        </w:rPr>
        <w:br/>
        <w:t>Organ för bedömning av överensstämmelse</w:t>
      </w:r>
    </w:p>
    <w:p w:rsidR="003D1F39" w:rsidRPr="003D1F39" w:rsidRDefault="003D1F39" w:rsidP="003D1F39">
      <w:pPr>
        <w:spacing w:before="120" w:after="120" w:line="360" w:lineRule="auto"/>
        <w:ind w:left="850" w:hanging="850"/>
        <w:rPr>
          <w:szCs w:val="24"/>
          <w:lang w:eastAsia="en-US"/>
        </w:rPr>
      </w:pPr>
      <w:r w:rsidRPr="003D1F39">
        <w:rPr>
          <w:szCs w:val="24"/>
          <w:lang w:eastAsia="en-US"/>
        </w:rPr>
        <w:t>1.</w:t>
      </w:r>
      <w:r w:rsidRPr="003D1F39">
        <w:rPr>
          <w:szCs w:val="24"/>
          <w:lang w:eastAsia="en-US"/>
        </w:rPr>
        <w:tab/>
        <w:t>Organ för bedömning av överensstämmelse ska vara ackrediterade för att utföra den verifierings- eller certifieringsverksamhet som avses i artiklarna 11, 12 och 13.</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 xml:space="preserve">Organet för bedömning av överensstämmelse ska vara oberoende av </w:t>
      </w:r>
      <w:r w:rsidRPr="003D1F39">
        <w:rPr>
          <w:strike/>
          <w:szCs w:val="24"/>
          <w:lang w:eastAsia="en-US"/>
        </w:rPr>
        <w:t xml:space="preserve">den </w:t>
      </w:r>
      <w:proofErr w:type="spellStart"/>
      <w:r w:rsidRPr="003D1F39">
        <w:rPr>
          <w:strike/>
          <w:szCs w:val="24"/>
          <w:lang w:eastAsia="en-US"/>
        </w:rPr>
        <w:t>enhet</w:t>
      </w:r>
      <w:r w:rsidRPr="003D1F39">
        <w:rPr>
          <w:b/>
          <w:i/>
          <w:szCs w:val="24"/>
          <w:lang w:eastAsia="en-US"/>
        </w:rPr>
        <w:t>alla</w:t>
      </w:r>
      <w:proofErr w:type="spellEnd"/>
      <w:r w:rsidRPr="003D1F39">
        <w:rPr>
          <w:b/>
          <w:i/>
          <w:szCs w:val="24"/>
          <w:lang w:eastAsia="en-US"/>
        </w:rPr>
        <w:t xml:space="preserve"> enheter</w:t>
      </w:r>
      <w:r w:rsidRPr="003D1F39">
        <w:rPr>
          <w:szCs w:val="24"/>
          <w:lang w:eastAsia="en-US"/>
        </w:rPr>
        <w:t xml:space="preserve"> som ansöker om den verifierings- eller certifieringsverksamhet som avses i artiklarna 11, 12 och 13.</w:t>
      </w:r>
      <w:r w:rsidR="00725FB2">
        <w:rPr>
          <w:b/>
          <w:szCs w:val="24"/>
          <w:lang w:eastAsia="en-US"/>
        </w:rPr>
        <w:t xml:space="preserve"> [Ändr. 100]</w:t>
      </w:r>
    </w:p>
    <w:p w:rsidR="00725FB2" w:rsidRDefault="003D1F39" w:rsidP="003D1F39">
      <w:pPr>
        <w:spacing w:before="120" w:after="120" w:line="360" w:lineRule="auto"/>
        <w:ind w:left="850" w:hanging="850"/>
        <w:rPr>
          <w:szCs w:val="24"/>
          <w:lang w:eastAsia="en-US"/>
        </w:rPr>
      </w:pPr>
      <w:r w:rsidRPr="003D1F39">
        <w:rPr>
          <w:szCs w:val="24"/>
          <w:lang w:eastAsia="en-US"/>
        </w:rPr>
        <w:t>3.</w:t>
      </w:r>
      <w:r w:rsidRPr="003D1F39">
        <w:rPr>
          <w:szCs w:val="24"/>
          <w:lang w:eastAsia="en-US"/>
        </w:rPr>
        <w:tab/>
        <w:t>Organet för bedömning av överensstämmelse, dess högsta ledning och den personal som ansvarar för att utföra verifieringsverksamheten får inte delta i någon verksamhet som kan påverka deras objektivitet eller integritet i samband med verifierings- eller certifieringsverksamheten.</w:t>
      </w:r>
    </w:p>
    <w:p w:rsidR="00725FB2" w:rsidRDefault="00725FB2">
      <w:pPr>
        <w:widowControl/>
        <w:rPr>
          <w:szCs w:val="24"/>
          <w:lang w:eastAsia="en-US"/>
        </w:rPr>
      </w:pPr>
      <w:r>
        <w:rPr>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4.</w:t>
      </w:r>
      <w:r w:rsidRPr="003D1F39">
        <w:rPr>
          <w:szCs w:val="24"/>
          <w:lang w:eastAsia="en-US"/>
        </w:rPr>
        <w:tab/>
        <w:t>Organet för bedömning av överensstämmelse och dess personal ska utföra verifierings- eller certifieringsverksamheten med största möjliga yrkesintegritet och erforderlig teknisk kompetens, och de ska vara fria från alla påtryckningar och incitament, i synnerhet ekonomiska sådana, som kan påverka deras omdöme eller resultaten av deras verifieringsverksamhet, särskilt i förhållande till personer eller grupper av personer som berörs av verksamhetens resultat.</w:t>
      </w:r>
    </w:p>
    <w:p w:rsidR="003D1F39" w:rsidRPr="003D1F39" w:rsidRDefault="003D1F39" w:rsidP="003D1F39">
      <w:pPr>
        <w:spacing w:before="120" w:after="120" w:line="360" w:lineRule="auto"/>
        <w:ind w:left="850" w:hanging="850"/>
        <w:rPr>
          <w:szCs w:val="24"/>
          <w:lang w:eastAsia="en-US"/>
        </w:rPr>
      </w:pPr>
      <w:r w:rsidRPr="003D1F39">
        <w:rPr>
          <w:szCs w:val="24"/>
          <w:lang w:eastAsia="en-US"/>
        </w:rPr>
        <w:t>5.</w:t>
      </w:r>
      <w:r w:rsidRPr="003D1F39">
        <w:rPr>
          <w:szCs w:val="24"/>
          <w:lang w:eastAsia="en-US"/>
        </w:rPr>
        <w:tab/>
        <w:t>Organet för bedömning av överensstämmelse ska ha den sakkunskap, utrustning och infrastruktur som krävs för att utföra den verifierings- eller certifieringsverksamhet för vilken det har ackrediterats.</w:t>
      </w:r>
    </w:p>
    <w:p w:rsidR="003D1F39" w:rsidRPr="003D1F39" w:rsidRDefault="003D1F39" w:rsidP="003D1F39">
      <w:pPr>
        <w:spacing w:before="120" w:after="120" w:line="360" w:lineRule="auto"/>
        <w:ind w:left="850" w:hanging="850"/>
        <w:rPr>
          <w:szCs w:val="24"/>
          <w:lang w:eastAsia="en-US"/>
        </w:rPr>
      </w:pPr>
      <w:r w:rsidRPr="003D1F39">
        <w:rPr>
          <w:szCs w:val="24"/>
          <w:lang w:eastAsia="en-US"/>
        </w:rPr>
        <w:t>6.</w:t>
      </w:r>
      <w:r w:rsidRPr="003D1F39">
        <w:rPr>
          <w:szCs w:val="24"/>
          <w:lang w:eastAsia="en-US"/>
        </w:rPr>
        <w:tab/>
        <w:t>Personalen i organet för bedömning av överensstämmelse ska ha tystnadsplikt beträffande all information som den erhåller vid utförandet av verifierings och certifieringsuppgifterna.</w:t>
      </w:r>
    </w:p>
    <w:p w:rsidR="00725FB2" w:rsidRDefault="003D1F39" w:rsidP="003D1F39">
      <w:pPr>
        <w:spacing w:before="120" w:after="120" w:line="360" w:lineRule="auto"/>
        <w:ind w:left="850" w:hanging="850"/>
        <w:rPr>
          <w:szCs w:val="24"/>
          <w:lang w:eastAsia="en-US"/>
        </w:rPr>
      </w:pPr>
      <w:r w:rsidRPr="003D1F39">
        <w:rPr>
          <w:szCs w:val="24"/>
          <w:lang w:eastAsia="en-US"/>
        </w:rPr>
        <w:t>7.</w:t>
      </w:r>
      <w:r w:rsidRPr="003D1F39">
        <w:rPr>
          <w:szCs w:val="24"/>
          <w:lang w:eastAsia="en-US"/>
        </w:rPr>
        <w:tab/>
        <w:t>Om ett organ för bedömning av överensstämmelse lägger ut specifika uppgifter med anknytning till verifiering eller certifiering på underentreprenad, eller anlitar ett dotterbolag, ska organet ansvara fullt ut för de uppgifter som utförs av underentreprenören eller dotterbolaget, oberoende av var dessa är etablerade, inbegripet genom att bedöma och övervaka underentreprenörens eller dotterbolagets kvalifikationer och det arbete som utförs av dem.</w:t>
      </w:r>
    </w:p>
    <w:p w:rsidR="00725FB2" w:rsidRDefault="00725FB2">
      <w:pPr>
        <w:widowControl/>
        <w:rPr>
          <w:szCs w:val="24"/>
          <w:lang w:eastAsia="en-US"/>
        </w:rPr>
      </w:pPr>
      <w:r>
        <w:rPr>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Artikel 15</w:t>
      </w:r>
      <w:r w:rsidRPr="003D1F39">
        <w:rPr>
          <w:szCs w:val="24"/>
          <w:lang w:eastAsia="en-US"/>
        </w:rPr>
        <w:br/>
        <w:t>Ackrediteringsförfaranden</w:t>
      </w:r>
    </w:p>
    <w:p w:rsidR="003D1F39" w:rsidRPr="003D1F39" w:rsidRDefault="003D1F39" w:rsidP="003D1F39">
      <w:pPr>
        <w:spacing w:before="120" w:after="120" w:line="360" w:lineRule="auto"/>
        <w:ind w:left="850" w:hanging="850"/>
        <w:rPr>
          <w:szCs w:val="24"/>
          <w:lang w:eastAsia="en-US"/>
        </w:rPr>
      </w:pPr>
      <w:r w:rsidRPr="003D1F39">
        <w:rPr>
          <w:szCs w:val="24"/>
          <w:lang w:eastAsia="en-US"/>
        </w:rPr>
        <w:t>1.</w:t>
      </w:r>
      <w:r w:rsidRPr="003D1F39">
        <w:rPr>
          <w:szCs w:val="24"/>
          <w:lang w:eastAsia="en-US"/>
        </w:rPr>
        <w:tab/>
        <w:t>De organ för bedömning av överensstämmelse som avses i artikel 14.1 ska ackrediteras av ett nationellt ackrediteringsorgan i enlighet med kapitel II i Europaparlamentets och rådets förordning (EG) nr 765/2008.</w:t>
      </w:r>
    </w:p>
    <w:p w:rsidR="003D1F39" w:rsidRPr="003D1F39" w:rsidRDefault="003D1F39" w:rsidP="003D1F39">
      <w:pPr>
        <w:spacing w:before="120" w:after="120" w:line="360" w:lineRule="auto"/>
        <w:ind w:left="850" w:hanging="850"/>
        <w:rPr>
          <w:szCs w:val="24"/>
          <w:lang w:eastAsia="en-US"/>
        </w:rPr>
      </w:pPr>
      <w:r w:rsidRPr="003D1F39">
        <w:rPr>
          <w:szCs w:val="24"/>
          <w:lang w:eastAsia="en-US"/>
        </w:rPr>
        <w:t>2.</w:t>
      </w:r>
      <w:r w:rsidRPr="003D1F39">
        <w:rPr>
          <w:szCs w:val="24"/>
          <w:lang w:eastAsia="en-US"/>
        </w:rPr>
        <w:tab/>
        <w:t>Varje medlemsstat ska utse en myndighet som ska föra en uppdaterad förteckning över ackrediterade organ för bedömning av överensstämmelse. Dessa utsedda nationella myndigheter ska göra förteckningen allmänt tillgänglig på en officiell statlig webbplats.</w:t>
      </w:r>
    </w:p>
    <w:p w:rsidR="003D1F39" w:rsidRPr="003D1F39" w:rsidRDefault="003D1F39" w:rsidP="003D1F39">
      <w:pPr>
        <w:spacing w:before="120" w:after="120" w:line="360" w:lineRule="auto"/>
        <w:ind w:left="850" w:hanging="850"/>
        <w:rPr>
          <w:szCs w:val="24"/>
          <w:lang w:eastAsia="en-US"/>
        </w:rPr>
      </w:pPr>
      <w:r w:rsidRPr="003D1F39">
        <w:rPr>
          <w:szCs w:val="24"/>
          <w:lang w:eastAsia="en-US"/>
        </w:rPr>
        <w:t>3.</w:t>
      </w:r>
      <w:r w:rsidRPr="003D1F39">
        <w:rPr>
          <w:szCs w:val="24"/>
          <w:lang w:eastAsia="en-US"/>
        </w:rPr>
        <w:tab/>
        <w:t>Det nationella ackrediteringsorganet ska senast den 31 mars varje år till kommissionen överlämna förteckningen över ackrediterade organ för bedömning av överensstämmelse, tillsammans med alla relevanta kontaktuppgifter.</w:t>
      </w:r>
    </w:p>
    <w:p w:rsidR="00725FB2" w:rsidRDefault="003D1F39" w:rsidP="003D1F39">
      <w:pPr>
        <w:spacing w:before="120" w:after="120" w:line="360" w:lineRule="auto"/>
        <w:ind w:left="850" w:hanging="850"/>
        <w:rPr>
          <w:szCs w:val="24"/>
          <w:lang w:eastAsia="en-US"/>
        </w:rPr>
      </w:pPr>
      <w:r w:rsidRPr="003D1F39">
        <w:rPr>
          <w:szCs w:val="24"/>
          <w:lang w:eastAsia="en-US"/>
        </w:rPr>
        <w:t>4.</w:t>
      </w:r>
      <w:r w:rsidRPr="003D1F39">
        <w:rPr>
          <w:szCs w:val="24"/>
          <w:lang w:eastAsia="en-US"/>
        </w:rPr>
        <w:tab/>
        <w:t>Kommissionen ska ges befogenhet att anta delegerade akter i enlighet med artikel 16 för att komplettera denna förordning genom att fastställa ytterligare metoder och kriterier för ackreditering av organ för bedömning av överensstämmelse.</w:t>
      </w:r>
    </w:p>
    <w:p w:rsidR="00725FB2" w:rsidRDefault="00725FB2">
      <w:pPr>
        <w:widowControl/>
        <w:rPr>
          <w:szCs w:val="24"/>
          <w:lang w:eastAsia="en-US"/>
        </w:rPr>
      </w:pPr>
      <w:r>
        <w:rPr>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KAPITEL VIII</w:t>
      </w:r>
      <w:r w:rsidRPr="003D1F39">
        <w:rPr>
          <w:szCs w:val="24"/>
          <w:lang w:eastAsia="en-US"/>
        </w:rPr>
        <w:br/>
        <w:t>DELEGERADE BEFOGENHETER OCH GENOMFÖRANDEBEFOGENHETER</w:t>
      </w:r>
    </w:p>
    <w:p w:rsidR="003D1F39" w:rsidRPr="003D1F39" w:rsidRDefault="003D1F39" w:rsidP="003D1F39">
      <w:pPr>
        <w:spacing w:before="120" w:after="120" w:line="360" w:lineRule="auto"/>
        <w:jc w:val="center"/>
        <w:rPr>
          <w:szCs w:val="24"/>
          <w:lang w:eastAsia="en-US"/>
        </w:rPr>
      </w:pPr>
      <w:r w:rsidRPr="003D1F39">
        <w:rPr>
          <w:szCs w:val="24"/>
          <w:lang w:eastAsia="en-US"/>
        </w:rPr>
        <w:t>Artikel 16</w:t>
      </w:r>
      <w:r w:rsidRPr="003D1F39">
        <w:rPr>
          <w:szCs w:val="24"/>
          <w:lang w:eastAsia="en-US"/>
        </w:rPr>
        <w:br/>
        <w:t>Utövande av delegeringen</w:t>
      </w:r>
    </w:p>
    <w:p w:rsidR="003D1F39" w:rsidRPr="003D1F39" w:rsidRDefault="003D1F39" w:rsidP="003D1F39">
      <w:pPr>
        <w:spacing w:before="120" w:after="120" w:line="360" w:lineRule="auto"/>
        <w:ind w:left="850" w:hanging="850"/>
        <w:rPr>
          <w:szCs w:val="24"/>
          <w:lang w:eastAsia="en-US"/>
        </w:rPr>
      </w:pPr>
      <w:r w:rsidRPr="003D1F39">
        <w:rPr>
          <w:szCs w:val="24"/>
          <w:lang w:eastAsia="en-US"/>
        </w:rPr>
        <w:t>1.</w:t>
      </w:r>
      <w:r w:rsidRPr="003D1F39">
        <w:rPr>
          <w:szCs w:val="24"/>
          <w:lang w:eastAsia="en-US"/>
        </w:rPr>
        <w:tab/>
        <w:t>Befogenheten att anta delegerade akter ges till kommissionen med förbehåll för de villkor som anges i denna artikel.</w:t>
      </w:r>
    </w:p>
    <w:p w:rsidR="003D1F39" w:rsidRPr="00DA5633"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 xml:space="preserve">Den befogenhet att anta delegerade akter som avses i artiklarna 4.4, 4.5, </w:t>
      </w:r>
      <w:r w:rsidRPr="003D1F39">
        <w:rPr>
          <w:b/>
          <w:i/>
          <w:szCs w:val="24"/>
          <w:lang w:eastAsia="en-US"/>
        </w:rPr>
        <w:t>4.6, 5.2a, 9.4, 13.9</w:t>
      </w:r>
      <w:r w:rsidRPr="003D1F39">
        <w:rPr>
          <w:strike/>
          <w:szCs w:val="24"/>
          <w:lang w:eastAsia="en-US"/>
        </w:rPr>
        <w:t>9.4</w:t>
      </w:r>
      <w:r w:rsidRPr="003D1F39">
        <w:rPr>
          <w:szCs w:val="24"/>
          <w:lang w:eastAsia="en-US"/>
        </w:rPr>
        <w:t xml:space="preserve"> och 15.4 ges till kommissionen tills vidare från och med den [Publikationsbyrån: lägg till datum – denna förordnings ikraftträdande].</w:t>
      </w:r>
      <w:r w:rsidR="00242824">
        <w:rPr>
          <w:b/>
          <w:szCs w:val="24"/>
          <w:lang w:eastAsia="en-US"/>
        </w:rPr>
        <w:t xml:space="preserve"> [Ändr. 101]</w:t>
      </w:r>
    </w:p>
    <w:p w:rsidR="00725FB2" w:rsidRDefault="003D1F39" w:rsidP="003D1F39">
      <w:pPr>
        <w:spacing w:before="120" w:after="120" w:line="360" w:lineRule="auto"/>
        <w:ind w:left="850" w:hanging="850"/>
        <w:rPr>
          <w:b/>
          <w:szCs w:val="24"/>
          <w:lang w:eastAsia="en-US"/>
        </w:rPr>
      </w:pPr>
      <w:r w:rsidRPr="003D1F39">
        <w:rPr>
          <w:szCs w:val="24"/>
          <w:lang w:eastAsia="en-US"/>
        </w:rPr>
        <w:t>3.</w:t>
      </w:r>
      <w:r w:rsidRPr="003D1F39">
        <w:rPr>
          <w:szCs w:val="24"/>
          <w:lang w:eastAsia="en-US"/>
        </w:rPr>
        <w:tab/>
        <w:t xml:space="preserve">Den delegering av befogenhet som avses i artiklarna 4.4, 4.5, </w:t>
      </w:r>
      <w:r w:rsidRPr="003D1F39">
        <w:rPr>
          <w:b/>
          <w:i/>
          <w:szCs w:val="24"/>
          <w:lang w:eastAsia="en-US"/>
        </w:rPr>
        <w:t>4.6, 5.2a, 9.4, 13.9</w:t>
      </w:r>
      <w:r w:rsidRPr="003D1F39">
        <w:rPr>
          <w:strike/>
          <w:szCs w:val="24"/>
          <w:lang w:eastAsia="en-US"/>
        </w:rPr>
        <w:t>9.4</w:t>
      </w:r>
      <w:r w:rsidRPr="003D1F39">
        <w:rPr>
          <w:szCs w:val="24"/>
          <w:lang w:eastAsia="en-US"/>
        </w:rPr>
        <w:t xml:space="preserve"> och 15.4 får när som helst återkallas av Europaparlamentet eller rådet. Ett beslut om återkallelse innebär att delegeringen av den befogenhet som anges i beslutet upphör att gälla. Beslutet får verkan dagen efter det att det offentliggörs i </w:t>
      </w:r>
      <w:r w:rsidRPr="00DA5633">
        <w:rPr>
          <w:i/>
          <w:szCs w:val="24"/>
          <w:lang w:eastAsia="en-US"/>
        </w:rPr>
        <w:t>Europeiska unionens officiella tidning</w:t>
      </w:r>
      <w:r w:rsidRPr="003D1F39">
        <w:rPr>
          <w:szCs w:val="24"/>
          <w:lang w:eastAsia="en-US"/>
        </w:rPr>
        <w:t>, eller vid ett senare i beslutet angivet datum. Det påverkar inte giltigheten av delegerade akter som redan har trätt i kraft.</w:t>
      </w:r>
      <w:r w:rsidR="00725FB2">
        <w:rPr>
          <w:b/>
          <w:szCs w:val="24"/>
          <w:lang w:eastAsia="en-US"/>
        </w:rPr>
        <w:t xml:space="preserve"> [Ändr. 102]</w:t>
      </w:r>
    </w:p>
    <w:p w:rsidR="00725FB2" w:rsidRDefault="00725FB2">
      <w:pPr>
        <w:widowControl/>
        <w:rPr>
          <w:b/>
          <w:szCs w:val="24"/>
          <w:lang w:eastAsia="en-US"/>
        </w:rPr>
      </w:pPr>
      <w:r>
        <w:rPr>
          <w:b/>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szCs w:val="24"/>
          <w:lang w:eastAsia="en-US"/>
        </w:rPr>
        <w:lastRenderedPageBreak/>
        <w:t>4.</w:t>
      </w:r>
      <w:r w:rsidRPr="003D1F39">
        <w:rPr>
          <w:szCs w:val="24"/>
          <w:lang w:eastAsia="en-US"/>
        </w:rPr>
        <w:tab/>
        <w:t>Innan kommissionen antar en delegerad akt ska den samråda med experter som utsetts av varje medlemsstat i enlighet med principerna i det interinstitutionella avtalet av den 13 april 2016 om bättre lagstiftning.</w:t>
      </w:r>
    </w:p>
    <w:p w:rsidR="003D1F39" w:rsidRPr="003D1F39" w:rsidRDefault="003D1F39" w:rsidP="003D1F39">
      <w:pPr>
        <w:spacing w:before="120" w:after="120" w:line="360" w:lineRule="auto"/>
        <w:ind w:left="850" w:hanging="850"/>
        <w:rPr>
          <w:szCs w:val="24"/>
          <w:lang w:eastAsia="en-US"/>
        </w:rPr>
      </w:pPr>
      <w:r w:rsidRPr="003D1F39">
        <w:rPr>
          <w:szCs w:val="24"/>
          <w:lang w:eastAsia="en-US"/>
        </w:rPr>
        <w:t>5.</w:t>
      </w:r>
      <w:r w:rsidRPr="003D1F39">
        <w:rPr>
          <w:szCs w:val="24"/>
          <w:lang w:eastAsia="en-US"/>
        </w:rPr>
        <w:tab/>
        <w:t>Så snart kommissionen antar en delegerad akt ska den samtidigt delge Europaparlamentet och rådet denna.</w:t>
      </w:r>
    </w:p>
    <w:p w:rsidR="00242824" w:rsidRDefault="003D1F39" w:rsidP="003D1F39">
      <w:pPr>
        <w:spacing w:before="120" w:after="120" w:line="360" w:lineRule="auto"/>
        <w:ind w:left="850" w:hanging="850"/>
        <w:rPr>
          <w:b/>
          <w:szCs w:val="24"/>
          <w:lang w:eastAsia="en-US"/>
        </w:rPr>
      </w:pPr>
      <w:r w:rsidRPr="003D1F39">
        <w:rPr>
          <w:szCs w:val="24"/>
          <w:lang w:eastAsia="en-US"/>
        </w:rPr>
        <w:t>6.</w:t>
      </w:r>
      <w:r w:rsidRPr="003D1F39">
        <w:rPr>
          <w:szCs w:val="24"/>
          <w:lang w:eastAsia="en-US"/>
        </w:rPr>
        <w:tab/>
        <w:t xml:space="preserve">En delegerad akt som antas enligt artiklarna 4.4, 4.5, </w:t>
      </w:r>
      <w:r w:rsidRPr="003D1F39">
        <w:rPr>
          <w:b/>
          <w:i/>
          <w:szCs w:val="24"/>
          <w:lang w:eastAsia="en-US"/>
        </w:rPr>
        <w:t>4.6, 5.2a, 9.4, 13.9</w:t>
      </w:r>
      <w:r w:rsidRPr="003D1F39">
        <w:rPr>
          <w:strike/>
          <w:szCs w:val="24"/>
          <w:lang w:eastAsia="en-US"/>
        </w:rPr>
        <w:t>9.4</w:t>
      </w:r>
      <w:r w:rsidRPr="003D1F39">
        <w:rPr>
          <w:szCs w:val="24"/>
          <w:lang w:eastAsia="en-US"/>
        </w:rPr>
        <w:t xml:space="preserve"> och 15.4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r w:rsidR="00242824">
        <w:rPr>
          <w:b/>
          <w:szCs w:val="24"/>
          <w:lang w:eastAsia="en-US"/>
        </w:rPr>
        <w:t xml:space="preserve"> [Ändr. 103]</w:t>
      </w:r>
    </w:p>
    <w:p w:rsidR="00242824" w:rsidRDefault="00242824">
      <w:pPr>
        <w:widowControl/>
        <w:rPr>
          <w:b/>
          <w:szCs w:val="24"/>
          <w:lang w:eastAsia="en-US"/>
        </w:rPr>
      </w:pPr>
      <w:r>
        <w:rPr>
          <w:b/>
          <w:szCs w:val="24"/>
          <w:lang w:eastAsia="en-US"/>
        </w:rPr>
        <w:br w:type="page"/>
      </w:r>
    </w:p>
    <w:p w:rsidR="003D1F39" w:rsidRPr="003D1F39" w:rsidRDefault="003D1F39" w:rsidP="003D1F39">
      <w:pPr>
        <w:spacing w:before="120" w:after="120" w:line="360" w:lineRule="auto"/>
        <w:jc w:val="center"/>
        <w:rPr>
          <w:szCs w:val="24"/>
          <w:lang w:eastAsia="en-US"/>
        </w:rPr>
      </w:pPr>
      <w:r w:rsidRPr="003D1F39">
        <w:rPr>
          <w:szCs w:val="24"/>
          <w:lang w:eastAsia="en-US"/>
        </w:rPr>
        <w:lastRenderedPageBreak/>
        <w:t>Artikel 17</w:t>
      </w:r>
      <w:r w:rsidRPr="003D1F39">
        <w:rPr>
          <w:szCs w:val="24"/>
          <w:lang w:eastAsia="en-US"/>
        </w:rPr>
        <w:br/>
        <w:t>Kommittéförfarande</w:t>
      </w:r>
    </w:p>
    <w:p w:rsidR="003D1F39" w:rsidRPr="003D1F39" w:rsidRDefault="003D1F39" w:rsidP="003D1F39">
      <w:pPr>
        <w:spacing w:before="120" w:after="120" w:line="360" w:lineRule="auto"/>
        <w:ind w:left="850" w:hanging="850"/>
        <w:rPr>
          <w:szCs w:val="24"/>
          <w:lang w:eastAsia="en-US"/>
        </w:rPr>
      </w:pPr>
      <w:r w:rsidRPr="003D1F39">
        <w:rPr>
          <w:szCs w:val="24"/>
          <w:lang w:eastAsia="en-US"/>
        </w:rPr>
        <w:t>1.</w:t>
      </w:r>
      <w:r w:rsidRPr="003D1F39">
        <w:rPr>
          <w:szCs w:val="24"/>
          <w:lang w:eastAsia="en-US"/>
        </w:rPr>
        <w:tab/>
        <w:t>Kommissionen ska bistås av en kommitté i den mening som avses i förordning (EU) nr 182/2011.</w:t>
      </w:r>
    </w:p>
    <w:p w:rsidR="003D1F39" w:rsidRPr="003D1F39" w:rsidRDefault="003D1F39" w:rsidP="003D1F39">
      <w:pPr>
        <w:spacing w:before="120" w:after="120" w:line="360" w:lineRule="auto"/>
        <w:ind w:left="850" w:hanging="850"/>
        <w:rPr>
          <w:szCs w:val="24"/>
          <w:lang w:eastAsia="en-US"/>
        </w:rPr>
      </w:pPr>
      <w:r w:rsidRPr="003D1F39">
        <w:rPr>
          <w:szCs w:val="24"/>
          <w:lang w:eastAsia="en-US"/>
        </w:rPr>
        <w:t>2.</w:t>
      </w:r>
      <w:r w:rsidRPr="003D1F39">
        <w:rPr>
          <w:szCs w:val="24"/>
          <w:lang w:eastAsia="en-US"/>
        </w:rPr>
        <w:tab/>
        <w:t>När det hänvisas till denna punkt ska artikel 5 i förordning (EU) nr 182/2011 tillämpas.</w:t>
      </w:r>
    </w:p>
    <w:p w:rsidR="003D1F39" w:rsidRPr="003D1F39" w:rsidRDefault="003D1F39" w:rsidP="003D1F39">
      <w:pPr>
        <w:spacing w:before="120" w:after="120" w:line="360" w:lineRule="auto"/>
        <w:jc w:val="center"/>
        <w:rPr>
          <w:szCs w:val="24"/>
          <w:lang w:eastAsia="en-US"/>
        </w:rPr>
      </w:pPr>
      <w:r w:rsidRPr="003D1F39">
        <w:rPr>
          <w:szCs w:val="24"/>
          <w:lang w:eastAsia="en-US"/>
        </w:rPr>
        <w:t>KAPITEL IX</w:t>
      </w:r>
      <w:r w:rsidRPr="003D1F39">
        <w:rPr>
          <w:szCs w:val="24"/>
          <w:lang w:eastAsia="en-US"/>
        </w:rPr>
        <w:br/>
        <w:t>SLUTBESTÄMMELSER</w:t>
      </w:r>
    </w:p>
    <w:p w:rsidR="003D1F39" w:rsidRPr="003D1F39" w:rsidRDefault="003D1F39" w:rsidP="003D1F39">
      <w:pPr>
        <w:spacing w:before="120" w:after="120" w:line="360" w:lineRule="auto"/>
        <w:jc w:val="center"/>
        <w:rPr>
          <w:szCs w:val="24"/>
          <w:lang w:eastAsia="en-US"/>
        </w:rPr>
      </w:pPr>
      <w:r w:rsidRPr="003D1F39">
        <w:rPr>
          <w:szCs w:val="24"/>
          <w:lang w:eastAsia="en-US"/>
        </w:rPr>
        <w:t>Artikel 18</w:t>
      </w:r>
      <w:r w:rsidRPr="003D1F39">
        <w:rPr>
          <w:szCs w:val="24"/>
          <w:lang w:eastAsia="en-US"/>
        </w:rPr>
        <w:br/>
        <w:t>Rapportering och översyn</w:t>
      </w:r>
    </w:p>
    <w:p w:rsidR="003D1F39" w:rsidRPr="003D1F39" w:rsidRDefault="003D1F39" w:rsidP="003D1F39">
      <w:pPr>
        <w:spacing w:before="120" w:after="120" w:line="360" w:lineRule="auto"/>
        <w:rPr>
          <w:szCs w:val="24"/>
          <w:lang w:eastAsia="en-US"/>
        </w:rPr>
      </w:pPr>
      <w:r w:rsidRPr="003D1F39">
        <w:rPr>
          <w:szCs w:val="24"/>
          <w:lang w:eastAsia="en-US"/>
        </w:rPr>
        <w:t xml:space="preserve">Kommissionen ska göra en utvärdering av denna förordning mot bakgrund av dess mål och lägga fram en rapport om de viktigaste resultaten till Europaparlamentet och rådet senast den [Publikationsbyrån: lägg till datum – </w:t>
      </w:r>
      <w:r w:rsidRPr="003D1F39">
        <w:rPr>
          <w:strike/>
          <w:szCs w:val="24"/>
          <w:lang w:eastAsia="en-US"/>
        </w:rPr>
        <w:t>fem år</w:t>
      </w:r>
      <w:r w:rsidRPr="003D1F39">
        <w:rPr>
          <w:b/>
          <w:i/>
          <w:szCs w:val="24"/>
          <w:lang w:eastAsia="en-US"/>
        </w:rPr>
        <w:t>36 månader</w:t>
      </w:r>
      <w:r w:rsidRPr="003D1F39">
        <w:rPr>
          <w:szCs w:val="24"/>
          <w:lang w:eastAsia="en-US"/>
        </w:rPr>
        <w:t xml:space="preserve"> efter tillämpningsdatumet för denna förordning].</w:t>
      </w:r>
    </w:p>
    <w:p w:rsidR="003D1F39" w:rsidRPr="003D1F39" w:rsidRDefault="003D1F39" w:rsidP="003D1F39">
      <w:pPr>
        <w:spacing w:before="120" w:after="120" w:line="360" w:lineRule="auto"/>
        <w:rPr>
          <w:szCs w:val="24"/>
          <w:lang w:eastAsia="en-US"/>
        </w:rPr>
      </w:pPr>
      <w:r w:rsidRPr="003D1F39">
        <w:rPr>
          <w:b/>
          <w:i/>
          <w:szCs w:val="24"/>
          <w:lang w:eastAsia="en-US"/>
        </w:rPr>
        <w:t>Den rapport som avses i första stycket ska innehålla</w:t>
      </w:r>
    </w:p>
    <w:p w:rsidR="00242824" w:rsidRDefault="003D1F39" w:rsidP="003D1F39">
      <w:pPr>
        <w:spacing w:before="120" w:after="120" w:line="360" w:lineRule="auto"/>
        <w:ind w:left="850" w:hanging="850"/>
        <w:rPr>
          <w:b/>
          <w:i/>
          <w:szCs w:val="24"/>
          <w:lang w:eastAsia="en-US"/>
        </w:rPr>
      </w:pPr>
      <w:r w:rsidRPr="003D1F39">
        <w:rPr>
          <w:b/>
          <w:i/>
          <w:szCs w:val="24"/>
          <w:lang w:eastAsia="en-US"/>
        </w:rPr>
        <w:t>a)</w:t>
      </w:r>
      <w:r w:rsidRPr="003D1F39">
        <w:rPr>
          <w:szCs w:val="24"/>
          <w:lang w:eastAsia="en-US"/>
        </w:rPr>
        <w:tab/>
      </w:r>
      <w:r w:rsidRPr="003D1F39">
        <w:rPr>
          <w:b/>
          <w:i/>
          <w:szCs w:val="24"/>
          <w:lang w:eastAsia="en-US"/>
        </w:rPr>
        <w:t>en bedömning av konsekvenserna för berörda enheter när det gäller den byråkratiska börda som genomförandet av denna förordning skapar,</w:t>
      </w:r>
    </w:p>
    <w:p w:rsidR="00242824" w:rsidRDefault="00242824">
      <w:pPr>
        <w:widowControl/>
        <w:rPr>
          <w:b/>
          <w:i/>
          <w:szCs w:val="24"/>
          <w:lang w:eastAsia="en-US"/>
        </w:rPr>
      </w:pPr>
      <w:r>
        <w:rPr>
          <w:b/>
          <w:i/>
          <w:szCs w:val="24"/>
          <w:lang w:eastAsia="en-US"/>
        </w:rPr>
        <w:br w:type="page"/>
      </w:r>
    </w:p>
    <w:p w:rsidR="003D1F39" w:rsidRPr="003D1F39" w:rsidRDefault="003D1F39" w:rsidP="003D1F39">
      <w:pPr>
        <w:spacing w:before="120" w:after="120" w:line="360" w:lineRule="auto"/>
        <w:ind w:left="850" w:hanging="850"/>
        <w:rPr>
          <w:szCs w:val="24"/>
          <w:lang w:eastAsia="en-US"/>
        </w:rPr>
      </w:pPr>
      <w:r w:rsidRPr="003D1F39">
        <w:rPr>
          <w:b/>
          <w:i/>
          <w:szCs w:val="24"/>
          <w:lang w:eastAsia="en-US"/>
        </w:rPr>
        <w:lastRenderedPageBreak/>
        <w:t>b)</w:t>
      </w:r>
      <w:r w:rsidRPr="003D1F39">
        <w:rPr>
          <w:szCs w:val="24"/>
          <w:lang w:eastAsia="en-US"/>
        </w:rPr>
        <w:tab/>
      </w:r>
      <w:r w:rsidRPr="003D1F39">
        <w:rPr>
          <w:b/>
          <w:i/>
          <w:szCs w:val="24"/>
          <w:lang w:eastAsia="en-US"/>
        </w:rPr>
        <w:t>en bedömning av konsekvenserna av genomförandet och tillämpningen av denna förordning mot bakgrund av den verksamhet som lagts ut på entreprenad,</w:t>
      </w:r>
    </w:p>
    <w:p w:rsidR="003D1F39" w:rsidRPr="003D1F39" w:rsidRDefault="003D1F39" w:rsidP="003D1F39">
      <w:pPr>
        <w:spacing w:before="120" w:after="120" w:line="360" w:lineRule="auto"/>
        <w:ind w:left="850" w:hanging="850"/>
        <w:rPr>
          <w:szCs w:val="24"/>
          <w:lang w:eastAsia="en-US"/>
        </w:rPr>
      </w:pPr>
      <w:r w:rsidRPr="003D1F39">
        <w:rPr>
          <w:b/>
          <w:i/>
          <w:szCs w:val="24"/>
          <w:lang w:eastAsia="en-US"/>
        </w:rPr>
        <w:t>c)</w:t>
      </w:r>
      <w:r w:rsidRPr="003D1F39">
        <w:rPr>
          <w:szCs w:val="24"/>
          <w:lang w:eastAsia="en-US"/>
        </w:rPr>
        <w:tab/>
      </w:r>
      <w:r w:rsidRPr="003D1F39">
        <w:rPr>
          <w:b/>
          <w:i/>
          <w:szCs w:val="24"/>
          <w:lang w:eastAsia="en-US"/>
        </w:rPr>
        <w:t>en bedömning av konsekvenserna av de nationella administrativa, ekonomiska eller operativa incitament som medlemsstaterna infört i enlighet med artikel 5.1 b,</w:t>
      </w:r>
    </w:p>
    <w:p w:rsidR="003D1F39" w:rsidRPr="00DA5633" w:rsidRDefault="003D1F39" w:rsidP="003D1F39">
      <w:pPr>
        <w:spacing w:before="120" w:after="120" w:line="360" w:lineRule="auto"/>
        <w:ind w:left="850" w:hanging="850"/>
        <w:rPr>
          <w:b/>
          <w:szCs w:val="24"/>
          <w:lang w:eastAsia="en-US"/>
        </w:rPr>
      </w:pPr>
      <w:r w:rsidRPr="003D1F39">
        <w:rPr>
          <w:b/>
          <w:i/>
          <w:szCs w:val="24"/>
          <w:lang w:eastAsia="en-US"/>
        </w:rPr>
        <w:t>d)</w:t>
      </w:r>
      <w:r w:rsidRPr="003D1F39">
        <w:rPr>
          <w:szCs w:val="24"/>
          <w:lang w:eastAsia="en-US"/>
        </w:rPr>
        <w:tab/>
      </w:r>
      <w:r w:rsidRPr="003D1F39">
        <w:rPr>
          <w:b/>
          <w:i/>
          <w:szCs w:val="24"/>
          <w:lang w:eastAsia="en-US"/>
        </w:rPr>
        <w:t>en bedömning av konsekvenserna av ett obligatoriskt krav på att kvantifiera och lämna ut information om växthusgasutsläpp, i enlighet med de regler i denna förordning som är tillämpliga på alla enheter som anordnar och tillhandahåller transporttjänster.</w:t>
      </w:r>
      <w:r w:rsidR="00242824">
        <w:rPr>
          <w:b/>
          <w:szCs w:val="24"/>
          <w:lang w:eastAsia="en-US"/>
        </w:rPr>
        <w:t xml:space="preserve"> [Ändr. 104]</w:t>
      </w:r>
    </w:p>
    <w:p w:rsidR="003D1F39" w:rsidRPr="003D1F39" w:rsidRDefault="003D1F39" w:rsidP="003D1F39">
      <w:pPr>
        <w:spacing w:before="120" w:after="120" w:line="360" w:lineRule="auto"/>
        <w:jc w:val="center"/>
        <w:rPr>
          <w:szCs w:val="24"/>
          <w:lang w:eastAsia="en-US"/>
        </w:rPr>
      </w:pPr>
      <w:r w:rsidRPr="003D1F39">
        <w:rPr>
          <w:szCs w:val="24"/>
          <w:lang w:eastAsia="en-US"/>
        </w:rPr>
        <w:t>Artikel 19</w:t>
      </w:r>
      <w:r w:rsidRPr="003D1F39">
        <w:rPr>
          <w:szCs w:val="24"/>
          <w:lang w:eastAsia="en-US"/>
        </w:rPr>
        <w:br/>
        <w:t>Ikraftträdande och tillämpning</w:t>
      </w:r>
    </w:p>
    <w:p w:rsidR="003D1F39" w:rsidRPr="003D1F39" w:rsidRDefault="003D1F39" w:rsidP="003D1F39">
      <w:pPr>
        <w:spacing w:before="120" w:after="120" w:line="360" w:lineRule="auto"/>
        <w:ind w:left="850" w:hanging="850"/>
        <w:rPr>
          <w:szCs w:val="24"/>
          <w:lang w:eastAsia="en-US"/>
        </w:rPr>
      </w:pPr>
      <w:r w:rsidRPr="003D1F39">
        <w:rPr>
          <w:szCs w:val="24"/>
          <w:lang w:eastAsia="en-US"/>
        </w:rPr>
        <w:t>1.</w:t>
      </w:r>
      <w:r w:rsidRPr="003D1F39">
        <w:rPr>
          <w:szCs w:val="24"/>
          <w:lang w:eastAsia="en-US"/>
        </w:rPr>
        <w:tab/>
        <w:t xml:space="preserve">Denna förordning träder i kraft den tjugonde dagen efter det att den har offentliggjorts i </w:t>
      </w:r>
      <w:r w:rsidRPr="00DA5633">
        <w:rPr>
          <w:i/>
          <w:szCs w:val="24"/>
          <w:lang w:eastAsia="en-US"/>
        </w:rPr>
        <w:t>Europeiska unionens officiella tidning</w:t>
      </w:r>
      <w:r w:rsidRPr="003D1F39">
        <w:rPr>
          <w:szCs w:val="24"/>
          <w:lang w:eastAsia="en-US"/>
        </w:rPr>
        <w:t>.</w:t>
      </w:r>
    </w:p>
    <w:p w:rsidR="00242824" w:rsidRDefault="003D1F39" w:rsidP="003D1F39">
      <w:pPr>
        <w:spacing w:before="120" w:after="120" w:line="360" w:lineRule="auto"/>
        <w:ind w:left="850" w:hanging="850"/>
        <w:rPr>
          <w:b/>
          <w:szCs w:val="24"/>
          <w:lang w:eastAsia="en-US"/>
        </w:rPr>
      </w:pPr>
      <w:r w:rsidRPr="003D1F39">
        <w:rPr>
          <w:szCs w:val="24"/>
          <w:lang w:eastAsia="en-US"/>
        </w:rPr>
        <w:t>2.</w:t>
      </w:r>
      <w:r w:rsidRPr="003D1F39">
        <w:rPr>
          <w:szCs w:val="24"/>
          <w:lang w:eastAsia="en-US"/>
        </w:rPr>
        <w:tab/>
        <w:t xml:space="preserve">Den ska tillämpas från och med den [Publikationsbyrån: lägg till datum – </w:t>
      </w:r>
      <w:r w:rsidRPr="003D1F39">
        <w:rPr>
          <w:strike/>
          <w:szCs w:val="24"/>
          <w:lang w:eastAsia="en-US"/>
        </w:rPr>
        <w:t>42</w:t>
      </w:r>
      <w:r w:rsidRPr="003D1F39">
        <w:rPr>
          <w:b/>
          <w:i/>
          <w:szCs w:val="24"/>
          <w:lang w:eastAsia="en-US"/>
        </w:rPr>
        <w:t>24</w:t>
      </w:r>
      <w:r w:rsidRPr="003D1F39">
        <w:rPr>
          <w:szCs w:val="24"/>
          <w:lang w:eastAsia="en-US"/>
        </w:rPr>
        <w:t xml:space="preserve"> månader efter denna förordnings ikraftträdande].</w:t>
      </w:r>
      <w:r w:rsidR="00242824">
        <w:rPr>
          <w:b/>
          <w:szCs w:val="24"/>
          <w:lang w:eastAsia="en-US"/>
        </w:rPr>
        <w:t xml:space="preserve"> [Ändr. 105]</w:t>
      </w:r>
    </w:p>
    <w:p w:rsidR="00242824" w:rsidRDefault="00242824">
      <w:pPr>
        <w:widowControl/>
        <w:rPr>
          <w:b/>
          <w:szCs w:val="24"/>
          <w:lang w:eastAsia="en-US"/>
        </w:rPr>
      </w:pPr>
      <w:r>
        <w:rPr>
          <w:b/>
          <w:szCs w:val="24"/>
          <w:lang w:eastAsia="en-US"/>
        </w:rPr>
        <w:br w:type="page"/>
      </w:r>
    </w:p>
    <w:p w:rsidR="003D1F39" w:rsidRPr="00DA5633" w:rsidRDefault="003D1F39" w:rsidP="003D1F39">
      <w:pPr>
        <w:spacing w:before="120" w:after="120" w:line="360" w:lineRule="auto"/>
        <w:ind w:left="850" w:hanging="850"/>
        <w:rPr>
          <w:b/>
          <w:szCs w:val="24"/>
          <w:lang w:eastAsia="en-US"/>
        </w:rPr>
      </w:pPr>
      <w:r w:rsidRPr="003D1F39">
        <w:rPr>
          <w:szCs w:val="24"/>
          <w:lang w:eastAsia="en-US"/>
        </w:rPr>
        <w:lastRenderedPageBreak/>
        <w:t>3.</w:t>
      </w:r>
      <w:r w:rsidRPr="003D1F39">
        <w:rPr>
          <w:szCs w:val="24"/>
          <w:lang w:eastAsia="en-US"/>
        </w:rPr>
        <w:tab/>
        <w:t xml:space="preserve">Artiklarna 4.4, 4.5, 4.6, </w:t>
      </w:r>
      <w:r w:rsidRPr="003D1F39">
        <w:rPr>
          <w:b/>
          <w:i/>
          <w:szCs w:val="24"/>
          <w:lang w:eastAsia="en-US"/>
        </w:rPr>
        <w:t>6.1, 7.4, 8.1</w:t>
      </w:r>
      <w:r w:rsidRPr="003D1F39">
        <w:rPr>
          <w:strike/>
          <w:szCs w:val="24"/>
          <w:lang w:eastAsia="en-US"/>
        </w:rPr>
        <w:t>7.4</w:t>
      </w:r>
      <w:r w:rsidRPr="003D1F39">
        <w:rPr>
          <w:szCs w:val="24"/>
          <w:lang w:eastAsia="en-US"/>
        </w:rPr>
        <w:t>, 9.4, 11.6, 13.9 och 15.4 ska dock tillämpas från och med den dag då denna förordning träder i kraft.</w:t>
      </w:r>
      <w:r w:rsidR="00242824">
        <w:rPr>
          <w:b/>
          <w:szCs w:val="24"/>
          <w:lang w:eastAsia="en-US"/>
        </w:rPr>
        <w:t xml:space="preserve"> [Ändr. 106]</w:t>
      </w:r>
    </w:p>
    <w:p w:rsidR="003D1F39" w:rsidRPr="003D1F39" w:rsidRDefault="003D1F39" w:rsidP="003D1F39">
      <w:pPr>
        <w:spacing w:before="120" w:after="120" w:line="360" w:lineRule="auto"/>
        <w:rPr>
          <w:szCs w:val="24"/>
          <w:lang w:eastAsia="en-US"/>
        </w:rPr>
      </w:pPr>
      <w:r w:rsidRPr="003D1F39">
        <w:rPr>
          <w:szCs w:val="24"/>
          <w:lang w:eastAsia="en-US"/>
        </w:rPr>
        <w:t>Denna förordning är till alla delar bindande och direkt tillämplig i alla medlemsstater.</w:t>
      </w:r>
    </w:p>
    <w:p w:rsidR="003D1F39" w:rsidRPr="003D1F39" w:rsidRDefault="003D1F39" w:rsidP="003D1F39">
      <w:pPr>
        <w:keepNext/>
        <w:widowControl/>
        <w:spacing w:before="120" w:line="360" w:lineRule="auto"/>
        <w:rPr>
          <w:szCs w:val="24"/>
          <w:lang w:eastAsia="en-US"/>
        </w:rPr>
      </w:pPr>
      <w:r w:rsidRPr="003D1F39">
        <w:rPr>
          <w:szCs w:val="24"/>
          <w:lang w:eastAsia="en-US"/>
        </w:rPr>
        <w:t xml:space="preserve">Utfärdad i </w:t>
      </w:r>
      <w:r w:rsidR="00432005">
        <w:rPr>
          <w:szCs w:val="24"/>
          <w:lang w:eastAsia="en-US"/>
        </w:rPr>
        <w:t>…</w:t>
      </w:r>
      <w:r w:rsidRPr="003D1F39">
        <w:rPr>
          <w:szCs w:val="24"/>
          <w:lang w:eastAsia="en-US"/>
        </w:rPr>
        <w:t xml:space="preserve"> den</w:t>
      </w:r>
    </w:p>
    <w:p w:rsidR="003D1F39" w:rsidRPr="003D1F39" w:rsidRDefault="003D1F39" w:rsidP="003D1F39">
      <w:pPr>
        <w:keepNext/>
        <w:widowControl/>
        <w:tabs>
          <w:tab w:val="left" w:pos="4252"/>
        </w:tabs>
        <w:spacing w:before="720" w:after="100" w:line="360" w:lineRule="auto"/>
        <w:jc w:val="both"/>
        <w:rPr>
          <w:i/>
          <w:szCs w:val="24"/>
          <w:lang w:eastAsia="en-US"/>
        </w:rPr>
      </w:pPr>
      <w:r w:rsidRPr="003D1F39">
        <w:rPr>
          <w:i/>
          <w:szCs w:val="24"/>
          <w:lang w:eastAsia="en-US"/>
        </w:rPr>
        <w:t>På Europaparlamentets vägnar</w:t>
      </w:r>
      <w:r w:rsidRPr="003D1F39">
        <w:rPr>
          <w:i/>
          <w:szCs w:val="24"/>
          <w:lang w:eastAsia="en-US"/>
        </w:rPr>
        <w:tab/>
        <w:t>På rådets vägnar</w:t>
      </w:r>
    </w:p>
    <w:p w:rsidR="00E365E1" w:rsidRPr="00432005" w:rsidRDefault="003D1F39" w:rsidP="00432005">
      <w:pPr>
        <w:widowControl/>
        <w:tabs>
          <w:tab w:val="left" w:pos="4252"/>
        </w:tabs>
        <w:spacing w:line="360" w:lineRule="auto"/>
        <w:rPr>
          <w:i/>
          <w:szCs w:val="24"/>
          <w:lang w:val="en-GB" w:eastAsia="en-US"/>
        </w:rPr>
      </w:pPr>
      <w:proofErr w:type="spellStart"/>
      <w:r w:rsidRPr="003D1F39">
        <w:rPr>
          <w:i/>
          <w:szCs w:val="24"/>
          <w:lang w:val="en-GB" w:eastAsia="en-US"/>
        </w:rPr>
        <w:t>Ordförande</w:t>
      </w:r>
      <w:proofErr w:type="spellEnd"/>
      <w:r w:rsidRPr="003D1F39">
        <w:rPr>
          <w:i/>
          <w:szCs w:val="24"/>
          <w:lang w:val="en-GB" w:eastAsia="en-US"/>
        </w:rPr>
        <w:tab/>
      </w:r>
      <w:proofErr w:type="spellStart"/>
      <w:r w:rsidRPr="003D1F39">
        <w:rPr>
          <w:i/>
          <w:szCs w:val="24"/>
          <w:lang w:val="en-GB" w:eastAsia="en-US"/>
        </w:rPr>
        <w:t>Ordförande</w:t>
      </w:r>
      <w:bookmarkStart w:id="9" w:name="_GoBack"/>
      <w:bookmarkEnd w:id="9"/>
      <w:proofErr w:type="spellEnd"/>
    </w:p>
    <w:sectPr w:rsidR="00E365E1" w:rsidRPr="0043200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DA4" w:rsidRPr="00BC76E1" w:rsidRDefault="00144DA4">
      <w:r w:rsidRPr="00BC76E1">
        <w:separator/>
      </w:r>
    </w:p>
  </w:endnote>
  <w:endnote w:type="continuationSeparator" w:id="0">
    <w:p w:rsidR="00144DA4" w:rsidRPr="00BC76E1" w:rsidRDefault="00144DA4">
      <w:r w:rsidRPr="00BC76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DA4" w:rsidRDefault="00144DA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DA4" w:rsidRDefault="00144DA4">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DA4" w:rsidRDefault="00144DA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DA4" w:rsidRPr="00BC76E1" w:rsidRDefault="00144DA4">
      <w:r w:rsidRPr="00BC76E1">
        <w:separator/>
      </w:r>
    </w:p>
  </w:footnote>
  <w:footnote w:type="continuationSeparator" w:id="0">
    <w:p w:rsidR="00144DA4" w:rsidRPr="00BC76E1" w:rsidRDefault="00144DA4">
      <w:r w:rsidRPr="00BC76E1">
        <w:continuationSeparator/>
      </w:r>
    </w:p>
  </w:footnote>
  <w:footnote w:id="1">
    <w:p w:rsidR="00144DA4" w:rsidRPr="004E25AF" w:rsidRDefault="00144DA4" w:rsidP="00BC76E1">
      <w:pPr>
        <w:pStyle w:val="FootnoteText"/>
        <w:ind w:left="567" w:hanging="567"/>
        <w:rPr>
          <w:sz w:val="24"/>
          <w:lang w:val="fi-FI"/>
        </w:rPr>
      </w:pPr>
      <w:r w:rsidRPr="00BC76E1">
        <w:rPr>
          <w:rStyle w:val="FootnoteReference"/>
          <w:sz w:val="24"/>
          <w:lang w:val="sv-SE"/>
        </w:rPr>
        <w:footnoteRef/>
      </w:r>
      <w:r w:rsidRPr="004E25AF">
        <w:rPr>
          <w:rStyle w:val="Emphasis"/>
          <w:color w:val="333333"/>
          <w:sz w:val="24"/>
          <w:shd w:val="clear" w:color="auto" w:fill="FFFFFF"/>
          <w:lang w:val="fi-FI"/>
        </w:rPr>
        <w:t xml:space="preserve"> </w:t>
      </w:r>
      <w:r w:rsidRPr="004E25AF">
        <w:rPr>
          <w:rStyle w:val="Emphasis"/>
          <w:color w:val="333333"/>
          <w:sz w:val="24"/>
          <w:shd w:val="clear" w:color="auto" w:fill="FFFFFF"/>
          <w:lang w:val="fi-FI"/>
        </w:rPr>
        <w:tab/>
      </w:r>
      <w:r w:rsidRPr="004E25AF">
        <w:rPr>
          <w:rStyle w:val="Emphasis"/>
          <w:i w:val="0"/>
          <w:sz w:val="24"/>
          <w:shd w:val="clear" w:color="auto" w:fill="FFFFFF"/>
          <w:lang w:val="fi-FI"/>
        </w:rPr>
        <w:t xml:space="preserve">EUT C, </w:t>
      </w:r>
      <w:r w:rsidRPr="004E25AF">
        <w:rPr>
          <w:rStyle w:val="Emphasis"/>
          <w:i w:val="0"/>
          <w:sz w:val="24"/>
          <w:lang w:val="fi-FI"/>
        </w:rPr>
        <w:t>C/2024/890,</w:t>
      </w:r>
      <w:r w:rsidRPr="004E25AF">
        <w:rPr>
          <w:rStyle w:val="Emphasis"/>
          <w:i w:val="0"/>
          <w:sz w:val="24"/>
          <w:shd w:val="clear" w:color="auto" w:fill="FFFFFF"/>
          <w:lang w:val="fi-FI"/>
        </w:rPr>
        <w:t xml:space="preserve"> 6.2.2024, </w:t>
      </w:r>
      <w:r w:rsidRPr="00FD5E37">
        <w:rPr>
          <w:rStyle w:val="Emphasis"/>
          <w:i w:val="0"/>
          <w:sz w:val="24"/>
          <w:szCs w:val="24"/>
          <w:shd w:val="clear" w:color="auto" w:fill="FFFFFF"/>
          <w:lang w:val="fi-FI"/>
        </w:rPr>
        <w:t>ELI:</w:t>
      </w:r>
      <w:r w:rsidRPr="00FD5E37">
        <w:rPr>
          <w:rStyle w:val="Emphasis"/>
          <w:sz w:val="24"/>
          <w:szCs w:val="24"/>
          <w:shd w:val="clear" w:color="auto" w:fill="FFFFFF"/>
          <w:lang w:val="fi-FI"/>
        </w:rPr>
        <w:t xml:space="preserve"> </w:t>
      </w:r>
      <w:r w:rsidR="00432005">
        <w:fldChar w:fldCharType="begin"/>
      </w:r>
      <w:r w:rsidR="00432005" w:rsidRPr="00432005">
        <w:rPr>
          <w:lang w:val="fi-FI"/>
        </w:rPr>
        <w:instrText xml:space="preserve"> HYPERLINK "http://data.europa.eu/eli/C/2024/890/oj" </w:instrText>
      </w:r>
      <w:r w:rsidR="00432005">
        <w:fldChar w:fldCharType="separate"/>
      </w:r>
      <w:r w:rsidRPr="00DA5633">
        <w:rPr>
          <w:rStyle w:val="Hyperlink"/>
          <w:color w:val="auto"/>
          <w:sz w:val="24"/>
          <w:szCs w:val="24"/>
          <w:u w:val="none"/>
          <w:lang w:val="fi-FI"/>
        </w:rPr>
        <w:t>http://data.europa.eu/eli/C/2024/890/oj</w:t>
      </w:r>
      <w:r w:rsidR="00432005">
        <w:rPr>
          <w:rStyle w:val="Hyperlink"/>
          <w:color w:val="auto"/>
          <w:sz w:val="24"/>
          <w:szCs w:val="24"/>
          <w:u w:val="none"/>
          <w:lang w:val="fi-FI"/>
        </w:rPr>
        <w:fldChar w:fldCharType="end"/>
      </w:r>
      <w:r w:rsidRPr="004E25AF">
        <w:rPr>
          <w:rStyle w:val="Emphasis"/>
          <w:sz w:val="24"/>
          <w:shd w:val="clear" w:color="auto" w:fill="FFFFFF"/>
          <w:lang w:val="fi-FI"/>
        </w:rPr>
        <w:t>.</w:t>
      </w:r>
    </w:p>
  </w:footnote>
  <w:footnote w:id="2">
    <w:p w:rsidR="00144DA4" w:rsidRPr="00BC76E1" w:rsidRDefault="00144DA4" w:rsidP="00BC76E1">
      <w:pPr>
        <w:pStyle w:val="FootnoteText"/>
        <w:ind w:left="567" w:hanging="567"/>
        <w:rPr>
          <w:sz w:val="24"/>
          <w:lang w:val="sv-SE"/>
        </w:rPr>
      </w:pPr>
      <w:r w:rsidRPr="00BC76E1">
        <w:rPr>
          <w:rStyle w:val="FootnoteReference"/>
          <w:sz w:val="24"/>
          <w:lang w:val="sv-SE"/>
        </w:rPr>
        <w:footnoteRef/>
      </w:r>
      <w:r w:rsidRPr="00BC76E1">
        <w:rPr>
          <w:sz w:val="24"/>
          <w:lang w:val="sv-SE"/>
        </w:rPr>
        <w:t xml:space="preserve"> </w:t>
      </w:r>
      <w:r w:rsidRPr="00BC76E1">
        <w:rPr>
          <w:sz w:val="24"/>
          <w:lang w:val="sv-SE"/>
        </w:rPr>
        <w:tab/>
        <w:t>Ännu ej offentliggjort i EUT.</w:t>
      </w:r>
    </w:p>
  </w:footnote>
  <w:footnote w:id="3">
    <w:p w:rsidR="00144DA4" w:rsidRPr="007C2F79" w:rsidRDefault="00144DA4" w:rsidP="003D1F39">
      <w:pPr>
        <w:pStyle w:val="FootnoteTextForceStyle"/>
        <w:rPr>
          <w:lang w:val="fr-FR"/>
        </w:rPr>
      </w:pPr>
      <w:r>
        <w:rPr>
          <w:vertAlign w:val="superscript"/>
        </w:rPr>
        <w:footnoteRef/>
      </w:r>
      <w:r w:rsidRPr="007C2F79">
        <w:rPr>
          <w:lang w:val="fr-FR"/>
        </w:rPr>
        <w:tab/>
        <w:t xml:space="preserve">[EUT </w:t>
      </w:r>
      <w:proofErr w:type="gramStart"/>
      <w:r w:rsidRPr="007C2F79">
        <w:rPr>
          <w:lang w:val="fr-FR"/>
        </w:rPr>
        <w:t>C ,</w:t>
      </w:r>
      <w:proofErr w:type="gramEnd"/>
      <w:r w:rsidRPr="007C2F79">
        <w:rPr>
          <w:lang w:val="fr-FR"/>
        </w:rPr>
        <w:t xml:space="preserve"> , s.]</w:t>
      </w:r>
    </w:p>
  </w:footnote>
  <w:footnote w:id="4">
    <w:p w:rsidR="00144DA4" w:rsidRPr="007C2F79" w:rsidRDefault="00144DA4" w:rsidP="003D1F39">
      <w:pPr>
        <w:pStyle w:val="FootnoteTextForceStyle"/>
        <w:rPr>
          <w:lang w:val="fr-FR"/>
        </w:rPr>
      </w:pPr>
      <w:r>
        <w:rPr>
          <w:vertAlign w:val="superscript"/>
        </w:rPr>
        <w:footnoteRef/>
      </w:r>
      <w:r w:rsidRPr="007C2F79">
        <w:rPr>
          <w:lang w:val="fr-FR"/>
        </w:rPr>
        <w:tab/>
        <w:t xml:space="preserve">[EUT </w:t>
      </w:r>
      <w:proofErr w:type="gramStart"/>
      <w:r w:rsidRPr="007C2F79">
        <w:rPr>
          <w:lang w:val="fr-FR"/>
        </w:rPr>
        <w:t>C ,</w:t>
      </w:r>
      <w:proofErr w:type="gramEnd"/>
      <w:r w:rsidRPr="007C2F79">
        <w:rPr>
          <w:lang w:val="fr-FR"/>
        </w:rPr>
        <w:t xml:space="preserve"> , s.]</w:t>
      </w:r>
    </w:p>
  </w:footnote>
  <w:footnote w:id="5">
    <w:p w:rsidR="00144DA4" w:rsidRPr="007C2F79" w:rsidRDefault="00144DA4" w:rsidP="003D1F39">
      <w:pPr>
        <w:pStyle w:val="FootnoteTextForceStyle"/>
        <w:rPr>
          <w:lang w:val="sv-SE"/>
        </w:rPr>
      </w:pPr>
      <w:r>
        <w:rPr>
          <w:vertAlign w:val="superscript"/>
        </w:rPr>
        <w:footnoteRef/>
      </w:r>
      <w:r w:rsidRPr="007C2F79">
        <w:rPr>
          <w:lang w:val="sv-SE"/>
        </w:rPr>
        <w:tab/>
      </w:r>
      <w:r w:rsidRPr="007C2F79">
        <w:rPr>
          <w:strike/>
          <w:lang w:val="sv-SE"/>
        </w:rPr>
        <w:t>Meddelande från kommissionen till Europaparlamentet, Europeiska rådet, rådet, Europeiska ekonomiska och sociala kommittén samt Regionkommittén: Den europeiska gröna given, COM(2019) 640 final.</w:t>
      </w:r>
    </w:p>
  </w:footnote>
  <w:footnote w:id="6">
    <w:p w:rsidR="00144DA4" w:rsidRPr="007C2F79" w:rsidRDefault="00144DA4" w:rsidP="003D1F39">
      <w:pPr>
        <w:pStyle w:val="FootnoteTextForceStyle"/>
        <w:rPr>
          <w:lang w:val="sv-SE"/>
        </w:rPr>
      </w:pPr>
      <w:r>
        <w:rPr>
          <w:vertAlign w:val="superscript"/>
        </w:rPr>
        <w:footnoteRef/>
      </w:r>
      <w:r w:rsidRPr="007C2F79">
        <w:rPr>
          <w:lang w:val="sv-SE"/>
        </w:rPr>
        <w:tab/>
        <w:t>VITBOK Färdplan för ett gemensamt europeiskt transportområde – ett konkurrenskraftigt och resurseffektivt transportsystem, COM(2011) 0144 final.</w:t>
      </w:r>
    </w:p>
  </w:footnote>
  <w:footnote w:id="7">
    <w:p w:rsidR="00144DA4" w:rsidRPr="007C2F79" w:rsidRDefault="00144DA4" w:rsidP="003D1F39">
      <w:pPr>
        <w:pStyle w:val="FootnoteTextForceStyle"/>
        <w:rPr>
          <w:lang w:val="sv-SE"/>
        </w:rPr>
      </w:pPr>
      <w:r>
        <w:rPr>
          <w:vertAlign w:val="superscript"/>
        </w:rPr>
        <w:footnoteRef/>
      </w:r>
      <w:r w:rsidRPr="007C2F79">
        <w:rPr>
          <w:lang w:val="sv-SE"/>
        </w:rPr>
        <w:tab/>
      </w:r>
      <w:r w:rsidRPr="007C2F79">
        <w:rPr>
          <w:strike/>
          <w:lang w:val="sv-SE"/>
        </w:rPr>
        <w:t>Meddelande från kommissionen till Europaparlamentet, rådet, Europeiska ekonomiska och sociala kommittén samt Regionkommittén: Strategi för hållbar och smart mobilitet – att sätta EU-transporterna på rätt spår för framtiden, COM(2020) 789 final.</w:t>
      </w:r>
    </w:p>
  </w:footnote>
  <w:footnote w:id="8">
    <w:p w:rsidR="00144DA4" w:rsidRPr="007C2F79" w:rsidRDefault="00144DA4" w:rsidP="003D1F39">
      <w:pPr>
        <w:pStyle w:val="FootnoteTextForceStyle"/>
        <w:rPr>
          <w:lang w:val="sv-SE"/>
        </w:rPr>
      </w:pPr>
      <w:r>
        <w:rPr>
          <w:vertAlign w:val="superscript"/>
        </w:rPr>
        <w:footnoteRef/>
      </w:r>
      <w:r w:rsidRPr="007C2F79">
        <w:rPr>
          <w:lang w:val="sv-SE"/>
        </w:rPr>
        <w:tab/>
      </w:r>
      <w:r w:rsidRPr="007C2F79">
        <w:rPr>
          <w:b/>
          <w:i/>
          <w:lang w:val="sv-SE"/>
        </w:rPr>
        <w:t>Europaparlamentets och rådets förordning (EU) 2021/1119 av den 30 juni 2021 om inrättande av en ram för att uppnå klimatneutralitet och om ändring av förordningarna (EG) nr 401/2009 och (EU) 2018/1999 (europeisk klimatlag), (EUT L 243, 9.7.2021, s. 1).</w:t>
      </w:r>
    </w:p>
  </w:footnote>
  <w:footnote w:id="9">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direktiv (EU) 2022/2464 av den 14 december 2022 om ändring av förordning (EU) nr 537/2014, direktiv 2004/109/EG, direktiv 2006/43/EG och direktiv 2013/34/EU vad gäller företagens hållbarhetsrapportering (EUT L 322, 16.12.2022, s. 15).</w:t>
      </w:r>
    </w:p>
  </w:footnote>
  <w:footnote w:id="10">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förordning (EU) nr 691/2011 av den 6 juli 2011 om europeiska miljöräkenskaper (EUT L 192, 22.7.2011, s. 1).</w:t>
      </w:r>
    </w:p>
  </w:footnote>
  <w:footnote w:id="11">
    <w:p w:rsidR="00144DA4" w:rsidRPr="007C2F79" w:rsidRDefault="00144DA4" w:rsidP="003D1F39">
      <w:pPr>
        <w:pStyle w:val="FootnoteTextForceStyle"/>
        <w:rPr>
          <w:lang w:val="sv-SE"/>
        </w:rPr>
      </w:pPr>
      <w:r>
        <w:rPr>
          <w:vertAlign w:val="superscript"/>
        </w:rPr>
        <w:footnoteRef/>
      </w:r>
      <w:r w:rsidRPr="007C2F79">
        <w:rPr>
          <w:lang w:val="sv-SE"/>
        </w:rPr>
        <w:tab/>
        <w:t>https://www.cencenelec.eu</w:t>
      </w:r>
    </w:p>
  </w:footnote>
  <w:footnote w:id="12">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förordning (EU) 2015/757 av den 29 april 2015 om övervakning, rapportering och verifiering av koldioxidutsläpp från sjötransporter och om ändring av direktiv 2009/16/EG (EUT L 123, 19.5.2015, s. 55).</w:t>
      </w:r>
    </w:p>
  </w:footnote>
  <w:footnote w:id="13">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direktiv 2003/87/EG av den 13 oktober 2003 om ett system för handel med utsläppsrätter för växthusgaser inom unionen och om ändring av rådets direktiv 96/61/EG (OJ L 275, 25.10.2003, s. 32).</w:t>
      </w:r>
    </w:p>
  </w:footnote>
  <w:footnote w:id="14">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förordning (EU) 2019/1242 av den 20 juni 2019 om fastställande av normer för koldioxidutsläpp från nya tunga fordon och om ändring av Europaparlamentets och rådets förordningar (EG) nr 595/2009 och (EU) 2018/956 och rådets direktiv 96/53/EG (EUT L 198, 25.7.2019).</w:t>
      </w:r>
    </w:p>
  </w:footnote>
  <w:footnote w:id="15">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förordning (EU) 2019/631 av den 17 april 2019 om fastställande av normer för koldioxidutsläpp för nya personbilar och för nya lätta nyttofordon och om upphävande av förordningarna (EG) nr 443/2009 och (EU) nr 510/2011 (omarbetning) (Text av betydelse för EES) (EUT L 111, 25.4.2019, s. 13).</w:t>
      </w:r>
    </w:p>
  </w:footnote>
  <w:footnote w:id="16">
    <w:p w:rsidR="00144DA4" w:rsidRPr="007C2F79" w:rsidRDefault="00144DA4" w:rsidP="003D1F39">
      <w:pPr>
        <w:pStyle w:val="FootnoteTextForceStyle"/>
        <w:rPr>
          <w:lang w:val="sv-SE"/>
        </w:rPr>
      </w:pPr>
      <w:r>
        <w:rPr>
          <w:vertAlign w:val="superscript"/>
        </w:rPr>
        <w:footnoteRef/>
      </w:r>
      <w:r w:rsidRPr="007C2F79">
        <w:rPr>
          <w:lang w:val="sv-SE"/>
        </w:rPr>
        <w:tab/>
      </w:r>
      <w:r w:rsidRPr="007C2F79">
        <w:rPr>
          <w:b/>
          <w:i/>
          <w:lang w:val="sv-SE"/>
        </w:rPr>
        <w:t>Europaparlamentets och rådets förordning (EU) 2023/2405 av den 18 oktober 2023 om säkerställande av lika villkor för hållbar lufttransport (</w:t>
      </w:r>
      <w:proofErr w:type="spellStart"/>
      <w:r w:rsidRPr="007C2F79">
        <w:rPr>
          <w:b/>
          <w:i/>
          <w:lang w:val="sv-SE"/>
        </w:rPr>
        <w:t>ReFuelEU</w:t>
      </w:r>
      <w:proofErr w:type="spellEnd"/>
      <w:r w:rsidRPr="007C2F79">
        <w:rPr>
          <w:b/>
          <w:i/>
          <w:lang w:val="sv-SE"/>
        </w:rPr>
        <w:t xml:space="preserve"> Aviation) (</w:t>
      </w:r>
      <w:proofErr w:type="spellStart"/>
      <w:r w:rsidRPr="007C2F79">
        <w:rPr>
          <w:b/>
          <w:i/>
          <w:lang w:val="sv-SE"/>
        </w:rPr>
        <w:t>EUT</w:t>
      </w:r>
      <w:proofErr w:type="spellEnd"/>
      <w:r w:rsidRPr="007C2F79">
        <w:rPr>
          <w:b/>
          <w:i/>
          <w:lang w:val="sv-SE"/>
        </w:rPr>
        <w:t xml:space="preserve"> L, 2023/2405, 31.10.2023, ELI: http://data.europa.eu/eli/reg/2023/2405/oj). </w:t>
      </w:r>
    </w:p>
  </w:footnote>
  <w:footnote w:id="17">
    <w:p w:rsidR="00144DA4" w:rsidRPr="007C2F79" w:rsidRDefault="00144DA4" w:rsidP="003D1F39">
      <w:pPr>
        <w:pStyle w:val="FootnoteTextForceStyle"/>
        <w:rPr>
          <w:lang w:val="sv-SE"/>
        </w:rPr>
      </w:pPr>
      <w:r>
        <w:rPr>
          <w:vertAlign w:val="superscript"/>
        </w:rPr>
        <w:footnoteRef/>
      </w:r>
      <w:r w:rsidRPr="007C2F79">
        <w:rPr>
          <w:lang w:val="sv-SE"/>
        </w:rPr>
        <w:tab/>
        <w:t>Interinstitutionellt avtal mellan Europaparlamentet, Europeiska unionens råd och Europeiska kommissionen om bättre lagstiftning (EUT L 123, 12.5.2016, s. 1).</w:t>
      </w:r>
    </w:p>
  </w:footnote>
  <w:footnote w:id="18">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förordning (EU) nr 182/2011 av den 16 februari 2011 om fastställande av allmänna regler och principer för medlemsstaternas kontroll av kommissionens utövande av sina genomförandebefogenheter (EUT L 55, 28.2.2011, s. 13).</w:t>
      </w:r>
    </w:p>
  </w:footnote>
  <w:footnote w:id="19">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förordning (EG) nr 765/2008 av den 9 juli 2008 om krav för ackreditering och marknadskontroll i samband med saluföring av produkter och upphävande av förordning (EEG) nr 339/93 EUT L 218, 13.8.2008.</w:t>
      </w:r>
    </w:p>
  </w:footnote>
  <w:footnote w:id="20">
    <w:p w:rsidR="00144DA4" w:rsidRPr="007C2F79" w:rsidRDefault="00144DA4" w:rsidP="003D1F39">
      <w:pPr>
        <w:pStyle w:val="FootnoteTextForceStyle"/>
        <w:rPr>
          <w:lang w:val="sv-SE"/>
        </w:rPr>
      </w:pPr>
      <w:r>
        <w:rPr>
          <w:vertAlign w:val="superscript"/>
        </w:rPr>
        <w:footnoteRef/>
      </w:r>
      <w:r w:rsidRPr="007C2F79">
        <w:rPr>
          <w:lang w:val="sv-SE"/>
        </w:rPr>
        <w:tab/>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21">
    <w:p w:rsidR="00144DA4" w:rsidRPr="007C2F79" w:rsidRDefault="00144DA4" w:rsidP="003D1F39">
      <w:pPr>
        <w:pStyle w:val="FootnoteTextForceStyle"/>
        <w:rPr>
          <w:lang w:val="sv-SE"/>
        </w:rPr>
      </w:pPr>
      <w:r>
        <w:rPr>
          <w:vertAlign w:val="superscript"/>
        </w:rPr>
        <w:footnoteRef/>
      </w:r>
      <w:r w:rsidRPr="007C2F79">
        <w:rPr>
          <w:lang w:val="sv-SE"/>
        </w:rPr>
        <w:tab/>
        <w:t>Kommissionens rekommendation 2003/361/EG av den 6 maj 2003 om definitionen av mikroföretag samt små och medelstora företag (EUT L 124, 20.5.2003, s.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SV"/>
    <w:docVar w:name="dvnumam" w:val="106"/>
    <w:docVar w:name="dvpe" w:val="757.207"/>
    <w:docVar w:name="dvrapporteur" w:val="Föredragande: "/>
    <w:docVar w:name="dvstar" w:val="***I"/>
    <w:docVar w:name="dvtitre" w:val="Europaparlamentets lagstiftningsresolution av den xx xx 2024 om förslaget till Europaparlamentets och rådets förordning om redovisning av växthusgasutsläpp från transporttjänster(COM(2023)0441 – C9-0305/2023 – 2023/0266(COD))"/>
  </w:docVars>
  <w:rsids>
    <w:rsidRoot w:val="007753EA"/>
    <w:rsid w:val="00002272"/>
    <w:rsid w:val="00064002"/>
    <w:rsid w:val="000677B9"/>
    <w:rsid w:val="00075DC5"/>
    <w:rsid w:val="000831BA"/>
    <w:rsid w:val="00095E9D"/>
    <w:rsid w:val="000A42CC"/>
    <w:rsid w:val="000D186E"/>
    <w:rsid w:val="000E7DD9"/>
    <w:rsid w:val="0010095E"/>
    <w:rsid w:val="00125B37"/>
    <w:rsid w:val="00133C99"/>
    <w:rsid w:val="00144DA4"/>
    <w:rsid w:val="00187494"/>
    <w:rsid w:val="001E6C30"/>
    <w:rsid w:val="001F32AE"/>
    <w:rsid w:val="00242824"/>
    <w:rsid w:val="00245D68"/>
    <w:rsid w:val="002767FF"/>
    <w:rsid w:val="002B18FE"/>
    <w:rsid w:val="002B5493"/>
    <w:rsid w:val="00321967"/>
    <w:rsid w:val="00343214"/>
    <w:rsid w:val="00361C00"/>
    <w:rsid w:val="00383831"/>
    <w:rsid w:val="00395FA1"/>
    <w:rsid w:val="003B1C21"/>
    <w:rsid w:val="003D1F39"/>
    <w:rsid w:val="003E15D4"/>
    <w:rsid w:val="00411CCE"/>
    <w:rsid w:val="0041666E"/>
    <w:rsid w:val="00421060"/>
    <w:rsid w:val="00432005"/>
    <w:rsid w:val="004465A9"/>
    <w:rsid w:val="00471C19"/>
    <w:rsid w:val="00483368"/>
    <w:rsid w:val="004867E3"/>
    <w:rsid w:val="00494A28"/>
    <w:rsid w:val="004C0004"/>
    <w:rsid w:val="004C5D52"/>
    <w:rsid w:val="004E25AF"/>
    <w:rsid w:val="0050519A"/>
    <w:rsid w:val="005072A1"/>
    <w:rsid w:val="00514517"/>
    <w:rsid w:val="00545827"/>
    <w:rsid w:val="00560270"/>
    <w:rsid w:val="00585C14"/>
    <w:rsid w:val="005C2568"/>
    <w:rsid w:val="006037C0"/>
    <w:rsid w:val="00626197"/>
    <w:rsid w:val="006631B6"/>
    <w:rsid w:val="00680577"/>
    <w:rsid w:val="006F74FA"/>
    <w:rsid w:val="00725FB2"/>
    <w:rsid w:val="00731ADD"/>
    <w:rsid w:val="00734777"/>
    <w:rsid w:val="00747932"/>
    <w:rsid w:val="00751A4A"/>
    <w:rsid w:val="00756632"/>
    <w:rsid w:val="00762C74"/>
    <w:rsid w:val="007753EA"/>
    <w:rsid w:val="00786EC0"/>
    <w:rsid w:val="007D1690"/>
    <w:rsid w:val="007E22AD"/>
    <w:rsid w:val="00817416"/>
    <w:rsid w:val="00842779"/>
    <w:rsid w:val="00865F67"/>
    <w:rsid w:val="00881A7B"/>
    <w:rsid w:val="008840E5"/>
    <w:rsid w:val="00887B3E"/>
    <w:rsid w:val="008A3BED"/>
    <w:rsid w:val="008C2AC6"/>
    <w:rsid w:val="008C4239"/>
    <w:rsid w:val="008D7AB2"/>
    <w:rsid w:val="00930C23"/>
    <w:rsid w:val="0093193B"/>
    <w:rsid w:val="009509D8"/>
    <w:rsid w:val="00950B64"/>
    <w:rsid w:val="009778FB"/>
    <w:rsid w:val="00981893"/>
    <w:rsid w:val="00A1687D"/>
    <w:rsid w:val="00A43E52"/>
    <w:rsid w:val="00A4678D"/>
    <w:rsid w:val="00A778C7"/>
    <w:rsid w:val="00A90A93"/>
    <w:rsid w:val="00AB441E"/>
    <w:rsid w:val="00AB6293"/>
    <w:rsid w:val="00AE0928"/>
    <w:rsid w:val="00AF3B82"/>
    <w:rsid w:val="00B12E95"/>
    <w:rsid w:val="00B22876"/>
    <w:rsid w:val="00B558F0"/>
    <w:rsid w:val="00BC76E1"/>
    <w:rsid w:val="00BD48FE"/>
    <w:rsid w:val="00BD7B9D"/>
    <w:rsid w:val="00BD7BD8"/>
    <w:rsid w:val="00BE6042"/>
    <w:rsid w:val="00BE6ADC"/>
    <w:rsid w:val="00C05BFE"/>
    <w:rsid w:val="00C23CD4"/>
    <w:rsid w:val="00C61C0C"/>
    <w:rsid w:val="00C9103F"/>
    <w:rsid w:val="00C941CB"/>
    <w:rsid w:val="00C9703F"/>
    <w:rsid w:val="00CC2357"/>
    <w:rsid w:val="00CE1749"/>
    <w:rsid w:val="00CF071A"/>
    <w:rsid w:val="00D058B8"/>
    <w:rsid w:val="00D23316"/>
    <w:rsid w:val="00D442D3"/>
    <w:rsid w:val="00D56C11"/>
    <w:rsid w:val="00D834A0"/>
    <w:rsid w:val="00D872DF"/>
    <w:rsid w:val="00D91E21"/>
    <w:rsid w:val="00D96F45"/>
    <w:rsid w:val="00DA5633"/>
    <w:rsid w:val="00DA7FCD"/>
    <w:rsid w:val="00DB3F47"/>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E3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FF5A4"/>
  <w15:chartTrackingRefBased/>
  <w15:docId w15:val="{F61F1928-E5E1-4237-BCC9-60787B00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33C99"/>
    <w:rPr>
      <w:b/>
      <w:kern w:val="28"/>
      <w:sz w:val="28"/>
      <w:lang w:val="fr-FR" w:eastAsia="fr-FR"/>
    </w:rPr>
  </w:style>
  <w:style w:type="character" w:customStyle="1" w:styleId="Heading2Char">
    <w:name w:val="Heading 2 Char"/>
    <w:basedOn w:val="DefaultParagraphFont"/>
    <w:link w:val="Heading2"/>
    <w:semiHidden/>
    <w:rsid w:val="00133C99"/>
    <w:rPr>
      <w:sz w:val="24"/>
      <w:lang w:val="fr-FR" w:eastAsia="fr-FR"/>
    </w:rPr>
  </w:style>
  <w:style w:type="character" w:customStyle="1" w:styleId="Heading3Char">
    <w:name w:val="Heading 3 Char"/>
    <w:basedOn w:val="DefaultParagraphFont"/>
    <w:link w:val="Heading3"/>
    <w:semiHidden/>
    <w:rsid w:val="00133C99"/>
    <w:rPr>
      <w:rFonts w:ascii="Arial" w:hAnsi="Arial"/>
      <w:sz w:val="24"/>
      <w:lang w:val="fr-FR" w:eastAsia="fr-FR"/>
    </w:rPr>
  </w:style>
  <w:style w:type="character" w:customStyle="1" w:styleId="Heading4Char">
    <w:name w:val="Heading 4 Char"/>
    <w:basedOn w:val="DefaultParagraphFont"/>
    <w:link w:val="Heading4"/>
    <w:semiHidden/>
    <w:rsid w:val="00133C99"/>
    <w:rPr>
      <w:sz w:val="24"/>
      <w:lang w:val="en-US" w:eastAsia="fr-FR"/>
    </w:rPr>
  </w:style>
  <w:style w:type="character" w:customStyle="1" w:styleId="Heading5Char">
    <w:name w:val="Heading 5 Char"/>
    <w:basedOn w:val="DefaultParagraphFont"/>
    <w:link w:val="Heading5"/>
    <w:semiHidden/>
    <w:rsid w:val="00133C99"/>
    <w:rPr>
      <w:sz w:val="24"/>
      <w:lang w:val="en-US" w:eastAsia="fr-FR"/>
    </w:rPr>
  </w:style>
  <w:style w:type="character" w:customStyle="1" w:styleId="Heading6Char">
    <w:name w:val="Heading 6 Char"/>
    <w:basedOn w:val="DefaultParagraphFont"/>
    <w:link w:val="Heading6"/>
    <w:semiHidden/>
    <w:rsid w:val="00133C99"/>
    <w:rPr>
      <w:i/>
      <w:sz w:val="22"/>
      <w:lang w:val="sv-SE"/>
    </w:rPr>
  </w:style>
  <w:style w:type="character" w:customStyle="1" w:styleId="Heading7Char">
    <w:name w:val="Heading 7 Char"/>
    <w:basedOn w:val="DefaultParagraphFont"/>
    <w:link w:val="Heading7"/>
    <w:semiHidden/>
    <w:rsid w:val="00133C99"/>
    <w:rPr>
      <w:rFonts w:ascii="Arial" w:hAnsi="Arial"/>
      <w:sz w:val="24"/>
      <w:lang w:val="sv-SE"/>
    </w:rPr>
  </w:style>
  <w:style w:type="character" w:customStyle="1" w:styleId="Heading8Char">
    <w:name w:val="Heading 8 Char"/>
    <w:basedOn w:val="DefaultParagraphFont"/>
    <w:link w:val="Heading8"/>
    <w:semiHidden/>
    <w:rsid w:val="00133C99"/>
    <w:rPr>
      <w:rFonts w:ascii="Arial" w:hAnsi="Arial"/>
      <w:i/>
      <w:sz w:val="24"/>
      <w:lang w:val="sv-SE"/>
    </w:rPr>
  </w:style>
  <w:style w:type="character" w:customStyle="1" w:styleId="Heading9Char">
    <w:name w:val="Heading 9 Char"/>
    <w:basedOn w:val="DefaultParagraphFont"/>
    <w:link w:val="Heading9"/>
    <w:semiHidden/>
    <w:rsid w:val="00133C99"/>
    <w:rPr>
      <w:rFonts w:ascii="Arial" w:hAnsi="Arial"/>
      <w:b/>
      <w:i/>
      <w:sz w:val="18"/>
      <w:lang w:val="sv-SE"/>
    </w:rPr>
  </w:style>
  <w:style w:type="paragraph" w:styleId="TOCHeading">
    <w:name w:val="TOC Heading"/>
    <w:basedOn w:val="Normal"/>
    <w:next w:val="Normal"/>
    <w:unhideWhenUsed/>
    <w:qFormat/>
    <w:rsid w:val="00133C99"/>
    <w:pPr>
      <w:widowControl/>
      <w:spacing w:after="240"/>
    </w:pPr>
    <w:rPr>
      <w:lang w:val="en-GB"/>
    </w:rPr>
  </w:style>
  <w:style w:type="paragraph" w:customStyle="1" w:styleId="EPFooter2">
    <w:name w:val="EPFooter2"/>
    <w:basedOn w:val="Normal"/>
    <w:next w:val="Normal"/>
    <w:rsid w:val="00133C9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33C99"/>
    <w:pPr>
      <w:keepNext/>
      <w:spacing w:after="240"/>
      <w:jc w:val="right"/>
    </w:pPr>
    <w:rPr>
      <w:rFonts w:ascii="Arial" w:hAnsi="Arial"/>
      <w:b/>
    </w:rPr>
  </w:style>
  <w:style w:type="paragraph" w:customStyle="1" w:styleId="Normal6a">
    <w:name w:val="Normal6a"/>
    <w:basedOn w:val="Normal"/>
    <w:rsid w:val="00133C99"/>
    <w:pPr>
      <w:spacing w:after="120"/>
    </w:pPr>
  </w:style>
  <w:style w:type="paragraph" w:customStyle="1" w:styleId="PageHeading">
    <w:name w:val="PageHeading"/>
    <w:basedOn w:val="Normal"/>
    <w:rsid w:val="00133C99"/>
    <w:pPr>
      <w:keepNext/>
      <w:spacing w:after="480"/>
      <w:jc w:val="center"/>
    </w:pPr>
    <w:rPr>
      <w:rFonts w:ascii="Arial" w:hAnsi="Arial" w:cs="Arial"/>
      <w:b/>
    </w:rPr>
  </w:style>
  <w:style w:type="paragraph" w:customStyle="1" w:styleId="NormalBold">
    <w:name w:val="NormalBold"/>
    <w:basedOn w:val="Normal"/>
    <w:link w:val="NormalBoldChar"/>
    <w:rsid w:val="00133C99"/>
    <w:rPr>
      <w:b/>
    </w:rPr>
  </w:style>
  <w:style w:type="paragraph" w:customStyle="1" w:styleId="NormalBold12a">
    <w:name w:val="NormalBold12a"/>
    <w:basedOn w:val="Normal"/>
    <w:rsid w:val="00133C99"/>
    <w:pPr>
      <w:spacing w:after="240"/>
    </w:pPr>
    <w:rPr>
      <w:b/>
    </w:rPr>
  </w:style>
  <w:style w:type="paragraph" w:customStyle="1" w:styleId="AmJustText">
    <w:name w:val="AmJustText"/>
    <w:basedOn w:val="Normal"/>
    <w:rsid w:val="00133C99"/>
    <w:pPr>
      <w:spacing w:after="240"/>
    </w:pPr>
    <w:rPr>
      <w:i/>
    </w:rPr>
  </w:style>
  <w:style w:type="paragraph" w:customStyle="1" w:styleId="NormalHanging12a">
    <w:name w:val="NormalHanging12a"/>
    <w:basedOn w:val="Normal"/>
    <w:rsid w:val="00133C99"/>
    <w:pPr>
      <w:spacing w:after="240"/>
      <w:ind w:left="567" w:hanging="567"/>
    </w:pPr>
  </w:style>
  <w:style w:type="paragraph" w:customStyle="1" w:styleId="CoverNormal24a">
    <w:name w:val="CoverNormal24a"/>
    <w:basedOn w:val="Normal"/>
    <w:rsid w:val="00133C99"/>
    <w:pPr>
      <w:spacing w:after="480"/>
      <w:ind w:left="1417"/>
    </w:pPr>
  </w:style>
  <w:style w:type="paragraph" w:customStyle="1" w:styleId="CoverNormal">
    <w:name w:val="CoverNormal"/>
    <w:basedOn w:val="Normal"/>
    <w:rsid w:val="00133C99"/>
    <w:pPr>
      <w:ind w:left="1418"/>
    </w:pPr>
  </w:style>
  <w:style w:type="paragraph" w:customStyle="1" w:styleId="AmCrossRef">
    <w:name w:val="AmCrossRef"/>
    <w:basedOn w:val="Normal"/>
    <w:rsid w:val="00133C99"/>
    <w:pPr>
      <w:spacing w:before="240" w:after="240"/>
      <w:jc w:val="center"/>
    </w:pPr>
    <w:rPr>
      <w:i/>
    </w:rPr>
  </w:style>
  <w:style w:type="paragraph" w:customStyle="1" w:styleId="AmJustTitle">
    <w:name w:val="AmJustTitle"/>
    <w:basedOn w:val="Normal"/>
    <w:next w:val="AmJustText"/>
    <w:rsid w:val="00133C99"/>
    <w:pPr>
      <w:keepNext/>
      <w:spacing w:before="240" w:after="240"/>
      <w:jc w:val="center"/>
    </w:pPr>
    <w:rPr>
      <w:i/>
    </w:rPr>
  </w:style>
  <w:style w:type="paragraph" w:customStyle="1" w:styleId="CoverReference">
    <w:name w:val="CoverReference"/>
    <w:basedOn w:val="Normal"/>
    <w:rsid w:val="00133C99"/>
    <w:pPr>
      <w:spacing w:before="1080"/>
      <w:jc w:val="right"/>
    </w:pPr>
    <w:rPr>
      <w:rFonts w:ascii="Arial" w:hAnsi="Arial" w:cs="Arial"/>
      <w:b/>
    </w:rPr>
  </w:style>
  <w:style w:type="paragraph" w:customStyle="1" w:styleId="CoverDocType">
    <w:name w:val="CoverDocType"/>
    <w:basedOn w:val="Normal"/>
    <w:rsid w:val="00133C99"/>
    <w:pPr>
      <w:ind w:left="1418"/>
    </w:pPr>
    <w:rPr>
      <w:rFonts w:ascii="Arial" w:hAnsi="Arial"/>
      <w:b/>
      <w:sz w:val="48"/>
    </w:rPr>
  </w:style>
  <w:style w:type="paragraph" w:customStyle="1" w:styleId="CoverDocType24a">
    <w:name w:val="CoverDocType24a"/>
    <w:basedOn w:val="Normal"/>
    <w:rsid w:val="00133C99"/>
    <w:pPr>
      <w:spacing w:after="480"/>
      <w:ind w:left="1418"/>
    </w:pPr>
    <w:rPr>
      <w:rFonts w:ascii="Arial" w:hAnsi="Arial"/>
      <w:b/>
      <w:sz w:val="48"/>
    </w:rPr>
  </w:style>
  <w:style w:type="paragraph" w:customStyle="1" w:styleId="CoverDate">
    <w:name w:val="CoverDate"/>
    <w:basedOn w:val="Normal"/>
    <w:rsid w:val="00133C99"/>
    <w:pPr>
      <w:spacing w:before="240" w:after="1200"/>
    </w:pPr>
  </w:style>
  <w:style w:type="paragraph" w:styleId="Header">
    <w:name w:val="header"/>
    <w:basedOn w:val="Normal"/>
    <w:link w:val="HeaderChar"/>
    <w:rsid w:val="00133C99"/>
    <w:pPr>
      <w:tabs>
        <w:tab w:val="center" w:pos="4513"/>
        <w:tab w:val="right" w:pos="9026"/>
      </w:tabs>
    </w:pPr>
  </w:style>
  <w:style w:type="character" w:customStyle="1" w:styleId="HeaderChar">
    <w:name w:val="Header Char"/>
    <w:basedOn w:val="DefaultParagraphFont"/>
    <w:link w:val="Header"/>
    <w:rsid w:val="00133C99"/>
    <w:rPr>
      <w:sz w:val="24"/>
      <w:lang w:val="sv-SE"/>
    </w:rPr>
  </w:style>
  <w:style w:type="paragraph" w:customStyle="1" w:styleId="AmOrLang">
    <w:name w:val="AmOrLang"/>
    <w:basedOn w:val="Normal"/>
    <w:rsid w:val="00133C99"/>
    <w:pPr>
      <w:spacing w:before="240" w:after="240"/>
      <w:jc w:val="right"/>
    </w:pPr>
  </w:style>
  <w:style w:type="paragraph" w:customStyle="1" w:styleId="AmColumnHeading">
    <w:name w:val="AmColumnHeading"/>
    <w:basedOn w:val="Normal"/>
    <w:rsid w:val="00133C99"/>
    <w:pPr>
      <w:spacing w:after="240"/>
      <w:jc w:val="center"/>
    </w:pPr>
    <w:rPr>
      <w:i/>
    </w:rPr>
  </w:style>
  <w:style w:type="paragraph" w:customStyle="1" w:styleId="AmNumberTabs">
    <w:name w:val="AmNumberTabs"/>
    <w:basedOn w:val="Normal"/>
    <w:rsid w:val="00133C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33C99"/>
    <w:pPr>
      <w:spacing w:before="240"/>
    </w:pPr>
    <w:rPr>
      <w:b/>
    </w:rPr>
  </w:style>
  <w:style w:type="paragraph" w:customStyle="1" w:styleId="EPBody">
    <w:name w:val="EPBody"/>
    <w:basedOn w:val="Normal"/>
    <w:rsid w:val="00133C99"/>
    <w:pPr>
      <w:jc w:val="center"/>
    </w:pPr>
    <w:rPr>
      <w:rFonts w:ascii="Arial" w:hAnsi="Arial" w:cs="Arial"/>
      <w:i/>
      <w:sz w:val="22"/>
      <w:szCs w:val="22"/>
    </w:rPr>
  </w:style>
  <w:style w:type="paragraph" w:customStyle="1" w:styleId="EPFooter">
    <w:name w:val="EPFooter"/>
    <w:basedOn w:val="Normal"/>
    <w:rsid w:val="00133C99"/>
    <w:pPr>
      <w:tabs>
        <w:tab w:val="center" w:pos="4535"/>
        <w:tab w:val="right" w:pos="9071"/>
      </w:tabs>
      <w:spacing w:before="240" w:after="240"/>
    </w:pPr>
    <w:rPr>
      <w:color w:val="010000"/>
      <w:sz w:val="22"/>
    </w:rPr>
  </w:style>
  <w:style w:type="paragraph" w:customStyle="1" w:styleId="EPComma">
    <w:name w:val="EPComma"/>
    <w:basedOn w:val="Normal"/>
    <w:rsid w:val="00133C99"/>
    <w:pPr>
      <w:spacing w:before="480" w:after="240"/>
    </w:pPr>
  </w:style>
  <w:style w:type="paragraph" w:customStyle="1" w:styleId="Lgendesigne">
    <w:name w:val="Légende signe"/>
    <w:basedOn w:val="Normal"/>
    <w:rsid w:val="00133C99"/>
    <w:pPr>
      <w:tabs>
        <w:tab w:val="right" w:pos="454"/>
        <w:tab w:val="left" w:pos="737"/>
      </w:tabs>
      <w:ind w:left="737" w:hanging="737"/>
    </w:pPr>
    <w:rPr>
      <w:snapToGrid w:val="0"/>
      <w:sz w:val="18"/>
      <w:lang w:eastAsia="en-US"/>
    </w:rPr>
  </w:style>
  <w:style w:type="paragraph" w:customStyle="1" w:styleId="Lgendetitre">
    <w:name w:val="Légende titre"/>
    <w:basedOn w:val="Normal"/>
    <w:rsid w:val="00133C99"/>
    <w:pPr>
      <w:spacing w:before="240" w:after="240"/>
    </w:pPr>
    <w:rPr>
      <w:b/>
      <w:i/>
      <w:snapToGrid w:val="0"/>
      <w:lang w:eastAsia="en-US"/>
    </w:rPr>
  </w:style>
  <w:style w:type="paragraph" w:customStyle="1" w:styleId="Lgendestandard">
    <w:name w:val="Légende standard"/>
    <w:basedOn w:val="Normal"/>
    <w:rsid w:val="00133C99"/>
    <w:rPr>
      <w:sz w:val="18"/>
    </w:rPr>
  </w:style>
  <w:style w:type="paragraph" w:styleId="Footer">
    <w:name w:val="footer"/>
    <w:basedOn w:val="Normal"/>
    <w:link w:val="FooterChar"/>
    <w:rsid w:val="00133C99"/>
    <w:pPr>
      <w:tabs>
        <w:tab w:val="center" w:pos="4513"/>
        <w:tab w:val="right" w:pos="9026"/>
      </w:tabs>
    </w:pPr>
  </w:style>
  <w:style w:type="character" w:customStyle="1" w:styleId="FooterChar">
    <w:name w:val="Footer Char"/>
    <w:basedOn w:val="DefaultParagraphFont"/>
    <w:link w:val="Footer"/>
    <w:rsid w:val="00133C99"/>
    <w:rPr>
      <w:sz w:val="24"/>
      <w:lang w:val="sv-SE"/>
    </w:rPr>
  </w:style>
  <w:style w:type="paragraph" w:customStyle="1" w:styleId="Normal24a">
    <w:name w:val="Normal24a"/>
    <w:basedOn w:val="Normal"/>
    <w:rsid w:val="00133C99"/>
    <w:pPr>
      <w:spacing w:after="480"/>
    </w:pPr>
  </w:style>
  <w:style w:type="paragraph" w:customStyle="1" w:styleId="NormalBoldCenter">
    <w:name w:val="NormalBoldCenter"/>
    <w:basedOn w:val="Normal"/>
    <w:rsid w:val="00133C99"/>
    <w:pPr>
      <w:jc w:val="center"/>
    </w:pPr>
    <w:rPr>
      <w:b/>
    </w:rPr>
  </w:style>
  <w:style w:type="paragraph" w:customStyle="1" w:styleId="Normal6">
    <w:name w:val="Normal6"/>
    <w:basedOn w:val="Normal"/>
    <w:link w:val="Normal6Char"/>
    <w:rsid w:val="00133C99"/>
    <w:pPr>
      <w:spacing w:after="120"/>
    </w:pPr>
  </w:style>
  <w:style w:type="character" w:customStyle="1" w:styleId="NormalBoldChar">
    <w:name w:val="NormalBold Char"/>
    <w:basedOn w:val="DefaultParagraphFont"/>
    <w:link w:val="NormalBold"/>
    <w:rsid w:val="00133C99"/>
    <w:rPr>
      <w:b/>
      <w:sz w:val="24"/>
      <w:lang w:val="sv-SE"/>
    </w:rPr>
  </w:style>
  <w:style w:type="character" w:customStyle="1" w:styleId="Normal6Char">
    <w:name w:val="Normal6 Char"/>
    <w:basedOn w:val="DefaultParagraphFont"/>
    <w:link w:val="Normal6"/>
    <w:rsid w:val="00133C99"/>
    <w:rPr>
      <w:sz w:val="24"/>
      <w:lang w:val="sv-SE"/>
    </w:rPr>
  </w:style>
  <w:style w:type="paragraph" w:customStyle="1" w:styleId="ColumnHeading">
    <w:name w:val="ColumnHeading"/>
    <w:basedOn w:val="Normal"/>
    <w:rsid w:val="00133C99"/>
    <w:pPr>
      <w:spacing w:after="240"/>
      <w:jc w:val="center"/>
    </w:pPr>
    <w:rPr>
      <w:i/>
    </w:rPr>
  </w:style>
  <w:style w:type="paragraph" w:customStyle="1" w:styleId="AMNumberTabs0">
    <w:name w:val="AMNumberTabs"/>
    <w:basedOn w:val="Normal"/>
    <w:rsid w:val="00133C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33C99"/>
    <w:pPr>
      <w:jc w:val="right"/>
    </w:pPr>
    <w:rPr>
      <w:lang w:val="sv-SE"/>
    </w:rPr>
  </w:style>
  <w:style w:type="paragraph" w:styleId="BalloonText">
    <w:name w:val="Balloon Text"/>
    <w:basedOn w:val="Normal"/>
    <w:link w:val="BalloonTextChar"/>
    <w:unhideWhenUsed/>
    <w:rsid w:val="00133C99"/>
    <w:rPr>
      <w:rFonts w:ascii="Segoe UI" w:hAnsi="Segoe UI" w:cs="Segoe UI"/>
      <w:sz w:val="18"/>
      <w:szCs w:val="18"/>
    </w:rPr>
  </w:style>
  <w:style w:type="character" w:customStyle="1" w:styleId="BalloonTextChar">
    <w:name w:val="Balloon Text Char"/>
    <w:basedOn w:val="DefaultParagraphFont"/>
    <w:link w:val="BalloonText"/>
    <w:rsid w:val="00133C99"/>
    <w:rPr>
      <w:rFonts w:ascii="Segoe UI" w:hAnsi="Segoe UI" w:cs="Segoe UI"/>
      <w:sz w:val="18"/>
      <w:szCs w:val="18"/>
      <w:lang w:val="sv-SE"/>
    </w:rPr>
  </w:style>
  <w:style w:type="character" w:styleId="CommentReference">
    <w:name w:val="annotation reference"/>
    <w:basedOn w:val="DefaultParagraphFont"/>
    <w:rsid w:val="00133C99"/>
    <w:rPr>
      <w:sz w:val="16"/>
      <w:szCs w:val="16"/>
    </w:rPr>
  </w:style>
  <w:style w:type="paragraph" w:styleId="CommentText">
    <w:name w:val="annotation text"/>
    <w:basedOn w:val="Normal"/>
    <w:link w:val="CommentTextChar"/>
    <w:rsid w:val="00133C99"/>
    <w:rPr>
      <w:sz w:val="20"/>
    </w:rPr>
  </w:style>
  <w:style w:type="character" w:customStyle="1" w:styleId="CommentTextChar">
    <w:name w:val="Comment Text Char"/>
    <w:basedOn w:val="DefaultParagraphFont"/>
    <w:link w:val="CommentText"/>
    <w:rsid w:val="00133C99"/>
    <w:rPr>
      <w:lang w:val="sv-SE"/>
    </w:rPr>
  </w:style>
  <w:style w:type="paragraph" w:styleId="CommentSubject">
    <w:name w:val="annotation subject"/>
    <w:basedOn w:val="CommentText"/>
    <w:next w:val="CommentText"/>
    <w:link w:val="CommentSubjectChar"/>
    <w:unhideWhenUsed/>
    <w:rsid w:val="00133C99"/>
    <w:rPr>
      <w:b/>
      <w:bCs/>
    </w:rPr>
  </w:style>
  <w:style w:type="character" w:customStyle="1" w:styleId="CommentSubjectChar">
    <w:name w:val="Comment Subject Char"/>
    <w:basedOn w:val="CommentTextChar"/>
    <w:link w:val="CommentSubject"/>
    <w:rsid w:val="00133C99"/>
    <w:rPr>
      <w:b/>
      <w:bCs/>
      <w:lang w:val="sv-SE"/>
    </w:rPr>
  </w:style>
  <w:style w:type="paragraph" w:styleId="EndnoteText">
    <w:name w:val="endnote text"/>
    <w:basedOn w:val="Normal"/>
    <w:link w:val="EndnoteTextChar"/>
    <w:rsid w:val="00133C99"/>
    <w:rPr>
      <w:sz w:val="20"/>
    </w:rPr>
  </w:style>
  <w:style w:type="character" w:customStyle="1" w:styleId="EndnoteTextChar">
    <w:name w:val="Endnote Text Char"/>
    <w:basedOn w:val="DefaultParagraphFont"/>
    <w:link w:val="EndnoteText"/>
    <w:rsid w:val="00133C99"/>
    <w:rPr>
      <w:lang w:val="sv-SE"/>
    </w:rPr>
  </w:style>
  <w:style w:type="character" w:styleId="EndnoteReference">
    <w:name w:val="endnote reference"/>
    <w:basedOn w:val="DefaultParagraphFont"/>
    <w:rsid w:val="00133C99"/>
    <w:rPr>
      <w:vertAlign w:val="superscript"/>
    </w:rPr>
  </w:style>
  <w:style w:type="paragraph" w:customStyle="1" w:styleId="Normal12a">
    <w:name w:val="Normal12a"/>
    <w:basedOn w:val="Normal"/>
    <w:rsid w:val="00133C99"/>
    <w:pPr>
      <w:spacing w:after="240"/>
    </w:pPr>
  </w:style>
  <w:style w:type="paragraph" w:customStyle="1" w:styleId="RollCallVotes">
    <w:name w:val="RollCallVotes"/>
    <w:basedOn w:val="Normal"/>
    <w:rsid w:val="00133C99"/>
    <w:pPr>
      <w:spacing w:before="120" w:after="120"/>
      <w:jc w:val="center"/>
    </w:pPr>
    <w:rPr>
      <w:b/>
      <w:bCs/>
      <w:snapToGrid w:val="0"/>
      <w:sz w:val="16"/>
      <w:lang w:eastAsia="en-US"/>
    </w:rPr>
  </w:style>
  <w:style w:type="paragraph" w:customStyle="1" w:styleId="RollCallTabs">
    <w:name w:val="RollCallTabs"/>
    <w:basedOn w:val="Normal"/>
    <w:qFormat/>
    <w:rsid w:val="00133C99"/>
    <w:pPr>
      <w:tabs>
        <w:tab w:val="center" w:pos="284"/>
        <w:tab w:val="left" w:pos="426"/>
      </w:tabs>
    </w:pPr>
    <w:rPr>
      <w:snapToGrid w:val="0"/>
      <w:lang w:eastAsia="en-US"/>
    </w:rPr>
  </w:style>
  <w:style w:type="paragraph" w:customStyle="1" w:styleId="RollCallSymbols14pt">
    <w:name w:val="RollCallSymbols14pt"/>
    <w:basedOn w:val="Normal"/>
    <w:rsid w:val="00133C99"/>
    <w:pPr>
      <w:spacing w:before="120" w:after="120"/>
      <w:jc w:val="center"/>
    </w:pPr>
    <w:rPr>
      <w:rFonts w:ascii="Arial" w:hAnsi="Arial"/>
      <w:b/>
      <w:bCs/>
      <w:snapToGrid w:val="0"/>
      <w:sz w:val="28"/>
      <w:lang w:eastAsia="en-US"/>
    </w:rPr>
  </w:style>
  <w:style w:type="paragraph" w:customStyle="1" w:styleId="RollCallTable">
    <w:name w:val="RollCallTable"/>
    <w:basedOn w:val="Normal"/>
    <w:rsid w:val="00133C99"/>
    <w:pPr>
      <w:spacing w:before="120" w:after="120"/>
    </w:pPr>
    <w:rPr>
      <w:snapToGrid w:val="0"/>
      <w:sz w:val="16"/>
      <w:lang w:eastAsia="en-US"/>
    </w:rPr>
  </w:style>
  <w:style w:type="character" w:styleId="Emphasis">
    <w:name w:val="Emphasis"/>
    <w:basedOn w:val="DefaultParagraphFont"/>
    <w:uiPriority w:val="20"/>
    <w:qFormat/>
    <w:rsid w:val="00133C99"/>
    <w:rPr>
      <w:i/>
      <w:iCs/>
    </w:rPr>
  </w:style>
  <w:style w:type="character" w:styleId="Hyperlink">
    <w:name w:val="Hyperlink"/>
    <w:basedOn w:val="DefaultParagraphFont"/>
    <w:rsid w:val="00075DC5"/>
    <w:rPr>
      <w:color w:val="0563C1" w:themeColor="hyperlink"/>
      <w:u w:val="single"/>
    </w:rPr>
  </w:style>
  <w:style w:type="paragraph" w:customStyle="1" w:styleId="FootnoteTextForceStyle">
    <w:name w:val="Footnote Text ForceStyle"/>
    <w:rsid w:val="003D1F39"/>
    <w:pPr>
      <w:keepLines/>
      <w:widowControl w:val="0"/>
      <w:ind w:left="850" w:hanging="850"/>
    </w:pPr>
    <w:rPr>
      <w:sz w:val="24"/>
      <w:lang w:eastAsia="en-US"/>
    </w:rPr>
  </w:style>
  <w:style w:type="character" w:customStyle="1" w:styleId="Footer2">
    <w:name w:val="Footer2"/>
    <w:rsid w:val="003D1F39"/>
    <w:rPr>
      <w:rFonts w:ascii="Arial" w:hAnsi="Arial"/>
      <w:b/>
      <w:sz w:val="48"/>
    </w:rPr>
  </w:style>
  <w:style w:type="paragraph" w:customStyle="1" w:styleId="Footer1">
    <w:name w:val="Footer1"/>
    <w:basedOn w:val="Normal"/>
    <w:rsid w:val="003D1F39"/>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3D1F39"/>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315C8-D80B-4CE9-BBFB-F5F39AA02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10515</Words>
  <Characters>66280</Characters>
  <Application>Microsoft Office Word</Application>
  <DocSecurity>0</DocSecurity>
  <Lines>552</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2024-10-18T14:35:00Z</dcterms:created>
  <dcterms:modified xsi:type="dcterms:W3CDTF">2024-10-18T14:35:00Z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P9_TA-PROV(2024)0205_A9-0070_2024_SV_r</vt:lpwstr>
  </property>
  <property fmtid="{D5CDD505-2E9C-101B-9397-08002B2CF9AE}" pid="4" name="&lt;Type&gt;">
    <vt:lpwstr>RR</vt:lpwstr>
  </property>
</Properties>
</file>