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B33" w:rsidTr="0010095E">
        <w:trPr>
          <w:trHeight w:hRule="exact" w:val="1418"/>
        </w:trPr>
        <w:tc>
          <w:tcPr>
            <w:tcW w:w="6804" w:type="dxa"/>
            <w:shd w:val="clear" w:color="auto" w:fill="auto"/>
            <w:vAlign w:val="center"/>
          </w:tcPr>
          <w:p w:rsidR="00751A4A" w:rsidRPr="00FE3B33" w:rsidRDefault="000809A1" w:rsidP="0010095E">
            <w:pPr>
              <w:pStyle w:val="EPName"/>
            </w:pPr>
            <w:r w:rsidRPr="00FE3B33">
              <w:t>Parlamento Europeo</w:t>
            </w:r>
          </w:p>
          <w:p w:rsidR="00751A4A" w:rsidRPr="00FE3B33" w:rsidRDefault="00817416" w:rsidP="00756632">
            <w:pPr>
              <w:pStyle w:val="EPTerm"/>
              <w:rPr>
                <w:rStyle w:val="HideTWBExt"/>
                <w:noProof w:val="0"/>
                <w:vanish w:val="0"/>
                <w:color w:val="auto"/>
              </w:rPr>
            </w:pPr>
            <w:r w:rsidRPr="00FE3B33">
              <w:t>2019-2024</w:t>
            </w:r>
          </w:p>
        </w:tc>
        <w:tc>
          <w:tcPr>
            <w:tcW w:w="2268" w:type="dxa"/>
            <w:shd w:val="clear" w:color="auto" w:fill="auto"/>
          </w:tcPr>
          <w:p w:rsidR="00751A4A" w:rsidRPr="00FE3B33" w:rsidRDefault="00187494" w:rsidP="0010095E">
            <w:pPr>
              <w:pStyle w:val="EPLogo"/>
            </w:pPr>
            <w:r w:rsidRPr="00FE3B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3B33" w:rsidRDefault="00D058B8" w:rsidP="004C5D52">
      <w:pPr>
        <w:pStyle w:val="LineTop"/>
      </w:pPr>
    </w:p>
    <w:p w:rsidR="00680577" w:rsidRPr="00FE3B33" w:rsidRDefault="000809A1" w:rsidP="00680577">
      <w:pPr>
        <w:pStyle w:val="EPBodyTA1"/>
      </w:pPr>
      <w:r w:rsidRPr="00FE3B33">
        <w:t>TEXTOS APROBADOS</w:t>
      </w:r>
    </w:p>
    <w:p w:rsidR="00D058B8" w:rsidRPr="00FE3B33" w:rsidRDefault="00D058B8" w:rsidP="00D058B8">
      <w:pPr>
        <w:pStyle w:val="LineBottom"/>
      </w:pPr>
    </w:p>
    <w:p w:rsidR="000809A1" w:rsidRPr="00FE3B33" w:rsidRDefault="000809A1" w:rsidP="000809A1">
      <w:pPr>
        <w:pStyle w:val="ATHeading1"/>
      </w:pPr>
      <w:bookmarkStart w:id="0" w:name="TANumber"/>
      <w:r w:rsidRPr="00FE3B33">
        <w:t>P9_</w:t>
      </w:r>
      <w:proofErr w:type="gramStart"/>
      <w:r w:rsidRPr="00FE3B33">
        <w:t>TA(</w:t>
      </w:r>
      <w:proofErr w:type="gramEnd"/>
      <w:r w:rsidRPr="00FE3B33">
        <w:t>2024)0</w:t>
      </w:r>
      <w:bookmarkEnd w:id="0"/>
      <w:r w:rsidR="00FE3B33" w:rsidRPr="00FE3B33">
        <w:t>216</w:t>
      </w:r>
    </w:p>
    <w:p w:rsidR="000809A1" w:rsidRPr="00FE3B33" w:rsidRDefault="000809A1" w:rsidP="000809A1">
      <w:pPr>
        <w:pStyle w:val="ATHeading2"/>
      </w:pPr>
      <w:bookmarkStart w:id="1" w:name="title"/>
      <w:r w:rsidRPr="00FE3B33">
        <w:t>Celebración del Acuerdo entre la Unión Europea y la República de Armenia sobre la cooperación entre la Agencia de la Unión Europea para la Cooperación Judicial Penal (Eurojust) y las autoridades de la República de Armenia</w:t>
      </w:r>
      <w:bookmarkEnd w:id="1"/>
      <w:r w:rsidR="00CF447F" w:rsidRPr="00FE3B33">
        <w:t xml:space="preserve"> competentes en el ámbito de la cooperación judicial en materia penal</w:t>
      </w:r>
    </w:p>
    <w:p w:rsidR="000809A1" w:rsidRPr="00FE3B33" w:rsidRDefault="000809A1" w:rsidP="000809A1">
      <w:pPr>
        <w:rPr>
          <w:i/>
          <w:vanish/>
        </w:rPr>
      </w:pPr>
      <w:r w:rsidRPr="00FE3B33">
        <w:rPr>
          <w:i/>
        </w:rPr>
        <w:fldChar w:fldCharType="begin"/>
      </w:r>
      <w:r w:rsidRPr="00FE3B33">
        <w:rPr>
          <w:i/>
        </w:rPr>
        <w:instrText xml:space="preserve"> TC"(</w:instrText>
      </w:r>
      <w:bookmarkStart w:id="2" w:name="DocNumber"/>
      <w:r w:rsidRPr="00FE3B33">
        <w:rPr>
          <w:i/>
        </w:rPr>
        <w:instrText>A9-0165/2024</w:instrText>
      </w:r>
      <w:bookmarkEnd w:id="2"/>
      <w:r w:rsidRPr="00FE3B33">
        <w:rPr>
          <w:i/>
        </w:rPr>
        <w:instrText xml:space="preserve"> - Ponente: </w:instrText>
      </w:r>
      <w:proofErr w:type="spellStart"/>
      <w:r w:rsidRPr="00FE3B33">
        <w:rPr>
          <w:i/>
        </w:rPr>
        <w:instrText>Thijs</w:instrText>
      </w:r>
      <w:proofErr w:type="spellEnd"/>
      <w:r w:rsidRPr="00FE3B33">
        <w:rPr>
          <w:i/>
        </w:rPr>
        <w:instrText xml:space="preserve"> </w:instrText>
      </w:r>
      <w:proofErr w:type="spellStart"/>
      <w:r w:rsidRPr="00FE3B33">
        <w:rPr>
          <w:i/>
        </w:rPr>
        <w:instrText>Reuten</w:instrText>
      </w:r>
      <w:proofErr w:type="spellEnd"/>
      <w:r w:rsidRPr="00FE3B33">
        <w:rPr>
          <w:i/>
        </w:rPr>
        <w:instrText xml:space="preserve">)"\l3 \n&gt; \* MERGEFORMAT </w:instrText>
      </w:r>
      <w:r w:rsidRPr="00FE3B33">
        <w:rPr>
          <w:i/>
        </w:rPr>
        <w:fldChar w:fldCharType="end"/>
      </w:r>
    </w:p>
    <w:p w:rsidR="000809A1" w:rsidRPr="00FE3B33" w:rsidRDefault="000809A1" w:rsidP="000809A1">
      <w:pPr>
        <w:rPr>
          <w:vanish/>
        </w:rPr>
      </w:pPr>
      <w:bookmarkStart w:id="3" w:name="Commission"/>
      <w:r w:rsidRPr="00FE3B33">
        <w:rPr>
          <w:vanish/>
        </w:rPr>
        <w:t>Comisión de Libertades Civiles, Justicia y Asuntos de Interior</w:t>
      </w:r>
      <w:bookmarkEnd w:id="3"/>
    </w:p>
    <w:p w:rsidR="000809A1" w:rsidRPr="00FE3B33" w:rsidRDefault="000809A1" w:rsidP="000809A1">
      <w:pPr>
        <w:rPr>
          <w:vanish/>
        </w:rPr>
      </w:pPr>
      <w:bookmarkStart w:id="4" w:name="PE"/>
      <w:r w:rsidRPr="00FE3B33">
        <w:rPr>
          <w:vanish/>
        </w:rPr>
        <w:t>PE758.068</w:t>
      </w:r>
      <w:bookmarkEnd w:id="4"/>
    </w:p>
    <w:p w:rsidR="000809A1" w:rsidRPr="00FE3B33" w:rsidRDefault="000809A1" w:rsidP="000809A1">
      <w:pPr>
        <w:pStyle w:val="ATHeading3"/>
      </w:pPr>
      <w:bookmarkStart w:id="5" w:name="Sujet"/>
      <w:r w:rsidRPr="00FE3B33">
        <w:t xml:space="preserve">Resolución legislativa del Parlamento Europeo, de 10 de abril de 2024, sobre </w:t>
      </w:r>
      <w:r w:rsidR="00CF447F" w:rsidRPr="00FE3B33">
        <w:t xml:space="preserve">el proyecto </w:t>
      </w:r>
      <w:r w:rsidRPr="00FE3B33">
        <w:t>de Decisión del Consejo relativa a la celebración del Acuerdo entre la Unión Europea y la República de Armenia sobre la cooperación entre la Agencia de la Unión Europea para la Cooperación Judicial Penal (Eurojust) y las autorida</w:t>
      </w:r>
      <w:bookmarkStart w:id="6" w:name="_GoBack"/>
      <w:bookmarkEnd w:id="6"/>
      <w:r w:rsidRPr="00FE3B33">
        <w:t xml:space="preserve">des </w:t>
      </w:r>
      <w:r w:rsidR="00CF447F" w:rsidRPr="00FE3B33">
        <w:t>de la República de Armenia competentes en el ámbito de la cooperación judicial en materia penal</w:t>
      </w:r>
      <w:bookmarkEnd w:id="5"/>
      <w:r w:rsidRPr="00FE3B33">
        <w:t xml:space="preserve"> </w:t>
      </w:r>
      <w:bookmarkStart w:id="7" w:name="References"/>
      <w:r w:rsidRPr="00FE3B33">
        <w:t>(17085/2023 – C9-0145/2024 – 2023/0400(NLE))</w:t>
      </w:r>
      <w:bookmarkEnd w:id="7"/>
    </w:p>
    <w:p w:rsidR="000809A1" w:rsidRPr="00FE3B33" w:rsidRDefault="000809A1" w:rsidP="000809A1"/>
    <w:p w:rsidR="00480C1B" w:rsidRPr="00FE3B33" w:rsidRDefault="00480C1B" w:rsidP="00480C1B">
      <w:pPr>
        <w:pStyle w:val="NormalBold"/>
      </w:pPr>
      <w:bookmarkStart w:id="8" w:name="TextBodyBegin"/>
      <w:bookmarkEnd w:id="8"/>
      <w:r w:rsidRPr="00FE3B33">
        <w:t>(Aprobación)</w:t>
      </w:r>
    </w:p>
    <w:p w:rsidR="00480C1B" w:rsidRPr="00FE3B33" w:rsidRDefault="00480C1B" w:rsidP="00480C1B">
      <w:pPr>
        <w:pStyle w:val="EPComma"/>
        <w:spacing w:before="240"/>
      </w:pPr>
      <w:r w:rsidRPr="00FE3B33">
        <w:rPr>
          <w:i/>
          <w:iCs/>
        </w:rPr>
        <w:t>El Parlamento Europeo</w:t>
      </w:r>
      <w:r w:rsidRPr="00FE3B33">
        <w:t>,</w:t>
      </w:r>
    </w:p>
    <w:p w:rsidR="00480C1B" w:rsidRPr="00FE3B33" w:rsidRDefault="00480C1B" w:rsidP="00480C1B">
      <w:pPr>
        <w:pStyle w:val="NormalHanging12a"/>
      </w:pPr>
      <w:r w:rsidRPr="00FE3B33">
        <w:t>–</w:t>
      </w:r>
      <w:r w:rsidRPr="00FE3B33">
        <w:tab/>
        <w:t xml:space="preserve">Vista </w:t>
      </w:r>
      <w:r w:rsidR="00CF447F" w:rsidRPr="00FE3B33">
        <w:t xml:space="preserve">el proyecto </w:t>
      </w:r>
      <w:r w:rsidRPr="00FE3B33">
        <w:t>de Decisión del Consejo (</w:t>
      </w:r>
      <w:r w:rsidR="00CF447F" w:rsidRPr="00FE3B33">
        <w:t>17085/2023</w:t>
      </w:r>
      <w:r w:rsidRPr="00FE3B33">
        <w:t>),</w:t>
      </w:r>
    </w:p>
    <w:p w:rsidR="00480C1B" w:rsidRPr="00FE3B33" w:rsidRDefault="00480C1B" w:rsidP="00480C1B">
      <w:pPr>
        <w:pStyle w:val="NormalHanging12a"/>
      </w:pPr>
      <w:r w:rsidRPr="00FE3B33">
        <w:t>–</w:t>
      </w:r>
      <w:r w:rsidRPr="00FE3B33">
        <w:tab/>
        <w:t xml:space="preserve">Visto el proyecto de Acuerdo entre la Unión Europea y la República de Armenia sobre la cooperación entre la Agencia de la Unión Europea para la Cooperación Judicial Penal (Eurojust) </w:t>
      </w:r>
      <w:r w:rsidR="00CF447F" w:rsidRPr="00FE3B33">
        <w:t>y las autoridades de la República de Armenia competentes en el ámbito de la cooperación judicial en materia penal</w:t>
      </w:r>
      <w:r w:rsidRPr="00FE3B33">
        <w:t xml:space="preserve"> (</w:t>
      </w:r>
      <w:r w:rsidR="00CF447F" w:rsidRPr="00FE3B33">
        <w:t>17080</w:t>
      </w:r>
      <w:r w:rsidRPr="00FE3B33">
        <w:t>/2023),</w:t>
      </w:r>
    </w:p>
    <w:p w:rsidR="00480C1B" w:rsidRPr="00FE3B33" w:rsidRDefault="00480C1B" w:rsidP="00480C1B">
      <w:pPr>
        <w:pStyle w:val="NormalHanging12a"/>
      </w:pPr>
      <w:r w:rsidRPr="00FE3B33">
        <w:t>–</w:t>
      </w:r>
      <w:r w:rsidRPr="00FE3B33">
        <w:tab/>
        <w:t>Vista la solicitud de aprobación presentada por el Consejo de conformidad con el artículo 16, apartado 2, así como con el artículo 85 en relación con el artículo 218, apartado 6, párrafo segundo, letra a), inciso v), y apartado 7, del Tratado de Funcionamiento de la Unión Europea (C9</w:t>
      </w:r>
      <w:r w:rsidRPr="00FE3B33">
        <w:noBreakHyphen/>
        <w:t>0145/2024),</w:t>
      </w:r>
    </w:p>
    <w:p w:rsidR="00480C1B" w:rsidRPr="00FE3B33" w:rsidRDefault="00480C1B" w:rsidP="00480C1B">
      <w:pPr>
        <w:pStyle w:val="NormalHanging12a"/>
      </w:pPr>
      <w:r w:rsidRPr="00FE3B33">
        <w:t>–</w:t>
      </w:r>
      <w:r w:rsidRPr="00FE3B33">
        <w:tab/>
        <w:t>Visto el artículo 105, apartados 1 y 4, así como el artículo 114, apartado 7, de su Reglamento interno,</w:t>
      </w:r>
    </w:p>
    <w:p w:rsidR="00480C1B" w:rsidRPr="00FE3B33" w:rsidRDefault="00480C1B" w:rsidP="00480C1B">
      <w:pPr>
        <w:pStyle w:val="NormalHanging12a"/>
      </w:pPr>
      <w:r w:rsidRPr="00FE3B33">
        <w:lastRenderedPageBreak/>
        <w:t>–</w:t>
      </w:r>
      <w:r w:rsidRPr="00FE3B33">
        <w:tab/>
        <w:t>Vista la Recomendación de la Comisión de Libertades Civiles, Justicia y Asuntos de Interior (A9</w:t>
      </w:r>
      <w:r w:rsidRPr="00FE3B33">
        <w:noBreakHyphen/>
        <w:t>0165/2024),</w:t>
      </w:r>
    </w:p>
    <w:p w:rsidR="00480C1B" w:rsidRPr="00FE3B33" w:rsidRDefault="00480C1B" w:rsidP="00480C1B">
      <w:pPr>
        <w:pStyle w:val="NormalHanging12a"/>
      </w:pPr>
      <w:r w:rsidRPr="00FE3B33">
        <w:t>1.</w:t>
      </w:r>
      <w:r w:rsidRPr="00FE3B33">
        <w:tab/>
        <w:t>Concede su aprobación a la celebración del Acuerdo;</w:t>
      </w:r>
    </w:p>
    <w:p w:rsidR="00E365E1" w:rsidRPr="00FE3B33" w:rsidRDefault="00480C1B" w:rsidP="00CF447F">
      <w:pPr>
        <w:pStyle w:val="NormalHanging12a"/>
      </w:pPr>
      <w:r w:rsidRPr="00FE3B33">
        <w:t>2.</w:t>
      </w:r>
      <w:r w:rsidRPr="00FE3B33">
        <w:tab/>
        <w:t>Encarga a su presidenta que transmita la Posición del Parlamento al Consejo y a la Comisión, así como a los Gobiernos y Parlamentos de los Estados miembros y de la República de Armenia.</w:t>
      </w:r>
      <w:bookmarkStart w:id="9" w:name="TextBodyEnd"/>
      <w:bookmarkEnd w:id="9"/>
    </w:p>
    <w:sectPr w:rsidR="00E365E1" w:rsidRPr="00FE3B33" w:rsidSect="00D567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A1" w:rsidRPr="00D5672C" w:rsidRDefault="000809A1">
      <w:r w:rsidRPr="00D5672C">
        <w:separator/>
      </w:r>
    </w:p>
  </w:endnote>
  <w:endnote w:type="continuationSeparator" w:id="0">
    <w:p w:rsidR="000809A1" w:rsidRPr="00D5672C" w:rsidRDefault="000809A1">
      <w:r w:rsidRPr="00D56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A1" w:rsidRPr="00D5672C" w:rsidRDefault="000809A1">
      <w:r w:rsidRPr="00D5672C">
        <w:separator/>
      </w:r>
    </w:p>
  </w:footnote>
  <w:footnote w:type="continuationSeparator" w:id="0">
    <w:p w:rsidR="000809A1" w:rsidRPr="00D5672C" w:rsidRDefault="000809A1">
      <w:r w:rsidRPr="00D567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6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ES"/>
    <w:docVar w:name="dvnumam" w:val="0"/>
    <w:docVar w:name="dvpe" w:val="758.068"/>
    <w:docVar w:name="dvrapporteur" w:val="Ponente: "/>
    <w:docVar w:name="dvstar" w:val="***"/>
    <w:docVar w:name="dvtitre" w:val="Resolución legislativa del Parlamento Europeo, de 10 de abril de 2024, sobre la propuesta de Decisión del Consejo relativa a la celebración del Acuerdo entre la Unión Europea, por una parte, y la República de Armenia, por otra, sobre la cooperación entre la Agencia de la Unión Europea para la Cooperación Judicial Penal (Eurojust) y las autoridades competentes en el ámbito de la cooperación judicial en materia penal de la República de Armenia(17085/2023 – C9-0145/2024 – 2023/0400(NLE))"/>
  </w:docVars>
  <w:rsids>
    <w:rsidRoot w:val="000809A1"/>
    <w:rsid w:val="00002272"/>
    <w:rsid w:val="00064002"/>
    <w:rsid w:val="000677B9"/>
    <w:rsid w:val="000809A1"/>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C1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47F"/>
    <w:rsid w:val="00D058B8"/>
    <w:rsid w:val="00D5672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B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256D3"/>
  <w15:chartTrackingRefBased/>
  <w15:docId w15:val="{DE1F5175-8262-4D0E-9666-71ED2A87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0C1B"/>
    <w:pPr>
      <w:spacing w:before="480" w:after="240"/>
    </w:pPr>
  </w:style>
  <w:style w:type="paragraph" w:customStyle="1" w:styleId="NormalBold">
    <w:name w:val="NormalBold"/>
    <w:basedOn w:val="Normal"/>
    <w:rsid w:val="00480C1B"/>
    <w:rPr>
      <w:b/>
    </w:rPr>
  </w:style>
  <w:style w:type="paragraph" w:customStyle="1" w:styleId="NormalHanging12a">
    <w:name w:val="NormalHanging12a"/>
    <w:basedOn w:val="Normal"/>
    <w:rsid w:val="00480C1B"/>
    <w:pPr>
      <w:spacing w:after="240"/>
      <w:ind w:left="567" w:hanging="567"/>
    </w:pPr>
  </w:style>
  <w:style w:type="paragraph" w:styleId="BalloonText">
    <w:name w:val="Balloon Text"/>
    <w:basedOn w:val="Normal"/>
    <w:link w:val="BalloonTextChar"/>
    <w:rsid w:val="00CF447F"/>
    <w:rPr>
      <w:rFonts w:ascii="Segoe UI" w:hAnsi="Segoe UI" w:cs="Segoe UI"/>
      <w:sz w:val="18"/>
      <w:szCs w:val="18"/>
    </w:rPr>
  </w:style>
  <w:style w:type="character" w:customStyle="1" w:styleId="BalloonTextChar">
    <w:name w:val="Balloon Text Char"/>
    <w:basedOn w:val="DefaultParagraphFont"/>
    <w:link w:val="BalloonText"/>
    <w:rsid w:val="00CF447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FFA2B-CBD2-4A9C-B6AA-BB7D6BBB5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2024-04-10T16:43:00Z</dcterms:created>
  <dcterms:modified xsi:type="dcterms:W3CDTF">2024-04-10T16:43:00Z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A9-0165/2024</vt:lpwstr>
  </property>
  <property fmtid="{D5CDD505-2E9C-101B-9397-08002B2CF9AE}" pid="4" name="&lt;Type&gt;">
    <vt:lpwstr>RR</vt:lpwstr>
  </property>
</Properties>
</file>