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ED1" w:rsidTr="0010095E">
        <w:trPr>
          <w:trHeight w:hRule="exact" w:val="1418"/>
        </w:trPr>
        <w:tc>
          <w:tcPr>
            <w:tcW w:w="6804" w:type="dxa"/>
            <w:shd w:val="clear" w:color="auto" w:fill="auto"/>
            <w:vAlign w:val="center"/>
          </w:tcPr>
          <w:p w:rsidR="00751A4A" w:rsidRPr="00344ED1" w:rsidRDefault="0042636E" w:rsidP="0010095E">
            <w:pPr>
              <w:pStyle w:val="EPName"/>
            </w:pPr>
            <w:r w:rsidRPr="00344ED1">
              <w:t>Europos Parlamentas</w:t>
            </w:r>
          </w:p>
          <w:p w:rsidR="00751A4A" w:rsidRPr="00344ED1" w:rsidRDefault="00817416" w:rsidP="00756632">
            <w:pPr>
              <w:pStyle w:val="EPTerm"/>
              <w:rPr>
                <w:rStyle w:val="HideTWBExt"/>
                <w:noProof w:val="0"/>
                <w:vanish w:val="0"/>
                <w:color w:val="auto"/>
              </w:rPr>
            </w:pPr>
            <w:r w:rsidRPr="00344ED1">
              <w:t>2019-2024</w:t>
            </w:r>
          </w:p>
        </w:tc>
        <w:tc>
          <w:tcPr>
            <w:tcW w:w="2268" w:type="dxa"/>
            <w:shd w:val="clear" w:color="auto" w:fill="auto"/>
          </w:tcPr>
          <w:p w:rsidR="00751A4A" w:rsidRPr="00344ED1" w:rsidRDefault="00187494" w:rsidP="0010095E">
            <w:pPr>
              <w:pStyle w:val="EPLogo"/>
            </w:pPr>
            <w:r w:rsidRPr="00344ED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4ED1" w:rsidRDefault="00D058B8" w:rsidP="004C5D52">
      <w:pPr>
        <w:pStyle w:val="LineTop"/>
      </w:pPr>
    </w:p>
    <w:p w:rsidR="00680577" w:rsidRPr="00344ED1" w:rsidRDefault="0042636E" w:rsidP="00680577">
      <w:pPr>
        <w:pStyle w:val="EPBodyTA1"/>
      </w:pPr>
      <w:r w:rsidRPr="00344ED1">
        <w:t>PRIIMTI TEKSTAI</w:t>
      </w:r>
    </w:p>
    <w:p w:rsidR="00D058B8" w:rsidRPr="00344ED1" w:rsidRDefault="00D058B8" w:rsidP="00D058B8">
      <w:pPr>
        <w:pStyle w:val="LineBottom"/>
      </w:pPr>
    </w:p>
    <w:p w:rsidR="0042636E" w:rsidRPr="00344ED1" w:rsidRDefault="0042636E" w:rsidP="0042636E">
      <w:pPr>
        <w:pStyle w:val="ATHeading1"/>
      </w:pPr>
      <w:bookmarkStart w:id="0" w:name="TANumber"/>
      <w:r w:rsidRPr="00344ED1">
        <w:t>P9_TA(2024)0</w:t>
      </w:r>
      <w:r w:rsidR="00EB273A">
        <w:t>218</w:t>
      </w:r>
      <w:bookmarkEnd w:id="0"/>
    </w:p>
    <w:p w:rsidR="0042636E" w:rsidRPr="00344ED1" w:rsidRDefault="0042636E" w:rsidP="0042636E">
      <w:pPr>
        <w:pStyle w:val="ATHeading2"/>
      </w:pPr>
      <w:bookmarkStart w:id="1" w:name="title"/>
      <w:r w:rsidRPr="00344ED1">
        <w:t>Labai mažų, mažųjų ir vidutinių įmonių pagrindine buveine grindžiamos mokesčių sistemos nustatymas ir dalinis Direktyvos 2011/16/ES keitimas</w:t>
      </w:r>
      <w:bookmarkEnd w:id="1"/>
    </w:p>
    <w:p w:rsidR="0042636E" w:rsidRPr="00344ED1" w:rsidRDefault="0042636E" w:rsidP="0042636E">
      <w:pPr>
        <w:rPr>
          <w:i/>
          <w:vanish/>
        </w:rPr>
      </w:pPr>
      <w:r w:rsidRPr="00344ED1">
        <w:rPr>
          <w:i/>
        </w:rPr>
        <w:fldChar w:fldCharType="begin"/>
      </w:r>
      <w:r w:rsidRPr="00344ED1">
        <w:rPr>
          <w:i/>
        </w:rPr>
        <w:instrText xml:space="preserve"> TC"(</w:instrText>
      </w:r>
      <w:bookmarkStart w:id="2" w:name="DocNumber"/>
      <w:r w:rsidRPr="00344ED1">
        <w:rPr>
          <w:i/>
        </w:rPr>
        <w:instrText>A9-0064/2024</w:instrText>
      </w:r>
      <w:bookmarkEnd w:id="2"/>
      <w:r w:rsidRPr="00344ED1">
        <w:rPr>
          <w:i/>
        </w:rPr>
        <w:instrText xml:space="preserve"> - Pranešėja: Lídia Pereira)"\l3 \n&gt; \* MERGEFORMAT </w:instrText>
      </w:r>
      <w:r w:rsidRPr="00344ED1">
        <w:rPr>
          <w:i/>
        </w:rPr>
        <w:fldChar w:fldCharType="end"/>
      </w:r>
    </w:p>
    <w:p w:rsidR="0042636E" w:rsidRPr="00344ED1" w:rsidRDefault="0042636E" w:rsidP="0042636E">
      <w:pPr>
        <w:rPr>
          <w:vanish/>
        </w:rPr>
      </w:pPr>
      <w:bookmarkStart w:id="3" w:name="Commission"/>
      <w:r w:rsidRPr="00344ED1">
        <w:rPr>
          <w:vanish/>
        </w:rPr>
        <w:t>Ekonomikos ir pinigų politikos komitetas</w:t>
      </w:r>
      <w:bookmarkEnd w:id="3"/>
    </w:p>
    <w:p w:rsidR="0042636E" w:rsidRPr="00344ED1" w:rsidRDefault="0042636E" w:rsidP="0042636E">
      <w:pPr>
        <w:rPr>
          <w:vanish/>
        </w:rPr>
      </w:pPr>
      <w:bookmarkStart w:id="4" w:name="PE"/>
      <w:r w:rsidRPr="00344ED1">
        <w:rPr>
          <w:vanish/>
        </w:rPr>
        <w:t>PE755.999</w:t>
      </w:r>
      <w:bookmarkEnd w:id="4"/>
    </w:p>
    <w:p w:rsidR="0042636E" w:rsidRPr="00344ED1" w:rsidRDefault="00FF4F96" w:rsidP="0042636E">
      <w:pPr>
        <w:pStyle w:val="ATHeading3"/>
      </w:pPr>
      <w:bookmarkStart w:id="5" w:name="Sujet"/>
      <w:r>
        <w:t xml:space="preserve">2024 m. balandžio 10 d. </w:t>
      </w:r>
      <w:r w:rsidR="0042636E" w:rsidRPr="00344ED1">
        <w:t>Europos Parlamento teisėkūros rezoliucija dėl pasiūlymo dėl Tarybos direktyvos, kuria nustatoma labai mažų, mažųjų ir vidutinių įmonių pagrindine buveine grindžiama mokesčių sistema ir iš dalies keičiama Direktyva 2011/16/ES</w:t>
      </w:r>
      <w:bookmarkEnd w:id="5"/>
      <w:r w:rsidR="0042636E" w:rsidRPr="00344ED1">
        <w:t xml:space="preserve"> </w:t>
      </w:r>
      <w:bookmarkStart w:id="6" w:name="References"/>
      <w:r w:rsidR="0042636E" w:rsidRPr="00344ED1">
        <w:t>(COM(2023)0528 – C9-0340/2023 – 2023/0320(CNS))</w:t>
      </w:r>
      <w:bookmarkEnd w:id="6"/>
    </w:p>
    <w:p w:rsidR="0042636E" w:rsidRPr="00344ED1" w:rsidRDefault="0042636E" w:rsidP="0042636E"/>
    <w:p w:rsidR="001E13C1" w:rsidRPr="00344ED1" w:rsidRDefault="001E13C1" w:rsidP="001E13C1">
      <w:pPr>
        <w:pStyle w:val="NormalBold"/>
      </w:pPr>
      <w:bookmarkStart w:id="7" w:name="TextBodyBegin"/>
      <w:bookmarkEnd w:id="7"/>
      <w:r w:rsidRPr="00344ED1">
        <w:t>(Speciali teisėkūros procedūra: konsultavimasis)</w:t>
      </w:r>
    </w:p>
    <w:p w:rsidR="001E13C1" w:rsidRPr="00344ED1" w:rsidRDefault="001E13C1" w:rsidP="001E13C1">
      <w:pPr>
        <w:pStyle w:val="EPComma"/>
      </w:pPr>
      <w:r w:rsidRPr="00344ED1">
        <w:rPr>
          <w:i/>
        </w:rPr>
        <w:t>Europos Parlamentas</w:t>
      </w:r>
      <w:r w:rsidRPr="00344ED1">
        <w:t>,</w:t>
      </w:r>
    </w:p>
    <w:p w:rsidR="001E13C1" w:rsidRPr="00344ED1" w:rsidRDefault="001E13C1" w:rsidP="001E13C1">
      <w:pPr>
        <w:pStyle w:val="NormalHanging12a"/>
      </w:pPr>
      <w:r w:rsidRPr="00344ED1">
        <w:t>–</w:t>
      </w:r>
      <w:r w:rsidRPr="00344ED1">
        <w:tab/>
        <w:t>atsižvelgdamas į Komisijos pasiūlymą Tarybai (COM(2023)0528),</w:t>
      </w:r>
    </w:p>
    <w:p w:rsidR="001E13C1" w:rsidRPr="00344ED1" w:rsidRDefault="001E13C1" w:rsidP="001E13C1">
      <w:pPr>
        <w:pStyle w:val="NormalHanging12a"/>
      </w:pPr>
      <w:r w:rsidRPr="00344ED1">
        <w:t>–</w:t>
      </w:r>
      <w:r w:rsidRPr="00344ED1">
        <w:tab/>
        <w:t>atsižvelgdamas į Sutarties dėl Europos Sąjungos veikimo 115 straipsnį, pagal kurį Taryba kreipėsi į Parlamentą dėl konsultacijos (C9</w:t>
      </w:r>
      <w:r w:rsidRPr="00344ED1">
        <w:noBreakHyphen/>
        <w:t>0340/2023),</w:t>
      </w:r>
    </w:p>
    <w:p w:rsidR="001E13C1" w:rsidRPr="00344ED1" w:rsidRDefault="001E13C1" w:rsidP="001E13C1">
      <w:pPr>
        <w:pStyle w:val="NormalHanging12a"/>
      </w:pPr>
      <w:r w:rsidRPr="00344ED1">
        <w:t>–</w:t>
      </w:r>
      <w:r w:rsidRPr="00344ED1">
        <w:tab/>
        <w:t>atsižvelgdamas į Švedijos parlamento pagal Protokolą Nr. 2 dėl subsidiarumo ir proporcingumo principų taikymo pateiktą pagrįstą nuomonę, kurioje tvirtinama, kad teisėkūros procedūra priimamo akto projektas neatitinka su</w:t>
      </w:r>
      <w:bookmarkStart w:id="8" w:name="_GoBack"/>
      <w:bookmarkEnd w:id="8"/>
      <w:r w:rsidRPr="00344ED1">
        <w:t>bsidiarumo principo,</w:t>
      </w:r>
    </w:p>
    <w:p w:rsidR="001E13C1" w:rsidRPr="00344ED1" w:rsidRDefault="001E13C1" w:rsidP="001E13C1">
      <w:pPr>
        <w:pStyle w:val="NormalHanging12a"/>
      </w:pPr>
      <w:r w:rsidRPr="00344ED1">
        <w:t>–</w:t>
      </w:r>
      <w:r w:rsidRPr="00344ED1">
        <w:tab/>
        <w:t>atsižvelgdamas į Darbo tvarkos taisyklių 82 straipsnį,</w:t>
      </w:r>
    </w:p>
    <w:p w:rsidR="001E13C1" w:rsidRPr="00344ED1" w:rsidRDefault="001E13C1" w:rsidP="001E13C1">
      <w:pPr>
        <w:pStyle w:val="NormalHanging12a"/>
      </w:pPr>
      <w:r w:rsidRPr="00344ED1">
        <w:t>–</w:t>
      </w:r>
      <w:r w:rsidRPr="00344ED1">
        <w:tab/>
        <w:t>atsižvelgdamas į Ekonomikos ir pinigų politikos komiteto pranešimą (A9-0064/2024),</w:t>
      </w:r>
    </w:p>
    <w:p w:rsidR="001E13C1" w:rsidRPr="00344ED1" w:rsidRDefault="001E13C1" w:rsidP="001E13C1">
      <w:pPr>
        <w:pStyle w:val="NormalHanging12a"/>
      </w:pPr>
      <w:r w:rsidRPr="00344ED1">
        <w:t>1.</w:t>
      </w:r>
      <w:r w:rsidRPr="00344ED1">
        <w:tab/>
        <w:t>pritaria Komisijos pasiūlymui su pakeitimais;</w:t>
      </w:r>
    </w:p>
    <w:p w:rsidR="001E13C1" w:rsidRPr="00344ED1" w:rsidRDefault="001E13C1" w:rsidP="001E13C1">
      <w:pPr>
        <w:pStyle w:val="NormalHanging12a"/>
      </w:pPr>
      <w:r w:rsidRPr="00344ED1">
        <w:t>2.</w:t>
      </w:r>
      <w:r w:rsidRPr="00344ED1">
        <w:tab/>
        <w:t>ragina Komisiją atitinkamai pakeisti savo pasiūlymą pagal Sutarties dėl Europos Sąjungos veikimo 293 straipsnio 2 dalį;</w:t>
      </w:r>
    </w:p>
    <w:p w:rsidR="001E13C1" w:rsidRPr="00344ED1" w:rsidRDefault="001E13C1" w:rsidP="001E13C1">
      <w:pPr>
        <w:pStyle w:val="NormalHanging12a"/>
      </w:pPr>
      <w:r w:rsidRPr="00344ED1">
        <w:t>3.</w:t>
      </w:r>
      <w:r w:rsidRPr="00344ED1">
        <w:tab/>
        <w:t>ragina Tarybą pranešti Parlamentui, jei ji ketina nukrypti nuo teksto, kuriam pritarė Parlamentas;</w:t>
      </w:r>
    </w:p>
    <w:p w:rsidR="001E13C1" w:rsidRPr="00344ED1" w:rsidRDefault="001E13C1" w:rsidP="001E13C1">
      <w:pPr>
        <w:pStyle w:val="NormalHanging12a"/>
      </w:pPr>
      <w:r w:rsidRPr="00344ED1">
        <w:t>4.</w:t>
      </w:r>
      <w:r w:rsidRPr="00344ED1">
        <w:tab/>
        <w:t>ragina Tarybą dar kartą konsultuotis su Parlamentu, jei ji ketina iš esmės keisti Komisijos pasiūlymą;</w:t>
      </w:r>
    </w:p>
    <w:p w:rsidR="001E13C1" w:rsidRPr="00344ED1" w:rsidRDefault="001E13C1" w:rsidP="001E13C1">
      <w:pPr>
        <w:pStyle w:val="NormalHanging12a"/>
      </w:pPr>
      <w:r w:rsidRPr="00344ED1">
        <w:t>5.</w:t>
      </w:r>
      <w:r w:rsidRPr="00344ED1">
        <w:tab/>
        <w:t xml:space="preserve">paveda Pirmininkei perduoti poziciją Tarybai, Komisijai ir nacionaliniams </w:t>
      </w:r>
      <w:r w:rsidRPr="00344ED1">
        <w:lastRenderedPageBreak/>
        <w:t>parlamentams.</w:t>
      </w:r>
    </w:p>
    <w:p w:rsidR="001E13C1" w:rsidRPr="00344ED1" w:rsidRDefault="001E13C1" w:rsidP="001E13C1">
      <w:pPr>
        <w:pStyle w:val="NormalHanging12a"/>
      </w:pPr>
    </w:p>
    <w:p w:rsidR="001E13C1" w:rsidRPr="00344ED1" w:rsidRDefault="001E13C1" w:rsidP="001E13C1">
      <w:pPr>
        <w:pStyle w:val="AmNumberTabs"/>
        <w:keepNext/>
      </w:pPr>
      <w:r w:rsidRPr="00344ED1">
        <w:t>Pakeitimas</w:t>
      </w:r>
      <w:r w:rsidRPr="00344ED1">
        <w:tab/>
      </w:r>
      <w:r w:rsidRPr="00344ED1">
        <w:tab/>
        <w:t>1</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 xml:space="preserve">Sąjungoje šiuo metu nėra bendro požiūrio į įmonių mokesčio bazės apskaičiavimą. Todėl </w:t>
            </w:r>
            <w:r w:rsidRPr="00344ED1">
              <w:rPr>
                <w:b/>
                <w:i/>
              </w:rPr>
              <w:t>ES</w:t>
            </w:r>
            <w:r w:rsidRPr="00344ED1">
              <w:t xml:space="preserve"> įmonės privalo laikytis skirtingų įmonių pelno mokesčio sistemų taisyklių, priklausomai nuo to, kurioje valstybėje narėje jos veikia</w:t>
            </w:r>
            <w:r w:rsidRPr="00344ED1">
              <w:rPr>
                <w:b/>
                <w:i/>
              </w:rPr>
              <w:t>;</w:t>
            </w:r>
          </w:p>
        </w:tc>
        <w:tc>
          <w:tcPr>
            <w:tcW w:w="4876" w:type="dxa"/>
          </w:tcPr>
          <w:p w:rsidR="001E13C1" w:rsidRPr="00344ED1" w:rsidRDefault="001E13C1" w:rsidP="00AF1FBD">
            <w:pPr>
              <w:pStyle w:val="Normal6a"/>
              <w:rPr>
                <w:szCs w:val="24"/>
              </w:rPr>
            </w:pPr>
            <w:r w:rsidRPr="00344ED1">
              <w:t>(1)</w:t>
            </w:r>
            <w:r w:rsidRPr="00344ED1">
              <w:tab/>
              <w:t xml:space="preserve">Sąjungoje šiuo metu nėra bendro požiūrio į </w:t>
            </w:r>
            <w:r w:rsidRPr="00344ED1">
              <w:rPr>
                <w:b/>
                <w:i/>
              </w:rPr>
              <w:t xml:space="preserve">tarpvalstybinę veiklą vykdančių </w:t>
            </w:r>
            <w:r w:rsidRPr="00344ED1">
              <w:t xml:space="preserve">įmonių mokesčio bazės apskaičiavimą. Todėl </w:t>
            </w:r>
            <w:r w:rsidRPr="00344ED1">
              <w:rPr>
                <w:b/>
                <w:i/>
              </w:rPr>
              <w:t>Sąjungos</w:t>
            </w:r>
            <w:r w:rsidRPr="00344ED1">
              <w:t xml:space="preserve"> įmonės privalo laikytis skirtingų įmonių pelno mokesčio sistemų taisyklių, priklausomai nuo to, kurioje valstybėje narėje jos veikia</w:t>
            </w:r>
            <w:r w:rsidRPr="00344ED1">
              <w:rPr>
                <w:b/>
                <w:i/>
              </w:rPr>
              <w:t>, o tai yra kliūtis mažosioms ir vidutinėms įmonėms (MVĮ) patekti į vidaus rinką.</w:t>
            </w:r>
            <w:r w:rsidRPr="00344ED1">
              <w:t xml:space="preserve"> </w:t>
            </w:r>
            <w:r w:rsidRPr="00344ED1">
              <w:rPr>
                <w:b/>
                <w:i/>
              </w:rPr>
              <w:t>Sąjungos įmonės, visų pirma MVĮ, patiria didelių su mokesčiais susijusių reikalavimų laikymosi išlaidų, nes nėra sprendimo, kaip apskaičiuoti jų mokesčio bazę</w:t>
            </w:r>
            <w:r w:rsidR="00AF1FBD">
              <w:rPr>
                <w:b/>
                <w:i/>
              </w:rPr>
              <w:t>;</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2</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2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r>
            <w:r w:rsidRPr="00344ED1">
              <w:rPr>
                <w:b/>
                <w:i/>
              </w:rPr>
              <w:t>dėl</w:t>
            </w:r>
            <w:r w:rsidRPr="00344ED1">
              <w:t xml:space="preserve"> 27 skirtingų </w:t>
            </w:r>
            <w:r w:rsidRPr="00344ED1">
              <w:rPr>
                <w:b/>
                <w:i/>
              </w:rPr>
              <w:t xml:space="preserve">įmonių </w:t>
            </w:r>
            <w:r w:rsidRPr="00344ED1">
              <w:t xml:space="preserve">pelno mokesčio sistemų </w:t>
            </w:r>
            <w:r w:rsidRPr="00344ED1">
              <w:rPr>
                <w:b/>
                <w:i/>
              </w:rPr>
              <w:t>koegzistavimo</w:t>
            </w:r>
            <w:r w:rsidRPr="00344ED1">
              <w:t xml:space="preserve"> ir </w:t>
            </w:r>
            <w:r w:rsidRPr="00344ED1">
              <w:rPr>
                <w:b/>
                <w:i/>
              </w:rPr>
              <w:t>sąveikos</w:t>
            </w:r>
            <w:r w:rsidRPr="00344ED1">
              <w:t xml:space="preserve"> Sąjungoje </w:t>
            </w:r>
            <w:r w:rsidRPr="00344ED1">
              <w:rPr>
                <w:b/>
                <w:i/>
              </w:rPr>
              <w:t>sudėtinga vykdyti mokestines prievoles</w:t>
            </w:r>
            <w:r w:rsidRPr="00344ED1">
              <w:t xml:space="preserve"> ir įmonėms </w:t>
            </w:r>
            <w:r w:rsidRPr="00344ED1">
              <w:rPr>
                <w:b/>
                <w:i/>
              </w:rPr>
              <w:t>sudaromos nevienodos sąlygos</w:t>
            </w:r>
            <w:r w:rsidRPr="00344ED1">
              <w:t xml:space="preserve">. Tokia padėtis daro </w:t>
            </w:r>
            <w:r w:rsidRPr="00344ED1">
              <w:rPr>
                <w:b/>
                <w:i/>
              </w:rPr>
              <w:t>didesnį</w:t>
            </w:r>
            <w:r w:rsidRPr="00344ED1">
              <w:t xml:space="preserve"> poveikį MVĮ </w:t>
            </w:r>
            <w:r w:rsidRPr="00344ED1">
              <w:rPr>
                <w:b/>
                <w:i/>
              </w:rPr>
              <w:t>nei didesniems mokesčių mokėtojams</w:t>
            </w:r>
            <w:r w:rsidRPr="00344ED1">
              <w:t xml:space="preserve"> ir šis poveikis tapo akivaizdesnis, nes globalizacija ir ekonomikos skaitmeninimas labai pakeitė sienų ir verslo modelių suvokimą</w:t>
            </w:r>
            <w:r w:rsidRPr="00344ED1">
              <w:rPr>
                <w:b/>
                <w:i/>
              </w:rPr>
              <w:t>.</w:t>
            </w:r>
            <w:r w:rsidRPr="00344ED1">
              <w:t xml:space="preserve"> </w:t>
            </w:r>
            <w:r w:rsidRPr="00344ED1">
              <w:rPr>
                <w:b/>
                <w:i/>
              </w:rPr>
              <w:t>Vyriausybių pastangos prisitaikyti prie šios naujos tikrovės lėmė nevienodą valstybių narių atsaką, o tai dar labiau iškreipė vidaus rinką.</w:t>
            </w:r>
            <w:r w:rsidRPr="00344ED1">
              <w:t xml:space="preserve"> Be to, dėl įvairių teisinių sistemų valstybėse narėse </w:t>
            </w:r>
            <w:r w:rsidRPr="00344ED1">
              <w:rPr>
                <w:b/>
                <w:i/>
              </w:rPr>
              <w:t xml:space="preserve">neišvengiamai </w:t>
            </w:r>
            <w:r w:rsidRPr="00344ED1">
              <w:t xml:space="preserve">atsiranda skirtinga mokesčių administravimo praktika. Todėl procedūros dažnai ilgos, nenuspėjamos ir nenuoseklios, o </w:t>
            </w:r>
            <w:r w:rsidRPr="00344ED1">
              <w:lastRenderedPageBreak/>
              <w:t>reikalavimų laikymosi išlaidos – didelės</w:t>
            </w:r>
            <w:r w:rsidRPr="00344ED1">
              <w:rPr>
                <w:b/>
                <w:i/>
              </w:rPr>
              <w:t>;</w:t>
            </w:r>
          </w:p>
        </w:tc>
        <w:tc>
          <w:tcPr>
            <w:tcW w:w="4876" w:type="dxa"/>
          </w:tcPr>
          <w:p w:rsidR="001E13C1" w:rsidRPr="00344ED1" w:rsidRDefault="001E13C1" w:rsidP="00AF1FBD">
            <w:pPr>
              <w:pStyle w:val="Normal6a"/>
              <w:rPr>
                <w:szCs w:val="24"/>
              </w:rPr>
            </w:pPr>
            <w:r w:rsidRPr="00344ED1">
              <w:lastRenderedPageBreak/>
              <w:t>(2)</w:t>
            </w:r>
            <w:r w:rsidRPr="00344ED1">
              <w:tab/>
              <w:t xml:space="preserve">27 skirtingų pelno mokesčio sistemų </w:t>
            </w:r>
            <w:r w:rsidRPr="00344ED1">
              <w:rPr>
                <w:b/>
                <w:i/>
              </w:rPr>
              <w:t>sambūvis</w:t>
            </w:r>
            <w:r w:rsidRPr="00344ED1">
              <w:t xml:space="preserve"> ir </w:t>
            </w:r>
            <w:r w:rsidRPr="00344ED1">
              <w:rPr>
                <w:b/>
                <w:i/>
              </w:rPr>
              <w:t>sąveika</w:t>
            </w:r>
            <w:r w:rsidRPr="00344ED1">
              <w:t xml:space="preserve"> Sąjungoje </w:t>
            </w:r>
            <w:r w:rsidRPr="00344ED1">
              <w:rPr>
                <w:b/>
                <w:i/>
              </w:rPr>
              <w:t>lemia mokestinių prievolių vykdymo sąnaudų sudėtingumą</w:t>
            </w:r>
            <w:r w:rsidRPr="00344ED1">
              <w:t xml:space="preserve"> ir</w:t>
            </w:r>
            <w:r w:rsidRPr="00344ED1">
              <w:rPr>
                <w:b/>
                <w:i/>
              </w:rPr>
              <w:t xml:space="preserve"> sudaro sąlygas</w:t>
            </w:r>
            <w:r w:rsidRPr="00344ED1">
              <w:t xml:space="preserve"> įmonėms </w:t>
            </w:r>
            <w:r w:rsidRPr="00344ED1">
              <w:rPr>
                <w:b/>
                <w:i/>
              </w:rPr>
              <w:t>sudaryti sąlygas, kurios gali neigiamai paveikti tarpvalstybines investicijas ir trukdyti vidaus rinkos plėtrai, palyginti su trečiosiomis šalimis</w:t>
            </w:r>
            <w:r w:rsidRPr="00344ED1">
              <w:t xml:space="preserve">. Tokia padėtis daro </w:t>
            </w:r>
            <w:r w:rsidRPr="00344ED1">
              <w:rPr>
                <w:b/>
                <w:i/>
              </w:rPr>
              <w:t>žymų</w:t>
            </w:r>
            <w:r w:rsidRPr="00344ED1">
              <w:t xml:space="preserve"> poveikį MVĮ </w:t>
            </w:r>
            <w:r w:rsidRPr="00344ED1">
              <w:rPr>
                <w:b/>
                <w:i/>
              </w:rPr>
              <w:t>ir smulkiesiems investuotojams</w:t>
            </w:r>
            <w:r w:rsidRPr="00344ED1">
              <w:t xml:space="preserve"> ir šis poveikis tapo akivaizdesnis, nes globalizacija ir ekonomikos skaitmeninimas labai pakeitė sienų ir verslo modelių suvokimą</w:t>
            </w:r>
            <w:r w:rsidRPr="00344ED1">
              <w:rPr>
                <w:b/>
                <w:i/>
              </w:rPr>
              <w:t>, visų pirma tolesnį vidaus rinkos vystymąsi</w:t>
            </w:r>
            <w:r w:rsidRPr="00344ED1">
              <w:t xml:space="preserve">, </w:t>
            </w:r>
            <w:r w:rsidRPr="00344ED1">
              <w:rPr>
                <w:b/>
                <w:i/>
              </w:rPr>
              <w:t>dėl kurio reikia imtis tolesnių priemonių</w:t>
            </w:r>
            <w:r w:rsidRPr="00344ED1">
              <w:t xml:space="preserve">. Be to, dėl įvairių teisinių sistemų valstybėse narėse atsiranda skirtinga mokesčių administravimo praktika. Todėl procedūros </w:t>
            </w:r>
            <w:r w:rsidRPr="00344ED1">
              <w:lastRenderedPageBreak/>
              <w:t>dažnai ilgos, nenuspėjamos ir nenuoseklios, o reikalavimų laikymosi išlaidos – didelės</w:t>
            </w:r>
            <w:r w:rsidRPr="00344ED1">
              <w:rPr>
                <w:b/>
                <w:i/>
              </w:rPr>
              <w:t xml:space="preserve"> ir tai labai veikia MVĮ, atgrasant jas nuo investicijų į daugiau nei į vieną valstybę narę.</w:t>
            </w:r>
            <w:r w:rsidRPr="00344ED1">
              <w:t xml:space="preserve"> </w:t>
            </w:r>
            <w:r w:rsidRPr="00344ED1">
              <w:rPr>
                <w:b/>
                <w:i/>
              </w:rPr>
              <w:t>Norint pagerinti bendradarbiavimą dėl sprendimų mokesčių srityje ir užbaigti, tobulinti ir toliau plėtoti mūsų vidaus rinką, būtinas valstybių tarpusavio pasitikėjimas ir sąžiningumas</w:t>
            </w:r>
            <w:r w:rsidR="00AF1FBD">
              <w:rPr>
                <w:b/>
                <w:i/>
              </w:rPr>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3</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2 a konstatuojamoji dalis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(2a)</w:t>
            </w:r>
            <w:r w:rsidRPr="00344ED1">
              <w:tab/>
            </w:r>
            <w:r w:rsidRPr="00344ED1">
              <w:rPr>
                <w:b/>
                <w:i/>
              </w:rPr>
              <w:t>24 milijonai Sąjungos įsteigtų MVĮ sukuria du trečdalius darbo vietų privačiame sektoriuje ir sudaro 99 proc. visų Sąjungos įmonių, kurios yra Sąjungos ekonomikos stuburas.</w:t>
            </w:r>
            <w:r w:rsidRPr="00344ED1">
              <w:t xml:space="preserve"> </w:t>
            </w:r>
            <w:r w:rsidRPr="00344ED1">
              <w:rPr>
                <w:b/>
                <w:i/>
              </w:rPr>
              <w:t>Todėl labai svarbu remti labai mažas įmones ir MVĮ, kad būtų skatinamas darbo vietų kūrimas, ekonomikos augimas, sąžininga ir skaidri konkurencija, remiamas konkurencingumas ir pritraukiamos investicijos.</w:t>
            </w:r>
            <w:r w:rsidRPr="00344ED1">
              <w:t xml:space="preserve"> </w:t>
            </w:r>
            <w:r w:rsidRPr="00344ED1">
              <w:rPr>
                <w:b/>
                <w:i/>
              </w:rPr>
              <w:t>Reguliavimo kliūtys arba administracinė našta tebėra pagrindinis Sąjungos MVĮ uždavinys</w:t>
            </w:r>
            <w:r w:rsidR="00AF1FBD">
              <w:rPr>
                <w:b/>
                <w:i/>
              </w:rPr>
              <w:t>;</w:t>
            </w:r>
            <w:r w:rsidRPr="00344ED1">
              <w:t xml:space="preserve"> </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4</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2 b konstatuojamoji dalis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(2b)</w:t>
            </w:r>
            <w:r w:rsidRPr="00344ED1">
              <w:tab/>
            </w:r>
            <w:r w:rsidRPr="00344ED1">
              <w:rPr>
                <w:b/>
                <w:i/>
              </w:rPr>
              <w:t xml:space="preserve">MVĮ išleidžia maždaug 2,5 proc. savo apyvartinių lėšų reikalavimų laikymosi išlaidoms, susijusioms su mokestinėmis prievolėmis. Labai mažų įmonių padėtis yra ypač sunki, nes jų su pelno mokesčiais susijusios reikalavimų laikymosi išlaidos sudaro 90 proc. apskaičiuotų metinių Sąjungos įmonių reikalavimų laikymosi išlaidų, siekiančių 54 mlrd. EUR. Apmokestinamųjų </w:t>
            </w:r>
            <w:r w:rsidRPr="00344ED1">
              <w:rPr>
                <w:b/>
                <w:i/>
              </w:rPr>
              <w:lastRenderedPageBreak/>
              <w:t>rezultatų skaičiavimas pagal valstybės narės, kurioje yra pagrindinė buveinė (MVĮ pagrindinė buveinė) rezidavimo vieta mokesčių tikslais, taisykles turėtų gerokai sumažinti mokestinių prievolių vykdymo išlaidas ir gauti nemokamų finansinių išteklių, kad MVĮ galėtų investuoti</w:t>
            </w:r>
            <w:r w:rsidR="00AF1FBD">
              <w:rPr>
                <w:b/>
                <w:i/>
              </w:rPr>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5</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(3)</w:t>
            </w:r>
            <w:r w:rsidRPr="00344ED1">
              <w:tab/>
              <w:t>dėl verslo vykdymo vidaus rinkoje būdų įvairovės skirtingoms įmonėms reikia skirtingų sprendimų, kaip spręsti dabartines problemas, kylančias dėl jų tarpvalstybinės veiklos. Mažesnėms įmonėms</w:t>
            </w:r>
            <w:r w:rsidRPr="00344ED1">
              <w:rPr>
                <w:b/>
                <w:i/>
              </w:rPr>
              <w:t>, kurios nepriklauso grupei,</w:t>
            </w:r>
            <w:r w:rsidRPr="00344ED1">
              <w:t xml:space="preserve"> plėsti veiklą tarpvalstybiniu mastu yra sunkiau nei didesnėms įmonėms. Todėl šioms mažesnėms įmonėms tenka didesnė našta vykdant sudėtingas procedūras ir jos patiria didesnes reikalavimų laikymosi išlaidas. Todėl akivaizdu, kad pradiniuose plėtros etapuose labai mažoms, mažosioms ir vidutinėms įmonėms reikalingas toks sprendimas kaip supaprastintas jų apmokestinamojo rezultato apskaičiavimo mechanizmas, kai jos tarpvalstybiniu mastu veikia </w:t>
            </w:r>
            <w:r w:rsidRPr="00344ED1">
              <w:rPr>
                <w:b/>
                <w:i/>
              </w:rPr>
              <w:t xml:space="preserve">tik </w:t>
            </w:r>
            <w:r w:rsidRPr="00344ED1">
              <w:t>per nuolatines buveines</w:t>
            </w:r>
            <w:r w:rsidRPr="00344ED1">
              <w:rPr>
                <w:b/>
                <w:i/>
              </w:rPr>
              <w:t>;</w:t>
            </w:r>
          </w:p>
        </w:tc>
        <w:tc>
          <w:tcPr>
            <w:tcW w:w="4876" w:type="dxa"/>
          </w:tcPr>
          <w:p w:rsidR="001E13C1" w:rsidRPr="00344ED1" w:rsidRDefault="001E13C1" w:rsidP="00AF1FBD">
            <w:pPr>
              <w:pStyle w:val="Normal6a"/>
            </w:pPr>
            <w:r w:rsidRPr="00344ED1">
              <w:t>(3)</w:t>
            </w:r>
            <w:r w:rsidRPr="00344ED1">
              <w:tab/>
              <w:t>dėl verslo vykdymo vidaus rinkoje būdų įvairovės skirtingoms įmonėms reikia skirtingų sprendimų, kaip spręsti dabartines problemas, kylančias dėl jų tarpvalstybinės veiklos. Mažesnėms įmonėms plėsti veiklą tarpvalstybiniu mastu yra sunkiau nei didesnėms įmonėms. Todėl šioms mažesnėms įmonėms tenka didesnė našta vykdant sudėtingas procedūras ir jos patiria didesnes reikalavimų laikymosi išlaidas</w:t>
            </w:r>
            <w:r w:rsidRPr="00344ED1">
              <w:rPr>
                <w:b/>
                <w:i/>
              </w:rPr>
              <w:t>, taip pat netikrumą, susijusį su jų nuosavo turto investavimu į nežinomą rinką</w:t>
            </w:r>
            <w:r w:rsidRPr="00344ED1">
              <w:t>. Todėl akivaizdu, kad pradiniuose plėtros etapuose labai mažoms, mažosioms ir vidutinėms įmonėms reikalingas toks sprendimas kaip supaprastintas jų apmokestinamojo rezultato apskaičiavimo mechanizmas, kai jos tarpvalstybiniu mastu veikia per nuolatines buveines</w:t>
            </w:r>
            <w:r w:rsidRPr="00344ED1">
              <w:rPr>
                <w:b/>
                <w:i/>
              </w:rPr>
              <w:t xml:space="preserve"> ar daugiausiai per dvi patronuojamąsias įmones.</w:t>
            </w:r>
            <w:r w:rsidRPr="00344ED1">
              <w:t xml:space="preserve"> </w:t>
            </w:r>
            <w:r w:rsidRPr="00344ED1">
              <w:rPr>
                <w:b/>
                <w:i/>
              </w:rPr>
              <w:t>skaidrumas yra būtinas siekiant užtikrinti sklandų vidaus rinkos veikimą</w:t>
            </w:r>
            <w:r w:rsidR="00AF1FBD">
              <w:rPr>
                <w:b/>
                <w:i/>
              </w:rPr>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3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(3a)</w:t>
            </w:r>
            <w:r w:rsidRPr="00344ED1">
              <w:tab/>
            </w:r>
            <w:r w:rsidRPr="00344ED1">
              <w:rPr>
                <w:b/>
                <w:i/>
              </w:rPr>
              <w:t xml:space="preserve">svarbiausias politinis prioritetas yra kova su sukčiavimu, mokesčių slėpimu ir mokesčių vengimu, nes </w:t>
            </w:r>
            <w:r w:rsidRPr="00344ED1">
              <w:rPr>
                <w:b/>
                <w:i/>
              </w:rPr>
              <w:lastRenderedPageBreak/>
              <w:t>agresyvaus mokesčių planavimo praktika yra nepriimtina vidaus rinkos vientisumo ir socialinio teisingumo atžvilgiu;</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7</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(4)</w:t>
            </w:r>
            <w:r w:rsidRPr="00344ED1">
              <w:tab/>
              <w:t>siekiant sumažinti neaiškumą dėl apmokestinimo ir sunkumus, patiriamus laikantis nežinomos mokesčių sistemos taisyklių vykdant veiklą kitoje valstybėje narėje (-ėse) (tai yra vienas iš pagrindinių veiksnių, trukdančių MVĮ plėstis užsienyje), nuolatinių buveinių apmokestinamasis rezultatas turėtų būti apskaičiuojamas pagal valstybės narės, kurioje pagrindinė buveinė (MVĮ būstinė) yra rezidentė mokesčių tikslais, taisykles. Tai taip pat reiškia, kad toliau būtų taikomi principai, reglamentuojantys pajamų priskyrimą nuolatinei buveinei, nustatyti taikytinoje dvišalėje sutartyje dėl dvigubo apmokestinimo išvengimo, sudarytoje tarp nuolatinės buveinės valstybės narės ir pagrindinės buveinės valstybės narės. Siekiant užtikrinti, kad bet kokios naujos taisyklės leistų supaprastinti MVĮ veiklą, jų taikymas turėtų būti neprivalomas ir paliktas mokesčių mokėtojo pasirinkimui</w:t>
            </w:r>
            <w:r w:rsidRPr="00344ED1">
              <w:rPr>
                <w:b/>
                <w:i/>
              </w:rPr>
              <w:t>;</w:t>
            </w:r>
          </w:p>
        </w:tc>
        <w:tc>
          <w:tcPr>
            <w:tcW w:w="4876" w:type="dxa"/>
          </w:tcPr>
          <w:p w:rsidR="001E13C1" w:rsidRPr="00344ED1" w:rsidRDefault="001E13C1" w:rsidP="00AF1FBD">
            <w:pPr>
              <w:pStyle w:val="Normal6a"/>
            </w:pPr>
            <w:r w:rsidRPr="00344ED1">
              <w:t>(4)</w:t>
            </w:r>
            <w:r w:rsidRPr="00344ED1">
              <w:tab/>
              <w:t xml:space="preserve">siekiant sumažinti neaiškumą dėl apmokestinimo ir sunkumus, patiriamus laikantis nežinomos mokesčių sistemos taisyklių vykdant veiklą kitoje valstybėje narėje (-ėse) (tai yra vienas iš pagrindinių veiksnių, trukdančių MVĮ plėstis užsienyje), nuolatinių buveinių </w:t>
            </w:r>
            <w:r w:rsidRPr="00344ED1">
              <w:rPr>
                <w:b/>
                <w:i/>
              </w:rPr>
              <w:t xml:space="preserve">ar patronuojamųjų įmonių </w:t>
            </w:r>
            <w:r w:rsidRPr="00344ED1">
              <w:t>apmokestinamasis rezultatas turėtų būti apskaičiuojamas pagal valstybės narės, kurioje pagrindinė buveinė (MVĮ būstinė) yra rezidentė mokesčių tikslais, taisykles. Tai taip pat reiškia, kad toliau būtų taikomi principai, reglamentuojantys pajamų priskyrimą nuolatinei buveinei</w:t>
            </w:r>
            <w:r w:rsidRPr="00344ED1">
              <w:rPr>
                <w:b/>
                <w:i/>
              </w:rPr>
              <w:t xml:space="preserve"> ar patronuojamajai</w:t>
            </w:r>
            <w:r w:rsidRPr="00344ED1">
              <w:t xml:space="preserve">, nustatyti taikytinoje dvišalėje sutartyje dėl dvigubo apmokestinimo išvengimo, sudarytoje tarp nuolatinės buveinės </w:t>
            </w:r>
            <w:r w:rsidRPr="00344ED1">
              <w:rPr>
                <w:b/>
                <w:i/>
              </w:rPr>
              <w:t xml:space="preserve">ar patronuojamosios įmonės </w:t>
            </w:r>
            <w:r w:rsidRPr="00344ED1">
              <w:t>valstybės narės ir pagrindinės buveinės valstybės narės. Siekiant užtikrinti, kad bet kokios naujos taisyklės leistų supaprastinti MVĮ veiklą, jų taikymas turėtų būti neprivalomas ir paliktas mokesčių mokėtojo pasirinkimui</w:t>
            </w:r>
            <w:r w:rsidRPr="00344ED1">
              <w:rPr>
                <w:b/>
                <w:i/>
              </w:rPr>
              <w:t xml:space="preserve">, be to </w:t>
            </w:r>
            <w:r w:rsidR="00AF1FBD">
              <w:rPr>
                <w:b/>
                <w:i/>
              </w:rPr>
              <w:t>turėtų būti</w:t>
            </w:r>
            <w:r w:rsidR="00AF1FBD" w:rsidRPr="00344ED1">
              <w:rPr>
                <w:b/>
                <w:i/>
              </w:rPr>
              <w:t xml:space="preserve"> </w:t>
            </w:r>
            <w:r w:rsidRPr="00344ED1">
              <w:rPr>
                <w:b/>
                <w:i/>
              </w:rPr>
              <w:t>suteikt</w:t>
            </w:r>
            <w:r w:rsidR="00AF1FBD">
              <w:rPr>
                <w:b/>
                <w:i/>
              </w:rPr>
              <w:t>a</w:t>
            </w:r>
            <w:r w:rsidRPr="00344ED1">
              <w:rPr>
                <w:b/>
                <w:i/>
              </w:rPr>
              <w:t xml:space="preserve"> pakankamai laisvės naujoms taisyklėms taikyti ir prie jų prisitaikyti</w:t>
            </w:r>
            <w:r w:rsidR="00AF1FBD">
              <w:rPr>
                <w:b/>
                <w:i/>
              </w:rPr>
              <w:t>;</w:t>
            </w:r>
            <w:r w:rsidRPr="00344ED1">
              <w:t xml:space="preserve"> </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8</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4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(4a)</w:t>
            </w:r>
            <w:r w:rsidRPr="00344ED1">
              <w:tab/>
            </w:r>
            <w:r w:rsidR="00AF1FBD">
              <w:rPr>
                <w:b/>
                <w:i/>
              </w:rPr>
              <w:t>v</w:t>
            </w:r>
            <w:r w:rsidRPr="00344ED1">
              <w:rPr>
                <w:b/>
                <w:i/>
              </w:rPr>
              <w:t xml:space="preserve">isų mokesčių mokėtojų, pirmiausia visų įmonių, lygybė mokesčių </w:t>
            </w:r>
            <w:r w:rsidRPr="00344ED1">
              <w:rPr>
                <w:b/>
                <w:i/>
              </w:rPr>
              <w:lastRenderedPageBreak/>
              <w:t>srityje yra būtina vidaus rinkos sąlyga.</w:t>
            </w:r>
            <w:r w:rsidRPr="00344ED1">
              <w:t xml:space="preserve"> </w:t>
            </w:r>
            <w:r w:rsidRPr="00344ED1">
              <w:rPr>
                <w:b/>
                <w:i/>
              </w:rPr>
              <w:t>Koordinuotas požiūris į šios taisyklės įgyvendinimą nacionalinėse mokesčių sistemose yra labai svarbus tinkamam vidaus rinkos veikimui ir padėtų užkirsti kelią mokesčių vengimui ir pelno perkėlimui</w:t>
            </w:r>
            <w:r w:rsidR="00AF1FBD">
              <w:rPr>
                <w:b/>
                <w:i/>
              </w:rPr>
              <w:t>;</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9</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5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rPr>
                <w:b/>
                <w:i/>
              </w:rPr>
            </w:pPr>
            <w:r w:rsidRPr="00344ED1">
              <w:t>(5)</w:t>
            </w:r>
            <w:r w:rsidRPr="00344ED1">
              <w:tab/>
              <w:t>siekiant užkirsti kelią piktnaudžiavimui mokesčių srityje, parengtos specialios kovos su piktnaudžiavimu mokesčių srityje taisyklės, pavyzdžiui, siekiant pašalinti mokesčių vengimo riziką, susijusią su MVĮ rezidavimo vietos mokesčių tikslais perkėlimu, ir taip išvengti, kad pagrindinės buveinės vieta būtų nustatoma remiantis mokestiniais motyvais.</w:t>
            </w:r>
            <w:r w:rsidRPr="00344ED1">
              <w:rPr>
                <w:b/>
                <w:i/>
              </w:rPr>
              <w:t xml:space="preserve"> </w:t>
            </w:r>
            <w:r w:rsidRPr="00344ED1">
              <w:t>Todėl reikėtų stebėti nuolatinei buveinei (-ėms) priskirtos apyvartos pokyčius, kad jų veikla, palyginti su pagrindine veikla, kurią turėtų vykdyti pagrindinė buveinė, ir toliau būtų antraeilė. Tokiu būdu nekiltų pavojus, kad taisyklėmis bus piktnaudžiaujama steigiant fiktyvias pagrindines buveines, o didžioji verslo veiklos dalis būtų vykdoma užsienyje.</w:t>
            </w:r>
            <w:r w:rsidRPr="00344ED1">
              <w:rPr>
                <w:b/>
                <w:i/>
              </w:rPr>
              <w:t xml:space="preserve"> Be to, teisei taikyti mokesčių supaprastinimo sistemą, taip pat tokio pasirinkimo nutraukimui ir pratęsimui turėtų būti taikomos griežtos sąlygos. Tokios sąlygos turėtų būti siejamos su reikalavimais, susijusiais su pagrindinės buveinės apyvarta, palyginti su nuolatinės buveinės (-ių) apyvarta. Taip būtų siekiama dar labiau pabrėžti, kad per nuolatinę buveinę (-es) vykdoma veikla gali būti tik pagrindinės buveinės veiklos išplėtimas. Be to, pasirinkus galimybę taikyti mokesčių supaprastinimo sistemą, ją turėtų būti privaloma taikyti tam tikrą laikotarpį, kad būtų išvengta atvejų, kai pagrindinės buveinės rezidavimo vieta dažnai perkeliama siekiant pasinaudoti </w:t>
            </w:r>
            <w:r w:rsidRPr="00344ED1">
              <w:rPr>
                <w:b/>
                <w:i/>
              </w:rPr>
              <w:lastRenderedPageBreak/>
              <w:t>nereguliariomis ir trumpalaikėmis mokesčių lengvatomis;</w:t>
            </w:r>
          </w:p>
        </w:tc>
        <w:tc>
          <w:tcPr>
            <w:tcW w:w="4876" w:type="dxa"/>
          </w:tcPr>
          <w:p w:rsidR="001E13C1" w:rsidRPr="00344ED1" w:rsidRDefault="001E13C1" w:rsidP="00AF1FBD">
            <w:pPr>
              <w:pStyle w:val="Normal6a"/>
              <w:rPr>
                <w:szCs w:val="24"/>
              </w:rPr>
            </w:pPr>
            <w:r w:rsidRPr="00344ED1">
              <w:lastRenderedPageBreak/>
              <w:t>(5)</w:t>
            </w:r>
            <w:r w:rsidRPr="00344ED1">
              <w:tab/>
              <w:t xml:space="preserve">siekiant užkirsti kelią piktnaudžiavimui mokesčių srityje, parengtos specialios </w:t>
            </w:r>
            <w:r w:rsidRPr="00344ED1">
              <w:rPr>
                <w:b/>
                <w:i/>
              </w:rPr>
              <w:t xml:space="preserve">ir griežtos </w:t>
            </w:r>
            <w:r w:rsidRPr="00344ED1">
              <w:t>kovos su piktnaudžiavimu mokesčių srityje taisyklės, pavyzdžiui, siekiant pašalinti mokesčių vengimo riziką, susijusią su MVĮ rezidavimo vietos mokesčių tikslais perkėlimu, ir taip išvengti, kad pagrindinės buveinės vieta būtų nustatoma remiantis mokestiniais motyvais.</w:t>
            </w:r>
            <w:r w:rsidRPr="00344ED1">
              <w:rPr>
                <w:b/>
                <w:i/>
              </w:rPr>
              <w:t xml:space="preserve"> </w:t>
            </w:r>
            <w:r w:rsidRPr="00344ED1">
              <w:t>Todėl reikėtų stebėti nuolatinei buveinei (-ėms)</w:t>
            </w:r>
            <w:r w:rsidRPr="00344ED1">
              <w:rPr>
                <w:b/>
                <w:i/>
              </w:rPr>
              <w:t xml:space="preserve"> ir (arba) patronuojam</w:t>
            </w:r>
            <w:r w:rsidR="00AF1FBD">
              <w:rPr>
                <w:b/>
                <w:i/>
              </w:rPr>
              <w:t>a</w:t>
            </w:r>
            <w:r w:rsidRPr="00344ED1">
              <w:rPr>
                <w:b/>
                <w:i/>
              </w:rPr>
              <w:t>jai įmonei</w:t>
            </w:r>
            <w:r w:rsidRPr="00344ED1">
              <w:t xml:space="preserve"> priskirtos apyvartos pokyčius, kad jų veikla, palyginti su pagrindine veikla, kurią turėtų vykdyti pagrindinė buveinė, ir toliau būtų antraeilė. Tokiu būdu nekiltų pavojus, kad taisyklėmis bus piktnaudžiaujama steigiant fiktyvias pagrindines buveines, o didžioji verslo veiklos dalis būtų vykdoma užsienyje</w:t>
            </w:r>
            <w:r w:rsidR="00AF1FBD">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10</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(6)</w:t>
            </w:r>
            <w:r w:rsidRPr="00344ED1">
              <w:tab/>
              <w:t>tarptautinė laivyba yra specifinis veiklos sektorius, kuriam keliose valstybėse narėse taikomi specialūs apmokestinimo režimai. Pagal tuos režimus mokesčio bazė apskaičiuojama pagal eksploatuojamų laivų tonažą (t. y. gabenimo pajėgumą), o ne pagal faktinį įmonės pelną ar nuostolius. Remiantis šia prielaida, MVĮ, kurios gauna pajamų iš laivybos veiklos, kuriai taikomas tonažo apmokestinimo režimas, neturėtų būti taikomos MVĮ supaprastinimo taisyklės tokių nuolatinei buveinei priskiriamų pajamų atžvilgiu. Tokia išimtis padėtų išvengti papildomų sunkumų, kurie, tikėtina, kiltų dėl MVĮ mokesčių supaprastinimo sistemos ir tonažo apmokestinimo režimo sąveikos. Be to, toks galimas apsunkinimas atrodytų neproporcingas, atsižvelgiant į tai, kad kai kuriose valstybėse narėse tokių specialių apmokestinimo režimų nėra. Jokie kiti veiklos sektoriai nebus išbraukti iš direktyvos taikymo srities;</w:t>
            </w:r>
          </w:p>
        </w:tc>
        <w:tc>
          <w:tcPr>
            <w:tcW w:w="4876" w:type="dxa"/>
          </w:tcPr>
          <w:p w:rsidR="001E13C1" w:rsidRPr="00344ED1" w:rsidRDefault="001E13C1" w:rsidP="00AF1FBD">
            <w:pPr>
              <w:pStyle w:val="Normal6a"/>
            </w:pPr>
            <w:r w:rsidRPr="00344ED1">
              <w:t>(6)</w:t>
            </w:r>
            <w:r w:rsidRPr="00344ED1">
              <w:tab/>
              <w:t xml:space="preserve">tarptautinė laivyba yra specifinis veiklos sektorius, kuriam keliose valstybėse narėse taikomi specialūs apmokestinimo režimai. Pagal tuos režimus mokesčio bazė apskaičiuojama pagal eksploatuojamų laivų tonažą (t. y. gabenimo pajėgumą), o ne pagal faktinį įmonės pelną ar nuostolius. Remiantis šia prielaida, MVĮ, kurios gauna pajamų iš laivybos veiklos, kuriai taikomas tonažo apmokestinimo režimas, neturėtų būti taikomos MVĮ supaprastinimo taisyklės tokių nuolatinei buveinei </w:t>
            </w:r>
            <w:r w:rsidRPr="00344ED1">
              <w:rPr>
                <w:b/>
                <w:i/>
              </w:rPr>
              <w:t>ar patronuojam</w:t>
            </w:r>
            <w:r w:rsidR="00AF1FBD">
              <w:rPr>
                <w:b/>
                <w:i/>
              </w:rPr>
              <w:t>a</w:t>
            </w:r>
            <w:r w:rsidRPr="00344ED1">
              <w:rPr>
                <w:b/>
                <w:i/>
              </w:rPr>
              <w:t xml:space="preserve">jai įmonei </w:t>
            </w:r>
            <w:r w:rsidRPr="00344ED1">
              <w:t xml:space="preserve">priskiriamų pajamų atžvilgiu. Tokia išimtis padėtų išvengti papildomų sunkumų, kurie, tikėtina, kiltų dėl MVĮ mokesčių supaprastinimo sistemos ir tonažo apmokestinimo režimo sąveikos. Be to, toks galimas apsunkinimas atrodytų neproporcingas, atsižvelgiant į tai, kad kai kuriose valstybėse narėse tokių specialių apmokestinimo režimų nėra. </w:t>
            </w:r>
            <w:r w:rsidRPr="00344ED1">
              <w:rPr>
                <w:b/>
                <w:i/>
              </w:rPr>
              <w:t>Bet kuriuo atveju ši išimtis turėtų būti tinkamai įvertinta praėjus penkeriems metams nuo šios direktyvos įgyvendinimo.</w:t>
            </w:r>
            <w:r w:rsidRPr="00344ED1">
              <w:t xml:space="preserve"> Jokie kiti veiklos sektoriai</w:t>
            </w:r>
            <w:r w:rsidRPr="00344ED1">
              <w:rPr>
                <w:b/>
                <w:i/>
              </w:rPr>
              <w:t>, išskyrus tuos, kuriems taikoma tonažo apmokestinimo tvarka,</w:t>
            </w:r>
            <w:r w:rsidRPr="00344ED1">
              <w:t xml:space="preserve"> nebus išbraukti iš direktyvos taikymo srities;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11</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(7)</w:t>
            </w:r>
            <w:r w:rsidRPr="00344ED1">
              <w:tab/>
              <w:t xml:space="preserve">pasiūlymu siekiama gerokai </w:t>
            </w:r>
            <w:r w:rsidRPr="00344ED1">
              <w:lastRenderedPageBreak/>
              <w:t xml:space="preserve">supaprastinti procedūras, todėl turėtų būti įdiegta vieno langelio principu veikianti sistema, pagal kurią mokesčių deklaravimas, jų apskaičiavimas ir nuolatinės buveinės (-ių) mokėtinų mokesčių surinkimas būtų vykdomi vieno mokesčių administratoriaus (deklaravimo institucijos), t. y. pagrindinės buveinės valstybės narės mokesčių administratoriaus. Visapusiškai gerbiant valstybių narių suverenitetą mokesčių klausimais, auditas, apeliaciniai skundai ir ginčų sprendimo procedūros visų pirma būtų vykdomi šalies viduje, laikantis atitinkamos valstybės narės procedūrinių taisyklių. Siekiant </w:t>
            </w:r>
            <w:r w:rsidRPr="00344ED1">
              <w:rPr>
                <w:b/>
                <w:i/>
              </w:rPr>
              <w:t>užtikrinti tinkamą vieno langelio principu grindžiamos sistemos</w:t>
            </w:r>
            <w:r w:rsidRPr="00344ED1">
              <w:t xml:space="preserve"> veikimą,</w:t>
            </w:r>
            <w:r w:rsidRPr="00344ED1">
              <w:rPr>
                <w:b/>
                <w:i/>
              </w:rPr>
              <w:t xml:space="preserve"> būtų</w:t>
            </w:r>
            <w:r w:rsidRPr="00344ED1">
              <w:t xml:space="preserve"> labai svarbu numatyti bendrus auditus, </w:t>
            </w:r>
            <w:r w:rsidRPr="00344ED1">
              <w:rPr>
                <w:b/>
                <w:i/>
              </w:rPr>
              <w:t>o tai reikštų</w:t>
            </w:r>
            <w:r w:rsidRPr="00344ED1">
              <w:t xml:space="preserve"> prievolę pagrindinės buveinės </w:t>
            </w:r>
            <w:r w:rsidRPr="00344ED1">
              <w:rPr>
                <w:b/>
                <w:i/>
              </w:rPr>
              <w:t>valstybei narei</w:t>
            </w:r>
            <w:r w:rsidRPr="00344ED1">
              <w:t xml:space="preserve"> bendradarbiauti, jei nuolatinės buveinės mokesčių administratorius </w:t>
            </w:r>
            <w:r w:rsidRPr="00344ED1">
              <w:rPr>
                <w:b/>
                <w:i/>
              </w:rPr>
              <w:t>paprašo</w:t>
            </w:r>
            <w:r w:rsidRPr="00344ED1">
              <w:t xml:space="preserve"> atlikti auditą, </w:t>
            </w:r>
            <w:r w:rsidRPr="00344ED1">
              <w:rPr>
                <w:b/>
                <w:i/>
              </w:rPr>
              <w:t>susijusį su</w:t>
            </w:r>
            <w:r w:rsidRPr="00344ED1">
              <w:t xml:space="preserve"> jos mokesčių mokėtojo </w:t>
            </w:r>
            <w:r w:rsidRPr="00344ED1">
              <w:rPr>
                <w:b/>
                <w:i/>
              </w:rPr>
              <w:t>apmokestinamojo rezultato apskaičiavimu;</w:t>
            </w:r>
          </w:p>
        </w:tc>
        <w:tc>
          <w:tcPr>
            <w:tcW w:w="4876" w:type="dxa"/>
          </w:tcPr>
          <w:p w:rsidR="001E13C1" w:rsidRPr="00344ED1" w:rsidRDefault="001E13C1" w:rsidP="006E20FD">
            <w:pPr>
              <w:spacing w:after="120"/>
            </w:pPr>
            <w:r w:rsidRPr="00344ED1">
              <w:lastRenderedPageBreak/>
              <w:t>(7)</w:t>
            </w:r>
            <w:r w:rsidRPr="00344ED1">
              <w:tab/>
              <w:t xml:space="preserve">pasiūlymu siekiama gerokai </w:t>
            </w:r>
            <w:r w:rsidRPr="00344ED1">
              <w:lastRenderedPageBreak/>
              <w:t xml:space="preserve">supaprastinti procedūras, todėl turėtų būti įdiegta vieno langelio principu veikianti sistema, pagal kurią mokesčių deklaravimas, jų apskaičiavimas ir nuolatinės buveinės (-ių) </w:t>
            </w:r>
            <w:r w:rsidRPr="00344ED1">
              <w:rPr>
                <w:b/>
                <w:i/>
              </w:rPr>
              <w:t xml:space="preserve">ar patronuojamųjų įmonių </w:t>
            </w:r>
            <w:r w:rsidRPr="00344ED1">
              <w:t xml:space="preserve">mokėtinų mokesčių surinkimas būtų vykdomi vieno mokesčių administratoriaus (deklaravimo institucijos), t. y. pagrindinės buveinės valstybės narės mokesčių administratoriaus. </w:t>
            </w:r>
            <w:r w:rsidRPr="00344ED1">
              <w:rPr>
                <w:b/>
                <w:i/>
              </w:rPr>
              <w:t>Vieno langelio sistema turėtų būti paprasta naudotis, kad ji netaptų dar viena kliūtimi įmonėms, norinčioms investuoti užsienyje.</w:t>
            </w:r>
            <w:r w:rsidRPr="00344ED1">
              <w:t xml:space="preserve"> Visapusiškai gerbiant valstybių narių suverenitetą mokesčių klausimais, auditas, apeliaciniai skundai ir ginčų sprendimo procedūros visų pirma būtų vykdomi šalies viduje, laikantis atitinkamos valstybės narės procedūrinių taisyklių. Siekiant </w:t>
            </w:r>
            <w:r w:rsidRPr="00344ED1">
              <w:rPr>
                <w:b/>
                <w:i/>
              </w:rPr>
              <w:t>remti vieno langelio principo</w:t>
            </w:r>
            <w:r w:rsidRPr="00344ED1">
              <w:t xml:space="preserve"> veikimą, labai svarbu numatyti bendrus auditus, </w:t>
            </w:r>
            <w:r w:rsidRPr="00344ED1">
              <w:rPr>
                <w:b/>
                <w:i/>
              </w:rPr>
              <w:t>nustatant valstybių narių mokesčių administratorių bendradarbiavimo</w:t>
            </w:r>
            <w:r w:rsidRPr="00344ED1">
              <w:t xml:space="preserve"> prievolę</w:t>
            </w:r>
            <w:r w:rsidRPr="00344ED1">
              <w:rPr>
                <w:b/>
                <w:i/>
              </w:rPr>
              <w:t>, pagal kurią</w:t>
            </w:r>
            <w:r w:rsidRPr="00344ED1">
              <w:t xml:space="preserve"> pagrindinės buveinės </w:t>
            </w:r>
            <w:r w:rsidRPr="00344ED1">
              <w:rPr>
                <w:b/>
                <w:i/>
              </w:rPr>
              <w:t>valstybė narė turėtų</w:t>
            </w:r>
            <w:r w:rsidRPr="00344ED1">
              <w:t xml:space="preserve"> bendradarbiauti, jei nuolatinės buveinės </w:t>
            </w:r>
            <w:r w:rsidRPr="00344ED1">
              <w:rPr>
                <w:b/>
                <w:i/>
              </w:rPr>
              <w:t xml:space="preserve">arba patronuojamosios įmonės </w:t>
            </w:r>
            <w:r w:rsidRPr="00344ED1">
              <w:t xml:space="preserve">mokesčių administratorius </w:t>
            </w:r>
            <w:r w:rsidRPr="00344ED1">
              <w:rPr>
                <w:b/>
                <w:i/>
              </w:rPr>
              <w:t>paprašytų</w:t>
            </w:r>
            <w:r w:rsidRPr="00344ED1">
              <w:t xml:space="preserve"> atlikti auditą, </w:t>
            </w:r>
            <w:r w:rsidRPr="00344ED1">
              <w:rPr>
                <w:b/>
                <w:i/>
              </w:rPr>
              <w:t>apimantį apmokestinamų</w:t>
            </w:r>
            <w:r w:rsidRPr="00344ED1">
              <w:t xml:space="preserve"> jos mokesčių mokėtojo </w:t>
            </w:r>
            <w:r w:rsidRPr="00344ED1">
              <w:rPr>
                <w:b/>
                <w:i/>
              </w:rPr>
              <w:t>rezultatų apskaičiavimą.</w:t>
            </w:r>
            <w:r w:rsidRPr="00344ED1">
              <w:rPr>
                <w:b/>
              </w:rPr>
              <w:t xml:space="preserve"> </w:t>
            </w:r>
            <w:r w:rsidRPr="00344ED1">
              <w:rPr>
                <w:b/>
                <w:i/>
              </w:rPr>
              <w:t>Šiuo atžvilgiu, jeigu pagrindinės buveinės valstybė narė atlieka auditą savo iniciatyva, ji turėtų paraginti priimančiąją valstybę narę kartu atlikti tokį auditą</w:t>
            </w:r>
            <w:r w:rsidR="00AF1FBD">
              <w:rPr>
                <w:b/>
                <w:i/>
              </w:rPr>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12</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7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6E20FD">
            <w:pPr>
              <w:spacing w:after="120"/>
            </w:pPr>
            <w:r w:rsidRPr="00344ED1">
              <w:rPr>
                <w:b/>
                <w:i/>
              </w:rPr>
              <w:t>(7a)</w:t>
            </w:r>
            <w:r w:rsidRPr="00344ED1">
              <w:tab/>
            </w:r>
            <w:r w:rsidR="00FF4F96">
              <w:rPr>
                <w:b/>
                <w:i/>
              </w:rPr>
              <w:t>v</w:t>
            </w:r>
            <w:r w:rsidRPr="00344ED1">
              <w:rPr>
                <w:b/>
                <w:i/>
              </w:rPr>
              <w:t>ieno langelio principu pagrįstą sprendimą gerai vertina Sąjungos MVĮ, o jo sukūrimas yra neprivaloma su mokesčiais susijusių MVĮ procedūrų palengvinimo priemonė.</w:t>
            </w:r>
            <w:r w:rsidRPr="00344ED1">
              <w:t xml:space="preserve"> </w:t>
            </w:r>
            <w:r w:rsidRPr="00344ED1">
              <w:rPr>
                <w:b/>
                <w:i/>
              </w:rPr>
              <w:t xml:space="preserve">Teigiama patirtis, susijusi su PVM deklaravimu naudojantis vieno langelio principu. 2022 m. PVM deklaraciją užpildė 130000 </w:t>
            </w:r>
            <w:r w:rsidRPr="00344ED1">
              <w:rPr>
                <w:b/>
                <w:i/>
              </w:rPr>
              <w:lastRenderedPageBreak/>
              <w:t>įmonių, o PVM pajamų surinkta daugiau kaip 17 mlrd. EUR, tai pagrindžia modelio atkartojimą pagal šią direktyvą</w:t>
            </w:r>
            <w:r w:rsidR="00FF4F96">
              <w:rPr>
                <w:b/>
                <w:i/>
              </w:rPr>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13</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13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(13a)</w:t>
            </w:r>
            <w:r w:rsidRPr="00344ED1">
              <w:tab/>
            </w:r>
            <w:r w:rsidRPr="00344ED1">
              <w:rPr>
                <w:b/>
                <w:i/>
              </w:rPr>
              <w:t>Komisijos vertinimo ataskaitoje turėtų būti įvertinami visi aktualūs direktyvos įgyvendinimo aspektai ir dėmesys sutelkiamas į galimybę išplėsti taikymo sritį ir jos privalumus, tinkamumo reikalavimų adekvatumą, situacijų dėl kurių taikoma išimtis (patronuojamųjų įmonių steigimo) tinkamumą ir poreikį neįtraukti laivybos veiklos.</w:t>
            </w:r>
            <w:r w:rsidRPr="00344ED1">
              <w:t xml:space="preserve"> </w:t>
            </w:r>
            <w:r w:rsidRPr="00344ED1">
              <w:rPr>
                <w:b/>
                <w:i/>
              </w:rPr>
              <w:t>Komisija turėtų atsižvelgti į šiuos aspektus savo galimame pasiūlyme iš dalies pakeisti šią direktyvą arba nurodyti priežastis, kodėl galiojančių taisyklių keisti nereikia</w:t>
            </w:r>
            <w:r w:rsidR="00FF4F96">
              <w:rPr>
                <w:b/>
                <w:i/>
              </w:rPr>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14</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13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(13b)</w:t>
            </w:r>
            <w:r w:rsidRPr="00344ED1">
              <w:tab/>
            </w:r>
            <w:r w:rsidR="00FF4F96">
              <w:rPr>
                <w:b/>
                <w:i/>
              </w:rPr>
              <w:t>k</w:t>
            </w:r>
            <w:r w:rsidRPr="00344ED1">
              <w:rPr>
                <w:b/>
                <w:i/>
              </w:rPr>
              <w:t>adangi galimas MVĮ mokestinių prievolių vykdymo išlaidų sumažinimas tiesiogiai priklauso nuo to, ar jos savanoriškai priims šioje direktyvoje nustatytas taisykles, Komisija turėtų numatyti išsamią ir išsamią Sąjungos masto informavimo kampaniją, skirtą MVĮ.</w:t>
            </w:r>
            <w:r w:rsidRPr="00344ED1">
              <w:t xml:space="preserve"> </w:t>
            </w:r>
            <w:r w:rsidRPr="00344ED1">
              <w:rPr>
                <w:b/>
                <w:i/>
              </w:rPr>
              <w:t>Tokia informavimo kampanija turėtų būti įtraukta į platesnę komunikacijos strategiją dėl naujos su mokesčiais susijusios Sąjungos teisės ir jos poveikio Sąjungos įmonėms. Visa informacija turėtų būti teikiama visomis oficialiosiomis valstybių narių kalbomis</w:t>
            </w:r>
            <w:r w:rsidR="00FF4F96">
              <w:rPr>
                <w:b/>
                <w:i/>
              </w:rPr>
              <w:t>;</w:t>
            </w:r>
          </w:p>
        </w:tc>
      </w:tr>
    </w:tbl>
    <w:p w:rsidR="001E13C1" w:rsidRPr="00344ED1" w:rsidRDefault="001E13C1" w:rsidP="001E13C1"/>
    <w:p w:rsidR="001E13C1" w:rsidRPr="00344ED1" w:rsidRDefault="001E13C1" w:rsidP="001E13C1">
      <w:pPr>
        <w:pStyle w:val="AmNumberTabs"/>
        <w:keepNext/>
      </w:pPr>
      <w:r w:rsidRPr="00344ED1">
        <w:lastRenderedPageBreak/>
        <w:t>Pakeitimas</w:t>
      </w:r>
      <w:r w:rsidRPr="00344ED1">
        <w:tab/>
      </w:r>
      <w:r w:rsidRPr="00344ED1">
        <w:tab/>
        <w:t>15</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14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(14)</w:t>
            </w:r>
            <w:r w:rsidRPr="00344ED1">
              <w:tab/>
              <w:t xml:space="preserve">valstybės narės gali tvarkyti asmens duomenis pagal šią direktyvą tik siekdamos patikrinti, ar tenkinami tinkamumo reikalavimai, arba nustatyti nuolatinių buveinių mokestines prievoles. </w:t>
            </w:r>
            <w:r w:rsidRPr="00344ED1">
              <w:rPr>
                <w:b/>
                <w:i/>
              </w:rPr>
              <w:t>Bet</w:t>
            </w:r>
            <w:r w:rsidRPr="00344ED1">
              <w:t xml:space="preserve"> koks šiuo tikslu atliekamas asmens duomenų tvarkymas turėtų atitikti Reglamentą (ES) 2016/679;</w:t>
            </w:r>
          </w:p>
        </w:tc>
        <w:tc>
          <w:tcPr>
            <w:tcW w:w="4876" w:type="dxa"/>
          </w:tcPr>
          <w:p w:rsidR="001E13C1" w:rsidRPr="00344ED1" w:rsidRDefault="001E13C1" w:rsidP="00AF1FBD">
            <w:pPr>
              <w:pStyle w:val="Normal6a"/>
              <w:rPr>
                <w:szCs w:val="24"/>
              </w:rPr>
            </w:pPr>
            <w:r w:rsidRPr="00344ED1">
              <w:t>(14)</w:t>
            </w:r>
            <w:r w:rsidRPr="00344ED1">
              <w:tab/>
              <w:t xml:space="preserve">valstybės narės gali tvarkyti asmens duomenis pagal šią direktyvą tik siekdamos patikrinti, ar tenkinami tinkamumo reikalavimai, arba nustatyti nuolatinių buveinių </w:t>
            </w:r>
            <w:r w:rsidRPr="00344ED1">
              <w:rPr>
                <w:b/>
                <w:i/>
              </w:rPr>
              <w:t xml:space="preserve">ir patronuojamųjų įmonių </w:t>
            </w:r>
            <w:r w:rsidRPr="00344ED1">
              <w:t>mokestines prievoles.</w:t>
            </w:r>
            <w:r w:rsidR="00AF1FBD">
              <w:rPr>
                <w:b/>
                <w:i/>
              </w:rPr>
              <w:t xml:space="preserve"> </w:t>
            </w:r>
            <w:r w:rsidRPr="00344ED1">
              <w:rPr>
                <w:b/>
                <w:i/>
              </w:rPr>
              <w:t>Bet</w:t>
            </w:r>
            <w:r w:rsidRPr="00344ED1">
              <w:t xml:space="preserve"> koks šiuo tikslu atliekamas asmens duomenų tvarkymas turėtų atitikti Reglamentą (ES) 2016/679;</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16</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15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(15)</w:t>
            </w:r>
            <w:r w:rsidRPr="00344ED1">
              <w:tab/>
              <w:t>saugojimo laikotarpis numatytas tam, kad valstybės narės galėtų laikytis daugumos senaties termino taisyklių ir griežtai laikytis nacionalinių taisyklių dėl tokio laikotarpio pradžios ar sustabdymo. Tačiau saugojimo laikotarpis neturėtų būti ilgesnis nei būtina užtikrinti, kad kompetentingi mokesčių administratoriai galėtų nustatyti mokestines prievoles, taip užtikrinant pusiausvyrą tarp mokesčių administratoriaus gebėjimo užtikrinti tinkamą mokesčių apskaičiavimą bei jų surinkimą ir mokesčių mokėtojų teisės į teisinį tikrumą;</w:t>
            </w:r>
          </w:p>
        </w:tc>
        <w:tc>
          <w:tcPr>
            <w:tcW w:w="4876" w:type="dxa"/>
          </w:tcPr>
          <w:p w:rsidR="001E13C1" w:rsidRPr="00344ED1" w:rsidRDefault="001E13C1" w:rsidP="00AF1FBD">
            <w:pPr>
              <w:pStyle w:val="Normal6a"/>
              <w:rPr>
                <w:szCs w:val="24"/>
              </w:rPr>
            </w:pPr>
            <w:r w:rsidRPr="00344ED1">
              <w:t>(15)</w:t>
            </w:r>
            <w:r w:rsidRPr="00344ED1">
              <w:tab/>
            </w:r>
            <w:r w:rsidRPr="00344ED1">
              <w:rPr>
                <w:b/>
                <w:i/>
              </w:rPr>
              <w:t>proporcingas</w:t>
            </w:r>
            <w:r w:rsidRPr="00344ED1">
              <w:t xml:space="preserve"> saugojimo laikotarpis numatytas tam, kad valstybės narės galėtų laikytis daugumos senaties termino taisyklių ir griežtai laikytis nacionalinių taisyklių dėl tokio laikotarpio pradžios ar sustabdymo. Tačiau saugojimo laikotarpis neturėtų būti ilgesnis nei būtina užtikrinti, kad kompetentingi mokesčių administratoriai galėtų nustatyti mokestines prievoles, taip užtikrinant pusiausvyrą tarp mokesčių administratoriaus gebėjimo užtikrinti tinkamą mokesčių apskaičiavimą bei jų surinkimą ir mokesčių mokėtojų teisės į teisinį tikrumą;</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17</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17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(17)</w:t>
            </w:r>
            <w:r w:rsidRPr="00344ED1">
              <w:tab/>
              <w:t xml:space="preserve">vadovaujantis Europos Parlamento ir Tarybos reglamento (ES) 2018/1725 42 straipsnio 1 dalimi, buvo konsultuojamasi su Europos duomenų apsaugos priežiūros </w:t>
            </w:r>
            <w:r w:rsidRPr="00344ED1">
              <w:lastRenderedPageBreak/>
              <w:t>pareigūnu ir jis pateikė nuomonę</w:t>
            </w:r>
            <w:r w:rsidRPr="00344ED1">
              <w:rPr>
                <w:b/>
                <w:i/>
              </w:rPr>
              <w:t xml:space="preserve"> […]</w:t>
            </w:r>
            <w:r w:rsidRPr="00344ED1">
              <w:t>;</w:t>
            </w:r>
          </w:p>
        </w:tc>
        <w:tc>
          <w:tcPr>
            <w:tcW w:w="4876" w:type="dxa"/>
          </w:tcPr>
          <w:p w:rsidR="001E13C1" w:rsidRPr="00344ED1" w:rsidRDefault="001E13C1" w:rsidP="00AF1FBD">
            <w:pPr>
              <w:pStyle w:val="Normal6a"/>
              <w:rPr>
                <w:szCs w:val="24"/>
              </w:rPr>
            </w:pPr>
            <w:r w:rsidRPr="00344ED1">
              <w:lastRenderedPageBreak/>
              <w:t>(17)</w:t>
            </w:r>
            <w:r w:rsidRPr="00344ED1">
              <w:tab/>
              <w:t xml:space="preserve">vadovaujantis Europos Parlamento ir Tarybos reglamento (ES) 2018/1725 42 straipsnio 1 dalimi, buvo konsultuojamasi su Europos duomenų apsaugos priežiūros </w:t>
            </w:r>
            <w:r w:rsidRPr="00344ED1">
              <w:lastRenderedPageBreak/>
              <w:t xml:space="preserve">pareigūnu ir jis </w:t>
            </w:r>
            <w:r w:rsidRPr="00344ED1">
              <w:rPr>
                <w:b/>
                <w:i/>
              </w:rPr>
              <w:t xml:space="preserve">2023 m. lapkričio 3 d. </w:t>
            </w:r>
            <w:r w:rsidRPr="00344ED1">
              <w:t>pateikė nuomonę;</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18</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(18)</w:t>
            </w:r>
            <w:r w:rsidRPr="00344ED1">
              <w:tab/>
              <w:t>kadangi šios direktyvos tikslo – supaprastinti tam tikroms MVĮ, veikiančioms vidaus rinkoje per nuolatinę buveinę (-es), taikomas mokesčių taisykles, valstybės narės negali deramai pasiekti, o dėl esamų problemų, kylančių dėl 27 skirtingų įmonių pelno mokesčio sistemų sąveikos, to tikslo būtų geriau siekti Sąjungos lygmeniu, laikydamasi Europos Sąjungos sutarties 5 straipsnyje nustatyto subsidiarumo principo Sąjunga gali patvirtinti priemones. Pagal tame straipsnyje nustatytą proporcingumo principą šia direktyva neviršijama to, kas būtina nurodytam tikslui pasiekti,</w:t>
            </w:r>
          </w:p>
        </w:tc>
        <w:tc>
          <w:tcPr>
            <w:tcW w:w="4876" w:type="dxa"/>
          </w:tcPr>
          <w:p w:rsidR="001E13C1" w:rsidRPr="00344ED1" w:rsidRDefault="001E13C1" w:rsidP="00AF1FBD">
            <w:pPr>
              <w:pStyle w:val="Normal6a"/>
            </w:pPr>
            <w:r w:rsidRPr="00344ED1">
              <w:t>(18)</w:t>
            </w:r>
            <w:r w:rsidRPr="00344ED1">
              <w:tab/>
              <w:t xml:space="preserve">kadangi šios direktyvos tikslo – supaprastinti tam tikroms MVĮ, veikiančioms </w:t>
            </w:r>
            <w:r w:rsidRPr="00344ED1">
              <w:rPr>
                <w:b/>
                <w:i/>
              </w:rPr>
              <w:t xml:space="preserve">tarpvalstybiniu mastu </w:t>
            </w:r>
            <w:r w:rsidRPr="00344ED1">
              <w:t>vidaus rinkoje per nuolatinę buveinę (-es),</w:t>
            </w:r>
            <w:r w:rsidRPr="00344ED1">
              <w:rPr>
                <w:b/>
                <w:i/>
              </w:rPr>
              <w:t xml:space="preserve"> arba iki dviejų patronuojamųjų įmonių</w:t>
            </w:r>
            <w:r w:rsidRPr="00344ED1">
              <w:t xml:space="preserve"> taikomas mokesčių taisykles, valstybės narės negali deramai pasiekti</w:t>
            </w:r>
            <w:r w:rsidRPr="00344ED1">
              <w:rPr>
                <w:b/>
                <w:i/>
              </w:rPr>
              <w:t xml:space="preserve"> veikdamos pavieniui</w:t>
            </w:r>
            <w:r w:rsidRPr="00344ED1">
              <w:t>, o dėl esamų problemų, kylančių dėl 27 skirtingų</w:t>
            </w:r>
            <w:r w:rsidRPr="00344ED1">
              <w:rPr>
                <w:b/>
                <w:i/>
              </w:rPr>
              <w:t xml:space="preserve"> nacionalinių</w:t>
            </w:r>
            <w:r w:rsidRPr="00344ED1">
              <w:t xml:space="preserve"> įmonių pelno mokesčio sistemų sąveikos, to tikslo būtų geriau siekti Sąjungos lygmeniu</w:t>
            </w:r>
            <w:r w:rsidRPr="00344ED1">
              <w:rPr>
                <w:b/>
                <w:i/>
              </w:rPr>
              <w:t xml:space="preserve"> valstybėms narėms bendradarbiaujant tarpusavyje</w:t>
            </w:r>
            <w:r w:rsidRPr="00344ED1">
              <w:t>, laikydamasi Europos Sąjungos sutarties 5 straipsnyje nustatyto subsidiarumo principo Sąjunga gali patvirtinti priemones. Pagal tame straipsnyje nustatytą proporcingumo principą šia direktyva neviršijama to, kas būtina nurodytam tikslui pasiekti.</w:t>
            </w:r>
          </w:p>
        </w:tc>
      </w:tr>
    </w:tbl>
    <w:p w:rsidR="001E13C1" w:rsidRPr="00344ED1" w:rsidRDefault="001E13C1" w:rsidP="001E13C1"/>
    <w:p w:rsidR="001E13C1" w:rsidRPr="00344ED1" w:rsidRDefault="001E13C1" w:rsidP="001E13C1">
      <w:pPr>
        <w:spacing w:before="120" w:after="120"/>
      </w:pPr>
    </w:p>
    <w:p w:rsidR="001E13C1" w:rsidRPr="00344ED1" w:rsidRDefault="001E13C1" w:rsidP="001E13C1">
      <w:pPr>
        <w:pStyle w:val="AmNumberTabs"/>
      </w:pPr>
      <w:r w:rsidRPr="00344ED1">
        <w:t>Pakeitimas</w:t>
      </w:r>
      <w:r w:rsidRPr="00344ED1">
        <w:tab/>
      </w:r>
      <w:r w:rsidRPr="00344ED1">
        <w:tab/>
        <w:t>19</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 straipsnio 1 pastraipa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Šioje direktyvoje nustatomos MVĮ, kurios atitinka 2</w:t>
            </w:r>
            <w:r w:rsidRPr="00344ED1">
              <w:rPr>
                <w:b/>
                <w:i/>
              </w:rPr>
              <w:t xml:space="preserve"> </w:t>
            </w:r>
            <w:r w:rsidRPr="00344ED1">
              <w:t>straipsnio 1</w:t>
            </w:r>
            <w:r w:rsidRPr="00344ED1">
              <w:rPr>
                <w:b/>
                <w:i/>
              </w:rPr>
              <w:t xml:space="preserve"> </w:t>
            </w:r>
            <w:r w:rsidRPr="00344ED1">
              <w:t>dalyje nustatytus kriterijus, nuolatinių buveinių apmokestinamojo rezultato apskaičiavimo taisyklės (toliau – pagrindinės buveinės apmokestinimo taisyklės).</w:t>
            </w:r>
          </w:p>
        </w:tc>
        <w:tc>
          <w:tcPr>
            <w:tcW w:w="4876" w:type="dxa"/>
          </w:tcPr>
          <w:p w:rsidR="001E13C1" w:rsidRPr="00344ED1" w:rsidRDefault="001E13C1" w:rsidP="00AF1FBD">
            <w:pPr>
              <w:pStyle w:val="Normal6a"/>
            </w:pPr>
            <w:r w:rsidRPr="00344ED1">
              <w:t>šioje direktyvoje nustatomos MVĮ, kurios atitinka 2</w:t>
            </w:r>
            <w:r w:rsidRPr="00344ED1">
              <w:rPr>
                <w:b/>
                <w:i/>
              </w:rPr>
              <w:t> </w:t>
            </w:r>
            <w:r w:rsidRPr="00344ED1">
              <w:t>straipsnio 1</w:t>
            </w:r>
            <w:r w:rsidRPr="00344ED1">
              <w:rPr>
                <w:b/>
                <w:i/>
              </w:rPr>
              <w:t> </w:t>
            </w:r>
            <w:r w:rsidRPr="00344ED1">
              <w:t>dalyje nustatytus kriterijus, nuolatinių buveinių</w:t>
            </w:r>
            <w:r w:rsidRPr="00344ED1">
              <w:rPr>
                <w:b/>
                <w:i/>
              </w:rPr>
              <w:t xml:space="preserve"> ir patronuojamųjų įmonių</w:t>
            </w:r>
            <w:r w:rsidRPr="00344ED1">
              <w:t xml:space="preserve"> apmokestinamojo rezultato apskaičiavimo taisyklės (toliau – pagrindinės buveinės apmokestinimo taisyklės).</w:t>
            </w:r>
          </w:p>
        </w:tc>
      </w:tr>
    </w:tbl>
    <w:p w:rsidR="001E13C1" w:rsidRPr="00344ED1" w:rsidRDefault="001E13C1" w:rsidP="001E13C1"/>
    <w:p w:rsidR="001E13C1" w:rsidRPr="00344ED1" w:rsidRDefault="001E13C1" w:rsidP="001E13C1">
      <w:pPr>
        <w:pStyle w:val="AmNumberTabs"/>
        <w:keepNext/>
      </w:pPr>
      <w:r w:rsidRPr="00344ED1">
        <w:lastRenderedPageBreak/>
        <w:t>Pakeitimas</w:t>
      </w:r>
      <w:r w:rsidRPr="00344ED1">
        <w:tab/>
      </w:r>
      <w:r w:rsidRPr="00344ED1">
        <w:tab/>
        <w:t>20</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2 straipsnio 1 dalies e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e)</w:t>
            </w:r>
            <w:r w:rsidRPr="00344ED1">
              <w:tab/>
              <w:t xml:space="preserve">jos veikia kitose valstybėse narėse </w:t>
            </w:r>
            <w:r w:rsidRPr="00344ED1">
              <w:rPr>
                <w:b/>
                <w:i/>
              </w:rPr>
              <w:t xml:space="preserve">tik </w:t>
            </w:r>
            <w:r w:rsidRPr="00344ED1">
              <w:t>per vieną ar kelias nuolatines buveines;</w:t>
            </w:r>
          </w:p>
        </w:tc>
        <w:tc>
          <w:tcPr>
            <w:tcW w:w="4876" w:type="dxa"/>
          </w:tcPr>
          <w:p w:rsidR="001E13C1" w:rsidRPr="00344ED1" w:rsidRDefault="001E13C1" w:rsidP="00AF1FBD">
            <w:pPr>
              <w:pStyle w:val="Normal6a"/>
              <w:rPr>
                <w:szCs w:val="24"/>
              </w:rPr>
            </w:pPr>
            <w:r w:rsidRPr="00344ED1">
              <w:t>e)</w:t>
            </w:r>
            <w:r w:rsidRPr="00344ED1">
              <w:tab/>
              <w:t>jos veikia kitose valstybėse narėse per vieną ar kelias nuolatines buveines</w:t>
            </w:r>
            <w:r w:rsidRPr="00344ED1">
              <w:rPr>
                <w:b/>
                <w:i/>
              </w:rPr>
              <w:t xml:space="preserve"> ir</w:t>
            </w:r>
            <w:r w:rsidR="00601BB0">
              <w:rPr>
                <w:b/>
                <w:i/>
              </w:rPr>
              <w:t xml:space="preserve"> (</w:t>
            </w:r>
            <w:r w:rsidRPr="00344ED1">
              <w:rPr>
                <w:b/>
                <w:i/>
              </w:rPr>
              <w:t>arba</w:t>
            </w:r>
            <w:r w:rsidR="00601BB0">
              <w:rPr>
                <w:b/>
                <w:i/>
              </w:rPr>
              <w:t>)</w:t>
            </w:r>
            <w:r w:rsidRPr="00344ED1">
              <w:rPr>
                <w:b/>
                <w:i/>
              </w:rPr>
              <w:t xml:space="preserve"> ne daugiau nei dvi patronuojamąsias įmones</w:t>
            </w:r>
            <w:r w:rsidRPr="00344ED1">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21</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2 straipsnio 2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Komisijai pagal 16</w:t>
            </w:r>
            <w:r w:rsidRPr="00344ED1">
              <w:rPr>
                <w:b/>
                <w:i/>
              </w:rPr>
              <w:t xml:space="preserve"> </w:t>
            </w:r>
            <w:r w:rsidRPr="00344ED1">
              <w:t>straipsnį suteikiami įgaliojimai priimti deleguotuosius aktus, kuriais iš dalies keičiami I–IV</w:t>
            </w:r>
            <w:r w:rsidRPr="00344ED1">
              <w:rPr>
                <w:b/>
                <w:i/>
              </w:rPr>
              <w:t xml:space="preserve"> </w:t>
            </w:r>
            <w:r w:rsidRPr="00344ED1">
              <w:t xml:space="preserve">priedai, siekiant atsižvelgti į valstybių narių įstatymų pakeitimus, </w:t>
            </w:r>
            <w:r w:rsidRPr="00344ED1">
              <w:rPr>
                <w:b/>
                <w:i/>
              </w:rPr>
              <w:t>susijusius</w:t>
            </w:r>
            <w:r w:rsidRPr="00344ED1">
              <w:t xml:space="preserve"> su:</w:t>
            </w:r>
          </w:p>
        </w:tc>
        <w:tc>
          <w:tcPr>
            <w:tcW w:w="4876" w:type="dxa"/>
          </w:tcPr>
          <w:p w:rsidR="001E13C1" w:rsidRPr="00344ED1" w:rsidRDefault="001E13C1" w:rsidP="00AF1FBD">
            <w:pPr>
              <w:pStyle w:val="Normal6a"/>
            </w:pPr>
            <w:r w:rsidRPr="00344ED1">
              <w:t>2.</w:t>
            </w:r>
            <w:r w:rsidRPr="00344ED1">
              <w:tab/>
              <w:t>Komisijai pagal 16</w:t>
            </w:r>
            <w:r w:rsidRPr="00344ED1">
              <w:rPr>
                <w:b/>
                <w:i/>
              </w:rPr>
              <w:t> </w:t>
            </w:r>
            <w:r w:rsidRPr="00344ED1">
              <w:t>straipsnį suteikiami įgaliojimai priimti deleguotuosius aktus, kuriais iš dalies keičiami I–IV</w:t>
            </w:r>
            <w:r w:rsidRPr="00344ED1">
              <w:rPr>
                <w:b/>
                <w:i/>
              </w:rPr>
              <w:t> </w:t>
            </w:r>
            <w:r w:rsidRPr="00344ED1">
              <w:t>priedai, siekiant atsižvelgti į valstybių narių įstatymų pakeitimus</w:t>
            </w:r>
            <w:r w:rsidRPr="00344ED1">
              <w:rPr>
                <w:b/>
                <w:i/>
              </w:rPr>
              <w:t xml:space="preserve"> ir remiantis atitinkamos valstybės narės pateikta informacija</w:t>
            </w:r>
            <w:r w:rsidRPr="00344ED1">
              <w:t xml:space="preserve">, </w:t>
            </w:r>
            <w:r w:rsidRPr="00344ED1">
              <w:rPr>
                <w:b/>
                <w:i/>
              </w:rPr>
              <w:t>susijusia</w:t>
            </w:r>
            <w:r w:rsidRPr="00344ED1">
              <w:t xml:space="preserve"> su:</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22</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2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3.</w:t>
            </w:r>
            <w:r w:rsidRPr="00344ED1">
              <w:tab/>
              <w:t>Ši direktyva nedaro poveikio valstybės narės, kurioje yra nuolatinė buveinė, teisei nustatyti taikytiną mokesčio tarifą ir dvišalių sutarčių dėl dvigubo apmokestinimo išvengimo arba darbuotojų socialinės apsaugos taisyklių taikymui nuolatinės buveinės valstybėje narėje.</w:t>
            </w:r>
          </w:p>
        </w:tc>
        <w:tc>
          <w:tcPr>
            <w:tcW w:w="4876" w:type="dxa"/>
          </w:tcPr>
          <w:p w:rsidR="001E13C1" w:rsidRPr="00344ED1" w:rsidRDefault="001E13C1" w:rsidP="00AF1FBD">
            <w:pPr>
              <w:pStyle w:val="Normal6a"/>
            </w:pPr>
            <w:r w:rsidRPr="00344ED1">
              <w:t>3.</w:t>
            </w:r>
            <w:r w:rsidRPr="00344ED1">
              <w:tab/>
              <w:t>Ši direktyva nedaro poveikio valstybės narės, kurioje yra nuolatinė buveinė</w:t>
            </w:r>
            <w:r w:rsidRPr="00344ED1">
              <w:rPr>
                <w:b/>
                <w:i/>
              </w:rPr>
              <w:t xml:space="preserve"> arba patronuojamoji įmonė</w:t>
            </w:r>
            <w:r w:rsidRPr="00344ED1">
              <w:t>, teisei nustatyti taikytiną mokesčio tarifą ir dvišalių sutarčių dėl dvigubo apmokestinimo išvengimo arba darbuotojų socialinės apsaugos taisyklių taikymui nuolatinės buveinės</w:t>
            </w:r>
            <w:r w:rsidRPr="00344ED1">
              <w:rPr>
                <w:b/>
                <w:i/>
              </w:rPr>
              <w:t xml:space="preserve"> ar patronuojamosios įmonės</w:t>
            </w:r>
            <w:r w:rsidRPr="00344ED1">
              <w:t xml:space="preserve"> valstybėje narėje.</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23</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3 straipsnio 1 pastraipos 1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lastRenderedPageBreak/>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1a)</w:t>
            </w:r>
            <w:r w:rsidRPr="00344ED1">
              <w:tab/>
            </w:r>
            <w:r w:rsidRPr="00344ED1">
              <w:rPr>
                <w:b/>
                <w:i/>
              </w:rPr>
              <w:t>patronuojamoji įmonė – patronuojamoji įmonė, kaip apibrėžta Tarybos direktyvos 2011/96/ES 3 straipsnio 1 dalies b punkte, esanti kitoje valstybėje narėje ir kontroliuojama pagrindinės buveinės;</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24</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3 straipsnio 1 pastraipos 2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pagrindinė buveinė</w:t>
            </w:r>
            <w:r w:rsidRPr="00344ED1">
              <w:rPr>
                <w:b/>
                <w:i/>
              </w:rPr>
              <w:t xml:space="preserve"> </w:t>
            </w:r>
            <w:r w:rsidRPr="00344ED1">
              <w:t>– 2</w:t>
            </w:r>
            <w:r w:rsidRPr="00344ED1">
              <w:rPr>
                <w:b/>
                <w:i/>
              </w:rPr>
              <w:t xml:space="preserve"> </w:t>
            </w:r>
            <w:r w:rsidRPr="00344ED1">
              <w:t>straipsnio 1</w:t>
            </w:r>
            <w:r w:rsidRPr="00344ED1">
              <w:rPr>
                <w:b/>
                <w:i/>
              </w:rPr>
              <w:t xml:space="preserve"> </w:t>
            </w:r>
            <w:r w:rsidRPr="00344ED1">
              <w:t>dalyje nurodyta MVĮ, kuri veikia kitoje</w:t>
            </w:r>
            <w:r w:rsidRPr="00344ED1">
              <w:rPr>
                <w:b/>
                <w:i/>
              </w:rPr>
              <w:t> </w:t>
            </w:r>
            <w:r w:rsidRPr="00344ED1">
              <w:t>valstybėje narėje (-ėse)</w:t>
            </w:r>
            <w:r w:rsidRPr="00344ED1">
              <w:rPr>
                <w:b/>
                <w:i/>
              </w:rPr>
              <w:t xml:space="preserve"> tik</w:t>
            </w:r>
            <w:r w:rsidRPr="00344ED1">
              <w:t xml:space="preserve"> per vieną ar kelias nuolatines buveines;</w:t>
            </w:r>
          </w:p>
        </w:tc>
        <w:tc>
          <w:tcPr>
            <w:tcW w:w="4876" w:type="dxa"/>
          </w:tcPr>
          <w:p w:rsidR="001E13C1" w:rsidRPr="00344ED1" w:rsidRDefault="001E13C1" w:rsidP="00AF1FBD">
            <w:pPr>
              <w:pStyle w:val="Normal6a"/>
              <w:rPr>
                <w:szCs w:val="24"/>
              </w:rPr>
            </w:pPr>
            <w:r w:rsidRPr="00344ED1">
              <w:t>2)</w:t>
            </w:r>
            <w:r w:rsidRPr="00344ED1">
              <w:tab/>
              <w:t>pagrindinė buveinė</w:t>
            </w:r>
            <w:r w:rsidRPr="00344ED1">
              <w:rPr>
                <w:b/>
                <w:i/>
              </w:rPr>
              <w:t> </w:t>
            </w:r>
            <w:r w:rsidRPr="00344ED1">
              <w:t>– 2</w:t>
            </w:r>
            <w:r w:rsidRPr="00344ED1">
              <w:rPr>
                <w:b/>
                <w:i/>
              </w:rPr>
              <w:t> </w:t>
            </w:r>
            <w:r w:rsidRPr="00344ED1">
              <w:t>straipsnio 1</w:t>
            </w:r>
            <w:r w:rsidRPr="00344ED1">
              <w:rPr>
                <w:b/>
                <w:i/>
              </w:rPr>
              <w:t> </w:t>
            </w:r>
            <w:r w:rsidRPr="00344ED1">
              <w:t>dalyje nurodyta MVĮ, kuri veikia kitoje</w:t>
            </w:r>
            <w:r w:rsidRPr="00344ED1">
              <w:rPr>
                <w:b/>
                <w:i/>
              </w:rPr>
              <w:t xml:space="preserve"> </w:t>
            </w:r>
            <w:r w:rsidRPr="00344ED1">
              <w:t>valstybėje narėje (-ėse) per vieną ar kelias nuolatines buveines</w:t>
            </w:r>
            <w:r w:rsidRPr="00344ED1">
              <w:rPr>
                <w:b/>
                <w:i/>
              </w:rPr>
              <w:t xml:space="preserve"> ir</w:t>
            </w:r>
            <w:r w:rsidR="00601BB0">
              <w:rPr>
                <w:b/>
                <w:i/>
              </w:rPr>
              <w:t xml:space="preserve"> (</w:t>
            </w:r>
            <w:r w:rsidRPr="00344ED1">
              <w:rPr>
                <w:b/>
                <w:i/>
              </w:rPr>
              <w:t>arba</w:t>
            </w:r>
            <w:r w:rsidR="00601BB0">
              <w:rPr>
                <w:b/>
                <w:i/>
              </w:rPr>
              <w:t>)</w:t>
            </w:r>
            <w:r w:rsidRPr="00344ED1">
              <w:rPr>
                <w:b/>
                <w:i/>
              </w:rPr>
              <w:t xml:space="preserve"> ne daugiau kaip dvi patronuojamąsias įmones</w:t>
            </w:r>
            <w:r w:rsidRPr="00344ED1">
              <w:t>;</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25</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3 straipsnio 1 pastraipos 4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4)</w:t>
            </w:r>
            <w:r w:rsidRPr="00344ED1">
              <w:tab/>
              <w:t>pagrindinės buveinės apmokestinimo taisyklės – pagrindinės buveinės valstybės narės apmokestinimo taisyklės, taikomos apskaičiuojant pagrindinės buveinės ir jos nuolatinių buveinių apmokestinamąjį rezultatą;</w:t>
            </w:r>
          </w:p>
        </w:tc>
        <w:tc>
          <w:tcPr>
            <w:tcW w:w="4876" w:type="dxa"/>
          </w:tcPr>
          <w:p w:rsidR="001E13C1" w:rsidRPr="00344ED1" w:rsidRDefault="001E13C1" w:rsidP="00AF1FBD">
            <w:pPr>
              <w:pStyle w:val="Normal6a"/>
              <w:rPr>
                <w:szCs w:val="24"/>
              </w:rPr>
            </w:pPr>
            <w:r w:rsidRPr="00344ED1">
              <w:t>4)</w:t>
            </w:r>
            <w:r w:rsidRPr="00344ED1">
              <w:tab/>
              <w:t xml:space="preserve">pagrindinės buveinės apmokestinimo taisyklės – pagrindinės buveinės valstybės narės apmokestinimo taisyklės, taikomos apskaičiuojant pagrindinės buveinės ir jos nuolatinių buveinių </w:t>
            </w:r>
            <w:r w:rsidRPr="00344ED1">
              <w:rPr>
                <w:b/>
                <w:i/>
              </w:rPr>
              <w:t xml:space="preserve">arba patronuojamųjų įmonių </w:t>
            </w:r>
            <w:r w:rsidRPr="00344ED1">
              <w:t>apmokestinamąjį rezultatą;</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26</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3 straipsnio 1 pastraipos 5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5)</w:t>
            </w:r>
            <w:r w:rsidRPr="00344ED1">
              <w:tab/>
              <w:t>priimančioji valstybė narė – valstybė narė, kurioje yra 2 straipsnio 1 dalyje nurodytos MVĮ nuolatinė buveinė;</w:t>
            </w:r>
          </w:p>
        </w:tc>
        <w:tc>
          <w:tcPr>
            <w:tcW w:w="4876" w:type="dxa"/>
          </w:tcPr>
          <w:p w:rsidR="001E13C1" w:rsidRPr="00344ED1" w:rsidRDefault="001E13C1" w:rsidP="00AF1FBD">
            <w:pPr>
              <w:pStyle w:val="Normal6a"/>
              <w:rPr>
                <w:szCs w:val="24"/>
              </w:rPr>
            </w:pPr>
            <w:r w:rsidRPr="00344ED1">
              <w:t>5)</w:t>
            </w:r>
            <w:r w:rsidRPr="00344ED1">
              <w:tab/>
              <w:t>priimančioji valstybė narė – valstybė narė, kurioje yra 2 straipsnio 1 dalyje nurodytos MVĮ nuolatinė buveinė</w:t>
            </w:r>
            <w:r w:rsidRPr="00344ED1">
              <w:rPr>
                <w:b/>
                <w:i/>
              </w:rPr>
              <w:t xml:space="preserve"> arba patronuojamoji įmonė</w:t>
            </w:r>
            <w:r w:rsidRPr="00344ED1">
              <w:t>;</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27</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3 straipsnio 1 pastraipos 6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6)</w:t>
            </w:r>
            <w:r w:rsidRPr="00344ED1">
              <w:tab/>
              <w:t>nuolatinės buveinės apmokestinamasis rezultatas – apmokestinamosios pajamos arba nuostoliai, apskaičiuoti pagal pagrindinės buveinės apmokestinimo taisykles;</w:t>
            </w:r>
          </w:p>
        </w:tc>
        <w:tc>
          <w:tcPr>
            <w:tcW w:w="4876" w:type="dxa"/>
          </w:tcPr>
          <w:p w:rsidR="001E13C1" w:rsidRPr="00344ED1" w:rsidRDefault="001E13C1" w:rsidP="00AF1FBD">
            <w:pPr>
              <w:pStyle w:val="Normal6a"/>
              <w:rPr>
                <w:szCs w:val="24"/>
              </w:rPr>
            </w:pPr>
            <w:r w:rsidRPr="00344ED1">
              <w:t>6)</w:t>
            </w:r>
            <w:r w:rsidRPr="00344ED1">
              <w:tab/>
            </w:r>
            <w:bookmarkStart w:id="9" w:name="_Hlk143594514"/>
            <w:r w:rsidRPr="00344ED1">
              <w:t xml:space="preserve">nuolatinės buveinės apmokestinamasis rezultatas </w:t>
            </w:r>
            <w:bookmarkEnd w:id="9"/>
            <w:r w:rsidRPr="00344ED1">
              <w:t xml:space="preserve">– </w:t>
            </w:r>
            <w:r w:rsidRPr="00344ED1">
              <w:rPr>
                <w:b/>
                <w:i/>
              </w:rPr>
              <w:t xml:space="preserve">nuolatinei buveinei ir iki dviejų patronuojamųjų įmonių priskiriamos </w:t>
            </w:r>
            <w:r w:rsidRPr="00344ED1">
              <w:t>apmokestinamosios pajamos arba nuostoliai, apskaičiuoti pagal pagrindinės buveinės apmokestinimo taisykles;</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28</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3 straipsnio 1 pastraipos 8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8)</w:t>
            </w:r>
            <w:r w:rsidRPr="00344ED1">
              <w:tab/>
              <w:t>pagrindinės buveinės apmokestinimo tikslais pateikta mokesčių deklaracija – 2 straipsnio 1 dalyje nurodytos MVĮ pateikta mokesčių deklaracija, kurioje nurodomi pagrindinės buveinės ir nuolatinės buveinės (-ių) apmokestinamieji rezultatai, apskaičiuoti pagal pagrindinės buveinės apmokestinimo taisykles.</w:t>
            </w:r>
          </w:p>
        </w:tc>
        <w:tc>
          <w:tcPr>
            <w:tcW w:w="4876" w:type="dxa"/>
          </w:tcPr>
          <w:p w:rsidR="001E13C1" w:rsidRPr="00344ED1" w:rsidRDefault="001E13C1" w:rsidP="00AF1FBD">
            <w:pPr>
              <w:pStyle w:val="Normal6a"/>
              <w:rPr>
                <w:szCs w:val="24"/>
              </w:rPr>
            </w:pPr>
            <w:r w:rsidRPr="00344ED1">
              <w:t>8)</w:t>
            </w:r>
            <w:r w:rsidRPr="00344ED1">
              <w:tab/>
              <w:t xml:space="preserve">pagrindinės buveinės apmokestinimo tikslais pateikta mokesčių deklaracija – 2 straipsnio 1 dalyje nurodytos MVĮ pateikta mokesčių deklaracija, kurioje nurodomi pagrindinės buveinės ir nuolatinės buveinės (-ių) </w:t>
            </w:r>
            <w:r w:rsidRPr="00344ED1">
              <w:rPr>
                <w:b/>
                <w:i/>
              </w:rPr>
              <w:t xml:space="preserve">arba patronuojamųjų įmonių </w:t>
            </w:r>
            <w:r w:rsidRPr="00344ED1">
              <w:t>apmokestinamieji rezultatai, apskaičiuoti pagal pagrindinės buveinės apmokestinimo taisykles.</w:t>
            </w:r>
          </w:p>
        </w:tc>
      </w:tr>
    </w:tbl>
    <w:p w:rsidR="001E13C1" w:rsidRPr="00344ED1" w:rsidRDefault="001E13C1" w:rsidP="001E13C1"/>
    <w:p w:rsidR="001E13C1" w:rsidRPr="00344ED1" w:rsidRDefault="001E13C1" w:rsidP="001E13C1">
      <w:pPr>
        <w:spacing w:before="120" w:after="120"/>
      </w:pPr>
    </w:p>
    <w:p w:rsidR="001E13C1" w:rsidRPr="00344ED1" w:rsidRDefault="001E13C1" w:rsidP="001E13C1">
      <w:pPr>
        <w:pStyle w:val="AmNumberTabs"/>
        <w:keepNext/>
      </w:pPr>
      <w:r w:rsidRPr="00344ED1">
        <w:t>Pakeitimas</w:t>
      </w:r>
      <w:r w:rsidRPr="00344ED1">
        <w:tab/>
      </w:r>
      <w:r w:rsidRPr="00344ED1">
        <w:tab/>
        <w:t>29</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4 straipsnio 1 dalies įžanginė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rPr>
                <w:b/>
                <w:i/>
              </w:rPr>
            </w:pPr>
            <w:r w:rsidRPr="00344ED1">
              <w:t>1.</w:t>
            </w:r>
            <w:r w:rsidRPr="00344ED1">
              <w:tab/>
              <w:t>Pagrindinė buveinė gali pasirinkti taikyti pagrindinės buveinės apmokestinimo taisykles savo nuolatinei buveinei (-ėms) kitose valstybėse narėse, jeigu ji (-os) atitinka šiuos reikalavimus:</w:t>
            </w:r>
          </w:p>
        </w:tc>
        <w:tc>
          <w:tcPr>
            <w:tcW w:w="4876" w:type="dxa"/>
          </w:tcPr>
          <w:p w:rsidR="001E13C1" w:rsidRPr="00344ED1" w:rsidRDefault="001E13C1" w:rsidP="00AF1FBD">
            <w:pPr>
              <w:pStyle w:val="Normal6a"/>
              <w:rPr>
                <w:b/>
                <w:i/>
                <w:szCs w:val="24"/>
              </w:rPr>
            </w:pPr>
            <w:r w:rsidRPr="00344ED1">
              <w:t>1</w:t>
            </w:r>
            <w:r w:rsidR="00FF4F96">
              <w:t>.</w:t>
            </w:r>
            <w:r w:rsidRPr="00344ED1">
              <w:tab/>
              <w:t xml:space="preserve">Pagrindinė buveinė gali pasirinkti taikyti pagrindinės buveinės apmokestinimo taisykles savo nuolatinei buveinei (-ėms) </w:t>
            </w:r>
            <w:r w:rsidRPr="00344ED1">
              <w:rPr>
                <w:b/>
                <w:i/>
              </w:rPr>
              <w:t xml:space="preserve">ir patronuojamosioms įmonėms </w:t>
            </w:r>
            <w:r w:rsidRPr="00344ED1">
              <w:t>kitose valstybėse narėse, jeigu ji (-os) atitinka šiuos reikalavimus:</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30</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4 straipsnio 1 dalies a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a)</w:t>
            </w:r>
            <w:r w:rsidRPr="00344ED1">
              <w:tab/>
              <w:t xml:space="preserve">jos nuolatinių buveinių bendra apyvarta per pastaruosius </w:t>
            </w:r>
            <w:r w:rsidRPr="00344ED1">
              <w:rPr>
                <w:b/>
                <w:i/>
              </w:rPr>
              <w:t>dvejus</w:t>
            </w:r>
            <w:r w:rsidRPr="00344ED1">
              <w:t xml:space="preserve"> finansinius metus neviršijo sumos, kuri yra </w:t>
            </w:r>
            <w:r w:rsidRPr="00344ED1">
              <w:rPr>
                <w:b/>
                <w:i/>
              </w:rPr>
              <w:t>dvigubai</w:t>
            </w:r>
            <w:r w:rsidRPr="00344ED1">
              <w:t xml:space="preserve"> didesnė už pagrindinės buveinės apyvartą;</w:t>
            </w:r>
          </w:p>
        </w:tc>
        <w:tc>
          <w:tcPr>
            <w:tcW w:w="4876" w:type="dxa"/>
          </w:tcPr>
          <w:p w:rsidR="001E13C1" w:rsidRPr="00344ED1" w:rsidRDefault="001E13C1" w:rsidP="00AF1FBD">
            <w:pPr>
              <w:pStyle w:val="Normal6a"/>
              <w:rPr>
                <w:b/>
                <w:i/>
                <w:szCs w:val="24"/>
              </w:rPr>
            </w:pPr>
            <w:r w:rsidRPr="00344ED1">
              <w:t>a)</w:t>
            </w:r>
            <w:r w:rsidRPr="00344ED1">
              <w:tab/>
              <w:t xml:space="preserve">jos nuolatinių buveinių </w:t>
            </w:r>
            <w:r w:rsidRPr="00344ED1">
              <w:rPr>
                <w:b/>
                <w:i/>
              </w:rPr>
              <w:t xml:space="preserve">ir patronuojamųjų įmonių </w:t>
            </w:r>
            <w:r w:rsidRPr="00344ED1">
              <w:t xml:space="preserve">bendra apyvarta per pastaruosius </w:t>
            </w:r>
            <w:r w:rsidRPr="00344ED1">
              <w:rPr>
                <w:b/>
                <w:i/>
              </w:rPr>
              <w:t>trejus</w:t>
            </w:r>
            <w:r w:rsidRPr="00344ED1">
              <w:t xml:space="preserve"> finansinius metus neviršijo sumos, kuri yra </w:t>
            </w:r>
            <w:r w:rsidRPr="00344ED1">
              <w:rPr>
                <w:b/>
                <w:i/>
              </w:rPr>
              <w:t>trigubai</w:t>
            </w:r>
            <w:r w:rsidRPr="00344ED1">
              <w:t xml:space="preserve"> didesnė už pagrindinės buveinės apyvartą;</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31</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4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b)</w:t>
            </w:r>
            <w:r w:rsidRPr="00344ED1">
              <w:tab/>
              <w:t xml:space="preserve">per pastaruosius </w:t>
            </w:r>
            <w:r w:rsidRPr="00344ED1">
              <w:rPr>
                <w:b/>
                <w:i/>
              </w:rPr>
              <w:t xml:space="preserve">dvejus </w:t>
            </w:r>
            <w:r w:rsidRPr="00344ED1">
              <w:t>finansinius metus ji buvo rezidentė mokesčių tikslais pagrindinės buveinės valstybėje narėje;</w:t>
            </w:r>
          </w:p>
        </w:tc>
        <w:tc>
          <w:tcPr>
            <w:tcW w:w="4876" w:type="dxa"/>
          </w:tcPr>
          <w:p w:rsidR="001E13C1" w:rsidRPr="00344ED1" w:rsidRDefault="001E13C1" w:rsidP="00AF1FBD">
            <w:pPr>
              <w:pStyle w:val="Normal6a"/>
            </w:pPr>
            <w:r w:rsidRPr="00344ED1">
              <w:t>b)</w:t>
            </w:r>
            <w:r w:rsidRPr="00344ED1">
              <w:tab/>
              <w:t>per pastaruosius finansinius metus</w:t>
            </w:r>
            <w:r w:rsidRPr="00344ED1">
              <w:rPr>
                <w:b/>
                <w:i/>
              </w:rPr>
              <w:t xml:space="preserve"> arba, jei tas laikotarpis trumpesnis, nuo pagrindinės buveinės įsteigimo</w:t>
            </w:r>
            <w:r w:rsidRPr="00344ED1">
              <w:t xml:space="preserve"> ji buvo rezidentė mokesčių tikslais pagrindinės buveinės valstybėje narėje;</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32</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4 straipsnio 1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c)</w:t>
            </w:r>
            <w:r w:rsidRPr="00344ED1">
              <w:tab/>
              <w:t xml:space="preserve">pastaruosius </w:t>
            </w:r>
            <w:r w:rsidRPr="00344ED1">
              <w:rPr>
                <w:b/>
                <w:i/>
              </w:rPr>
              <w:t xml:space="preserve">dvejus </w:t>
            </w:r>
            <w:r w:rsidRPr="00344ED1">
              <w:t>finansinius metus ji atitiko 2</w:t>
            </w:r>
            <w:r w:rsidRPr="00344ED1">
              <w:rPr>
                <w:b/>
                <w:i/>
              </w:rPr>
              <w:t xml:space="preserve"> </w:t>
            </w:r>
            <w:r w:rsidRPr="00344ED1">
              <w:t>straipsnio 1</w:t>
            </w:r>
            <w:r w:rsidRPr="00344ED1">
              <w:rPr>
                <w:b/>
                <w:i/>
              </w:rPr>
              <w:t xml:space="preserve"> </w:t>
            </w:r>
            <w:r w:rsidRPr="00344ED1">
              <w:t>dalies d</w:t>
            </w:r>
            <w:r w:rsidRPr="00344ED1">
              <w:rPr>
                <w:b/>
                <w:i/>
              </w:rPr>
              <w:t xml:space="preserve"> </w:t>
            </w:r>
            <w:r w:rsidRPr="00344ED1">
              <w:t>punkte nustatytas sąlygas.</w:t>
            </w:r>
          </w:p>
        </w:tc>
        <w:tc>
          <w:tcPr>
            <w:tcW w:w="4876" w:type="dxa"/>
          </w:tcPr>
          <w:p w:rsidR="001E13C1" w:rsidRPr="00344ED1" w:rsidRDefault="001E13C1" w:rsidP="00AF1FBD">
            <w:pPr>
              <w:pStyle w:val="Normal6a"/>
            </w:pPr>
            <w:r w:rsidRPr="00344ED1">
              <w:t>c)</w:t>
            </w:r>
            <w:r w:rsidRPr="00344ED1">
              <w:tab/>
              <w:t xml:space="preserve">pastaruosius finansinius metus </w:t>
            </w:r>
            <w:r w:rsidRPr="00344ED1">
              <w:rPr>
                <w:b/>
                <w:i/>
              </w:rPr>
              <w:t xml:space="preserve">arba, jei tas laikotarpis trumpesnis, nuo pagrindinės buveinės įsteigimo </w:t>
            </w:r>
            <w:r w:rsidRPr="00344ED1">
              <w:t>ji atitiko 2</w:t>
            </w:r>
            <w:r w:rsidRPr="00344ED1">
              <w:rPr>
                <w:b/>
                <w:i/>
              </w:rPr>
              <w:t> </w:t>
            </w:r>
            <w:r w:rsidRPr="00344ED1">
              <w:t>straipsnio 1</w:t>
            </w:r>
            <w:r w:rsidRPr="00344ED1">
              <w:rPr>
                <w:b/>
                <w:i/>
              </w:rPr>
              <w:t> </w:t>
            </w:r>
            <w:r w:rsidRPr="00344ED1">
              <w:t>dalies d</w:t>
            </w:r>
            <w:r w:rsidRPr="00344ED1">
              <w:rPr>
                <w:b/>
                <w:i/>
              </w:rPr>
              <w:t> </w:t>
            </w:r>
            <w:r w:rsidRPr="00344ED1">
              <w:t>punkte nustatytas sąlygas.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33</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4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 xml:space="preserve">Jei pagrindinė buveinė nusprendžia </w:t>
            </w:r>
            <w:r w:rsidRPr="00344ED1">
              <w:lastRenderedPageBreak/>
              <w:t>pagal 1 dalį taikyti pagrindinės buveinės apmokestinimo taisykles, ji jas taiko visoms savo nuolatinėms buveinėms kitose valstybėse narėse. Jeigu ji įsteigia naują nuolatinę buveinę kitoje valstybėje narėje, ji tokiai nuolatinei buveinei taiko pagrindinės buveinės apmokestinimo taisykles nuo pat jos įsteigimo momento.</w:t>
            </w:r>
          </w:p>
        </w:tc>
        <w:tc>
          <w:tcPr>
            <w:tcW w:w="4876" w:type="dxa"/>
          </w:tcPr>
          <w:p w:rsidR="001E13C1" w:rsidRPr="00344ED1" w:rsidRDefault="001E13C1" w:rsidP="00AF1FBD">
            <w:pPr>
              <w:pStyle w:val="Normal6a"/>
            </w:pPr>
            <w:r w:rsidRPr="00344ED1">
              <w:lastRenderedPageBreak/>
              <w:t>2.</w:t>
            </w:r>
            <w:r w:rsidRPr="00344ED1">
              <w:tab/>
              <w:t xml:space="preserve">Jei pagrindinė buveinė nusprendžia </w:t>
            </w:r>
            <w:r w:rsidRPr="00344ED1">
              <w:lastRenderedPageBreak/>
              <w:t xml:space="preserve">pagal 1 dalį taikyti pagrindinės buveinės apmokestinimo taisykles, ji jas taiko visoms savo nuolatinėms buveinėms </w:t>
            </w:r>
            <w:r w:rsidRPr="00344ED1">
              <w:rPr>
                <w:b/>
                <w:i/>
              </w:rPr>
              <w:t xml:space="preserve">ar patronuojamoms įmonėms </w:t>
            </w:r>
            <w:r w:rsidRPr="00344ED1">
              <w:t xml:space="preserve">kitose valstybėse narėse. Jeigu ji įsteigia naują nuolatinę buveinę kitoje valstybėje narėje, ji tokiai nuolatinei buveinei taiko pagrindinės buveinės apmokestinimo taisykles nuo pat jos įsteigimo momento. </w:t>
            </w:r>
            <w:r w:rsidRPr="00344ED1">
              <w:rPr>
                <w:b/>
                <w:i/>
              </w:rPr>
              <w:t>Jeigu ji įsteigia pirmąją patronuojamąją įmonę kitoje valstybėje narėje, ji tai patronuojamajai įmonei taiko pagrindinės buveinės apmokestinimo taisykles nuo jos įsteigimo momento ir apie tai informuoja priimančiąją valstybę narę.</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34</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4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rPr>
                <w:b/>
                <w:i/>
              </w:rPr>
            </w:pPr>
            <w:r w:rsidRPr="00344ED1">
              <w:rPr>
                <w:b/>
                <w:i/>
              </w:rPr>
              <w:t>2a.</w:t>
            </w:r>
            <w:r w:rsidRPr="00344ED1">
              <w:rPr>
                <w:b/>
                <w:i/>
              </w:rPr>
              <w:tab/>
              <w:t>1 dalies a punkte nurodytas reikalavimas netaikomas, kai pagrindinė buveinė buvo įsteigta likus mažiau nei trejiems metams iki galimybės taikyti pagrindinės buveinės apmokestinimo taisykles datos.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35</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5 straipsnio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Jeigu pagrindinė buveinė gauna pajamų iš laivybos veiklos ir šioms pajamoms pagrindinės buveinės valstybėje narėje taikomas tonažo apmokestinimo režimas, tokiai pagrindinei buveinei netaikomos pagrindinės buveinės apmokestinimo taisyklės savo nuolatinės buveinės (-ių) kitose valstybėse narėse pajamoms iš laivybos veiklos.</w:t>
            </w:r>
          </w:p>
        </w:tc>
        <w:tc>
          <w:tcPr>
            <w:tcW w:w="4876" w:type="dxa"/>
          </w:tcPr>
          <w:p w:rsidR="001E13C1" w:rsidRPr="00344ED1" w:rsidRDefault="001E13C1" w:rsidP="00AF1FBD">
            <w:pPr>
              <w:pStyle w:val="Normal6a"/>
            </w:pPr>
            <w:r w:rsidRPr="00344ED1">
              <w:t xml:space="preserve">Jeigu pagrindinė buveinė gauna pajamų iš laivybos veiklos ir šioms pajamoms pagrindinės buveinės valstybėje narėje taikomas tonažo apmokestinimo režimas, tokiai pagrindinei buveinei netaikomos pagrindinės buveinės </w:t>
            </w:r>
            <w:r w:rsidRPr="00344ED1">
              <w:rPr>
                <w:b/>
                <w:i/>
              </w:rPr>
              <w:t xml:space="preserve">ir patronuojamosios įmonės </w:t>
            </w:r>
            <w:r w:rsidRPr="00344ED1">
              <w:t>apmokestinimo taisyklės savo nuolatinės buveinės (-ių)</w:t>
            </w:r>
            <w:r w:rsidRPr="00344ED1">
              <w:rPr>
                <w:b/>
                <w:i/>
              </w:rPr>
              <w:t xml:space="preserve"> ir (arba) patronuojamosios įmonės</w:t>
            </w:r>
            <w:r w:rsidRPr="00344ED1">
              <w:t xml:space="preserve"> kitose valstybėse narėse pajamoms iš laivybos veiklos.</w:t>
            </w:r>
          </w:p>
        </w:tc>
      </w:tr>
    </w:tbl>
    <w:p w:rsidR="001E13C1" w:rsidRPr="00344ED1" w:rsidRDefault="001E13C1" w:rsidP="001E13C1"/>
    <w:p w:rsidR="001E13C1" w:rsidRPr="00344ED1" w:rsidRDefault="001E13C1" w:rsidP="001E13C1">
      <w:pPr>
        <w:spacing w:before="120" w:after="120"/>
      </w:pPr>
    </w:p>
    <w:p w:rsidR="001E13C1" w:rsidRPr="00344ED1" w:rsidRDefault="001E13C1" w:rsidP="001E13C1">
      <w:pPr>
        <w:pStyle w:val="AmNumberTabs"/>
        <w:keepNext/>
      </w:pPr>
      <w:r w:rsidRPr="00344ED1">
        <w:t>Pakeitimas</w:t>
      </w:r>
      <w:r w:rsidRPr="00344ED1">
        <w:tab/>
      </w:r>
      <w:r w:rsidRPr="00344ED1">
        <w:tab/>
        <w:t>36</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6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 xml:space="preserve">Pagrindinė buveinė, kuri pasirenka savo nuolatinei buveinei (-ėms) taikyti pagrindinės buveinės apmokestinimo taisykles, praneša apie savo pasirinkimą deklaravimo institucijai ir nurodo priimančiosios valstybės narės (-ių) pavadinimą (-us). Pranešimas pateikiamas likus ne mažiau kaip </w:t>
            </w:r>
            <w:r w:rsidRPr="00344ED1">
              <w:rPr>
                <w:b/>
                <w:i/>
              </w:rPr>
              <w:t>trims</w:t>
            </w:r>
            <w:r w:rsidRPr="00344ED1">
              <w:t xml:space="preserve"> mėnesiams iki finansinių metų, einančių prieš finansinius metus, kuriais ta MVĮ nori pradėti taikyti pagrindinės buveinės apmokestinimo taisykles, pabaigos.</w:t>
            </w:r>
          </w:p>
        </w:tc>
        <w:tc>
          <w:tcPr>
            <w:tcW w:w="4876" w:type="dxa"/>
          </w:tcPr>
          <w:p w:rsidR="001E13C1" w:rsidRPr="00344ED1" w:rsidRDefault="001E13C1" w:rsidP="00AF1FBD">
            <w:pPr>
              <w:pStyle w:val="Normal6a"/>
              <w:rPr>
                <w:szCs w:val="24"/>
              </w:rPr>
            </w:pPr>
            <w:r w:rsidRPr="00344ED1">
              <w:t>1.</w:t>
            </w:r>
            <w:r w:rsidRPr="00344ED1">
              <w:tab/>
              <w:t xml:space="preserve">Pagrindinė buveinė, kuri pasirenka savo nuolatinei buveinei (-ėms) </w:t>
            </w:r>
            <w:r w:rsidRPr="00344ED1">
              <w:rPr>
                <w:b/>
                <w:i/>
              </w:rPr>
              <w:t xml:space="preserve">ir (arba) patronuojamajai įmonei </w:t>
            </w:r>
            <w:r w:rsidRPr="00344ED1">
              <w:t xml:space="preserve">taikyti pagrindinės buveinės apmokestinimo taisykles, praneša apie savo pasirinkimą deklaravimo institucijai ir nurodo priimančiosios valstybės narės (-ių) pavadinimą (-us). Pranešimas pateikiamas likus ne mažiau kaip </w:t>
            </w:r>
            <w:r w:rsidRPr="00344ED1">
              <w:rPr>
                <w:b/>
                <w:i/>
              </w:rPr>
              <w:t>dviem</w:t>
            </w:r>
            <w:r w:rsidRPr="00344ED1">
              <w:t xml:space="preserve"> mėnesiams iki finansinių metų, einančių prieš finansinius metus, kuriais ta MVĮ nori pradėti taikyti pagrindinės buveinės apmokestinimo taisykles, pabaigos.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37</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6 straipsnio 1 a dalis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1a.</w:t>
            </w:r>
            <w:r w:rsidRPr="00344ED1">
              <w:rPr>
                <w:b/>
                <w:i/>
              </w:rPr>
              <w:tab/>
              <w:t>Įsteigdama savo pirmąją nuolatinę buveinę ar patronuojamąją įmonę kitoje valstybėje narėje, MVĮ gali taikyti pagrindinės buveinės apmokestinimo taisykles nuo tų metų, kuriais yra įsteigta nuolatinė buveinė arba patronuojamoji įmonė, apie tai neturėdama pranešti deklaravimo institucijai likus trims mėnesiams iki praėjusių mokestinių metų pabaigos.</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38</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6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Deklaravimo institucija patikrina, ar tenkinami 4</w:t>
            </w:r>
            <w:r w:rsidRPr="00344ED1">
              <w:rPr>
                <w:b/>
                <w:i/>
              </w:rPr>
              <w:t xml:space="preserve"> </w:t>
            </w:r>
            <w:r w:rsidRPr="00344ED1">
              <w:t xml:space="preserve">straipsnyje nustatyti </w:t>
            </w:r>
            <w:r w:rsidRPr="00344ED1">
              <w:lastRenderedPageBreak/>
              <w:t xml:space="preserve">tinkamumo reikalavimai, ir per </w:t>
            </w:r>
            <w:r w:rsidRPr="00344ED1">
              <w:rPr>
                <w:b/>
                <w:i/>
              </w:rPr>
              <w:t>du mėnesius</w:t>
            </w:r>
            <w:r w:rsidRPr="00344ED1">
              <w:t xml:space="preserve"> nuo 1</w:t>
            </w:r>
            <w:r w:rsidRPr="00344ED1">
              <w:rPr>
                <w:b/>
                <w:i/>
              </w:rPr>
              <w:t xml:space="preserve"> </w:t>
            </w:r>
            <w:r w:rsidRPr="00344ED1">
              <w:t>dalyje nurodyto pranešimo informuoja pagrindinę buveinę apie savo išvadas.</w:t>
            </w:r>
          </w:p>
        </w:tc>
        <w:tc>
          <w:tcPr>
            <w:tcW w:w="4876" w:type="dxa"/>
          </w:tcPr>
          <w:p w:rsidR="001E13C1" w:rsidRPr="00344ED1" w:rsidRDefault="001E13C1" w:rsidP="00AF1FBD">
            <w:pPr>
              <w:pStyle w:val="Normal6a"/>
              <w:rPr>
                <w:szCs w:val="24"/>
              </w:rPr>
            </w:pPr>
            <w:r w:rsidRPr="00344ED1">
              <w:lastRenderedPageBreak/>
              <w:t>2.</w:t>
            </w:r>
            <w:r w:rsidRPr="00344ED1">
              <w:tab/>
              <w:t>Deklaravimo institucija patikrina, ar tenkinami 4</w:t>
            </w:r>
            <w:r w:rsidRPr="00344ED1">
              <w:rPr>
                <w:b/>
                <w:i/>
              </w:rPr>
              <w:t> </w:t>
            </w:r>
            <w:r w:rsidRPr="00344ED1">
              <w:t xml:space="preserve">straipsnyje nustatyti </w:t>
            </w:r>
            <w:r w:rsidRPr="00344ED1">
              <w:lastRenderedPageBreak/>
              <w:t xml:space="preserve">tinkamumo reikalavimai, ir per </w:t>
            </w:r>
            <w:r w:rsidRPr="00344ED1">
              <w:rPr>
                <w:b/>
                <w:i/>
              </w:rPr>
              <w:t>vieną mėnesį</w:t>
            </w:r>
            <w:r w:rsidRPr="00344ED1">
              <w:t xml:space="preserve"> nuo 1</w:t>
            </w:r>
            <w:r w:rsidRPr="00344ED1">
              <w:rPr>
                <w:b/>
                <w:i/>
              </w:rPr>
              <w:t> </w:t>
            </w:r>
            <w:r w:rsidRPr="00344ED1">
              <w:t>dalyje nurodyto pranešimo informuoja pagrindinę buveinę apie savo išvadas.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39</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6 straipsnio 2 a dalis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2a.</w:t>
            </w:r>
            <w:r w:rsidRPr="00344ED1">
              <w:rPr>
                <w:b/>
                <w:i/>
              </w:rPr>
              <w:tab/>
              <w:t>Paraišką teikianti institucija iš priimančiosios valstybės narės gauna patvirtinimą, kad pagal dvišales mokesčių sutartis įmonė priimančiojoje valstybėje narėje yra nuolatinė buveinė.</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40</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6 straipsnio 3 dalies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3.</w:t>
            </w:r>
            <w:r w:rsidRPr="00344ED1">
              <w:tab/>
              <w:t xml:space="preserve">Jei tinkamumo reikalavimai tenkinami, deklaravimo institucija per </w:t>
            </w:r>
            <w:r w:rsidRPr="00344ED1">
              <w:rPr>
                <w:b/>
                <w:i/>
              </w:rPr>
              <w:t>du mėnesius</w:t>
            </w:r>
            <w:r w:rsidRPr="00344ED1">
              <w:t xml:space="preserve"> nuo 1</w:t>
            </w:r>
            <w:r w:rsidRPr="00344ED1">
              <w:rPr>
                <w:b/>
                <w:i/>
              </w:rPr>
              <w:t xml:space="preserve"> </w:t>
            </w:r>
            <w:r w:rsidRPr="00344ED1">
              <w:t xml:space="preserve">dalyje nurodyto pranešimo priimančiųjų valstybių narių mokesčių administratoriams praneša, kad atitinkamų nuolatinių buveinių apmokestinamasis rezultatas nuo kitų finansinių metų turi būti apskaičiuojamas pagal pagrindinės buveinės apmokestinimo taisykles, taikomas pagrindinės buveinės valstybėje narėje. Priimančiosios valstybės narės (-ių) mokesčių administratorius praneša deklaravimo institucijai apie taikytiną mokesčio tarifą. </w:t>
            </w:r>
          </w:p>
        </w:tc>
        <w:tc>
          <w:tcPr>
            <w:tcW w:w="4876" w:type="dxa"/>
          </w:tcPr>
          <w:p w:rsidR="001E13C1" w:rsidRPr="00344ED1" w:rsidRDefault="001E13C1" w:rsidP="00AF1FBD">
            <w:pPr>
              <w:pStyle w:val="Normal6a"/>
              <w:rPr>
                <w:szCs w:val="24"/>
              </w:rPr>
            </w:pPr>
            <w:r w:rsidRPr="00344ED1">
              <w:t>3.</w:t>
            </w:r>
            <w:r w:rsidRPr="00344ED1">
              <w:tab/>
              <w:t xml:space="preserve">Jei tinkamumo reikalavimai tenkinami, deklaravimo institucija per </w:t>
            </w:r>
            <w:r w:rsidRPr="00344ED1">
              <w:rPr>
                <w:b/>
                <w:i/>
              </w:rPr>
              <w:t>vieną mėnesį</w:t>
            </w:r>
            <w:r w:rsidRPr="00344ED1">
              <w:t xml:space="preserve"> nuo 1</w:t>
            </w:r>
            <w:r w:rsidRPr="00344ED1">
              <w:rPr>
                <w:b/>
                <w:i/>
              </w:rPr>
              <w:t> </w:t>
            </w:r>
            <w:r w:rsidRPr="00344ED1">
              <w:t>dalyje nurodyto pranešimo priimančiųjų valstybių narių mokesčių administratoriams praneša, kad atitinkamų nuolatinių buveinių</w:t>
            </w:r>
            <w:r w:rsidRPr="00344ED1">
              <w:rPr>
                <w:b/>
                <w:i/>
              </w:rPr>
              <w:t xml:space="preserve"> ir patronuojamųjų įmonių</w:t>
            </w:r>
            <w:r w:rsidRPr="00344ED1">
              <w:t xml:space="preserve"> apmokestinamasis rezultatas nuo kitų finansinių metų turi būti apskaičiuojamas pagal pagrindinės buveinės apmokestinimo taisykles, taikomas pagrindinės buveinės valstybėje narėje. Priimančiosios valstybės narės (-ių) mokesčių administratorius praneša deklaravimo institucijai apie taikytiną mokesčio tarifą.</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41</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6 straipsnio 3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lastRenderedPageBreak/>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Priimančioji valstybė narė gali pagal 13 straipsnio nuostatas užginčyti deklaravimo institucijos sprendimą dėl atitikties tinkamumo reikalavimams. Nepaisant tokių procedūrų, MVĮ gali pradėti taikyti pagrindinės buveinės apmokestinimo taisykles.</w:t>
            </w:r>
          </w:p>
        </w:tc>
        <w:tc>
          <w:tcPr>
            <w:tcW w:w="4876" w:type="dxa"/>
          </w:tcPr>
          <w:p w:rsidR="001E13C1" w:rsidRPr="00344ED1" w:rsidRDefault="001E13C1" w:rsidP="00AF1FBD">
            <w:pPr>
              <w:pStyle w:val="Normal6a"/>
            </w:pPr>
            <w:r w:rsidRPr="00344ED1">
              <w:t xml:space="preserve">Priimančioji valstybė narė gali pagal 13 straipsnio nuostatas užginčyti deklaravimo institucijos sprendimą dėl atitikties tinkamumo reikalavimams. </w:t>
            </w:r>
            <w:r w:rsidRPr="00344ED1">
              <w:rPr>
                <w:b/>
                <w:i/>
              </w:rPr>
              <w:t>Tokiu atveju taikomos valstybės narės, kurioje yra pagrindinė buveinė, nacionalinės taisyklės.</w:t>
            </w:r>
            <w:r w:rsidRPr="00344ED1">
              <w:t xml:space="preserve"> Nepaisant tokių procedūrų, MVĮ gali pradėti taikyti pagrindinės buveinės apmokestinimo taisykles.</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42</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6 straipsnio 3 dalies 4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 xml:space="preserve">Jei deklaravimo institucija padaro išvadą, kad tinkamumo reikalavimai netenkinami, ji per </w:t>
            </w:r>
            <w:r w:rsidRPr="00344ED1">
              <w:rPr>
                <w:b/>
                <w:i/>
              </w:rPr>
              <w:t>du mėnesius</w:t>
            </w:r>
            <w:r w:rsidRPr="00344ED1">
              <w:t xml:space="preserve"> nuo 1 dalyje nurodyto pranešimo apie tai informuoja pagrindinę buveinę, o pagrindinė buveinė gali tokią išvadą apskųsti pagal nacionalinę teisę.</w:t>
            </w:r>
          </w:p>
        </w:tc>
        <w:tc>
          <w:tcPr>
            <w:tcW w:w="4876" w:type="dxa"/>
          </w:tcPr>
          <w:p w:rsidR="001E13C1" w:rsidRPr="00344ED1" w:rsidRDefault="001E13C1" w:rsidP="00AF1FBD">
            <w:pPr>
              <w:pStyle w:val="Normal6a"/>
              <w:rPr>
                <w:szCs w:val="24"/>
              </w:rPr>
            </w:pPr>
            <w:r w:rsidRPr="00344ED1">
              <w:t xml:space="preserve">Jei deklaravimo institucija padaro išvadą, kad tinkamumo reikalavimai netenkinami, ji per </w:t>
            </w:r>
            <w:r w:rsidRPr="00344ED1">
              <w:rPr>
                <w:b/>
                <w:i/>
              </w:rPr>
              <w:t>mėnesį</w:t>
            </w:r>
            <w:r w:rsidRPr="00344ED1">
              <w:t xml:space="preserve"> nuo 1 dalyje nurodyto pranešimo apie tai informuoja pagrindinę buveinę, o pagrindinė buveinė gali tokią išvadą apskųsti pagal nacionalinę teisę</w:t>
            </w:r>
            <w:r w:rsidRPr="00344ED1">
              <w:rPr>
                <w:b/>
                <w:i/>
              </w:rPr>
              <w:t xml:space="preserve"> ir toliau taikyti pagrindinės buveinės apmokestinimo taisykles.</w:t>
            </w:r>
            <w:r w:rsidRPr="00344ED1">
              <w:t xml:space="preserve"> </w:t>
            </w:r>
            <w:r w:rsidRPr="00344ED1">
              <w:rPr>
                <w:b/>
                <w:i/>
              </w:rPr>
              <w:t>Galutinis sprendimas turi teisinę galią tik nuo kitų finansinių metų</w:t>
            </w:r>
            <w:r w:rsidRPr="00344ED1">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43</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6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4.</w:t>
            </w:r>
            <w:r w:rsidRPr="00344ED1">
              <w:tab/>
              <w:t>Jei priimančioji valstybė narė padaro išvadą, kad MVĮ veikla jos teritorijoje gali būti laikoma nuolatinės buveinės veikla, ji apie tai praneša deklaravimo institucijai. Gavusi šią informaciją, deklaravimo institucija informuoja priimančiosios valstybės narės kompetentingą mokesčių administratorių, ar pagrindinė buveinė savo nuolatinėms buveinėms taiko pagrindinės buveinės apmokestinimo taisykles.</w:t>
            </w:r>
          </w:p>
        </w:tc>
        <w:tc>
          <w:tcPr>
            <w:tcW w:w="4876" w:type="dxa"/>
          </w:tcPr>
          <w:p w:rsidR="001E13C1" w:rsidRPr="00344ED1" w:rsidRDefault="001E13C1" w:rsidP="00AF1FBD">
            <w:pPr>
              <w:pStyle w:val="Normal6a"/>
            </w:pPr>
            <w:r w:rsidRPr="00344ED1">
              <w:t>4.</w:t>
            </w:r>
            <w:r w:rsidRPr="00344ED1">
              <w:tab/>
              <w:t xml:space="preserve">Jei priimančioji valstybė narė padaro išvadą, kad MVĮ veikla jos teritorijoje gali būti laikoma nuolatinės buveinės </w:t>
            </w:r>
            <w:r w:rsidRPr="00344ED1">
              <w:rPr>
                <w:b/>
                <w:i/>
              </w:rPr>
              <w:t xml:space="preserve">arba patronuojamosios įmonės </w:t>
            </w:r>
            <w:r w:rsidRPr="00344ED1">
              <w:t xml:space="preserve">veikla, ji apie tai praneša deklaravimo institucijai. Gavusi šią informaciją, deklaravimo institucija informuoja priimančiosios valstybės narės kompetentingą mokesčių administratorių, ar pagrindinė buveinė savo nuolatinėms buveinėms </w:t>
            </w:r>
            <w:r w:rsidRPr="00344ED1">
              <w:rPr>
                <w:b/>
                <w:i/>
              </w:rPr>
              <w:t xml:space="preserve">arba patronuojamajai įmonei </w:t>
            </w:r>
            <w:r w:rsidRPr="00344ED1">
              <w:t xml:space="preserve">taiko pagrindinės buveinės apmokestinimo </w:t>
            </w:r>
            <w:r w:rsidRPr="00344ED1">
              <w:lastRenderedPageBreak/>
              <w:t xml:space="preserve">taisykles. </w:t>
            </w:r>
            <w:r w:rsidRPr="00344ED1">
              <w:rPr>
                <w:b/>
                <w:i/>
              </w:rPr>
              <w:t xml:space="preserve">Pagrindinė buveinė turi būti nepagrįstai nedelsiant tinkamai informuojama apie </w:t>
            </w:r>
            <w:r w:rsidR="00FF4F96">
              <w:rPr>
                <w:b/>
                <w:i/>
              </w:rPr>
              <w:t>t</w:t>
            </w:r>
            <w:r w:rsidRPr="00344ED1">
              <w:rPr>
                <w:b/>
                <w:i/>
              </w:rPr>
              <w:t>as procedūras.</w:t>
            </w:r>
          </w:p>
        </w:tc>
      </w:tr>
    </w:tbl>
    <w:p w:rsidR="001E13C1" w:rsidRPr="00344ED1" w:rsidRDefault="001E13C1" w:rsidP="001E13C1"/>
    <w:p w:rsidR="001E13C1" w:rsidRPr="00344ED1" w:rsidRDefault="001E13C1" w:rsidP="001E13C1">
      <w:pPr>
        <w:spacing w:before="120" w:after="120"/>
      </w:pPr>
    </w:p>
    <w:p w:rsidR="001E13C1" w:rsidRPr="00344ED1" w:rsidRDefault="001E13C1" w:rsidP="001E13C1">
      <w:pPr>
        <w:pStyle w:val="AmNumberTabs"/>
        <w:keepNext/>
      </w:pPr>
      <w:r w:rsidRPr="00344ED1">
        <w:t>Pakeitimas</w:t>
      </w:r>
      <w:r w:rsidRPr="00344ED1">
        <w:tab/>
      </w:r>
      <w:r w:rsidRPr="00344ED1">
        <w:tab/>
        <w:t>44</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7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 xml:space="preserve">Pagrindinė buveinė, kuri pasirinko savo nuolatinėms buveinėms vienoje ar keliose priimančiosiose valstybėse narėse taikyti pagrindinės buveinės apmokestinimo taisykles, šias taisykles taiko </w:t>
            </w:r>
            <w:r w:rsidRPr="00344ED1">
              <w:rPr>
                <w:b/>
                <w:i/>
              </w:rPr>
              <w:t>penkerius</w:t>
            </w:r>
            <w:r w:rsidRPr="00344ED1">
              <w:t xml:space="preserve"> finansinius metus.</w:t>
            </w:r>
          </w:p>
        </w:tc>
        <w:tc>
          <w:tcPr>
            <w:tcW w:w="4876" w:type="dxa"/>
          </w:tcPr>
          <w:p w:rsidR="001E13C1" w:rsidRPr="00344ED1" w:rsidRDefault="001E13C1" w:rsidP="00AF1FBD">
            <w:pPr>
              <w:pStyle w:val="Normal6a"/>
              <w:rPr>
                <w:szCs w:val="24"/>
              </w:rPr>
            </w:pPr>
            <w:r w:rsidRPr="00344ED1">
              <w:t>1.</w:t>
            </w:r>
            <w:r w:rsidRPr="00344ED1">
              <w:tab/>
              <w:t xml:space="preserve">Pagrindinė buveinė, kuri pasirinko savo nuolatinėms buveinėms </w:t>
            </w:r>
            <w:r w:rsidRPr="00344ED1">
              <w:rPr>
                <w:b/>
                <w:i/>
              </w:rPr>
              <w:t xml:space="preserve">arba patronuojamosioms įmonėms </w:t>
            </w:r>
            <w:r w:rsidRPr="00344ED1">
              <w:t xml:space="preserve">vienoje ar keliose priimančiosiose valstybėse narėse taikyti pagrindinės buveinės apmokestinimo taisykles, šias taisykles taiko </w:t>
            </w:r>
            <w:r w:rsidRPr="00344ED1">
              <w:rPr>
                <w:b/>
                <w:i/>
              </w:rPr>
              <w:t>septynerius</w:t>
            </w:r>
            <w:r w:rsidRPr="00344ED1">
              <w:t xml:space="preserve"> finansinius metus</w:t>
            </w:r>
            <w:r w:rsidRPr="00344ED1">
              <w:rPr>
                <w:b/>
                <w:i/>
              </w:rPr>
              <w:t>, o šis laikotarpis yra atnaujinamas</w:t>
            </w:r>
            <w:r w:rsidRPr="00344ED1">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45</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7 straipsnio 2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Pasibaigus 1 dalyje nurodytam laikotarpiui, pagrindinės buveinės apmokestinimo taisyklės nebetaikomos priimančiosiose valstybėse narėse esančioms nuolatinėms buveinėms, išskyrus atvejus, kai pagrindinė buveinė 9 straipsnyje nustatyta tvarka praneša deklaravimo institucijai apie savo pasirinkimą pratęsti pagrindinės buveinės apmokestinimo taisyklių taikymą.</w:t>
            </w:r>
          </w:p>
        </w:tc>
        <w:tc>
          <w:tcPr>
            <w:tcW w:w="4876" w:type="dxa"/>
          </w:tcPr>
          <w:p w:rsidR="001E13C1" w:rsidRPr="00344ED1" w:rsidRDefault="001E13C1" w:rsidP="00AF1FBD">
            <w:pPr>
              <w:pStyle w:val="Normal6a"/>
            </w:pPr>
            <w:r w:rsidRPr="00344ED1">
              <w:t>2.</w:t>
            </w:r>
            <w:r w:rsidRPr="00344ED1">
              <w:tab/>
              <w:t>Pasibaigus 1 dalyje nurodytam laikotarpiui, pagrindinės buveinės apmokestinimo taisyklės nebetaikomos priimančiosiose valstybėse narėse esančioms nuolatinėms buveinėms</w:t>
            </w:r>
            <w:r w:rsidRPr="00344ED1">
              <w:rPr>
                <w:b/>
                <w:i/>
              </w:rPr>
              <w:t xml:space="preserve"> ir patronuojamosioms įmonėms</w:t>
            </w:r>
            <w:r w:rsidRPr="00344ED1">
              <w:t>, išskyrus atvejus, kai pagrindinė buveinė 9 straipsnyje nustatyta tvarka praneša deklaravimo institucijai apie savo pasirinkimą pratęsti pagrindinės buveinės apmokestinimo taisyklių taikymą.</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46</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8 straipsnio 1 dalies įžanginė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 xml:space="preserve">Galimybė taikyti pagrindinės </w:t>
            </w:r>
            <w:r w:rsidRPr="00344ED1">
              <w:lastRenderedPageBreak/>
              <w:t xml:space="preserve">buveinės apmokestinimo taisykles nutraukiama nepasibaigus 7 straipsnio 1 dalyje nurodytam </w:t>
            </w:r>
            <w:r w:rsidRPr="00344ED1">
              <w:rPr>
                <w:b/>
                <w:i/>
              </w:rPr>
              <w:t>penkerių</w:t>
            </w:r>
            <w:r w:rsidRPr="00344ED1">
              <w:t xml:space="preserve"> metų laikotarpiui dėl bet kurios iš šių priežasčių:</w:t>
            </w:r>
          </w:p>
        </w:tc>
        <w:tc>
          <w:tcPr>
            <w:tcW w:w="4876" w:type="dxa"/>
          </w:tcPr>
          <w:p w:rsidR="001E13C1" w:rsidRPr="00344ED1" w:rsidRDefault="001E13C1" w:rsidP="00AF1FBD">
            <w:pPr>
              <w:pStyle w:val="Normal6a"/>
              <w:rPr>
                <w:szCs w:val="24"/>
              </w:rPr>
            </w:pPr>
            <w:r w:rsidRPr="00344ED1">
              <w:lastRenderedPageBreak/>
              <w:t>1.</w:t>
            </w:r>
            <w:r w:rsidRPr="00344ED1">
              <w:tab/>
              <w:t xml:space="preserve">Galimybė taikyti pagrindinės </w:t>
            </w:r>
            <w:r w:rsidRPr="00344ED1">
              <w:lastRenderedPageBreak/>
              <w:t xml:space="preserve">buveinės apmokestinimo taisykles nutraukiama nepasibaigus 7 straipsnio 1 dalyje nurodytam </w:t>
            </w:r>
            <w:r w:rsidRPr="00344ED1">
              <w:rPr>
                <w:b/>
                <w:i/>
              </w:rPr>
              <w:t>septynerių</w:t>
            </w:r>
            <w:r w:rsidRPr="00344ED1">
              <w:t xml:space="preserve"> metų laikotarpiui dėl bet kurios iš šių priežasčių:</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47</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8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a)</w:t>
            </w:r>
            <w:r w:rsidRPr="00344ED1">
              <w:tab/>
              <w:t>2 straipsnio 1 dalyje nurodyta MVĮ perkelia savo rezidavimo vietą mokesčių tikslais iš valstybės narės, kurioje yra pagrindinė buveinė;</w:t>
            </w:r>
          </w:p>
        </w:tc>
        <w:tc>
          <w:tcPr>
            <w:tcW w:w="4876" w:type="dxa"/>
          </w:tcPr>
          <w:p w:rsidR="001E13C1" w:rsidRPr="00344ED1" w:rsidRDefault="001E13C1" w:rsidP="00AF1FBD">
            <w:pPr>
              <w:pStyle w:val="Normal6a"/>
            </w:pPr>
            <w:r w:rsidRPr="00344ED1">
              <w:t>a)</w:t>
            </w:r>
            <w:r w:rsidRPr="00344ED1">
              <w:tab/>
              <w:t>2 straipsnio 1 dalyje nurodyta MVĮ perkelia savo rezidavimo vietą mokesčių tikslais iš valstybės narės, kurioje yra pagrindinė buveinė</w:t>
            </w:r>
            <w:r w:rsidRPr="00344ED1">
              <w:rPr>
                <w:b/>
                <w:i/>
              </w:rPr>
              <w:t>, jei ta MVĮ nori nustoti taikyti apmokestinimo taisykles</w:t>
            </w:r>
            <w:r w:rsidRPr="00344ED1">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48</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8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b)</w:t>
            </w:r>
            <w:r w:rsidRPr="00344ED1">
              <w:tab/>
              <w:t xml:space="preserve">per pastaruosius </w:t>
            </w:r>
            <w:r w:rsidRPr="00344ED1">
              <w:rPr>
                <w:b/>
                <w:i/>
              </w:rPr>
              <w:t>dvejus</w:t>
            </w:r>
            <w:r w:rsidRPr="00344ED1">
              <w:t xml:space="preserve"> finansinius metus jos nuolatinių buveinių bendra apyvarta viršijo sumą, kuri yra trigubai didesnė už pagrindinės buveinės apyvartą</w:t>
            </w:r>
            <w:r w:rsidRPr="006E20FD">
              <w:rPr>
                <w:b/>
                <w:i/>
              </w:rPr>
              <w:t>.</w:t>
            </w:r>
          </w:p>
        </w:tc>
        <w:tc>
          <w:tcPr>
            <w:tcW w:w="4876" w:type="dxa"/>
          </w:tcPr>
          <w:p w:rsidR="001E13C1" w:rsidRPr="00344ED1" w:rsidRDefault="001E13C1" w:rsidP="006E20FD">
            <w:pPr>
              <w:spacing w:after="120"/>
            </w:pPr>
            <w:r w:rsidRPr="00344ED1">
              <w:t>b)</w:t>
            </w:r>
            <w:r w:rsidRPr="00344ED1">
              <w:tab/>
              <w:t xml:space="preserve">per pastaruosius </w:t>
            </w:r>
            <w:r w:rsidRPr="00344ED1">
              <w:rPr>
                <w:b/>
                <w:i/>
              </w:rPr>
              <w:t>trejus</w:t>
            </w:r>
            <w:r w:rsidRPr="00344ED1">
              <w:t xml:space="preserve"> finansinius metus jos nuolatinių buveinių</w:t>
            </w:r>
            <w:r w:rsidRPr="00344ED1">
              <w:rPr>
                <w:b/>
                <w:i/>
              </w:rPr>
              <w:t xml:space="preserve"> ir patronuojamųjų įmonių</w:t>
            </w:r>
            <w:r w:rsidRPr="00344ED1">
              <w:t xml:space="preserve"> bendra apyvarta viršijo sumą, kuri yra trigubai didesnė už pagrindinės buveinės apyvartą</w:t>
            </w:r>
            <w:r w:rsidR="00FF4F96">
              <w:rPr>
                <w:b/>
                <w:i/>
              </w:rPr>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49</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8 straipsnio 1 dalies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rPr>
                <w:b/>
                <w:i/>
              </w:rPr>
            </w:pPr>
            <w:r w:rsidRPr="00344ED1">
              <w:rPr>
                <w:b/>
                <w:i/>
              </w:rPr>
              <w:t>ba)</w:t>
            </w:r>
            <w:r w:rsidRPr="00344ED1">
              <w:rPr>
                <w:b/>
                <w:i/>
              </w:rPr>
              <w:tab/>
              <w:t>2 straipsnio 1 dalyje nurodyta MVĮ nebelaikoma MVĮ;</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50</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8 straipsnio 1 dalies b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bb)</w:t>
            </w:r>
            <w:r w:rsidRPr="00344ED1">
              <w:rPr>
                <w:b/>
                <w:i/>
              </w:rPr>
              <w:tab/>
              <w:t>2 straipsnio 1 dalyje nurodytos MVĮ įsteigia  daugiau nei dvi patronuojamąsias įmones.</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51</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 xml:space="preserve"> 8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r>
            <w:r w:rsidRPr="00344ED1">
              <w:rPr>
                <w:b/>
                <w:i/>
              </w:rPr>
              <w:t>Bet kuriuo iš 1 dalyje nurodytų atvejų</w:t>
            </w:r>
            <w:r w:rsidRPr="00344ED1">
              <w:t xml:space="preserve"> pagrindinės buveinės apmokestinimo taisyklės nebetaikomos nuo finansinių metų, einančių po metų, kuriais atsirado 1 dalyje nurodytos priežastys.</w:t>
            </w:r>
          </w:p>
        </w:tc>
        <w:tc>
          <w:tcPr>
            <w:tcW w:w="4876" w:type="dxa"/>
          </w:tcPr>
          <w:p w:rsidR="001E13C1" w:rsidRPr="00344ED1" w:rsidRDefault="001E13C1" w:rsidP="00AF1FBD">
            <w:pPr>
              <w:pStyle w:val="Normal6a"/>
              <w:rPr>
                <w:szCs w:val="24"/>
              </w:rPr>
            </w:pPr>
            <w:r w:rsidRPr="00344ED1">
              <w:t>2.</w:t>
            </w:r>
            <w:r w:rsidRPr="00344ED1">
              <w:tab/>
              <w:t xml:space="preserve">Pagrindinės buveinės apmokestinimo taisyklės nebetaikomos nuo finansinių metų, einančių po metų, kuriais atsirado 1 dalyje nurodytos priežastys. </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52</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8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3.</w:t>
            </w:r>
            <w:r w:rsidRPr="00344ED1">
              <w:tab/>
              <w:t xml:space="preserve">Deklaravimo institucija </w:t>
            </w:r>
            <w:r w:rsidRPr="00344ED1">
              <w:rPr>
                <w:b/>
                <w:i/>
              </w:rPr>
              <w:t>informuoja priimančiąsias valstybes nares apie 1 dalyje nurodytą nutraukimą</w:t>
            </w:r>
            <w:r w:rsidRPr="00344ED1">
              <w:t xml:space="preserve"> iki finansinių metų, kuriais atsirado to nutraukimo priežastys, pabaigos.</w:t>
            </w:r>
          </w:p>
        </w:tc>
        <w:tc>
          <w:tcPr>
            <w:tcW w:w="4876" w:type="dxa"/>
          </w:tcPr>
          <w:p w:rsidR="001E13C1" w:rsidRPr="00344ED1" w:rsidRDefault="001E13C1" w:rsidP="00AF1FBD">
            <w:pPr>
              <w:pStyle w:val="Normal6a"/>
            </w:pPr>
            <w:r w:rsidRPr="00344ED1">
              <w:t>3.</w:t>
            </w:r>
            <w:r w:rsidRPr="00344ED1">
              <w:tab/>
              <w:t xml:space="preserve">Deklaravimo institucija </w:t>
            </w:r>
            <w:r w:rsidRPr="00344ED1">
              <w:rPr>
                <w:b/>
                <w:i/>
              </w:rPr>
              <w:t>kuo skubiau ir ne vėliau kaip</w:t>
            </w:r>
            <w:r w:rsidRPr="00344ED1">
              <w:t xml:space="preserve"> iki finansinių metų, kuriais atsirado to nutraukimo priežastys, pabaigos</w:t>
            </w:r>
            <w:r w:rsidRPr="00344ED1">
              <w:rPr>
                <w:b/>
                <w:i/>
              </w:rPr>
              <w:t> informuoja priimančiąsias valstybes nares apie 1 dalyje nurodytą nutraukimą</w:t>
            </w:r>
            <w:r w:rsidRPr="00344ED1">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53</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8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4.</w:t>
            </w:r>
            <w:r w:rsidRPr="00344ED1">
              <w:tab/>
              <w:t>Jei 2 straipsnio 1 dalyje nurodyta MVĮ perkelia savo rezidavimo vietą mokesčių tikslais į kitą valstybę narę, ji gali pasirinkti taikyti savo naujosios rezidavimo vietos mokesčių tikslais valstybės narės pagrindinės buveinės apmokestinimo taisykles pagal 4–7 straipsnius. Tai laikoma nauju pasirinkimu.</w:t>
            </w:r>
          </w:p>
        </w:tc>
        <w:tc>
          <w:tcPr>
            <w:tcW w:w="4876" w:type="dxa"/>
          </w:tcPr>
          <w:p w:rsidR="001E13C1" w:rsidRPr="00344ED1" w:rsidRDefault="001E13C1" w:rsidP="00AF1FBD">
            <w:pPr>
              <w:pStyle w:val="Normal6a"/>
            </w:pPr>
            <w:r w:rsidRPr="00344ED1">
              <w:t>4.</w:t>
            </w:r>
            <w:r w:rsidRPr="00344ED1">
              <w:tab/>
              <w:t xml:space="preserve">Jei 2 straipsnio 1 dalyje nurodyta MVĮ perkelia savo rezidavimo vietą mokesčių tikslais į kitą valstybę narę, ji gali pasirinkti taikyti savo naujosios rezidavimo vietos mokesčių tikslais valstybės narės pagrindinės buveinės apmokestinimo taisykles pagal 4–7 straipsnius. Tai laikoma nauju pasirinkimu. </w:t>
            </w:r>
            <w:r w:rsidRPr="00344ED1">
              <w:rPr>
                <w:b/>
                <w:i/>
              </w:rPr>
              <w:t>4 straipsnio 1 dalies b punkte nustatytas reikalavimas netaikomas, jei MVĮ rezidavimo vieta mokesčių tikslais buvo perkelta dėl pagrįstų komercinių priežasčių, kaip apibrėžta Tarybos direktyvos 2009/133/EB 15 straipsnio 1 dalies a punkte.</w:t>
            </w:r>
          </w:p>
        </w:tc>
      </w:tr>
    </w:tbl>
    <w:p w:rsidR="001E13C1" w:rsidRPr="00344ED1" w:rsidRDefault="001E13C1" w:rsidP="001E13C1"/>
    <w:p w:rsidR="001E13C1" w:rsidRPr="00344ED1" w:rsidRDefault="001E13C1" w:rsidP="001E13C1">
      <w:pPr>
        <w:pStyle w:val="AmNumberTabs"/>
        <w:keepNext/>
      </w:pPr>
      <w:r w:rsidRPr="00344ED1">
        <w:tab/>
      </w:r>
      <w:r w:rsidRPr="00344ED1">
        <w:tab/>
      </w:r>
    </w:p>
    <w:p w:rsidR="001E13C1" w:rsidRPr="00344ED1" w:rsidRDefault="001E13C1" w:rsidP="001E13C1">
      <w:pPr>
        <w:pStyle w:val="AmNumberTabs"/>
      </w:pPr>
      <w:r w:rsidRPr="00344ED1">
        <w:t>Pakeitimas</w:t>
      </w:r>
      <w:r w:rsidRPr="00344ED1">
        <w:tab/>
      </w:r>
      <w:r w:rsidRPr="00344ED1">
        <w:tab/>
        <w:t>54</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10 straipsnio 1 pastraipos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 xml:space="preserve">Pagrindinė buveinė neturi teisės </w:t>
            </w:r>
            <w:r w:rsidRPr="00344ED1">
              <w:rPr>
                <w:b/>
                <w:i/>
              </w:rPr>
              <w:t>pratęsti galimybės</w:t>
            </w:r>
            <w:r w:rsidRPr="00344ED1">
              <w:t xml:space="preserve"> taikyti pagrindinės buveinės apmokestinimo </w:t>
            </w:r>
            <w:r w:rsidRPr="00344ED1">
              <w:rPr>
                <w:b/>
                <w:i/>
              </w:rPr>
              <w:t>taisykles</w:t>
            </w:r>
            <w:r w:rsidRPr="00344ED1">
              <w:t>, jei</w:t>
            </w:r>
            <w:r w:rsidRPr="00344ED1">
              <w:rPr>
                <w:b/>
                <w:i/>
              </w:rPr>
              <w:t xml:space="preserve"> per penkerių metų laikotarpį, kai iš pradžių buvo taikomos pagrindinės buveinės apmokestinimo taisyklės,</w:t>
            </w:r>
            <w:r w:rsidRPr="00344ED1">
              <w:t xml:space="preserve"> susiklostė kuri nors iš šių situacijų:</w:t>
            </w:r>
          </w:p>
        </w:tc>
        <w:tc>
          <w:tcPr>
            <w:tcW w:w="4876" w:type="dxa"/>
          </w:tcPr>
          <w:p w:rsidR="001E13C1" w:rsidRPr="00344ED1" w:rsidRDefault="001E13C1" w:rsidP="00AF1FBD">
            <w:pPr>
              <w:pStyle w:val="Normal6a"/>
            </w:pPr>
            <w:r w:rsidRPr="00344ED1">
              <w:t xml:space="preserve">Pagrindinė buveinė neturi teisės </w:t>
            </w:r>
            <w:r w:rsidRPr="00344ED1">
              <w:rPr>
                <w:b/>
                <w:i/>
              </w:rPr>
              <w:t>toliau</w:t>
            </w:r>
            <w:r w:rsidRPr="00344ED1">
              <w:t xml:space="preserve"> taikyti pagrindinės buveinės apmokestinimo </w:t>
            </w:r>
            <w:r w:rsidRPr="00344ED1">
              <w:rPr>
                <w:b/>
                <w:i/>
              </w:rPr>
              <w:t>taisyklių</w:t>
            </w:r>
            <w:r w:rsidRPr="00344ED1">
              <w:t>, jei susiklostė kuri nors iš šių situacijų:</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55</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10 straipsnio 1 pastraipos a punktas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a)</w:t>
            </w:r>
            <w:r w:rsidRPr="00344ED1">
              <w:tab/>
              <w:t xml:space="preserve">per bet kuriuos </w:t>
            </w:r>
            <w:r w:rsidRPr="00344ED1">
              <w:rPr>
                <w:b/>
                <w:i/>
              </w:rPr>
              <w:t>dvejus</w:t>
            </w:r>
            <w:r w:rsidRPr="00344ED1">
              <w:t xml:space="preserve"> finansinius metus, vertinant atskirai, nuolatinių buveinių bendra apyvarta viršijo sumą, kuri yra </w:t>
            </w:r>
            <w:r w:rsidRPr="00344ED1">
              <w:rPr>
                <w:b/>
                <w:i/>
              </w:rPr>
              <w:t>dvigubai</w:t>
            </w:r>
            <w:r w:rsidRPr="00344ED1">
              <w:t xml:space="preserve"> didesnė už pagrindinės buveinės apyvartą;</w:t>
            </w:r>
          </w:p>
        </w:tc>
        <w:tc>
          <w:tcPr>
            <w:tcW w:w="4876" w:type="dxa"/>
          </w:tcPr>
          <w:p w:rsidR="001E13C1" w:rsidRPr="00344ED1" w:rsidRDefault="001E13C1" w:rsidP="00AF1FBD">
            <w:pPr>
              <w:pStyle w:val="Normal6a"/>
            </w:pPr>
            <w:r w:rsidRPr="00344ED1">
              <w:t>a)</w:t>
            </w:r>
            <w:r w:rsidRPr="00344ED1">
              <w:tab/>
              <w:t xml:space="preserve">per bet kuriuos </w:t>
            </w:r>
            <w:r w:rsidRPr="00344ED1">
              <w:rPr>
                <w:b/>
                <w:i/>
              </w:rPr>
              <w:t>trejus</w:t>
            </w:r>
            <w:r w:rsidRPr="00344ED1">
              <w:t xml:space="preserve"> finansinius metus, vertinant atskirai, nuolatinių buveinių </w:t>
            </w:r>
            <w:r w:rsidRPr="00344ED1">
              <w:rPr>
                <w:b/>
                <w:i/>
              </w:rPr>
              <w:t xml:space="preserve">arba patronuojamųjų </w:t>
            </w:r>
            <w:r w:rsidRPr="00344ED1">
              <w:t xml:space="preserve">bendra apyvarta viršijo sumą, kuri yra </w:t>
            </w:r>
            <w:r w:rsidRPr="00344ED1">
              <w:rPr>
                <w:b/>
                <w:i/>
              </w:rPr>
              <w:t>trigubai</w:t>
            </w:r>
            <w:r w:rsidRPr="00344ED1">
              <w:t xml:space="preserve"> didesnė už pagrindinės buveinės apyvartą;</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56</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10 straipsnio 1 pastraipos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b)</w:t>
            </w:r>
            <w:r w:rsidRPr="00344ED1">
              <w:tab/>
              <w:t xml:space="preserve">MVĮ įsteigė </w:t>
            </w:r>
            <w:r w:rsidRPr="00344ED1">
              <w:rPr>
                <w:b/>
                <w:i/>
              </w:rPr>
              <w:t xml:space="preserve">vieną ar </w:t>
            </w:r>
            <w:r w:rsidRPr="00344ED1">
              <w:t xml:space="preserve">daugiau </w:t>
            </w:r>
            <w:r w:rsidRPr="00344ED1">
              <w:rPr>
                <w:b/>
                <w:i/>
              </w:rPr>
              <w:t>patronuojamųjų įmonių Sąjungoje arba už jos ribų;</w:t>
            </w:r>
          </w:p>
        </w:tc>
        <w:tc>
          <w:tcPr>
            <w:tcW w:w="4876" w:type="dxa"/>
          </w:tcPr>
          <w:p w:rsidR="001E13C1" w:rsidRPr="00344ED1" w:rsidRDefault="001E13C1" w:rsidP="00AF1FBD">
            <w:pPr>
              <w:pStyle w:val="Normal6a"/>
            </w:pPr>
            <w:r w:rsidRPr="00344ED1">
              <w:t>b)</w:t>
            </w:r>
            <w:r w:rsidRPr="00344ED1">
              <w:tab/>
              <w:t xml:space="preserve">MVĮ įsteigė daugiau </w:t>
            </w:r>
            <w:r w:rsidRPr="00344ED1">
              <w:rPr>
                <w:b/>
                <w:i/>
              </w:rPr>
              <w:t>nei dvi patronuojamąsias įmones Sąjungoje.</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57</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10 straipsnio 1 pastraipos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c)</w:t>
            </w:r>
            <w:r w:rsidRPr="00344ED1">
              <w:tab/>
            </w:r>
            <w:r w:rsidRPr="00344ED1">
              <w:rPr>
                <w:b/>
                <w:i/>
              </w:rPr>
              <w:t>dvejus</w:t>
            </w:r>
            <w:r w:rsidRPr="00344ED1">
              <w:t xml:space="preserve"> finansinius metus iš eilės nebuvo laikomasi 2</w:t>
            </w:r>
            <w:r w:rsidRPr="00344ED1">
              <w:rPr>
                <w:b/>
                <w:i/>
              </w:rPr>
              <w:t xml:space="preserve"> </w:t>
            </w:r>
            <w:r w:rsidRPr="00344ED1">
              <w:t>straipsnio 1</w:t>
            </w:r>
            <w:r w:rsidRPr="00344ED1">
              <w:rPr>
                <w:b/>
                <w:i/>
              </w:rPr>
              <w:t xml:space="preserve"> </w:t>
            </w:r>
            <w:r w:rsidRPr="00344ED1">
              <w:t>dalies d</w:t>
            </w:r>
            <w:r w:rsidRPr="00344ED1">
              <w:rPr>
                <w:b/>
                <w:i/>
              </w:rPr>
              <w:t xml:space="preserve"> </w:t>
            </w:r>
            <w:r w:rsidRPr="00344ED1">
              <w:t>punkte nustatyto kriterijaus.</w:t>
            </w:r>
          </w:p>
        </w:tc>
        <w:tc>
          <w:tcPr>
            <w:tcW w:w="4876" w:type="dxa"/>
          </w:tcPr>
          <w:p w:rsidR="001E13C1" w:rsidRPr="00344ED1" w:rsidRDefault="001E13C1" w:rsidP="00AF1FBD">
            <w:pPr>
              <w:pStyle w:val="Normal6a"/>
            </w:pPr>
            <w:r w:rsidRPr="00344ED1">
              <w:t>c)</w:t>
            </w:r>
            <w:r w:rsidRPr="00344ED1">
              <w:tab/>
            </w:r>
            <w:r w:rsidRPr="00344ED1">
              <w:rPr>
                <w:b/>
                <w:i/>
              </w:rPr>
              <w:t>trejus</w:t>
            </w:r>
            <w:r w:rsidRPr="00344ED1">
              <w:t xml:space="preserve"> finansinius metus iš eilės nebuvo laikomasi 2</w:t>
            </w:r>
            <w:r w:rsidRPr="00344ED1">
              <w:rPr>
                <w:b/>
                <w:i/>
              </w:rPr>
              <w:t> </w:t>
            </w:r>
            <w:r w:rsidRPr="00344ED1">
              <w:t>straipsnio 1</w:t>
            </w:r>
            <w:r w:rsidRPr="00344ED1">
              <w:rPr>
                <w:b/>
                <w:i/>
              </w:rPr>
              <w:t> </w:t>
            </w:r>
            <w:r w:rsidRPr="00344ED1">
              <w:t>dalies d</w:t>
            </w:r>
            <w:r w:rsidRPr="00344ED1">
              <w:rPr>
                <w:b/>
                <w:i/>
              </w:rPr>
              <w:t> </w:t>
            </w:r>
            <w:r w:rsidRPr="00344ED1">
              <w:t>punkte nustatyto kriterijaus.</w:t>
            </w:r>
          </w:p>
        </w:tc>
      </w:tr>
    </w:tbl>
    <w:p w:rsidR="001E13C1" w:rsidRPr="00344ED1" w:rsidRDefault="001E13C1" w:rsidP="001E13C1"/>
    <w:p w:rsidR="001E13C1" w:rsidRPr="00344ED1" w:rsidRDefault="001E13C1" w:rsidP="001E13C1">
      <w:pPr>
        <w:spacing w:before="120" w:after="120"/>
      </w:pPr>
    </w:p>
    <w:p w:rsidR="001E13C1" w:rsidRPr="00344ED1" w:rsidRDefault="001E13C1" w:rsidP="001E13C1">
      <w:pPr>
        <w:pStyle w:val="AmNumberTabs"/>
      </w:pPr>
      <w:r w:rsidRPr="00344ED1">
        <w:t>Pakeitimas</w:t>
      </w:r>
      <w:r w:rsidRPr="00344ED1">
        <w:tab/>
      </w:r>
      <w:r w:rsidRPr="00344ED1">
        <w:tab/>
        <w:t>58</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Pagrindinė buveinė apmokestinimo tikslais teikiamą mokesčių deklaraciją pateikia deklaravimo institucijai.</w:t>
            </w:r>
          </w:p>
        </w:tc>
        <w:tc>
          <w:tcPr>
            <w:tcW w:w="4876" w:type="dxa"/>
          </w:tcPr>
          <w:p w:rsidR="001E13C1" w:rsidRPr="00344ED1" w:rsidRDefault="001E13C1" w:rsidP="00AF1FBD">
            <w:pPr>
              <w:pStyle w:val="Normal6a"/>
            </w:pPr>
            <w:r w:rsidRPr="00344ED1">
              <w:t>1.</w:t>
            </w:r>
            <w:r w:rsidRPr="00344ED1">
              <w:tab/>
              <w:t xml:space="preserve">Pagrindinė buveinė apmokestinimo tikslais teikiamą mokesčių deklaraciją pateikia deklaravimo institucijai. </w:t>
            </w:r>
            <w:r w:rsidRPr="00344ED1">
              <w:rPr>
                <w:b/>
                <w:i/>
              </w:rPr>
              <w:t>Pagrindinės buveinės valstybė narė padeda MVĮ rengiant mokesčių deklaraciją, ypač dėl apmokestinamojo rezultato priskyrimo kiekvienai nuolatinei buveinei ar patronuojamajai įmonei kitose valstybėse narėse.</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59</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2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b)</w:t>
            </w:r>
            <w:r w:rsidRPr="00344ED1">
              <w:tab/>
              <w:t>MVĮ mokestinė prievolė, susijusi su kiekvienos nuolatinės buveinės kitose valstybėse narėse apmokestinamuoju rezultatu. Mokestinė prievolė apskaičiuojama apmokestinamajam rezultatui, apskaičiuotam pagal pagrindinės buveinės apmokestinimo taisykles, pritaikius atitinkamos priimančiosios valstybės narės nacionalinį mokesčio tarifą.</w:t>
            </w:r>
          </w:p>
        </w:tc>
        <w:tc>
          <w:tcPr>
            <w:tcW w:w="4876" w:type="dxa"/>
          </w:tcPr>
          <w:p w:rsidR="001E13C1" w:rsidRPr="00344ED1" w:rsidRDefault="001E13C1" w:rsidP="00AF1FBD">
            <w:pPr>
              <w:pStyle w:val="Normal6a"/>
            </w:pPr>
            <w:r w:rsidRPr="00344ED1">
              <w:t>b)</w:t>
            </w:r>
            <w:r w:rsidRPr="00344ED1">
              <w:tab/>
              <w:t xml:space="preserve">MVĮ mokestinė prievolė, susijusi su kiekvienos nuolatinės buveinės </w:t>
            </w:r>
            <w:r w:rsidRPr="00344ED1">
              <w:rPr>
                <w:b/>
                <w:i/>
              </w:rPr>
              <w:t xml:space="preserve">ir (arba) iki dviejų patronuojamųjų įmonių </w:t>
            </w:r>
            <w:r w:rsidRPr="00344ED1">
              <w:t>kitose valstybėse narėse apmokestinamuoju rezultatu. Mokestinė prievolė apskaičiuojama apmokestinamajam rezultatui, apskaičiuotam pagal pagrindinės buveinės apmokestinimo taisykles, pritaikius atitinkamos priimančiosios valstybės narės nacionalinį mokesčio tarifą.</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60</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3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3.</w:t>
            </w:r>
            <w:r w:rsidRPr="00344ED1">
              <w:tab/>
              <w:t>Jeigu pagal priimančiosios valstybės narės teisę nereikalaujama, kad viena ar kelios MVĮ nuolatinės buveinės parengtų atskiras finansines ataskaitas, pagrindinės buveinės apmokestinimo tikslais teikiamoje mokesčių deklaracijoje nurodoma ši informacija:</w:t>
            </w:r>
          </w:p>
        </w:tc>
        <w:tc>
          <w:tcPr>
            <w:tcW w:w="4876" w:type="dxa"/>
          </w:tcPr>
          <w:p w:rsidR="001E13C1" w:rsidRPr="00344ED1" w:rsidRDefault="001E13C1" w:rsidP="00AF1FBD">
            <w:pPr>
              <w:pStyle w:val="Normal6a"/>
            </w:pPr>
            <w:r w:rsidRPr="00344ED1">
              <w:t>3.</w:t>
            </w:r>
            <w:r w:rsidRPr="00344ED1">
              <w:tab/>
              <w:t>Jeigu pagal priimančiosios valstybės narės teisę nereikalaujama, kad viena ar kelios MVĮ nuolatinės buveinės parengtų atskiras finansines ataskaitas, pagrindinės buveinės apmokestinimo tikslais teikiamoje mokesčių deklaracijoje nurodoma ši informacija:</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61</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3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a)</w:t>
            </w:r>
            <w:r w:rsidRPr="00344ED1">
              <w:tab/>
              <w:t>nuolatinei buveinei (-ėms) priskirtas turtas ir įsipareigojimai;</w:t>
            </w:r>
          </w:p>
        </w:tc>
        <w:tc>
          <w:tcPr>
            <w:tcW w:w="4876" w:type="dxa"/>
          </w:tcPr>
          <w:p w:rsidR="001E13C1" w:rsidRPr="00344ED1" w:rsidRDefault="001E13C1" w:rsidP="00AF1FBD">
            <w:pPr>
              <w:pStyle w:val="Normal6a"/>
            </w:pPr>
            <w:r w:rsidRPr="00344ED1">
              <w:t>a)</w:t>
            </w:r>
            <w:r w:rsidRPr="00344ED1">
              <w:tab/>
              <w:t xml:space="preserve">nuolatinei buveinei (-ėms) </w:t>
            </w:r>
            <w:r w:rsidRPr="00344ED1">
              <w:rPr>
                <w:b/>
                <w:i/>
              </w:rPr>
              <w:t>ir (arba) iki dviejų patronuojamųjų įmonių </w:t>
            </w:r>
            <w:r w:rsidRPr="00344ED1">
              <w:t>priskirtas turtas ir įsipareigojimai;</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62</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3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b)</w:t>
            </w:r>
            <w:r w:rsidRPr="00344ED1">
              <w:tab/>
              <w:t>nuolatinei buveinei (-ėms) kitose valstybėse narėse priskirtinas pelnas.</w:t>
            </w:r>
          </w:p>
        </w:tc>
        <w:tc>
          <w:tcPr>
            <w:tcW w:w="4876" w:type="dxa"/>
          </w:tcPr>
          <w:p w:rsidR="001E13C1" w:rsidRPr="00344ED1" w:rsidRDefault="001E13C1" w:rsidP="00AF1FBD">
            <w:pPr>
              <w:pStyle w:val="Normal6a"/>
            </w:pPr>
            <w:r w:rsidRPr="00344ED1">
              <w:t>b)</w:t>
            </w:r>
            <w:r w:rsidRPr="00344ED1">
              <w:tab/>
              <w:t xml:space="preserve">nuolatinei buveinei (-ėms) </w:t>
            </w:r>
            <w:r w:rsidRPr="00344ED1">
              <w:rPr>
                <w:b/>
                <w:i/>
              </w:rPr>
              <w:t>ir (arba) iki dviejų patronuojamųjų įmonių </w:t>
            </w:r>
            <w:r w:rsidRPr="00344ED1">
              <w:t>kitose valstybėse narėse priskirtinas pelnas.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63</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4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b)</w:t>
            </w:r>
            <w:r w:rsidRPr="00344ED1">
              <w:tab/>
              <w:t>kiekvienai nuolatinei buveinei skirtą pranešimo apie mokėtinus mokesčius projektą.</w:t>
            </w:r>
          </w:p>
        </w:tc>
        <w:tc>
          <w:tcPr>
            <w:tcW w:w="4876" w:type="dxa"/>
          </w:tcPr>
          <w:p w:rsidR="001E13C1" w:rsidRPr="00344ED1" w:rsidRDefault="001E13C1" w:rsidP="00AF1FBD">
            <w:pPr>
              <w:pStyle w:val="Normal6a"/>
            </w:pPr>
            <w:r w:rsidRPr="00344ED1">
              <w:t>b)</w:t>
            </w:r>
            <w:r w:rsidRPr="00344ED1">
              <w:tab/>
              <w:t xml:space="preserve">kiekvienai nuolatinei buveinei </w:t>
            </w:r>
            <w:r w:rsidRPr="00344ED1">
              <w:rPr>
                <w:b/>
                <w:i/>
              </w:rPr>
              <w:t>ir patronuojamajai įmonei </w:t>
            </w:r>
            <w:r w:rsidRPr="00344ED1">
              <w:t>skirtą pranešimo apie mokėtinus mokesčius projektą.</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64</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5 dalies 1 pastraipos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b)</w:t>
            </w:r>
            <w:r w:rsidRPr="00344ED1">
              <w:tab/>
              <w:t xml:space="preserve">atitinkamai nuolatinei buveinei </w:t>
            </w:r>
            <w:r w:rsidRPr="00344ED1">
              <w:rPr>
                <w:b/>
                <w:i/>
              </w:rPr>
              <w:t>(-ėms) skirtas</w:t>
            </w:r>
            <w:r w:rsidRPr="00344ED1">
              <w:t xml:space="preserve"> pranešimo apie mokėtinus mokesčius </w:t>
            </w:r>
            <w:r w:rsidRPr="00344ED1">
              <w:rPr>
                <w:b/>
                <w:i/>
              </w:rPr>
              <w:t>projektas;</w:t>
            </w:r>
          </w:p>
        </w:tc>
        <w:tc>
          <w:tcPr>
            <w:tcW w:w="4876" w:type="dxa"/>
          </w:tcPr>
          <w:p w:rsidR="001E13C1" w:rsidRPr="00344ED1" w:rsidRDefault="001E13C1" w:rsidP="00AF1FBD">
            <w:pPr>
              <w:pStyle w:val="Normal6a"/>
            </w:pPr>
            <w:r w:rsidRPr="00344ED1">
              <w:t>b)</w:t>
            </w:r>
            <w:r w:rsidRPr="00344ED1">
              <w:tab/>
              <w:t xml:space="preserve">atitinkamai nuolatinei buveinei </w:t>
            </w:r>
            <w:r w:rsidRPr="00344ED1">
              <w:rPr>
                <w:b/>
                <w:i/>
              </w:rPr>
              <w:t>ir patronuojamajai įmonei skirtą</w:t>
            </w:r>
            <w:r w:rsidRPr="00344ED1">
              <w:t xml:space="preserve"> pranešimo apie mokėtinus mokesčius </w:t>
            </w:r>
            <w:r w:rsidRPr="00344ED1">
              <w:rPr>
                <w:b/>
                <w:i/>
              </w:rPr>
              <w:t>projektą.</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65</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11 straipsnio 8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8.</w:t>
            </w:r>
            <w:r w:rsidRPr="00344ED1">
              <w:tab/>
              <w:t xml:space="preserve">Jei priimančiosios valstybės narės mokesčių administratorius atmeta pranešimo apie mokėtinus mokesčius projektą, jis jį peržiūri, atsižvelgdamas į pelno priskyrimą nuolatinei buveinei pagal taikytinos </w:t>
            </w:r>
            <w:r w:rsidRPr="00344ED1">
              <w:rPr>
                <w:b/>
                <w:i/>
              </w:rPr>
              <w:t xml:space="preserve">dvišalės </w:t>
            </w:r>
            <w:r w:rsidRPr="00344ED1">
              <w:t>sutarties dėl dvigubo apmokestinimo išvengimo</w:t>
            </w:r>
            <w:r w:rsidRPr="00344ED1">
              <w:rPr>
                <w:b/>
                <w:i/>
              </w:rPr>
              <w:t xml:space="preserve"> tarp priimančiosios valstybės narės</w:t>
            </w:r>
            <w:r w:rsidRPr="00344ED1">
              <w:t xml:space="preserve"> ir pagrindinės buveinės </w:t>
            </w:r>
            <w:r w:rsidRPr="00344ED1">
              <w:rPr>
                <w:b/>
                <w:i/>
              </w:rPr>
              <w:t>valstybės narės</w:t>
            </w:r>
            <w:r w:rsidRPr="00344ED1">
              <w:t xml:space="preserve"> nuostatas. Peržiūrėjus pelno priskyrimą nuolatinei buveinei ir apie tai pranešus deklaravimo institucijai pagal Direktyvos 2011/16/ES 8ae straipsnį, deklaravimo institucija iš naujo apskaičiuoja apmokestinamąjį rezultatą pagal pagrindinės buveinės valstybės narės apmokestinimo taisykles, ir ši valstybė narė parengia patikslintą mokesčių apskaičiavimo dokumentą. Mokesčio mokėtojas turi teisę apskųsti šį patikslintą mokesčių apskaičiavimo dokumentą valstybės narės, kurioje yra pagrindinė buveinė, teismuose. Visi ginčai dėl nuolatinei buveinei priskirtinos pelno sumos sprendžiami pagal taikytiną dvišalę sutartį dėl dvigubo apmokestinimo išvengimo arba 2017 m. spalio 10 d. Tarybos direktyvos (ES) 2017/</w:t>
            </w:r>
            <w:r w:rsidRPr="00344ED1">
              <w:rPr>
                <w:b/>
                <w:i/>
              </w:rPr>
              <w:t>1852</w:t>
            </w:r>
            <w:r w:rsidRPr="006E20FD">
              <w:rPr>
                <w:vertAlign w:val="superscript"/>
              </w:rPr>
              <w:t>17</w:t>
            </w:r>
            <w:r w:rsidRPr="00344ED1">
              <w:t xml:space="preserve"> nuostatas.</w:t>
            </w:r>
          </w:p>
        </w:tc>
        <w:tc>
          <w:tcPr>
            <w:tcW w:w="4876" w:type="dxa"/>
          </w:tcPr>
          <w:p w:rsidR="001E13C1" w:rsidRPr="00344ED1" w:rsidRDefault="001E13C1" w:rsidP="00AF1FBD">
            <w:pPr>
              <w:pStyle w:val="Normal6a"/>
              <w:rPr>
                <w:szCs w:val="24"/>
              </w:rPr>
            </w:pPr>
            <w:r w:rsidRPr="00344ED1">
              <w:t>8.</w:t>
            </w:r>
            <w:r w:rsidRPr="00344ED1">
              <w:tab/>
              <w:t xml:space="preserve">Jei priimančiosios valstybės narės mokesčių administratorius atmeta pranešimo apie mokėtinus mokesčius projektą, jis jį peržiūri, atsižvelgdamas į pelno priskyrimą nuolatinei buveinei </w:t>
            </w:r>
            <w:r w:rsidRPr="00344ED1">
              <w:rPr>
                <w:b/>
                <w:i/>
              </w:rPr>
              <w:t xml:space="preserve">ir patronuojamajai įmonei </w:t>
            </w:r>
            <w:r w:rsidRPr="00344ED1">
              <w:t>pagal taikytinos sutarties dėl dvigubo apmokestinimo išvengimo</w:t>
            </w:r>
            <w:r w:rsidRPr="00344ED1">
              <w:rPr>
                <w:b/>
                <w:i/>
              </w:rPr>
              <w:t>, kurios šalys yra priimančioji valstybė narė</w:t>
            </w:r>
            <w:r w:rsidRPr="00344ED1">
              <w:t xml:space="preserve"> ir pagrindinės buveinės </w:t>
            </w:r>
            <w:r w:rsidRPr="00344ED1">
              <w:rPr>
                <w:b/>
                <w:i/>
              </w:rPr>
              <w:t>valstybė narė,</w:t>
            </w:r>
            <w:r w:rsidRPr="00344ED1">
              <w:t xml:space="preserve"> nuostatas. Peržiūrėjus pelno priskyrimą nuolatinei buveinei</w:t>
            </w:r>
            <w:r w:rsidRPr="00344ED1">
              <w:rPr>
                <w:b/>
                <w:i/>
              </w:rPr>
              <w:t xml:space="preserve"> ir patronuojamajai įmonei</w:t>
            </w:r>
            <w:r w:rsidRPr="00344ED1">
              <w:t xml:space="preserve"> ir apie tai pranešus deklaravimo institucijai pagal Direktyvos 2011/16/ES 8ae straipsnį, deklaravimo institucija iš naujo apskaičiuoja apmokestinamąjį rezultatą pagal pagrindinės buveinės valstybės narės apmokestinimo taisykles, ir ši valstybė narė parengia patikslintą mokesčių apskaičiavimo dokumentą. Mokesčio mokėtojas turi teisę apskųsti šį patikslintą mokesčių apskaičiavimo dokumentą valstybės narės, kurioje yra pagrindinė buveinė, teismuose. Visi ginčai dėl nuolatinei buveinei </w:t>
            </w:r>
            <w:r w:rsidRPr="00344ED1">
              <w:rPr>
                <w:b/>
                <w:i/>
              </w:rPr>
              <w:t xml:space="preserve">ir patronuojamajai įmonei </w:t>
            </w:r>
            <w:r w:rsidRPr="00344ED1">
              <w:t>priskirtinos pelno sumos sprendžiami pagal taikytiną dvišalę sutartį dėl dvigubo apmokestinimo išvengimo arba 2017 m. spalio 10 d. Tarybos direktyvos (ES) 2017/</w:t>
            </w:r>
            <w:r w:rsidRPr="00344ED1">
              <w:rPr>
                <w:b/>
                <w:i/>
              </w:rPr>
              <w:t>1852</w:t>
            </w:r>
            <w:r w:rsidR="00FF4F96" w:rsidRPr="00924CBE">
              <w:rPr>
                <w:vertAlign w:val="superscript"/>
              </w:rPr>
              <w:t>17</w:t>
            </w:r>
            <w:r w:rsidRPr="00344ED1">
              <w:t xml:space="preserve"> nuostatas.</w:t>
            </w:r>
          </w:p>
        </w:tc>
      </w:tr>
      <w:tr w:rsidR="001E13C1" w:rsidRPr="00344ED1" w:rsidTr="00AF1FBD">
        <w:trPr>
          <w:jc w:val="center"/>
        </w:trPr>
        <w:tc>
          <w:tcPr>
            <w:tcW w:w="4876" w:type="dxa"/>
          </w:tcPr>
          <w:p w:rsidR="001E13C1" w:rsidRPr="00344ED1" w:rsidRDefault="001E13C1" w:rsidP="00AF1FBD">
            <w:pPr>
              <w:pStyle w:val="Normal6a"/>
            </w:pPr>
            <w:r w:rsidRPr="00344ED1">
              <w:t>_________________</w:t>
            </w:r>
          </w:p>
        </w:tc>
        <w:tc>
          <w:tcPr>
            <w:tcW w:w="4876" w:type="dxa"/>
          </w:tcPr>
          <w:p w:rsidR="001E13C1" w:rsidRPr="00344ED1" w:rsidRDefault="001E13C1" w:rsidP="00AF1FBD">
            <w:pPr>
              <w:pStyle w:val="Normal6a"/>
              <w:rPr>
                <w:szCs w:val="24"/>
              </w:rPr>
            </w:pPr>
            <w:r w:rsidRPr="00344ED1">
              <w:t>_________________</w:t>
            </w:r>
          </w:p>
        </w:tc>
      </w:tr>
      <w:tr w:rsidR="001E13C1" w:rsidRPr="00344ED1" w:rsidTr="00AF1FBD">
        <w:trPr>
          <w:jc w:val="center"/>
        </w:trPr>
        <w:tc>
          <w:tcPr>
            <w:tcW w:w="4876" w:type="dxa"/>
          </w:tcPr>
          <w:p w:rsidR="001E13C1" w:rsidRPr="00344ED1" w:rsidRDefault="001E13C1" w:rsidP="00AF1FBD">
            <w:pPr>
              <w:pStyle w:val="Normal6a"/>
            </w:pPr>
            <w:r w:rsidRPr="00344ED1">
              <w:rPr>
                <w:vertAlign w:val="superscript"/>
              </w:rPr>
              <w:t>17</w:t>
            </w:r>
            <w:r w:rsidRPr="00344ED1">
              <w:t xml:space="preserve"> 2017 m. spalio 10 d. Tarybos direktyva (ES) 2017/1852 dėl mokestinių ginčų sprendimo mechanizmų Europos Sąjungoje (OL L 265, 2017 10 14, p. 1).</w:t>
            </w:r>
          </w:p>
        </w:tc>
        <w:tc>
          <w:tcPr>
            <w:tcW w:w="4876" w:type="dxa"/>
          </w:tcPr>
          <w:p w:rsidR="001E13C1" w:rsidRPr="00344ED1" w:rsidRDefault="001E13C1" w:rsidP="00AF1FBD">
            <w:pPr>
              <w:pStyle w:val="Normal6a"/>
              <w:rPr>
                <w:szCs w:val="24"/>
              </w:rPr>
            </w:pPr>
            <w:r w:rsidRPr="00344ED1">
              <w:rPr>
                <w:vertAlign w:val="superscript"/>
              </w:rPr>
              <w:t>17</w:t>
            </w:r>
            <w:r w:rsidRPr="00344ED1">
              <w:t xml:space="preserve"> 2017 m. spalio 10 d. Tarybos direktyva (ES) 2017/1852 dėl mokestinių ginčų sprendimo mechanizmų Europos Sąjungoje (OL L 265, 2017 10 14, p. 1).</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66</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9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9.</w:t>
            </w:r>
            <w:r w:rsidRPr="00344ED1">
              <w:tab/>
              <w:t>Kai pagal priimančiosios valstybės narės mokesčių taisykles tam tikros išlaidos, susijusios su nuolatinės buveinės darbuotojais, gali būti atskaitomos mokesčių tikslais, jeigu atitinkamos sumos apmokestinamos darbuotojo lygmeniu arba joms taikomi socialinio draudimo mokesčiai, o pagrindinės buveinės valstybėje narėje nėra panašios apmokestinimo tvarkos, pagal kurią būtų galima atlikti tokį atskaitymą, pagrindinė buveinė ir priimančiosios valstybės narės imasi tinkamų priemonių, kad būtų išvengta galimų neatitikimų.</w:t>
            </w:r>
          </w:p>
        </w:tc>
        <w:tc>
          <w:tcPr>
            <w:tcW w:w="4876" w:type="dxa"/>
          </w:tcPr>
          <w:p w:rsidR="001E13C1" w:rsidRPr="00344ED1" w:rsidRDefault="001E13C1" w:rsidP="00AF1FBD">
            <w:pPr>
              <w:pStyle w:val="Normal6a"/>
            </w:pPr>
            <w:r w:rsidRPr="00344ED1">
              <w:t>9.</w:t>
            </w:r>
            <w:r w:rsidRPr="00344ED1">
              <w:tab/>
              <w:t xml:space="preserve">Kai pagal priimančiosios valstybės narės mokesčių taisykles tam tikros išlaidos, susijusios su nuolatinės buveinės </w:t>
            </w:r>
            <w:r w:rsidRPr="00344ED1">
              <w:rPr>
                <w:b/>
                <w:i/>
              </w:rPr>
              <w:t>arba patronuojamosios įmonės </w:t>
            </w:r>
            <w:r w:rsidRPr="00344ED1">
              <w:t>darbuotojais, gali būti atskaitomos mokesčių tikslais, jeigu atitinkamos sumos apmokestinamos darbuotojo lygmeniu arba joms taikomi socialinio draudimo mokesčiai, o pagrindinės buveinės valstybėje narėje nėra panašios apmokestinimo tvarkos, pagal kurią būtų galima atlikti tokį atskaitymą, pagrindinė buveinė ir priimančiosios valstybės narės</w:t>
            </w:r>
            <w:r w:rsidRPr="00344ED1">
              <w:rPr>
                <w:b/>
                <w:i/>
              </w:rPr>
              <w:t>, vadovaudamosi Komisijos gairėmis,</w:t>
            </w:r>
            <w:r w:rsidRPr="00344ED1">
              <w:t xml:space="preserve"> imasi tinkamų priemonių, kad būtų išvengta galimų neatitikimų.</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67</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11 straipsnio 9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9a.</w:t>
            </w:r>
            <w:r w:rsidRPr="00344ED1">
              <w:tab/>
            </w:r>
            <w:r w:rsidRPr="00344ED1">
              <w:rPr>
                <w:b/>
                <w:i/>
              </w:rPr>
              <w:t>Komisija įgyvendinimo aktais nustato gaires dėl tinkamų priemonių, susijusių su šio straipsnio 8 dalyje nurodytais neatitikimais.</w:t>
            </w:r>
            <w:r w:rsidRPr="00344ED1">
              <w:t xml:space="preserve"> </w:t>
            </w:r>
            <w:r w:rsidRPr="00344ED1">
              <w:rPr>
                <w:b/>
                <w:i/>
              </w:rPr>
              <w:t>Tie įgyvendinimo aktai priimami laikantis 15 straipsnyje nurodytos nagrinėjimo procedūros.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68</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12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Nuolatinės buveinės (-ių) mokėtinų mokesčių surinkimas priimančiojoje valstybėje narėje (-ėse)</w:t>
            </w:r>
          </w:p>
        </w:tc>
        <w:tc>
          <w:tcPr>
            <w:tcW w:w="4876" w:type="dxa"/>
          </w:tcPr>
          <w:p w:rsidR="001E13C1" w:rsidRPr="00344ED1" w:rsidRDefault="001E13C1" w:rsidP="00AF1FBD">
            <w:pPr>
              <w:pStyle w:val="Normal6a"/>
            </w:pPr>
            <w:r w:rsidRPr="00344ED1">
              <w:t xml:space="preserve">Nuolatinės buveinės (-ių) </w:t>
            </w:r>
            <w:r w:rsidRPr="00344ED1">
              <w:rPr>
                <w:b/>
                <w:i/>
              </w:rPr>
              <w:t xml:space="preserve">ir patronuojančių įmonių </w:t>
            </w:r>
            <w:r w:rsidRPr="00344ED1">
              <w:t>mokėtinų mokesčių surinkimas priimančiojoje valstybėje narėje (-ėse)</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69</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12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Pagrindinė buveinė per deklaravimo instituciją įvykdo pelno mokesčio įsipareigojimus, susijusius tiek su savo pačios apmokestinamuoju rezultatu, tiek su nuolatinės buveinės (-ių) apmokestinamuoju rezultatu (-ais) priimančiojoje valstybėje narėje (-ėse).</w:t>
            </w:r>
          </w:p>
        </w:tc>
        <w:tc>
          <w:tcPr>
            <w:tcW w:w="4876" w:type="dxa"/>
          </w:tcPr>
          <w:p w:rsidR="001E13C1" w:rsidRPr="00344ED1" w:rsidRDefault="001E13C1" w:rsidP="00AF1FBD">
            <w:pPr>
              <w:pStyle w:val="Normal6a"/>
            </w:pPr>
            <w:r w:rsidRPr="00344ED1">
              <w:t>1.</w:t>
            </w:r>
            <w:r w:rsidRPr="00344ED1">
              <w:tab/>
              <w:t xml:space="preserve">Pagrindinė buveinė per deklaravimo instituciją įvykdo pelno mokesčio įsipareigojimus, susijusius tiek su savo pačios apmokestinamuoju rezultatu, tiek su nuolatinės buveinės (-ių) </w:t>
            </w:r>
            <w:r w:rsidRPr="00344ED1">
              <w:rPr>
                <w:b/>
                <w:i/>
              </w:rPr>
              <w:t xml:space="preserve">ir patronuojamosios įmonės </w:t>
            </w:r>
            <w:r w:rsidRPr="00344ED1">
              <w:t>apmokestinamuoju rezultatu (-ais) priimančiojoje valstybėje narėje (-ėse).</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70</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12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Deklaravimo institucija surenka mokestį, atitinkantį kiekvienos pagrindinės buveinės nuolatinės buveinės Sąjungoje mokestinę prievolę, pritaiko atitinkamos priimančiosios valstybės narės mokesčio tarifą ir atitinkamą sumą perveda atitinkamos priimančiosios valstybės narės kompetentingai institucijai.</w:t>
            </w:r>
          </w:p>
        </w:tc>
        <w:tc>
          <w:tcPr>
            <w:tcW w:w="4876" w:type="dxa"/>
          </w:tcPr>
          <w:p w:rsidR="001E13C1" w:rsidRPr="00344ED1" w:rsidRDefault="001E13C1" w:rsidP="00AF1FBD">
            <w:pPr>
              <w:pStyle w:val="Normal6a"/>
            </w:pPr>
            <w:r w:rsidRPr="00344ED1">
              <w:t>2.</w:t>
            </w:r>
            <w:r w:rsidRPr="00344ED1">
              <w:tab/>
              <w:t xml:space="preserve">Deklaravimo institucija surenka mokestį, atitinkantį kiekvienos pagrindinės buveinės nuolatinės buveinės </w:t>
            </w:r>
            <w:r w:rsidRPr="00344ED1">
              <w:rPr>
                <w:b/>
                <w:i/>
              </w:rPr>
              <w:t xml:space="preserve">ir patronuojamosios įmonės </w:t>
            </w:r>
            <w:r w:rsidRPr="00344ED1">
              <w:t>Sąjungoje mokestinę prievolę, pritaiko atitinkamos priimančiosios valstybės narės mokesčio tarifą ir atitinkamą sumą</w:t>
            </w:r>
            <w:r w:rsidRPr="00344ED1">
              <w:rPr>
                <w:b/>
                <w:i/>
              </w:rPr>
              <w:t xml:space="preserve"> nedelsiant</w:t>
            </w:r>
            <w:r w:rsidRPr="00344ED1">
              <w:t xml:space="preserve"> perveda atitinkamos priimančiosios valstybės narės kompetentingai institucijai.</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71</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12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3.</w:t>
            </w:r>
            <w:r w:rsidRPr="00344ED1">
              <w:tab/>
              <w:t>Komisija įgyvendinimo aktais nustato praktinę tvarką, būtiną siekiant užtikrinti mokesčio, atitinkančio nuolatinės buveinės (-ių) mokestinę prievolę, surinkimą ir pervedimą iš pagrindinės buveinės valstybės narės priimančiajai valstybei narei. Tie įgyvendinimo aktai priimami laikantis 15 straipsnyje nurodytos nagrinėjimo procedūros.</w:t>
            </w:r>
          </w:p>
        </w:tc>
        <w:tc>
          <w:tcPr>
            <w:tcW w:w="4876" w:type="dxa"/>
          </w:tcPr>
          <w:p w:rsidR="001E13C1" w:rsidRPr="00344ED1" w:rsidRDefault="001E13C1" w:rsidP="00AF1FBD">
            <w:pPr>
              <w:pStyle w:val="Normal6a"/>
            </w:pPr>
            <w:r w:rsidRPr="00344ED1">
              <w:t>3.</w:t>
            </w:r>
            <w:r w:rsidRPr="00344ED1">
              <w:tab/>
              <w:t xml:space="preserve">Komisija įgyvendinimo aktais nustato praktinę tvarką, būtiną siekiant užtikrinti mokesčio, atitinkančio nuolatinės buveinės (-ių) mokestinę prievolę, surinkimą ir pervedimą iš pagrindinės buveinės </w:t>
            </w:r>
            <w:r w:rsidRPr="00344ED1">
              <w:rPr>
                <w:b/>
                <w:i/>
              </w:rPr>
              <w:t xml:space="preserve">arba patronuojamosios įmonės </w:t>
            </w:r>
            <w:r w:rsidRPr="00344ED1">
              <w:t>valstybės narės priimančiajai valstybei narei. Tie įgyvendinimo aktai priimami laikantis 15 straipsnyje nurodytos nagrinėjimo procedūros.</w:t>
            </w:r>
          </w:p>
        </w:tc>
      </w:tr>
    </w:tbl>
    <w:p w:rsidR="001E13C1" w:rsidRPr="00344ED1" w:rsidRDefault="001E13C1" w:rsidP="001E13C1"/>
    <w:p w:rsidR="001E13C1" w:rsidRPr="00344ED1" w:rsidRDefault="001E13C1" w:rsidP="001E13C1">
      <w:pPr>
        <w:spacing w:before="120" w:after="120"/>
      </w:pPr>
    </w:p>
    <w:p w:rsidR="001E13C1" w:rsidRPr="00344ED1" w:rsidRDefault="001E13C1" w:rsidP="001E13C1">
      <w:pPr>
        <w:pStyle w:val="AmNumberTabs"/>
      </w:pPr>
      <w:r w:rsidRPr="00344ED1">
        <w:t>Pakeitimas</w:t>
      </w:r>
      <w:r w:rsidRPr="00344ED1">
        <w:tab/>
      </w:r>
      <w:r w:rsidRPr="00344ED1">
        <w:tab/>
        <w:t>72</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13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Jei nenurodyta kitaip, šios direktyvos taisyklės nedaro poveikio valstybių narių nacionalinėms taisyklėms, kuriomis reglamentuojamas vietos mokesčių auditas, teisinės gynimo priemonės ir procedūros, arba ginčų sprendimo mechanizmams, kuriais galima naudotis Sąjungos lygmeniu arba kurie numatyti taikytinose dvišalėse mokesčių srities sutartyse dėl dvigubo apmokestinimo išvengimo.</w:t>
            </w:r>
          </w:p>
        </w:tc>
        <w:tc>
          <w:tcPr>
            <w:tcW w:w="4876" w:type="dxa"/>
          </w:tcPr>
          <w:p w:rsidR="001E13C1" w:rsidRPr="00344ED1" w:rsidRDefault="001E13C1" w:rsidP="00AF1FBD">
            <w:pPr>
              <w:pStyle w:val="Normal6a"/>
            </w:pPr>
            <w:r w:rsidRPr="00344ED1">
              <w:t>1.</w:t>
            </w:r>
            <w:r w:rsidRPr="00344ED1">
              <w:tab/>
              <w:t xml:space="preserve">Jei nenurodyta kitaip, šios direktyvos taisyklės nedaro poveikio valstybių narių nacionalinėms taisyklėms, kuriomis reglamentuojamas vietos mokesčių auditas, teisinės gynimo priemonės ir procedūros, arba ginčų sprendimo mechanizmams, kuriais galima naudotis Sąjungos lygmeniu arba kurie numatyti taikytinose dvišalėse mokesčių srities sutartyse dėl dvigubo apmokestinimo išvengimo. </w:t>
            </w:r>
            <w:r w:rsidRPr="00344ED1">
              <w:rPr>
                <w:b/>
                <w:i/>
              </w:rPr>
              <w:t>Ši direktyva neturi įtakos nuolatinės buveinės ir patronuojamųjų įmonių komercinėms, apskaitos ir fiskalinėms prievolėms pagal priimančiosios valstybės narės nacionalines taisykles.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73</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 xml:space="preserve">Priimančiosios valstybės narės mokesčių </w:t>
            </w:r>
            <w:r w:rsidRPr="00344ED1">
              <w:rPr>
                <w:b/>
                <w:i/>
              </w:rPr>
              <w:t>administratorius</w:t>
            </w:r>
            <w:r w:rsidRPr="00344ED1">
              <w:t xml:space="preserve"> gali prašyti kartu su deklaravimo institucija atlikti auditą, kurio metu būtų tikrinamas nuolatinės buveinės apmokestinamojo rezultato apskaičiavimas pagal pagrindinės buveinės apmokestinimo taisykles, pelno priskyrimas nuolatinei buveinei ir (arba) taikytinas mokesčio tarifas. Bendras auditas vykdomas vadovaujantis Tarybos direktyva 2011/16/ES</w:t>
            </w:r>
            <w:r w:rsidRPr="00344ED1">
              <w:rPr>
                <w:vertAlign w:val="superscript"/>
              </w:rPr>
              <w:t>18</w:t>
            </w:r>
            <w:r w:rsidRPr="00344ED1">
              <w:t xml:space="preserve">. Nepaisant </w:t>
            </w:r>
            <w:r w:rsidRPr="00344ED1">
              <w:rPr>
                <w:b/>
                <w:i/>
              </w:rPr>
              <w:t xml:space="preserve">pirmiau minėtos </w:t>
            </w:r>
            <w:r w:rsidRPr="00344ED1">
              <w:t xml:space="preserve">direktyvos </w:t>
            </w:r>
            <w:r w:rsidRPr="00344ED1">
              <w:rPr>
                <w:b/>
                <w:i/>
              </w:rPr>
              <w:t>nuostatų</w:t>
            </w:r>
            <w:r w:rsidRPr="00344ED1">
              <w:t xml:space="preserve">, </w:t>
            </w:r>
            <w:r w:rsidRPr="00344ED1">
              <w:rPr>
                <w:b/>
                <w:i/>
              </w:rPr>
              <w:t>kompetentinga institucija, į kurią kreipiamasi, turi priimti tokį</w:t>
            </w:r>
            <w:r w:rsidRPr="00344ED1">
              <w:t xml:space="preserve"> priimančiosios valstybės narės </w:t>
            </w:r>
            <w:r w:rsidRPr="00344ED1">
              <w:rPr>
                <w:b/>
                <w:i/>
              </w:rPr>
              <w:t>institucijų prašymą</w:t>
            </w:r>
            <w:r w:rsidRPr="00344ED1">
              <w:t>.</w:t>
            </w:r>
          </w:p>
        </w:tc>
        <w:tc>
          <w:tcPr>
            <w:tcW w:w="4876" w:type="dxa"/>
          </w:tcPr>
          <w:p w:rsidR="001E13C1" w:rsidRPr="00344ED1" w:rsidRDefault="001E13C1" w:rsidP="00AF1FBD">
            <w:pPr>
              <w:pStyle w:val="Normal6a"/>
            </w:pPr>
            <w:r w:rsidRPr="00344ED1">
              <w:t>2.</w:t>
            </w:r>
            <w:r w:rsidRPr="00344ED1">
              <w:tab/>
              <w:t xml:space="preserve">Priimančiosios valstybės narės mokesčių </w:t>
            </w:r>
            <w:r w:rsidRPr="00344ED1">
              <w:rPr>
                <w:b/>
                <w:i/>
              </w:rPr>
              <w:t>institucijos</w:t>
            </w:r>
            <w:r w:rsidRPr="00344ED1">
              <w:t xml:space="preserve"> gali prašyti kartu su deklaravimo institucija atlikti auditą, kurio metu būtų tikrinamas nuolatinės buveinės </w:t>
            </w:r>
            <w:r w:rsidRPr="00344ED1">
              <w:rPr>
                <w:b/>
                <w:i/>
              </w:rPr>
              <w:t xml:space="preserve">arba patronuojamosios įmonės </w:t>
            </w:r>
            <w:r w:rsidRPr="00344ED1">
              <w:t xml:space="preserve">apmokestinamojo rezultato apskaičiavimas pagal pagrindinės buveinės apmokestinimo taisykles, pelno priskyrimas nuolatinei buveinei ir (arba) </w:t>
            </w:r>
            <w:r w:rsidRPr="00344ED1">
              <w:rPr>
                <w:b/>
                <w:i/>
              </w:rPr>
              <w:t xml:space="preserve">patronuojamajai įmonei ir (arba) </w:t>
            </w:r>
            <w:r w:rsidRPr="00344ED1">
              <w:t>taikytinas mokesčio tarifas. Bendras auditas vykdomas vadovaujantis Tarybos direktyva 2011/16/ES</w:t>
            </w:r>
            <w:r w:rsidRPr="00344ED1">
              <w:rPr>
                <w:vertAlign w:val="superscript"/>
              </w:rPr>
              <w:t>18</w:t>
            </w:r>
            <w:r w:rsidRPr="00344ED1">
              <w:t xml:space="preserve">. Nepaisant Direktyvos </w:t>
            </w:r>
            <w:r w:rsidRPr="00344ED1">
              <w:rPr>
                <w:b/>
                <w:i/>
              </w:rPr>
              <w:t>2011/16/ES</w:t>
            </w:r>
            <w:r w:rsidRPr="00344ED1">
              <w:t xml:space="preserve">, </w:t>
            </w:r>
            <w:r w:rsidRPr="00344ED1">
              <w:rPr>
                <w:b/>
                <w:i/>
              </w:rPr>
              <w:t>prašymą atlikti bendrą auditą valstybės narės pagrindinės buveinės mokesčių administratorius taip pat gali pateikti kiekvienos nuolatinės buveinės ar patronuojamosios įmonės</w:t>
            </w:r>
            <w:r w:rsidRPr="00344ED1">
              <w:t xml:space="preserve"> priimančiosios valstybės narės </w:t>
            </w:r>
            <w:r w:rsidRPr="00344ED1">
              <w:rPr>
                <w:b/>
                <w:i/>
              </w:rPr>
              <w:t>mokesčių administratoriui</w:t>
            </w:r>
            <w:r w:rsidRPr="00344ED1">
              <w:t>.</w:t>
            </w:r>
          </w:p>
        </w:tc>
      </w:tr>
      <w:tr w:rsidR="001E13C1" w:rsidRPr="00344ED1" w:rsidTr="00AF1FBD">
        <w:trPr>
          <w:jc w:val="center"/>
        </w:trPr>
        <w:tc>
          <w:tcPr>
            <w:tcW w:w="4876" w:type="dxa"/>
          </w:tcPr>
          <w:p w:rsidR="001E13C1" w:rsidRPr="00344ED1" w:rsidRDefault="001E13C1" w:rsidP="00AF1FBD">
            <w:pPr>
              <w:pStyle w:val="Normal6a"/>
            </w:pPr>
            <w:r w:rsidRPr="00344ED1">
              <w:rPr>
                <w:b/>
                <w:i/>
              </w:rPr>
              <w:t>_________________</w:t>
            </w:r>
          </w:p>
        </w:tc>
        <w:tc>
          <w:tcPr>
            <w:tcW w:w="4876" w:type="dxa"/>
          </w:tcPr>
          <w:p w:rsidR="001E13C1" w:rsidRPr="00344ED1" w:rsidRDefault="001E13C1" w:rsidP="00AF1FBD">
            <w:pPr>
              <w:pStyle w:val="Normal6a"/>
            </w:pPr>
            <w:r w:rsidRPr="00344ED1">
              <w:rPr>
                <w:b/>
                <w:i/>
              </w:rPr>
              <w:t>_________________</w:t>
            </w:r>
          </w:p>
        </w:tc>
      </w:tr>
      <w:tr w:rsidR="001E13C1" w:rsidRPr="00344ED1" w:rsidTr="00AF1FBD">
        <w:trPr>
          <w:jc w:val="center"/>
        </w:trPr>
        <w:tc>
          <w:tcPr>
            <w:tcW w:w="4876" w:type="dxa"/>
          </w:tcPr>
          <w:p w:rsidR="001E13C1" w:rsidRPr="00344ED1" w:rsidRDefault="001E13C1" w:rsidP="00AF1FBD">
            <w:pPr>
              <w:pStyle w:val="Normal6a"/>
            </w:pPr>
            <w:r w:rsidRPr="00344ED1">
              <w:rPr>
                <w:vertAlign w:val="superscript"/>
              </w:rPr>
              <w:t>18</w:t>
            </w:r>
            <w:r w:rsidRPr="00344ED1">
              <w:t xml:space="preserve"> 2011 m. vasario 15 d. Tarybos direktyva 2011/16/ES dėl administracinio bendradarbiavimo apmokestinimo srityje ir panaikinanti Direktyvą 77/799/EEB (OL L 64, 2011 3 11, p. 1).</w:t>
            </w:r>
          </w:p>
        </w:tc>
        <w:tc>
          <w:tcPr>
            <w:tcW w:w="4876" w:type="dxa"/>
          </w:tcPr>
          <w:p w:rsidR="001E13C1" w:rsidRPr="00344ED1" w:rsidRDefault="001E13C1" w:rsidP="00AF1FBD">
            <w:pPr>
              <w:pStyle w:val="Normal6a"/>
            </w:pPr>
            <w:r w:rsidRPr="00344ED1">
              <w:rPr>
                <w:vertAlign w:val="superscript"/>
              </w:rPr>
              <w:t>18</w:t>
            </w:r>
            <w:r w:rsidRPr="00344ED1">
              <w:t xml:space="preserve"> 2011 m. vasario 15 d. Tarybos direktyva 2011/16/ES dėl administracinio bendradarbiavimo apmokestinimo srityje ir panaikinanti Direktyvą 77/799/EEB (OL L 64, 2011 3 11, p. 1).</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74</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13 straipsnio 2 a dalis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2a.</w:t>
            </w:r>
            <w:r w:rsidRPr="00344ED1">
              <w:rPr>
                <w:b/>
                <w:i/>
              </w:rPr>
              <w:tab/>
              <w:t>Jei auditas atliekamas pagrindinės buveinės valstybės narės iniciatyva, pagrindinės buveinės valstybė narė pakviečia priimančiąją valstybę narę tokį auditą atlikti kartu.</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75</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14 straipsnio 1 dalies 2 punktas</w:t>
      </w:r>
    </w:p>
    <w:p w:rsidR="001E13C1" w:rsidRPr="00344ED1" w:rsidRDefault="001E13C1" w:rsidP="001E13C1">
      <w:pPr>
        <w:keepNext/>
      </w:pPr>
      <w:r w:rsidRPr="00344ED1">
        <w:t>Direktyva 2011/16/ES</w:t>
      </w:r>
    </w:p>
    <w:p w:rsidR="001E13C1" w:rsidRPr="00344ED1" w:rsidRDefault="001E13C1" w:rsidP="001E13C1">
      <w:r w:rsidRPr="00344ED1">
        <w:t>8ae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Jei Direktyvos, kuria nustatoma labai mažų, mažųjų ir vidutinių įmonių pagrindine buveine grindžiama mokesčių sistema</w:t>
            </w:r>
            <w:r w:rsidRPr="00344ED1">
              <w:rPr>
                <w:b/>
                <w:i/>
                <w:vertAlign w:val="superscript"/>
              </w:rPr>
              <w:t>20</w:t>
            </w:r>
            <w:r w:rsidRPr="00344ED1">
              <w:t xml:space="preserve">, 3 straipsnio 2 punkte </w:t>
            </w:r>
            <w:r w:rsidRPr="00344ED1">
              <w:rPr>
                <w:b/>
                <w:i/>
              </w:rPr>
              <w:t>apibrėžta pagrindinė buveinė</w:t>
            </w:r>
            <w:r w:rsidRPr="00344ED1">
              <w:t xml:space="preserve">, </w:t>
            </w:r>
            <w:r w:rsidRPr="00344ED1">
              <w:rPr>
                <w:b/>
                <w:i/>
              </w:rPr>
              <w:t>kuri</w:t>
            </w:r>
            <w:r w:rsidRPr="00344ED1">
              <w:t xml:space="preserve"> pagal tos direktyvos 6 straipsnį pasirenka taikyti pagrindinės buveinės apmokestinimo taisykles savo nuolatinei buveinei (-ėms), atitinka tinkamumo taikyti tokias taisykles reikalavimus, pagrindinės buveinės valstybės narės kompetentinga institucija, vykdydama automatinius informacijos mainus, praneša nuolatinės buveinės valstybės narės kompetentingai institucijai, kad atitinkamos nuolatinės buveinės apmokestinamasis rezultatas turi būti apskaičiuojamas pagal pagrindinės buveinės apmokestinimo taisykles. Toks pranešimas pateikiamas per </w:t>
            </w:r>
            <w:r w:rsidRPr="00344ED1">
              <w:rPr>
                <w:b/>
                <w:i/>
              </w:rPr>
              <w:t>du mėnesius</w:t>
            </w:r>
            <w:r w:rsidRPr="00344ED1">
              <w:t xml:space="preserve"> nuo tos dienos, kai pagrindinė buveinė praneša pasirinkusi taikyti pagrindinės buveinės apmokestinimo taisykles.</w:t>
            </w:r>
          </w:p>
        </w:tc>
        <w:tc>
          <w:tcPr>
            <w:tcW w:w="4876" w:type="dxa"/>
          </w:tcPr>
          <w:p w:rsidR="001E13C1" w:rsidRPr="00344ED1" w:rsidRDefault="001E13C1" w:rsidP="00AF1FBD">
            <w:pPr>
              <w:pStyle w:val="Normal6a"/>
              <w:rPr>
                <w:szCs w:val="24"/>
              </w:rPr>
            </w:pPr>
            <w:r w:rsidRPr="00344ED1">
              <w:t>1.</w:t>
            </w:r>
            <w:r w:rsidRPr="00344ED1">
              <w:tab/>
              <w:t>Jei Direktyvos, kuria nustatoma labai mažų, mažųjų ir vidutinių įmonių</w:t>
            </w:r>
            <w:r w:rsidRPr="00344ED1">
              <w:rPr>
                <w:b/>
                <w:i/>
                <w:vertAlign w:val="superscript"/>
              </w:rPr>
              <w:t>20</w:t>
            </w:r>
            <w:r w:rsidRPr="00344ED1">
              <w:t xml:space="preserve"> pagrindine buveine grindžiama mokesčių sistema, 3 straipsnio 2 punkte </w:t>
            </w:r>
            <w:r w:rsidRPr="00344ED1">
              <w:rPr>
                <w:b/>
                <w:i/>
              </w:rPr>
              <w:t>apibrėžtos pagrindinės buveinės arba jų patronuojamosios bendrovės</w:t>
            </w:r>
            <w:r w:rsidRPr="00344ED1">
              <w:t xml:space="preserve">, </w:t>
            </w:r>
            <w:r w:rsidRPr="00344ED1">
              <w:rPr>
                <w:b/>
                <w:i/>
              </w:rPr>
              <w:t>kurios</w:t>
            </w:r>
            <w:r w:rsidRPr="00344ED1">
              <w:t xml:space="preserve"> pagal tos direktyvos 6 straipsnį pasirenka taikyti pagrindinės buveinės apmokestinimo taisykles savo nuolatinei buveinei (-ėms)</w:t>
            </w:r>
            <w:r w:rsidRPr="00344ED1">
              <w:rPr>
                <w:b/>
                <w:i/>
              </w:rPr>
              <w:t xml:space="preserve"> ir (arba) patronuojamajai įmonei</w:t>
            </w:r>
            <w:r w:rsidRPr="00344ED1">
              <w:t xml:space="preserve">, atitinka tinkamumo taikyti tokias taisykles reikalavimus, pagrindinės buveinės </w:t>
            </w:r>
            <w:r w:rsidRPr="00344ED1">
              <w:rPr>
                <w:b/>
                <w:i/>
              </w:rPr>
              <w:t xml:space="preserve">arba patronuojamosios įmonės </w:t>
            </w:r>
            <w:r w:rsidRPr="00344ED1">
              <w:t xml:space="preserve">valstybės narės kompetentinga institucija, vykdydama automatinius informacijos mainus, praneša nuolatinės buveinės </w:t>
            </w:r>
            <w:r w:rsidRPr="00344ED1">
              <w:rPr>
                <w:b/>
                <w:i/>
              </w:rPr>
              <w:t xml:space="preserve">arba patronuojamosios įmonės </w:t>
            </w:r>
            <w:r w:rsidRPr="00344ED1">
              <w:t xml:space="preserve">valstybės narės kompetentingai institucijai, kad atitinkamos nuolatinės buveinės </w:t>
            </w:r>
            <w:r w:rsidRPr="00344ED1">
              <w:rPr>
                <w:b/>
                <w:i/>
              </w:rPr>
              <w:t xml:space="preserve">arba patronuojamosios įmonės </w:t>
            </w:r>
            <w:r w:rsidRPr="00344ED1">
              <w:t xml:space="preserve">apmokestinamasis rezultatas turi būti apskaičiuojamas pagal pagrindinės buveinės apmokestinimo taisykles. Toks pranešimas pateikiamas per </w:t>
            </w:r>
            <w:r w:rsidRPr="00344ED1">
              <w:rPr>
                <w:b/>
                <w:i/>
              </w:rPr>
              <w:t>vieną mėnesį</w:t>
            </w:r>
            <w:r w:rsidRPr="00344ED1">
              <w:t xml:space="preserve"> nuo tos dienos, kai pagrindinė buveinė praneša pasirinkusi taikyti pagrindinės buveinės apmokestinimo taisykles. </w:t>
            </w:r>
          </w:p>
        </w:tc>
      </w:tr>
      <w:tr w:rsidR="001E13C1" w:rsidRPr="00344ED1" w:rsidTr="00AF1FBD">
        <w:trPr>
          <w:jc w:val="center"/>
        </w:trPr>
        <w:tc>
          <w:tcPr>
            <w:tcW w:w="4876" w:type="dxa"/>
          </w:tcPr>
          <w:p w:rsidR="001E13C1" w:rsidRPr="00344ED1" w:rsidRDefault="001E13C1" w:rsidP="00AF1FBD">
            <w:pPr>
              <w:pStyle w:val="Normal6a"/>
            </w:pPr>
            <w:r w:rsidRPr="00344ED1">
              <w:t>______________________</w:t>
            </w:r>
          </w:p>
        </w:tc>
        <w:tc>
          <w:tcPr>
            <w:tcW w:w="4876" w:type="dxa"/>
          </w:tcPr>
          <w:p w:rsidR="001E13C1" w:rsidRPr="00344ED1" w:rsidRDefault="001E13C1" w:rsidP="00AF1FBD">
            <w:pPr>
              <w:pStyle w:val="Normal6a"/>
            </w:pPr>
            <w:r w:rsidRPr="00344ED1">
              <w:t>______________________</w:t>
            </w:r>
          </w:p>
        </w:tc>
      </w:tr>
      <w:tr w:rsidR="001E13C1" w:rsidRPr="00344ED1" w:rsidTr="00AF1FBD">
        <w:trPr>
          <w:jc w:val="center"/>
        </w:trPr>
        <w:tc>
          <w:tcPr>
            <w:tcW w:w="4876" w:type="dxa"/>
          </w:tcPr>
          <w:p w:rsidR="001E13C1" w:rsidRPr="00344ED1" w:rsidRDefault="001E13C1" w:rsidP="00AF1FBD">
            <w:pPr>
              <w:pStyle w:val="Normal6a"/>
            </w:pPr>
            <w:r w:rsidRPr="00344ED1">
              <w:rPr>
                <w:vertAlign w:val="superscript"/>
              </w:rPr>
              <w:t>20</w:t>
            </w:r>
            <w:r w:rsidRPr="00344ED1">
              <w:t xml:space="preserve"> Direktyva…[OL: įrašyti tos direktyvos numerį, datą, pavadinimą ir OL nuorodą].</w:t>
            </w:r>
          </w:p>
        </w:tc>
        <w:tc>
          <w:tcPr>
            <w:tcW w:w="4876" w:type="dxa"/>
          </w:tcPr>
          <w:p w:rsidR="001E13C1" w:rsidRPr="00344ED1" w:rsidRDefault="001E13C1" w:rsidP="00AF1FBD">
            <w:pPr>
              <w:pStyle w:val="Normal6a"/>
            </w:pPr>
            <w:r w:rsidRPr="00344ED1">
              <w:rPr>
                <w:vertAlign w:val="superscript"/>
              </w:rPr>
              <w:t>20</w:t>
            </w:r>
            <w:r w:rsidRPr="00344ED1">
              <w:t xml:space="preserve"> Direktyva…[OL: įrašyti tos direktyvos numerį, datą, pavadinimą ir OL nuorodą].</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76</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14 straipsnio 1 dalies 2 punktas</w:t>
      </w:r>
    </w:p>
    <w:p w:rsidR="001E13C1" w:rsidRPr="00344ED1" w:rsidRDefault="001E13C1" w:rsidP="001E13C1">
      <w:pPr>
        <w:keepNext/>
      </w:pPr>
      <w:r w:rsidRPr="00344ED1">
        <w:t>Direktyva 2011/16/ES</w:t>
      </w:r>
    </w:p>
    <w:p w:rsidR="001E13C1" w:rsidRPr="00344ED1" w:rsidRDefault="001E13C1" w:rsidP="001E13C1">
      <w:r w:rsidRPr="00344ED1">
        <w:t>8ae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 xml:space="preserve">Nuolatinės buveinės valstybės narės kompetentinga institucija per </w:t>
            </w:r>
            <w:r w:rsidRPr="00344ED1">
              <w:rPr>
                <w:b/>
                <w:i/>
              </w:rPr>
              <w:t>tris</w:t>
            </w:r>
            <w:r w:rsidRPr="00344ED1">
              <w:t xml:space="preserve"> mėnesius nuo pagrindinės buveinės valstybės narės kompetentingos institucijos pranešimo apie sprendimą taikyti pagrindinės buveinės apmokestinimo taisykles praneša pagrindinės buveinės valstybės narės kompetentingai institucijai apie mokesčio tarifą, taikytiną jos teritorijoje esančios nuolatinės buveinės (-ių) mokestinei prievolei nustatyti. </w:t>
            </w:r>
          </w:p>
        </w:tc>
        <w:tc>
          <w:tcPr>
            <w:tcW w:w="4876" w:type="dxa"/>
          </w:tcPr>
          <w:p w:rsidR="001E13C1" w:rsidRPr="00344ED1" w:rsidRDefault="001E13C1" w:rsidP="00AF1FBD">
            <w:pPr>
              <w:pStyle w:val="Normal6a"/>
              <w:rPr>
                <w:szCs w:val="24"/>
              </w:rPr>
            </w:pPr>
            <w:r w:rsidRPr="00344ED1">
              <w:t>2.</w:t>
            </w:r>
            <w:r w:rsidRPr="00344ED1">
              <w:tab/>
              <w:t xml:space="preserve">Nuolatinės buveinės </w:t>
            </w:r>
            <w:r w:rsidRPr="00344ED1">
              <w:rPr>
                <w:b/>
                <w:i/>
              </w:rPr>
              <w:t xml:space="preserve">arba patronuojamosios įmonės </w:t>
            </w:r>
            <w:r w:rsidRPr="00344ED1">
              <w:t xml:space="preserve">valstybės narės kompetentinga institucija per </w:t>
            </w:r>
            <w:r w:rsidRPr="00344ED1">
              <w:rPr>
                <w:b/>
                <w:i/>
              </w:rPr>
              <w:t>dvejus</w:t>
            </w:r>
            <w:r w:rsidRPr="00344ED1">
              <w:t xml:space="preserve"> mėnesius nuo pagrindinės buveinės valstybės narės kompetentingos institucijos pranešimo apie sprendimą taikyti pagrindinės buveinės apmokestinimo taisykles praneša pagrindinės buveinės valstybės narės kompetentingai institucijai apie mokesčio tarifą, taikytiną jos teritorijoje esančios nuolatinės buveinės (-ių) </w:t>
            </w:r>
            <w:r w:rsidRPr="00344ED1">
              <w:rPr>
                <w:b/>
                <w:i/>
              </w:rPr>
              <w:t xml:space="preserve">arba patronuojamosios įmonės </w:t>
            </w:r>
            <w:r w:rsidRPr="00344ED1">
              <w:t>mokestinei prievolei nustatyti.</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77</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14 straipsnio 1 dalies 2 punktas</w:t>
      </w:r>
    </w:p>
    <w:p w:rsidR="001E13C1" w:rsidRPr="00344ED1" w:rsidRDefault="001E13C1" w:rsidP="001E13C1">
      <w:r w:rsidRPr="00344ED1">
        <w:t>Direktyva 2011/16/ES</w:t>
      </w:r>
    </w:p>
    <w:p w:rsidR="001E13C1" w:rsidRPr="00344ED1" w:rsidRDefault="001E13C1" w:rsidP="001E13C1">
      <w:r w:rsidRPr="00344ED1">
        <w:t>8ae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3.</w:t>
            </w:r>
            <w:r w:rsidRPr="00344ED1">
              <w:tab/>
              <w:t>Pagrindinės buveinės valstybės narės kompetentinga institucija, automatiškai keisdamasi informacija, šio straipsnio 2 dalyje nurodytą informaciją perduoda nuolatinės buveinės (-ių) valstybės narės (-ių) kompetentingai institucijai (-oms), laikydamasi pagal 21 straipsnį priimtos praktinės tvarkos.</w:t>
            </w:r>
          </w:p>
        </w:tc>
        <w:tc>
          <w:tcPr>
            <w:tcW w:w="4876" w:type="dxa"/>
          </w:tcPr>
          <w:p w:rsidR="001E13C1" w:rsidRPr="00344ED1" w:rsidRDefault="001E13C1" w:rsidP="00AF1FBD">
            <w:pPr>
              <w:pStyle w:val="Normal6a"/>
            </w:pPr>
            <w:r w:rsidRPr="00344ED1">
              <w:t>3.</w:t>
            </w:r>
            <w:r w:rsidRPr="00344ED1">
              <w:tab/>
              <w:t xml:space="preserve">Pagrindinės buveinės valstybės narės kompetentinga institucija, automatiškai keisdamasi informacija, šio straipsnio 2 dalyje nurodytą informaciją perduoda nuolatinės buveinės (-ių) </w:t>
            </w:r>
            <w:r w:rsidRPr="00344ED1">
              <w:rPr>
                <w:b/>
                <w:i/>
              </w:rPr>
              <w:t xml:space="preserve">arba patronuojamosios įmonės </w:t>
            </w:r>
            <w:r w:rsidRPr="00344ED1">
              <w:t>valstybės narės (-ių) kompetentingai institucijai (-oms), laikydamasi pagal 21 straipsnį priimtos praktinės tvarkos.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78</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14 straipsnio 1 dalies 2 punktas</w:t>
      </w:r>
    </w:p>
    <w:p w:rsidR="001E13C1" w:rsidRPr="00344ED1" w:rsidRDefault="001E13C1" w:rsidP="001E13C1">
      <w:r w:rsidRPr="00344ED1">
        <w:t>Direktyva 2011/16/ES</w:t>
      </w:r>
    </w:p>
    <w:p w:rsidR="001E13C1" w:rsidRPr="00344ED1" w:rsidRDefault="001E13C1" w:rsidP="001E13C1">
      <w:r w:rsidRPr="00344ED1">
        <w:t>8ae straipsnio 4 dalies iii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iii)</w:t>
            </w:r>
            <w:r w:rsidRPr="00344ED1">
              <w:tab/>
              <w:t xml:space="preserve">atitinkamai nuolatinei buveinei </w:t>
            </w:r>
            <w:r w:rsidRPr="00344ED1">
              <w:rPr>
                <w:b/>
                <w:i/>
              </w:rPr>
              <w:t xml:space="preserve">(-ėms) </w:t>
            </w:r>
            <w:r w:rsidRPr="00344ED1">
              <w:t>skirtas pranešimo apie mokėtinus mokesčius projektas</w:t>
            </w:r>
            <w:r w:rsidRPr="00344ED1">
              <w:rPr>
                <w:b/>
                <w:i/>
              </w:rPr>
              <w:t>;</w:t>
            </w:r>
          </w:p>
        </w:tc>
        <w:tc>
          <w:tcPr>
            <w:tcW w:w="4876" w:type="dxa"/>
          </w:tcPr>
          <w:p w:rsidR="001E13C1" w:rsidRPr="00344ED1" w:rsidRDefault="001E13C1" w:rsidP="00AF1FBD">
            <w:pPr>
              <w:pStyle w:val="Normal6a"/>
            </w:pPr>
            <w:r w:rsidRPr="00344ED1">
              <w:t>iii)</w:t>
            </w:r>
            <w:r w:rsidRPr="00344ED1">
              <w:tab/>
              <w:t xml:space="preserve">atitinkamai nuolatinei buveinei </w:t>
            </w:r>
            <w:r w:rsidRPr="00344ED1">
              <w:rPr>
                <w:b/>
                <w:i/>
              </w:rPr>
              <w:t>ir patronuojamajai įmonei </w:t>
            </w:r>
            <w:r w:rsidRPr="00344ED1">
              <w:t>skirtas pranešimo apie mokėtinus mokesčius projektas</w:t>
            </w:r>
            <w:r w:rsidRPr="00344ED1">
              <w:rPr>
                <w:b/>
                <w:i/>
              </w:rPr>
              <w:t>.</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79</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14 straipsnio 1 dalies 2 punktas</w:t>
      </w:r>
    </w:p>
    <w:p w:rsidR="001E13C1" w:rsidRPr="00344ED1" w:rsidRDefault="001E13C1" w:rsidP="001E13C1">
      <w:r w:rsidRPr="00344ED1">
        <w:t>Direktyva 2011/16/ES</w:t>
      </w:r>
    </w:p>
    <w:p w:rsidR="001E13C1" w:rsidRPr="00344ED1" w:rsidRDefault="001E13C1" w:rsidP="001E13C1">
      <w:r w:rsidRPr="00344ED1">
        <w:t>8ae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6.</w:t>
            </w:r>
            <w:r w:rsidRPr="00344ED1">
              <w:tab/>
              <w:t>Kai nuolatinės</w:t>
            </w:r>
            <w:r w:rsidRPr="00344ED1">
              <w:rPr>
                <w:b/>
                <w:i/>
              </w:rPr>
              <w:t> </w:t>
            </w:r>
            <w:r w:rsidRPr="00344ED1">
              <w:t>buveinės </w:t>
            </w:r>
            <w:r w:rsidRPr="00344ED1">
              <w:rPr>
                <w:b/>
                <w:i/>
              </w:rPr>
              <w:t>(-ų)</w:t>
            </w:r>
            <w:r w:rsidRPr="00344ED1">
              <w:t xml:space="preserve"> valstybės narės mokesčių administratorius peržiūri pranešimo apie mokėtinus mokesčius projektą, atsižvelgdamas į pelno priskyrimą nuolatinei buveinei pagal taikytinos dvišalės sutarties dėl dvigubo apmokestinimo išvengimo tarp priimančiosios valstybės narės ir pagrindinės buveinės valstybės narės nuostatas, po to, kai buvo atmestas pagrindinės buveinės valstybės narės parengtas pranešimo apie mokėtinus mokesčius projektas, nuolatinės </w:t>
            </w:r>
            <w:r w:rsidRPr="00344ED1">
              <w:rPr>
                <w:b/>
                <w:i/>
              </w:rPr>
              <w:t>buveinė (-ių)</w:t>
            </w:r>
            <w:r w:rsidRPr="00344ED1">
              <w:t xml:space="preserve"> valstybės narės kompetentinga institucija tokį patikslintą mokesčių apskaičiavimo dokumentą pateikia pagrindinės buveinės valstybės narės kompetentingai institucijai per vieną mėnesį po jo parengimo, kad būtų perskaičiuotas nuolatinės buveinės apmokestinamasis rezultatas, parengtas patikslintas mokesčių apskaičiavimo dokumentas ir surinkti mokesčiai.</w:t>
            </w:r>
          </w:p>
        </w:tc>
        <w:tc>
          <w:tcPr>
            <w:tcW w:w="4876" w:type="dxa"/>
          </w:tcPr>
          <w:p w:rsidR="001E13C1" w:rsidRPr="00344ED1" w:rsidRDefault="001E13C1" w:rsidP="00AF1FBD">
            <w:pPr>
              <w:pStyle w:val="Normal6a"/>
            </w:pPr>
            <w:r w:rsidRPr="00344ED1">
              <w:t>6.</w:t>
            </w:r>
            <w:r w:rsidRPr="00344ED1">
              <w:tab/>
              <w:t>Kai nuolatinės</w:t>
            </w:r>
            <w:r w:rsidRPr="00344ED1">
              <w:rPr>
                <w:b/>
                <w:i/>
              </w:rPr>
              <w:t xml:space="preserve"> </w:t>
            </w:r>
            <w:r w:rsidRPr="00344ED1">
              <w:t>buveinės </w:t>
            </w:r>
            <w:r w:rsidRPr="00344ED1">
              <w:rPr>
                <w:b/>
                <w:i/>
              </w:rPr>
              <w:t>arba patronuojamosios įmonės</w:t>
            </w:r>
            <w:r w:rsidRPr="00344ED1">
              <w:t xml:space="preserve"> valstybės narės mokesčių administratorius peržiūri pranešimo apie mokėtinus mokesčius projektą, atsižvelgdamas į pelno priskyrimą nuolatinei buveinei</w:t>
            </w:r>
            <w:r w:rsidRPr="00344ED1">
              <w:rPr>
                <w:b/>
                <w:i/>
              </w:rPr>
              <w:t xml:space="preserve"> arba patronuojamajai įmonei</w:t>
            </w:r>
            <w:r w:rsidRPr="00344ED1">
              <w:t xml:space="preserve"> pagal taikytinos dvišalės sutarties dėl dvigubo apmokestinimo išvengimo tarp priimančiosios valstybės narės ir pagrindinės buveinės valstybės narės nuostatas, po to, kai buvo atmestas pagrindinės buveinės valstybės narės parengtas pranešimo apie mokėtinus mokesčius projektas, nuolatinės </w:t>
            </w:r>
            <w:r w:rsidRPr="00344ED1">
              <w:rPr>
                <w:b/>
                <w:i/>
              </w:rPr>
              <w:t>buveinės arba patronuojamosios įmonės</w:t>
            </w:r>
            <w:r w:rsidRPr="00344ED1">
              <w:t xml:space="preserve"> valstybės narės kompetentinga institucija tokį patikslintą mokesčių apskaičiavimo dokumentą pateikia pagrindinės buveinės valstybės narės kompetentingai institucijai per vieną mėnesį po jo parengimo, kad būtų perskaičiuotas nuolatinės buveinės</w:t>
            </w:r>
            <w:r w:rsidRPr="00344ED1">
              <w:rPr>
                <w:b/>
                <w:i/>
              </w:rPr>
              <w:t xml:space="preserve"> arba patronuojamosios įmonės</w:t>
            </w:r>
            <w:r w:rsidRPr="00344ED1">
              <w:t xml:space="preserve"> apmokestinamasis rezultatas, parengtas patikslintas mokesčių apskaičiavimo dokumentas ir surinkti mokesčiai.</w:t>
            </w:r>
          </w:p>
        </w:tc>
      </w:tr>
    </w:tbl>
    <w:p w:rsidR="001E13C1" w:rsidRPr="00344ED1" w:rsidRDefault="001E13C1" w:rsidP="001E13C1"/>
    <w:p w:rsidR="001E13C1" w:rsidRPr="00344ED1" w:rsidRDefault="001E13C1" w:rsidP="001E13C1">
      <w:pPr>
        <w:spacing w:before="120" w:after="120"/>
      </w:pPr>
    </w:p>
    <w:p w:rsidR="001E13C1" w:rsidRPr="00344ED1" w:rsidRDefault="001E13C1" w:rsidP="001E13C1">
      <w:pPr>
        <w:pStyle w:val="AmNumberTabs"/>
        <w:keepNext/>
      </w:pPr>
      <w:r w:rsidRPr="00344ED1">
        <w:t>Pakeitimas</w:t>
      </w:r>
      <w:r w:rsidRPr="00344ED1">
        <w:tab/>
      </w:r>
      <w:r w:rsidRPr="00344ED1">
        <w:tab/>
        <w:t>80</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17 straipsnio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Komisija informuoja Europos Parlamentą apie deleguotųjų aktų priėmimą, apie bet kokį prieštaravimą dėl jų arba apie Tarybos suteiktų įgaliojimų atšaukimą.</w:t>
            </w:r>
          </w:p>
        </w:tc>
        <w:tc>
          <w:tcPr>
            <w:tcW w:w="4876" w:type="dxa"/>
          </w:tcPr>
          <w:p w:rsidR="001E13C1" w:rsidRPr="00344ED1" w:rsidRDefault="001E13C1" w:rsidP="00AF1FBD">
            <w:pPr>
              <w:pStyle w:val="Normal6a"/>
              <w:rPr>
                <w:szCs w:val="24"/>
              </w:rPr>
            </w:pPr>
            <w:r w:rsidRPr="00344ED1">
              <w:t xml:space="preserve">Komisija informuoja Europos Parlamentą apie deleguotųjų </w:t>
            </w:r>
            <w:r w:rsidRPr="00344ED1">
              <w:rPr>
                <w:b/>
                <w:i/>
              </w:rPr>
              <w:t xml:space="preserve">ir įgyvendinimo </w:t>
            </w:r>
            <w:r w:rsidRPr="00344ED1">
              <w:t>aktų priėmimą, apie bet kokį prieštaravimą dėl jų arba apie Tarybos suteiktų įgaliojimų atšaukimą.</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81</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18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 xml:space="preserve">Pagal šią direktyvą tvarkoma informacija, įskaitant asmens duomenis, saugoma tik tiek, kiek būtina šios direktyvos tikslams pasiekti, visų pirma patikrinti, ar tenkinami tinkamumo reikalavimai, ir nustatyti mokesčių mokėtojams mokestines prievoles, laikantis kiekvieno duomenų valdytojo nacionalinių taisyklių dėl senaties terminų, </w:t>
            </w:r>
            <w:r w:rsidRPr="00344ED1">
              <w:rPr>
                <w:b/>
                <w:i/>
              </w:rPr>
              <w:t>tačiau bet kuriuo atveju ne ilgiau kaip dešimt</w:t>
            </w:r>
            <w:r w:rsidRPr="00344ED1">
              <w:t xml:space="preserve"> metų.</w:t>
            </w:r>
          </w:p>
        </w:tc>
        <w:tc>
          <w:tcPr>
            <w:tcW w:w="4876" w:type="dxa"/>
          </w:tcPr>
          <w:p w:rsidR="001E13C1" w:rsidRPr="00344ED1" w:rsidRDefault="001E13C1" w:rsidP="00AF1FBD">
            <w:pPr>
              <w:pStyle w:val="Normal6a"/>
              <w:rPr>
                <w:szCs w:val="24"/>
              </w:rPr>
            </w:pPr>
            <w:r w:rsidRPr="00344ED1">
              <w:t>2.</w:t>
            </w:r>
            <w:r w:rsidRPr="00344ED1">
              <w:tab/>
              <w:t xml:space="preserve">Pagal šią direktyvą tvarkoma informacija, įskaitant asmens duomenis, saugoma tik tiek, kiek </w:t>
            </w:r>
            <w:r w:rsidRPr="00344ED1">
              <w:rPr>
                <w:b/>
                <w:i/>
              </w:rPr>
              <w:t xml:space="preserve">griežtai </w:t>
            </w:r>
            <w:r w:rsidRPr="00344ED1">
              <w:t>būtina šios direktyvos tikslams pasiekti</w:t>
            </w:r>
            <w:r w:rsidRPr="00344ED1">
              <w:rPr>
                <w:b/>
                <w:i/>
              </w:rPr>
              <w:t xml:space="preserve"> (saugojimo laikotarpis)</w:t>
            </w:r>
            <w:r w:rsidRPr="00344ED1">
              <w:t>, visų pirma patikrinti, ar tenkinami tinkamumo reikalavimai, ir nustatyti mokesčių mokėtojams mokestines prievoles, laikantis kiekvieno duomenų valdytojo nacionalinių taisyklių dėl senaties terminų</w:t>
            </w:r>
            <w:r w:rsidRPr="00344ED1">
              <w:rPr>
                <w:b/>
                <w:i/>
              </w:rPr>
              <w:t>. Saugojimo laikotarpis prasideda, kai asmens duomenys šios direktyvos tikslais tvarkomi pirmą kartą, ir bet kuriuo atveju neviršija septynerių metų.</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82</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19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1.</w:t>
            </w:r>
            <w:r w:rsidRPr="00344ED1">
              <w:tab/>
              <w:t>Praėjus penkeriems metams nuo šios direktyvos taikymo pradžios, Komisija išnagrinėja ir įvertina jos veikimą ir apie tai praneša Europos Parlamentui ir Tarybai. Kai tikslinga, prie ataskaitos pridedamas pasiūlymas iš dalies pakeisti šią direktyvą.</w:t>
            </w:r>
          </w:p>
        </w:tc>
        <w:tc>
          <w:tcPr>
            <w:tcW w:w="4876" w:type="dxa"/>
          </w:tcPr>
          <w:p w:rsidR="001E13C1" w:rsidRPr="00344ED1" w:rsidRDefault="001E13C1" w:rsidP="00AF1FBD">
            <w:pPr>
              <w:pStyle w:val="Normal6a"/>
            </w:pPr>
            <w:r w:rsidRPr="00344ED1">
              <w:t>1.</w:t>
            </w:r>
            <w:r w:rsidRPr="00344ED1">
              <w:tab/>
              <w:t xml:space="preserve">Praėjus penkeriems metams nuo šios direktyvos taikymo pradžios, Komisija išnagrinėja ir įvertina jos veikimą ir apie tai praneša Europos Parlamentui ir Tarybai. </w:t>
            </w:r>
            <w:r w:rsidRPr="00344ED1">
              <w:rPr>
                <w:b/>
                <w:i/>
              </w:rPr>
              <w:t>Ataskaitoje Komisija, be kita ko, išnagrinėja, ar pagrindinės buveinės apmokestinimo taisyklės turėtų taip pat būti taikomos vienai ar daugiau patronuojamųjų MVĮ įmonių.</w:t>
            </w:r>
            <w:r w:rsidRPr="00344ED1">
              <w:t xml:space="preserve"> Kai tikslinga, prie ataskaitos pridedamas pasiūlymas iš dalies pakeisti šią direktyvą.</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83</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19 straipsnio 1 dalies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rPr>
                <w:b/>
                <w:i/>
                <w:szCs w:val="24"/>
              </w:rPr>
            </w:pPr>
            <w:r w:rsidRPr="00344ED1">
              <w:rPr>
                <w:b/>
                <w:i/>
              </w:rPr>
              <w:t>Šios dalies pirmoje pastraipoje nurodytoje ataskaitoje taip pat įvertinamas galimas šios direktyvos taikymo srities išplėtimas, visų pirma įtraukiant kitas Direktyvos 2013/34/ES 3 straipsnio 5 ir 6 dalyse nurodytas bendroves, šios direktyvos 4 straipsnyje nustatytų tinkamumo reikalavimų tinkamumas atsižvelgiant į MVĮ prisijungimą prie pagrindinių buveinių apmokestinimo taisyklių ir visų pirma reikalavimo, susijusio su bendra nuolatinių buveinių ir (arba) patronuojamųjų įmonių apyvarta, tinkamumas. Ataskaitoje taip pat įvertinamas šios direktyvos 10 straipsnyje nustatytų kriterijų tinkamumas, t. y. MVĮ, kurios turi daugiau kaip dvi patronuojamąsias įmones, neįtraukimas ir šios direktyvos 5 straipsnyje nustatytos laivybos veiklos neįtraukimo tinkamumas. Ataskaitoje taip pat įvertinama, ar ir kaip galima dar labiau supaprastinti šioje direktyvoje nustatytas procedūras, kad būtų sumažintos reikalavimų laikymosi išlaidos, ir ar galima pasimokyti iš šios direktyvos taikymo įmonių apmokestinimui apskritai.</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84</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19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2.</w:t>
            </w:r>
            <w:r w:rsidRPr="00344ED1">
              <w:tab/>
              <w:t xml:space="preserve">Valstybės narės pagal 3 dalį pateikia Komisijai direktyvos vertinimui svarbią informaciją, įskaitant suvestinius duomenis apie reikalavimus atitinkančių MVĮ skaičių, palyginti su MVĮ, kurios pasirinko taikyti pagrindinės buveinės apmokestinimo taisykles, skaičiumi, jų apyvartą ir reikalavimų laikymosi išlaidas, palyginti su apyvarta; duomenis apie MVĮ, kurios pradėjo veikti tarpvalstybiniu mastu įsteigdamos nuolatinę buveinę, skaičių ir MVĮ, kurios nebeatitiko reikalavimų dėl to, kad įsteigė </w:t>
            </w:r>
            <w:r w:rsidRPr="00344ED1">
              <w:rPr>
                <w:b/>
                <w:i/>
              </w:rPr>
              <w:t>patronuojamąją įmonę</w:t>
            </w:r>
            <w:r w:rsidRPr="00344ED1">
              <w:t>, skaičių arba MVĮ, kurios pasinaudojo galimybe taikyti pagrindinės buveinės apmokestinimo taisykles, reikalavimų laikymosi išlaidas.</w:t>
            </w:r>
          </w:p>
        </w:tc>
        <w:tc>
          <w:tcPr>
            <w:tcW w:w="4876" w:type="dxa"/>
          </w:tcPr>
          <w:p w:rsidR="001E13C1" w:rsidRPr="00344ED1" w:rsidRDefault="001E13C1" w:rsidP="00AF1FBD">
            <w:pPr>
              <w:pStyle w:val="Normal6a"/>
            </w:pPr>
            <w:r w:rsidRPr="00344ED1">
              <w:t>2.</w:t>
            </w:r>
            <w:r w:rsidRPr="00344ED1">
              <w:tab/>
              <w:t xml:space="preserve">Valstybės narės pagal 3 dalį pateikia Komisijai direktyvos vertinimui svarbią informaciją, įskaitant suvestinius duomenis apie reikalavimus atitinkančių MVĮ skaičių, palyginti su MVĮ, kurios pasirinko taikyti pagrindinės buveinės apmokestinimo taisykles, skaičiumi, jų apyvartą ir reikalavimų laikymosi išlaidas, palyginti su apyvarta; duomenis apie MVĮ, kurios pradėjo veikti tarpvalstybiniu mastu įsteigdamos nuolatinę buveinę, skaičių ir MVĮ, kurios nebeatitiko reikalavimų dėl to, kad įsteigė </w:t>
            </w:r>
            <w:r w:rsidRPr="00344ED1">
              <w:rPr>
                <w:b/>
                <w:i/>
              </w:rPr>
              <w:t>daugiau nei dvi patronuojamąsias įmones</w:t>
            </w:r>
            <w:r w:rsidRPr="00344ED1">
              <w:t>, skaičių arba MVĮ, kurios pasinaudojo galimybe taikyti pagrindinės buveinės apmokestinimo taisykles, reikalavimų laikymosi išlaidas.</w:t>
            </w:r>
          </w:p>
        </w:tc>
      </w:tr>
    </w:tbl>
    <w:p w:rsidR="001E13C1" w:rsidRPr="00344ED1" w:rsidRDefault="001E13C1" w:rsidP="001E13C1"/>
    <w:p w:rsidR="001E13C1" w:rsidRPr="00344ED1" w:rsidRDefault="001E13C1" w:rsidP="001E13C1">
      <w:pPr>
        <w:pStyle w:val="AmNumberTabs"/>
      </w:pPr>
      <w:r w:rsidRPr="00344ED1">
        <w:t>Pakeitimas</w:t>
      </w:r>
      <w:r w:rsidRPr="00344ED1">
        <w:tab/>
      </w:r>
      <w:r w:rsidRPr="00344ED1">
        <w:tab/>
        <w:t>85</w:t>
      </w:r>
    </w:p>
    <w:p w:rsidR="001E13C1" w:rsidRPr="00344ED1" w:rsidRDefault="001E13C1" w:rsidP="001E13C1">
      <w:pPr>
        <w:pStyle w:val="NormalBold12b"/>
      </w:pPr>
      <w:r w:rsidRPr="00344ED1">
        <w:t>Pasiūlymas dėl direktyvos</w:t>
      </w:r>
    </w:p>
    <w:p w:rsidR="001E13C1" w:rsidRPr="00344ED1" w:rsidRDefault="001E13C1" w:rsidP="001E13C1">
      <w:pPr>
        <w:pStyle w:val="NormalBold"/>
      </w:pPr>
      <w:r w:rsidRPr="00344ED1">
        <w:t>19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13C1" w:rsidRPr="00344ED1" w:rsidTr="00AF1FBD">
        <w:trPr>
          <w:trHeight w:hRule="exact" w:val="240"/>
          <w:jc w:val="center"/>
        </w:trPr>
        <w:tc>
          <w:tcPr>
            <w:tcW w:w="9752" w:type="dxa"/>
            <w:gridSpan w:val="2"/>
          </w:tcPr>
          <w:p w:rsidR="001E13C1" w:rsidRPr="00344ED1" w:rsidRDefault="001E13C1" w:rsidP="00AF1FBD"/>
        </w:tc>
      </w:tr>
      <w:tr w:rsidR="001E13C1" w:rsidRPr="00344ED1" w:rsidTr="00AF1FBD">
        <w:trPr>
          <w:trHeight w:val="240"/>
          <w:jc w:val="center"/>
        </w:trPr>
        <w:tc>
          <w:tcPr>
            <w:tcW w:w="4876" w:type="dxa"/>
          </w:tcPr>
          <w:p w:rsidR="001E13C1" w:rsidRPr="00344ED1" w:rsidRDefault="001E13C1" w:rsidP="00AF1FBD">
            <w:pPr>
              <w:pStyle w:val="AmColumnHeading"/>
            </w:pPr>
            <w:r w:rsidRPr="00344ED1">
              <w:t>Komisijos siūlomas tekstas</w:t>
            </w:r>
          </w:p>
        </w:tc>
        <w:tc>
          <w:tcPr>
            <w:tcW w:w="4876" w:type="dxa"/>
          </w:tcPr>
          <w:p w:rsidR="001E13C1" w:rsidRPr="00344ED1" w:rsidRDefault="001E13C1" w:rsidP="00AF1FBD">
            <w:pPr>
              <w:pStyle w:val="AmColumnHeading"/>
            </w:pPr>
            <w:r w:rsidRPr="00344ED1">
              <w:t>Pakeitimas</w:t>
            </w:r>
          </w:p>
        </w:tc>
      </w:tr>
      <w:tr w:rsidR="001E13C1" w:rsidRPr="00344ED1" w:rsidTr="00AF1FBD">
        <w:trPr>
          <w:jc w:val="center"/>
        </w:trPr>
        <w:tc>
          <w:tcPr>
            <w:tcW w:w="4876" w:type="dxa"/>
          </w:tcPr>
          <w:p w:rsidR="001E13C1" w:rsidRPr="00344ED1" w:rsidRDefault="001E13C1" w:rsidP="00AF1FBD">
            <w:pPr>
              <w:pStyle w:val="Normal6a"/>
            </w:pPr>
          </w:p>
        </w:tc>
        <w:tc>
          <w:tcPr>
            <w:tcW w:w="4876" w:type="dxa"/>
          </w:tcPr>
          <w:p w:rsidR="001E13C1" w:rsidRPr="00344ED1" w:rsidRDefault="001E13C1" w:rsidP="00AF1FBD">
            <w:pPr>
              <w:pStyle w:val="Normal6a"/>
            </w:pPr>
            <w:r w:rsidRPr="00344ED1">
              <w:rPr>
                <w:b/>
                <w:i/>
              </w:rPr>
              <w:t>2a.</w:t>
            </w:r>
            <w:r w:rsidRPr="00344ED1">
              <w:tab/>
            </w:r>
            <w:r w:rsidRPr="00344ED1">
              <w:rPr>
                <w:b/>
                <w:i/>
              </w:rPr>
              <w:t>Komisija įvertina galimas teisines kliūtis, trukdančias taikyti šią direktyvą, pavyzdžiui, tai, kad Sąjungoje nėra bendros ir suderintos nuolatinių buveinių ir patronuojamųjų įmonių apibrėžties, atsižvelgiant į tarptautinius standartus.</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86</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20 straipsnio 1 dalies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 xml:space="preserve">Valstybės narės ne vėliau kaip </w:t>
            </w:r>
            <w:r w:rsidRPr="00344ED1">
              <w:rPr>
                <w:b/>
                <w:i/>
              </w:rPr>
              <w:t>2025</w:t>
            </w:r>
            <w:r w:rsidRPr="00344ED1">
              <w:t> m. gruodžio 31 d. priima ir paskelbia nuostatas, būtinas, kad būtų laikomasi šios direktyvos. Apie tai jos nedelsdamos praneša Komisijai.</w:t>
            </w:r>
          </w:p>
        </w:tc>
        <w:tc>
          <w:tcPr>
            <w:tcW w:w="4876" w:type="dxa"/>
          </w:tcPr>
          <w:p w:rsidR="001E13C1" w:rsidRPr="00344ED1" w:rsidRDefault="001E13C1" w:rsidP="00AF1FBD">
            <w:pPr>
              <w:pStyle w:val="Normal6a"/>
              <w:rPr>
                <w:szCs w:val="24"/>
              </w:rPr>
            </w:pPr>
            <w:r w:rsidRPr="00344ED1">
              <w:t xml:space="preserve">Valstybės narės ne vėliau kaip </w:t>
            </w:r>
            <w:r w:rsidRPr="00344ED1">
              <w:rPr>
                <w:b/>
                <w:i/>
              </w:rPr>
              <w:t>2024</w:t>
            </w:r>
            <w:r w:rsidRPr="00344ED1">
              <w:t> m. gruodžio 31 d. priima ir paskelbia nuostatas, būtinas, kad būtų laikomasi šios direktyvos. Apie tai jos nedelsdamos praneša Komisijai.</w:t>
            </w:r>
          </w:p>
        </w:tc>
      </w:tr>
    </w:tbl>
    <w:p w:rsidR="001E13C1" w:rsidRPr="00344ED1" w:rsidRDefault="001E13C1" w:rsidP="001E13C1"/>
    <w:p w:rsidR="001E13C1" w:rsidRPr="00344ED1" w:rsidRDefault="001E13C1" w:rsidP="001E13C1">
      <w:pPr>
        <w:pStyle w:val="AmNumberTabs"/>
        <w:keepNext/>
      </w:pPr>
      <w:r w:rsidRPr="00344ED1">
        <w:t>Pakeitimas</w:t>
      </w:r>
      <w:r w:rsidRPr="00344ED1">
        <w:tab/>
      </w:r>
      <w:r w:rsidRPr="00344ED1">
        <w:tab/>
        <w:t>87</w:t>
      </w:r>
    </w:p>
    <w:p w:rsidR="001E13C1" w:rsidRPr="00344ED1" w:rsidRDefault="001E13C1" w:rsidP="001E13C1">
      <w:pPr>
        <w:pStyle w:val="NormalBold12b"/>
        <w:keepNext/>
      </w:pPr>
      <w:r w:rsidRPr="00344ED1">
        <w:t>Pasiūlymas dėl direktyvos</w:t>
      </w:r>
    </w:p>
    <w:p w:rsidR="001E13C1" w:rsidRPr="00344ED1" w:rsidRDefault="001E13C1" w:rsidP="001E13C1">
      <w:pPr>
        <w:pStyle w:val="NormalBold"/>
        <w:keepNext/>
      </w:pPr>
      <w:r w:rsidRPr="00344ED1">
        <w:t>20 straipsnio 1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13C1" w:rsidRPr="00344ED1" w:rsidTr="00AF1FBD">
        <w:trPr>
          <w:jc w:val="center"/>
        </w:trPr>
        <w:tc>
          <w:tcPr>
            <w:tcW w:w="9752" w:type="dxa"/>
            <w:gridSpan w:val="2"/>
          </w:tcPr>
          <w:p w:rsidR="001E13C1" w:rsidRPr="00344ED1" w:rsidRDefault="001E13C1" w:rsidP="00AF1FBD">
            <w:pPr>
              <w:keepNext/>
            </w:pPr>
          </w:p>
        </w:tc>
      </w:tr>
      <w:tr w:rsidR="001E13C1" w:rsidRPr="00344ED1" w:rsidTr="00AF1FBD">
        <w:trPr>
          <w:jc w:val="center"/>
        </w:trPr>
        <w:tc>
          <w:tcPr>
            <w:tcW w:w="4876" w:type="dxa"/>
          </w:tcPr>
          <w:p w:rsidR="001E13C1" w:rsidRPr="00344ED1" w:rsidRDefault="001E13C1" w:rsidP="00AF1FBD">
            <w:pPr>
              <w:pStyle w:val="AmColumnHeading"/>
              <w:keepNext/>
            </w:pPr>
            <w:r w:rsidRPr="00344ED1">
              <w:t>Komisijos siūlomas tekstas</w:t>
            </w:r>
          </w:p>
        </w:tc>
        <w:tc>
          <w:tcPr>
            <w:tcW w:w="4876" w:type="dxa"/>
          </w:tcPr>
          <w:p w:rsidR="001E13C1" w:rsidRPr="00344ED1" w:rsidRDefault="001E13C1" w:rsidP="00AF1FBD">
            <w:pPr>
              <w:pStyle w:val="AmColumnHeading"/>
              <w:keepNext/>
            </w:pPr>
            <w:r w:rsidRPr="00344ED1">
              <w:t>Pakeitimas</w:t>
            </w:r>
          </w:p>
        </w:tc>
      </w:tr>
      <w:tr w:rsidR="001E13C1" w:rsidRPr="00344ED1" w:rsidTr="00AF1FBD">
        <w:trPr>
          <w:jc w:val="center"/>
        </w:trPr>
        <w:tc>
          <w:tcPr>
            <w:tcW w:w="4876" w:type="dxa"/>
          </w:tcPr>
          <w:p w:rsidR="001E13C1" w:rsidRPr="00344ED1" w:rsidRDefault="001E13C1" w:rsidP="00AF1FBD">
            <w:pPr>
              <w:pStyle w:val="Normal6a"/>
            </w:pPr>
            <w:r w:rsidRPr="00344ED1">
              <w:t xml:space="preserve">Tas nuostatas jos taiko nuo </w:t>
            </w:r>
            <w:r w:rsidRPr="00344ED1">
              <w:rPr>
                <w:b/>
                <w:i/>
              </w:rPr>
              <w:t>2026 </w:t>
            </w:r>
            <w:r w:rsidRPr="00344ED1">
              <w:t>m. sausio 1 d.</w:t>
            </w:r>
          </w:p>
        </w:tc>
        <w:tc>
          <w:tcPr>
            <w:tcW w:w="4876" w:type="dxa"/>
          </w:tcPr>
          <w:p w:rsidR="001E13C1" w:rsidRPr="00344ED1" w:rsidRDefault="001E13C1" w:rsidP="00AF1FBD">
            <w:pPr>
              <w:pStyle w:val="Normal6a"/>
              <w:rPr>
                <w:szCs w:val="24"/>
              </w:rPr>
            </w:pPr>
            <w:r w:rsidRPr="00344ED1">
              <w:t xml:space="preserve">Tas nuostatas jos taiko nuo </w:t>
            </w:r>
            <w:r w:rsidRPr="00344ED1">
              <w:rPr>
                <w:b/>
                <w:i/>
              </w:rPr>
              <w:t xml:space="preserve">2025 </w:t>
            </w:r>
            <w:r w:rsidRPr="00344ED1">
              <w:t>m. sausio 1 d.</w:t>
            </w:r>
          </w:p>
        </w:tc>
      </w:tr>
    </w:tbl>
    <w:p w:rsidR="001E13C1" w:rsidRPr="00344ED1" w:rsidRDefault="001E13C1" w:rsidP="001E13C1"/>
    <w:p w:rsidR="00E365E1" w:rsidRPr="00344ED1" w:rsidRDefault="00E365E1" w:rsidP="0042636E">
      <w:bookmarkStart w:id="10" w:name="TextBodyEnd"/>
      <w:bookmarkEnd w:id="10"/>
    </w:p>
    <w:sectPr w:rsidR="00E365E1" w:rsidRPr="00344ED1" w:rsidSect="00344E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FBD" w:rsidRPr="00344ED1" w:rsidRDefault="00AF1FBD">
      <w:r w:rsidRPr="00344ED1">
        <w:separator/>
      </w:r>
    </w:p>
  </w:endnote>
  <w:endnote w:type="continuationSeparator" w:id="0">
    <w:p w:rsidR="00AF1FBD" w:rsidRPr="00344ED1" w:rsidRDefault="00AF1FBD">
      <w:r w:rsidRPr="00344E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FBD" w:rsidRPr="00344ED1" w:rsidRDefault="00AF1FBD">
      <w:r w:rsidRPr="00344ED1">
        <w:separator/>
      </w:r>
    </w:p>
  </w:footnote>
  <w:footnote w:type="continuationSeparator" w:id="0">
    <w:p w:rsidR="00AF1FBD" w:rsidRPr="00344ED1" w:rsidRDefault="00AF1FBD">
      <w:r w:rsidRPr="00344ED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7A1E7848">
      <w:start w:val="1"/>
      <w:numFmt w:val="decimal"/>
      <w:lvlText w:val="%1."/>
      <w:lvlJc w:val="left"/>
      <w:pPr>
        <w:ind w:left="720" w:hanging="360"/>
      </w:pPr>
      <w:rPr>
        <w:rFonts w:hint="default"/>
        <w:b w:val="0"/>
        <w:i w:val="0"/>
      </w:rPr>
    </w:lvl>
    <w:lvl w:ilvl="1" w:tplc="D822091C" w:tentative="1">
      <w:start w:val="1"/>
      <w:numFmt w:val="lowerLetter"/>
      <w:lvlText w:val="%2."/>
      <w:lvlJc w:val="left"/>
      <w:pPr>
        <w:ind w:left="1440" w:hanging="360"/>
      </w:pPr>
    </w:lvl>
    <w:lvl w:ilvl="2" w:tplc="B6E89184" w:tentative="1">
      <w:start w:val="1"/>
      <w:numFmt w:val="lowerRoman"/>
      <w:lvlText w:val="%3."/>
      <w:lvlJc w:val="right"/>
      <w:pPr>
        <w:ind w:left="2160" w:hanging="180"/>
      </w:pPr>
    </w:lvl>
    <w:lvl w:ilvl="3" w:tplc="09DA29FA" w:tentative="1">
      <w:start w:val="1"/>
      <w:numFmt w:val="decimal"/>
      <w:lvlText w:val="%4."/>
      <w:lvlJc w:val="left"/>
      <w:pPr>
        <w:ind w:left="2880" w:hanging="360"/>
      </w:pPr>
    </w:lvl>
    <w:lvl w:ilvl="4" w:tplc="BC549298" w:tentative="1">
      <w:start w:val="1"/>
      <w:numFmt w:val="lowerLetter"/>
      <w:lvlText w:val="%5."/>
      <w:lvlJc w:val="left"/>
      <w:pPr>
        <w:ind w:left="3600" w:hanging="360"/>
      </w:pPr>
    </w:lvl>
    <w:lvl w:ilvl="5" w:tplc="60CABC2A" w:tentative="1">
      <w:start w:val="1"/>
      <w:numFmt w:val="lowerRoman"/>
      <w:lvlText w:val="%6."/>
      <w:lvlJc w:val="right"/>
      <w:pPr>
        <w:ind w:left="4320" w:hanging="180"/>
      </w:pPr>
    </w:lvl>
    <w:lvl w:ilvl="6" w:tplc="20F2603E" w:tentative="1">
      <w:start w:val="1"/>
      <w:numFmt w:val="decimal"/>
      <w:lvlText w:val="%7."/>
      <w:lvlJc w:val="left"/>
      <w:pPr>
        <w:ind w:left="5040" w:hanging="360"/>
      </w:pPr>
    </w:lvl>
    <w:lvl w:ilvl="7" w:tplc="B5B67E92" w:tentative="1">
      <w:start w:val="1"/>
      <w:numFmt w:val="lowerLetter"/>
      <w:lvlText w:val="%8."/>
      <w:lvlJc w:val="left"/>
      <w:pPr>
        <w:ind w:left="5760" w:hanging="360"/>
      </w:pPr>
    </w:lvl>
    <w:lvl w:ilvl="8" w:tplc="0976536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LT"/>
    <w:docVar w:name="dvnumam" w:val="87"/>
    <w:docVar w:name="dvpe" w:val="755.999"/>
    <w:docVar w:name="dvrapporteur" w:val="Pranešėja: "/>
    <w:docVar w:name="dvstar" w:val="*"/>
    <w:docVar w:name="dvtitre" w:val="Europos Parlamento teisėkūros rezoliucija dėl pasiūlymo dėl Tarybos direktyvos, kuria nustatoma labai mažų, mažųjų ir vidutinių įmonių pagrindine buveine grindžiama mokesčių sistema ir iš dalies keičiama Direktyva 2011/16/ES(COM(2023)0528 – C9-0340/2023 – 2023/0320(CNS))"/>
  </w:docVars>
  <w:rsids>
    <w:rsidRoot w:val="0042636E"/>
    <w:rsid w:val="00002272"/>
    <w:rsid w:val="00064002"/>
    <w:rsid w:val="000677B9"/>
    <w:rsid w:val="000831BA"/>
    <w:rsid w:val="000A42CC"/>
    <w:rsid w:val="000E7DD9"/>
    <w:rsid w:val="0010095E"/>
    <w:rsid w:val="00125B37"/>
    <w:rsid w:val="00187494"/>
    <w:rsid w:val="001E13C1"/>
    <w:rsid w:val="001F32AE"/>
    <w:rsid w:val="002767FF"/>
    <w:rsid w:val="002B18FE"/>
    <w:rsid w:val="002B5493"/>
    <w:rsid w:val="00343214"/>
    <w:rsid w:val="00344ED1"/>
    <w:rsid w:val="00361C00"/>
    <w:rsid w:val="00395FA1"/>
    <w:rsid w:val="003E15D4"/>
    <w:rsid w:val="00411CCE"/>
    <w:rsid w:val="0041666E"/>
    <w:rsid w:val="00421060"/>
    <w:rsid w:val="0042636E"/>
    <w:rsid w:val="00471C19"/>
    <w:rsid w:val="004867E3"/>
    <w:rsid w:val="00494A28"/>
    <w:rsid w:val="004C0004"/>
    <w:rsid w:val="004C5D52"/>
    <w:rsid w:val="0050519A"/>
    <w:rsid w:val="005072A1"/>
    <w:rsid w:val="00514517"/>
    <w:rsid w:val="00545827"/>
    <w:rsid w:val="00560270"/>
    <w:rsid w:val="005C2568"/>
    <w:rsid w:val="00601BB0"/>
    <w:rsid w:val="006037C0"/>
    <w:rsid w:val="006631B6"/>
    <w:rsid w:val="00680577"/>
    <w:rsid w:val="006E20F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FB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73A"/>
    <w:rsid w:val="00EB4772"/>
    <w:rsid w:val="00ED169E"/>
    <w:rsid w:val="00ED4235"/>
    <w:rsid w:val="00F04346"/>
    <w:rsid w:val="00F075DC"/>
    <w:rsid w:val="00F149E9"/>
    <w:rsid w:val="00F5134D"/>
    <w:rsid w:val="00F74202"/>
    <w:rsid w:val="00F87713"/>
    <w:rsid w:val="00FB4360"/>
    <w:rsid w:val="00FD0C70"/>
    <w:rsid w:val="00FF4F9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9DE75"/>
  <w15:chartTrackingRefBased/>
  <w15:docId w15:val="{F3B1160D-978C-4DE6-BE43-12A6B1F75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13C1"/>
    <w:rPr>
      <w:b/>
      <w:kern w:val="28"/>
      <w:sz w:val="28"/>
      <w:lang w:val="fr-FR" w:eastAsia="fr-FR"/>
    </w:rPr>
  </w:style>
  <w:style w:type="character" w:customStyle="1" w:styleId="Heading2Char">
    <w:name w:val="Heading 2 Char"/>
    <w:basedOn w:val="DefaultParagraphFont"/>
    <w:link w:val="Heading2"/>
    <w:semiHidden/>
    <w:rsid w:val="001E13C1"/>
    <w:rPr>
      <w:sz w:val="24"/>
      <w:lang w:val="fr-FR" w:eastAsia="fr-FR"/>
    </w:rPr>
  </w:style>
  <w:style w:type="character" w:customStyle="1" w:styleId="Heading3Char">
    <w:name w:val="Heading 3 Char"/>
    <w:basedOn w:val="DefaultParagraphFont"/>
    <w:link w:val="Heading3"/>
    <w:semiHidden/>
    <w:rsid w:val="001E13C1"/>
    <w:rPr>
      <w:rFonts w:ascii="Arial" w:hAnsi="Arial"/>
      <w:sz w:val="24"/>
      <w:lang w:val="fr-FR" w:eastAsia="fr-FR"/>
    </w:rPr>
  </w:style>
  <w:style w:type="character" w:customStyle="1" w:styleId="Heading4Char">
    <w:name w:val="Heading 4 Char"/>
    <w:basedOn w:val="DefaultParagraphFont"/>
    <w:link w:val="Heading4"/>
    <w:semiHidden/>
    <w:rsid w:val="001E13C1"/>
    <w:rPr>
      <w:sz w:val="24"/>
      <w:lang w:val="en-US" w:eastAsia="fr-FR"/>
    </w:rPr>
  </w:style>
  <w:style w:type="character" w:customStyle="1" w:styleId="Heading5Char">
    <w:name w:val="Heading 5 Char"/>
    <w:basedOn w:val="DefaultParagraphFont"/>
    <w:link w:val="Heading5"/>
    <w:semiHidden/>
    <w:rsid w:val="001E13C1"/>
    <w:rPr>
      <w:sz w:val="24"/>
      <w:lang w:val="en-US" w:eastAsia="fr-FR"/>
    </w:rPr>
  </w:style>
  <w:style w:type="character" w:customStyle="1" w:styleId="Heading6Char">
    <w:name w:val="Heading 6 Char"/>
    <w:basedOn w:val="DefaultParagraphFont"/>
    <w:link w:val="Heading6"/>
    <w:semiHidden/>
    <w:rsid w:val="001E13C1"/>
    <w:rPr>
      <w:i/>
      <w:sz w:val="22"/>
      <w:lang w:val="lt-LT"/>
    </w:rPr>
  </w:style>
  <w:style w:type="character" w:customStyle="1" w:styleId="Heading7Char">
    <w:name w:val="Heading 7 Char"/>
    <w:basedOn w:val="DefaultParagraphFont"/>
    <w:link w:val="Heading7"/>
    <w:semiHidden/>
    <w:rsid w:val="001E13C1"/>
    <w:rPr>
      <w:rFonts w:ascii="Arial" w:hAnsi="Arial"/>
      <w:sz w:val="24"/>
      <w:lang w:val="lt-LT"/>
    </w:rPr>
  </w:style>
  <w:style w:type="character" w:customStyle="1" w:styleId="Heading8Char">
    <w:name w:val="Heading 8 Char"/>
    <w:basedOn w:val="DefaultParagraphFont"/>
    <w:link w:val="Heading8"/>
    <w:semiHidden/>
    <w:rsid w:val="001E13C1"/>
    <w:rPr>
      <w:rFonts w:ascii="Arial" w:hAnsi="Arial"/>
      <w:i/>
      <w:sz w:val="24"/>
      <w:lang w:val="lt-LT"/>
    </w:rPr>
  </w:style>
  <w:style w:type="character" w:customStyle="1" w:styleId="Heading9Char">
    <w:name w:val="Heading 9 Char"/>
    <w:basedOn w:val="DefaultParagraphFont"/>
    <w:link w:val="Heading9"/>
    <w:semiHidden/>
    <w:rsid w:val="001E13C1"/>
    <w:rPr>
      <w:rFonts w:ascii="Arial" w:hAnsi="Arial"/>
      <w:b/>
      <w:i/>
      <w:sz w:val="18"/>
      <w:lang w:val="lt-LT"/>
    </w:rPr>
  </w:style>
  <w:style w:type="paragraph" w:styleId="TOCHeading">
    <w:name w:val="TOC Heading"/>
    <w:basedOn w:val="Normal"/>
    <w:next w:val="Normal"/>
    <w:unhideWhenUsed/>
    <w:qFormat/>
    <w:rsid w:val="001E13C1"/>
    <w:pPr>
      <w:widowControl/>
      <w:spacing w:after="240"/>
    </w:pPr>
    <w:rPr>
      <w:lang w:val="en-GB"/>
    </w:rPr>
  </w:style>
  <w:style w:type="paragraph" w:customStyle="1" w:styleId="EPFooter2">
    <w:name w:val="EPFooter2"/>
    <w:basedOn w:val="Normal"/>
    <w:next w:val="Normal"/>
    <w:rsid w:val="001E13C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E13C1"/>
    <w:pPr>
      <w:spacing w:before="480" w:after="240"/>
    </w:pPr>
  </w:style>
  <w:style w:type="paragraph" w:customStyle="1" w:styleId="TOCPage">
    <w:name w:val="TOC Page"/>
    <w:basedOn w:val="Normal"/>
    <w:next w:val="TOC1"/>
    <w:rsid w:val="001E13C1"/>
    <w:pPr>
      <w:keepNext/>
      <w:spacing w:after="240"/>
      <w:jc w:val="right"/>
    </w:pPr>
    <w:rPr>
      <w:rFonts w:ascii="Arial" w:hAnsi="Arial"/>
      <w:b/>
    </w:rPr>
  </w:style>
  <w:style w:type="paragraph" w:customStyle="1" w:styleId="Normal6a">
    <w:name w:val="Normal6a"/>
    <w:basedOn w:val="Normal"/>
    <w:rsid w:val="001E13C1"/>
    <w:pPr>
      <w:spacing w:after="120"/>
    </w:pPr>
  </w:style>
  <w:style w:type="paragraph" w:customStyle="1" w:styleId="PageHeading">
    <w:name w:val="PageHeading"/>
    <w:basedOn w:val="Normal"/>
    <w:rsid w:val="001E13C1"/>
    <w:pPr>
      <w:keepNext/>
      <w:spacing w:after="480"/>
      <w:jc w:val="center"/>
    </w:pPr>
    <w:rPr>
      <w:rFonts w:ascii="Arial" w:hAnsi="Arial" w:cs="Arial"/>
      <w:b/>
    </w:rPr>
  </w:style>
  <w:style w:type="paragraph" w:customStyle="1" w:styleId="NormalBold">
    <w:name w:val="NormalBold"/>
    <w:basedOn w:val="Normal"/>
    <w:rsid w:val="001E13C1"/>
    <w:rPr>
      <w:b/>
    </w:rPr>
  </w:style>
  <w:style w:type="paragraph" w:customStyle="1" w:styleId="NormalBold12a">
    <w:name w:val="NormalBold12a"/>
    <w:basedOn w:val="Normal"/>
    <w:rsid w:val="001E13C1"/>
    <w:pPr>
      <w:spacing w:after="240"/>
    </w:pPr>
    <w:rPr>
      <w:b/>
    </w:rPr>
  </w:style>
  <w:style w:type="paragraph" w:customStyle="1" w:styleId="AmJustText">
    <w:name w:val="AmJustText"/>
    <w:basedOn w:val="Normal"/>
    <w:rsid w:val="001E13C1"/>
    <w:pPr>
      <w:spacing w:after="240"/>
    </w:pPr>
    <w:rPr>
      <w:i/>
    </w:rPr>
  </w:style>
  <w:style w:type="paragraph" w:customStyle="1" w:styleId="NormalHanging12a">
    <w:name w:val="NormalHanging12a"/>
    <w:basedOn w:val="Normal"/>
    <w:rsid w:val="001E13C1"/>
    <w:pPr>
      <w:spacing w:after="240"/>
      <w:ind w:left="567" w:hanging="567"/>
    </w:pPr>
  </w:style>
  <w:style w:type="paragraph" w:customStyle="1" w:styleId="CoverNormal24a">
    <w:name w:val="CoverNormal24a"/>
    <w:basedOn w:val="Normal"/>
    <w:rsid w:val="001E13C1"/>
    <w:pPr>
      <w:spacing w:after="480"/>
      <w:ind w:left="1417"/>
    </w:pPr>
  </w:style>
  <w:style w:type="paragraph" w:customStyle="1" w:styleId="CoverNormal">
    <w:name w:val="CoverNormal"/>
    <w:basedOn w:val="Normal"/>
    <w:rsid w:val="001E13C1"/>
    <w:pPr>
      <w:ind w:left="1418"/>
    </w:pPr>
  </w:style>
  <w:style w:type="paragraph" w:customStyle="1" w:styleId="AmCrossRef">
    <w:name w:val="AmCrossRef"/>
    <w:basedOn w:val="Normal"/>
    <w:rsid w:val="001E13C1"/>
    <w:pPr>
      <w:spacing w:before="240" w:after="240"/>
      <w:jc w:val="center"/>
    </w:pPr>
    <w:rPr>
      <w:i/>
    </w:rPr>
  </w:style>
  <w:style w:type="paragraph" w:customStyle="1" w:styleId="AmJustTitle">
    <w:name w:val="AmJustTitle"/>
    <w:basedOn w:val="Normal"/>
    <w:next w:val="AmJustText"/>
    <w:rsid w:val="001E13C1"/>
    <w:pPr>
      <w:keepNext/>
      <w:spacing w:before="240" w:after="240"/>
      <w:jc w:val="center"/>
    </w:pPr>
    <w:rPr>
      <w:i/>
    </w:rPr>
  </w:style>
  <w:style w:type="paragraph" w:customStyle="1" w:styleId="CoverReference">
    <w:name w:val="CoverReference"/>
    <w:basedOn w:val="Normal"/>
    <w:rsid w:val="001E13C1"/>
    <w:pPr>
      <w:spacing w:before="1080"/>
      <w:jc w:val="right"/>
    </w:pPr>
    <w:rPr>
      <w:rFonts w:ascii="Arial" w:hAnsi="Arial" w:cs="Arial"/>
      <w:b/>
    </w:rPr>
  </w:style>
  <w:style w:type="paragraph" w:customStyle="1" w:styleId="CoverDocType">
    <w:name w:val="CoverDocType"/>
    <w:basedOn w:val="Normal"/>
    <w:rsid w:val="001E13C1"/>
    <w:pPr>
      <w:ind w:left="1418"/>
    </w:pPr>
    <w:rPr>
      <w:rFonts w:ascii="Arial" w:hAnsi="Arial"/>
      <w:b/>
      <w:sz w:val="48"/>
    </w:rPr>
  </w:style>
  <w:style w:type="paragraph" w:customStyle="1" w:styleId="CoverDocType24a">
    <w:name w:val="CoverDocType24a"/>
    <w:basedOn w:val="Normal"/>
    <w:rsid w:val="001E13C1"/>
    <w:pPr>
      <w:spacing w:after="480"/>
      <w:ind w:left="1418"/>
    </w:pPr>
    <w:rPr>
      <w:rFonts w:ascii="Arial" w:hAnsi="Arial"/>
      <w:b/>
      <w:sz w:val="48"/>
    </w:rPr>
  </w:style>
  <w:style w:type="paragraph" w:customStyle="1" w:styleId="CoverDate">
    <w:name w:val="CoverDate"/>
    <w:basedOn w:val="Normal"/>
    <w:rsid w:val="001E13C1"/>
    <w:pPr>
      <w:spacing w:before="240" w:after="1200"/>
    </w:pPr>
  </w:style>
  <w:style w:type="paragraph" w:styleId="Header">
    <w:name w:val="header"/>
    <w:basedOn w:val="Normal"/>
    <w:link w:val="HeaderChar"/>
    <w:rsid w:val="001E13C1"/>
    <w:pPr>
      <w:tabs>
        <w:tab w:val="center" w:pos="4513"/>
        <w:tab w:val="right" w:pos="9026"/>
      </w:tabs>
    </w:pPr>
  </w:style>
  <w:style w:type="character" w:customStyle="1" w:styleId="HeaderChar">
    <w:name w:val="Header Char"/>
    <w:basedOn w:val="DefaultParagraphFont"/>
    <w:link w:val="Header"/>
    <w:rsid w:val="001E13C1"/>
    <w:rPr>
      <w:sz w:val="24"/>
      <w:lang w:val="lt-LT"/>
    </w:rPr>
  </w:style>
  <w:style w:type="paragraph" w:customStyle="1" w:styleId="AmOrLang">
    <w:name w:val="AmOrLang"/>
    <w:basedOn w:val="Normal"/>
    <w:rsid w:val="001E13C1"/>
    <w:pPr>
      <w:spacing w:before="240" w:after="240"/>
      <w:jc w:val="right"/>
    </w:pPr>
  </w:style>
  <w:style w:type="paragraph" w:customStyle="1" w:styleId="AmColumnHeading">
    <w:name w:val="AmColumnHeading"/>
    <w:basedOn w:val="Normal"/>
    <w:rsid w:val="001E13C1"/>
    <w:pPr>
      <w:spacing w:after="240"/>
      <w:jc w:val="center"/>
    </w:pPr>
    <w:rPr>
      <w:i/>
    </w:rPr>
  </w:style>
  <w:style w:type="paragraph" w:customStyle="1" w:styleId="AmNumberTabs">
    <w:name w:val="AmNumberTabs"/>
    <w:basedOn w:val="Normal"/>
    <w:link w:val="AmNumberTabsChar"/>
    <w:rsid w:val="001E13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E13C1"/>
    <w:pPr>
      <w:spacing w:before="240"/>
    </w:pPr>
    <w:rPr>
      <w:b/>
    </w:rPr>
  </w:style>
  <w:style w:type="paragraph" w:customStyle="1" w:styleId="EPBody">
    <w:name w:val="EPBody"/>
    <w:basedOn w:val="Normal"/>
    <w:rsid w:val="001E13C1"/>
    <w:pPr>
      <w:jc w:val="center"/>
    </w:pPr>
    <w:rPr>
      <w:rFonts w:ascii="Arial" w:hAnsi="Arial" w:cs="Arial"/>
      <w:i/>
      <w:sz w:val="22"/>
      <w:szCs w:val="22"/>
    </w:rPr>
  </w:style>
  <w:style w:type="paragraph" w:customStyle="1" w:styleId="EPFooter">
    <w:name w:val="EPFooter"/>
    <w:basedOn w:val="Normal"/>
    <w:rsid w:val="001E13C1"/>
    <w:pPr>
      <w:tabs>
        <w:tab w:val="center" w:pos="4535"/>
        <w:tab w:val="right" w:pos="9071"/>
      </w:tabs>
      <w:spacing w:before="240" w:after="240"/>
    </w:pPr>
    <w:rPr>
      <w:color w:val="010000"/>
      <w:sz w:val="22"/>
    </w:rPr>
  </w:style>
  <w:style w:type="paragraph" w:customStyle="1" w:styleId="Lgendesigne">
    <w:name w:val="Légende signe"/>
    <w:basedOn w:val="Normal"/>
    <w:rsid w:val="001E13C1"/>
    <w:pPr>
      <w:tabs>
        <w:tab w:val="right" w:pos="454"/>
        <w:tab w:val="left" w:pos="737"/>
      </w:tabs>
      <w:ind w:left="737" w:hanging="737"/>
    </w:pPr>
    <w:rPr>
      <w:snapToGrid w:val="0"/>
      <w:sz w:val="18"/>
      <w:lang w:eastAsia="en-US"/>
    </w:rPr>
  </w:style>
  <w:style w:type="paragraph" w:customStyle="1" w:styleId="Lgendetitre">
    <w:name w:val="Légende titre"/>
    <w:basedOn w:val="Normal"/>
    <w:rsid w:val="001E13C1"/>
    <w:pPr>
      <w:spacing w:before="240" w:after="240"/>
    </w:pPr>
    <w:rPr>
      <w:b/>
      <w:i/>
      <w:snapToGrid w:val="0"/>
      <w:lang w:eastAsia="en-US"/>
    </w:rPr>
  </w:style>
  <w:style w:type="paragraph" w:customStyle="1" w:styleId="Lgendestandard">
    <w:name w:val="Légende standard"/>
    <w:basedOn w:val="Normal"/>
    <w:rsid w:val="001E13C1"/>
    <w:rPr>
      <w:sz w:val="18"/>
    </w:rPr>
  </w:style>
  <w:style w:type="paragraph" w:styleId="Footer">
    <w:name w:val="footer"/>
    <w:basedOn w:val="Normal"/>
    <w:link w:val="FooterChar"/>
    <w:rsid w:val="001E13C1"/>
    <w:pPr>
      <w:tabs>
        <w:tab w:val="center" w:pos="4513"/>
        <w:tab w:val="right" w:pos="9026"/>
      </w:tabs>
    </w:pPr>
  </w:style>
  <w:style w:type="character" w:customStyle="1" w:styleId="FooterChar">
    <w:name w:val="Footer Char"/>
    <w:basedOn w:val="DefaultParagraphFont"/>
    <w:link w:val="Footer"/>
    <w:rsid w:val="001E13C1"/>
    <w:rPr>
      <w:sz w:val="24"/>
      <w:lang w:val="lt-LT"/>
    </w:rPr>
  </w:style>
  <w:style w:type="paragraph" w:styleId="BalloonText">
    <w:name w:val="Balloon Text"/>
    <w:basedOn w:val="Normal"/>
    <w:link w:val="BalloonTextChar"/>
    <w:unhideWhenUsed/>
    <w:rsid w:val="001E13C1"/>
    <w:rPr>
      <w:rFonts w:ascii="Segoe UI" w:hAnsi="Segoe UI" w:cs="Segoe UI"/>
      <w:sz w:val="18"/>
      <w:szCs w:val="18"/>
    </w:rPr>
  </w:style>
  <w:style w:type="character" w:customStyle="1" w:styleId="BalloonTextChar">
    <w:name w:val="Balloon Text Char"/>
    <w:basedOn w:val="DefaultParagraphFont"/>
    <w:link w:val="BalloonText"/>
    <w:rsid w:val="001E13C1"/>
    <w:rPr>
      <w:rFonts w:ascii="Segoe UI" w:hAnsi="Segoe UI" w:cs="Segoe UI"/>
      <w:sz w:val="18"/>
      <w:szCs w:val="18"/>
      <w:lang w:val="lt-LT"/>
    </w:rPr>
  </w:style>
  <w:style w:type="character" w:styleId="CommentReference">
    <w:name w:val="annotation reference"/>
    <w:basedOn w:val="DefaultParagraphFont"/>
    <w:rsid w:val="001E13C1"/>
    <w:rPr>
      <w:sz w:val="16"/>
      <w:szCs w:val="16"/>
    </w:rPr>
  </w:style>
  <w:style w:type="paragraph" w:styleId="CommentText">
    <w:name w:val="annotation text"/>
    <w:basedOn w:val="Normal"/>
    <w:link w:val="CommentTextChar"/>
    <w:rsid w:val="001E13C1"/>
    <w:rPr>
      <w:sz w:val="20"/>
    </w:rPr>
  </w:style>
  <w:style w:type="character" w:customStyle="1" w:styleId="CommentTextChar">
    <w:name w:val="Comment Text Char"/>
    <w:basedOn w:val="DefaultParagraphFont"/>
    <w:link w:val="CommentText"/>
    <w:rsid w:val="001E13C1"/>
    <w:rPr>
      <w:lang w:val="lt-LT"/>
    </w:rPr>
  </w:style>
  <w:style w:type="paragraph" w:styleId="CommentSubject">
    <w:name w:val="annotation subject"/>
    <w:basedOn w:val="CommentText"/>
    <w:next w:val="CommentText"/>
    <w:link w:val="CommentSubjectChar"/>
    <w:unhideWhenUsed/>
    <w:rsid w:val="001E13C1"/>
    <w:rPr>
      <w:b/>
      <w:bCs/>
    </w:rPr>
  </w:style>
  <w:style w:type="character" w:customStyle="1" w:styleId="CommentSubjectChar">
    <w:name w:val="Comment Subject Char"/>
    <w:basedOn w:val="CommentTextChar"/>
    <w:link w:val="CommentSubject"/>
    <w:rsid w:val="001E13C1"/>
    <w:rPr>
      <w:b/>
      <w:bCs/>
      <w:lang w:val="lt-LT"/>
    </w:rPr>
  </w:style>
  <w:style w:type="paragraph" w:customStyle="1" w:styleId="Normal24a">
    <w:name w:val="Normal24a"/>
    <w:basedOn w:val="Normal"/>
    <w:rsid w:val="001E13C1"/>
    <w:pPr>
      <w:spacing w:after="480"/>
    </w:pPr>
  </w:style>
  <w:style w:type="paragraph" w:customStyle="1" w:styleId="NormalBoldCenter">
    <w:name w:val="NormalBoldCenter"/>
    <w:basedOn w:val="Normal"/>
    <w:rsid w:val="001E13C1"/>
    <w:pPr>
      <w:jc w:val="center"/>
    </w:pPr>
    <w:rPr>
      <w:b/>
    </w:rPr>
  </w:style>
  <w:style w:type="character" w:customStyle="1" w:styleId="AmNumberTabsChar">
    <w:name w:val="AmNumberTabs Char"/>
    <w:basedOn w:val="DefaultParagraphFont"/>
    <w:link w:val="AmNumberTabs"/>
    <w:rsid w:val="001E13C1"/>
    <w:rPr>
      <w:b/>
      <w:sz w:val="24"/>
      <w:lang w:val="lt-LT"/>
    </w:rPr>
  </w:style>
  <w:style w:type="character" w:customStyle="1" w:styleId="NormalBold12bChar">
    <w:name w:val="NormalBold12b Char"/>
    <w:basedOn w:val="AmNumberTabsChar"/>
    <w:link w:val="NormalBold12b"/>
    <w:rsid w:val="001E13C1"/>
    <w:rPr>
      <w:b/>
      <w:sz w:val="24"/>
      <w:lang w:val="lt-LT"/>
    </w:rPr>
  </w:style>
  <w:style w:type="character" w:styleId="Hyperlink">
    <w:name w:val="Hyperlink"/>
    <w:basedOn w:val="DefaultParagraphFont"/>
    <w:rsid w:val="001E13C1"/>
    <w:rPr>
      <w:color w:val="0563C1" w:themeColor="hyperlink"/>
      <w:u w:val="single"/>
    </w:rPr>
  </w:style>
  <w:style w:type="paragraph" w:customStyle="1" w:styleId="ManualNumPar1">
    <w:name w:val="Manual NumPar 1"/>
    <w:basedOn w:val="Normal"/>
    <w:next w:val="Normal"/>
    <w:rsid w:val="001E13C1"/>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1E13C1"/>
    <w:pPr>
      <w:spacing w:after="240"/>
    </w:pPr>
  </w:style>
  <w:style w:type="paragraph" w:customStyle="1" w:styleId="RollCallVotes">
    <w:name w:val="RollCallVotes"/>
    <w:basedOn w:val="Normal"/>
    <w:rsid w:val="001E13C1"/>
    <w:pPr>
      <w:spacing w:before="120" w:after="120"/>
      <w:jc w:val="center"/>
    </w:pPr>
    <w:rPr>
      <w:b/>
      <w:bCs/>
      <w:snapToGrid w:val="0"/>
      <w:sz w:val="16"/>
      <w:lang w:eastAsia="en-US"/>
    </w:rPr>
  </w:style>
  <w:style w:type="paragraph" w:customStyle="1" w:styleId="RollCallTabs">
    <w:name w:val="RollCallTabs"/>
    <w:basedOn w:val="Normal"/>
    <w:qFormat/>
    <w:rsid w:val="001E13C1"/>
    <w:pPr>
      <w:tabs>
        <w:tab w:val="center" w:pos="284"/>
        <w:tab w:val="left" w:pos="426"/>
      </w:tabs>
    </w:pPr>
    <w:rPr>
      <w:snapToGrid w:val="0"/>
      <w:lang w:eastAsia="en-US"/>
    </w:rPr>
  </w:style>
  <w:style w:type="paragraph" w:customStyle="1" w:styleId="RollCallSymbols14pt">
    <w:name w:val="RollCallSymbols14pt"/>
    <w:basedOn w:val="Normal"/>
    <w:rsid w:val="001E13C1"/>
    <w:pPr>
      <w:spacing w:before="120" w:after="120"/>
      <w:jc w:val="center"/>
    </w:pPr>
    <w:rPr>
      <w:rFonts w:ascii="Arial" w:hAnsi="Arial"/>
      <w:b/>
      <w:bCs/>
      <w:snapToGrid w:val="0"/>
      <w:sz w:val="28"/>
      <w:lang w:eastAsia="en-US"/>
    </w:rPr>
  </w:style>
  <w:style w:type="paragraph" w:customStyle="1" w:styleId="RollCallTable">
    <w:name w:val="RollCallTable"/>
    <w:basedOn w:val="Normal"/>
    <w:rsid w:val="001E13C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B172C-CC6F-4F18-AE50-0072E5E43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10038</Words>
  <Characters>60231</Characters>
  <Application>Microsoft Office Word</Application>
  <DocSecurity>0</DocSecurity>
  <Lines>501</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2024-04-10T16:25:00Z</dcterms:created>
  <dcterms:modified xsi:type="dcterms:W3CDTF">2024-04-10T16:25:00Z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A9-0064/2024</vt:lpwstr>
  </property>
  <property fmtid="{D5CDD505-2E9C-101B-9397-08002B2CF9AE}" pid="4" name="&lt;Type&gt;">
    <vt:lpwstr>RR</vt:lpwstr>
  </property>
</Properties>
</file>