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5D6A" w:rsidTr="0010095E">
        <w:trPr>
          <w:trHeight w:hRule="exact" w:val="1418"/>
        </w:trPr>
        <w:tc>
          <w:tcPr>
            <w:tcW w:w="6804" w:type="dxa"/>
            <w:shd w:val="clear" w:color="auto" w:fill="auto"/>
            <w:vAlign w:val="center"/>
          </w:tcPr>
          <w:p w:rsidR="00751A4A" w:rsidRPr="00BE5D6A" w:rsidRDefault="00FE1EE4" w:rsidP="0010095E">
            <w:pPr>
              <w:pStyle w:val="EPName"/>
            </w:pPr>
            <w:r w:rsidRPr="00BE5D6A">
              <w:t>Parlament Europejski</w:t>
            </w:r>
          </w:p>
          <w:p w:rsidR="00751A4A" w:rsidRPr="00BE5D6A" w:rsidRDefault="00817416" w:rsidP="00756632">
            <w:pPr>
              <w:pStyle w:val="EPTerm"/>
              <w:rPr>
                <w:rStyle w:val="HideTWBExt"/>
                <w:noProof w:val="0"/>
                <w:vanish w:val="0"/>
                <w:color w:val="auto"/>
              </w:rPr>
            </w:pPr>
            <w:r w:rsidRPr="00BE5D6A">
              <w:t>2019-2024</w:t>
            </w:r>
          </w:p>
        </w:tc>
        <w:tc>
          <w:tcPr>
            <w:tcW w:w="2268" w:type="dxa"/>
            <w:shd w:val="clear" w:color="auto" w:fill="auto"/>
          </w:tcPr>
          <w:p w:rsidR="00751A4A" w:rsidRPr="00BE5D6A" w:rsidRDefault="00187494" w:rsidP="0010095E">
            <w:pPr>
              <w:pStyle w:val="EPLogo"/>
            </w:pPr>
            <w:r w:rsidRPr="00BE5D6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E5D6A" w:rsidRDefault="00D058B8" w:rsidP="004C5D52">
      <w:pPr>
        <w:pStyle w:val="LineTop"/>
      </w:pPr>
    </w:p>
    <w:p w:rsidR="00680577" w:rsidRPr="00BE5D6A" w:rsidRDefault="00FE1EE4" w:rsidP="00680577">
      <w:pPr>
        <w:pStyle w:val="EPBodyTA1"/>
      </w:pPr>
      <w:r w:rsidRPr="00BE5D6A">
        <w:t>TEKSTY PRZYJĘTE</w:t>
      </w:r>
    </w:p>
    <w:p w:rsidR="00D058B8" w:rsidRPr="00BE5D6A" w:rsidRDefault="00D058B8" w:rsidP="00D058B8">
      <w:pPr>
        <w:pStyle w:val="LineBottom"/>
      </w:pPr>
    </w:p>
    <w:p w:rsidR="00FE1EE4" w:rsidRPr="00BE5D6A" w:rsidRDefault="00FE1EE4" w:rsidP="00FE1EE4">
      <w:pPr>
        <w:pStyle w:val="ATHeading1"/>
      </w:pPr>
      <w:bookmarkStart w:id="0" w:name="TANumber"/>
      <w:r w:rsidRPr="00BE5D6A">
        <w:t>P9_TA(2024)0</w:t>
      </w:r>
      <w:bookmarkEnd w:id="0"/>
      <w:r w:rsidR="00A26F21">
        <w:t>218</w:t>
      </w:r>
    </w:p>
    <w:p w:rsidR="00FE1EE4" w:rsidRPr="00BE5D6A" w:rsidRDefault="005A4C0F" w:rsidP="005A4C0F">
      <w:pPr>
        <w:pStyle w:val="ATHeading2"/>
      </w:pPr>
      <w:r w:rsidRPr="005A4C0F">
        <w:t>Ustanowienie systemu opodatkowania według siedziby głównej dla mikroprzedsiębiorstw oraz małych i</w:t>
      </w:r>
      <w:r>
        <w:t xml:space="preserve"> </w:t>
      </w:r>
      <w:r w:rsidRPr="005A4C0F">
        <w:t>średnich przedsiębiorstw i zmiana dyrektywy 2011/16/UE</w:t>
      </w:r>
    </w:p>
    <w:p w:rsidR="00FE1EE4" w:rsidRPr="00BE5D6A" w:rsidRDefault="00FE1EE4" w:rsidP="00FE1EE4">
      <w:pPr>
        <w:rPr>
          <w:i/>
          <w:vanish/>
        </w:rPr>
      </w:pPr>
      <w:r w:rsidRPr="00BE5D6A">
        <w:rPr>
          <w:i/>
        </w:rPr>
        <w:fldChar w:fldCharType="begin"/>
      </w:r>
      <w:r w:rsidRPr="00BE5D6A">
        <w:rPr>
          <w:i/>
        </w:rPr>
        <w:instrText xml:space="preserve"> TC"(</w:instrText>
      </w:r>
      <w:bookmarkStart w:id="1" w:name="DocNumber"/>
      <w:r w:rsidRPr="00BE5D6A">
        <w:rPr>
          <w:i/>
        </w:rPr>
        <w:instrText>A9-0064/2024</w:instrText>
      </w:r>
      <w:bookmarkEnd w:id="1"/>
      <w:r w:rsidRPr="00BE5D6A">
        <w:rPr>
          <w:i/>
        </w:rPr>
        <w:instrText xml:space="preserve"> - Sprawozdawca: </w:instrText>
      </w:r>
      <w:proofErr w:type="spellStart"/>
      <w:r w:rsidRPr="00BE5D6A">
        <w:rPr>
          <w:i/>
        </w:rPr>
        <w:instrText>Lídia</w:instrText>
      </w:r>
      <w:proofErr w:type="spellEnd"/>
      <w:r w:rsidRPr="00BE5D6A">
        <w:rPr>
          <w:i/>
        </w:rPr>
        <w:instrText xml:space="preserve"> Pereira</w:instrText>
      </w:r>
      <w:proofErr w:type="gramStart"/>
      <w:r w:rsidRPr="00BE5D6A">
        <w:rPr>
          <w:i/>
        </w:rPr>
        <w:instrText>)"\l</w:instrText>
      </w:r>
      <w:proofErr w:type="gramEnd"/>
      <w:r w:rsidRPr="00BE5D6A">
        <w:rPr>
          <w:i/>
        </w:rPr>
        <w:instrText xml:space="preserve">3 \n&gt; \* MERGEFORMAT </w:instrText>
      </w:r>
      <w:r w:rsidRPr="00BE5D6A">
        <w:rPr>
          <w:i/>
        </w:rPr>
        <w:fldChar w:fldCharType="end"/>
      </w:r>
    </w:p>
    <w:p w:rsidR="00FE1EE4" w:rsidRPr="00BE5D6A" w:rsidRDefault="00FE1EE4" w:rsidP="00FE1EE4">
      <w:pPr>
        <w:rPr>
          <w:vanish/>
        </w:rPr>
      </w:pPr>
      <w:bookmarkStart w:id="2" w:name="Commission"/>
      <w:r w:rsidRPr="00BE5D6A">
        <w:rPr>
          <w:vanish/>
        </w:rPr>
        <w:t>Komisja Gospodarcza i Monetarna</w:t>
      </w:r>
      <w:bookmarkEnd w:id="2"/>
    </w:p>
    <w:p w:rsidR="00FE1EE4" w:rsidRPr="00BE5D6A" w:rsidRDefault="00FE1EE4" w:rsidP="00FE1EE4">
      <w:pPr>
        <w:rPr>
          <w:vanish/>
        </w:rPr>
      </w:pPr>
      <w:bookmarkStart w:id="3" w:name="PE"/>
      <w:r w:rsidRPr="00BE5D6A">
        <w:rPr>
          <w:vanish/>
        </w:rPr>
        <w:t>PE755.999</w:t>
      </w:r>
      <w:bookmarkEnd w:id="3"/>
    </w:p>
    <w:p w:rsidR="00FE1EE4" w:rsidRPr="00BE5D6A" w:rsidRDefault="00FE1EE4" w:rsidP="00FE1EE4">
      <w:pPr>
        <w:pStyle w:val="ATHeading3"/>
      </w:pPr>
      <w:bookmarkStart w:id="4" w:name="Sujet"/>
      <w:r w:rsidRPr="00BE5D6A">
        <w:t xml:space="preserve">Rezolucja ustawodawcza Parlamentu Europejskiego z dnia </w:t>
      </w:r>
      <w:r w:rsidR="005A4C0F">
        <w:t>10 kwietnia</w:t>
      </w:r>
      <w:r w:rsidRPr="00BE5D6A">
        <w:t xml:space="preserve"> 2024 r. w sprawie wniosku dotyczącego dyrektywy Rady ustanawiającej system opodatkowania według siedziby głównej dla mikroprzedsiębiorstw oraz małych i średnich przedsiębiorstw i zmieniającej dyrektywę 2011/16/UE</w:t>
      </w:r>
      <w:bookmarkEnd w:id="4"/>
      <w:r w:rsidRPr="00BE5D6A">
        <w:t xml:space="preserve"> </w:t>
      </w:r>
      <w:bookmarkStart w:id="5" w:name="References"/>
      <w:r w:rsidRPr="00BE5D6A">
        <w:t>(COM</w:t>
      </w:r>
      <w:proofErr w:type="gramStart"/>
      <w:r w:rsidRPr="00BE5D6A">
        <w:t>(2023)0528 – C</w:t>
      </w:r>
      <w:proofErr w:type="gramEnd"/>
      <w:r w:rsidRPr="00BE5D6A">
        <w:t>9-0340/2023 – 2023/0320(CNS))</w:t>
      </w:r>
      <w:bookmarkEnd w:id="5"/>
    </w:p>
    <w:p w:rsidR="00FE1EE4" w:rsidRPr="00BE5D6A" w:rsidRDefault="00FE1EE4" w:rsidP="00FE1EE4"/>
    <w:p w:rsidR="0093375B" w:rsidRPr="00BE5D6A" w:rsidRDefault="0093375B" w:rsidP="0093375B">
      <w:pPr>
        <w:pStyle w:val="NormalBold"/>
      </w:pPr>
      <w:bookmarkStart w:id="6" w:name="TextBodyBegin"/>
      <w:bookmarkEnd w:id="6"/>
      <w:r w:rsidRPr="00BE5D6A">
        <w:t>(Specjalna procedura ustawodawcza – konsultacja)</w:t>
      </w:r>
    </w:p>
    <w:p w:rsidR="0093375B" w:rsidRPr="00BE5D6A" w:rsidRDefault="0093375B" w:rsidP="0093375B">
      <w:pPr>
        <w:pStyle w:val="EPComma"/>
      </w:pPr>
      <w:r w:rsidRPr="00BE5D6A">
        <w:rPr>
          <w:i/>
        </w:rPr>
        <w:t>Parlament Europejski</w:t>
      </w:r>
      <w:r w:rsidRPr="00BE5D6A">
        <w:t>,</w:t>
      </w:r>
    </w:p>
    <w:p w:rsidR="0093375B" w:rsidRPr="00BE5D6A" w:rsidRDefault="0093375B" w:rsidP="0093375B">
      <w:pPr>
        <w:pStyle w:val="NormalHanging12a"/>
      </w:pPr>
      <w:r w:rsidRPr="00BE5D6A">
        <w:t>–</w:t>
      </w:r>
      <w:r w:rsidRPr="00BE5D6A">
        <w:tab/>
        <w:t>uwzględniając wniosek Komisji przedstawiony Radzie (COM(2023)0528),</w:t>
      </w:r>
    </w:p>
    <w:p w:rsidR="0093375B" w:rsidRPr="00BE5D6A" w:rsidRDefault="0093375B" w:rsidP="0093375B">
      <w:pPr>
        <w:pStyle w:val="NormalHanging12a"/>
      </w:pPr>
      <w:r w:rsidRPr="00BE5D6A">
        <w:t>–</w:t>
      </w:r>
      <w:r w:rsidRPr="00BE5D6A">
        <w:tab/>
        <w:t>uwzględniając art. 115 Traktatu o funkcjonowaniu Unii Europejskiej, na mocy którego Rada skonsultowała się z Parlamentem (C9</w:t>
      </w:r>
      <w:r w:rsidRPr="00BE5D6A">
        <w:noBreakHyphen/>
        <w:t>0340/2023),</w:t>
      </w:r>
    </w:p>
    <w:p w:rsidR="0093375B" w:rsidRPr="00BE5D6A" w:rsidRDefault="0093375B" w:rsidP="0093375B">
      <w:pPr>
        <w:pStyle w:val="NormalHanging12a"/>
      </w:pPr>
      <w:r w:rsidRPr="00BE5D6A">
        <w:t>–</w:t>
      </w:r>
      <w:r w:rsidRPr="00BE5D6A">
        <w:tab/>
        <w:t>uwzględniając uzasadnioną opinię przedstawioną – na mocy protokołu nr 2 w sprawie stosowania zasad pomocniczości i proporcjonalności – przez szwedzki Riksdag, w której stwierdzono, że projekt aktu ustawodawczego nie jest zgodny z zasadą pomocniczości,</w:t>
      </w:r>
    </w:p>
    <w:p w:rsidR="0093375B" w:rsidRPr="00BE5D6A" w:rsidRDefault="0093375B" w:rsidP="0093375B">
      <w:pPr>
        <w:pStyle w:val="NormalHanging12a"/>
      </w:pPr>
      <w:r w:rsidRPr="00BE5D6A">
        <w:t>–</w:t>
      </w:r>
      <w:r w:rsidRPr="00BE5D6A">
        <w:tab/>
        <w:t>uwzględniając art. 82 Regulaminu,</w:t>
      </w:r>
    </w:p>
    <w:p w:rsidR="0093375B" w:rsidRPr="00BE5D6A" w:rsidRDefault="0093375B" w:rsidP="0093375B">
      <w:pPr>
        <w:pStyle w:val="NormalHanging12a"/>
      </w:pPr>
      <w:r w:rsidRPr="00BE5D6A">
        <w:t>–</w:t>
      </w:r>
      <w:r w:rsidRPr="00BE5D6A">
        <w:tab/>
        <w:t>uwzględniając sprawozdanie Komisji Gospodarczej i Monetarnej (A9-0064/2024),</w:t>
      </w:r>
    </w:p>
    <w:p w:rsidR="0093375B" w:rsidRPr="00BE5D6A" w:rsidRDefault="0093375B" w:rsidP="0093375B">
      <w:pPr>
        <w:pStyle w:val="NormalHanging12a"/>
      </w:pPr>
      <w:r w:rsidRPr="00BE5D6A">
        <w:t>1.</w:t>
      </w:r>
      <w:r w:rsidRPr="00BE5D6A">
        <w:tab/>
      </w:r>
      <w:proofErr w:type="gramStart"/>
      <w:r w:rsidRPr="00BE5D6A">
        <w:t>zatwierdza</w:t>
      </w:r>
      <w:proofErr w:type="gramEnd"/>
      <w:r w:rsidRPr="00BE5D6A">
        <w:t xml:space="preserve"> po poprawkach wniosek Komisji;</w:t>
      </w:r>
    </w:p>
    <w:p w:rsidR="0093375B" w:rsidRPr="00BE5D6A" w:rsidRDefault="0093375B" w:rsidP="0093375B">
      <w:pPr>
        <w:pStyle w:val="NormalHanging12a"/>
      </w:pPr>
      <w:r w:rsidRPr="00BE5D6A">
        <w:t>2.</w:t>
      </w:r>
      <w:r w:rsidRPr="00BE5D6A">
        <w:tab/>
      </w:r>
      <w:proofErr w:type="gramStart"/>
      <w:r w:rsidRPr="00BE5D6A">
        <w:t>zwraca</w:t>
      </w:r>
      <w:proofErr w:type="gramEnd"/>
      <w:r w:rsidRPr="00BE5D6A">
        <w:t xml:space="preserve"> się do Komisji o odpowiednią zmianę jej wniosku, zgodnie z art. 293 ust. 2 Traktatu o funkcjonowaniu Unii Europejskiej;</w:t>
      </w:r>
    </w:p>
    <w:p w:rsidR="0093375B" w:rsidRPr="00BE5D6A" w:rsidRDefault="0093375B" w:rsidP="0093375B">
      <w:pPr>
        <w:pStyle w:val="NormalHanging12a"/>
      </w:pPr>
      <w:r w:rsidRPr="00BE5D6A">
        <w:t>3.</w:t>
      </w:r>
      <w:r w:rsidRPr="00BE5D6A">
        <w:tab/>
      </w:r>
      <w:proofErr w:type="gramStart"/>
      <w:r w:rsidRPr="00BE5D6A">
        <w:t>zwraca</w:t>
      </w:r>
      <w:proofErr w:type="gramEnd"/>
      <w:r w:rsidRPr="00BE5D6A">
        <w:t xml:space="preserve"> się do Rady o poinformowanie go, jeśli uzna ona za stosowne odejście od tekstu przyjętego przez Parlament;</w:t>
      </w:r>
    </w:p>
    <w:p w:rsidR="0093375B" w:rsidRPr="00BE5D6A" w:rsidRDefault="0093375B" w:rsidP="0093375B">
      <w:pPr>
        <w:pStyle w:val="NormalHanging12a"/>
      </w:pPr>
      <w:r w:rsidRPr="00BE5D6A">
        <w:lastRenderedPageBreak/>
        <w:t>4.</w:t>
      </w:r>
      <w:r w:rsidRPr="00BE5D6A">
        <w:tab/>
      </w:r>
      <w:proofErr w:type="gramStart"/>
      <w:r w:rsidRPr="00BE5D6A">
        <w:t>zwraca</w:t>
      </w:r>
      <w:proofErr w:type="gramEnd"/>
      <w:r w:rsidRPr="00BE5D6A">
        <w:t xml:space="preserve"> się do Rady o ponowne skonsultowanie się z Parlamentem, jeśli uzna ona za stosowne wprowadzenie znaczących zmian do wniosku Komisji;</w:t>
      </w:r>
    </w:p>
    <w:p w:rsidR="0093375B" w:rsidRPr="00BE5D6A" w:rsidRDefault="0093375B" w:rsidP="0093375B">
      <w:pPr>
        <w:pStyle w:val="NormalHanging12a"/>
      </w:pPr>
      <w:r w:rsidRPr="00BE5D6A">
        <w:t>5.</w:t>
      </w:r>
      <w:r w:rsidRPr="00BE5D6A">
        <w:tab/>
      </w:r>
      <w:proofErr w:type="gramStart"/>
      <w:r w:rsidRPr="00BE5D6A">
        <w:t>zobowiązuje</w:t>
      </w:r>
      <w:proofErr w:type="gramEnd"/>
      <w:r w:rsidRPr="00BE5D6A">
        <w:t xml:space="preserve"> swoją przewodniczącą do przekazania stanowiska Parlamentu Radzie i Komisji, a także parlamentom narodowym.</w:t>
      </w:r>
    </w:p>
    <w:p w:rsidR="0093375B" w:rsidRPr="00BE5D6A" w:rsidRDefault="0093375B" w:rsidP="0093375B"/>
    <w:p w:rsidR="0093375B" w:rsidRPr="00BE5D6A" w:rsidRDefault="0093375B" w:rsidP="0093375B">
      <w:pPr>
        <w:pStyle w:val="AmNumberTabs"/>
        <w:keepNext/>
      </w:pPr>
      <w:r w:rsidRPr="00BE5D6A">
        <w:t>Poprawka</w:t>
      </w:r>
      <w:r w:rsidRPr="00BE5D6A">
        <w:tab/>
      </w:r>
      <w:r w:rsidRPr="00BE5D6A">
        <w:tab/>
        <w:t>1</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Motyw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proofErr w:type="gramStart"/>
            <w:r w:rsidRPr="00BE5D6A">
              <w:t>(1)</w:t>
            </w:r>
            <w:r w:rsidRPr="00BE5D6A">
              <w:tab/>
              <w:t>W</w:t>
            </w:r>
            <w:proofErr w:type="gramEnd"/>
            <w:r w:rsidRPr="00BE5D6A">
              <w:t xml:space="preserve"> Unii nie ma obecnie wspólnego podejścia do obliczania podstawy opodatkowania przedsiębiorstw. Przedsiębiorstwa </w:t>
            </w:r>
            <w:r w:rsidRPr="00BE5D6A">
              <w:rPr>
                <w:b/>
                <w:i/>
              </w:rPr>
              <w:t>w UE</w:t>
            </w:r>
            <w:r w:rsidRPr="00BE5D6A">
              <w:t xml:space="preserve"> są zatem zobowiązane do przestrzegania przepisów różnych systemów opodatkowania osób prawnych, w</w:t>
            </w:r>
            <w:r w:rsidRPr="00BE5D6A">
              <w:rPr>
                <w:b/>
                <w:i/>
              </w:rPr>
              <w:t> </w:t>
            </w:r>
            <w:r w:rsidRPr="00BE5D6A">
              <w:t>zależności od państwa członkowskiego, w</w:t>
            </w:r>
            <w:r w:rsidRPr="00BE5D6A">
              <w:rPr>
                <w:b/>
                <w:i/>
              </w:rPr>
              <w:t> </w:t>
            </w:r>
            <w:r w:rsidRPr="00BE5D6A">
              <w:t>którym prowadzą działalność.</w:t>
            </w:r>
          </w:p>
        </w:tc>
        <w:tc>
          <w:tcPr>
            <w:tcW w:w="4876" w:type="dxa"/>
          </w:tcPr>
          <w:p w:rsidR="0093375B" w:rsidRPr="00BE5D6A" w:rsidRDefault="0093375B" w:rsidP="005A4C0F">
            <w:pPr>
              <w:pStyle w:val="Normal6a"/>
              <w:rPr>
                <w:szCs w:val="24"/>
              </w:rPr>
            </w:pPr>
            <w:proofErr w:type="gramStart"/>
            <w:r w:rsidRPr="00BE5D6A">
              <w:t>(1)</w:t>
            </w:r>
            <w:r w:rsidRPr="00BE5D6A">
              <w:tab/>
              <w:t>W</w:t>
            </w:r>
            <w:proofErr w:type="gramEnd"/>
            <w:r w:rsidRPr="00BE5D6A">
              <w:t xml:space="preserve"> Unii nie ma obecnie wspólnego podejścia do obliczania podstawy opodatkowania przedsiębiorstw</w:t>
            </w:r>
            <w:r w:rsidRPr="00BE5D6A">
              <w:rPr>
                <w:b/>
                <w:i/>
              </w:rPr>
              <w:t xml:space="preserve"> prowadzących działalność transgraniczną</w:t>
            </w:r>
            <w:r w:rsidRPr="00BE5D6A">
              <w:t xml:space="preserve">. Przedsiębiorstwa </w:t>
            </w:r>
            <w:r w:rsidRPr="00BE5D6A">
              <w:rPr>
                <w:b/>
                <w:i/>
              </w:rPr>
              <w:t>unijne</w:t>
            </w:r>
            <w:r w:rsidRPr="00BE5D6A">
              <w:t xml:space="preserve"> są zatem zobowiązane do przestrzegania przepisów różnych systemów opodatkowania osób prawnych, w</w:t>
            </w:r>
            <w:r w:rsidRPr="00BE5D6A">
              <w:rPr>
                <w:b/>
                <w:i/>
              </w:rPr>
              <w:t xml:space="preserve"> </w:t>
            </w:r>
            <w:r w:rsidRPr="00BE5D6A">
              <w:t>zależności od państwa członkowskiego, w</w:t>
            </w:r>
            <w:r w:rsidRPr="00BE5D6A">
              <w:rPr>
                <w:b/>
                <w:i/>
              </w:rPr>
              <w:t xml:space="preserve"> </w:t>
            </w:r>
            <w:r w:rsidRPr="00BE5D6A">
              <w:t>którym prowadzą działalność</w:t>
            </w:r>
            <w:r w:rsidRPr="00BE5D6A">
              <w:rPr>
                <w:b/>
                <w:i/>
              </w:rPr>
              <w:t>, co stanowi przeszkodę dla małych i średnich przedsiębiorstw (MŚP) w dostępie do rynku wewnętrznego.</w:t>
            </w:r>
            <w:r w:rsidRPr="00BE5D6A">
              <w:t xml:space="preserve"> </w:t>
            </w:r>
            <w:r w:rsidRPr="00BE5D6A">
              <w:rPr>
                <w:b/>
                <w:i/>
              </w:rPr>
              <w:t>Unijne przedsiębiorstwa, w szczególności MŚP, ponoszą znaczne koszty dostosowywania się do przepisów podatkowych, ponieważ nie rozwiązano dotąd problemu obliczania ich podstawy opodatkowania.</w:t>
            </w:r>
          </w:p>
        </w:tc>
      </w:tr>
    </w:tbl>
    <w:p w:rsidR="0093375B" w:rsidRPr="00BE5D6A" w:rsidRDefault="0093375B" w:rsidP="0093375B"/>
    <w:p w:rsidR="0093375B" w:rsidRPr="00BE5D6A" w:rsidRDefault="0093375B" w:rsidP="0093375B">
      <w:pPr>
        <w:pStyle w:val="AmNumberTabs"/>
        <w:keepNext/>
      </w:pPr>
      <w:r w:rsidRPr="00BE5D6A">
        <w:t>Poprawka</w:t>
      </w:r>
      <w:r w:rsidRPr="00BE5D6A">
        <w:tab/>
      </w:r>
      <w:r w:rsidRPr="00BE5D6A">
        <w:tab/>
        <w:t>2</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Motyw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proofErr w:type="gramStart"/>
            <w:r w:rsidRPr="00BE5D6A">
              <w:t>(2)</w:t>
            </w:r>
            <w:r w:rsidRPr="00BE5D6A">
              <w:tab/>
              <w:t>Współistnienie</w:t>
            </w:r>
            <w:proofErr w:type="gramEnd"/>
            <w:r w:rsidRPr="00BE5D6A">
              <w:t xml:space="preserve"> i</w:t>
            </w:r>
            <w:r w:rsidRPr="00BE5D6A">
              <w:rPr>
                <w:b/>
                <w:i/>
              </w:rPr>
              <w:t> </w:t>
            </w:r>
            <w:r w:rsidRPr="00BE5D6A">
              <w:t>interakcje 27 różnych systemów podatku dochodowego od osób prawnych w</w:t>
            </w:r>
            <w:r w:rsidRPr="00BE5D6A">
              <w:rPr>
                <w:b/>
                <w:i/>
              </w:rPr>
              <w:t> </w:t>
            </w:r>
            <w:r w:rsidRPr="00BE5D6A">
              <w:t>Unii powoduje, że przestrzeganie przepisów podatkowych jest skomplikowane i</w:t>
            </w:r>
            <w:r w:rsidRPr="00BE5D6A">
              <w:rPr>
                <w:b/>
                <w:i/>
              </w:rPr>
              <w:t> </w:t>
            </w:r>
            <w:r w:rsidRPr="00BE5D6A">
              <w:t xml:space="preserve">prowadzi do nierównych warunków działania dla przedsiębiorstw. Taki stan rzeczy ma </w:t>
            </w:r>
            <w:r w:rsidRPr="00BE5D6A">
              <w:rPr>
                <w:b/>
                <w:i/>
              </w:rPr>
              <w:t>większy</w:t>
            </w:r>
            <w:r w:rsidRPr="00BE5D6A">
              <w:t xml:space="preserve"> wpływ na MŚP </w:t>
            </w:r>
            <w:r w:rsidRPr="00BE5D6A">
              <w:rPr>
                <w:b/>
                <w:i/>
              </w:rPr>
              <w:t>niż na większych podatników i </w:t>
            </w:r>
            <w:r w:rsidRPr="00BE5D6A">
              <w:t xml:space="preserve">stał się bardziej wyraźny, ponieważ </w:t>
            </w:r>
            <w:r w:rsidRPr="00BE5D6A">
              <w:lastRenderedPageBreak/>
              <w:t>globalizacja i</w:t>
            </w:r>
            <w:r w:rsidRPr="00BE5D6A">
              <w:rPr>
                <w:b/>
                <w:i/>
              </w:rPr>
              <w:t> </w:t>
            </w:r>
            <w:r w:rsidRPr="00BE5D6A">
              <w:t>cyfryzacja gospodarki znacznie zmieniły postrzeganie granic i</w:t>
            </w:r>
            <w:r w:rsidRPr="00BE5D6A">
              <w:rPr>
                <w:b/>
                <w:i/>
              </w:rPr>
              <w:t> </w:t>
            </w:r>
            <w:r w:rsidRPr="00BE5D6A">
              <w:t>modeli biznesowych</w:t>
            </w:r>
            <w:r w:rsidRPr="00BE5D6A">
              <w:rPr>
                <w:b/>
                <w:i/>
              </w:rPr>
              <w:t>.</w:t>
            </w:r>
            <w:r w:rsidRPr="00BE5D6A">
              <w:t xml:space="preserve"> </w:t>
            </w:r>
            <w:r w:rsidRPr="00BE5D6A">
              <w:rPr>
                <w:b/>
                <w:i/>
              </w:rPr>
              <w:t>Podejmowane przez rządy próby dostosowania się do tej nowej rzeczywistości doprowadziły do fragmentarycznej reakcji państw członkowskich, co spowodowało dalsze zakłócenia na rynku wewnętrznym.</w:t>
            </w:r>
            <w:r w:rsidRPr="00BE5D6A">
              <w:t xml:space="preserve"> Ponadto różne ramy prawne prowadzą</w:t>
            </w:r>
            <w:r w:rsidRPr="00BE5D6A">
              <w:rPr>
                <w:b/>
                <w:i/>
              </w:rPr>
              <w:t xml:space="preserve"> nieuchronnie</w:t>
            </w:r>
            <w:r w:rsidRPr="00BE5D6A">
              <w:t xml:space="preserve"> do różnych praktyk administracji podatkowej w poszczególnych państwach członkowskich. Wiąże się to często z</w:t>
            </w:r>
            <w:r w:rsidRPr="00BE5D6A">
              <w:rPr>
                <w:b/>
                <w:i/>
              </w:rPr>
              <w:t> </w:t>
            </w:r>
            <w:r w:rsidRPr="00BE5D6A">
              <w:t>długotrwałymi procedurami charakteryzującymi się nieprzewidywalnością i</w:t>
            </w:r>
            <w:r w:rsidRPr="00BE5D6A">
              <w:rPr>
                <w:b/>
                <w:i/>
              </w:rPr>
              <w:t> </w:t>
            </w:r>
            <w:r w:rsidRPr="00BE5D6A">
              <w:t>niespójnością oraz wysokimi kosztami przestrzegania przepisów.</w:t>
            </w:r>
          </w:p>
        </w:tc>
        <w:tc>
          <w:tcPr>
            <w:tcW w:w="4876" w:type="dxa"/>
          </w:tcPr>
          <w:p w:rsidR="0093375B" w:rsidRPr="00BE5D6A" w:rsidRDefault="0093375B" w:rsidP="005A4C0F">
            <w:pPr>
              <w:pStyle w:val="Normal6a"/>
              <w:rPr>
                <w:szCs w:val="24"/>
              </w:rPr>
            </w:pPr>
            <w:proofErr w:type="gramStart"/>
            <w:r w:rsidRPr="00BE5D6A">
              <w:lastRenderedPageBreak/>
              <w:t>(2)</w:t>
            </w:r>
            <w:r w:rsidRPr="00BE5D6A">
              <w:tab/>
              <w:t>Współistnienie</w:t>
            </w:r>
            <w:proofErr w:type="gramEnd"/>
            <w:r w:rsidRPr="00BE5D6A">
              <w:t xml:space="preserve"> i</w:t>
            </w:r>
            <w:r w:rsidRPr="00BE5D6A">
              <w:rPr>
                <w:b/>
                <w:i/>
              </w:rPr>
              <w:t xml:space="preserve"> </w:t>
            </w:r>
            <w:r w:rsidRPr="00BE5D6A">
              <w:t>interakcje 27 różnych systemów podatku dochodowego od osób prawnych w</w:t>
            </w:r>
            <w:r w:rsidRPr="00BE5D6A">
              <w:rPr>
                <w:b/>
                <w:i/>
              </w:rPr>
              <w:t xml:space="preserve"> </w:t>
            </w:r>
            <w:r w:rsidRPr="00BE5D6A">
              <w:t>Unii powoduje, że przestrzeganie przepisów podatkowych jest skomplikowane i</w:t>
            </w:r>
            <w:r w:rsidRPr="00BE5D6A">
              <w:rPr>
                <w:b/>
                <w:i/>
              </w:rPr>
              <w:t xml:space="preserve"> </w:t>
            </w:r>
            <w:r w:rsidRPr="00BE5D6A">
              <w:t>prowadzi do nierównych warunków działania dla przedsiębiorstw</w:t>
            </w:r>
            <w:r w:rsidRPr="00BE5D6A">
              <w:rPr>
                <w:b/>
                <w:i/>
              </w:rPr>
              <w:t xml:space="preserve">, które to warunki mogą negatywnie wpływać na inwestycje transgraniczne, utrudniając rozwój rynku wewnętrznego </w:t>
            </w:r>
            <w:r w:rsidRPr="00BE5D6A">
              <w:rPr>
                <w:b/>
                <w:i/>
              </w:rPr>
              <w:lastRenderedPageBreak/>
              <w:t>w porównaniu z państwami trzecimi</w:t>
            </w:r>
            <w:r w:rsidRPr="00BE5D6A">
              <w:t xml:space="preserve">. Taki stan rzeczy ma </w:t>
            </w:r>
            <w:r w:rsidRPr="00BE5D6A">
              <w:rPr>
                <w:b/>
                <w:i/>
              </w:rPr>
              <w:t>znaczny</w:t>
            </w:r>
            <w:r w:rsidRPr="00BE5D6A">
              <w:t xml:space="preserve"> wpływ na MŚP </w:t>
            </w:r>
            <w:r w:rsidRPr="00BE5D6A">
              <w:rPr>
                <w:b/>
                <w:i/>
              </w:rPr>
              <w:t xml:space="preserve">i </w:t>
            </w:r>
            <w:r w:rsidRPr="00BE5D6A">
              <w:t>stał się bardziej wyraźny, ponieważ globalizacja i</w:t>
            </w:r>
            <w:r w:rsidRPr="00BE5D6A">
              <w:rPr>
                <w:b/>
                <w:i/>
              </w:rPr>
              <w:t xml:space="preserve"> </w:t>
            </w:r>
            <w:r w:rsidRPr="00BE5D6A">
              <w:t>cyfryzacja gospodarki znacznie zmieniły postrzeganie granic i</w:t>
            </w:r>
            <w:r w:rsidRPr="00BE5D6A">
              <w:rPr>
                <w:b/>
                <w:i/>
              </w:rPr>
              <w:t xml:space="preserve"> </w:t>
            </w:r>
            <w:r w:rsidRPr="00BE5D6A">
              <w:t>modeli biznesowych</w:t>
            </w:r>
            <w:r w:rsidRPr="00BE5D6A">
              <w:rPr>
                <w:b/>
                <w:i/>
              </w:rPr>
              <w:t>, w szczególności w związku z ciągłym rozwojem rynku wewnętrznego</w:t>
            </w:r>
            <w:r w:rsidRPr="00BE5D6A">
              <w:t xml:space="preserve">, co </w:t>
            </w:r>
            <w:r w:rsidRPr="00BE5D6A">
              <w:rPr>
                <w:b/>
                <w:i/>
              </w:rPr>
              <w:t>wymaga wprowadzenia dalszych środków</w:t>
            </w:r>
            <w:r w:rsidRPr="00BE5D6A">
              <w:t>. Ponadto różne ramy prawne prowadzą do różnych praktyk administracji podatkowej w poszczególnych państwach członkowskich. Wiąże się to często z</w:t>
            </w:r>
            <w:r w:rsidRPr="00BE5D6A">
              <w:rPr>
                <w:b/>
                <w:i/>
              </w:rPr>
              <w:t xml:space="preserve"> </w:t>
            </w:r>
            <w:r w:rsidRPr="00BE5D6A">
              <w:t>długotrwałymi procedurami charakteryzującymi się nieprzewidywalnością i</w:t>
            </w:r>
            <w:r w:rsidRPr="00BE5D6A">
              <w:rPr>
                <w:b/>
                <w:i/>
              </w:rPr>
              <w:t xml:space="preserve"> </w:t>
            </w:r>
            <w:r w:rsidRPr="00BE5D6A">
              <w:t>niespójnością oraz wysokimi kosztami przestrzegania przepisów</w:t>
            </w:r>
            <w:r w:rsidRPr="00BE5D6A">
              <w:rPr>
                <w:b/>
                <w:i/>
              </w:rPr>
              <w:t>, które mają poważny wpływ na MŚP, zniechęcając je do inwestowania w więcej niż jednym państwie członkowskim.</w:t>
            </w:r>
            <w:r w:rsidRPr="00BE5D6A">
              <w:t xml:space="preserve"> </w:t>
            </w:r>
            <w:r w:rsidRPr="00BE5D6A">
              <w:rPr>
                <w:b/>
                <w:i/>
              </w:rPr>
              <w:t>Wzajemne zaufanie i dobra wiara ze strony państw członkowskich są niezbędne, aby zapewnić współpracę przy podejmowaniu decyzji dotyczących podatków oraz ukończyć, usprawnić i rozwijać rynek wewnętrzny.</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3</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Motyw 2 a (nowy)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
        </w:tc>
        <w:tc>
          <w:tcPr>
            <w:tcW w:w="4876" w:type="dxa"/>
          </w:tcPr>
          <w:p w:rsidR="0093375B" w:rsidRPr="00BE5D6A" w:rsidRDefault="0093375B" w:rsidP="005A4C0F">
            <w:pPr>
              <w:pStyle w:val="Normal6a"/>
            </w:pPr>
            <w:r w:rsidRPr="00BE5D6A">
              <w:rPr>
                <w:b/>
                <w:i/>
              </w:rPr>
              <w:t>(2a</w:t>
            </w:r>
            <w:proofErr w:type="gramStart"/>
            <w:r w:rsidRPr="00BE5D6A">
              <w:rPr>
                <w:b/>
                <w:i/>
              </w:rPr>
              <w:t>)</w:t>
            </w:r>
            <w:r w:rsidRPr="00BE5D6A">
              <w:tab/>
            </w:r>
            <w:r w:rsidRPr="00BE5D6A">
              <w:rPr>
                <w:b/>
                <w:i/>
              </w:rPr>
              <w:t>24 mln</w:t>
            </w:r>
            <w:proofErr w:type="gramEnd"/>
            <w:r w:rsidRPr="00BE5D6A">
              <w:rPr>
                <w:b/>
                <w:i/>
              </w:rPr>
              <w:t xml:space="preserve"> MŚP z siedzibą w Unii zapewniają dwie trzecie miejsc pracy w sektorze prywatnym i stanowią 99 % wszystkich przedsiębiorstw w Unii, są zatem trzonem gospodarki unijnej.</w:t>
            </w:r>
            <w:r w:rsidRPr="00BE5D6A">
              <w:t xml:space="preserve"> </w:t>
            </w:r>
            <w:r w:rsidRPr="00BE5D6A">
              <w:rPr>
                <w:b/>
                <w:i/>
              </w:rPr>
              <w:t>W związku z tym należy wspierać mikroprzedsiębiorstwa i MŚP, aby promować tworzenie miejsc pracy, pobudzać wzrost gospodarczy, sprzyjać uczciwej i przejrzystej konkurencji, wspierać konkurencyjność i przyciągać inwestycje.</w:t>
            </w:r>
            <w:r w:rsidRPr="00BE5D6A">
              <w:t xml:space="preserve"> </w:t>
            </w:r>
            <w:r w:rsidRPr="00BE5D6A">
              <w:rPr>
                <w:b/>
                <w:i/>
              </w:rPr>
              <w:t>Jednak głównym wyzwaniem dla unijnych MŚP pozostają przeszkody regulacyjne lub obciążenia administracyjne.</w:t>
            </w:r>
            <w:r w:rsidRPr="00BE5D6A">
              <w:t xml:space="preserve"> </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4</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Motyw 2 b (nowy)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
        </w:tc>
        <w:tc>
          <w:tcPr>
            <w:tcW w:w="4876" w:type="dxa"/>
          </w:tcPr>
          <w:p w:rsidR="0093375B" w:rsidRPr="00BE5D6A" w:rsidRDefault="0093375B" w:rsidP="005A4C0F">
            <w:pPr>
              <w:pStyle w:val="Normal6a"/>
            </w:pPr>
            <w:r w:rsidRPr="00BE5D6A">
              <w:rPr>
                <w:b/>
                <w:i/>
              </w:rPr>
              <w:t>(2b</w:t>
            </w:r>
            <w:proofErr w:type="gramStart"/>
            <w:r w:rsidRPr="00BE5D6A">
              <w:rPr>
                <w:b/>
                <w:i/>
              </w:rPr>
              <w:t>)</w:t>
            </w:r>
            <w:r w:rsidRPr="00BE5D6A">
              <w:tab/>
              <w:t xml:space="preserve"> </w:t>
            </w:r>
            <w:r w:rsidRPr="00BE5D6A">
              <w:rPr>
                <w:b/>
                <w:i/>
              </w:rPr>
              <w:t>MŚP</w:t>
            </w:r>
            <w:proofErr w:type="gramEnd"/>
            <w:r w:rsidRPr="00BE5D6A">
              <w:rPr>
                <w:b/>
                <w:i/>
              </w:rPr>
              <w:t xml:space="preserve"> wydają około 2,5 % wartości swoich obrotów na koszty przestrzegania przepisów związane z obowiązkami podatkowymi. Szczególnie poważna jest sytuacja bardzo małych przedsiębiorstw, ponieważ przypada na </w:t>
            </w:r>
            <w:proofErr w:type="gramStart"/>
            <w:r w:rsidRPr="00BE5D6A">
              <w:rPr>
                <w:b/>
                <w:i/>
              </w:rPr>
              <w:t>nie 90 % szacowanych</w:t>
            </w:r>
            <w:proofErr w:type="gramEnd"/>
            <w:r w:rsidRPr="00BE5D6A">
              <w:rPr>
                <w:b/>
                <w:i/>
              </w:rPr>
              <w:t xml:space="preserve"> na 54 mld EUR rocznych kosztów przestrzegania przepisów przez unijne przedsiębiorstwa, związanych z podatkami dochodowymi od osób prawnych. Obliczenie wyników podlegających opodatkowaniu na podstawie przepisów państwa członkowskiego, w którym siedziba główna (siedziba MŚP) jest rezydentem do celów podatkowych, powinno znacznie obniżyć koszty przestrzegania przepisów podatkowych i uwolnić zasoby finansowe, aby umożliwić MŚP dokonywanie inwestycji.</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5</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Motyw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roofErr w:type="gramStart"/>
            <w:r w:rsidRPr="00BE5D6A">
              <w:t>(3)</w:t>
            </w:r>
            <w:r w:rsidRPr="00BE5D6A">
              <w:tab/>
              <w:t>Różnorodność</w:t>
            </w:r>
            <w:proofErr w:type="gramEnd"/>
            <w:r w:rsidRPr="00BE5D6A">
              <w:t xml:space="preserve"> sposobów prowadzenia działalności gospodarczej na rynku wewnętrznym wymaga różnych rozwiązań dla różnych rodzajów przedsiębiorstw, jeśli chodzi o stawianie czoła obecnym wyzwaniom, jakie wiążą się z ich działalnością transgraniczną. Mniejszym przedsiębiorstwom</w:t>
            </w:r>
            <w:r w:rsidRPr="00BE5D6A">
              <w:rPr>
                <w:b/>
                <w:i/>
              </w:rPr>
              <w:t>, które nie należą do grupy przedsiębiorstw,</w:t>
            </w:r>
            <w:r w:rsidRPr="00BE5D6A">
              <w:t xml:space="preserve"> trudniej jest rozszerzać działalność w wymiarze transgranicznym niż dużym przedsiębiorstwom. Zmaganie się ze skomplikowanymi procedurami i wysokimi </w:t>
            </w:r>
            <w:r w:rsidRPr="00BE5D6A">
              <w:lastRenderedPageBreak/>
              <w:t>kosztami przestrzegania przepisów jest więc dla tych mniejszych przedsiębiorstw bardziej uciążliwe. Oczywiste jest zatem, że mikroprzedsiębiorstwa oraz małe i średnie przedsiębiorstwa – gdy prowadzą działalność transgraniczną wyłącznie za pośrednictwem stałych zakładów – potrzebują, na początkowych etapach ekspansji, takich rozwiązań jak uproszczony mechanizm obliczania swojego wyniku podlegającego opodatkowaniu.</w:t>
            </w:r>
          </w:p>
        </w:tc>
        <w:tc>
          <w:tcPr>
            <w:tcW w:w="4876" w:type="dxa"/>
          </w:tcPr>
          <w:p w:rsidR="0093375B" w:rsidRPr="00BE5D6A" w:rsidRDefault="0093375B" w:rsidP="005A4C0F">
            <w:pPr>
              <w:pStyle w:val="Normal6a"/>
            </w:pPr>
            <w:proofErr w:type="gramStart"/>
            <w:r w:rsidRPr="00BE5D6A">
              <w:lastRenderedPageBreak/>
              <w:t>(3)</w:t>
            </w:r>
            <w:r w:rsidRPr="00BE5D6A">
              <w:tab/>
              <w:t>Różnorodność</w:t>
            </w:r>
            <w:proofErr w:type="gramEnd"/>
            <w:r w:rsidRPr="00BE5D6A">
              <w:t xml:space="preserve"> sposobów prowadzenia działalności gospodarczej na rynku wewnętrznym wymaga różnych rozwiązań dla różnych rodzajów przedsiębiorstw, jeśli chodzi o stawianie czoła obecnym wyzwaniom, jakie wiążą się z ich działalnością transgraniczną. Mniejszym przedsiębiorstwom trudniej jest rozszerzać działalność w wymiarze transgranicznym niż dużym przedsiębiorstwom. Zmaganie się ze skomplikowanymi procedurami i wysokimi kosztami przestrzegania przepisów jest </w:t>
            </w:r>
            <w:r w:rsidRPr="00BE5D6A">
              <w:lastRenderedPageBreak/>
              <w:t>więc dla tych mniejszych przedsiębiorstw bardziej uciążliwe</w:t>
            </w:r>
            <w:r w:rsidRPr="00BE5D6A">
              <w:rPr>
                <w:b/>
                <w:i/>
              </w:rPr>
              <w:t>, a ponadto muszą radzić sobie z niepewnością wynikającą z inwestowania własnych aktywów na nieznanym rynku</w:t>
            </w:r>
            <w:r w:rsidRPr="00BE5D6A">
              <w:t xml:space="preserve">. Oczywiste jest zatem, że mikroprzedsiębiorstwa oraz małe i średnie przedsiębiorstwa – gdy prowadzą działalność transgraniczną wyłącznie za pośrednictwem stałych zakładów </w:t>
            </w:r>
            <w:r w:rsidRPr="00BE5D6A">
              <w:rPr>
                <w:b/>
                <w:i/>
              </w:rPr>
              <w:t xml:space="preserve">lub maksymalnie dwóch jednostek zależnych </w:t>
            </w:r>
            <w:r w:rsidRPr="00BE5D6A">
              <w:t xml:space="preserve">– potrzebują, na początkowych etapach ekspansji, takich rozwiązań jak uproszczony mechanizm obliczania swojego wyniku podlegającego opodatkowaniu. </w:t>
            </w:r>
            <w:r w:rsidRPr="00BE5D6A">
              <w:rPr>
                <w:b/>
                <w:i/>
              </w:rPr>
              <w:t>Przejrzystość jest konieczna do sprawnego funkcjonowania rynku wewnętrznego.</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6</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Motyw 3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
        </w:tc>
        <w:tc>
          <w:tcPr>
            <w:tcW w:w="4876" w:type="dxa"/>
          </w:tcPr>
          <w:p w:rsidR="0093375B" w:rsidRPr="00BE5D6A" w:rsidRDefault="0093375B" w:rsidP="005A4C0F">
            <w:pPr>
              <w:pStyle w:val="Normal6a"/>
            </w:pPr>
            <w:r w:rsidRPr="00BE5D6A">
              <w:rPr>
                <w:b/>
                <w:i/>
              </w:rPr>
              <w:t>(3a</w:t>
            </w:r>
            <w:proofErr w:type="gramStart"/>
            <w:r w:rsidRPr="00BE5D6A">
              <w:rPr>
                <w:b/>
                <w:i/>
              </w:rPr>
              <w:t>)</w:t>
            </w:r>
            <w:r w:rsidRPr="00BE5D6A">
              <w:tab/>
            </w:r>
            <w:r w:rsidRPr="00BE5D6A">
              <w:rPr>
                <w:b/>
                <w:i/>
              </w:rPr>
              <w:t>Zwalczanie</w:t>
            </w:r>
            <w:proofErr w:type="gramEnd"/>
            <w:r w:rsidRPr="00BE5D6A">
              <w:rPr>
                <w:b/>
                <w:i/>
              </w:rPr>
              <w:t xml:space="preserve"> oszustw, uchylania się od opodatkowania i unikania opodatkowania to nadrzędne priorytety polityczne, ponieważ praktyki agresywnego planowania podatkowego są niedopuszczalne z punktu widzenia integralności rynku wewnętrznego i sprawiedliwości społecznej.</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7</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Motyw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roofErr w:type="gramStart"/>
            <w:r w:rsidRPr="00BE5D6A">
              <w:t>(4)</w:t>
            </w:r>
            <w:r w:rsidRPr="00BE5D6A">
              <w:tab/>
              <w:t>Aby</w:t>
            </w:r>
            <w:proofErr w:type="gramEnd"/>
            <w:r w:rsidRPr="00BE5D6A">
              <w:t xml:space="preserve"> zaradzić niepewności podatkowej i trudnościom w przestrzeganiu przepisów nieznanego systemu podatkowego przy prowadzeniu działalności w innym państwie członkowskim lub innych państwach członkowskich (co jest jednym </w:t>
            </w:r>
            <w:r w:rsidRPr="00BE5D6A">
              <w:lastRenderedPageBreak/>
              <w:t>z kluczowych czynników utrudniających MŚP ekspansję na zagranicę), podlegający opodatkowaniu wynik stałych zakładów powinien być obliczany na podstawie przepisów państwa członkowskiego, w którym siedziba główna MŚP jest rezydentem do celów podatkowych. Oznacza to także, że w dalszym ciągu zastosowanie miałyby również zasady regulujące przypisywanie dochodu stałemu zakładowi, określone w mającej zastosowanie dwustronnej umowie o unikaniu podwójnego opodatkowania między państwem członkowskim stałego zakładu a państwem członkowskim siedziby głównej. Aby zagwarantować, że wszelkie nowe przepisy będą dla MŚP stanowiły uproszczenie, ich stosowanie powinno być fakultatywne, tj. pozostawione do decyzji podatnika.</w:t>
            </w:r>
          </w:p>
        </w:tc>
        <w:tc>
          <w:tcPr>
            <w:tcW w:w="4876" w:type="dxa"/>
          </w:tcPr>
          <w:p w:rsidR="0093375B" w:rsidRPr="00BE5D6A" w:rsidRDefault="0093375B" w:rsidP="005A4C0F">
            <w:pPr>
              <w:pStyle w:val="Normal6a"/>
            </w:pPr>
            <w:proofErr w:type="gramStart"/>
            <w:r w:rsidRPr="00BE5D6A">
              <w:lastRenderedPageBreak/>
              <w:t>(4)</w:t>
            </w:r>
            <w:r w:rsidRPr="00BE5D6A">
              <w:tab/>
              <w:t>Aby</w:t>
            </w:r>
            <w:proofErr w:type="gramEnd"/>
            <w:r w:rsidRPr="00BE5D6A">
              <w:t xml:space="preserve"> zaradzić niepewności podatkowej i trudnościom w przestrzeganiu przepisów nieznanego systemu podatkowego przy prowadzeniu działalności w innym państwie członkowskim lub innych państwach członkowskich (co jest jednym </w:t>
            </w:r>
            <w:r w:rsidRPr="00BE5D6A">
              <w:lastRenderedPageBreak/>
              <w:t xml:space="preserve">z kluczowych czynników utrudniających MŚP ekspansję na zagranicę), podlegający opodatkowaniu wynik stałych zakładów </w:t>
            </w:r>
            <w:r w:rsidRPr="00BE5D6A">
              <w:rPr>
                <w:b/>
                <w:i/>
              </w:rPr>
              <w:t xml:space="preserve">lub jednostek zależnych </w:t>
            </w:r>
            <w:r w:rsidRPr="00BE5D6A">
              <w:t>powinien być obliczany na podstawie przepisów państwa członkowskiego, w którym siedziba główna MŚP jest rezydentem do celów podatkowych. Oznacza to także, że w dalszym ciągu zastosowanie miałyby również zasady regulujące przypisywanie dochodu stałemu zakładowi</w:t>
            </w:r>
            <w:r w:rsidRPr="00BE5D6A">
              <w:rPr>
                <w:b/>
                <w:i/>
              </w:rPr>
              <w:t xml:space="preserve"> lub jednostce zależnej</w:t>
            </w:r>
            <w:r w:rsidRPr="00BE5D6A">
              <w:t xml:space="preserve">, określone w mającej zastosowanie dwustronnej umowie o unikaniu podwójnego opodatkowania między państwem członkowskim stałego zakładu </w:t>
            </w:r>
            <w:r w:rsidRPr="00BE5D6A">
              <w:rPr>
                <w:b/>
                <w:i/>
              </w:rPr>
              <w:t xml:space="preserve">lub jednostki zależnej </w:t>
            </w:r>
            <w:r w:rsidRPr="00BE5D6A">
              <w:t>a państwem członkowskim siedziby głównej. Aby zagwarantować, że wszelkie nowe przepisy będą dla MŚP stanowiły uproszczenie, ich stosowanie powinno być fakultatywne, tj. pozostawione do decyzji podatnika</w:t>
            </w:r>
            <w:r w:rsidRPr="00BE5D6A">
              <w:rPr>
                <w:b/>
                <w:i/>
              </w:rPr>
              <w:t>, a ponadto należy zapewnić wystarczającą swobodę ich stosowania i dostosowania się do nowych zasad</w:t>
            </w:r>
            <w:r w:rsidRPr="00BE5D6A">
              <w:t xml:space="preserve">. </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8</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Motyw 4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
        </w:tc>
        <w:tc>
          <w:tcPr>
            <w:tcW w:w="4876" w:type="dxa"/>
          </w:tcPr>
          <w:p w:rsidR="0093375B" w:rsidRPr="00BE5D6A" w:rsidRDefault="0093375B" w:rsidP="005A4C0F">
            <w:pPr>
              <w:pStyle w:val="Normal6a"/>
            </w:pPr>
            <w:r w:rsidRPr="00BE5D6A">
              <w:rPr>
                <w:b/>
                <w:i/>
              </w:rPr>
              <w:t>(4a</w:t>
            </w:r>
            <w:proofErr w:type="gramStart"/>
            <w:r w:rsidRPr="00BE5D6A">
              <w:rPr>
                <w:b/>
                <w:i/>
              </w:rPr>
              <w:t>)</w:t>
            </w:r>
            <w:r w:rsidRPr="00BE5D6A">
              <w:tab/>
            </w:r>
            <w:r w:rsidRPr="00BE5D6A">
              <w:rPr>
                <w:b/>
                <w:i/>
              </w:rPr>
              <w:t>Równość</w:t>
            </w:r>
            <w:proofErr w:type="gramEnd"/>
            <w:r w:rsidRPr="00BE5D6A">
              <w:rPr>
                <w:b/>
                <w:i/>
              </w:rPr>
              <w:t xml:space="preserve"> wszystkich podatników, w szczególności wszystkich przedsiębiorstw, wobec zobowiązań podatkowych jest warunkiem koniecznym istnienia rynku wewnętrznego.</w:t>
            </w:r>
            <w:r w:rsidRPr="00BE5D6A">
              <w:t xml:space="preserve"> </w:t>
            </w:r>
            <w:r w:rsidRPr="00BE5D6A">
              <w:rPr>
                <w:b/>
                <w:i/>
              </w:rPr>
              <w:t>Skoordynowane podejście do stosowania tej zasady przez krajowe systemy podatkowe ma zasadnicze znaczenie dla prawidłowego funkcjonowania rynku wewnętrznego, i pomogłoby zapobiegać uchylaniu się od opodatkowania i przenoszeniu zysków.</w:t>
            </w:r>
          </w:p>
        </w:tc>
      </w:tr>
    </w:tbl>
    <w:p w:rsidR="0093375B" w:rsidRPr="00BE5D6A" w:rsidRDefault="0093375B" w:rsidP="0093375B"/>
    <w:p w:rsidR="0093375B" w:rsidRPr="00BE5D6A" w:rsidRDefault="0093375B" w:rsidP="0093375B">
      <w:pPr>
        <w:pStyle w:val="AmNumberTabs"/>
        <w:keepNext/>
      </w:pPr>
      <w:r w:rsidRPr="00BE5D6A">
        <w:lastRenderedPageBreak/>
        <w:t>Poprawka</w:t>
      </w:r>
      <w:r w:rsidRPr="00BE5D6A">
        <w:tab/>
      </w:r>
      <w:r w:rsidRPr="00BE5D6A">
        <w:tab/>
        <w:t>9</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Motyw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rPr>
                <w:b/>
                <w:i/>
              </w:rPr>
            </w:pPr>
            <w:proofErr w:type="gramStart"/>
            <w:r w:rsidRPr="00BE5D6A">
              <w:t>(5)</w:t>
            </w:r>
            <w:r w:rsidRPr="00BE5D6A">
              <w:tab/>
              <w:t>Aby</w:t>
            </w:r>
            <w:proofErr w:type="gramEnd"/>
            <w:r w:rsidRPr="00BE5D6A">
              <w:t xml:space="preserve"> zapobiec praktykom nadużyć podatkowych, opracowano szczegółowe przepisy przeciwdziałające takim nadużyciom, na przykład w celu eliminowania ryzyka unikania opodatkowania przez przenoszenie rezydencji podatkowej MŚP, a tym samym zapobiegania sytuacjom, w których wybór lokalizacji siedziby głównej jest determinowany motywami podatkowymi.</w:t>
            </w:r>
            <w:r w:rsidRPr="00BE5D6A">
              <w:rPr>
                <w:b/>
                <w:i/>
              </w:rPr>
              <w:t xml:space="preserve"> </w:t>
            </w:r>
            <w:r w:rsidRPr="00BE5D6A">
              <w:t>W związku z tym konieczne byłoby monitorowanie zmian obrotu przypisywanego stałemu zakładowi lub stałym zakładom, by utrzymać ich działalność jako pomocniczą w stosunku do działalności głównej, która powinna być prowadzona przez siedzibę główną. W ten sposób przepisy nie mogłyby być nadużywane przez zakładanie pustych siedzib głównych, podczas gdy większość działalności gospodarczej byłaby prowadzona za granicą.</w:t>
            </w:r>
            <w:r w:rsidRPr="00BE5D6A">
              <w:rPr>
                <w:b/>
                <w:i/>
              </w:rPr>
              <w:t xml:space="preserve"> Podobnie kwalifikowalność do systemu uproszczeń podatkowych, a także wygaśnięcie i odnowienie opcji korzystania z tego systemu powinny podlegać rygorystycznym warunkom. Takim warunkom powinny towarzyszyć wymogi dotyczące obrotu siedziby głównej w stosunku do obrotu stałego zakładu lub stałych zakładów. Chodziłoby o dalsze podkreślenie, że działalność prowadzona za pośrednictwem stałego zakładu lub stałych zakładów może być jedynie rozszerzeniem głównej działalności siedziby głównej. Ponadto po wyborze opcji korzystania z ram uproszczeń podatkowych opcja ta powinna mieć określony obowiązkowy okres obowiązywania, co pozwoli zapobiec częstemu przenoszeniu lokalizacji siedziby głównej w celu uzyskania okazjonalnych i krótkoterminowych korzyści </w:t>
            </w:r>
            <w:r w:rsidRPr="00BE5D6A">
              <w:rPr>
                <w:b/>
                <w:i/>
              </w:rPr>
              <w:lastRenderedPageBreak/>
              <w:t>podatkowych.</w:t>
            </w:r>
          </w:p>
        </w:tc>
        <w:tc>
          <w:tcPr>
            <w:tcW w:w="4876" w:type="dxa"/>
          </w:tcPr>
          <w:p w:rsidR="0093375B" w:rsidRPr="00BE5D6A" w:rsidRDefault="0093375B" w:rsidP="005A4C0F">
            <w:pPr>
              <w:pStyle w:val="Normal6a"/>
              <w:rPr>
                <w:szCs w:val="24"/>
              </w:rPr>
            </w:pPr>
            <w:proofErr w:type="gramStart"/>
            <w:r w:rsidRPr="00BE5D6A">
              <w:lastRenderedPageBreak/>
              <w:t>(5)</w:t>
            </w:r>
            <w:r w:rsidRPr="00BE5D6A">
              <w:tab/>
              <w:t>Aby</w:t>
            </w:r>
            <w:proofErr w:type="gramEnd"/>
            <w:r w:rsidRPr="00BE5D6A">
              <w:t xml:space="preserve"> zapobiec praktykom nadużyć podatkowych, opracowano </w:t>
            </w:r>
            <w:r w:rsidRPr="00BE5D6A">
              <w:rPr>
                <w:b/>
                <w:i/>
              </w:rPr>
              <w:t xml:space="preserve">solidne, </w:t>
            </w:r>
            <w:r w:rsidRPr="00BE5D6A">
              <w:t>szczegółowe przepisy przeciwdziałające takim nadużyciom, na przykład w celu eliminowania ryzyka unikania opodatkowania przez przenoszenie rezydencji podatkowej MŚP, a tym samym zapobiegania sytuacjom, w których wybór lokalizacji siedziby głównej jest determinowany motywami podatkowymi.</w:t>
            </w:r>
            <w:r w:rsidRPr="00BE5D6A">
              <w:rPr>
                <w:b/>
                <w:i/>
              </w:rPr>
              <w:t xml:space="preserve"> </w:t>
            </w:r>
            <w:r w:rsidRPr="00BE5D6A">
              <w:t>W związku z tym konieczne byłoby monitorowanie zmian obrotu przypisywanego stałemu zakładowi lub stałym zakładom</w:t>
            </w:r>
            <w:r w:rsidRPr="00BE5D6A">
              <w:rPr>
                <w:b/>
                <w:i/>
              </w:rPr>
              <w:t xml:space="preserve"> lub jednostkom zależnym</w:t>
            </w:r>
            <w:r w:rsidRPr="00BE5D6A">
              <w:t>, by utrzymać ich działalność jako pomocniczą w stosunku do działalności głównej, która powinna być prowadzona przez siedzibę główną. W ten sposób przepisy nie mogłyby być nadużywane przez zakładanie pustych siedzib głównych, podczas gdy większość działalności gospodarczej byłaby prowadzona za granicą.</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10</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Motyw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roofErr w:type="gramStart"/>
            <w:r w:rsidRPr="00BE5D6A">
              <w:t>(6)</w:t>
            </w:r>
            <w:r w:rsidRPr="00BE5D6A">
              <w:tab/>
              <w:t>Międzynarodowa</w:t>
            </w:r>
            <w:proofErr w:type="gramEnd"/>
            <w:r w:rsidRPr="00BE5D6A">
              <w:t xml:space="preserve"> żegluga morska jest szczególnym sektorem działalności podlegającym specjalnym systemom podatkowym w szeregu państw członkowskich. Systemy te polegają głównie na obliczaniu podstawy opodatkowania w oparciu o tonaż (tj. nośność) eksploatowanych statków, a nie na podstawie rzeczywistych zysków lub strat danego przedsiębiorstwa. W związku z tym MŚP, które uzyskują dochody z działalności żeglugowej objętej systemem podatku tonażowego, powinny być wyłączone z możliwości skorzystania z przepisów upraszczających dotyczących MŚP w odniesieniu do takiego dochodu przypisywanego stałemu zakładowi. Wyłączenie to pozwoliłoby uniknąć dodatkowych komplikacji, które mogłyby wynikać z interakcji między ramami uproszczeń opodatkowania MŚP a systemami podatku tonażowego. Ponadto takie potencjalne komplikacje wydają się nieproporcjonalne, zważywszy że w niektórych państwach członkowskich brak jest takich szczególnych systemów podatkowych. </w:t>
            </w:r>
            <w:r w:rsidRPr="00BE5D6A">
              <w:rPr>
                <w:b/>
                <w:i/>
              </w:rPr>
              <w:t>Żadne inne sektory działalności</w:t>
            </w:r>
            <w:r w:rsidRPr="00BE5D6A">
              <w:t xml:space="preserve"> nie </w:t>
            </w:r>
            <w:r w:rsidRPr="00BE5D6A">
              <w:rPr>
                <w:b/>
                <w:i/>
              </w:rPr>
              <w:t>zostałyby wyłączone</w:t>
            </w:r>
            <w:r w:rsidRPr="00BE5D6A">
              <w:t xml:space="preserve"> z</w:t>
            </w:r>
            <w:r w:rsidRPr="00BE5D6A">
              <w:rPr>
                <w:b/>
                <w:i/>
              </w:rPr>
              <w:t> </w:t>
            </w:r>
            <w:r w:rsidRPr="00BE5D6A">
              <w:t>zakresu stosowania dyrektywy.</w:t>
            </w:r>
          </w:p>
        </w:tc>
        <w:tc>
          <w:tcPr>
            <w:tcW w:w="4876" w:type="dxa"/>
          </w:tcPr>
          <w:p w:rsidR="0093375B" w:rsidRPr="00BE5D6A" w:rsidRDefault="0093375B" w:rsidP="005A4C0F">
            <w:pPr>
              <w:pStyle w:val="Normal6a"/>
            </w:pPr>
            <w:proofErr w:type="gramStart"/>
            <w:r w:rsidRPr="00BE5D6A">
              <w:t>(6)</w:t>
            </w:r>
            <w:r w:rsidRPr="00BE5D6A">
              <w:tab/>
              <w:t>Międzynarodowa</w:t>
            </w:r>
            <w:proofErr w:type="gramEnd"/>
            <w:r w:rsidRPr="00BE5D6A">
              <w:t xml:space="preserve"> żegluga morska jest szczególnym sektorem działalności podlegającym specjalnym systemom podatkowym w szeregu państw członkowskich. Systemy te polegają głównie na obliczaniu podstawy opodatkowania w oparciu o tonaż (tj. nośność) eksploatowanych statków, a nie na podstawie rzeczywistych zysków lub strat danego przedsiębiorstwa. W związku z tym MŚP, które uzyskują dochody z działalności żeglugowej objętej systemem podatku tonażowego, powinny być wyłączone z możliwości skorzystania z przepisów upraszczających dotyczących MŚP w odniesieniu do takiego dochodu przypisywanego stałemu zakładowi</w:t>
            </w:r>
            <w:r w:rsidRPr="00BE5D6A">
              <w:rPr>
                <w:b/>
                <w:i/>
              </w:rPr>
              <w:t xml:space="preserve"> lub jednostce zależnej</w:t>
            </w:r>
            <w:r w:rsidRPr="00BE5D6A">
              <w:t xml:space="preserve">. Wyłączenie to pozwoliłoby uniknąć dodatkowych komplikacji, które mogłyby wynikać z interakcji między ramami uproszczeń opodatkowania MŚP a systemami podatku tonażowego. Ponadto takie potencjalne komplikacje wydają się nieproporcjonalne, zważywszy że w niektórych państwach członkowskich brak jest takich szczególnych systemów podatkowych. </w:t>
            </w:r>
            <w:r w:rsidRPr="00BE5D6A">
              <w:rPr>
                <w:b/>
                <w:i/>
              </w:rPr>
              <w:t>W każdym razie wyłączenie to należy odpowiednio ocenić po upływie pięciu lat od wdrożenia niniejszej dyrektywy.</w:t>
            </w:r>
            <w:r w:rsidRPr="00BE5D6A">
              <w:t xml:space="preserve"> </w:t>
            </w:r>
            <w:r w:rsidRPr="00BE5D6A">
              <w:rPr>
                <w:b/>
                <w:i/>
              </w:rPr>
              <w:t>Żadna inna działalność poza działalnością objętą systemem podatku tonażowego</w:t>
            </w:r>
            <w:r w:rsidRPr="00BE5D6A">
              <w:t xml:space="preserve"> nie </w:t>
            </w:r>
            <w:r w:rsidRPr="00BE5D6A">
              <w:rPr>
                <w:b/>
                <w:i/>
              </w:rPr>
              <w:t>zostałaby wyłączona</w:t>
            </w:r>
            <w:r w:rsidRPr="00BE5D6A">
              <w:t xml:space="preserve"> z</w:t>
            </w:r>
            <w:r w:rsidRPr="00BE5D6A">
              <w:rPr>
                <w:b/>
                <w:i/>
              </w:rPr>
              <w:t xml:space="preserve"> </w:t>
            </w:r>
            <w:r w:rsidRPr="00BE5D6A">
              <w:t>zakresu stosowania dyrektywy.</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11</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Motyw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roofErr w:type="gramStart"/>
            <w:r w:rsidRPr="00BE5D6A">
              <w:t>(7)</w:t>
            </w:r>
            <w:r w:rsidRPr="00BE5D6A">
              <w:tab/>
              <w:t>Wniosek</w:t>
            </w:r>
            <w:proofErr w:type="gramEnd"/>
            <w:r w:rsidRPr="00BE5D6A">
              <w:t xml:space="preserve"> ma na celu znaczne uproszczenie procedur, a zatem należałoby ustanowić punkt kompleksowej obsługi, w ramach którego przyjmowaniem deklaracji oraz wymiarem i poborem podatku należnego od stałego zakładu lub stałych zakładów zajmowałby się jeden organ podatkowy („organ przyjmujący deklaracje”), tj. organ podatkowy w państwie członkowskim siedziby głównej. Przy pełnym poszanowaniu suwerenności państw członkowskich w sprawach podatkowych kontrole, procedury odwoławcze i procedury rozstrzygania sporów byłyby przede wszystkim prowadzone na poziomie krajowym i zgodne z przepisami proceduralnymi danego państwa członkowskiego. Dla wsparcia funkcjonowania punktu kompleksowej obsługi kluczowe znaczenie miałaby możliwość przeprowadzania wspólnych kontroli, </w:t>
            </w:r>
            <w:r w:rsidRPr="00BE5D6A">
              <w:rPr>
                <w:b/>
                <w:i/>
              </w:rPr>
              <w:t>co nakładałoby na</w:t>
            </w:r>
            <w:r w:rsidRPr="00BE5D6A">
              <w:t xml:space="preserve"> państwo członkowskie siedziby głównej </w:t>
            </w:r>
            <w:r w:rsidRPr="00BE5D6A">
              <w:rPr>
                <w:b/>
                <w:i/>
              </w:rPr>
              <w:t>obowiązek współpracy</w:t>
            </w:r>
            <w:r w:rsidRPr="00BE5D6A">
              <w:t xml:space="preserve">, jeżeli organ podatkowy </w:t>
            </w:r>
            <w:r w:rsidRPr="00BE5D6A">
              <w:rPr>
                <w:b/>
                <w:i/>
              </w:rPr>
              <w:t xml:space="preserve">państwa </w:t>
            </w:r>
            <w:r w:rsidRPr="00BE5D6A">
              <w:t>stałego zakładu wystąpi z wnioskiem o przeprowadzenie kontroli obejmującej obliczanie podlegającego opodatkowaniu wyniku podatnika.</w:t>
            </w:r>
          </w:p>
        </w:tc>
        <w:tc>
          <w:tcPr>
            <w:tcW w:w="4876" w:type="dxa"/>
          </w:tcPr>
          <w:p w:rsidR="0093375B" w:rsidRPr="00BE5D6A" w:rsidRDefault="0093375B" w:rsidP="005A4C0F">
            <w:pPr>
              <w:pStyle w:val="Normal6a"/>
            </w:pPr>
            <w:proofErr w:type="gramStart"/>
            <w:r w:rsidRPr="00BE5D6A">
              <w:t>(7)</w:t>
            </w:r>
            <w:r w:rsidRPr="00BE5D6A">
              <w:tab/>
              <w:t>Wniosek</w:t>
            </w:r>
            <w:proofErr w:type="gramEnd"/>
            <w:r w:rsidRPr="00BE5D6A">
              <w:t xml:space="preserve"> ma na celu znaczne uproszczenie procedur, a zatem należałoby ustanowić punkt kompleksowej obsługi, w ramach którego przyjmowaniem deklaracji oraz wymiarem i poborem podatku należnego od stałego zakładu lub stałych zakładów </w:t>
            </w:r>
            <w:r w:rsidRPr="00BE5D6A">
              <w:rPr>
                <w:b/>
                <w:i/>
              </w:rPr>
              <w:t xml:space="preserve">lub jednostek zależnych </w:t>
            </w:r>
            <w:r w:rsidRPr="00BE5D6A">
              <w:t xml:space="preserve">zajmowałby się jeden organ podatkowy („organ przyjmujący deklaracje”), tj. organ podatkowy w państwie członkowskim siedziby głównej. </w:t>
            </w:r>
            <w:r w:rsidRPr="00BE5D6A">
              <w:rPr>
                <w:b/>
                <w:i/>
              </w:rPr>
              <w:t>Ten punkt kompleksowej obsługi powinien zapewniać wszystkie funkcje uproszczenia, aby nie stał się kolejną przeszkodą dla przedsiębiorstw chcących inwestować za granicą.</w:t>
            </w:r>
            <w:r w:rsidRPr="00BE5D6A">
              <w:t xml:space="preserve"> Przy pełnym poszanowaniu suwerenności państw członkowskich w sprawach podatkowych kontrole, procedury odwoławcze i procedury rozstrzygania sporów byłyby przede wszystkim prowadzone na poziomie krajowym i zgodne z przepisami proceduralnymi danego państwa członkowskiego. Dla wsparcia funkcjonowania punktu kompleksowej obsługi kluczowe znaczenie miałaby możliwość przeprowadzania wspólnych kontroli</w:t>
            </w:r>
            <w:r w:rsidRPr="00BE5D6A">
              <w:rPr>
                <w:b/>
                <w:i/>
              </w:rPr>
              <w:t xml:space="preserve"> i wynikający z niej obowiązek współpracy organów podatkowych państw członkowskich</w:t>
            </w:r>
            <w:r w:rsidRPr="00BE5D6A">
              <w:t xml:space="preserve">, </w:t>
            </w:r>
            <w:r w:rsidRPr="00BE5D6A">
              <w:rPr>
                <w:b/>
                <w:i/>
              </w:rPr>
              <w:t>dzięki któremu</w:t>
            </w:r>
            <w:r w:rsidRPr="00BE5D6A">
              <w:t xml:space="preserve"> państwo członkowskie siedziby głównej </w:t>
            </w:r>
            <w:r w:rsidRPr="00BE5D6A">
              <w:rPr>
                <w:b/>
                <w:i/>
              </w:rPr>
              <w:t>powinno nawiązać współpracę</w:t>
            </w:r>
            <w:r w:rsidRPr="00BE5D6A">
              <w:t>, jeżeli organ podatkowy stałego zakładu</w:t>
            </w:r>
            <w:r w:rsidRPr="00BE5D6A">
              <w:rPr>
                <w:b/>
                <w:i/>
              </w:rPr>
              <w:t xml:space="preserve"> lub jednostki zależnej</w:t>
            </w:r>
            <w:r w:rsidRPr="00BE5D6A">
              <w:t xml:space="preserve"> wystąpi z wnioskiem o przeprowadzenie kontroli obejmującej obliczanie podlegającego opodatkowaniu wyniku podatnika.</w:t>
            </w:r>
            <w:r w:rsidRPr="00BE5D6A">
              <w:rPr>
                <w:b/>
              </w:rPr>
              <w:t xml:space="preserve"> </w:t>
            </w:r>
            <w:r w:rsidRPr="00BE5D6A">
              <w:rPr>
                <w:b/>
                <w:i/>
              </w:rPr>
              <w:t>W tym sensie, jeżeli państwo członkowskie siedziby głównej przeprowadza kontrolę z własnej inicjatywy, powinno zwrócić się do państwa członkowskiego działalności o przeprowadzenie takiej kontroli wspólnie.</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12</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lastRenderedPageBreak/>
        <w:t>Motyw 7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
        </w:tc>
        <w:tc>
          <w:tcPr>
            <w:tcW w:w="4876" w:type="dxa"/>
          </w:tcPr>
          <w:p w:rsidR="0093375B" w:rsidRPr="00BE5D6A" w:rsidRDefault="0093375B" w:rsidP="005A4C0F">
            <w:pPr>
              <w:pStyle w:val="Normal6a"/>
            </w:pPr>
            <w:r w:rsidRPr="00BE5D6A">
              <w:rPr>
                <w:b/>
                <w:i/>
              </w:rPr>
              <w:t>(7a</w:t>
            </w:r>
            <w:proofErr w:type="gramStart"/>
            <w:r w:rsidRPr="00BE5D6A">
              <w:rPr>
                <w:b/>
                <w:i/>
              </w:rPr>
              <w:t>)</w:t>
            </w:r>
            <w:r w:rsidRPr="00BE5D6A">
              <w:tab/>
            </w:r>
            <w:r w:rsidRPr="00BE5D6A">
              <w:rPr>
                <w:b/>
                <w:i/>
              </w:rPr>
              <w:t>Punkt</w:t>
            </w:r>
            <w:proofErr w:type="gramEnd"/>
            <w:r w:rsidRPr="00BE5D6A">
              <w:rPr>
                <w:b/>
                <w:i/>
              </w:rPr>
              <w:t xml:space="preserve"> kompleksowej obsługi jest rozwiązaniem cenionym przez unijne MŚP, a jego utworzenie stanowi opcjonalne narzędzie ułatwiające procedury podatkowe MŚP.</w:t>
            </w:r>
            <w:r w:rsidRPr="00BE5D6A">
              <w:t xml:space="preserve"> </w:t>
            </w:r>
            <w:r w:rsidRPr="00BE5D6A">
              <w:rPr>
                <w:b/>
                <w:i/>
              </w:rPr>
              <w:t>Pozytywne doświadczenia związane z deklaracją VAT za pośrednictwem punktu kompleksowej obsługi – w 2022 r. za jego pośrednictwem deklarację VAT złożyło 130 000 przedsiębiorstw i pobrano ponad 17 mld EUR wpływów z VAT – motywuje do powielenia tego modelu w kontekście niniejszej dyrektywy.</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13</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Motyw 13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
        </w:tc>
        <w:tc>
          <w:tcPr>
            <w:tcW w:w="4876" w:type="dxa"/>
          </w:tcPr>
          <w:p w:rsidR="0093375B" w:rsidRPr="00BE5D6A" w:rsidRDefault="0093375B" w:rsidP="005A4C0F">
            <w:pPr>
              <w:pStyle w:val="Normal6a"/>
            </w:pPr>
            <w:r w:rsidRPr="00BE5D6A">
              <w:rPr>
                <w:b/>
                <w:i/>
              </w:rPr>
              <w:t>(13a</w:t>
            </w:r>
            <w:proofErr w:type="gramStart"/>
            <w:r w:rsidRPr="00BE5D6A">
              <w:rPr>
                <w:b/>
                <w:i/>
              </w:rPr>
              <w:t>)</w:t>
            </w:r>
            <w:r w:rsidRPr="00BE5D6A">
              <w:tab/>
            </w:r>
            <w:r w:rsidRPr="00BE5D6A">
              <w:rPr>
                <w:b/>
                <w:i/>
              </w:rPr>
              <w:t>Sprawozdanie</w:t>
            </w:r>
            <w:proofErr w:type="gramEnd"/>
            <w:r w:rsidRPr="00BE5D6A">
              <w:rPr>
                <w:b/>
                <w:i/>
              </w:rPr>
              <w:t xml:space="preserve"> z oceny powinno zawierać ocenę wszystkich istotnych aspektów wdrażania niniejszej dyrektywy i koncentrować się na korzyściach wynikających z ewentualnego rozszerzenia zakresu, adekwatności wymogów kwalifikowalności, stosowności sytuacji wykluczenia, a mianowicie utworzenia jednostek zależnych, oraz na potrzebie wyłączenia działalności żeglugowej.</w:t>
            </w:r>
            <w:r w:rsidRPr="00BE5D6A">
              <w:t xml:space="preserve"> </w:t>
            </w:r>
            <w:r w:rsidRPr="00BE5D6A">
              <w:rPr>
                <w:b/>
                <w:i/>
              </w:rPr>
              <w:t>Komisja powinna uwzględnić te aspekty w ewentualnym wniosku dotyczącym zmiany niniejszej dyrektywy lub podać powody uzasadniające, dlaczego zmiana obowiązujących przepisów nie jest konieczna.</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14</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Motyw 13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
        </w:tc>
        <w:tc>
          <w:tcPr>
            <w:tcW w:w="4876" w:type="dxa"/>
          </w:tcPr>
          <w:p w:rsidR="0093375B" w:rsidRPr="00BE5D6A" w:rsidRDefault="0093375B" w:rsidP="005A4C0F">
            <w:pPr>
              <w:pStyle w:val="Normal6a"/>
            </w:pPr>
            <w:r w:rsidRPr="00BE5D6A">
              <w:rPr>
                <w:b/>
                <w:i/>
              </w:rPr>
              <w:t>(13b</w:t>
            </w:r>
            <w:proofErr w:type="gramStart"/>
            <w:r w:rsidRPr="00BE5D6A">
              <w:rPr>
                <w:b/>
                <w:i/>
              </w:rPr>
              <w:t>)</w:t>
            </w:r>
            <w:r w:rsidRPr="00BE5D6A">
              <w:tab/>
            </w:r>
            <w:r w:rsidRPr="00BE5D6A">
              <w:rPr>
                <w:b/>
                <w:i/>
              </w:rPr>
              <w:t>Ponieważ</w:t>
            </w:r>
            <w:proofErr w:type="gramEnd"/>
            <w:r w:rsidRPr="00BE5D6A">
              <w:rPr>
                <w:b/>
                <w:i/>
              </w:rPr>
              <w:t xml:space="preserve"> ewentualne zmniejszenie kosztów przestrzegania przepisów podatkowych przez MŚP zależy bezpośrednio od dobrowolnego przyjęcia przez nie przepisów określonych w niniejszej dyrektywie, Komisja powinna przewidzieć szczegółową i kompleksową </w:t>
            </w:r>
            <w:proofErr w:type="spellStart"/>
            <w:r w:rsidRPr="00BE5D6A">
              <w:rPr>
                <w:b/>
                <w:i/>
              </w:rPr>
              <w:t>ogólnounijną</w:t>
            </w:r>
            <w:proofErr w:type="spellEnd"/>
            <w:r w:rsidRPr="00BE5D6A">
              <w:rPr>
                <w:b/>
                <w:i/>
              </w:rPr>
              <w:t xml:space="preserve"> kampanię informacyjną skierowaną do MŚP.</w:t>
            </w:r>
            <w:r w:rsidRPr="00BE5D6A">
              <w:t xml:space="preserve"> </w:t>
            </w:r>
            <w:r w:rsidRPr="00BE5D6A">
              <w:rPr>
                <w:b/>
                <w:i/>
              </w:rPr>
              <w:t>Taką kampanię informacyjną należy włączyć do szerszej strategii komunikacyjnej dotyczącej nowych przepisów unijnych związanych z podatkami i ich wpływu na przedsiębiorstwa unijne. Wszystkie informacje należy przekazywać we wszystkich językach urzędowych państw członkowskich.</w:t>
            </w:r>
          </w:p>
        </w:tc>
      </w:tr>
    </w:tbl>
    <w:p w:rsidR="0093375B" w:rsidRPr="00BE5D6A" w:rsidRDefault="0093375B" w:rsidP="0093375B"/>
    <w:p w:rsidR="0093375B" w:rsidRPr="00BE5D6A" w:rsidRDefault="0093375B" w:rsidP="0093375B">
      <w:pPr>
        <w:pStyle w:val="AmNumberTabs"/>
        <w:keepNext/>
      </w:pPr>
      <w:r w:rsidRPr="00BE5D6A">
        <w:t>Poprawka</w:t>
      </w:r>
      <w:r w:rsidRPr="00BE5D6A">
        <w:tab/>
      </w:r>
      <w:r w:rsidRPr="00BE5D6A">
        <w:tab/>
        <w:t>15</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Motyw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proofErr w:type="gramStart"/>
            <w:r w:rsidRPr="00BE5D6A">
              <w:t>(14)</w:t>
            </w:r>
            <w:r w:rsidRPr="00BE5D6A">
              <w:tab/>
              <w:t>Państwa</w:t>
            </w:r>
            <w:proofErr w:type="gramEnd"/>
            <w:r w:rsidRPr="00BE5D6A">
              <w:t xml:space="preserve"> członkowskie mogą przetwarzać dane osobowe na mocy niniejszej dyrektywy wyłącznie do celów weryfikacji wymogów kwalifikowalności lub ustalania zobowiązań podatkowych stałych zakładów. Wszelkie przetwarzanie danych osobowych dokonywane w tym celu powinno być zgodne z rozporządzeniem (UE) 2016/679.</w:t>
            </w:r>
          </w:p>
        </w:tc>
        <w:tc>
          <w:tcPr>
            <w:tcW w:w="4876" w:type="dxa"/>
          </w:tcPr>
          <w:p w:rsidR="0093375B" w:rsidRPr="00BE5D6A" w:rsidRDefault="0093375B" w:rsidP="005A4C0F">
            <w:pPr>
              <w:pStyle w:val="Normal6a"/>
              <w:rPr>
                <w:szCs w:val="24"/>
              </w:rPr>
            </w:pPr>
            <w:proofErr w:type="gramStart"/>
            <w:r w:rsidRPr="00BE5D6A">
              <w:t>(14)</w:t>
            </w:r>
            <w:r w:rsidRPr="00BE5D6A">
              <w:tab/>
              <w:t>Państwa</w:t>
            </w:r>
            <w:proofErr w:type="gramEnd"/>
            <w:r w:rsidRPr="00BE5D6A">
              <w:t xml:space="preserve"> członkowskie mogą przetwarzać dane osobowe na mocy niniejszej dyrektywy wyłącznie do celów weryfikacji wymogów kwalifikowalności lub ustalania zobowiązań podatkowych stałych zakładów </w:t>
            </w:r>
            <w:r w:rsidRPr="00BE5D6A">
              <w:rPr>
                <w:b/>
                <w:bCs/>
                <w:i/>
                <w:iCs/>
              </w:rPr>
              <w:t>i jednostek zależnych</w:t>
            </w:r>
            <w:r w:rsidRPr="00BE5D6A">
              <w:t>. Wszelkie przetwarzanie danych osobowych dokonywane w tym celu powinno być zgodne z rozporządzeniem (UE) 2016/679.</w:t>
            </w:r>
          </w:p>
        </w:tc>
      </w:tr>
    </w:tbl>
    <w:p w:rsidR="0093375B" w:rsidRPr="00BE5D6A" w:rsidRDefault="0093375B" w:rsidP="0093375B"/>
    <w:p w:rsidR="0093375B" w:rsidRPr="00BE5D6A" w:rsidRDefault="0093375B" w:rsidP="0093375B">
      <w:pPr>
        <w:pStyle w:val="AmNumberTabs"/>
        <w:keepNext/>
      </w:pPr>
      <w:r w:rsidRPr="00BE5D6A">
        <w:t>Poprawka</w:t>
      </w:r>
      <w:r w:rsidRPr="00BE5D6A">
        <w:tab/>
      </w:r>
      <w:r w:rsidRPr="00BE5D6A">
        <w:tab/>
        <w:t>16</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Motyw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proofErr w:type="gramStart"/>
            <w:r w:rsidRPr="00BE5D6A">
              <w:t>(15)</w:t>
            </w:r>
            <w:r w:rsidRPr="00BE5D6A">
              <w:tab/>
              <w:t>Przewidziano</w:t>
            </w:r>
            <w:proofErr w:type="gramEnd"/>
            <w:r w:rsidRPr="00BE5D6A">
              <w:t xml:space="preserve"> okres przechowywania danych, aby umożliwić państwom członkowskim przestrzeganie większości przepisów dotyczących przedawnienia, a tym samym ścisłe </w:t>
            </w:r>
            <w:r w:rsidRPr="00BE5D6A">
              <w:lastRenderedPageBreak/>
              <w:t>przestrzeganie takich przepisów krajowych w odniesieniu do momentu rozpoczęcia lub zawieszenia tego okresu. Okres przechowywania nie powinien jednak wykraczać poza to, co jest konieczne do zapewnienia właściwym organom podatkowym możliwości określenia zobowiązań podatkowych, tak by zachować równowagę między zdolnością organu podatkowego do zapewnienia właściwego wymiaru i poboru podatków a prawem podatników do pewności prawa.</w:t>
            </w:r>
          </w:p>
        </w:tc>
        <w:tc>
          <w:tcPr>
            <w:tcW w:w="4876" w:type="dxa"/>
          </w:tcPr>
          <w:p w:rsidR="0093375B" w:rsidRPr="00BE5D6A" w:rsidRDefault="0093375B" w:rsidP="005A4C0F">
            <w:pPr>
              <w:pStyle w:val="Normal6a"/>
              <w:rPr>
                <w:szCs w:val="24"/>
              </w:rPr>
            </w:pPr>
            <w:proofErr w:type="gramStart"/>
            <w:r w:rsidRPr="00BE5D6A">
              <w:lastRenderedPageBreak/>
              <w:t>(15)</w:t>
            </w:r>
            <w:r w:rsidRPr="00BE5D6A">
              <w:tab/>
              <w:t>Przewidziano</w:t>
            </w:r>
            <w:proofErr w:type="gramEnd"/>
            <w:r w:rsidRPr="00BE5D6A">
              <w:t xml:space="preserve"> </w:t>
            </w:r>
            <w:r w:rsidRPr="00BE5D6A">
              <w:rPr>
                <w:b/>
                <w:i/>
              </w:rPr>
              <w:t>proporcjonalny</w:t>
            </w:r>
            <w:r w:rsidRPr="00BE5D6A">
              <w:t xml:space="preserve"> okres przechowywania danych, aby umożliwić państwom członkowskim przestrzeganie większości przepisów dotyczących przedawnienia, a tym samym ścisłe </w:t>
            </w:r>
            <w:r w:rsidRPr="00BE5D6A">
              <w:lastRenderedPageBreak/>
              <w:t>przestrzeganie takich przepisów krajowych w odniesieniu do momentu rozpoczęcia lub zawieszenia tego okresu. Okres przechowywania nie powinien jednak wykraczać poza to, co jest konieczne do zapewnienia właściwym organom podatkowym możliwości określenia zobowiązań podatkowych, tak by zachować równowagę między zdolnością organu podatkowego do zapewnienia właściwego wymiaru i poboru podatków a prawem podatników do pewności prawa.</w:t>
            </w:r>
          </w:p>
        </w:tc>
      </w:tr>
    </w:tbl>
    <w:p w:rsidR="0093375B" w:rsidRPr="00BE5D6A" w:rsidRDefault="0093375B" w:rsidP="0093375B"/>
    <w:p w:rsidR="0093375B" w:rsidRPr="00BE5D6A" w:rsidRDefault="0093375B" w:rsidP="0093375B">
      <w:pPr>
        <w:pStyle w:val="AmNumberTabs"/>
        <w:keepNext/>
      </w:pPr>
      <w:r w:rsidRPr="00BE5D6A">
        <w:t>Poprawka</w:t>
      </w:r>
      <w:r w:rsidRPr="00BE5D6A">
        <w:tab/>
      </w:r>
      <w:r w:rsidRPr="00BE5D6A">
        <w:tab/>
        <w:t>17</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Motyw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proofErr w:type="gramStart"/>
            <w:r w:rsidRPr="00BE5D6A">
              <w:t>(17)</w:t>
            </w:r>
            <w:r w:rsidRPr="00BE5D6A">
              <w:tab/>
              <w:t>Zgodnie</w:t>
            </w:r>
            <w:proofErr w:type="gramEnd"/>
            <w:r w:rsidRPr="00BE5D6A">
              <w:t xml:space="preserve"> z art. 42 ust. 1 rozporządzenia Parlamentu Europejskiego i Rady (UE) 2018/1725 skonsultowano się z Europejskim Inspektorem Ochrony Danych, który wydał opinię </w:t>
            </w:r>
            <w:r w:rsidRPr="00BE5D6A">
              <w:rPr>
                <w:b/>
                <w:i/>
              </w:rPr>
              <w:t>w dniu […]</w:t>
            </w:r>
            <w:r w:rsidRPr="00BE5D6A">
              <w:t>.</w:t>
            </w:r>
          </w:p>
        </w:tc>
        <w:tc>
          <w:tcPr>
            <w:tcW w:w="4876" w:type="dxa"/>
          </w:tcPr>
          <w:p w:rsidR="0093375B" w:rsidRPr="00BE5D6A" w:rsidRDefault="0093375B" w:rsidP="005A4C0F">
            <w:pPr>
              <w:pStyle w:val="Normal6a"/>
              <w:rPr>
                <w:szCs w:val="24"/>
              </w:rPr>
            </w:pPr>
            <w:proofErr w:type="gramStart"/>
            <w:r w:rsidRPr="00BE5D6A">
              <w:t>(17)</w:t>
            </w:r>
            <w:r w:rsidRPr="00BE5D6A">
              <w:tab/>
              <w:t>Zgodnie</w:t>
            </w:r>
            <w:proofErr w:type="gramEnd"/>
            <w:r w:rsidRPr="00BE5D6A">
              <w:t xml:space="preserve"> z art. 42 ust. 1 rozporządzenia Parlamentu Europejskiego i Rady (UE) 2018/1725 skonsultowano się z Europejskim Inspektorem Ochrony Danych, który wydał opinię </w:t>
            </w:r>
            <w:r w:rsidRPr="00BE5D6A">
              <w:rPr>
                <w:b/>
                <w:i/>
              </w:rPr>
              <w:t>3 listopada 2023 r</w:t>
            </w:r>
            <w:r w:rsidRPr="00BE5D6A">
              <w:t>.</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18</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Motyw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roofErr w:type="gramStart"/>
            <w:r w:rsidRPr="00BE5D6A">
              <w:t>(18)</w:t>
            </w:r>
            <w:r w:rsidRPr="00BE5D6A">
              <w:tab/>
              <w:t>Ponieważ</w:t>
            </w:r>
            <w:proofErr w:type="gramEnd"/>
            <w:r w:rsidRPr="00BE5D6A">
              <w:t xml:space="preserve"> cel niniejszej dyrektywy, a mianowicie uproszczenie przepisów podatkowych dla niektórych MŚP prowadzących działalność na rynku wewnętrznym za pośrednictwem stałego zakładu lub stałych zakładów, nie może zostać osiągnięty w sposób wystarczający przez państwa członkowskie, natomiast – ze względu na istniejące wyzwania związane z interakcją między 27 różnymi systemami opodatkowania osób prawnych – możliwe jest lepsze osiągnięcie tego celu na poziomie Unii, Unia może podjąć działania zgodnie z zasadą pomocniczości </w:t>
            </w:r>
            <w:r w:rsidRPr="00BE5D6A">
              <w:lastRenderedPageBreak/>
              <w:t>określoną w art. 5 Traktatu o Unii Europejskiej. Zgodnie z zasadą proporcjonalności ustanowioną w tym artykule niniejsza dyrektywa nie wykracza poza to, co jest konieczne do osiągnięcia tego celu,</w:t>
            </w:r>
          </w:p>
        </w:tc>
        <w:tc>
          <w:tcPr>
            <w:tcW w:w="4876" w:type="dxa"/>
          </w:tcPr>
          <w:p w:rsidR="0093375B" w:rsidRPr="00BE5D6A" w:rsidRDefault="0093375B" w:rsidP="005A4C0F">
            <w:pPr>
              <w:pStyle w:val="Normal6a"/>
            </w:pPr>
            <w:proofErr w:type="gramStart"/>
            <w:r w:rsidRPr="00BE5D6A">
              <w:lastRenderedPageBreak/>
              <w:t>(18)</w:t>
            </w:r>
            <w:r w:rsidRPr="00BE5D6A">
              <w:tab/>
              <w:t>Ponieważ</w:t>
            </w:r>
            <w:proofErr w:type="gramEnd"/>
            <w:r w:rsidRPr="00BE5D6A">
              <w:t xml:space="preserve"> cel niniejszej dyrektywy, a mianowicie uproszczenie przepisów podatkowych dla niektórych MŚP prowadzących działalność </w:t>
            </w:r>
            <w:r w:rsidRPr="00BE5D6A">
              <w:rPr>
                <w:b/>
                <w:i/>
              </w:rPr>
              <w:t xml:space="preserve">transgraniczną </w:t>
            </w:r>
            <w:r w:rsidRPr="00BE5D6A">
              <w:t>na rynku wewnętrznym za pośrednictwem stałego zakładu lub stałych zakładów</w:t>
            </w:r>
            <w:r w:rsidRPr="00BE5D6A">
              <w:rPr>
                <w:b/>
                <w:i/>
              </w:rPr>
              <w:t xml:space="preserve"> i nie więcej niż dwóch jednostek zależnych</w:t>
            </w:r>
            <w:r w:rsidRPr="00BE5D6A">
              <w:t xml:space="preserve">, nie może zostać osiągnięty w sposób wystarczający przez </w:t>
            </w:r>
            <w:r w:rsidRPr="00BE5D6A">
              <w:rPr>
                <w:b/>
                <w:i/>
              </w:rPr>
              <w:t xml:space="preserve">poszczególne </w:t>
            </w:r>
            <w:r w:rsidRPr="00BE5D6A">
              <w:t>państwa członkowskie, natomiast – ze względu na istniejące wyzwania związane z interakcją między 27 różnymi</w:t>
            </w:r>
            <w:r w:rsidRPr="00BE5D6A">
              <w:rPr>
                <w:b/>
                <w:i/>
              </w:rPr>
              <w:t xml:space="preserve"> krajowymi</w:t>
            </w:r>
            <w:r w:rsidRPr="00BE5D6A">
              <w:t xml:space="preserve"> systemami opodatkowania osób prawnych – możliwe jest lepsze osiągnięcie tego celu na </w:t>
            </w:r>
            <w:r w:rsidRPr="00BE5D6A">
              <w:lastRenderedPageBreak/>
              <w:t>poziomie Unii</w:t>
            </w:r>
            <w:r w:rsidRPr="00BE5D6A">
              <w:rPr>
                <w:b/>
                <w:i/>
              </w:rPr>
              <w:t xml:space="preserve"> dzięki współpracy między państwami członkowskimi</w:t>
            </w:r>
            <w:r w:rsidRPr="00BE5D6A">
              <w:t>, Unia może podjąć działania zgodnie z zasadą pomocniczości określoną w art. 5 Traktatu o Unii Europejskiej. Zgodnie z zasadą proporcjonalności ustanowioną w tym artykule niniejsza dyrektywa nie wykracza poza to, co jest konieczne do osiągnięcia tego celu,</w:t>
            </w:r>
          </w:p>
        </w:tc>
      </w:tr>
    </w:tbl>
    <w:p w:rsidR="0093375B" w:rsidRPr="00BE5D6A" w:rsidRDefault="0093375B" w:rsidP="0093375B"/>
    <w:p w:rsidR="0093375B" w:rsidRPr="00BE5D6A" w:rsidRDefault="0093375B" w:rsidP="0093375B">
      <w:pPr>
        <w:spacing w:before="120" w:after="120"/>
      </w:pPr>
    </w:p>
    <w:p w:rsidR="0093375B" w:rsidRPr="00BE5D6A" w:rsidRDefault="0093375B" w:rsidP="0093375B">
      <w:pPr>
        <w:pStyle w:val="AmNumberTabs"/>
      </w:pPr>
      <w:r w:rsidRPr="00BE5D6A">
        <w:t>Poprawka</w:t>
      </w:r>
      <w:r w:rsidRPr="00BE5D6A">
        <w:tab/>
      </w:r>
      <w:r w:rsidRPr="00BE5D6A">
        <w:tab/>
        <w:t>19</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 – akapit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Niniejsza dyrektywa ustanawia zasady obliczania podlegającego opodatkowaniu wyniku stałych zakładów MŚP, które spełniają kryteria określone w art. 2 ust. 1 („reguły opodatkowania państwa członkowskiego siedziby głównej”).</w:t>
            </w:r>
          </w:p>
        </w:tc>
        <w:tc>
          <w:tcPr>
            <w:tcW w:w="4876" w:type="dxa"/>
          </w:tcPr>
          <w:p w:rsidR="0093375B" w:rsidRPr="00BE5D6A" w:rsidRDefault="0093375B" w:rsidP="005A4C0F">
            <w:pPr>
              <w:pStyle w:val="Normal6a"/>
            </w:pPr>
            <w:r w:rsidRPr="00BE5D6A">
              <w:t xml:space="preserve">Niniejsza dyrektywa ustanawia zasady obliczania podlegającego opodatkowaniu wyniku stałych zakładów </w:t>
            </w:r>
            <w:r w:rsidRPr="00BE5D6A">
              <w:rPr>
                <w:b/>
                <w:i/>
              </w:rPr>
              <w:t xml:space="preserve">i jednostek zależnych </w:t>
            </w:r>
            <w:r w:rsidRPr="00BE5D6A">
              <w:t>MŚP, które spełniają kryteria określone w art. 2 ust. 1 („reguły opodatkowania państwa członkowskiego siedziby głównej”).</w:t>
            </w:r>
          </w:p>
        </w:tc>
      </w:tr>
    </w:tbl>
    <w:p w:rsidR="0093375B" w:rsidRPr="00BE5D6A" w:rsidRDefault="0093375B" w:rsidP="0093375B"/>
    <w:p w:rsidR="0093375B" w:rsidRPr="00BE5D6A" w:rsidRDefault="0093375B" w:rsidP="0093375B">
      <w:pPr>
        <w:pStyle w:val="AmNumberTabs"/>
        <w:keepNext/>
      </w:pPr>
      <w:r w:rsidRPr="00BE5D6A">
        <w:t>Poprawka</w:t>
      </w:r>
      <w:r w:rsidRPr="00BE5D6A">
        <w:tab/>
      </w:r>
      <w:r w:rsidRPr="00BE5D6A">
        <w:tab/>
        <w:t>20</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2 – ustęp 1 – litera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e</w:t>
            </w:r>
            <w:proofErr w:type="gramStart"/>
            <w:r w:rsidRPr="00BE5D6A">
              <w:t>)</w:t>
            </w:r>
            <w:r w:rsidRPr="00BE5D6A">
              <w:tab/>
              <w:t>prowadzą</w:t>
            </w:r>
            <w:proofErr w:type="gramEnd"/>
            <w:r w:rsidRPr="00BE5D6A">
              <w:t xml:space="preserve"> działalność w innych państwach członkowskich </w:t>
            </w:r>
            <w:r w:rsidRPr="00BE5D6A">
              <w:rPr>
                <w:b/>
                <w:i/>
              </w:rPr>
              <w:t xml:space="preserve">wyłącznie </w:t>
            </w:r>
            <w:r w:rsidRPr="00BE5D6A">
              <w:t>za pośrednictwem co najmniej jednego stałego zakładu;</w:t>
            </w:r>
          </w:p>
        </w:tc>
        <w:tc>
          <w:tcPr>
            <w:tcW w:w="4876" w:type="dxa"/>
          </w:tcPr>
          <w:p w:rsidR="0093375B" w:rsidRPr="00BE5D6A" w:rsidRDefault="0093375B" w:rsidP="005A4C0F">
            <w:pPr>
              <w:pStyle w:val="Normal6a"/>
              <w:rPr>
                <w:szCs w:val="24"/>
              </w:rPr>
            </w:pPr>
            <w:r w:rsidRPr="00BE5D6A">
              <w:t>e</w:t>
            </w:r>
            <w:proofErr w:type="gramStart"/>
            <w:r w:rsidRPr="00BE5D6A">
              <w:t>)</w:t>
            </w:r>
            <w:r w:rsidRPr="00BE5D6A">
              <w:tab/>
              <w:t>prowadzą</w:t>
            </w:r>
            <w:proofErr w:type="gramEnd"/>
            <w:r w:rsidRPr="00BE5D6A">
              <w:t xml:space="preserve"> działalność w innych państwach członkowskich za pośrednictwem co najmniej jednego stałego zakładu</w:t>
            </w:r>
            <w:r w:rsidRPr="00BE5D6A">
              <w:rPr>
                <w:b/>
                <w:i/>
              </w:rPr>
              <w:t xml:space="preserve"> lub nie więcej niż dwóch jednostek zależnych</w:t>
            </w:r>
            <w:r w:rsidRPr="00BE5D6A">
              <w:t>;</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21</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2 – ustęp 2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2.</w:t>
            </w:r>
            <w:r w:rsidRPr="00BE5D6A">
              <w:tab/>
              <w:t xml:space="preserve">Komisja jest uprawniona do </w:t>
            </w:r>
            <w:r w:rsidRPr="00BE5D6A">
              <w:lastRenderedPageBreak/>
              <w:t>przyjęcia aktów delegowanych zgodnie z art. 16 w celu zmiany załączników I–IV, tak aby uwzględnić zmiany w przepisach państw członkowskich dotyczących:</w:t>
            </w:r>
          </w:p>
        </w:tc>
        <w:tc>
          <w:tcPr>
            <w:tcW w:w="4876" w:type="dxa"/>
          </w:tcPr>
          <w:p w:rsidR="0093375B" w:rsidRPr="00BE5D6A" w:rsidRDefault="0093375B" w:rsidP="005A4C0F">
            <w:pPr>
              <w:pStyle w:val="Normal6a"/>
            </w:pPr>
            <w:r w:rsidRPr="00BE5D6A">
              <w:lastRenderedPageBreak/>
              <w:t>2.</w:t>
            </w:r>
            <w:r w:rsidRPr="00BE5D6A">
              <w:tab/>
              <w:t xml:space="preserve">Komisja jest uprawniona do </w:t>
            </w:r>
            <w:r w:rsidRPr="00BE5D6A">
              <w:lastRenderedPageBreak/>
              <w:t xml:space="preserve">przyjęcia aktów delegowanych zgodnie z art. 16 w celu zmiany załączników I–IV, tak aby uwzględnić zmiany w przepisach państw członkowskich </w:t>
            </w:r>
            <w:r w:rsidRPr="00BE5D6A">
              <w:rPr>
                <w:b/>
                <w:i/>
              </w:rPr>
              <w:t xml:space="preserve">i na podstawie informacji przekazanych przez dane państwo członkowskie </w:t>
            </w:r>
            <w:r w:rsidRPr="00BE5D6A">
              <w:t>dotyczących:</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22</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2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3.</w:t>
            </w:r>
            <w:r w:rsidRPr="00BE5D6A">
              <w:tab/>
              <w:t>Niniejsza dyrektywa nie narusza prawa państwa członkowskiego, w którym znajduje się stały zakład, do ustalania mającej zastosowanie stawki podatkowej ani do stosowania dwustronnych umów o unikaniu podwójnego opodatkowania ani przepisów dotyczących ochrony socjalnej pracowników w państwie członkowskim stałego zakładu.</w:t>
            </w:r>
          </w:p>
        </w:tc>
        <w:tc>
          <w:tcPr>
            <w:tcW w:w="4876" w:type="dxa"/>
          </w:tcPr>
          <w:p w:rsidR="0093375B" w:rsidRPr="00BE5D6A" w:rsidRDefault="0093375B" w:rsidP="005A4C0F">
            <w:pPr>
              <w:pStyle w:val="Normal6a"/>
            </w:pPr>
            <w:r w:rsidRPr="00BE5D6A">
              <w:t>3.</w:t>
            </w:r>
            <w:r w:rsidRPr="00BE5D6A">
              <w:tab/>
              <w:t>Niniejsza dyrektywa nie narusza prawa państwa członkowskiego, w którym znajduje się stały zakład</w:t>
            </w:r>
            <w:r w:rsidRPr="00BE5D6A">
              <w:rPr>
                <w:b/>
                <w:i/>
              </w:rPr>
              <w:t xml:space="preserve"> lub jednostka zależna</w:t>
            </w:r>
            <w:r w:rsidRPr="00BE5D6A">
              <w:t>, do ustalania mającej zastosowanie stawki podatkowej ani do stosowania dwustronnych umów o unikaniu podwójnego opodatkowania ani przepisów dotyczących ochrony socjalnej pracowników w państwie członkowskim stałego zakładu</w:t>
            </w:r>
            <w:r w:rsidRPr="00BE5D6A">
              <w:rPr>
                <w:b/>
                <w:i/>
              </w:rPr>
              <w:t xml:space="preserve"> lub jednostki zależnej</w:t>
            </w:r>
            <w:r w:rsidRPr="00BE5D6A">
              <w:t>.</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23</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3 – akapit 1 – punkt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
        </w:tc>
        <w:tc>
          <w:tcPr>
            <w:tcW w:w="4876" w:type="dxa"/>
          </w:tcPr>
          <w:p w:rsidR="0093375B" w:rsidRPr="00BE5D6A" w:rsidRDefault="0093375B" w:rsidP="005A4C0F">
            <w:pPr>
              <w:pStyle w:val="Normal6a"/>
            </w:pPr>
            <w:r w:rsidRPr="00BE5D6A">
              <w:rPr>
                <w:b/>
                <w:i/>
              </w:rPr>
              <w:t>1a</w:t>
            </w:r>
            <w:proofErr w:type="gramStart"/>
            <w:r w:rsidRPr="00BE5D6A">
              <w:rPr>
                <w:b/>
                <w:i/>
              </w:rPr>
              <w:t>)</w:t>
            </w:r>
            <w:r w:rsidRPr="00BE5D6A">
              <w:tab/>
            </w:r>
            <w:r w:rsidRPr="00BE5D6A">
              <w:rPr>
                <w:b/>
                <w:i/>
              </w:rPr>
              <w:t>„jednostka</w:t>
            </w:r>
            <w:proofErr w:type="gramEnd"/>
            <w:r w:rsidRPr="00BE5D6A">
              <w:rPr>
                <w:b/>
                <w:i/>
              </w:rPr>
              <w:t xml:space="preserve"> zależna” oznacza jednostkę zależną w rozumieniu art. 3 ust. 1 lit. b) dyrektywy Rady 2011/96/UE, znajdującą się w innym państwie członkowskim i kontrolowaną przez siedzibę główną;</w:t>
            </w:r>
          </w:p>
        </w:tc>
      </w:tr>
    </w:tbl>
    <w:p w:rsidR="0093375B" w:rsidRPr="00BE5D6A" w:rsidRDefault="0093375B" w:rsidP="0093375B"/>
    <w:p w:rsidR="0093375B" w:rsidRPr="00BE5D6A" w:rsidRDefault="0093375B" w:rsidP="0093375B">
      <w:pPr>
        <w:pStyle w:val="AmNumberTabs"/>
        <w:keepNext/>
      </w:pPr>
      <w:r w:rsidRPr="00BE5D6A">
        <w:t>Poprawka</w:t>
      </w:r>
      <w:r w:rsidRPr="00BE5D6A">
        <w:tab/>
      </w:r>
      <w:r w:rsidRPr="00BE5D6A">
        <w:tab/>
        <w:t>24</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3 – akapit 1 – punkt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proofErr w:type="gramStart"/>
            <w:r w:rsidRPr="00BE5D6A">
              <w:t>2)</w:t>
            </w:r>
            <w:r w:rsidRPr="00BE5D6A">
              <w:tab/>
              <w:t>„siedziba</w:t>
            </w:r>
            <w:proofErr w:type="gramEnd"/>
            <w:r w:rsidRPr="00BE5D6A">
              <w:t xml:space="preserve"> główna” oznacza MŚP, </w:t>
            </w:r>
            <w:r w:rsidRPr="00BE5D6A">
              <w:lastRenderedPageBreak/>
              <w:t xml:space="preserve">o którym mowa w art. 2 ust. 1, które prowadzi działalność w innym państwie członkowskim lub innych państwach członkowskich </w:t>
            </w:r>
            <w:r w:rsidRPr="00BE5D6A">
              <w:rPr>
                <w:b/>
                <w:i/>
              </w:rPr>
              <w:t xml:space="preserve">wyłącznie </w:t>
            </w:r>
            <w:r w:rsidRPr="00BE5D6A">
              <w:t>za pośrednictwem co najmniej jednego stałego zakładu;</w:t>
            </w:r>
          </w:p>
        </w:tc>
        <w:tc>
          <w:tcPr>
            <w:tcW w:w="4876" w:type="dxa"/>
          </w:tcPr>
          <w:p w:rsidR="0093375B" w:rsidRPr="00BE5D6A" w:rsidRDefault="0093375B" w:rsidP="005A4C0F">
            <w:pPr>
              <w:pStyle w:val="Normal6a"/>
              <w:rPr>
                <w:szCs w:val="24"/>
              </w:rPr>
            </w:pPr>
            <w:proofErr w:type="gramStart"/>
            <w:r w:rsidRPr="00BE5D6A">
              <w:lastRenderedPageBreak/>
              <w:t>2)</w:t>
            </w:r>
            <w:r w:rsidRPr="00BE5D6A">
              <w:tab/>
              <w:t>„siedziba</w:t>
            </w:r>
            <w:proofErr w:type="gramEnd"/>
            <w:r w:rsidRPr="00BE5D6A">
              <w:t xml:space="preserve"> główna” oznacza MŚP, </w:t>
            </w:r>
            <w:r w:rsidRPr="00BE5D6A">
              <w:lastRenderedPageBreak/>
              <w:t>o którym mowa w art. 2 ust. 1, które prowadzi działalność w innym państwie członkowskim lub innych państwach członkowskich za pośrednictwem co najmniej jednego stałego zakładu</w:t>
            </w:r>
            <w:r w:rsidRPr="00BE5D6A">
              <w:rPr>
                <w:b/>
                <w:i/>
              </w:rPr>
              <w:t xml:space="preserve"> lub nie więcej niż dwóch jednostek zależnych</w:t>
            </w:r>
            <w:r w:rsidRPr="00BE5D6A">
              <w:t>;</w:t>
            </w:r>
          </w:p>
        </w:tc>
      </w:tr>
    </w:tbl>
    <w:p w:rsidR="0093375B" w:rsidRPr="00BE5D6A" w:rsidRDefault="0093375B" w:rsidP="0093375B"/>
    <w:p w:rsidR="0093375B" w:rsidRPr="00BE5D6A" w:rsidRDefault="0093375B" w:rsidP="0093375B">
      <w:pPr>
        <w:pStyle w:val="AmNumberTabs"/>
        <w:keepNext/>
      </w:pPr>
      <w:r w:rsidRPr="00BE5D6A">
        <w:t>Poprawka</w:t>
      </w:r>
      <w:r w:rsidRPr="00BE5D6A">
        <w:tab/>
      </w:r>
      <w:r w:rsidRPr="00BE5D6A">
        <w:tab/>
        <w:t>25</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3 – akapit 1 – punkt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proofErr w:type="gramStart"/>
            <w:r w:rsidRPr="00BE5D6A">
              <w:t>4)</w:t>
            </w:r>
            <w:r w:rsidRPr="00BE5D6A">
              <w:tab/>
              <w:t>„reguły</w:t>
            </w:r>
            <w:proofErr w:type="gramEnd"/>
            <w:r w:rsidRPr="00BE5D6A">
              <w:t xml:space="preserve"> opodatkowania państwa członkowskiego siedziby głównej” oznaczają przepisy podatkowe państwa członkowskiego siedziby głównej, stosowane do obliczania podlegającego opodatkowaniu wyniku siedziby głównej i jej stałych zakładów;</w:t>
            </w:r>
          </w:p>
        </w:tc>
        <w:tc>
          <w:tcPr>
            <w:tcW w:w="4876" w:type="dxa"/>
          </w:tcPr>
          <w:p w:rsidR="0093375B" w:rsidRPr="00BE5D6A" w:rsidRDefault="0093375B" w:rsidP="005A4C0F">
            <w:pPr>
              <w:pStyle w:val="Normal6a"/>
              <w:rPr>
                <w:szCs w:val="24"/>
              </w:rPr>
            </w:pPr>
            <w:proofErr w:type="gramStart"/>
            <w:r w:rsidRPr="00BE5D6A">
              <w:t>4)</w:t>
            </w:r>
            <w:r w:rsidRPr="00BE5D6A">
              <w:tab/>
              <w:t>„reguły</w:t>
            </w:r>
            <w:proofErr w:type="gramEnd"/>
            <w:r w:rsidRPr="00BE5D6A">
              <w:t xml:space="preserve"> opodatkowania państwa członkowskiego siedziby głównej” oznaczają przepisy podatkowe państwa członkowskiego siedziby głównej, stosowane do obliczania podlegającego opodatkowaniu wyniku siedziby głównej i jej stałych zakładów</w:t>
            </w:r>
            <w:r w:rsidRPr="00BE5D6A">
              <w:rPr>
                <w:b/>
                <w:i/>
              </w:rPr>
              <w:t xml:space="preserve"> lub jednostek zależnych</w:t>
            </w:r>
            <w:r w:rsidRPr="00BE5D6A">
              <w:t>;</w:t>
            </w:r>
          </w:p>
        </w:tc>
      </w:tr>
    </w:tbl>
    <w:p w:rsidR="0093375B" w:rsidRPr="00BE5D6A" w:rsidRDefault="0093375B" w:rsidP="0093375B"/>
    <w:p w:rsidR="0093375B" w:rsidRPr="00BE5D6A" w:rsidRDefault="0093375B" w:rsidP="0093375B">
      <w:pPr>
        <w:pStyle w:val="AmNumberTabs"/>
        <w:keepNext/>
      </w:pPr>
      <w:r w:rsidRPr="00BE5D6A">
        <w:t>Poprawka</w:t>
      </w:r>
      <w:r w:rsidRPr="00BE5D6A">
        <w:tab/>
      </w:r>
      <w:r w:rsidRPr="00BE5D6A">
        <w:tab/>
        <w:t>26</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3 – akapit 1 – punkt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proofErr w:type="gramStart"/>
            <w:r w:rsidRPr="00BE5D6A">
              <w:t>5)</w:t>
            </w:r>
            <w:r w:rsidRPr="00BE5D6A">
              <w:tab/>
              <w:t>„państwo</w:t>
            </w:r>
            <w:proofErr w:type="gramEnd"/>
            <w:r w:rsidRPr="00BE5D6A">
              <w:t xml:space="preserve"> członkowskie działalności” oznacza państwo członkowskie, w którym znajduje się stały zakład MŚP, o którym mowa w art. 2 ust. 1;</w:t>
            </w:r>
          </w:p>
        </w:tc>
        <w:tc>
          <w:tcPr>
            <w:tcW w:w="4876" w:type="dxa"/>
          </w:tcPr>
          <w:p w:rsidR="0093375B" w:rsidRPr="00BE5D6A" w:rsidRDefault="0093375B" w:rsidP="005A4C0F">
            <w:pPr>
              <w:pStyle w:val="Normal6a"/>
              <w:rPr>
                <w:szCs w:val="24"/>
              </w:rPr>
            </w:pPr>
            <w:proofErr w:type="gramStart"/>
            <w:r w:rsidRPr="00BE5D6A">
              <w:t>5)</w:t>
            </w:r>
            <w:r w:rsidRPr="00BE5D6A">
              <w:tab/>
              <w:t>„państwo</w:t>
            </w:r>
            <w:proofErr w:type="gramEnd"/>
            <w:r w:rsidRPr="00BE5D6A">
              <w:t xml:space="preserve"> członkowskie działalności” oznacza państwo członkowskie, w którym znajduje się stały zakład </w:t>
            </w:r>
            <w:r w:rsidRPr="00BE5D6A">
              <w:rPr>
                <w:b/>
                <w:i/>
              </w:rPr>
              <w:t xml:space="preserve">lub jednostka zależna </w:t>
            </w:r>
            <w:r w:rsidRPr="00BE5D6A">
              <w:t>MŚP, o którym mowa w art. 2 ust. 1;</w:t>
            </w:r>
          </w:p>
        </w:tc>
      </w:tr>
    </w:tbl>
    <w:p w:rsidR="0093375B" w:rsidRPr="00BE5D6A" w:rsidRDefault="0093375B" w:rsidP="0093375B"/>
    <w:p w:rsidR="0093375B" w:rsidRPr="00BE5D6A" w:rsidRDefault="0093375B" w:rsidP="0093375B">
      <w:pPr>
        <w:pStyle w:val="AmNumberTabs"/>
        <w:keepNext/>
      </w:pPr>
      <w:r w:rsidRPr="00BE5D6A">
        <w:t>Poprawka</w:t>
      </w:r>
      <w:r w:rsidRPr="00BE5D6A">
        <w:tab/>
      </w:r>
      <w:r w:rsidRPr="00BE5D6A">
        <w:tab/>
        <w:t>27</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3 – akapit 1 – punkt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proofErr w:type="gramStart"/>
            <w:r w:rsidRPr="00BE5D6A">
              <w:t>6)</w:t>
            </w:r>
            <w:r w:rsidRPr="00BE5D6A">
              <w:tab/>
              <w:t>„podlegający</w:t>
            </w:r>
            <w:proofErr w:type="gramEnd"/>
            <w:r w:rsidRPr="00BE5D6A">
              <w:t xml:space="preserve"> opodatkowaniu wynik stałego zakładu” oznacza dochód lub stratę podlegające opodatkowaniu, obliczone zgodnie z regułami opodatkowania </w:t>
            </w:r>
            <w:r w:rsidRPr="00BE5D6A">
              <w:lastRenderedPageBreak/>
              <w:t>państwa członkowskiego siedziby głównej;</w:t>
            </w:r>
          </w:p>
        </w:tc>
        <w:tc>
          <w:tcPr>
            <w:tcW w:w="4876" w:type="dxa"/>
          </w:tcPr>
          <w:p w:rsidR="0093375B" w:rsidRPr="00BE5D6A" w:rsidRDefault="0093375B" w:rsidP="005A4C0F">
            <w:pPr>
              <w:pStyle w:val="Normal6a"/>
              <w:rPr>
                <w:szCs w:val="24"/>
              </w:rPr>
            </w:pPr>
            <w:proofErr w:type="gramStart"/>
            <w:r w:rsidRPr="00BE5D6A">
              <w:lastRenderedPageBreak/>
              <w:t>6)</w:t>
            </w:r>
            <w:r w:rsidRPr="00BE5D6A">
              <w:tab/>
              <w:t>„</w:t>
            </w:r>
            <w:bookmarkStart w:id="7" w:name="_Hlk143594514"/>
            <w:r w:rsidRPr="00BE5D6A">
              <w:t>podlegający</w:t>
            </w:r>
            <w:proofErr w:type="gramEnd"/>
            <w:r w:rsidRPr="00BE5D6A">
              <w:t xml:space="preserve"> opodatkowaniu wynik stałego zakładu</w:t>
            </w:r>
            <w:bookmarkEnd w:id="7"/>
            <w:r w:rsidRPr="00BE5D6A">
              <w:t xml:space="preserve">” oznacza dochód lub stratę </w:t>
            </w:r>
            <w:r w:rsidRPr="00BE5D6A">
              <w:rPr>
                <w:b/>
                <w:i/>
              </w:rPr>
              <w:t xml:space="preserve">przypisane stałemu zakładowi oraz nie więcej niż dwóm jednostkom zależnym i </w:t>
            </w:r>
            <w:r w:rsidRPr="00BE5D6A">
              <w:lastRenderedPageBreak/>
              <w:t>podlegające opodatkowaniu, obliczone zgodnie z regułami opodatkowania państwa członkowskiego siedziby głównej;</w:t>
            </w:r>
          </w:p>
        </w:tc>
      </w:tr>
    </w:tbl>
    <w:p w:rsidR="0093375B" w:rsidRPr="00BE5D6A" w:rsidRDefault="0093375B" w:rsidP="0093375B"/>
    <w:p w:rsidR="0093375B" w:rsidRPr="00BE5D6A" w:rsidRDefault="0093375B" w:rsidP="0093375B">
      <w:pPr>
        <w:pStyle w:val="AmNumberTabs"/>
        <w:keepNext/>
      </w:pPr>
      <w:r w:rsidRPr="00BE5D6A">
        <w:t>Poprawka</w:t>
      </w:r>
      <w:r w:rsidRPr="00BE5D6A">
        <w:tab/>
      </w:r>
      <w:r w:rsidRPr="00BE5D6A">
        <w:tab/>
        <w:t>28</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3 – akapit 1 – punkt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proofErr w:type="gramStart"/>
            <w:r w:rsidRPr="00BE5D6A">
              <w:t>8)</w:t>
            </w:r>
            <w:r w:rsidRPr="00BE5D6A">
              <w:tab/>
              <w:t>„deklaracja</w:t>
            </w:r>
            <w:proofErr w:type="gramEnd"/>
            <w:r w:rsidRPr="00BE5D6A">
              <w:t xml:space="preserve"> podatkowa siedziby głównej” oznacza deklarację podatkową składaną przez MŚP, o którym mowa w art. 2 ust. 1, obejmującą podlegające opodatkowaniu wyniki siedziby głównej i </w:t>
            </w:r>
            <w:r w:rsidRPr="00BE5D6A">
              <w:rPr>
                <w:b/>
                <w:i/>
              </w:rPr>
              <w:t>stałego zakładu</w:t>
            </w:r>
            <w:r w:rsidRPr="00BE5D6A">
              <w:t xml:space="preserve"> </w:t>
            </w:r>
            <w:r w:rsidRPr="00BE5D6A">
              <w:rPr>
                <w:b/>
                <w:bCs/>
                <w:i/>
                <w:iCs/>
              </w:rPr>
              <w:t>lub</w:t>
            </w:r>
            <w:r w:rsidRPr="00BE5D6A">
              <w:t xml:space="preserve"> stałych zakładów, obliczone zgodnie z regułami opodatkowania państwa członkowskiego siedziby głównej.</w:t>
            </w:r>
          </w:p>
        </w:tc>
        <w:tc>
          <w:tcPr>
            <w:tcW w:w="4876" w:type="dxa"/>
          </w:tcPr>
          <w:p w:rsidR="0093375B" w:rsidRPr="00BE5D6A" w:rsidRDefault="0093375B" w:rsidP="005A4C0F">
            <w:pPr>
              <w:pStyle w:val="Normal6a"/>
              <w:rPr>
                <w:szCs w:val="24"/>
              </w:rPr>
            </w:pPr>
            <w:proofErr w:type="gramStart"/>
            <w:r w:rsidRPr="00BE5D6A">
              <w:t>8)</w:t>
            </w:r>
            <w:r w:rsidRPr="00BE5D6A">
              <w:tab/>
              <w:t>„deklaracja</w:t>
            </w:r>
            <w:proofErr w:type="gramEnd"/>
            <w:r w:rsidRPr="00BE5D6A">
              <w:t xml:space="preserve"> podatkowa siedziby głównej” oznacza deklarację podatkową składaną przez MŚP, o którym mowa w art. 2 ust. 1, obejmującą podlegające opodatkowaniu wyniki siedziby głównej i stałych zakładów </w:t>
            </w:r>
            <w:r w:rsidRPr="00BE5D6A">
              <w:rPr>
                <w:b/>
                <w:bCs/>
                <w:i/>
                <w:iCs/>
              </w:rPr>
              <w:t>lub</w:t>
            </w:r>
            <w:r w:rsidRPr="00BE5D6A">
              <w:t xml:space="preserve"> </w:t>
            </w:r>
            <w:r w:rsidRPr="00BE5D6A">
              <w:rPr>
                <w:b/>
                <w:i/>
              </w:rPr>
              <w:t>jednostek zależnych</w:t>
            </w:r>
            <w:r w:rsidRPr="00BE5D6A">
              <w:t>, obliczone zgodnie z regułami opodatkowania państwa członkowskiego siedziby głównej.</w:t>
            </w:r>
          </w:p>
        </w:tc>
      </w:tr>
    </w:tbl>
    <w:p w:rsidR="0093375B" w:rsidRPr="00BE5D6A" w:rsidRDefault="0093375B" w:rsidP="0093375B"/>
    <w:p w:rsidR="0093375B" w:rsidRPr="00BE5D6A" w:rsidRDefault="0093375B" w:rsidP="0093375B">
      <w:pPr>
        <w:spacing w:before="120" w:after="120"/>
      </w:pPr>
    </w:p>
    <w:p w:rsidR="0093375B" w:rsidRPr="00BE5D6A" w:rsidRDefault="0093375B" w:rsidP="0093375B">
      <w:pPr>
        <w:pStyle w:val="AmNumberTabs"/>
        <w:keepNext/>
      </w:pPr>
      <w:r w:rsidRPr="00BE5D6A">
        <w:t>Poprawka</w:t>
      </w:r>
      <w:r w:rsidRPr="00BE5D6A">
        <w:tab/>
      </w:r>
      <w:r w:rsidRPr="00BE5D6A">
        <w:tab/>
        <w:t>29</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4 – ustęp 1 – wprowadzenie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rPr>
                <w:b/>
                <w:i/>
              </w:rPr>
            </w:pPr>
            <w:r w:rsidRPr="00BE5D6A">
              <w:t>1.</w:t>
            </w:r>
            <w:r w:rsidRPr="00BE5D6A">
              <w:tab/>
              <w:t xml:space="preserve">Siedziba główna może zdecydować się na stosowanie reguł opodatkowania państwa członkowskiego siedziby głównej w odniesieniu do </w:t>
            </w:r>
            <w:r w:rsidRPr="00BE5D6A">
              <w:rPr>
                <w:b/>
                <w:i/>
              </w:rPr>
              <w:t xml:space="preserve">swojego stałego zakładu lub </w:t>
            </w:r>
            <w:r w:rsidRPr="00BE5D6A">
              <w:t>swoich stałych zakładów w innych państwach członkowskich, jeżeli spełnia ona następujące wymogi:</w:t>
            </w:r>
          </w:p>
        </w:tc>
        <w:tc>
          <w:tcPr>
            <w:tcW w:w="4876" w:type="dxa"/>
          </w:tcPr>
          <w:p w:rsidR="0093375B" w:rsidRPr="00BE5D6A" w:rsidRDefault="0093375B" w:rsidP="005A4C0F">
            <w:pPr>
              <w:pStyle w:val="Normal6a"/>
              <w:rPr>
                <w:b/>
                <w:i/>
                <w:szCs w:val="24"/>
              </w:rPr>
            </w:pPr>
            <w:r w:rsidRPr="00BE5D6A">
              <w:t>1</w:t>
            </w:r>
            <w:r w:rsidR="004A0B1D">
              <w:t>.</w:t>
            </w:r>
            <w:r w:rsidRPr="00BE5D6A">
              <w:tab/>
              <w:t>Siedziba główna może zdecydować się na stosowanie reguł opodatkowania państwa członkowskiego siedziby głównej w odniesieniu do swoich stałych zakładów</w:t>
            </w:r>
            <w:r w:rsidRPr="00BE5D6A">
              <w:rPr>
                <w:b/>
                <w:i/>
              </w:rPr>
              <w:t xml:space="preserve"> i jednostek zależnych</w:t>
            </w:r>
            <w:r w:rsidRPr="00BE5D6A">
              <w:t xml:space="preserve"> w innych państwach członkowskich, jeżeli spełnia ona następujące wymogi:</w:t>
            </w:r>
          </w:p>
        </w:tc>
      </w:tr>
    </w:tbl>
    <w:p w:rsidR="0093375B" w:rsidRPr="00BE5D6A" w:rsidRDefault="0093375B" w:rsidP="0093375B"/>
    <w:p w:rsidR="0093375B" w:rsidRPr="00BE5D6A" w:rsidRDefault="0093375B" w:rsidP="0093375B">
      <w:pPr>
        <w:pStyle w:val="AmNumberTabs"/>
        <w:keepNext/>
      </w:pPr>
      <w:r w:rsidRPr="00BE5D6A">
        <w:t>Poprawka</w:t>
      </w:r>
      <w:r w:rsidRPr="00BE5D6A">
        <w:tab/>
      </w:r>
      <w:r w:rsidRPr="00BE5D6A">
        <w:tab/>
        <w:t>30</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4 – ustęp 1 – litera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a</w:t>
            </w:r>
            <w:proofErr w:type="gramStart"/>
            <w:r w:rsidRPr="00BE5D6A">
              <w:t>)</w:t>
            </w:r>
            <w:r w:rsidRPr="00BE5D6A">
              <w:tab/>
              <w:t>łączny</w:t>
            </w:r>
            <w:proofErr w:type="gramEnd"/>
            <w:r w:rsidRPr="00BE5D6A">
              <w:t xml:space="preserve"> obrót jej stałych zakładów nie przekraczał, w ciągu ostatnich </w:t>
            </w:r>
            <w:r w:rsidRPr="00BE5D6A">
              <w:rPr>
                <w:b/>
                <w:i/>
              </w:rPr>
              <w:t>dwóch</w:t>
            </w:r>
            <w:r w:rsidRPr="00BE5D6A">
              <w:t xml:space="preserve"> lat podatkowych, kwoty równej </w:t>
            </w:r>
            <w:r w:rsidRPr="00BE5D6A">
              <w:rPr>
                <w:b/>
                <w:i/>
              </w:rPr>
              <w:lastRenderedPageBreak/>
              <w:t>dwukrotności</w:t>
            </w:r>
            <w:r w:rsidRPr="00BE5D6A">
              <w:t xml:space="preserve"> obrotu generowanego przez siedzibę główną;</w:t>
            </w:r>
          </w:p>
        </w:tc>
        <w:tc>
          <w:tcPr>
            <w:tcW w:w="4876" w:type="dxa"/>
          </w:tcPr>
          <w:p w:rsidR="0093375B" w:rsidRPr="00BE5D6A" w:rsidRDefault="0093375B" w:rsidP="005A4C0F">
            <w:pPr>
              <w:pStyle w:val="Normal6a"/>
              <w:rPr>
                <w:b/>
                <w:i/>
                <w:szCs w:val="24"/>
              </w:rPr>
            </w:pPr>
            <w:r w:rsidRPr="00BE5D6A">
              <w:lastRenderedPageBreak/>
              <w:t>a</w:t>
            </w:r>
            <w:proofErr w:type="gramStart"/>
            <w:r w:rsidRPr="00BE5D6A">
              <w:t>)</w:t>
            </w:r>
            <w:r w:rsidRPr="00BE5D6A">
              <w:tab/>
              <w:t>łączny</w:t>
            </w:r>
            <w:proofErr w:type="gramEnd"/>
            <w:r w:rsidRPr="00BE5D6A">
              <w:t xml:space="preserve"> obrót jej stałych zakładów </w:t>
            </w:r>
            <w:r w:rsidRPr="00BE5D6A">
              <w:rPr>
                <w:b/>
                <w:i/>
              </w:rPr>
              <w:t xml:space="preserve">i jednostek zależnych </w:t>
            </w:r>
            <w:r w:rsidRPr="00BE5D6A">
              <w:t xml:space="preserve">nie przekraczał, w ciągu ostatnich </w:t>
            </w:r>
            <w:r w:rsidRPr="00BE5D6A">
              <w:rPr>
                <w:b/>
                <w:i/>
              </w:rPr>
              <w:t>trzech</w:t>
            </w:r>
            <w:r w:rsidRPr="00BE5D6A">
              <w:t xml:space="preserve"> lat podatkowych, </w:t>
            </w:r>
            <w:r w:rsidRPr="00BE5D6A">
              <w:lastRenderedPageBreak/>
              <w:t xml:space="preserve">kwoty równej </w:t>
            </w:r>
            <w:r w:rsidRPr="00BE5D6A">
              <w:rPr>
                <w:b/>
                <w:i/>
              </w:rPr>
              <w:t>trzykrotności</w:t>
            </w:r>
            <w:r w:rsidRPr="00BE5D6A">
              <w:t xml:space="preserve"> obrotu generowanego przez siedzibę główną;</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31</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4 – ustęp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b</w:t>
            </w:r>
            <w:proofErr w:type="gramStart"/>
            <w:r w:rsidRPr="00BE5D6A">
              <w:t>)</w:t>
            </w:r>
            <w:r w:rsidRPr="00BE5D6A">
              <w:tab/>
              <w:t>w</w:t>
            </w:r>
            <w:proofErr w:type="gramEnd"/>
            <w:r w:rsidRPr="00BE5D6A">
              <w:t xml:space="preserve"> ciągu </w:t>
            </w:r>
            <w:r w:rsidRPr="00BE5D6A">
              <w:rPr>
                <w:b/>
                <w:i/>
              </w:rPr>
              <w:t>ostatnich dwóch lat podatkowych</w:t>
            </w:r>
            <w:r w:rsidRPr="00BE5D6A">
              <w:t xml:space="preserve"> była rezydentem do celów podatkowych w</w:t>
            </w:r>
            <w:r w:rsidRPr="00BE5D6A">
              <w:rPr>
                <w:b/>
                <w:i/>
              </w:rPr>
              <w:t> </w:t>
            </w:r>
            <w:r w:rsidRPr="00BE5D6A">
              <w:t>państwie członkowskim siedziby głównej;</w:t>
            </w:r>
          </w:p>
        </w:tc>
        <w:tc>
          <w:tcPr>
            <w:tcW w:w="4876" w:type="dxa"/>
          </w:tcPr>
          <w:p w:rsidR="0093375B" w:rsidRPr="00BE5D6A" w:rsidRDefault="0093375B" w:rsidP="005A4C0F">
            <w:pPr>
              <w:pStyle w:val="Normal6a"/>
            </w:pPr>
            <w:r w:rsidRPr="00BE5D6A">
              <w:t>b</w:t>
            </w:r>
            <w:proofErr w:type="gramStart"/>
            <w:r w:rsidRPr="00BE5D6A">
              <w:t>)</w:t>
            </w:r>
            <w:r w:rsidRPr="00BE5D6A">
              <w:tab/>
              <w:t>w</w:t>
            </w:r>
            <w:proofErr w:type="gramEnd"/>
            <w:r w:rsidRPr="00BE5D6A">
              <w:t xml:space="preserve"> ciągu </w:t>
            </w:r>
            <w:r w:rsidRPr="00BE5D6A">
              <w:rPr>
                <w:b/>
                <w:i/>
              </w:rPr>
              <w:t>ostatniego roku podatkowego</w:t>
            </w:r>
            <w:r w:rsidRPr="00BE5D6A">
              <w:t xml:space="preserve"> była rezydentem do celów podatkowych w</w:t>
            </w:r>
            <w:r w:rsidRPr="00BE5D6A">
              <w:rPr>
                <w:b/>
                <w:i/>
              </w:rPr>
              <w:t xml:space="preserve"> </w:t>
            </w:r>
            <w:r w:rsidRPr="00BE5D6A">
              <w:t>państwie członkowskim</w:t>
            </w:r>
            <w:r w:rsidRPr="00BE5D6A">
              <w:rPr>
                <w:b/>
                <w:i/>
              </w:rPr>
              <w:t xml:space="preserve"> siedziby głównej lub, jeśli powstała później, od ustanowienia</w:t>
            </w:r>
            <w:r w:rsidRPr="00BE5D6A">
              <w:t xml:space="preserve"> siedziby głównej;</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32</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4 – ustęp 1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c</w:t>
            </w:r>
            <w:proofErr w:type="gramStart"/>
            <w:r w:rsidRPr="00BE5D6A">
              <w:t>)</w:t>
            </w:r>
            <w:r w:rsidRPr="00BE5D6A">
              <w:tab/>
              <w:t>w</w:t>
            </w:r>
            <w:proofErr w:type="gramEnd"/>
            <w:r w:rsidRPr="00BE5D6A">
              <w:t xml:space="preserve"> ciągu </w:t>
            </w:r>
            <w:r w:rsidRPr="00BE5D6A">
              <w:rPr>
                <w:b/>
                <w:i/>
              </w:rPr>
              <w:t>ostatnich dwóch lat podatkowych</w:t>
            </w:r>
            <w:r w:rsidRPr="00BE5D6A">
              <w:t xml:space="preserve"> spełniała warunki określone w</w:t>
            </w:r>
            <w:r w:rsidRPr="00BE5D6A">
              <w:rPr>
                <w:b/>
                <w:i/>
              </w:rPr>
              <w:t> </w:t>
            </w:r>
            <w:r w:rsidRPr="00BE5D6A">
              <w:t>art.</w:t>
            </w:r>
            <w:r w:rsidRPr="00BE5D6A">
              <w:rPr>
                <w:b/>
                <w:i/>
              </w:rPr>
              <w:t> </w:t>
            </w:r>
            <w:r w:rsidRPr="00BE5D6A">
              <w:t>2 ust.</w:t>
            </w:r>
            <w:r w:rsidRPr="00BE5D6A">
              <w:rPr>
                <w:b/>
                <w:i/>
              </w:rPr>
              <w:t> </w:t>
            </w:r>
            <w:r w:rsidRPr="00BE5D6A">
              <w:t>1 lit.</w:t>
            </w:r>
            <w:r w:rsidRPr="00BE5D6A">
              <w:rPr>
                <w:b/>
                <w:i/>
              </w:rPr>
              <w:t> </w:t>
            </w:r>
            <w:r w:rsidRPr="00BE5D6A">
              <w:t>d).</w:t>
            </w:r>
          </w:p>
        </w:tc>
        <w:tc>
          <w:tcPr>
            <w:tcW w:w="4876" w:type="dxa"/>
          </w:tcPr>
          <w:p w:rsidR="0093375B" w:rsidRPr="00BE5D6A" w:rsidRDefault="0093375B" w:rsidP="005A4C0F">
            <w:pPr>
              <w:pStyle w:val="Normal6a"/>
            </w:pPr>
            <w:r w:rsidRPr="00BE5D6A">
              <w:t>c</w:t>
            </w:r>
            <w:proofErr w:type="gramStart"/>
            <w:r w:rsidRPr="00BE5D6A">
              <w:t>)</w:t>
            </w:r>
            <w:r w:rsidRPr="00BE5D6A">
              <w:tab/>
              <w:t>w</w:t>
            </w:r>
            <w:proofErr w:type="gramEnd"/>
            <w:r w:rsidRPr="00BE5D6A">
              <w:t xml:space="preserve"> ciągu </w:t>
            </w:r>
            <w:r w:rsidRPr="00BE5D6A">
              <w:rPr>
                <w:b/>
                <w:i/>
              </w:rPr>
              <w:t>ostatniego roku podatkowego</w:t>
            </w:r>
            <w:r w:rsidRPr="00BE5D6A">
              <w:t xml:space="preserve"> spełniała warunki określone w</w:t>
            </w:r>
            <w:r w:rsidRPr="00BE5D6A">
              <w:rPr>
                <w:b/>
                <w:i/>
              </w:rPr>
              <w:t xml:space="preserve"> </w:t>
            </w:r>
            <w:r w:rsidRPr="00BE5D6A">
              <w:t>art.</w:t>
            </w:r>
            <w:r w:rsidRPr="00BE5D6A">
              <w:rPr>
                <w:b/>
                <w:i/>
              </w:rPr>
              <w:t xml:space="preserve"> </w:t>
            </w:r>
            <w:r w:rsidRPr="00BE5D6A">
              <w:t>2 ust.</w:t>
            </w:r>
            <w:r w:rsidRPr="00BE5D6A">
              <w:rPr>
                <w:b/>
                <w:i/>
              </w:rPr>
              <w:t xml:space="preserve"> </w:t>
            </w:r>
            <w:r w:rsidRPr="00BE5D6A">
              <w:t>1 lit.</w:t>
            </w:r>
            <w:r w:rsidRPr="00BE5D6A">
              <w:rPr>
                <w:b/>
                <w:i/>
              </w:rPr>
              <w:t xml:space="preserve"> </w:t>
            </w:r>
            <w:r w:rsidRPr="00BE5D6A">
              <w:t>d)</w:t>
            </w:r>
            <w:r w:rsidRPr="00BE5D6A">
              <w:rPr>
                <w:b/>
                <w:i/>
              </w:rPr>
              <w:t xml:space="preserve"> lub, jeśli powstała później, od ustanowienia siedziby głównej</w:t>
            </w:r>
            <w:r w:rsidRPr="00BE5D6A">
              <w:t>.</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33</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4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2.</w:t>
            </w:r>
            <w:r w:rsidRPr="00BE5D6A">
              <w:tab/>
              <w:t xml:space="preserve">Jeżeli siedziba główna zdecyduje się na stosowanie reguł opodatkowania państwa członkowskiego siedziby głównej zgodnie z ust. 1, stosuje te zasady do wszystkich swoich stałych zakładów w innych państwach członkowskich. Jeżeli tworzy ona nowy stały zakład w innym państwie członkowskim, stosuje wobec takiego stałego zakładu reguły opodatkowania państwa członkowskiego siedziby głównej od chwili jego </w:t>
            </w:r>
            <w:r w:rsidRPr="00BE5D6A">
              <w:lastRenderedPageBreak/>
              <w:t>utworzenia.</w:t>
            </w:r>
          </w:p>
        </w:tc>
        <w:tc>
          <w:tcPr>
            <w:tcW w:w="4876" w:type="dxa"/>
          </w:tcPr>
          <w:p w:rsidR="0093375B" w:rsidRPr="00BE5D6A" w:rsidRDefault="0093375B" w:rsidP="005A4C0F">
            <w:pPr>
              <w:pStyle w:val="Normal6a"/>
            </w:pPr>
            <w:r w:rsidRPr="00BE5D6A">
              <w:lastRenderedPageBreak/>
              <w:t>2.</w:t>
            </w:r>
            <w:r w:rsidRPr="00BE5D6A">
              <w:tab/>
              <w:t xml:space="preserve">Jeżeli siedziba główna zdecyduje się na stosowanie reguł opodatkowania państwa członkowskiego siedziby głównej zgodnie z ust. 1, stosuje te zasady do wszystkich swoich stałych zakładów </w:t>
            </w:r>
            <w:r w:rsidRPr="00BE5D6A">
              <w:rPr>
                <w:b/>
                <w:i/>
              </w:rPr>
              <w:t xml:space="preserve">lub jednostek zależnych </w:t>
            </w:r>
            <w:r w:rsidRPr="00BE5D6A">
              <w:t xml:space="preserve">w innych państwach członkowskich. Jeżeli tworzy ona nowy stały zakład w innym państwie członkowskim, stosuje wobec takiego stałego zakładu reguły opodatkowania państwa członkowskiego siedziby głównej od chwili jego utworzenia. </w:t>
            </w:r>
            <w:r w:rsidRPr="00BE5D6A">
              <w:rPr>
                <w:b/>
                <w:i/>
              </w:rPr>
              <w:t xml:space="preserve">Jeżeli tworzy </w:t>
            </w:r>
            <w:r w:rsidRPr="00BE5D6A">
              <w:rPr>
                <w:b/>
                <w:i/>
              </w:rPr>
              <w:lastRenderedPageBreak/>
              <w:t>ona pierwszą jednostkę zależną w innym państwie członkowskim, stosuje wobec niej od chwili utworzenia reguły opodatkowania państwa członkowskiego siedziby głównej i informuje o tym państwo członkowskie działalności.</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34</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4 – ustęp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
        </w:tc>
        <w:tc>
          <w:tcPr>
            <w:tcW w:w="4876" w:type="dxa"/>
          </w:tcPr>
          <w:p w:rsidR="0093375B" w:rsidRPr="00BE5D6A" w:rsidRDefault="0093375B" w:rsidP="005A4C0F">
            <w:pPr>
              <w:pStyle w:val="Normal6a"/>
              <w:rPr>
                <w:b/>
                <w:i/>
              </w:rPr>
            </w:pPr>
            <w:r w:rsidRPr="00BE5D6A">
              <w:rPr>
                <w:b/>
                <w:i/>
              </w:rPr>
              <w:t>2a.</w:t>
            </w:r>
            <w:r w:rsidRPr="00BE5D6A">
              <w:rPr>
                <w:b/>
                <w:i/>
              </w:rPr>
              <w:tab/>
              <w:t>Wymogu, o którym mowa w ust. 1 lit. a), nie stosuje się, jeżeli siedzibę główną ustanowiono mniej niż trzy lata przed datą skorzystania z możliwości stosowania reguł opodatkowania państwa członkowskiego siedziby głównej.</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35</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5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 xml:space="preserve">W przypadku gdy siedziba główna uzyskuje dochód z działalności żeglugowej, a dochód ten podlega w państwie członkowskim siedziby głównej systemowi podatku tonażowego, taka siedziba główna jest wyłączona ze stosowania reguł opodatkowania państwa członkowskiego siedziby głównej w odniesieniu do </w:t>
            </w:r>
            <w:r w:rsidRPr="00BE5D6A">
              <w:rPr>
                <w:b/>
                <w:i/>
              </w:rPr>
              <w:t xml:space="preserve">swojego stałego zakładu lub </w:t>
            </w:r>
            <w:r w:rsidRPr="00BE5D6A">
              <w:t>swoich stałych zakładów w innych państwach członkowskich w zakresie, w jakim uzyskują one dochody z działalności żeglugowej.</w:t>
            </w:r>
          </w:p>
        </w:tc>
        <w:tc>
          <w:tcPr>
            <w:tcW w:w="4876" w:type="dxa"/>
          </w:tcPr>
          <w:p w:rsidR="0093375B" w:rsidRPr="00BE5D6A" w:rsidRDefault="0093375B" w:rsidP="005A4C0F">
            <w:pPr>
              <w:pStyle w:val="Normal6a"/>
            </w:pPr>
            <w:r w:rsidRPr="00BE5D6A">
              <w:t>W przypadku gdy siedziba główna uzyskuje dochód z działalności żeglugowej, a dochód ten podlega w państwie członkowskim siedziby głównej systemowi podatku tonażowego, taka siedziba główna jest wyłączona ze stosowania reguł opodatkowania państwa członkowskiego siedziby głównej w odniesieniu do swoich stałych zakładów</w:t>
            </w:r>
            <w:r w:rsidRPr="00BE5D6A">
              <w:rPr>
                <w:b/>
                <w:i/>
              </w:rPr>
              <w:t xml:space="preserve"> i jednostek zależnych</w:t>
            </w:r>
            <w:r w:rsidRPr="00BE5D6A">
              <w:t xml:space="preserve"> w innych państwach członkowskich w zakresie, w jakim uzyskują one dochody z działalności żeglugowej.</w:t>
            </w:r>
          </w:p>
        </w:tc>
      </w:tr>
    </w:tbl>
    <w:p w:rsidR="0093375B" w:rsidRPr="00BE5D6A" w:rsidRDefault="0093375B" w:rsidP="0093375B"/>
    <w:p w:rsidR="0093375B" w:rsidRPr="00BE5D6A" w:rsidRDefault="0093375B" w:rsidP="0093375B">
      <w:pPr>
        <w:spacing w:before="120" w:after="120"/>
      </w:pPr>
    </w:p>
    <w:p w:rsidR="0093375B" w:rsidRPr="00BE5D6A" w:rsidRDefault="0093375B" w:rsidP="0093375B">
      <w:pPr>
        <w:pStyle w:val="AmNumberTabs"/>
        <w:keepNext/>
      </w:pPr>
      <w:r w:rsidRPr="00BE5D6A">
        <w:lastRenderedPageBreak/>
        <w:t>Poprawka</w:t>
      </w:r>
      <w:r w:rsidRPr="00BE5D6A">
        <w:tab/>
      </w:r>
      <w:r w:rsidRPr="00BE5D6A">
        <w:tab/>
        <w:t>36</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6 – ustęp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1.</w:t>
            </w:r>
            <w:r w:rsidRPr="00BE5D6A">
              <w:tab/>
              <w:t xml:space="preserve">Siedziba główna, która decyduje się na stosowanie reguł opodatkowania państwa członkowskiego siedziby głównej do swojego stałego zakładu lub swoich stałych zakładów, powiadamia o swoim wyborze organ przyjmujący deklaracje, podając nazwę państwa członkowskiego lub państw członkowskich działalności. Powiadomienia dokonuje się co najmniej </w:t>
            </w:r>
            <w:r w:rsidRPr="00BE5D6A">
              <w:rPr>
                <w:b/>
                <w:i/>
              </w:rPr>
              <w:t>trzy</w:t>
            </w:r>
            <w:r w:rsidRPr="00BE5D6A">
              <w:t xml:space="preserve"> miesiące przed końcem roku podatkowego poprzedzającego rok podatkowy, w którym dane MŚP zamierza rozpocząć stosowanie reguł opodatkowania państwa członkowskiego siedziby głównej.</w:t>
            </w:r>
          </w:p>
        </w:tc>
        <w:tc>
          <w:tcPr>
            <w:tcW w:w="4876" w:type="dxa"/>
          </w:tcPr>
          <w:p w:rsidR="0093375B" w:rsidRPr="00BE5D6A" w:rsidRDefault="0093375B" w:rsidP="005A4C0F">
            <w:pPr>
              <w:pStyle w:val="Normal6a"/>
              <w:rPr>
                <w:szCs w:val="24"/>
              </w:rPr>
            </w:pPr>
            <w:r w:rsidRPr="00BE5D6A">
              <w:t>1.</w:t>
            </w:r>
            <w:r w:rsidRPr="00BE5D6A">
              <w:tab/>
              <w:t>Siedziba główna, która decyduje się na stosowanie reguł opodatkowania państwa członkowskiego siedziby głównej do swojego stałego zakładu lub swoich stałych zakładów</w:t>
            </w:r>
            <w:r w:rsidRPr="00BE5D6A">
              <w:rPr>
                <w:b/>
                <w:i/>
              </w:rPr>
              <w:t xml:space="preserve"> bądź jednostki zależnej lub jednostek zależnych</w:t>
            </w:r>
            <w:r w:rsidRPr="00BE5D6A">
              <w:t xml:space="preserve">, powiadamia o swoim wyborze organ przyjmujący deklaracje, podając nazwę państwa członkowskiego lub państw członkowskich działalności. Powiadomienia dokonuje się co najmniej </w:t>
            </w:r>
            <w:r w:rsidRPr="00BE5D6A">
              <w:rPr>
                <w:b/>
                <w:i/>
              </w:rPr>
              <w:t>dwa</w:t>
            </w:r>
            <w:r w:rsidRPr="00BE5D6A">
              <w:t xml:space="preserve"> miesiące przed końcem roku podatkowego poprzedzającego rok podatkowy, w którym dane MŚP zamierza rozpocząć stosowanie reguł opodatkowania państwa członkowskiego siedziby głównej.</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37</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6 – ustęp 1 a (nowy)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
        </w:tc>
        <w:tc>
          <w:tcPr>
            <w:tcW w:w="4876" w:type="dxa"/>
          </w:tcPr>
          <w:p w:rsidR="0093375B" w:rsidRPr="00BE5D6A" w:rsidRDefault="0093375B" w:rsidP="005A4C0F">
            <w:pPr>
              <w:pStyle w:val="Normal6a"/>
            </w:pPr>
            <w:r w:rsidRPr="00BE5D6A">
              <w:rPr>
                <w:b/>
                <w:i/>
              </w:rPr>
              <w:t>1a.</w:t>
            </w:r>
            <w:r w:rsidRPr="00BE5D6A">
              <w:rPr>
                <w:b/>
                <w:i/>
              </w:rPr>
              <w:tab/>
              <w:t>W przypadku ustanowienia pierwszego stałego zakładu lub pierwszej jednostki zależnej w innym państwie członkowskim MŚP może stosować reguły opodatkowania państwa członkowskiego siedziby głównej od roku, w którym ustanowiono stały zakład lub jednostkę zależną, bez konieczności powiadamiania organu przyjmującego deklaracje trzy miesiące przed końcem poprzedniego roku podatkowego.</w:t>
            </w:r>
          </w:p>
        </w:tc>
      </w:tr>
    </w:tbl>
    <w:p w:rsidR="0093375B" w:rsidRPr="00BE5D6A" w:rsidRDefault="0093375B" w:rsidP="0093375B"/>
    <w:p w:rsidR="0093375B" w:rsidRPr="00BE5D6A" w:rsidRDefault="0093375B" w:rsidP="0093375B">
      <w:pPr>
        <w:pStyle w:val="AmNumberTabs"/>
        <w:keepNext/>
      </w:pPr>
      <w:r w:rsidRPr="00BE5D6A">
        <w:lastRenderedPageBreak/>
        <w:t>Poprawka</w:t>
      </w:r>
      <w:r w:rsidRPr="00BE5D6A">
        <w:tab/>
      </w:r>
      <w:r w:rsidRPr="00BE5D6A">
        <w:tab/>
        <w:t>38</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6 – ustęp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2.</w:t>
            </w:r>
            <w:r w:rsidRPr="00BE5D6A">
              <w:tab/>
              <w:t xml:space="preserve">Organ przyjmujący deklaracje sprawdza, czy spełnione są wymogi kwalifikowalności określone w art. 4, i informuje siedzibę główną o swoich ustaleniach w terminie </w:t>
            </w:r>
            <w:r w:rsidRPr="00BE5D6A">
              <w:rPr>
                <w:b/>
                <w:i/>
              </w:rPr>
              <w:t>dwóch miesięcy</w:t>
            </w:r>
            <w:r w:rsidRPr="00BE5D6A">
              <w:t xml:space="preserve"> od powiadomienia, o którym mowa w ust. 1.</w:t>
            </w:r>
          </w:p>
        </w:tc>
        <w:tc>
          <w:tcPr>
            <w:tcW w:w="4876" w:type="dxa"/>
          </w:tcPr>
          <w:p w:rsidR="0093375B" w:rsidRPr="00BE5D6A" w:rsidRDefault="0093375B" w:rsidP="005A4C0F">
            <w:pPr>
              <w:pStyle w:val="Normal6a"/>
              <w:rPr>
                <w:szCs w:val="24"/>
              </w:rPr>
            </w:pPr>
            <w:r w:rsidRPr="00BE5D6A">
              <w:t>2.</w:t>
            </w:r>
            <w:r w:rsidRPr="00BE5D6A">
              <w:tab/>
              <w:t xml:space="preserve">Organ przyjmujący deklaracje sprawdza, czy spełnione są wymogi kwalifikowalności określone w art. 4, i informuje siedzibę główną o swoich ustaleniach w terminie </w:t>
            </w:r>
            <w:r w:rsidRPr="00BE5D6A">
              <w:rPr>
                <w:b/>
                <w:i/>
              </w:rPr>
              <w:t>jednego miesiąca</w:t>
            </w:r>
            <w:r w:rsidRPr="00BE5D6A">
              <w:t xml:space="preserve"> od powiadomienia, o którym mowa w ust. 1.</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39</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6 – ustęp 2 a (nowy)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
        </w:tc>
        <w:tc>
          <w:tcPr>
            <w:tcW w:w="4876" w:type="dxa"/>
          </w:tcPr>
          <w:p w:rsidR="0093375B" w:rsidRPr="00BE5D6A" w:rsidRDefault="0093375B" w:rsidP="005A4C0F">
            <w:pPr>
              <w:pStyle w:val="Normal6a"/>
            </w:pPr>
            <w:r w:rsidRPr="00BE5D6A">
              <w:rPr>
                <w:b/>
                <w:i/>
              </w:rPr>
              <w:t>2a.</w:t>
            </w:r>
            <w:r w:rsidRPr="00BE5D6A">
              <w:rPr>
                <w:b/>
                <w:i/>
              </w:rPr>
              <w:tab/>
              <w:t>Organ przyjmujący deklaracje uzyskuje od państwa członkowskiego działalności potwierdzenie, że zakład w państwie członkowskim działalności stanowi stały zakład do celów dwustronnych umów podatkowych.</w:t>
            </w:r>
          </w:p>
        </w:tc>
      </w:tr>
    </w:tbl>
    <w:p w:rsidR="0093375B" w:rsidRPr="00BE5D6A" w:rsidRDefault="0093375B" w:rsidP="0093375B"/>
    <w:p w:rsidR="0093375B" w:rsidRPr="00BE5D6A" w:rsidRDefault="0093375B" w:rsidP="0093375B">
      <w:pPr>
        <w:pStyle w:val="AmNumberTabs"/>
        <w:keepNext/>
      </w:pPr>
      <w:r w:rsidRPr="00BE5D6A">
        <w:t>Poprawka</w:t>
      </w:r>
      <w:r w:rsidRPr="00BE5D6A">
        <w:tab/>
      </w:r>
      <w:r w:rsidRPr="00BE5D6A">
        <w:tab/>
        <w:t>40</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6 – ustęp 3 – akapit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3.</w:t>
            </w:r>
            <w:r w:rsidRPr="00BE5D6A">
              <w:tab/>
              <w:t xml:space="preserve">Jeżeli wymogi kwalifikowalności są spełnione, organ przyjmujący deklaracje informuje organy podatkowe państw członkowskich działalności w terminie </w:t>
            </w:r>
            <w:r w:rsidRPr="00BE5D6A">
              <w:rPr>
                <w:b/>
                <w:i/>
              </w:rPr>
              <w:t>dwóch miesięcy</w:t>
            </w:r>
            <w:r w:rsidRPr="00BE5D6A">
              <w:t xml:space="preserve"> od powiadomienia, o którym mowa w ust. 1, że podlegający opodatkowaniu wynik odpowiednich stałych zakładów oblicza się od następnego roku podatkowego zgodnie z regułami opodatkowania państwa członkowskiego siedziby głównej, stosowanymi w państwie członkowskim siedziby głównej. Organ podatkowy państwa członkowskiego lub </w:t>
            </w:r>
            <w:r w:rsidRPr="00BE5D6A">
              <w:lastRenderedPageBreak/>
              <w:t xml:space="preserve">państw członkowskich działalności informuje organ przyjmujący deklaracje o mającej zastosowanie stawce podatkowej. </w:t>
            </w:r>
          </w:p>
        </w:tc>
        <w:tc>
          <w:tcPr>
            <w:tcW w:w="4876" w:type="dxa"/>
          </w:tcPr>
          <w:p w:rsidR="0093375B" w:rsidRPr="00BE5D6A" w:rsidRDefault="0093375B" w:rsidP="005A4C0F">
            <w:pPr>
              <w:pStyle w:val="Normal6a"/>
              <w:rPr>
                <w:szCs w:val="24"/>
              </w:rPr>
            </w:pPr>
            <w:r w:rsidRPr="00BE5D6A">
              <w:lastRenderedPageBreak/>
              <w:t>3.</w:t>
            </w:r>
            <w:r w:rsidRPr="00BE5D6A">
              <w:tab/>
              <w:t xml:space="preserve">Jeżeli wymogi kwalifikowalności są spełnione, organ przyjmujący deklaracje informuje organy podatkowe państw członkowskich działalności w terminie </w:t>
            </w:r>
            <w:r w:rsidRPr="00BE5D6A">
              <w:rPr>
                <w:b/>
                <w:i/>
              </w:rPr>
              <w:t>jednego miesiąca</w:t>
            </w:r>
            <w:r w:rsidRPr="00BE5D6A">
              <w:t xml:space="preserve"> od powiadomienia, o którym mowa w ust. 1, że podlegający opodatkowaniu wynik odpowiednich stałych zakładów oblicza się od następnego roku podatkowego zgodnie z regułami opodatkowania państwa członkowskiego siedziby głównej, stosowanymi w państwie członkowskim siedziby głównej. Organ podatkowy państwa członkowskiego lub </w:t>
            </w:r>
            <w:r w:rsidRPr="00BE5D6A">
              <w:lastRenderedPageBreak/>
              <w:t>państw członkowskich działalności informuje organ przyjmujący deklaracje o mającej zastosowanie stawce podatkowej.</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41</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6 – ustęp 3 – akapit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Państwo członkowskie działalności może zaskarżyć decyzję organu przyjmującego deklaracje dotyczącą spełnienia wymogów kwalifikowalności w trybie określonym w art. 13. Niezależnie od wszczęcia takiego postępowania MŚP mogą rozpocząć stosowanie reguł opodatkowania państwa członkowskiego siedziby głównej.</w:t>
            </w:r>
          </w:p>
        </w:tc>
        <w:tc>
          <w:tcPr>
            <w:tcW w:w="4876" w:type="dxa"/>
          </w:tcPr>
          <w:p w:rsidR="0093375B" w:rsidRPr="00BE5D6A" w:rsidRDefault="0093375B" w:rsidP="005A4C0F">
            <w:pPr>
              <w:pStyle w:val="Normal6a"/>
            </w:pPr>
            <w:r w:rsidRPr="00BE5D6A">
              <w:t xml:space="preserve">Państwo członkowskie działalności może zaskarżyć decyzję organu przyjmującego deklaracje dotyczącą spełnienia wymogów kwalifikowalności w trybie określonym w art. 13. </w:t>
            </w:r>
            <w:r w:rsidRPr="00BE5D6A">
              <w:rPr>
                <w:b/>
                <w:i/>
              </w:rPr>
              <w:t>W takim przypadku stosuje się przepisy państwa członkowskiego siedziby głównej.</w:t>
            </w:r>
            <w:r w:rsidRPr="00BE5D6A">
              <w:t xml:space="preserve"> Niezależnie od wszczęcia takiego postępowania MŚP mogą rozpocząć stosowanie reguł opodatkowania państwa członkowskiego siedziby głównej.</w:t>
            </w:r>
          </w:p>
        </w:tc>
      </w:tr>
    </w:tbl>
    <w:p w:rsidR="0093375B" w:rsidRPr="00BE5D6A" w:rsidRDefault="0093375B" w:rsidP="0093375B"/>
    <w:p w:rsidR="0093375B" w:rsidRPr="00BE5D6A" w:rsidRDefault="0093375B" w:rsidP="0093375B">
      <w:pPr>
        <w:pStyle w:val="AmNumberTabs"/>
        <w:keepNext/>
      </w:pPr>
      <w:r w:rsidRPr="00BE5D6A">
        <w:t>Poprawka</w:t>
      </w:r>
      <w:r w:rsidRPr="00BE5D6A">
        <w:tab/>
      </w:r>
      <w:r w:rsidRPr="00BE5D6A">
        <w:tab/>
        <w:t>42</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6 – ustęp 3 – akapit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 xml:space="preserve">Jeżeli organ przyjmujący deklaracje stwierdzi, że warunki kwalifikowalności nie są spełnione, informuje o tym siedzibę główną w terminie </w:t>
            </w:r>
            <w:r w:rsidRPr="00BE5D6A">
              <w:rPr>
                <w:b/>
                <w:i/>
              </w:rPr>
              <w:t>dwóch miesięcy</w:t>
            </w:r>
            <w:r w:rsidRPr="00BE5D6A">
              <w:t xml:space="preserve"> od powiadomienia, o którym mowa w ust. 1, a siedziba główna może odwołać się od tej decyzji w trybie przewidzianym w prawie krajowym.</w:t>
            </w:r>
          </w:p>
        </w:tc>
        <w:tc>
          <w:tcPr>
            <w:tcW w:w="4876" w:type="dxa"/>
          </w:tcPr>
          <w:p w:rsidR="0093375B" w:rsidRPr="00BE5D6A" w:rsidRDefault="0093375B" w:rsidP="005A4C0F">
            <w:pPr>
              <w:pStyle w:val="Normal6a"/>
              <w:rPr>
                <w:szCs w:val="24"/>
              </w:rPr>
            </w:pPr>
            <w:r w:rsidRPr="00BE5D6A">
              <w:t xml:space="preserve">Jeżeli organ przyjmujący deklaracje stwierdzi, że warunki kwalifikowalności nie są spełnione, informuje o tym siedzibę główną w terminie </w:t>
            </w:r>
            <w:r w:rsidRPr="00BE5D6A">
              <w:rPr>
                <w:b/>
                <w:i/>
              </w:rPr>
              <w:t>jednego miesiąca</w:t>
            </w:r>
            <w:r w:rsidRPr="00BE5D6A">
              <w:t xml:space="preserve"> od powiadomienia, o którym mowa w ust. 1, a siedziba główna może odwołać się od tej decyzji w trybie przewidzianym w prawie krajowym</w:t>
            </w:r>
            <w:r w:rsidRPr="00BE5D6A">
              <w:rPr>
                <w:b/>
                <w:i/>
              </w:rPr>
              <w:t xml:space="preserve"> i nadal stosować reguły opodatkowania państwa członkowskiego siedziby głównej.</w:t>
            </w:r>
            <w:r w:rsidRPr="00BE5D6A">
              <w:t xml:space="preserve"> </w:t>
            </w:r>
            <w:r w:rsidRPr="00BE5D6A">
              <w:rPr>
                <w:b/>
                <w:i/>
              </w:rPr>
              <w:t>Ostateczna decyzja wywołuje skutki prawne począwszy od następnego roku podatkowego</w:t>
            </w:r>
            <w:r w:rsidRPr="00BE5D6A">
              <w:t>.</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43</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6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4.</w:t>
            </w:r>
            <w:r w:rsidRPr="00BE5D6A">
              <w:tab/>
              <w:t>Jeżeli państwo członkowskie działalności stwierdzi, że obecność MŚP na jego terytorium kwalifikuje się jako stały zakład, informuje o tym organ przyjmujący deklaracje. Na podstawie tych informacji organ przyjmujący deklaracje informuje właściwy organ podatkowy państwa członkowskiego działalności o tym, czy siedziba główna stosuje w odniesieniu do swoich stałych zakładów reguły opodatkowania państwa członkowskiego siedziby głównej.</w:t>
            </w:r>
          </w:p>
        </w:tc>
        <w:tc>
          <w:tcPr>
            <w:tcW w:w="4876" w:type="dxa"/>
          </w:tcPr>
          <w:p w:rsidR="0093375B" w:rsidRPr="00BE5D6A" w:rsidRDefault="0093375B" w:rsidP="005A4C0F">
            <w:pPr>
              <w:pStyle w:val="Normal6a"/>
            </w:pPr>
            <w:r w:rsidRPr="00BE5D6A">
              <w:t>4.</w:t>
            </w:r>
            <w:r w:rsidRPr="00BE5D6A">
              <w:tab/>
              <w:t>Jeżeli państwo członkowskie działalności stwierdzi, że obecność MŚP na jego terytorium kwalifikuje się jako stały zakład</w:t>
            </w:r>
            <w:r w:rsidRPr="00BE5D6A">
              <w:rPr>
                <w:b/>
                <w:i/>
              </w:rPr>
              <w:t xml:space="preserve"> lub jednostka zależna</w:t>
            </w:r>
            <w:r w:rsidRPr="00BE5D6A">
              <w:t xml:space="preserve">, informuje o tym organ przyjmujący deklaracje. Na podstawie tych informacji organ przyjmujący deklaracje informuje właściwy organ podatkowy państwa członkowskiego działalności o tym, czy siedziba główna stosuje w odniesieniu do swoich stałych zakładów </w:t>
            </w:r>
            <w:r w:rsidRPr="00BE5D6A">
              <w:rPr>
                <w:b/>
                <w:i/>
              </w:rPr>
              <w:t xml:space="preserve">lub jednostek zależnych </w:t>
            </w:r>
            <w:r w:rsidRPr="00BE5D6A">
              <w:t xml:space="preserve">reguły opodatkowania państwa członkowskiego siedziby głównej. </w:t>
            </w:r>
            <w:r w:rsidRPr="00BE5D6A">
              <w:rPr>
                <w:b/>
                <w:i/>
              </w:rPr>
              <w:t>Siedziba główna musi być należycie i bez zbędnej zwłoki informowana o tych procedurach.</w:t>
            </w:r>
          </w:p>
        </w:tc>
      </w:tr>
    </w:tbl>
    <w:p w:rsidR="0093375B" w:rsidRPr="00BE5D6A" w:rsidRDefault="0093375B" w:rsidP="0093375B"/>
    <w:p w:rsidR="0093375B" w:rsidRPr="00BE5D6A" w:rsidRDefault="0093375B" w:rsidP="0093375B">
      <w:pPr>
        <w:spacing w:before="120" w:after="120"/>
      </w:pPr>
    </w:p>
    <w:p w:rsidR="0093375B" w:rsidRPr="00BE5D6A" w:rsidRDefault="0093375B" w:rsidP="0093375B">
      <w:pPr>
        <w:pStyle w:val="AmNumberTabs"/>
        <w:keepNext/>
      </w:pPr>
      <w:r w:rsidRPr="00BE5D6A">
        <w:t>Poprawka</w:t>
      </w:r>
      <w:r w:rsidRPr="00BE5D6A">
        <w:tab/>
      </w:r>
      <w:r w:rsidRPr="00BE5D6A">
        <w:tab/>
        <w:t>44</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7 – ustęp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1.</w:t>
            </w:r>
            <w:r w:rsidRPr="00BE5D6A">
              <w:tab/>
              <w:t xml:space="preserve">Siedziba główna, która zdecydowała się na stosowanie reguł opodatkowania państwa członkowskiego siedziby głównej do swoich stałych zakładów w co najmniej jednym państwie członkowskim działalności, stosuje te zasady przez okres </w:t>
            </w:r>
            <w:r w:rsidRPr="00BE5D6A">
              <w:rPr>
                <w:b/>
                <w:i/>
              </w:rPr>
              <w:t>pięciu</w:t>
            </w:r>
            <w:r w:rsidRPr="00BE5D6A">
              <w:t xml:space="preserve"> lat podatkowych.</w:t>
            </w:r>
          </w:p>
        </w:tc>
        <w:tc>
          <w:tcPr>
            <w:tcW w:w="4876" w:type="dxa"/>
          </w:tcPr>
          <w:p w:rsidR="0093375B" w:rsidRPr="00BE5D6A" w:rsidRDefault="0093375B" w:rsidP="005A4C0F">
            <w:pPr>
              <w:pStyle w:val="Normal6a"/>
              <w:rPr>
                <w:szCs w:val="24"/>
              </w:rPr>
            </w:pPr>
            <w:r w:rsidRPr="00BE5D6A">
              <w:t>1.</w:t>
            </w:r>
            <w:r w:rsidRPr="00BE5D6A">
              <w:tab/>
              <w:t xml:space="preserve">Siedziba główna, która zdecydowała się na stosowanie reguł opodatkowania państwa członkowskiego siedziby głównej do swoich stałych zakładów </w:t>
            </w:r>
            <w:r w:rsidRPr="00BE5D6A">
              <w:rPr>
                <w:b/>
                <w:i/>
              </w:rPr>
              <w:t xml:space="preserve">lub jednostek zależnych </w:t>
            </w:r>
            <w:r w:rsidRPr="00BE5D6A">
              <w:t xml:space="preserve">w co najmniej jednym państwie członkowskim działalności, stosuje te zasady przez </w:t>
            </w:r>
            <w:r w:rsidRPr="00BE5D6A">
              <w:rPr>
                <w:b/>
                <w:i/>
              </w:rPr>
              <w:t xml:space="preserve">odnawialny </w:t>
            </w:r>
            <w:r w:rsidRPr="00BE5D6A">
              <w:t xml:space="preserve">okres </w:t>
            </w:r>
            <w:r w:rsidRPr="00BE5D6A">
              <w:rPr>
                <w:b/>
                <w:i/>
              </w:rPr>
              <w:t>siedmiu</w:t>
            </w:r>
            <w:r w:rsidRPr="00BE5D6A">
              <w:t xml:space="preserve"> lat podatkowych.</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45</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7 – ustęp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2.</w:t>
            </w:r>
            <w:r w:rsidRPr="00BE5D6A">
              <w:tab/>
              <w:t xml:space="preserve">Na koniec okresu, o którym mowa w ust. 1, reguły opodatkowania państwa członkowskiego siedziby głównej przestają </w:t>
            </w:r>
            <w:r w:rsidRPr="00BE5D6A">
              <w:lastRenderedPageBreak/>
              <w:t>mieć zastosowanie w odniesieniu do stałych zakładów znajdujących się w państwach członkowskich działalności, chyba że siedziba główna powiadomi organ przyjmujący deklaracje o chęci przedłużenia stosowania reguł opodatkowania państwa członkowskiego siedziby głównej zgodnie z procedurą określoną w art. 9.</w:t>
            </w:r>
          </w:p>
        </w:tc>
        <w:tc>
          <w:tcPr>
            <w:tcW w:w="4876" w:type="dxa"/>
          </w:tcPr>
          <w:p w:rsidR="0093375B" w:rsidRPr="00BE5D6A" w:rsidRDefault="0093375B" w:rsidP="005A4C0F">
            <w:pPr>
              <w:pStyle w:val="Normal6a"/>
            </w:pPr>
            <w:r w:rsidRPr="00BE5D6A">
              <w:lastRenderedPageBreak/>
              <w:t>2.</w:t>
            </w:r>
            <w:r w:rsidRPr="00BE5D6A">
              <w:tab/>
              <w:t xml:space="preserve">Na koniec okresu, o którym mowa w ust. 1, reguły opodatkowania państwa członkowskiego siedziby głównej przestają </w:t>
            </w:r>
            <w:r w:rsidRPr="00BE5D6A">
              <w:lastRenderedPageBreak/>
              <w:t xml:space="preserve">mieć zastosowanie w odniesieniu do stałych zakładów </w:t>
            </w:r>
            <w:r w:rsidRPr="00BE5D6A">
              <w:rPr>
                <w:b/>
                <w:i/>
              </w:rPr>
              <w:t xml:space="preserve">i jednostek zależnych </w:t>
            </w:r>
            <w:r w:rsidRPr="00BE5D6A">
              <w:t>znajdujących się w państwach członkowskich działalności, chyba że siedziba główna powiadomi organ przyjmujący deklaracje o chęci przedłużenia stosowania reguł opodatkowania państwa członkowskiego siedziby głównej zgodnie z procedurą określoną w art. 9.</w:t>
            </w:r>
          </w:p>
        </w:tc>
      </w:tr>
    </w:tbl>
    <w:p w:rsidR="0093375B" w:rsidRPr="00BE5D6A" w:rsidRDefault="0093375B" w:rsidP="0093375B"/>
    <w:p w:rsidR="0093375B" w:rsidRPr="00BE5D6A" w:rsidRDefault="0093375B" w:rsidP="0093375B">
      <w:pPr>
        <w:pStyle w:val="AmNumberTabs"/>
        <w:keepNext/>
      </w:pPr>
      <w:r w:rsidRPr="00BE5D6A">
        <w:t>Poprawka</w:t>
      </w:r>
      <w:r w:rsidRPr="00BE5D6A">
        <w:tab/>
      </w:r>
      <w:r w:rsidRPr="00BE5D6A">
        <w:tab/>
        <w:t>46</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8 – ustęp 1 – wprowadzenie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1.</w:t>
            </w:r>
            <w:r w:rsidRPr="00BE5D6A">
              <w:tab/>
              <w:t xml:space="preserve">Opcja stosowania reguł opodatkowania państwa członkowskiego siedziby głównej wygasa przed upływem </w:t>
            </w:r>
            <w:r w:rsidRPr="00BE5D6A">
              <w:rPr>
                <w:b/>
                <w:i/>
              </w:rPr>
              <w:t>pięcioletniego</w:t>
            </w:r>
            <w:r w:rsidRPr="00BE5D6A">
              <w:t xml:space="preserve"> okresu, o którym mowa w art. 7 ust. 1, z jednego z następujących powodów:</w:t>
            </w:r>
          </w:p>
        </w:tc>
        <w:tc>
          <w:tcPr>
            <w:tcW w:w="4876" w:type="dxa"/>
          </w:tcPr>
          <w:p w:rsidR="0093375B" w:rsidRPr="00BE5D6A" w:rsidRDefault="0093375B" w:rsidP="005A4C0F">
            <w:pPr>
              <w:pStyle w:val="Normal6a"/>
              <w:rPr>
                <w:szCs w:val="24"/>
              </w:rPr>
            </w:pPr>
            <w:r w:rsidRPr="00BE5D6A">
              <w:t>1.</w:t>
            </w:r>
            <w:r w:rsidRPr="00BE5D6A">
              <w:tab/>
              <w:t xml:space="preserve">Opcja stosowania reguł opodatkowania państwa członkowskiego siedziby głównej wygasa przed upływem </w:t>
            </w:r>
            <w:r w:rsidRPr="00BE5D6A">
              <w:rPr>
                <w:b/>
                <w:i/>
              </w:rPr>
              <w:t>siedmioletniego</w:t>
            </w:r>
            <w:r w:rsidRPr="00BE5D6A">
              <w:t xml:space="preserve"> okresu, o którym mowa w art. 7 ust. 1, z jednego z następujących powodów:</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47</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8 – ustęp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a</w:t>
            </w:r>
            <w:proofErr w:type="gramStart"/>
            <w:r w:rsidRPr="00BE5D6A">
              <w:t>)</w:t>
            </w:r>
            <w:r w:rsidRPr="00BE5D6A">
              <w:tab/>
              <w:t>MŚP</w:t>
            </w:r>
            <w:proofErr w:type="gramEnd"/>
            <w:r w:rsidRPr="00BE5D6A">
              <w:t>, o</w:t>
            </w:r>
            <w:r w:rsidRPr="00BE5D6A">
              <w:rPr>
                <w:b/>
                <w:i/>
              </w:rPr>
              <w:t> </w:t>
            </w:r>
            <w:r w:rsidRPr="00BE5D6A">
              <w:t>którym mowa w</w:t>
            </w:r>
            <w:r w:rsidRPr="00BE5D6A">
              <w:rPr>
                <w:b/>
                <w:i/>
              </w:rPr>
              <w:t> </w:t>
            </w:r>
            <w:r w:rsidRPr="00BE5D6A">
              <w:t>art.</w:t>
            </w:r>
            <w:r w:rsidRPr="00BE5D6A">
              <w:rPr>
                <w:b/>
                <w:i/>
              </w:rPr>
              <w:t> </w:t>
            </w:r>
            <w:r w:rsidRPr="00BE5D6A">
              <w:t>2 ust.</w:t>
            </w:r>
            <w:r w:rsidRPr="00BE5D6A">
              <w:rPr>
                <w:b/>
                <w:i/>
              </w:rPr>
              <w:t> </w:t>
            </w:r>
            <w:r w:rsidRPr="00BE5D6A">
              <w:t>1, przenosi swoją rezydencję podatkową z</w:t>
            </w:r>
            <w:r w:rsidRPr="00BE5D6A">
              <w:rPr>
                <w:b/>
                <w:i/>
              </w:rPr>
              <w:t> </w:t>
            </w:r>
            <w:r w:rsidRPr="00BE5D6A">
              <w:t>państwa członkowskiego siedziby głównej;</w:t>
            </w:r>
          </w:p>
        </w:tc>
        <w:tc>
          <w:tcPr>
            <w:tcW w:w="4876" w:type="dxa"/>
          </w:tcPr>
          <w:p w:rsidR="0093375B" w:rsidRPr="00BE5D6A" w:rsidRDefault="0093375B" w:rsidP="005A4C0F">
            <w:pPr>
              <w:pStyle w:val="Normal6a"/>
            </w:pPr>
            <w:r w:rsidRPr="00BE5D6A">
              <w:t>a</w:t>
            </w:r>
            <w:proofErr w:type="gramStart"/>
            <w:r w:rsidRPr="00BE5D6A">
              <w:t>)</w:t>
            </w:r>
            <w:r w:rsidRPr="00BE5D6A">
              <w:tab/>
              <w:t>MŚP</w:t>
            </w:r>
            <w:proofErr w:type="gramEnd"/>
            <w:r w:rsidRPr="00BE5D6A">
              <w:t>, o</w:t>
            </w:r>
            <w:r w:rsidRPr="00BE5D6A">
              <w:rPr>
                <w:b/>
                <w:i/>
              </w:rPr>
              <w:t xml:space="preserve"> </w:t>
            </w:r>
            <w:r w:rsidRPr="00BE5D6A">
              <w:t>którym mowa w</w:t>
            </w:r>
            <w:r w:rsidRPr="00BE5D6A">
              <w:rPr>
                <w:b/>
                <w:i/>
              </w:rPr>
              <w:t xml:space="preserve"> </w:t>
            </w:r>
            <w:r w:rsidRPr="00BE5D6A">
              <w:t>art.</w:t>
            </w:r>
            <w:r w:rsidRPr="00BE5D6A">
              <w:rPr>
                <w:b/>
                <w:i/>
              </w:rPr>
              <w:t> </w:t>
            </w:r>
            <w:r w:rsidRPr="00BE5D6A">
              <w:t>2 ust.</w:t>
            </w:r>
            <w:r w:rsidRPr="00BE5D6A">
              <w:rPr>
                <w:b/>
                <w:i/>
              </w:rPr>
              <w:t> </w:t>
            </w:r>
            <w:r w:rsidRPr="00BE5D6A">
              <w:t>1, przenosi swoją rezydencję podatkową z</w:t>
            </w:r>
            <w:r w:rsidRPr="00BE5D6A">
              <w:rPr>
                <w:b/>
                <w:i/>
              </w:rPr>
              <w:t xml:space="preserve"> </w:t>
            </w:r>
            <w:r w:rsidRPr="00BE5D6A">
              <w:t>państwa członkowskiego siedziby głównej</w:t>
            </w:r>
            <w:r w:rsidRPr="00BE5D6A">
              <w:rPr>
                <w:b/>
                <w:i/>
              </w:rPr>
              <w:t>, jeżeli MŚP chce zaprzestać stosowania przepisów podatkowych</w:t>
            </w:r>
            <w:r w:rsidRPr="00BE5D6A">
              <w:t>;</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48</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8 – ustęp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b</w:t>
            </w:r>
            <w:proofErr w:type="gramStart"/>
            <w:r w:rsidRPr="00BE5D6A">
              <w:t>)</w:t>
            </w:r>
            <w:r w:rsidRPr="00BE5D6A">
              <w:tab/>
              <w:t>łączny</w:t>
            </w:r>
            <w:proofErr w:type="gramEnd"/>
            <w:r w:rsidRPr="00BE5D6A">
              <w:t xml:space="preserve"> obrót jego stałych zakładów </w:t>
            </w:r>
            <w:r w:rsidRPr="00BE5D6A">
              <w:lastRenderedPageBreak/>
              <w:t xml:space="preserve">w ciągu ostatnich </w:t>
            </w:r>
            <w:r w:rsidRPr="00BE5D6A">
              <w:rPr>
                <w:b/>
                <w:i/>
              </w:rPr>
              <w:t>dwóch</w:t>
            </w:r>
            <w:r w:rsidRPr="00BE5D6A">
              <w:t xml:space="preserve"> lat podatkowych przekroczył kwotę równą trzykrotności obrotu siedziby głównej.</w:t>
            </w:r>
          </w:p>
        </w:tc>
        <w:tc>
          <w:tcPr>
            <w:tcW w:w="4876" w:type="dxa"/>
          </w:tcPr>
          <w:p w:rsidR="0093375B" w:rsidRPr="00BE5D6A" w:rsidRDefault="0093375B" w:rsidP="005A4C0F">
            <w:pPr>
              <w:pStyle w:val="Normal6a"/>
            </w:pPr>
            <w:r w:rsidRPr="00BE5D6A">
              <w:lastRenderedPageBreak/>
              <w:t>b</w:t>
            </w:r>
            <w:proofErr w:type="gramStart"/>
            <w:r w:rsidRPr="00BE5D6A">
              <w:t>)</w:t>
            </w:r>
            <w:r w:rsidRPr="00BE5D6A">
              <w:tab/>
              <w:t>łączny</w:t>
            </w:r>
            <w:proofErr w:type="gramEnd"/>
            <w:r w:rsidRPr="00BE5D6A">
              <w:t xml:space="preserve"> obrót jego stałych zakładów </w:t>
            </w:r>
            <w:r w:rsidRPr="00BE5D6A">
              <w:rPr>
                <w:b/>
                <w:i/>
              </w:rPr>
              <w:lastRenderedPageBreak/>
              <w:t xml:space="preserve">i jednostek zależnych </w:t>
            </w:r>
            <w:r w:rsidRPr="00BE5D6A">
              <w:t xml:space="preserve">w ciągu ostatnich </w:t>
            </w:r>
            <w:r w:rsidRPr="00BE5D6A">
              <w:rPr>
                <w:b/>
                <w:i/>
              </w:rPr>
              <w:t>trzech</w:t>
            </w:r>
            <w:r w:rsidRPr="00BE5D6A">
              <w:t xml:space="preserve"> lat podatkowych przekroczył kwotę równą trzykrotności obrotu siedziby głównej.</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49</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8 – ustęp 1 – litera b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
        </w:tc>
        <w:tc>
          <w:tcPr>
            <w:tcW w:w="4876" w:type="dxa"/>
          </w:tcPr>
          <w:p w:rsidR="0093375B" w:rsidRPr="00BE5D6A" w:rsidRDefault="0093375B" w:rsidP="005A4C0F">
            <w:pPr>
              <w:pStyle w:val="Normal6a"/>
              <w:rPr>
                <w:b/>
                <w:i/>
              </w:rPr>
            </w:pPr>
            <w:r w:rsidRPr="00BE5D6A">
              <w:rPr>
                <w:b/>
                <w:i/>
              </w:rPr>
              <w:t>ba</w:t>
            </w:r>
            <w:proofErr w:type="gramStart"/>
            <w:r w:rsidRPr="00BE5D6A">
              <w:rPr>
                <w:b/>
                <w:i/>
              </w:rPr>
              <w:t>)</w:t>
            </w:r>
            <w:r w:rsidRPr="00BE5D6A">
              <w:rPr>
                <w:b/>
                <w:i/>
              </w:rPr>
              <w:tab/>
              <w:t>MŚP</w:t>
            </w:r>
            <w:proofErr w:type="gramEnd"/>
            <w:r w:rsidRPr="00BE5D6A">
              <w:rPr>
                <w:b/>
                <w:i/>
              </w:rPr>
              <w:t>, o którym mowa w art. 2 ust. 1, nie jest już uznawane za MŚP;</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50</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 xml:space="preserve">Artykuł 8 – ustęp 1 – litera b </w:t>
      </w:r>
      <w:proofErr w:type="spellStart"/>
      <w:r w:rsidRPr="00BE5D6A">
        <w:t>b</w:t>
      </w:r>
      <w:proofErr w:type="spellEnd"/>
      <w:r w:rsidRPr="00BE5D6A">
        <w:t xml:space="preserve">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
        </w:tc>
        <w:tc>
          <w:tcPr>
            <w:tcW w:w="4876" w:type="dxa"/>
          </w:tcPr>
          <w:p w:rsidR="0093375B" w:rsidRPr="00BE5D6A" w:rsidRDefault="0093375B" w:rsidP="005A4C0F">
            <w:pPr>
              <w:pStyle w:val="Normal6a"/>
            </w:pPr>
            <w:proofErr w:type="spellStart"/>
            <w:r w:rsidRPr="00BE5D6A">
              <w:rPr>
                <w:b/>
                <w:i/>
              </w:rPr>
              <w:t>bb</w:t>
            </w:r>
            <w:proofErr w:type="spellEnd"/>
            <w:proofErr w:type="gramStart"/>
            <w:r w:rsidRPr="00BE5D6A">
              <w:rPr>
                <w:b/>
                <w:i/>
              </w:rPr>
              <w:t>)</w:t>
            </w:r>
            <w:r w:rsidRPr="00BE5D6A">
              <w:rPr>
                <w:b/>
                <w:i/>
              </w:rPr>
              <w:tab/>
              <w:t>MŚP</w:t>
            </w:r>
            <w:proofErr w:type="gramEnd"/>
            <w:r w:rsidRPr="00BE5D6A">
              <w:rPr>
                <w:b/>
                <w:i/>
              </w:rPr>
              <w:t>, o którym mowa w art. 2 ust. 1, utworzyło więcej niż dwie jednostki zależne;</w:t>
            </w:r>
          </w:p>
        </w:tc>
      </w:tr>
    </w:tbl>
    <w:p w:rsidR="0093375B" w:rsidRPr="00BE5D6A" w:rsidRDefault="0093375B" w:rsidP="0093375B"/>
    <w:p w:rsidR="0093375B" w:rsidRPr="00BE5D6A" w:rsidRDefault="0093375B" w:rsidP="0093375B">
      <w:pPr>
        <w:pStyle w:val="AmNumberTabs"/>
        <w:keepNext/>
      </w:pPr>
      <w:r w:rsidRPr="00BE5D6A">
        <w:t>Poprawka</w:t>
      </w:r>
      <w:r w:rsidRPr="00BE5D6A">
        <w:tab/>
      </w:r>
      <w:r w:rsidRPr="00BE5D6A">
        <w:tab/>
        <w:t>51</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 xml:space="preserve"> Artykuł 8 – ustęp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2.</w:t>
            </w:r>
            <w:r w:rsidRPr="00BE5D6A">
              <w:tab/>
            </w:r>
            <w:r w:rsidRPr="00BE5D6A">
              <w:rPr>
                <w:b/>
                <w:i/>
              </w:rPr>
              <w:t>W każdym z przypadków, o których mowa w ust. 1,</w:t>
            </w:r>
            <w:r w:rsidRPr="00BE5D6A">
              <w:t xml:space="preserve"> reguły opodatkowania państwa członkowskiego siedziby głównej przestają obowiązywać od roku podatkowego następującego po roku, w którym wystąpiły powody, o których mowa w ust. 1.</w:t>
            </w:r>
          </w:p>
        </w:tc>
        <w:tc>
          <w:tcPr>
            <w:tcW w:w="4876" w:type="dxa"/>
          </w:tcPr>
          <w:p w:rsidR="0093375B" w:rsidRPr="00BE5D6A" w:rsidRDefault="0093375B" w:rsidP="005A4C0F">
            <w:pPr>
              <w:pStyle w:val="Normal6a"/>
              <w:rPr>
                <w:szCs w:val="24"/>
              </w:rPr>
            </w:pPr>
            <w:r w:rsidRPr="00BE5D6A">
              <w:t>2.</w:t>
            </w:r>
            <w:r w:rsidRPr="00BE5D6A">
              <w:tab/>
              <w:t xml:space="preserve">Reguły opodatkowania państwa członkowskiego siedziby głównej przestają obowiązywać od roku podatkowego następującego po roku, w którym wystąpiły powody, o których mowa w ust. 1. </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52</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8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lastRenderedPageBreak/>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3.</w:t>
            </w:r>
            <w:r w:rsidRPr="00BE5D6A">
              <w:tab/>
              <w:t>Organ przyjmujący deklaracje informuje państwa członkowskie działalności o wygaśnięciu, o którym mowa w ust. 1, przed końcem roku podatkowego, w którym wystąpiły powody</w:t>
            </w:r>
            <w:r w:rsidRPr="00BE5D6A">
              <w:rPr>
                <w:b/>
                <w:i/>
              </w:rPr>
              <w:t xml:space="preserve"> tego</w:t>
            </w:r>
            <w:r w:rsidRPr="00BE5D6A">
              <w:t xml:space="preserve"> wygaśnięcia.</w:t>
            </w:r>
          </w:p>
        </w:tc>
        <w:tc>
          <w:tcPr>
            <w:tcW w:w="4876" w:type="dxa"/>
          </w:tcPr>
          <w:p w:rsidR="0093375B" w:rsidRPr="00BE5D6A" w:rsidRDefault="0093375B" w:rsidP="005A4C0F">
            <w:pPr>
              <w:pStyle w:val="Normal6a"/>
            </w:pPr>
            <w:r w:rsidRPr="00BE5D6A">
              <w:t>3.</w:t>
            </w:r>
            <w:r w:rsidRPr="00BE5D6A">
              <w:tab/>
              <w:t xml:space="preserve">Organ przyjmujący deklaracje informuje państwa członkowskie działalności o wygaśnięciu, o którym mowa w ust. 1, </w:t>
            </w:r>
            <w:r w:rsidRPr="00BE5D6A">
              <w:rPr>
                <w:b/>
                <w:i/>
              </w:rPr>
              <w:t xml:space="preserve">jak najszybciej, a w każdym razie </w:t>
            </w:r>
            <w:r w:rsidRPr="00BE5D6A">
              <w:t>przed końcem roku podatkowego, w którym wystąpiły powody wygaśnięcia.</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53</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8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4.</w:t>
            </w:r>
            <w:r w:rsidRPr="00BE5D6A">
              <w:tab/>
              <w:t>Jeżeli MŚP, o którym mowa w art. 2 ust. 1, przenosi swoją rezydencję podatkową do innego państwa członkowskiego, może ono zdecydować się na stosowanie reguł opodatkowania państwa członkowskiego siedziby głównej obowiązujących w jego nowym państwie członkowskim rezydencji podatkowej zgodnie z art. 4–7. Uznaje się to za nowe skorzystanie z tej opcji.</w:t>
            </w:r>
          </w:p>
        </w:tc>
        <w:tc>
          <w:tcPr>
            <w:tcW w:w="4876" w:type="dxa"/>
          </w:tcPr>
          <w:p w:rsidR="0093375B" w:rsidRPr="00BE5D6A" w:rsidRDefault="0093375B" w:rsidP="005A4C0F">
            <w:pPr>
              <w:pStyle w:val="Normal6a"/>
            </w:pPr>
            <w:r w:rsidRPr="00BE5D6A">
              <w:t>4.</w:t>
            </w:r>
            <w:r w:rsidRPr="00BE5D6A">
              <w:tab/>
              <w:t xml:space="preserve">Jeżeli MŚP, o którym mowa w art. 2 ust. 1, przenosi swoją rezydencję podatkową do innego państwa członkowskiego, może ono zdecydować się na stosowanie reguł opodatkowania państwa członkowskiego siedziby głównej obowiązujących w jego nowym państwie członkowskim rezydencji podatkowej zgodnie z art. 4–7. Uznaje się to za nowe skorzystanie z tej opcji. </w:t>
            </w:r>
            <w:r w:rsidRPr="00BE5D6A">
              <w:rPr>
                <w:b/>
                <w:i/>
              </w:rPr>
              <w:t>Wymóg określony w art. 4 ust. 1 lit. b) nie ma zastosowania, jeżeli przeniesienie rezydencji podatkowej MŚP nastąpiło z uzasadnionych powodów handlowych w rozumieniu art. 15 ust. 1 lit. a) dyrektywy Rady 2009/133/WE.</w:t>
            </w:r>
          </w:p>
        </w:tc>
      </w:tr>
    </w:tbl>
    <w:p w:rsidR="0093375B" w:rsidRPr="00BE5D6A" w:rsidRDefault="0093375B" w:rsidP="0093375B"/>
    <w:p w:rsidR="0093375B" w:rsidRPr="00BE5D6A" w:rsidRDefault="0093375B" w:rsidP="0093375B">
      <w:pPr>
        <w:pStyle w:val="AmNumberTabs"/>
        <w:keepNext/>
      </w:pPr>
      <w:r w:rsidRPr="00BE5D6A">
        <w:tab/>
      </w:r>
      <w:r w:rsidRPr="00BE5D6A">
        <w:tab/>
      </w:r>
    </w:p>
    <w:p w:rsidR="0093375B" w:rsidRPr="00BE5D6A" w:rsidRDefault="0093375B" w:rsidP="0093375B">
      <w:pPr>
        <w:pStyle w:val="AmNumberTabs"/>
      </w:pPr>
      <w:r w:rsidRPr="00BE5D6A">
        <w:t>Poprawka</w:t>
      </w:r>
      <w:r w:rsidRPr="00BE5D6A">
        <w:tab/>
      </w:r>
      <w:r w:rsidRPr="00BE5D6A">
        <w:tab/>
        <w:t>54</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10 – akapit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 xml:space="preserve">Siedziba główna nie może przedłużyć opcji stosowania reguł opodatkowania państwa członkowskiego siedziby głównej, jeżeli </w:t>
            </w:r>
            <w:r w:rsidRPr="00BE5D6A">
              <w:rPr>
                <w:b/>
                <w:i/>
              </w:rPr>
              <w:t xml:space="preserve">w pięcioletnim okresie, w którym pierwotnie obowiązywały reguły opodatkowania państwa członkowskiego siedziby głównej, </w:t>
            </w:r>
            <w:r w:rsidRPr="00BE5D6A">
              <w:t xml:space="preserve">wystąpiła którakolwiek </w:t>
            </w:r>
            <w:r w:rsidRPr="00BE5D6A">
              <w:lastRenderedPageBreak/>
              <w:t>z następujących sytuacji:</w:t>
            </w:r>
          </w:p>
        </w:tc>
        <w:tc>
          <w:tcPr>
            <w:tcW w:w="4876" w:type="dxa"/>
          </w:tcPr>
          <w:p w:rsidR="0093375B" w:rsidRPr="00BE5D6A" w:rsidRDefault="0093375B" w:rsidP="005A4C0F">
            <w:pPr>
              <w:pStyle w:val="Normal6a"/>
            </w:pPr>
            <w:r w:rsidRPr="00BE5D6A">
              <w:lastRenderedPageBreak/>
              <w:t>Siedziba główna nie może przedłużyć opcji stosowania reguł opodatkowania państwa członkowskiego siedziby głównej, jeżeli wystąpiła którakolwiek z następujących sytuacji:</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55</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10 – akapit 1 – litera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a</w:t>
            </w:r>
            <w:proofErr w:type="gramStart"/>
            <w:r w:rsidRPr="00BE5D6A">
              <w:t>)</w:t>
            </w:r>
            <w:r w:rsidRPr="00BE5D6A">
              <w:tab/>
              <w:t>łączny</w:t>
            </w:r>
            <w:proofErr w:type="gramEnd"/>
            <w:r w:rsidRPr="00BE5D6A">
              <w:t xml:space="preserve"> obrót stałych zakładów w jakichkolwiek </w:t>
            </w:r>
            <w:r w:rsidRPr="00BE5D6A">
              <w:rPr>
                <w:b/>
                <w:i/>
              </w:rPr>
              <w:t>dwóch</w:t>
            </w:r>
            <w:r w:rsidRPr="00BE5D6A">
              <w:t xml:space="preserve"> latach podatkowych rozpatrywanych osobno przekroczył kwotę równą </w:t>
            </w:r>
            <w:r w:rsidRPr="00BE5D6A">
              <w:rPr>
                <w:b/>
                <w:i/>
              </w:rPr>
              <w:t>dwukrotności</w:t>
            </w:r>
            <w:r w:rsidRPr="00BE5D6A">
              <w:t xml:space="preserve"> obrotu siedziby głównej;</w:t>
            </w:r>
          </w:p>
        </w:tc>
        <w:tc>
          <w:tcPr>
            <w:tcW w:w="4876" w:type="dxa"/>
          </w:tcPr>
          <w:p w:rsidR="0093375B" w:rsidRPr="00BE5D6A" w:rsidRDefault="0093375B" w:rsidP="005A4C0F">
            <w:pPr>
              <w:pStyle w:val="Normal6a"/>
            </w:pPr>
            <w:r w:rsidRPr="00BE5D6A">
              <w:t>a</w:t>
            </w:r>
            <w:proofErr w:type="gramStart"/>
            <w:r w:rsidRPr="00BE5D6A">
              <w:t>)</w:t>
            </w:r>
            <w:r w:rsidRPr="00BE5D6A">
              <w:tab/>
              <w:t>łączny</w:t>
            </w:r>
            <w:proofErr w:type="gramEnd"/>
            <w:r w:rsidRPr="00BE5D6A">
              <w:t xml:space="preserve"> obrót stałych zakładów </w:t>
            </w:r>
            <w:r w:rsidRPr="00BE5D6A">
              <w:rPr>
                <w:b/>
                <w:i/>
              </w:rPr>
              <w:t xml:space="preserve">lub jednostek zależnych </w:t>
            </w:r>
            <w:r w:rsidRPr="00BE5D6A">
              <w:t xml:space="preserve">w jakichkolwiek </w:t>
            </w:r>
            <w:r w:rsidRPr="00BE5D6A">
              <w:rPr>
                <w:b/>
                <w:i/>
              </w:rPr>
              <w:t>trzech</w:t>
            </w:r>
            <w:r w:rsidRPr="00BE5D6A">
              <w:t xml:space="preserve"> latach podatkowych rozpatrywanych osobno przekroczył kwotę równą </w:t>
            </w:r>
            <w:r w:rsidRPr="00BE5D6A">
              <w:rPr>
                <w:b/>
                <w:i/>
              </w:rPr>
              <w:t>trzykrotności</w:t>
            </w:r>
            <w:r w:rsidRPr="00BE5D6A">
              <w:t xml:space="preserve"> obrotu siedziby głównej;</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56</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10 – akapit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b</w:t>
            </w:r>
            <w:proofErr w:type="gramStart"/>
            <w:r w:rsidRPr="00BE5D6A">
              <w:t>)</w:t>
            </w:r>
            <w:r w:rsidRPr="00BE5D6A">
              <w:tab/>
              <w:t>MŚP</w:t>
            </w:r>
            <w:proofErr w:type="gramEnd"/>
            <w:r w:rsidRPr="00BE5D6A">
              <w:t xml:space="preserve"> utworzyło </w:t>
            </w:r>
            <w:r w:rsidRPr="00BE5D6A">
              <w:rPr>
                <w:b/>
                <w:i/>
              </w:rPr>
              <w:t>co najmniej jedną jednostkę zależną</w:t>
            </w:r>
            <w:r w:rsidRPr="00BE5D6A">
              <w:t xml:space="preserve"> w Unii</w:t>
            </w:r>
            <w:r w:rsidRPr="00BE5D6A">
              <w:rPr>
                <w:b/>
                <w:i/>
              </w:rPr>
              <w:t xml:space="preserve"> lub poza Unią</w:t>
            </w:r>
            <w:r w:rsidRPr="00BE5D6A">
              <w:t>;</w:t>
            </w:r>
          </w:p>
        </w:tc>
        <w:tc>
          <w:tcPr>
            <w:tcW w:w="4876" w:type="dxa"/>
          </w:tcPr>
          <w:p w:rsidR="0093375B" w:rsidRPr="00BE5D6A" w:rsidRDefault="0093375B" w:rsidP="005A4C0F">
            <w:pPr>
              <w:pStyle w:val="Normal6a"/>
            </w:pPr>
            <w:r w:rsidRPr="00BE5D6A">
              <w:t>b</w:t>
            </w:r>
            <w:proofErr w:type="gramStart"/>
            <w:r w:rsidRPr="00BE5D6A">
              <w:t>)</w:t>
            </w:r>
            <w:r w:rsidRPr="00BE5D6A">
              <w:tab/>
              <w:t>MŚP</w:t>
            </w:r>
            <w:proofErr w:type="gramEnd"/>
            <w:r w:rsidRPr="00BE5D6A">
              <w:t xml:space="preserve"> utworzyło </w:t>
            </w:r>
            <w:r w:rsidRPr="00BE5D6A">
              <w:rPr>
                <w:b/>
                <w:i/>
              </w:rPr>
              <w:t>więcej niż dwie jednostki zależne</w:t>
            </w:r>
            <w:r w:rsidRPr="00BE5D6A">
              <w:t xml:space="preserve"> w Unii;</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57</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10 – akapit 1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c</w:t>
            </w:r>
            <w:proofErr w:type="gramStart"/>
            <w:r w:rsidRPr="00BE5D6A">
              <w:t>)</w:t>
            </w:r>
            <w:r w:rsidRPr="00BE5D6A">
              <w:tab/>
              <w:t>przez</w:t>
            </w:r>
            <w:proofErr w:type="gramEnd"/>
            <w:r w:rsidRPr="00BE5D6A">
              <w:t xml:space="preserve"> </w:t>
            </w:r>
            <w:r w:rsidRPr="00BE5D6A">
              <w:rPr>
                <w:b/>
                <w:i/>
              </w:rPr>
              <w:t>dwa</w:t>
            </w:r>
            <w:r w:rsidRPr="00BE5D6A">
              <w:t xml:space="preserve"> kolejne lata podatkowe nie było spełnione kryterium określone w art. 2 ust. 1 lit.</w:t>
            </w:r>
            <w:r w:rsidRPr="00BE5D6A">
              <w:rPr>
                <w:b/>
                <w:i/>
              </w:rPr>
              <w:t> </w:t>
            </w:r>
            <w:r w:rsidRPr="00BE5D6A">
              <w:t>d).</w:t>
            </w:r>
          </w:p>
        </w:tc>
        <w:tc>
          <w:tcPr>
            <w:tcW w:w="4876" w:type="dxa"/>
          </w:tcPr>
          <w:p w:rsidR="0093375B" w:rsidRPr="00BE5D6A" w:rsidRDefault="0093375B" w:rsidP="005A4C0F">
            <w:pPr>
              <w:pStyle w:val="Normal6a"/>
            </w:pPr>
            <w:r w:rsidRPr="00BE5D6A">
              <w:t>c</w:t>
            </w:r>
            <w:proofErr w:type="gramStart"/>
            <w:r w:rsidRPr="00BE5D6A">
              <w:t>)</w:t>
            </w:r>
            <w:r w:rsidRPr="00BE5D6A">
              <w:tab/>
              <w:t>przez</w:t>
            </w:r>
            <w:proofErr w:type="gramEnd"/>
            <w:r w:rsidRPr="00BE5D6A">
              <w:t xml:space="preserve"> </w:t>
            </w:r>
            <w:r w:rsidRPr="00BE5D6A">
              <w:rPr>
                <w:b/>
                <w:i/>
              </w:rPr>
              <w:t>trzy</w:t>
            </w:r>
            <w:r w:rsidRPr="00BE5D6A">
              <w:t xml:space="preserve"> kolejne lata podatkowe nie było spełnione kryterium określone w art. 2 ust. 1 lit.</w:t>
            </w:r>
            <w:r w:rsidRPr="00BE5D6A">
              <w:rPr>
                <w:b/>
                <w:i/>
              </w:rPr>
              <w:t xml:space="preserve"> </w:t>
            </w:r>
            <w:r w:rsidRPr="00BE5D6A">
              <w:t>d).</w:t>
            </w:r>
          </w:p>
        </w:tc>
      </w:tr>
    </w:tbl>
    <w:p w:rsidR="0093375B" w:rsidRPr="00BE5D6A" w:rsidRDefault="0093375B" w:rsidP="0093375B"/>
    <w:p w:rsidR="0093375B" w:rsidRPr="00BE5D6A" w:rsidRDefault="0093375B" w:rsidP="0093375B">
      <w:pPr>
        <w:spacing w:before="120" w:after="120"/>
      </w:pPr>
    </w:p>
    <w:p w:rsidR="0093375B" w:rsidRPr="00BE5D6A" w:rsidRDefault="0093375B" w:rsidP="0093375B">
      <w:pPr>
        <w:pStyle w:val="AmNumberTabs"/>
      </w:pPr>
      <w:r w:rsidRPr="00BE5D6A">
        <w:t>Poprawka</w:t>
      </w:r>
      <w:r w:rsidRPr="00BE5D6A">
        <w:tab/>
      </w:r>
      <w:r w:rsidRPr="00BE5D6A">
        <w:tab/>
        <w:t>58</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11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1.</w:t>
            </w:r>
            <w:r w:rsidRPr="00BE5D6A">
              <w:tab/>
              <w:t xml:space="preserve">Siedziba główna składa deklarację podatkową siedziby głównej w organie </w:t>
            </w:r>
            <w:r w:rsidRPr="00BE5D6A">
              <w:lastRenderedPageBreak/>
              <w:t>przyjmującym deklaracje.</w:t>
            </w:r>
          </w:p>
        </w:tc>
        <w:tc>
          <w:tcPr>
            <w:tcW w:w="4876" w:type="dxa"/>
          </w:tcPr>
          <w:p w:rsidR="0093375B" w:rsidRPr="00BE5D6A" w:rsidRDefault="0093375B" w:rsidP="005A4C0F">
            <w:pPr>
              <w:pStyle w:val="Normal6a"/>
            </w:pPr>
            <w:r w:rsidRPr="00BE5D6A">
              <w:lastRenderedPageBreak/>
              <w:t>1.</w:t>
            </w:r>
            <w:r w:rsidRPr="00BE5D6A">
              <w:tab/>
              <w:t xml:space="preserve">Siedziba główna składa deklarację podatkową siedziby głównej w organie </w:t>
            </w:r>
            <w:r w:rsidRPr="00BE5D6A">
              <w:lastRenderedPageBreak/>
              <w:t xml:space="preserve">przyjmującym deklaracje. </w:t>
            </w:r>
            <w:r w:rsidRPr="00BE5D6A">
              <w:rPr>
                <w:b/>
                <w:i/>
              </w:rPr>
              <w:t>Państwo członkowskie siedziby głównej pomaga MŚP w sporządzeniu deklaracji podatkowej, w szczególności w odniesieniu do przypisania podlegającego opodatkowaniu wyniku każdemu stałemu zakładowi i każdej jednostce zależnej w innych państwach członkowskich.</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59</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11 – ustęp 2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b</w:t>
            </w:r>
            <w:proofErr w:type="gramStart"/>
            <w:r w:rsidRPr="00BE5D6A">
              <w:t>)</w:t>
            </w:r>
            <w:r w:rsidRPr="00BE5D6A">
              <w:tab/>
              <w:t>zobowiązanie</w:t>
            </w:r>
            <w:proofErr w:type="gramEnd"/>
            <w:r w:rsidRPr="00BE5D6A">
              <w:t xml:space="preserve"> podatkowe MŚP w odniesieniu do podlegającego opodatkowaniu wyniku każdego stałego zakładu w innych państwach członkowskich. Zobowiązanie podatkowe oblicza się przez zastosowanie krajowej stawki podatkowej danego państwa członkowskiego działalności do wyniku podlegającego opodatkowaniu, który został obliczony zgodnie z regułami opodatkowania państwa członkowskiego siedziby głównej.</w:t>
            </w:r>
          </w:p>
        </w:tc>
        <w:tc>
          <w:tcPr>
            <w:tcW w:w="4876" w:type="dxa"/>
          </w:tcPr>
          <w:p w:rsidR="0093375B" w:rsidRPr="00BE5D6A" w:rsidRDefault="0093375B" w:rsidP="005A4C0F">
            <w:pPr>
              <w:pStyle w:val="Normal6a"/>
            </w:pPr>
            <w:r w:rsidRPr="00BE5D6A">
              <w:t>b</w:t>
            </w:r>
            <w:proofErr w:type="gramStart"/>
            <w:r w:rsidRPr="00BE5D6A">
              <w:t>)</w:t>
            </w:r>
            <w:r w:rsidRPr="00BE5D6A">
              <w:tab/>
              <w:t>zobowiązanie</w:t>
            </w:r>
            <w:proofErr w:type="gramEnd"/>
            <w:r w:rsidRPr="00BE5D6A">
              <w:t xml:space="preserve"> podatkowe MŚP w odniesieniu do podlegającego opodatkowaniu wyniku każdego stałego zakładu </w:t>
            </w:r>
            <w:r w:rsidRPr="00BE5D6A">
              <w:rPr>
                <w:b/>
                <w:i/>
              </w:rPr>
              <w:t xml:space="preserve">i nie więcej niż dwóch jednostek zależnych </w:t>
            </w:r>
            <w:r w:rsidRPr="00BE5D6A">
              <w:t>w innych państwach członkowskich. Zobowiązanie podatkowe oblicza się przez zastosowanie krajowej stawki podatkowej danego państwa członkowskiego działalności do wyniku podlegającego opodatkowaniu, który został obliczony zgodnie z regułami opodatkowania państwa członkowskiego siedziby głównej.</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60</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11 – ustęp 3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3.</w:t>
            </w:r>
            <w:r w:rsidRPr="00BE5D6A">
              <w:tab/>
              <w:t xml:space="preserve">W przypadku gdy co najmniej jeden stały zakład danego MŚP nie jest zobowiązany do </w:t>
            </w:r>
            <w:r w:rsidRPr="00BE5D6A">
              <w:rPr>
                <w:b/>
                <w:i/>
              </w:rPr>
              <w:t>sporządzania</w:t>
            </w:r>
            <w:r w:rsidRPr="00BE5D6A">
              <w:t xml:space="preserve"> samodzielnego sprawozdania finansowego</w:t>
            </w:r>
            <w:r w:rsidRPr="00BE5D6A">
              <w:rPr>
                <w:b/>
                <w:i/>
              </w:rPr>
              <w:t xml:space="preserve"> </w:t>
            </w:r>
            <w:r w:rsidRPr="00BE5D6A">
              <w:t>zgodnie z przepisami państwa członkowskiego działalności, deklaracja podatkowa siedziby głównej zawiera następujące informacje:</w:t>
            </w:r>
          </w:p>
        </w:tc>
        <w:tc>
          <w:tcPr>
            <w:tcW w:w="4876" w:type="dxa"/>
          </w:tcPr>
          <w:p w:rsidR="0093375B" w:rsidRPr="00BE5D6A" w:rsidRDefault="0093375B" w:rsidP="005A4C0F">
            <w:pPr>
              <w:pStyle w:val="Normal6a"/>
            </w:pPr>
            <w:r w:rsidRPr="00BE5D6A">
              <w:t>3.</w:t>
            </w:r>
            <w:r w:rsidRPr="00BE5D6A">
              <w:tab/>
              <w:t xml:space="preserve">W przypadku gdy co najmniej jeden stały zakład danego MŚP nie jest zobowiązany do </w:t>
            </w:r>
            <w:r w:rsidRPr="00BE5D6A">
              <w:rPr>
                <w:b/>
                <w:i/>
              </w:rPr>
              <w:t>sporządzenia</w:t>
            </w:r>
            <w:r w:rsidRPr="00BE5D6A">
              <w:t xml:space="preserve"> samodzielnego sprawozdania finansowego</w:t>
            </w:r>
            <w:r w:rsidRPr="00BE5D6A">
              <w:rPr>
                <w:b/>
                <w:i/>
              </w:rPr>
              <w:t> </w:t>
            </w:r>
            <w:r w:rsidRPr="00BE5D6A">
              <w:t>zgodnie z przepisami państwa członkowskiego działalności, deklaracja podatkowa siedziby głównej zawiera następujące informacje:</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61</w:t>
      </w:r>
    </w:p>
    <w:p w:rsidR="0093375B" w:rsidRPr="00BE5D6A" w:rsidRDefault="0093375B" w:rsidP="0093375B">
      <w:pPr>
        <w:pStyle w:val="NormalBold12b"/>
      </w:pPr>
      <w:r w:rsidRPr="00BE5D6A">
        <w:lastRenderedPageBreak/>
        <w:t>Wniosek dotyczący dyrektywy</w:t>
      </w:r>
    </w:p>
    <w:p w:rsidR="0093375B" w:rsidRPr="00BE5D6A" w:rsidRDefault="0093375B" w:rsidP="0093375B">
      <w:pPr>
        <w:pStyle w:val="NormalBold"/>
      </w:pPr>
      <w:r w:rsidRPr="00BE5D6A">
        <w:t>Artykuł 11 – ustęp 3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a</w:t>
            </w:r>
            <w:proofErr w:type="gramStart"/>
            <w:r w:rsidRPr="00BE5D6A">
              <w:t>)</w:t>
            </w:r>
            <w:r w:rsidRPr="00BE5D6A">
              <w:tab/>
              <w:t>aktywa</w:t>
            </w:r>
            <w:proofErr w:type="gramEnd"/>
            <w:r w:rsidRPr="00BE5D6A">
              <w:t xml:space="preserve"> i zobowiązania przypisane </w:t>
            </w:r>
            <w:r w:rsidRPr="00BE5D6A">
              <w:rPr>
                <w:b/>
                <w:i/>
              </w:rPr>
              <w:t xml:space="preserve">stałemu zakładowi lub </w:t>
            </w:r>
            <w:r w:rsidRPr="00BE5D6A">
              <w:t>stałym zakładom;</w:t>
            </w:r>
          </w:p>
        </w:tc>
        <w:tc>
          <w:tcPr>
            <w:tcW w:w="4876" w:type="dxa"/>
          </w:tcPr>
          <w:p w:rsidR="0093375B" w:rsidRPr="00BE5D6A" w:rsidRDefault="0093375B" w:rsidP="005A4C0F">
            <w:pPr>
              <w:pStyle w:val="Normal6a"/>
            </w:pPr>
            <w:r w:rsidRPr="00BE5D6A">
              <w:t>a</w:t>
            </w:r>
            <w:proofErr w:type="gramStart"/>
            <w:r w:rsidRPr="00BE5D6A">
              <w:t>)</w:t>
            </w:r>
            <w:r w:rsidRPr="00BE5D6A">
              <w:tab/>
              <w:t>aktywa</w:t>
            </w:r>
            <w:proofErr w:type="gramEnd"/>
            <w:r w:rsidRPr="00BE5D6A">
              <w:t xml:space="preserve"> i zobowiązania przypisane stałym zakładom</w:t>
            </w:r>
            <w:r w:rsidRPr="00BE5D6A">
              <w:rPr>
                <w:b/>
                <w:i/>
              </w:rPr>
              <w:t xml:space="preserve"> i nie więcej niż dwóm jednostkom zależnym</w:t>
            </w:r>
            <w:r w:rsidRPr="00BE5D6A">
              <w:t>;</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62</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11 – ustęp 3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b</w:t>
            </w:r>
            <w:proofErr w:type="gramStart"/>
            <w:r w:rsidRPr="00BE5D6A">
              <w:t>)</w:t>
            </w:r>
            <w:r w:rsidRPr="00BE5D6A">
              <w:tab/>
              <w:t>zyski</w:t>
            </w:r>
            <w:proofErr w:type="gramEnd"/>
            <w:r w:rsidRPr="00BE5D6A">
              <w:t xml:space="preserve"> przypisane </w:t>
            </w:r>
            <w:r w:rsidRPr="00BE5D6A">
              <w:rPr>
                <w:b/>
                <w:i/>
              </w:rPr>
              <w:t xml:space="preserve">stałemu zakładowi lub </w:t>
            </w:r>
            <w:r w:rsidRPr="00BE5D6A">
              <w:t>stałym zakładom w innych państwach członkowskich.</w:t>
            </w:r>
          </w:p>
        </w:tc>
        <w:tc>
          <w:tcPr>
            <w:tcW w:w="4876" w:type="dxa"/>
          </w:tcPr>
          <w:p w:rsidR="0093375B" w:rsidRPr="00BE5D6A" w:rsidRDefault="0093375B" w:rsidP="005A4C0F">
            <w:pPr>
              <w:pStyle w:val="Normal6a"/>
            </w:pPr>
            <w:r w:rsidRPr="00BE5D6A">
              <w:t>b</w:t>
            </w:r>
            <w:proofErr w:type="gramStart"/>
            <w:r w:rsidRPr="00BE5D6A">
              <w:t>)</w:t>
            </w:r>
            <w:r w:rsidRPr="00BE5D6A">
              <w:tab/>
              <w:t>zyski</w:t>
            </w:r>
            <w:proofErr w:type="gramEnd"/>
            <w:r w:rsidRPr="00BE5D6A">
              <w:t xml:space="preserve"> przypisane stałym zakładom</w:t>
            </w:r>
            <w:r w:rsidRPr="00BE5D6A">
              <w:rPr>
                <w:b/>
                <w:i/>
              </w:rPr>
              <w:t xml:space="preserve"> i nie więcej niż dwóm jednostkom zależnym</w:t>
            </w:r>
            <w:r w:rsidRPr="00BE5D6A">
              <w:t xml:space="preserve"> w innych państwach członkowskich.</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63</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11 – ustęp 4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b</w:t>
            </w:r>
            <w:proofErr w:type="gramStart"/>
            <w:r w:rsidRPr="00BE5D6A">
              <w:t>)</w:t>
            </w:r>
            <w:r w:rsidRPr="00BE5D6A">
              <w:tab/>
              <w:t>projekt</w:t>
            </w:r>
            <w:proofErr w:type="gramEnd"/>
            <w:r w:rsidRPr="00BE5D6A">
              <w:t xml:space="preserve"> decyzji o wymiarze podatku w odniesieniu do każdego stałego zakładu.</w:t>
            </w:r>
          </w:p>
        </w:tc>
        <w:tc>
          <w:tcPr>
            <w:tcW w:w="4876" w:type="dxa"/>
          </w:tcPr>
          <w:p w:rsidR="0093375B" w:rsidRPr="00BE5D6A" w:rsidRDefault="0093375B" w:rsidP="005A4C0F">
            <w:pPr>
              <w:pStyle w:val="Normal6a"/>
            </w:pPr>
            <w:r w:rsidRPr="00BE5D6A">
              <w:t>b</w:t>
            </w:r>
            <w:proofErr w:type="gramStart"/>
            <w:r w:rsidRPr="00BE5D6A">
              <w:t>)</w:t>
            </w:r>
            <w:r w:rsidRPr="00BE5D6A">
              <w:tab/>
              <w:t>projekt</w:t>
            </w:r>
            <w:proofErr w:type="gramEnd"/>
            <w:r w:rsidRPr="00BE5D6A">
              <w:t xml:space="preserve"> decyzji o wymiarze podatku w odniesieniu do każdego stałego zakładu</w:t>
            </w:r>
            <w:r w:rsidRPr="00BE5D6A">
              <w:rPr>
                <w:b/>
                <w:i/>
              </w:rPr>
              <w:t xml:space="preserve"> i jednostki zależnej</w:t>
            </w:r>
            <w:r w:rsidRPr="00BE5D6A">
              <w:t>.</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64</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11 – ustęp 5 – akapit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b</w:t>
            </w:r>
            <w:proofErr w:type="gramStart"/>
            <w:r w:rsidRPr="00BE5D6A">
              <w:t>)</w:t>
            </w:r>
            <w:r w:rsidRPr="00BE5D6A">
              <w:tab/>
              <w:t>projekt</w:t>
            </w:r>
            <w:proofErr w:type="gramEnd"/>
            <w:r w:rsidRPr="00BE5D6A">
              <w:t xml:space="preserve"> decyzji o wymiarze podatku w odniesieniu do </w:t>
            </w:r>
            <w:r w:rsidRPr="00BE5D6A">
              <w:rPr>
                <w:b/>
                <w:bCs/>
                <w:i/>
                <w:iCs/>
              </w:rPr>
              <w:t>właściwego stałego zakładu lub</w:t>
            </w:r>
            <w:r w:rsidRPr="00BE5D6A">
              <w:t xml:space="preserve"> właściwych stałych zakładów;</w:t>
            </w:r>
          </w:p>
        </w:tc>
        <w:tc>
          <w:tcPr>
            <w:tcW w:w="4876" w:type="dxa"/>
          </w:tcPr>
          <w:p w:rsidR="0093375B" w:rsidRPr="00BE5D6A" w:rsidRDefault="0093375B" w:rsidP="005A4C0F">
            <w:pPr>
              <w:pStyle w:val="Normal6a"/>
            </w:pPr>
            <w:r w:rsidRPr="00BE5D6A">
              <w:t>b</w:t>
            </w:r>
            <w:proofErr w:type="gramStart"/>
            <w:r w:rsidRPr="00BE5D6A">
              <w:t>)</w:t>
            </w:r>
            <w:r w:rsidRPr="00BE5D6A">
              <w:tab/>
              <w:t>projekt</w:t>
            </w:r>
            <w:proofErr w:type="gramEnd"/>
            <w:r w:rsidRPr="00BE5D6A">
              <w:t xml:space="preserve"> decyzji o wymiarze podatku w odniesieniu do właściwych stałych zakładów </w:t>
            </w:r>
            <w:r w:rsidRPr="00BE5D6A">
              <w:rPr>
                <w:b/>
                <w:bCs/>
                <w:i/>
                <w:iCs/>
              </w:rPr>
              <w:t>i jednostek zależnych</w:t>
            </w:r>
            <w:r w:rsidRPr="00BE5D6A">
              <w:t>;</w:t>
            </w:r>
          </w:p>
        </w:tc>
      </w:tr>
    </w:tbl>
    <w:p w:rsidR="0093375B" w:rsidRPr="00BE5D6A" w:rsidRDefault="0093375B" w:rsidP="0093375B"/>
    <w:p w:rsidR="0093375B" w:rsidRPr="00BE5D6A" w:rsidRDefault="0093375B" w:rsidP="0093375B">
      <w:pPr>
        <w:pStyle w:val="AmNumberTabs"/>
        <w:keepNext/>
      </w:pPr>
      <w:r w:rsidRPr="00BE5D6A">
        <w:lastRenderedPageBreak/>
        <w:t>Poprawka</w:t>
      </w:r>
      <w:r w:rsidRPr="00BE5D6A">
        <w:tab/>
      </w:r>
      <w:r w:rsidRPr="00BE5D6A">
        <w:tab/>
        <w:t>65</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11 – ustęp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8.</w:t>
            </w:r>
            <w:r w:rsidRPr="00BE5D6A">
              <w:tab/>
              <w:t xml:space="preserve">Jeżeli organ podatkowy państwa członkowskiego działalności odrzuci projekt decyzji o wymiarze podatku, dokonuje przeglądu tego projektu wymiaru podatku w związku z przypisaniem zysków stałemu zakładowi zgodnie z przepisami określonymi w mającej zastosowanie </w:t>
            </w:r>
            <w:r w:rsidRPr="00BE5D6A">
              <w:rPr>
                <w:b/>
                <w:i/>
              </w:rPr>
              <w:t xml:space="preserve">dwustronnej </w:t>
            </w:r>
            <w:r w:rsidRPr="00BE5D6A">
              <w:t>umowie o unikaniu podwójnego opodatkowania</w:t>
            </w:r>
            <w:r w:rsidRPr="00BE5D6A">
              <w:rPr>
                <w:b/>
                <w:i/>
              </w:rPr>
              <w:t xml:space="preserve"> zawartej między państwem członkowskim</w:t>
            </w:r>
            <w:r w:rsidRPr="00BE5D6A">
              <w:t xml:space="preserve"> działalności </w:t>
            </w:r>
            <w:r w:rsidRPr="00BE5D6A">
              <w:rPr>
                <w:b/>
                <w:i/>
              </w:rPr>
              <w:t>a</w:t>
            </w:r>
            <w:r w:rsidRPr="00BE5D6A">
              <w:t> </w:t>
            </w:r>
            <w:r w:rsidRPr="00BE5D6A">
              <w:rPr>
                <w:b/>
                <w:i/>
              </w:rPr>
              <w:t>państwem członkowskim</w:t>
            </w:r>
            <w:r w:rsidRPr="00BE5D6A">
              <w:t xml:space="preserve"> siedziby głównej. Po tym jak przypisanie zysków stałemu zakładowi zostało poddane przeglądowi i przekazane organowi przyjmującemu deklaracje zgodnie z art. 8ae dyrektywy 2011/16/UE, organ przyjmujący deklaracje oblicza na nowo podlegający opodatkowaniu wynik zgodnie z przepisami podatkowymi państwa członkowskiego siedziby głównej, a to państwo członkowskie wydaje zmienioną decyzję o wymiarze podatku. Podatnik ma prawo odwołać się od tej zmienionej decyzji o wymiarze podatku do sądów państwa członkowskiego siedziby głównej. Wszelkie spory dotyczące kwoty zysków przypisywanej stałemu zakładowi rozstrzyga się zgodnie z mającą zastosowanie</w:t>
            </w:r>
            <w:r w:rsidRPr="00BE5D6A">
              <w:rPr>
                <w:b/>
                <w:i/>
              </w:rPr>
              <w:t xml:space="preserve"> dwustronną</w:t>
            </w:r>
            <w:r w:rsidRPr="00BE5D6A">
              <w:t xml:space="preserve"> umową o unikaniu podwójnego opodatkowania lub przepisami określonymi w dyrektywie Rady (UE) 2017/1852 z dnia 10 października 2017 r.</w:t>
            </w:r>
            <w:r w:rsidRPr="00BE5D6A">
              <w:rPr>
                <w:b/>
                <w:i/>
                <w:vertAlign w:val="superscript"/>
              </w:rPr>
              <w:t>17</w:t>
            </w:r>
            <w:r w:rsidRPr="00BE5D6A">
              <w:t>.</w:t>
            </w:r>
          </w:p>
        </w:tc>
        <w:tc>
          <w:tcPr>
            <w:tcW w:w="4876" w:type="dxa"/>
          </w:tcPr>
          <w:p w:rsidR="0093375B" w:rsidRPr="00BE5D6A" w:rsidRDefault="0093375B" w:rsidP="005A4C0F">
            <w:pPr>
              <w:pStyle w:val="Normal6a"/>
              <w:rPr>
                <w:szCs w:val="24"/>
              </w:rPr>
            </w:pPr>
            <w:r w:rsidRPr="00BE5D6A">
              <w:t>8.</w:t>
            </w:r>
            <w:r w:rsidRPr="00BE5D6A">
              <w:tab/>
              <w:t xml:space="preserve">Jeżeli organ podatkowy państwa członkowskiego działalności odrzuci projekt decyzji o wymiarze podatku, dokonuje przeglądu tego projektu wymiaru podatku w związku z przypisaniem zysków stałemu zakładowi </w:t>
            </w:r>
            <w:r w:rsidRPr="00BE5D6A">
              <w:rPr>
                <w:b/>
                <w:i/>
              </w:rPr>
              <w:t xml:space="preserve">i jednostkom zależnym </w:t>
            </w:r>
            <w:r w:rsidRPr="00BE5D6A">
              <w:t>zgodnie z przepisami określonymi w mającej zastosowanie umowie o unikaniu podwójnego opodatkowania</w:t>
            </w:r>
            <w:r w:rsidRPr="00BE5D6A">
              <w:rPr>
                <w:b/>
                <w:i/>
              </w:rPr>
              <w:t>, której państwo członkowskie</w:t>
            </w:r>
            <w:r w:rsidRPr="00BE5D6A">
              <w:t xml:space="preserve"> działalności </w:t>
            </w:r>
            <w:r w:rsidRPr="00BE5D6A">
              <w:rPr>
                <w:b/>
                <w:i/>
              </w:rPr>
              <w:t>oraz</w:t>
            </w:r>
            <w:r w:rsidRPr="00BE5D6A">
              <w:t> </w:t>
            </w:r>
            <w:r w:rsidRPr="00BE5D6A">
              <w:rPr>
                <w:b/>
                <w:i/>
              </w:rPr>
              <w:t>państwo członkowskie</w:t>
            </w:r>
            <w:r w:rsidRPr="00BE5D6A">
              <w:t xml:space="preserve"> siedziby głównej</w:t>
            </w:r>
            <w:r w:rsidRPr="00BE5D6A">
              <w:rPr>
                <w:b/>
                <w:i/>
              </w:rPr>
              <w:t xml:space="preserve"> są stronami</w:t>
            </w:r>
            <w:r w:rsidRPr="00BE5D6A">
              <w:t>. Po tym jak przypisanie zysków stałemu zakładowi</w:t>
            </w:r>
            <w:r w:rsidRPr="00BE5D6A">
              <w:rPr>
                <w:b/>
                <w:i/>
              </w:rPr>
              <w:t xml:space="preserve"> i jednostkom zależnym</w:t>
            </w:r>
            <w:r w:rsidRPr="00BE5D6A">
              <w:t xml:space="preserve"> zostało poddane przeglądowi i przekazane organowi przyjmującemu deklaracje zgodnie z art. 8ae dyrektywy 2011/16/UE, organ przyjmujący deklaracje oblicza na nowo podlegający opodatkowaniu wynik zgodnie z przepisami podatkowymi państwa członkowskiego siedziby głównej, a to państwo członkowskie wydaje zmienioną decyzję o wymiarze podatku. Podatnik ma prawo odwołać się od tej zmienionej decyzji o wymiarze podatku do sądów państwa członkowskiego siedziby głównej. Wszelkie spory dotyczące kwoty zysków przypisywanej stałemu zakładowi </w:t>
            </w:r>
            <w:r w:rsidRPr="00BE5D6A">
              <w:rPr>
                <w:b/>
                <w:i/>
              </w:rPr>
              <w:t xml:space="preserve">i jednostkom zależnym </w:t>
            </w:r>
            <w:r w:rsidRPr="00BE5D6A">
              <w:t>rozstrzyga się zgodnie z mającą zastosowanie umową o unikaniu podwójnego opodatkowania lub przepisami określonymi w dyrektywie Rady (UE) 2017/1852 z dnia 10 października 2017 r.</w:t>
            </w:r>
          </w:p>
        </w:tc>
      </w:tr>
      <w:tr w:rsidR="0093375B" w:rsidRPr="00BE5D6A" w:rsidTr="005A4C0F">
        <w:trPr>
          <w:jc w:val="center"/>
        </w:trPr>
        <w:tc>
          <w:tcPr>
            <w:tcW w:w="4876" w:type="dxa"/>
          </w:tcPr>
          <w:p w:rsidR="0093375B" w:rsidRPr="00BE5D6A" w:rsidRDefault="0093375B" w:rsidP="005A4C0F">
            <w:pPr>
              <w:pStyle w:val="Normal6a"/>
            </w:pPr>
            <w:r w:rsidRPr="00BE5D6A">
              <w:t>_________________</w:t>
            </w:r>
          </w:p>
        </w:tc>
        <w:tc>
          <w:tcPr>
            <w:tcW w:w="4876" w:type="dxa"/>
          </w:tcPr>
          <w:p w:rsidR="0093375B" w:rsidRPr="00BE5D6A" w:rsidRDefault="0093375B" w:rsidP="005A4C0F">
            <w:pPr>
              <w:pStyle w:val="Normal6a"/>
              <w:rPr>
                <w:szCs w:val="24"/>
              </w:rPr>
            </w:pPr>
            <w:r w:rsidRPr="00BE5D6A">
              <w:t>_________________</w:t>
            </w:r>
          </w:p>
        </w:tc>
      </w:tr>
      <w:tr w:rsidR="0093375B" w:rsidRPr="00BE5D6A" w:rsidTr="005A4C0F">
        <w:trPr>
          <w:jc w:val="center"/>
        </w:trPr>
        <w:tc>
          <w:tcPr>
            <w:tcW w:w="4876" w:type="dxa"/>
          </w:tcPr>
          <w:p w:rsidR="0093375B" w:rsidRPr="00BE5D6A" w:rsidRDefault="0093375B" w:rsidP="005A4C0F">
            <w:pPr>
              <w:pStyle w:val="Normal6a"/>
            </w:pPr>
            <w:r w:rsidRPr="00BE5D6A">
              <w:rPr>
                <w:vertAlign w:val="superscript"/>
              </w:rPr>
              <w:t>17</w:t>
            </w:r>
            <w:r w:rsidRPr="00BE5D6A">
              <w:t xml:space="preserve"> Dyrektywa Rady (UE) 2017/1852 z dnia 10 października 2017 r. w sprawie mechanizmów rozstrzygania sporów dotyczących podwójnego opodatkowania w Unii Europejskiej (Dz.U. L 265 z 14.10.2017, </w:t>
            </w:r>
            <w:proofErr w:type="gramStart"/>
            <w:r w:rsidRPr="00BE5D6A">
              <w:t>s</w:t>
            </w:r>
            <w:proofErr w:type="gramEnd"/>
            <w:r w:rsidRPr="00BE5D6A">
              <w:t>. 1).</w:t>
            </w:r>
          </w:p>
        </w:tc>
        <w:tc>
          <w:tcPr>
            <w:tcW w:w="4876" w:type="dxa"/>
          </w:tcPr>
          <w:p w:rsidR="0093375B" w:rsidRPr="00BE5D6A" w:rsidRDefault="0093375B" w:rsidP="005A4C0F">
            <w:pPr>
              <w:pStyle w:val="Normal6a"/>
              <w:rPr>
                <w:szCs w:val="24"/>
              </w:rPr>
            </w:pPr>
            <w:r w:rsidRPr="00BE5D6A">
              <w:rPr>
                <w:vertAlign w:val="superscript"/>
              </w:rPr>
              <w:t>17</w:t>
            </w:r>
            <w:r w:rsidRPr="00BE5D6A">
              <w:t xml:space="preserve"> Dyrektywa Rady (UE) 2017/1852 z dnia 10 października 2017 r. w sprawie mechanizmów rozstrzygania sporów dotyczących podwójnego opodatkowania w Unii Europejskiej (Dz.U. L 265 z 14.10.2017, </w:t>
            </w:r>
            <w:proofErr w:type="gramStart"/>
            <w:r w:rsidRPr="00BE5D6A">
              <w:t>s</w:t>
            </w:r>
            <w:proofErr w:type="gramEnd"/>
            <w:r w:rsidRPr="00BE5D6A">
              <w:t>. 1</w:t>
            </w:r>
            <w:bookmarkStart w:id="8" w:name="_GoBack"/>
            <w:bookmarkEnd w:id="8"/>
            <w:r w:rsidRPr="00BE5D6A">
              <w:t>).</w:t>
            </w:r>
          </w:p>
        </w:tc>
      </w:tr>
    </w:tbl>
    <w:p w:rsidR="0093375B" w:rsidRPr="00BE5D6A" w:rsidRDefault="0093375B" w:rsidP="0093375B"/>
    <w:p w:rsidR="0093375B" w:rsidRPr="00BE5D6A" w:rsidRDefault="0093375B" w:rsidP="0093375B">
      <w:pPr>
        <w:pStyle w:val="AmNumberTabs"/>
      </w:pPr>
      <w:r w:rsidRPr="00BE5D6A">
        <w:lastRenderedPageBreak/>
        <w:t>Poprawka</w:t>
      </w:r>
      <w:r w:rsidRPr="00BE5D6A">
        <w:tab/>
      </w:r>
      <w:r w:rsidRPr="00BE5D6A">
        <w:tab/>
        <w:t>66</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11 – ustęp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9.</w:t>
            </w:r>
            <w:r w:rsidRPr="00BE5D6A">
              <w:tab/>
              <w:t>W przypadku gdy zgodnie z przepisami podatkowymi państwa członkowskiego działalności niektóre wydatki związane z pracownikami stałego zakładu podlegają odliczeniu do celów podatkowych w zakresie, w jakim dane kwoty są opodatkowane na poziomie pracownika lub podlegają odprowadzaniu składek na ubezpieczenie społeczne, a w państwie członkowskim siedziby głównej nie istnieje podobne traktowanie podatkowe pozwalające na takie odliczenie, siedziba główna i państwa członkowskie działalności podejmują odpowiednie środki w celu zapobieżenia ewentualnym rozbieżnościom.</w:t>
            </w:r>
          </w:p>
        </w:tc>
        <w:tc>
          <w:tcPr>
            <w:tcW w:w="4876" w:type="dxa"/>
          </w:tcPr>
          <w:p w:rsidR="0093375B" w:rsidRPr="00BE5D6A" w:rsidRDefault="0093375B" w:rsidP="005A4C0F">
            <w:pPr>
              <w:pStyle w:val="Normal6a"/>
            </w:pPr>
            <w:r w:rsidRPr="00BE5D6A">
              <w:t>9.</w:t>
            </w:r>
            <w:r w:rsidRPr="00BE5D6A">
              <w:tab/>
              <w:t xml:space="preserve">W przypadku gdy zgodnie z przepisami podatkowymi państwa członkowskiego działalności niektóre wydatki związane z pracownikami stałego zakładu </w:t>
            </w:r>
            <w:r w:rsidRPr="00BE5D6A">
              <w:rPr>
                <w:b/>
                <w:i/>
              </w:rPr>
              <w:t xml:space="preserve">lub jednostki zależnej </w:t>
            </w:r>
            <w:r w:rsidRPr="00BE5D6A">
              <w:t>podlegają odliczeniu do celów podatkowych w zakresie, w jakim dane kwoty są opodatkowane na poziomie pracownika lub podlegają odprowadzaniu składek na ubezpieczenie społeczne, a w państwie członkowskim siedziby głównej nie istnieje podobne traktowanie podatkowe pozwalające na takie odliczenie, siedziba główna i państwa członkowskie działalności</w:t>
            </w:r>
            <w:r w:rsidRPr="00BE5D6A">
              <w:rPr>
                <w:b/>
                <w:i/>
              </w:rPr>
              <w:t>, stosując wytyczne Komisji,</w:t>
            </w:r>
            <w:r w:rsidRPr="00BE5D6A">
              <w:t xml:space="preserve"> podejmują odpowiednie środki w celu zapobieżenia ewentualnym rozbieżnościom.</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67</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11 – ustęp 9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
        </w:tc>
        <w:tc>
          <w:tcPr>
            <w:tcW w:w="4876" w:type="dxa"/>
          </w:tcPr>
          <w:p w:rsidR="0093375B" w:rsidRPr="00BE5D6A" w:rsidRDefault="0093375B" w:rsidP="005A4C0F">
            <w:pPr>
              <w:pStyle w:val="Normal6a"/>
            </w:pPr>
            <w:r w:rsidRPr="00BE5D6A">
              <w:rPr>
                <w:b/>
                <w:i/>
              </w:rPr>
              <w:t>9a.</w:t>
            </w:r>
            <w:r w:rsidRPr="00BE5D6A">
              <w:tab/>
            </w:r>
            <w:r w:rsidRPr="00BE5D6A">
              <w:rPr>
                <w:b/>
                <w:i/>
              </w:rPr>
              <w:t>Komisja określa w drodze aktów wykonawczych wytyczne dotyczące odpowiednich środków dotyczących rozbieżności, o których mowa w ust. 8 niniejszego artykułu.</w:t>
            </w:r>
            <w:r w:rsidRPr="00BE5D6A">
              <w:t xml:space="preserve"> </w:t>
            </w:r>
            <w:r w:rsidRPr="00BE5D6A">
              <w:rPr>
                <w:b/>
                <w:i/>
              </w:rPr>
              <w:t>Te akty wykonawcze przyjmuje się zgodnie z procedurą sprawdzającą, o której mowa w art. 15.</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68</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12 – nagłówek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 xml:space="preserve">Pobór podatku należnego od </w:t>
            </w:r>
            <w:r w:rsidRPr="00BE5D6A">
              <w:rPr>
                <w:b/>
                <w:bCs/>
                <w:i/>
                <w:iCs/>
              </w:rPr>
              <w:t xml:space="preserve">stałego </w:t>
            </w:r>
            <w:r w:rsidRPr="00BE5D6A">
              <w:rPr>
                <w:b/>
                <w:bCs/>
                <w:i/>
                <w:iCs/>
              </w:rPr>
              <w:lastRenderedPageBreak/>
              <w:t>zakładu lub</w:t>
            </w:r>
            <w:r w:rsidRPr="00BE5D6A">
              <w:t xml:space="preserve"> stałych zakładów w </w:t>
            </w:r>
            <w:r w:rsidRPr="00BE5D6A">
              <w:rPr>
                <w:b/>
                <w:bCs/>
                <w:i/>
                <w:iCs/>
              </w:rPr>
              <w:t>państwie członkowskim lub</w:t>
            </w:r>
            <w:r w:rsidRPr="00BE5D6A">
              <w:t xml:space="preserve"> państwach członkowskich działalności</w:t>
            </w:r>
          </w:p>
        </w:tc>
        <w:tc>
          <w:tcPr>
            <w:tcW w:w="4876" w:type="dxa"/>
          </w:tcPr>
          <w:p w:rsidR="0093375B" w:rsidRPr="00BE5D6A" w:rsidRDefault="0093375B" w:rsidP="005A4C0F">
            <w:pPr>
              <w:pStyle w:val="Normal6a"/>
            </w:pPr>
            <w:r w:rsidRPr="00BE5D6A">
              <w:lastRenderedPageBreak/>
              <w:t xml:space="preserve">Pobór podatku należnego od stałych </w:t>
            </w:r>
            <w:r w:rsidRPr="00BE5D6A">
              <w:lastRenderedPageBreak/>
              <w:t xml:space="preserve">zakładów </w:t>
            </w:r>
            <w:r w:rsidRPr="00BE5D6A">
              <w:rPr>
                <w:b/>
                <w:bCs/>
                <w:i/>
                <w:iCs/>
              </w:rPr>
              <w:t>i jednostek zależnych</w:t>
            </w:r>
            <w:r w:rsidRPr="00BE5D6A">
              <w:t xml:space="preserve"> w państwach członkowskich działalności</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69</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12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1.</w:t>
            </w:r>
            <w:r w:rsidRPr="00BE5D6A">
              <w:tab/>
              <w:t xml:space="preserve">Siedziba główna rozlicza, za pośrednictwem organu przyjmującego deklaracje, zobowiązania z tytułu podatku dochodowego zarówno w odniesieniu do swojego podlegającego opodatkowaniu wyniku, jak i podlegającego opodatkowaniu wyniku </w:t>
            </w:r>
            <w:r w:rsidRPr="00BE5D6A">
              <w:rPr>
                <w:b/>
                <w:bCs/>
                <w:i/>
                <w:iCs/>
              </w:rPr>
              <w:t>swojego stałego zakładu lub</w:t>
            </w:r>
            <w:r w:rsidRPr="00BE5D6A">
              <w:t xml:space="preserve"> swoich stałych zakładów w </w:t>
            </w:r>
            <w:r w:rsidRPr="00BE5D6A">
              <w:rPr>
                <w:b/>
                <w:bCs/>
                <w:i/>
                <w:iCs/>
              </w:rPr>
              <w:t>państwie członkowskim lub</w:t>
            </w:r>
            <w:r w:rsidRPr="00BE5D6A">
              <w:t xml:space="preserve"> państwach członkowskich działalności.</w:t>
            </w:r>
          </w:p>
        </w:tc>
        <w:tc>
          <w:tcPr>
            <w:tcW w:w="4876" w:type="dxa"/>
          </w:tcPr>
          <w:p w:rsidR="0093375B" w:rsidRPr="00BE5D6A" w:rsidRDefault="0093375B" w:rsidP="005A4C0F">
            <w:pPr>
              <w:pStyle w:val="Normal6a"/>
            </w:pPr>
            <w:r w:rsidRPr="00BE5D6A">
              <w:t>1.</w:t>
            </w:r>
            <w:r w:rsidRPr="00BE5D6A">
              <w:tab/>
              <w:t xml:space="preserve">Siedziba główna rozlicza, za pośrednictwem organu przyjmującego deklaracje, zobowiązania z tytułu podatku dochodowego zarówno w odniesieniu do swojego podlegającego opodatkowaniu wyniku, jak i podlegającego opodatkowaniu wyniku swoich stałych zakładów </w:t>
            </w:r>
            <w:r w:rsidRPr="00BE5D6A">
              <w:rPr>
                <w:b/>
                <w:bCs/>
                <w:i/>
                <w:iCs/>
              </w:rPr>
              <w:t>i jednostek zależnych</w:t>
            </w:r>
            <w:r w:rsidRPr="00BE5D6A">
              <w:t xml:space="preserve"> w państwach członkowskich działalności.</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70</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12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2.</w:t>
            </w:r>
            <w:r w:rsidRPr="00BE5D6A">
              <w:tab/>
              <w:t>Organ przyjmujący deklaracje pobiera podatek odpowiadający zobowiązaniu podatkowemu każdego stałego zakładu siedziby głównej w Unii, stosuje stawkę podatkową danego państwa członkowskiego działalności i przekazuje odpowiednią kwotę właściwemu organowi danego państwa członkowskiego działalności.</w:t>
            </w:r>
          </w:p>
        </w:tc>
        <w:tc>
          <w:tcPr>
            <w:tcW w:w="4876" w:type="dxa"/>
          </w:tcPr>
          <w:p w:rsidR="0093375B" w:rsidRPr="00BE5D6A" w:rsidRDefault="0093375B" w:rsidP="005A4C0F">
            <w:pPr>
              <w:pStyle w:val="Normal6a"/>
            </w:pPr>
            <w:r w:rsidRPr="00BE5D6A">
              <w:t>2.</w:t>
            </w:r>
            <w:r w:rsidRPr="00BE5D6A">
              <w:tab/>
              <w:t xml:space="preserve">Organ przyjmujący deklaracje pobiera podatek odpowiadający zobowiązaniu podatkowemu każdego stałego zakładu </w:t>
            </w:r>
            <w:r w:rsidRPr="00BE5D6A">
              <w:rPr>
                <w:b/>
                <w:i/>
              </w:rPr>
              <w:t xml:space="preserve">i jednostki zależnej </w:t>
            </w:r>
            <w:r w:rsidRPr="00BE5D6A">
              <w:t>siedziby głównej w Unii, stosuje stawkę podatkową danego państwa członkowskiego działalności i </w:t>
            </w:r>
            <w:r w:rsidRPr="00BE5D6A">
              <w:rPr>
                <w:b/>
                <w:i/>
              </w:rPr>
              <w:t xml:space="preserve">niezwłocznie </w:t>
            </w:r>
            <w:r w:rsidRPr="00BE5D6A">
              <w:t>przekazuje odpowiednią kwotę właściwemu organowi danego państwa członkowskiego działalności.</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71</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12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3.</w:t>
            </w:r>
            <w:r w:rsidRPr="00BE5D6A">
              <w:tab/>
              <w:t xml:space="preserve">Komisja określa, w drodze aktów </w:t>
            </w:r>
            <w:r w:rsidRPr="00BE5D6A">
              <w:lastRenderedPageBreak/>
              <w:t xml:space="preserve">wykonawczych, praktyczne ustalenia niezbędne do zapewnienia poboru i przekazywania podatku odpowiadającego zobowiązaniu podatkowemu </w:t>
            </w:r>
            <w:r w:rsidRPr="00BE5D6A">
              <w:rPr>
                <w:b/>
                <w:bCs/>
                <w:i/>
                <w:iCs/>
              </w:rPr>
              <w:t>stałego zakładu lub</w:t>
            </w:r>
            <w:r w:rsidRPr="00BE5D6A">
              <w:t xml:space="preserve"> stałych zakładów z państwa członkowskiego siedziby głównej do państwa członkowskiego działalności. Te akty wykonawcze przyjmuje się zgodnie z procedurą sprawdzającą, o której mowa w art. 15.</w:t>
            </w:r>
          </w:p>
        </w:tc>
        <w:tc>
          <w:tcPr>
            <w:tcW w:w="4876" w:type="dxa"/>
          </w:tcPr>
          <w:p w:rsidR="0093375B" w:rsidRPr="00BE5D6A" w:rsidRDefault="0093375B" w:rsidP="005A4C0F">
            <w:pPr>
              <w:pStyle w:val="Normal6a"/>
            </w:pPr>
            <w:r w:rsidRPr="00BE5D6A">
              <w:lastRenderedPageBreak/>
              <w:t>3.</w:t>
            </w:r>
            <w:r w:rsidRPr="00BE5D6A">
              <w:tab/>
              <w:t xml:space="preserve">Komisja określa, w drodze aktów </w:t>
            </w:r>
            <w:r w:rsidRPr="00BE5D6A">
              <w:lastRenderedPageBreak/>
              <w:t xml:space="preserve">wykonawczych, praktyczne ustalenia niezbędne do zapewnienia poboru i przekazywania podatku odpowiadającego zobowiązaniu podatkowemu stałych zakładów </w:t>
            </w:r>
            <w:r w:rsidRPr="00BE5D6A">
              <w:rPr>
                <w:b/>
                <w:bCs/>
                <w:i/>
                <w:iCs/>
              </w:rPr>
              <w:t>lub jednostek zależnych</w:t>
            </w:r>
            <w:r w:rsidRPr="00BE5D6A">
              <w:t xml:space="preserve"> z państwa członkowskiego siedziby głównej do państwa członkowskiego działalności. Te akty wykonawcze przyjmuje się zgodnie z procedurą sprawdzającą, o której mowa w art. 15.</w:t>
            </w:r>
          </w:p>
        </w:tc>
      </w:tr>
    </w:tbl>
    <w:p w:rsidR="0093375B" w:rsidRPr="00BE5D6A" w:rsidRDefault="0093375B" w:rsidP="0093375B"/>
    <w:p w:rsidR="0093375B" w:rsidRPr="00BE5D6A" w:rsidRDefault="0093375B" w:rsidP="0093375B">
      <w:pPr>
        <w:spacing w:before="120" w:after="120"/>
      </w:pPr>
    </w:p>
    <w:p w:rsidR="0093375B" w:rsidRPr="00BE5D6A" w:rsidRDefault="0093375B" w:rsidP="0093375B">
      <w:pPr>
        <w:pStyle w:val="AmNumberTabs"/>
      </w:pPr>
      <w:r w:rsidRPr="00BE5D6A">
        <w:t>Poprawka</w:t>
      </w:r>
      <w:r w:rsidRPr="00BE5D6A">
        <w:tab/>
      </w:r>
      <w:r w:rsidRPr="00BE5D6A">
        <w:tab/>
        <w:t>72</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13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1.</w:t>
            </w:r>
            <w:r w:rsidRPr="00BE5D6A">
              <w:tab/>
              <w:t>O ile nie określono inaczej, przepisy niniejszej dyrektywy nie mają wpływu na przepisy krajowe państw członkowskich regulujące lokalne kontrole podatkowe, środki odwoławcze i postępowania ani na mechanizmy rozstrzygania sporów dostępne na szczeblu Unii lub przewidziane w mających zastosowanie dwustronnych umowach o unikaniu podwójnego opodatkowania.</w:t>
            </w:r>
          </w:p>
        </w:tc>
        <w:tc>
          <w:tcPr>
            <w:tcW w:w="4876" w:type="dxa"/>
          </w:tcPr>
          <w:p w:rsidR="0093375B" w:rsidRPr="00BE5D6A" w:rsidRDefault="0093375B" w:rsidP="005A4C0F">
            <w:pPr>
              <w:pStyle w:val="Normal6a"/>
            </w:pPr>
            <w:r w:rsidRPr="00BE5D6A">
              <w:t>1.</w:t>
            </w:r>
            <w:r w:rsidRPr="00BE5D6A">
              <w:tab/>
              <w:t xml:space="preserve">O ile nie określono inaczej, przepisy niniejszej dyrektywy nie mają wpływu na przepisy krajowe państw członkowskich regulujące lokalne kontrole podatkowe, środki odwoławcze i postępowania ani na mechanizmy rozstrzygania sporów dostępne na szczeblu Unii lub przewidziane w mających zastosowanie dwustronnych umowach o unikaniu podwójnego opodatkowania. </w:t>
            </w:r>
            <w:r w:rsidRPr="00BE5D6A">
              <w:rPr>
                <w:b/>
                <w:i/>
              </w:rPr>
              <w:t>Niniejsza dyrektywa nie ma wpływu na obowiązki handlowe, księgowe i podatkowe stałych zakładów i jednostek zależnych zgodnie z przepisami krajowymi państwa członkowskiego działalności.</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73</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13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2.</w:t>
            </w:r>
            <w:r w:rsidRPr="00BE5D6A">
              <w:tab/>
            </w:r>
            <w:r w:rsidRPr="00BE5D6A">
              <w:rPr>
                <w:b/>
                <w:i/>
              </w:rPr>
              <w:t>Organ podatkowy</w:t>
            </w:r>
            <w:r w:rsidRPr="00BE5D6A">
              <w:t xml:space="preserve"> państwa członkowskiego działalności może wystąpić z wnioskiem o przeprowadzenie – wspólnie z organem przyjmującym deklaracje – kontroli dotyczącej obliczania podlegającego opodatkowaniu wyniku </w:t>
            </w:r>
            <w:r w:rsidRPr="00BE5D6A">
              <w:lastRenderedPageBreak/>
              <w:t>stałego zakładu zgodnie z regułami opodatkowania państwa członkowskiego siedziby głównej, przypisania zysków stałemu zakładowi lub mającej zastosowanie stawki podatkowej. Kontrole wspólne przeprowadza się zgodnie z dyrektywą Rady 2011/16/UE</w:t>
            </w:r>
            <w:r w:rsidRPr="00BE5D6A">
              <w:rPr>
                <w:vertAlign w:val="superscript"/>
              </w:rPr>
              <w:t>18</w:t>
            </w:r>
            <w:r w:rsidRPr="00BE5D6A">
              <w:t xml:space="preserve">. Niezależnie od przepisów </w:t>
            </w:r>
            <w:r w:rsidRPr="00BE5D6A">
              <w:rPr>
                <w:b/>
                <w:i/>
              </w:rPr>
              <w:t>wyżej wymienionej dyrektywy właściwy organ, do którego kierowany jest wniosek, przyjmuje taki wniosek organów</w:t>
            </w:r>
            <w:r w:rsidRPr="00BE5D6A">
              <w:t xml:space="preserve"> państwa członkowskiego działalności.</w:t>
            </w:r>
          </w:p>
        </w:tc>
        <w:tc>
          <w:tcPr>
            <w:tcW w:w="4876" w:type="dxa"/>
          </w:tcPr>
          <w:p w:rsidR="0093375B" w:rsidRPr="00BE5D6A" w:rsidRDefault="0093375B" w:rsidP="005A4C0F">
            <w:pPr>
              <w:pStyle w:val="Normal6a"/>
            </w:pPr>
            <w:r w:rsidRPr="00BE5D6A">
              <w:lastRenderedPageBreak/>
              <w:t>2.</w:t>
            </w:r>
            <w:r w:rsidRPr="00BE5D6A">
              <w:tab/>
            </w:r>
            <w:r w:rsidRPr="00BE5D6A">
              <w:rPr>
                <w:b/>
                <w:i/>
              </w:rPr>
              <w:t>Organy podatkowe</w:t>
            </w:r>
            <w:r w:rsidRPr="00BE5D6A">
              <w:t xml:space="preserve"> państwa członkowskiego działalności może wystąpić z wnioskiem o przeprowadzenie – wspólnie z organem przyjmującym deklaracje – kontroli dotyczącej obliczania podlegającego opodatkowaniu wyniku </w:t>
            </w:r>
            <w:r w:rsidRPr="00BE5D6A">
              <w:lastRenderedPageBreak/>
              <w:t xml:space="preserve">stałego zakładu </w:t>
            </w:r>
            <w:r w:rsidRPr="00BE5D6A">
              <w:rPr>
                <w:b/>
                <w:i/>
              </w:rPr>
              <w:t xml:space="preserve">lub jednostki zależnej </w:t>
            </w:r>
            <w:r w:rsidRPr="00BE5D6A">
              <w:t>zgodnie z regułami opodatkowania państwa członkowskiego siedziby głównej, przypisania zysków stałemu zakładowi</w:t>
            </w:r>
            <w:r w:rsidRPr="00BE5D6A">
              <w:rPr>
                <w:b/>
                <w:i/>
              </w:rPr>
              <w:t xml:space="preserve"> lub jednostce zależnej</w:t>
            </w:r>
            <w:r w:rsidRPr="00BE5D6A">
              <w:t xml:space="preserve"> lub mającej zastosowanie stawki podatkowej. Kontrole wspólne przeprowadza się zgodnie z dyrektywą Rady 2011/16/UE</w:t>
            </w:r>
            <w:r w:rsidRPr="00BE5D6A">
              <w:rPr>
                <w:vertAlign w:val="superscript"/>
              </w:rPr>
              <w:t>18</w:t>
            </w:r>
            <w:r w:rsidRPr="00BE5D6A">
              <w:t xml:space="preserve">. Niezależnie od przepisów </w:t>
            </w:r>
            <w:r w:rsidRPr="00BE5D6A">
              <w:rPr>
                <w:b/>
                <w:i/>
              </w:rPr>
              <w:t>dyrektywy 2011/16/UE wniosek o wspólną kontrolę może też złożyć organ podatkowy państwa członkowskiego siedziby głównej do organu podatkowego</w:t>
            </w:r>
            <w:r w:rsidRPr="00BE5D6A">
              <w:t xml:space="preserve"> państwa członkowskiego działalności</w:t>
            </w:r>
            <w:r w:rsidRPr="00BE5D6A">
              <w:rPr>
                <w:b/>
                <w:i/>
              </w:rPr>
              <w:t xml:space="preserve"> każdego stałego zakładu lub każdej jednostki zależnej</w:t>
            </w:r>
            <w:r w:rsidRPr="00BE5D6A">
              <w:t>.</w:t>
            </w:r>
          </w:p>
        </w:tc>
      </w:tr>
      <w:tr w:rsidR="0093375B" w:rsidRPr="00BE5D6A" w:rsidTr="005A4C0F">
        <w:trPr>
          <w:jc w:val="center"/>
        </w:trPr>
        <w:tc>
          <w:tcPr>
            <w:tcW w:w="4876" w:type="dxa"/>
          </w:tcPr>
          <w:p w:rsidR="0093375B" w:rsidRPr="00BE5D6A" w:rsidRDefault="0093375B" w:rsidP="005A4C0F">
            <w:pPr>
              <w:pStyle w:val="Normal6a"/>
            </w:pPr>
            <w:r w:rsidRPr="00BE5D6A">
              <w:rPr>
                <w:b/>
                <w:i/>
              </w:rPr>
              <w:lastRenderedPageBreak/>
              <w:t>_________________</w:t>
            </w:r>
          </w:p>
        </w:tc>
        <w:tc>
          <w:tcPr>
            <w:tcW w:w="4876" w:type="dxa"/>
          </w:tcPr>
          <w:p w:rsidR="0093375B" w:rsidRPr="00BE5D6A" w:rsidRDefault="0093375B" w:rsidP="005A4C0F">
            <w:pPr>
              <w:pStyle w:val="Normal6a"/>
            </w:pPr>
            <w:r w:rsidRPr="00BE5D6A">
              <w:rPr>
                <w:b/>
                <w:i/>
              </w:rPr>
              <w:t>_________________</w:t>
            </w:r>
          </w:p>
        </w:tc>
      </w:tr>
      <w:tr w:rsidR="0093375B" w:rsidRPr="00BE5D6A" w:rsidTr="005A4C0F">
        <w:trPr>
          <w:jc w:val="center"/>
        </w:trPr>
        <w:tc>
          <w:tcPr>
            <w:tcW w:w="4876" w:type="dxa"/>
          </w:tcPr>
          <w:p w:rsidR="0093375B" w:rsidRPr="00BE5D6A" w:rsidRDefault="0093375B" w:rsidP="005A4C0F">
            <w:pPr>
              <w:pStyle w:val="Normal6a"/>
            </w:pPr>
            <w:r w:rsidRPr="00BE5D6A">
              <w:rPr>
                <w:vertAlign w:val="superscript"/>
              </w:rPr>
              <w:t>18</w:t>
            </w:r>
            <w:r w:rsidRPr="00BE5D6A">
              <w:t xml:space="preserve"> Dyrektywa Rady 2011/16/UE z dnia 15 lutego 2011 r. w sprawie współpracy administracyjnej w dziedzinie opodatkowania i uchylająca dyrektywę 77/799/EWG (Dz.U. L 64 z 11.3.2011, </w:t>
            </w:r>
            <w:proofErr w:type="gramStart"/>
            <w:r w:rsidRPr="00BE5D6A">
              <w:t>s</w:t>
            </w:r>
            <w:proofErr w:type="gramEnd"/>
            <w:r w:rsidRPr="00BE5D6A">
              <w:t>. 1).</w:t>
            </w:r>
          </w:p>
        </w:tc>
        <w:tc>
          <w:tcPr>
            <w:tcW w:w="4876" w:type="dxa"/>
          </w:tcPr>
          <w:p w:rsidR="0093375B" w:rsidRPr="00BE5D6A" w:rsidRDefault="0093375B" w:rsidP="005A4C0F">
            <w:pPr>
              <w:pStyle w:val="Normal6a"/>
            </w:pPr>
            <w:r w:rsidRPr="00BE5D6A">
              <w:rPr>
                <w:vertAlign w:val="superscript"/>
              </w:rPr>
              <w:t>18</w:t>
            </w:r>
            <w:r w:rsidRPr="00BE5D6A">
              <w:t xml:space="preserve"> Dyrektywa Rady 2011/16/UE z dnia 15 lutego 2011 r. w sprawie współpracy administracyjnej w dziedzinie opodatkowania i uchylająca dyrektywę 77/799/EWG (Dz.U. L 64 z 11.3.2011, </w:t>
            </w:r>
            <w:proofErr w:type="gramStart"/>
            <w:r w:rsidRPr="00BE5D6A">
              <w:t>s</w:t>
            </w:r>
            <w:proofErr w:type="gramEnd"/>
            <w:r w:rsidRPr="00BE5D6A">
              <w:t>. 1).</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74</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13 – ustęp 2 a (nowy)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
        </w:tc>
        <w:tc>
          <w:tcPr>
            <w:tcW w:w="4876" w:type="dxa"/>
          </w:tcPr>
          <w:p w:rsidR="0093375B" w:rsidRPr="00BE5D6A" w:rsidRDefault="0093375B" w:rsidP="005A4C0F">
            <w:pPr>
              <w:pStyle w:val="Normal6a"/>
            </w:pPr>
            <w:r w:rsidRPr="00BE5D6A">
              <w:rPr>
                <w:b/>
                <w:i/>
              </w:rPr>
              <w:t>2a.</w:t>
            </w:r>
            <w:r w:rsidRPr="00BE5D6A">
              <w:rPr>
                <w:b/>
                <w:i/>
              </w:rPr>
              <w:tab/>
              <w:t>Jeżeli kontrolę należy przeprowadzić z inicjatywy państwa członkowskiego siedziby głównej, państwo członkowskie siedziby głównej zwraca się do państwa członkowskiego działalności o przeprowadzenie takiej kontroli wspólnie.</w:t>
            </w:r>
          </w:p>
        </w:tc>
      </w:tr>
    </w:tbl>
    <w:p w:rsidR="0093375B" w:rsidRPr="00BE5D6A" w:rsidRDefault="0093375B" w:rsidP="0093375B"/>
    <w:p w:rsidR="0093375B" w:rsidRPr="00BE5D6A" w:rsidRDefault="0093375B" w:rsidP="0093375B">
      <w:pPr>
        <w:pStyle w:val="AmNumberTabs"/>
        <w:keepNext/>
      </w:pPr>
      <w:r w:rsidRPr="00BE5D6A">
        <w:t>Poprawka</w:t>
      </w:r>
      <w:r w:rsidRPr="00BE5D6A">
        <w:tab/>
      </w:r>
      <w:r w:rsidRPr="00BE5D6A">
        <w:tab/>
        <w:t>75</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14 – ustęp 1 – punkt 2</w:t>
      </w:r>
    </w:p>
    <w:p w:rsidR="0093375B" w:rsidRPr="00BE5D6A" w:rsidRDefault="0093375B" w:rsidP="0093375B">
      <w:pPr>
        <w:keepNext/>
      </w:pPr>
      <w:r w:rsidRPr="00BE5D6A">
        <w:t>Dyrektywa 2011/16/UE</w:t>
      </w:r>
    </w:p>
    <w:p w:rsidR="0093375B" w:rsidRPr="00BE5D6A" w:rsidRDefault="0093375B" w:rsidP="0093375B">
      <w:r w:rsidRPr="00BE5D6A">
        <w:t xml:space="preserve">Artykuł 8 </w:t>
      </w:r>
      <w:proofErr w:type="spellStart"/>
      <w:r w:rsidRPr="00BE5D6A">
        <w:t>ae</w:t>
      </w:r>
      <w:proofErr w:type="spellEnd"/>
      <w:r w:rsidRPr="00BE5D6A">
        <w:t xml:space="preserve"> – akapit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1.</w:t>
            </w:r>
            <w:r w:rsidRPr="00BE5D6A">
              <w:tab/>
              <w:t>Jeżeli siedziba główna, zdefiniowana w art. 3 pkt 2 dyrektywy ustanawiającej reguły opodatkowania państwa członkowskiego siedziby głównej dla mikroprzedsiębiorstw oraz małych i średnich przedsiębiorstw</w:t>
            </w:r>
            <w:r w:rsidRPr="00BE5D6A">
              <w:rPr>
                <w:vertAlign w:val="superscript"/>
              </w:rPr>
              <w:t>20</w:t>
            </w:r>
            <w:r w:rsidRPr="00BE5D6A">
              <w:t xml:space="preserve">, która decyduje się na stosowanie reguł opodatkowania państwa członkowskiego siedziby głównej do </w:t>
            </w:r>
            <w:r w:rsidRPr="00BE5D6A">
              <w:rPr>
                <w:b/>
                <w:bCs/>
                <w:i/>
                <w:iCs/>
              </w:rPr>
              <w:t>swojego stałego zakładu lub</w:t>
            </w:r>
            <w:r w:rsidRPr="00BE5D6A">
              <w:t xml:space="preserve"> swoich stałych zakładów zgodnie z art. 6 tej dyrektywy, spełnia wymogi kwalifikowalności do stosowania takich reguł, właściwy organ państwa członkowskiego siedziby głównej powiadamia właściwy organ państwa członkowskiego, w którym znajduje się stały zakład, w drodze automatycznej wymiany informacji, że podlegający opodatkowaniu wynik danego stałego zakładu ma być obliczany zgodnie z regułami opodatkowania państwa członkowskiego siedziby głównej. Powiadomienie takie następuje w terminie </w:t>
            </w:r>
            <w:r w:rsidRPr="00BE5D6A">
              <w:rPr>
                <w:b/>
                <w:bCs/>
                <w:i/>
                <w:iCs/>
              </w:rPr>
              <w:t>dwóch miesięcy</w:t>
            </w:r>
            <w:r w:rsidRPr="00BE5D6A">
              <w:t xml:space="preserve"> od powiadomienia przez siedzibę główną o chęci skorzystania z opcji stosowania reguł opodatkowania państwa członkowskiego siedziby głównej.</w:t>
            </w:r>
          </w:p>
        </w:tc>
        <w:tc>
          <w:tcPr>
            <w:tcW w:w="4876" w:type="dxa"/>
          </w:tcPr>
          <w:p w:rsidR="0093375B" w:rsidRPr="00BE5D6A" w:rsidRDefault="0093375B" w:rsidP="005A4C0F">
            <w:pPr>
              <w:pStyle w:val="Normal6a"/>
              <w:rPr>
                <w:szCs w:val="24"/>
              </w:rPr>
            </w:pPr>
            <w:r w:rsidRPr="00BE5D6A">
              <w:t>1.</w:t>
            </w:r>
            <w:r w:rsidRPr="00BE5D6A">
              <w:tab/>
              <w:t>Jeżeli siedziba główna, zdefiniowana w art. 3 pkt 2 dyrektywy ustanawiającej reguły opodatkowania państwa członkowskiego siedziby głównej dla mikroprzedsiębiorstw oraz małych i średnich przedsiębiorstw</w:t>
            </w:r>
            <w:r w:rsidRPr="00BE5D6A">
              <w:rPr>
                <w:vertAlign w:val="superscript"/>
              </w:rPr>
              <w:t>20</w:t>
            </w:r>
            <w:r w:rsidRPr="00BE5D6A">
              <w:t xml:space="preserve">, która decyduje się na stosowanie reguł opodatkowania państwa członkowskiego siedziby głównej do swoich stałych zakładów </w:t>
            </w:r>
            <w:r w:rsidRPr="00BE5D6A">
              <w:rPr>
                <w:b/>
                <w:bCs/>
                <w:i/>
                <w:iCs/>
              </w:rPr>
              <w:t>lub jednostek zależnych</w:t>
            </w:r>
            <w:r w:rsidRPr="00BE5D6A">
              <w:t xml:space="preserve"> zgodnie z art. 6 tej dyrektywy, spełnia wymogi kwalifikowalności do stosowania takich reguł, właściwy organ państwa członkowskiego siedziby głównej powiadamia właściwy organ państwa członkowskiego, w którym znajduje się stały zakład </w:t>
            </w:r>
            <w:r w:rsidRPr="00BE5D6A">
              <w:rPr>
                <w:b/>
                <w:bCs/>
                <w:i/>
                <w:iCs/>
              </w:rPr>
              <w:t>lub jednostki zależne</w:t>
            </w:r>
            <w:r w:rsidRPr="00BE5D6A">
              <w:t xml:space="preserve">, w drodze automatycznej wymiany informacji, że podlegający opodatkowaniu wynik danego stałego zakładu </w:t>
            </w:r>
            <w:r w:rsidRPr="00BE5D6A">
              <w:rPr>
                <w:b/>
                <w:bCs/>
                <w:i/>
                <w:iCs/>
              </w:rPr>
              <w:t>lub jednostek zależnych</w:t>
            </w:r>
            <w:r w:rsidRPr="00BE5D6A">
              <w:t xml:space="preserve"> ma być obliczany zgodnie z regułami opodatkowania państwa członkowskiego siedziby głównej. Powiadomienie takie następuje w terminie </w:t>
            </w:r>
            <w:r w:rsidRPr="00BE5D6A">
              <w:rPr>
                <w:b/>
                <w:i/>
              </w:rPr>
              <w:t>jednego miesiąca</w:t>
            </w:r>
            <w:r w:rsidRPr="00BE5D6A">
              <w:t xml:space="preserve"> od powiadomienia przez siedzibę główną o chęci skorzystania z opcji stosowania reguł opodatkowania państwa członkowskiego siedziby głównej. </w:t>
            </w:r>
          </w:p>
        </w:tc>
      </w:tr>
      <w:tr w:rsidR="0093375B" w:rsidRPr="00BE5D6A" w:rsidTr="005A4C0F">
        <w:trPr>
          <w:jc w:val="center"/>
        </w:trPr>
        <w:tc>
          <w:tcPr>
            <w:tcW w:w="4876" w:type="dxa"/>
          </w:tcPr>
          <w:p w:rsidR="0093375B" w:rsidRPr="00BE5D6A" w:rsidRDefault="0093375B" w:rsidP="005A4C0F">
            <w:pPr>
              <w:pStyle w:val="Normal6a"/>
            </w:pPr>
            <w:r w:rsidRPr="00BE5D6A">
              <w:t>______________________</w:t>
            </w:r>
          </w:p>
        </w:tc>
        <w:tc>
          <w:tcPr>
            <w:tcW w:w="4876" w:type="dxa"/>
          </w:tcPr>
          <w:p w:rsidR="0093375B" w:rsidRPr="00BE5D6A" w:rsidRDefault="0093375B" w:rsidP="005A4C0F">
            <w:pPr>
              <w:pStyle w:val="Normal6a"/>
            </w:pPr>
            <w:r w:rsidRPr="00BE5D6A">
              <w:t>______________________</w:t>
            </w:r>
          </w:p>
        </w:tc>
      </w:tr>
      <w:tr w:rsidR="0093375B" w:rsidRPr="00BE5D6A" w:rsidTr="005A4C0F">
        <w:trPr>
          <w:jc w:val="center"/>
        </w:trPr>
        <w:tc>
          <w:tcPr>
            <w:tcW w:w="4876" w:type="dxa"/>
          </w:tcPr>
          <w:p w:rsidR="0093375B" w:rsidRPr="00BE5D6A" w:rsidRDefault="0093375B" w:rsidP="005A4C0F">
            <w:pPr>
              <w:pStyle w:val="Normal6a"/>
            </w:pPr>
            <w:r w:rsidRPr="00BE5D6A">
              <w:rPr>
                <w:vertAlign w:val="superscript"/>
              </w:rPr>
              <w:t>20</w:t>
            </w:r>
            <w:r w:rsidRPr="00BE5D6A">
              <w:t xml:space="preserve"> Dyrektywa…[Dz.U.: Proszę wstawić numer, datę i tytuł tej dyrektywy oraz odniesienie do Dz.U.].</w:t>
            </w:r>
          </w:p>
        </w:tc>
        <w:tc>
          <w:tcPr>
            <w:tcW w:w="4876" w:type="dxa"/>
          </w:tcPr>
          <w:p w:rsidR="0093375B" w:rsidRPr="00BE5D6A" w:rsidRDefault="0093375B" w:rsidP="005A4C0F">
            <w:pPr>
              <w:pStyle w:val="Normal6a"/>
            </w:pPr>
            <w:r w:rsidRPr="00BE5D6A">
              <w:rPr>
                <w:vertAlign w:val="superscript"/>
              </w:rPr>
              <w:t>20</w:t>
            </w:r>
            <w:r w:rsidRPr="00BE5D6A">
              <w:t xml:space="preserve"> Dyrektywa…[Dz.U.: Proszę wstawić numer, datę i tytuł tej dyrektywy oraz odniesienie do Dz.U.].</w:t>
            </w:r>
          </w:p>
        </w:tc>
      </w:tr>
    </w:tbl>
    <w:p w:rsidR="0093375B" w:rsidRPr="00BE5D6A" w:rsidRDefault="0093375B" w:rsidP="0093375B"/>
    <w:p w:rsidR="0093375B" w:rsidRPr="00BE5D6A" w:rsidRDefault="0093375B" w:rsidP="0093375B">
      <w:pPr>
        <w:pStyle w:val="AmNumberTabs"/>
        <w:keepNext/>
      </w:pPr>
      <w:r w:rsidRPr="00BE5D6A">
        <w:t>Poprawka</w:t>
      </w:r>
      <w:r w:rsidRPr="00BE5D6A">
        <w:tab/>
      </w:r>
      <w:r w:rsidRPr="00BE5D6A">
        <w:tab/>
        <w:t>76</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14 – ustęp 1 – punkt 2</w:t>
      </w:r>
    </w:p>
    <w:p w:rsidR="0093375B" w:rsidRPr="00BE5D6A" w:rsidRDefault="0093375B" w:rsidP="0093375B">
      <w:pPr>
        <w:keepNext/>
      </w:pPr>
      <w:r w:rsidRPr="00BE5D6A">
        <w:t>Dyrektywa 2011/16/UE</w:t>
      </w:r>
    </w:p>
    <w:p w:rsidR="0093375B" w:rsidRPr="00BE5D6A" w:rsidRDefault="0093375B" w:rsidP="0093375B">
      <w:r w:rsidRPr="00BE5D6A">
        <w:t xml:space="preserve">Artykuł 8 </w:t>
      </w:r>
      <w:proofErr w:type="spellStart"/>
      <w:r w:rsidRPr="00BE5D6A">
        <w:t>ae</w:t>
      </w:r>
      <w:proofErr w:type="spellEnd"/>
      <w:r w:rsidRPr="00BE5D6A">
        <w:t xml:space="preserve"> – ustęp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2.</w:t>
            </w:r>
            <w:r w:rsidRPr="00BE5D6A">
              <w:tab/>
              <w:t xml:space="preserve">W terminie </w:t>
            </w:r>
            <w:r w:rsidRPr="00BE5D6A">
              <w:rPr>
                <w:b/>
                <w:bCs/>
                <w:i/>
                <w:iCs/>
              </w:rPr>
              <w:t>trzech</w:t>
            </w:r>
            <w:r w:rsidRPr="00BE5D6A">
              <w:t xml:space="preserve"> miesięcy od powiadomienia przez właściwy organ państwa członkowskiego siedziby głównej </w:t>
            </w:r>
            <w:r w:rsidRPr="00BE5D6A">
              <w:lastRenderedPageBreak/>
              <w:t xml:space="preserve">o decyzji dotyczącej stosowania reguł opodatkowania państwa członkowskiego siedziby głównej właściwy organ państwa członkowskiego, w którym znajduje się stały zakład, powiadamia właściwy organ państwa członkowskiego siedziby głównej o stawce podatkowej mającej zastosowanie do celów ustalania zobowiązania podatkowego </w:t>
            </w:r>
            <w:r w:rsidRPr="00BE5D6A">
              <w:rPr>
                <w:b/>
                <w:bCs/>
                <w:i/>
                <w:iCs/>
              </w:rPr>
              <w:t>stałego zakładu lub</w:t>
            </w:r>
            <w:r w:rsidRPr="00BE5D6A">
              <w:t xml:space="preserve"> stałych zakładów znajdujących się na jego terytorium. </w:t>
            </w:r>
          </w:p>
        </w:tc>
        <w:tc>
          <w:tcPr>
            <w:tcW w:w="4876" w:type="dxa"/>
          </w:tcPr>
          <w:p w:rsidR="0093375B" w:rsidRPr="00BE5D6A" w:rsidRDefault="0093375B" w:rsidP="005A4C0F">
            <w:pPr>
              <w:pStyle w:val="Normal6a"/>
              <w:rPr>
                <w:szCs w:val="24"/>
              </w:rPr>
            </w:pPr>
            <w:r w:rsidRPr="00BE5D6A">
              <w:lastRenderedPageBreak/>
              <w:t>2.</w:t>
            </w:r>
            <w:r w:rsidRPr="00BE5D6A">
              <w:tab/>
              <w:t xml:space="preserve">W terminie </w:t>
            </w:r>
            <w:r w:rsidRPr="00BE5D6A">
              <w:rPr>
                <w:b/>
                <w:bCs/>
                <w:i/>
                <w:iCs/>
              </w:rPr>
              <w:t>dwóch</w:t>
            </w:r>
            <w:r w:rsidRPr="00BE5D6A">
              <w:t xml:space="preserve"> miesięcy od powiadomienia przez właściwy organ państwa członkowskiego siedziby głównej </w:t>
            </w:r>
            <w:r w:rsidRPr="00BE5D6A">
              <w:lastRenderedPageBreak/>
              <w:t xml:space="preserve">o decyzji dotyczącej stosowania reguł opodatkowania państwa członkowskiego siedziby głównej właściwy organ państwa członkowskiego, w którym znajduje się stały zakład </w:t>
            </w:r>
            <w:r w:rsidRPr="00BE5D6A">
              <w:rPr>
                <w:b/>
                <w:bCs/>
                <w:i/>
                <w:iCs/>
              </w:rPr>
              <w:t>lub jednostka zależna</w:t>
            </w:r>
            <w:r w:rsidRPr="00BE5D6A">
              <w:t xml:space="preserve">, powiadamia właściwy organ państwa członkowskiego siedziby głównej o stawce podatkowej mającej zastosowanie do celów ustalania zobowiązania podatkowego stałych zakładów </w:t>
            </w:r>
            <w:r w:rsidRPr="00BE5D6A">
              <w:rPr>
                <w:b/>
                <w:bCs/>
                <w:i/>
                <w:iCs/>
              </w:rPr>
              <w:t>lub jednostek zależnych</w:t>
            </w:r>
            <w:r w:rsidRPr="00BE5D6A">
              <w:t xml:space="preserve"> znajdujących się na jego terytorium.</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77</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14 – ustęp 1 – punkt 2</w:t>
      </w:r>
    </w:p>
    <w:p w:rsidR="0093375B" w:rsidRPr="00BE5D6A" w:rsidRDefault="0093375B" w:rsidP="0093375B">
      <w:r w:rsidRPr="00BE5D6A">
        <w:t>Dyrektywa 2011/16/UE</w:t>
      </w:r>
    </w:p>
    <w:p w:rsidR="0093375B" w:rsidRPr="00BE5D6A" w:rsidRDefault="0093375B" w:rsidP="0093375B">
      <w:r w:rsidRPr="00BE5D6A">
        <w:t xml:space="preserve">Artykuł 8 </w:t>
      </w:r>
      <w:proofErr w:type="spellStart"/>
      <w:r w:rsidRPr="00BE5D6A">
        <w:t>ae</w:t>
      </w:r>
      <w:proofErr w:type="spellEnd"/>
      <w:r w:rsidRPr="00BE5D6A">
        <w:t xml:space="preserve">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3.</w:t>
            </w:r>
            <w:r w:rsidRPr="00BE5D6A">
              <w:tab/>
              <w:t xml:space="preserve">Właściwy organ państwa członkowskiego siedziby głównej przekazuje w drodze automatycznej wymiany informacji informacje określone w ust. 2 niniejszego artykułu </w:t>
            </w:r>
            <w:r w:rsidRPr="00BE5D6A">
              <w:rPr>
                <w:b/>
                <w:bCs/>
                <w:i/>
                <w:iCs/>
              </w:rPr>
              <w:t>właściwemu organowi lub</w:t>
            </w:r>
            <w:r w:rsidRPr="00BE5D6A">
              <w:t xml:space="preserve"> właściwym organom </w:t>
            </w:r>
            <w:r w:rsidRPr="00BE5D6A">
              <w:rPr>
                <w:b/>
                <w:bCs/>
                <w:i/>
                <w:iCs/>
              </w:rPr>
              <w:t>państwa członkowskiego lub</w:t>
            </w:r>
            <w:r w:rsidRPr="00BE5D6A">
              <w:t xml:space="preserve"> państw członkowskich, w których </w:t>
            </w:r>
            <w:r w:rsidRPr="00BE5D6A">
              <w:rPr>
                <w:b/>
                <w:bCs/>
                <w:i/>
                <w:iCs/>
              </w:rPr>
              <w:t>znajduje się stały zakład lub</w:t>
            </w:r>
            <w:r w:rsidRPr="00BE5D6A">
              <w:t xml:space="preserve"> znajdują się stałe zakłady, zgodnie z praktycznymi ustaleniami przyjętymi na podstawie art. 21.</w:t>
            </w:r>
          </w:p>
        </w:tc>
        <w:tc>
          <w:tcPr>
            <w:tcW w:w="4876" w:type="dxa"/>
          </w:tcPr>
          <w:p w:rsidR="0093375B" w:rsidRPr="00BE5D6A" w:rsidRDefault="0093375B" w:rsidP="005A4C0F">
            <w:pPr>
              <w:pStyle w:val="Normal6a"/>
            </w:pPr>
            <w:r w:rsidRPr="00BE5D6A">
              <w:t>3.</w:t>
            </w:r>
            <w:r w:rsidRPr="00BE5D6A">
              <w:tab/>
              <w:t xml:space="preserve">Właściwy organ państwa członkowskiego siedziby głównej przekazuje w drodze automatycznej wymiany informacji informacje określone w ust. 2 niniejszego artykułu właściwym organom państw członkowskich, w których znajdują się stałe zakłady </w:t>
            </w:r>
            <w:r w:rsidRPr="00BE5D6A">
              <w:rPr>
                <w:b/>
                <w:bCs/>
                <w:i/>
                <w:iCs/>
              </w:rPr>
              <w:t>lub jednostki zależne</w:t>
            </w:r>
            <w:r w:rsidRPr="00BE5D6A">
              <w:t>, zgodnie z praktycznymi ustaleniami przyjętymi na podstawie art. 21.</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78</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14 – ustęp 1 – punkt 2</w:t>
      </w:r>
    </w:p>
    <w:p w:rsidR="0093375B" w:rsidRPr="00BE5D6A" w:rsidRDefault="0093375B" w:rsidP="0093375B">
      <w:r w:rsidRPr="00BE5D6A">
        <w:t>Dyrektywa 2011/16/UE</w:t>
      </w:r>
    </w:p>
    <w:p w:rsidR="0093375B" w:rsidRPr="00BE5D6A" w:rsidRDefault="0093375B" w:rsidP="0093375B">
      <w:r w:rsidRPr="00BE5D6A">
        <w:t>Artykuł 8ae – ustęp 4 – podpunkt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(iii</w:t>
            </w:r>
            <w:proofErr w:type="gramStart"/>
            <w:r w:rsidRPr="00BE5D6A">
              <w:t>)</w:t>
            </w:r>
            <w:r w:rsidRPr="00BE5D6A">
              <w:tab/>
              <w:t>projekt</w:t>
            </w:r>
            <w:proofErr w:type="gramEnd"/>
            <w:r w:rsidRPr="00BE5D6A">
              <w:t xml:space="preserve"> decyzji o wymiarze podatku w odniesieniu do </w:t>
            </w:r>
            <w:r w:rsidRPr="00BE5D6A">
              <w:rPr>
                <w:b/>
                <w:bCs/>
                <w:i/>
                <w:iCs/>
              </w:rPr>
              <w:t>właściwego stałego zakładu lub</w:t>
            </w:r>
            <w:r w:rsidRPr="00BE5D6A">
              <w:t xml:space="preserve"> właściwych stałych zakładów;</w:t>
            </w:r>
          </w:p>
        </w:tc>
        <w:tc>
          <w:tcPr>
            <w:tcW w:w="4876" w:type="dxa"/>
          </w:tcPr>
          <w:p w:rsidR="0093375B" w:rsidRPr="00BE5D6A" w:rsidRDefault="0093375B" w:rsidP="005A4C0F">
            <w:pPr>
              <w:pStyle w:val="Normal6a"/>
            </w:pPr>
            <w:r w:rsidRPr="00BE5D6A">
              <w:t>(iii</w:t>
            </w:r>
            <w:proofErr w:type="gramStart"/>
            <w:r w:rsidRPr="00BE5D6A">
              <w:t>)</w:t>
            </w:r>
            <w:r w:rsidRPr="00BE5D6A">
              <w:tab/>
              <w:t>projekt</w:t>
            </w:r>
            <w:proofErr w:type="gramEnd"/>
            <w:r w:rsidRPr="00BE5D6A">
              <w:t xml:space="preserve"> decyzji o wymiarze podatku w odniesieniu do właściwych stałych zakładów </w:t>
            </w:r>
            <w:r w:rsidRPr="00BE5D6A">
              <w:rPr>
                <w:b/>
                <w:bCs/>
                <w:i/>
                <w:iCs/>
              </w:rPr>
              <w:t>i jednostek zależnych</w:t>
            </w:r>
            <w:r w:rsidRPr="00BE5D6A">
              <w:t>;</w:t>
            </w:r>
          </w:p>
        </w:tc>
      </w:tr>
    </w:tbl>
    <w:p w:rsidR="0093375B" w:rsidRPr="00BE5D6A" w:rsidRDefault="0093375B" w:rsidP="0093375B"/>
    <w:p w:rsidR="0093375B" w:rsidRPr="00BE5D6A" w:rsidRDefault="0093375B" w:rsidP="0093375B">
      <w:pPr>
        <w:pStyle w:val="AmNumberTabs"/>
      </w:pPr>
      <w:r w:rsidRPr="00BE5D6A">
        <w:lastRenderedPageBreak/>
        <w:t>Poprawka</w:t>
      </w:r>
      <w:r w:rsidRPr="00BE5D6A">
        <w:tab/>
      </w:r>
      <w:r w:rsidRPr="00BE5D6A">
        <w:tab/>
        <w:t>79</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14 – ustęp 1 – punkt 2</w:t>
      </w:r>
    </w:p>
    <w:p w:rsidR="0093375B" w:rsidRPr="00BE5D6A" w:rsidRDefault="0093375B" w:rsidP="0093375B">
      <w:r w:rsidRPr="00BE5D6A">
        <w:t>Dyrektywa 2011/16/UE</w:t>
      </w:r>
    </w:p>
    <w:p w:rsidR="0093375B" w:rsidRPr="00BE5D6A" w:rsidRDefault="0093375B" w:rsidP="0093375B">
      <w:r w:rsidRPr="00BE5D6A">
        <w:t xml:space="preserve">Artykuł 8 </w:t>
      </w:r>
      <w:proofErr w:type="spellStart"/>
      <w:r w:rsidRPr="00BE5D6A">
        <w:t>ae</w:t>
      </w:r>
      <w:proofErr w:type="spellEnd"/>
      <w:r w:rsidRPr="00BE5D6A">
        <w:t xml:space="preserve">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6.</w:t>
            </w:r>
            <w:r w:rsidRPr="00BE5D6A">
              <w:tab/>
              <w:t xml:space="preserve">W przypadku gdy organ podatkowy państwa członkowskiego, w którym </w:t>
            </w:r>
            <w:r w:rsidRPr="00BE5D6A">
              <w:rPr>
                <w:b/>
                <w:bCs/>
                <w:i/>
                <w:iCs/>
              </w:rPr>
              <w:t>znajduje się stały zakład lub</w:t>
            </w:r>
            <w:r w:rsidRPr="00BE5D6A">
              <w:t xml:space="preserve"> znajdują się stałe zakłady, po odrzuceniu projektu decyzji o wymiarze podatku wydanej przez państwo członkowskie siedziby głównej dokonuje przeglądu projektu decyzji o wymiarze podatku w związku z przypisaniem zysków stałemu zakładowi zgodnie z przepisami określonymi w mającej zastosowanie dwustronnej umowie o unikaniu podwójnego opodatkowania zawartej między państwem członkowskim działalności a państwem członkowskim siedziby głównej, właściwy organ państwa członkowskiego, w którym </w:t>
            </w:r>
            <w:r w:rsidRPr="00BE5D6A">
              <w:rPr>
                <w:b/>
                <w:bCs/>
                <w:i/>
                <w:iCs/>
              </w:rPr>
              <w:t>znajduje się stały zakład lub</w:t>
            </w:r>
            <w:r w:rsidRPr="00BE5D6A">
              <w:t xml:space="preserve"> znajdują się stałe zakłady, przekazuje taką zmienioną decyzję o wymiarze podatku właściwemu organowi państwa członkowskiego siedziby głównej w terminie jednego miesiąca </w:t>
            </w:r>
            <w:proofErr w:type="gramStart"/>
            <w:r w:rsidRPr="00BE5D6A">
              <w:t>od</w:t>
            </w:r>
            <w:proofErr w:type="gramEnd"/>
            <w:r w:rsidRPr="00BE5D6A">
              <w:t xml:space="preserve"> jej wydania, aby organ ten dokonał ponownego obliczenia podlegającego opodatkowaniu wyniku stałego zakładu, wydał zmienioną decyzje o wymiarze podatku i pobrał podatek.</w:t>
            </w:r>
          </w:p>
        </w:tc>
        <w:tc>
          <w:tcPr>
            <w:tcW w:w="4876" w:type="dxa"/>
          </w:tcPr>
          <w:p w:rsidR="0093375B" w:rsidRPr="00BE5D6A" w:rsidRDefault="0093375B" w:rsidP="005A4C0F">
            <w:pPr>
              <w:pStyle w:val="Normal6a"/>
            </w:pPr>
            <w:r w:rsidRPr="00BE5D6A">
              <w:t>6.</w:t>
            </w:r>
            <w:r w:rsidRPr="00BE5D6A">
              <w:tab/>
              <w:t xml:space="preserve">W przypadku gdy organ podatkowy państwa członkowskiego, w którym znajdują się stałe zakłady </w:t>
            </w:r>
            <w:r w:rsidRPr="00BE5D6A">
              <w:rPr>
                <w:b/>
                <w:bCs/>
                <w:i/>
                <w:iCs/>
              </w:rPr>
              <w:t>lub jednostki zależne</w:t>
            </w:r>
            <w:r w:rsidRPr="00BE5D6A">
              <w:t xml:space="preserve">, po odrzuceniu projektu decyzji o wymiarze podatku wydanej przez państwo członkowskie siedziby głównej dokonuje przeglądu projektu decyzji o wymiarze podatku w związku z przypisaniem zysków stałemu zakładowi </w:t>
            </w:r>
            <w:r w:rsidRPr="00BE5D6A">
              <w:rPr>
                <w:b/>
                <w:bCs/>
                <w:i/>
                <w:iCs/>
              </w:rPr>
              <w:t>lub jednostce zależnej</w:t>
            </w:r>
            <w:r w:rsidRPr="00BE5D6A">
              <w:t xml:space="preserve"> zgodnie z przepisami określonymi w mającej zastosowanie dwustronnej umowie o unikaniu podwójnego opodatkowania zawartej między państwem członkowskim działalności a państwem członkowskim siedziby głównej, właściwy organ państwa członkowskiego, w którym znajdują się stałe zakłady </w:t>
            </w:r>
            <w:r w:rsidRPr="00BE5D6A">
              <w:rPr>
                <w:b/>
                <w:bCs/>
                <w:i/>
                <w:iCs/>
              </w:rPr>
              <w:t>lub jednostki zależne</w:t>
            </w:r>
            <w:r w:rsidRPr="00BE5D6A">
              <w:t xml:space="preserve">, przekazuje taką zmienioną decyzję o wymiarze podatku właściwemu organowi państwa członkowskiego siedziby głównej w terminie jednego miesiąca od </w:t>
            </w:r>
            <w:proofErr w:type="gramStart"/>
            <w:r w:rsidRPr="00BE5D6A">
              <w:t>jej</w:t>
            </w:r>
            <w:proofErr w:type="gramEnd"/>
            <w:r w:rsidRPr="00BE5D6A">
              <w:t xml:space="preserve"> wydania, aby organ ten dokonał ponownego obliczenia podlegającego opodatkowaniu wyniku stałego zakładu </w:t>
            </w:r>
            <w:r w:rsidRPr="00BE5D6A">
              <w:rPr>
                <w:b/>
                <w:bCs/>
                <w:i/>
                <w:iCs/>
              </w:rPr>
              <w:t>lub jednostki zależnej</w:t>
            </w:r>
            <w:r w:rsidRPr="00BE5D6A">
              <w:t>, wydał zmienioną decyzje o wymiarze podatku i pobrał podatek.</w:t>
            </w:r>
          </w:p>
        </w:tc>
      </w:tr>
    </w:tbl>
    <w:p w:rsidR="0093375B" w:rsidRPr="00BE5D6A" w:rsidRDefault="0093375B" w:rsidP="0093375B"/>
    <w:p w:rsidR="0093375B" w:rsidRPr="00BE5D6A" w:rsidRDefault="0093375B" w:rsidP="0093375B">
      <w:pPr>
        <w:spacing w:before="120" w:after="120"/>
      </w:pPr>
    </w:p>
    <w:p w:rsidR="0093375B" w:rsidRPr="00BE5D6A" w:rsidRDefault="0093375B" w:rsidP="0093375B">
      <w:pPr>
        <w:pStyle w:val="AmNumberTabs"/>
        <w:keepNext/>
      </w:pPr>
      <w:r w:rsidRPr="00BE5D6A">
        <w:t>Poprawka</w:t>
      </w:r>
      <w:r w:rsidRPr="00BE5D6A">
        <w:tab/>
      </w:r>
      <w:r w:rsidRPr="00BE5D6A">
        <w:tab/>
        <w:t>80</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17 – akapit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 xml:space="preserve">Komisja informuje Parlament Europejski o przyjęciu aktów delegowanych, o wszelkich sprzeciwach wobec nich oraz </w:t>
            </w:r>
            <w:r w:rsidRPr="00BE5D6A">
              <w:lastRenderedPageBreak/>
              <w:t>o odwołaniu przekazanych uprawnień przez Radę.</w:t>
            </w:r>
          </w:p>
        </w:tc>
        <w:tc>
          <w:tcPr>
            <w:tcW w:w="4876" w:type="dxa"/>
          </w:tcPr>
          <w:p w:rsidR="0093375B" w:rsidRPr="00BE5D6A" w:rsidRDefault="0093375B" w:rsidP="005A4C0F">
            <w:pPr>
              <w:pStyle w:val="Normal6a"/>
              <w:rPr>
                <w:szCs w:val="24"/>
              </w:rPr>
            </w:pPr>
            <w:r w:rsidRPr="00BE5D6A">
              <w:lastRenderedPageBreak/>
              <w:t xml:space="preserve">Komisja informuje Parlament Europejski o przyjęciu aktów delegowanych </w:t>
            </w:r>
            <w:r w:rsidRPr="00BE5D6A">
              <w:rPr>
                <w:b/>
                <w:i/>
              </w:rPr>
              <w:t>i wykonawczych</w:t>
            </w:r>
            <w:r w:rsidRPr="00BE5D6A">
              <w:t xml:space="preserve">, o wszelkich sprzeciwach </w:t>
            </w:r>
            <w:r w:rsidRPr="00BE5D6A">
              <w:lastRenderedPageBreak/>
              <w:t>wobec nich oraz o odwołaniu przekazanych uprawnień przez Radę.</w:t>
            </w:r>
          </w:p>
        </w:tc>
      </w:tr>
    </w:tbl>
    <w:p w:rsidR="0093375B" w:rsidRPr="00BE5D6A" w:rsidRDefault="0093375B" w:rsidP="0093375B"/>
    <w:p w:rsidR="0093375B" w:rsidRPr="00BE5D6A" w:rsidRDefault="0093375B" w:rsidP="0093375B">
      <w:pPr>
        <w:pStyle w:val="AmNumberTabs"/>
        <w:keepNext/>
      </w:pPr>
      <w:r w:rsidRPr="00BE5D6A">
        <w:t>Poprawka</w:t>
      </w:r>
      <w:r w:rsidRPr="00BE5D6A">
        <w:tab/>
      </w:r>
      <w:r w:rsidRPr="00BE5D6A">
        <w:tab/>
        <w:t>81</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18 – ustęp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2.</w:t>
            </w:r>
            <w:r w:rsidRPr="00BE5D6A">
              <w:tab/>
              <w:t xml:space="preserve">Informacje, w tym dane osobowe, przetwarzane zgodnie z niniejszą dyrektywą są przechowywane tylko tak długo, jak jest to konieczne do osiągnięcia celów niniejszej dyrektywy, w szczególności w celu weryfikacji wymogów kwalifikowalności lub ustalania zobowiązania podatkowego podatników, zgodnie z krajowymi przepisami poszczególnych administratorów danych dotyczącymi przedawnienia, </w:t>
            </w:r>
            <w:r w:rsidRPr="00BE5D6A">
              <w:rPr>
                <w:b/>
                <w:i/>
              </w:rPr>
              <w:t>ale</w:t>
            </w:r>
            <w:r w:rsidRPr="00BE5D6A">
              <w:t xml:space="preserve"> w</w:t>
            </w:r>
            <w:r w:rsidRPr="00BE5D6A">
              <w:rPr>
                <w:b/>
                <w:i/>
              </w:rPr>
              <w:t> </w:t>
            </w:r>
            <w:r w:rsidRPr="00BE5D6A">
              <w:t xml:space="preserve">żadnym wypadku nie </w:t>
            </w:r>
            <w:r w:rsidRPr="00BE5D6A">
              <w:rPr>
                <w:b/>
                <w:i/>
              </w:rPr>
              <w:t>dłużej niż przez dziesięć</w:t>
            </w:r>
            <w:r w:rsidRPr="00BE5D6A">
              <w:t xml:space="preserve"> lat.</w:t>
            </w:r>
          </w:p>
        </w:tc>
        <w:tc>
          <w:tcPr>
            <w:tcW w:w="4876" w:type="dxa"/>
          </w:tcPr>
          <w:p w:rsidR="0093375B" w:rsidRPr="00BE5D6A" w:rsidRDefault="0093375B" w:rsidP="005A4C0F">
            <w:pPr>
              <w:pStyle w:val="Normal6a"/>
              <w:rPr>
                <w:szCs w:val="24"/>
              </w:rPr>
            </w:pPr>
            <w:r w:rsidRPr="00BE5D6A">
              <w:t>2.</w:t>
            </w:r>
            <w:r w:rsidRPr="00BE5D6A">
              <w:tab/>
              <w:t xml:space="preserve">Informacje, w tym dane osobowe, przetwarzane zgodnie z niniejszą dyrektywą są przechowywane tylko tak długo, jak jest to </w:t>
            </w:r>
            <w:r w:rsidRPr="00BE5D6A">
              <w:rPr>
                <w:b/>
                <w:i/>
              </w:rPr>
              <w:t xml:space="preserve">absolutnie </w:t>
            </w:r>
            <w:r w:rsidRPr="00BE5D6A">
              <w:t>konieczne do osiągnięcia celów niniejszej dyrektywy</w:t>
            </w:r>
            <w:r w:rsidRPr="00BE5D6A">
              <w:rPr>
                <w:b/>
                <w:i/>
              </w:rPr>
              <w:t xml:space="preserve"> („okres przechowywania”)</w:t>
            </w:r>
            <w:r w:rsidRPr="00BE5D6A">
              <w:t>, w szczególności w celu weryfikacji wymogów kwalifikowalności lub ustalania zobowiązania podatkowego podatników, zgodnie z krajowymi przepisami poszczególnych administratorów danych dotyczącymi przedawnienia</w:t>
            </w:r>
            <w:r w:rsidRPr="00BE5D6A">
              <w:rPr>
                <w:b/>
                <w:i/>
              </w:rPr>
              <w:t xml:space="preserve">. Okres przechowywania rozpoczyna się, gdy dane osobowe są przetwarzane do celów niniejszej dyrektywy po raz pierwszy, i </w:t>
            </w:r>
            <w:r w:rsidRPr="00BE5D6A">
              <w:t>w</w:t>
            </w:r>
            <w:r w:rsidRPr="00BE5D6A">
              <w:rPr>
                <w:b/>
                <w:i/>
              </w:rPr>
              <w:t xml:space="preserve"> </w:t>
            </w:r>
            <w:r w:rsidRPr="00BE5D6A">
              <w:t>żadnym wypadku</w:t>
            </w:r>
            <w:r w:rsidRPr="00BE5D6A">
              <w:rPr>
                <w:b/>
                <w:i/>
              </w:rPr>
              <w:t xml:space="preserve"> </w:t>
            </w:r>
            <w:r w:rsidRPr="00BE5D6A">
              <w:t>nie</w:t>
            </w:r>
            <w:r w:rsidRPr="00BE5D6A">
              <w:rPr>
                <w:b/>
                <w:i/>
              </w:rPr>
              <w:t xml:space="preserve"> przekracza siedmiu </w:t>
            </w:r>
            <w:r w:rsidRPr="00BE5D6A">
              <w:t>lat</w:t>
            </w:r>
            <w:r w:rsidRPr="00BE5D6A">
              <w:rPr>
                <w:b/>
                <w:i/>
              </w:rPr>
              <w:t>.</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82</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19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1.</w:t>
            </w:r>
            <w:r w:rsidRPr="00BE5D6A">
              <w:tab/>
              <w:t>Pięć lat od rozpoczęcia stosowania niniejszej dyrektywy Komisja analizuje i ocenia jej funkcjonowanie oraz składa sprawozdanie w tej sprawie Parlamentowi Europejskiemu i Radzie. Do sprawozdania dołącza się, w stosownych przypadkach, wniosek dotyczący zmiany niniejszej dyrektywy.</w:t>
            </w:r>
          </w:p>
        </w:tc>
        <w:tc>
          <w:tcPr>
            <w:tcW w:w="4876" w:type="dxa"/>
          </w:tcPr>
          <w:p w:rsidR="0093375B" w:rsidRPr="00BE5D6A" w:rsidRDefault="0093375B" w:rsidP="005A4C0F">
            <w:pPr>
              <w:pStyle w:val="Normal6a"/>
            </w:pPr>
            <w:r w:rsidRPr="00BE5D6A">
              <w:t>1.</w:t>
            </w:r>
            <w:r w:rsidRPr="00BE5D6A">
              <w:tab/>
              <w:t xml:space="preserve">Pięć lat od rozpoczęcia stosowania niniejszej dyrektywy Komisja analizuje i ocenia jej funkcjonowanie oraz składa sprawozdanie w tej sprawie Parlamentowi Europejskiemu i Radzie. </w:t>
            </w:r>
            <w:r w:rsidRPr="00BE5D6A">
              <w:rPr>
                <w:b/>
                <w:i/>
              </w:rPr>
              <w:t>W sprawozdaniu Komisja bada między innymi, czy reguły opodatkowania państwa członkowskiego siedziby głównej powinny być stosowane również do co najmniej jednej jednostki zależnej MŚP.</w:t>
            </w:r>
            <w:r w:rsidRPr="00BE5D6A">
              <w:t xml:space="preserve"> Do sprawozdania dołącza się, w stosownych przypadkach, wniosek dotyczący zmiany niniejszej dyrektywy.</w:t>
            </w:r>
          </w:p>
        </w:tc>
      </w:tr>
    </w:tbl>
    <w:p w:rsidR="0093375B" w:rsidRPr="00BE5D6A" w:rsidRDefault="0093375B" w:rsidP="0093375B"/>
    <w:p w:rsidR="0093375B" w:rsidRPr="00BE5D6A" w:rsidRDefault="0093375B" w:rsidP="0093375B">
      <w:pPr>
        <w:pStyle w:val="AmNumberTabs"/>
        <w:keepNext/>
      </w:pPr>
      <w:r w:rsidRPr="00BE5D6A">
        <w:lastRenderedPageBreak/>
        <w:t>Poprawka</w:t>
      </w:r>
      <w:r w:rsidRPr="00BE5D6A">
        <w:tab/>
      </w:r>
      <w:r w:rsidRPr="00BE5D6A">
        <w:tab/>
        <w:t>83</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19 – ustęp 1 – akapit 1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p>
        </w:tc>
        <w:tc>
          <w:tcPr>
            <w:tcW w:w="4876" w:type="dxa"/>
          </w:tcPr>
          <w:p w:rsidR="0093375B" w:rsidRPr="00BE5D6A" w:rsidRDefault="0093375B" w:rsidP="005A4C0F">
            <w:pPr>
              <w:pStyle w:val="Normal6a"/>
              <w:rPr>
                <w:b/>
                <w:i/>
                <w:szCs w:val="24"/>
              </w:rPr>
            </w:pPr>
            <w:r w:rsidRPr="00BE5D6A">
              <w:rPr>
                <w:b/>
                <w:i/>
              </w:rPr>
              <w:t>W sprawozdaniu, o którym mowa w akapicie pierwszym niniejszego ustępu, ocenia się również ewentualne rozszerzenie zakresu stosowania niniejszej dyrektywy, w szczególności na inne przedsiębiorstwa, o których mowa w art. 3 ust. 5 i 6 dyrektywy 2013/34/UE, adekwatność wymogów kwalifikowalności określonych w art. 4 niniejszej dyrektywy w świetle przestrzegania przez MŚP reguł opodatkowania państwa członkowskiego siedziby głównej, a w szczególności stosowność wymogu związanego z łącznym obrotem stałych zakładów lub jednostek zależnych. W sprawozdaniu ocenia się również stosowność kryteriów określonych w art. 10 niniejszej dyrektywy, a mianowicie wyłączenie MŚP mających więcej niż dwie jednostki zależne, oraz adekwatność wyłączenia działalności żeglugowej określonego w art. 5 niniejszej dyrektywy. Ponadto w sprawozdaniu ocenia się, czy i jak można usprawnić procedury określone w niniejszej dyrektywie, aby zmniejszyć koszty przestrzegania przepisów, oraz czy można wyciągnąć wnioski ze stosowania niniejszej dyrektywy w odniesieniu do ogólnego opodatkowania osób prawnych.</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84</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19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2.</w:t>
            </w:r>
            <w:r w:rsidRPr="00BE5D6A">
              <w:tab/>
              <w:t xml:space="preserve">Państwa członkowskie przekazują Komisji istotne informacje na potrzeby oceny dyrektywy, zgodnie z ust. 3, w tym zagregowane dane dotyczące liczby kwalifikujących się MŚP w porównaniu z MŚP, które zdecydowały się na </w:t>
            </w:r>
            <w:r w:rsidRPr="00BE5D6A">
              <w:lastRenderedPageBreak/>
              <w:t xml:space="preserve">skorzystanie z systemu, ich obrotów oraz kosztów przestrzegania przepisów w stosunku do obrotów; dane dotyczące liczby MŚP, które rozszerzyły działalność w wymiarze transgranicznym przez utworzenie stałego zakładu, oraz liczby MŚP, które już się nie kwalifikują z powodu utworzenia </w:t>
            </w:r>
            <w:r w:rsidRPr="00BE5D6A">
              <w:rPr>
                <w:b/>
                <w:i/>
              </w:rPr>
              <w:t>jednostki zależnej</w:t>
            </w:r>
            <w:r w:rsidRPr="00BE5D6A">
              <w:t>, lub kosztów przestrzegania przepisów ponoszonych przez MŚP, które stosują ten system.</w:t>
            </w:r>
          </w:p>
        </w:tc>
        <w:tc>
          <w:tcPr>
            <w:tcW w:w="4876" w:type="dxa"/>
          </w:tcPr>
          <w:p w:rsidR="0093375B" w:rsidRPr="00BE5D6A" w:rsidRDefault="0093375B" w:rsidP="005A4C0F">
            <w:pPr>
              <w:pStyle w:val="Normal6a"/>
            </w:pPr>
            <w:r w:rsidRPr="00BE5D6A">
              <w:lastRenderedPageBreak/>
              <w:t>2.</w:t>
            </w:r>
            <w:r w:rsidRPr="00BE5D6A">
              <w:tab/>
              <w:t xml:space="preserve">Państwa członkowskie przekazują Komisji istotne informacje na potrzeby oceny dyrektywy, zgodnie z ust. 3, w tym zagregowane dane dotyczące liczby kwalifikujących się MŚP w porównaniu z MŚP, które zdecydowały się na </w:t>
            </w:r>
            <w:r w:rsidRPr="00BE5D6A">
              <w:lastRenderedPageBreak/>
              <w:t xml:space="preserve">skorzystanie z systemu, ich obrotów oraz kosztów przestrzegania przepisów w stosunku do obrotów; dane dotyczące liczby MŚP, które rozszerzyły działalność w wymiarze transgranicznym przez utworzenie stałego zakładu, oraz liczby MŚP, które już się nie kwalifikują z powodu utworzenia </w:t>
            </w:r>
            <w:r w:rsidRPr="00BE5D6A">
              <w:rPr>
                <w:b/>
                <w:i/>
              </w:rPr>
              <w:t>więcej niż dwóch jednostek zależnych</w:t>
            </w:r>
            <w:r w:rsidRPr="00BE5D6A">
              <w:t>, lub kosztów przestrzegania przepisów ponoszonych przez MŚP, które stosują ten system.</w:t>
            </w:r>
          </w:p>
        </w:tc>
      </w:tr>
    </w:tbl>
    <w:p w:rsidR="0093375B" w:rsidRPr="00BE5D6A" w:rsidRDefault="0093375B" w:rsidP="0093375B"/>
    <w:p w:rsidR="0093375B" w:rsidRPr="00BE5D6A" w:rsidRDefault="0093375B" w:rsidP="0093375B">
      <w:pPr>
        <w:pStyle w:val="AmNumberTabs"/>
      </w:pPr>
      <w:r w:rsidRPr="00BE5D6A">
        <w:t>Poprawka</w:t>
      </w:r>
      <w:r w:rsidRPr="00BE5D6A">
        <w:tab/>
      </w:r>
      <w:r w:rsidRPr="00BE5D6A">
        <w:tab/>
        <w:t>85</w:t>
      </w:r>
    </w:p>
    <w:p w:rsidR="0093375B" w:rsidRPr="00BE5D6A" w:rsidRDefault="0093375B" w:rsidP="0093375B">
      <w:pPr>
        <w:pStyle w:val="NormalBold12b"/>
      </w:pPr>
      <w:r w:rsidRPr="00BE5D6A">
        <w:t>Wniosek dotyczący dyrektywy</w:t>
      </w:r>
    </w:p>
    <w:p w:rsidR="0093375B" w:rsidRPr="00BE5D6A" w:rsidRDefault="0093375B" w:rsidP="0093375B">
      <w:pPr>
        <w:pStyle w:val="NormalBold"/>
      </w:pPr>
      <w:r w:rsidRPr="00BE5D6A">
        <w:t>Artykuł 19 – ustęp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375B" w:rsidRPr="00BE5D6A" w:rsidTr="005A4C0F">
        <w:trPr>
          <w:trHeight w:hRule="exact" w:val="240"/>
          <w:jc w:val="center"/>
        </w:trPr>
        <w:tc>
          <w:tcPr>
            <w:tcW w:w="9752" w:type="dxa"/>
            <w:gridSpan w:val="2"/>
          </w:tcPr>
          <w:p w:rsidR="0093375B" w:rsidRPr="00BE5D6A" w:rsidRDefault="0093375B" w:rsidP="005A4C0F"/>
        </w:tc>
      </w:tr>
      <w:tr w:rsidR="0093375B" w:rsidRPr="00BE5D6A" w:rsidTr="005A4C0F">
        <w:trPr>
          <w:trHeight w:val="240"/>
          <w:jc w:val="center"/>
        </w:trPr>
        <w:tc>
          <w:tcPr>
            <w:tcW w:w="4876" w:type="dxa"/>
          </w:tcPr>
          <w:p w:rsidR="0093375B" w:rsidRPr="00BE5D6A" w:rsidRDefault="0093375B" w:rsidP="005A4C0F">
            <w:pPr>
              <w:pStyle w:val="AmColumnHeading"/>
            </w:pPr>
            <w:r w:rsidRPr="00BE5D6A">
              <w:t>Tekst proponowany przez Komisję.</w:t>
            </w:r>
          </w:p>
        </w:tc>
        <w:tc>
          <w:tcPr>
            <w:tcW w:w="4876" w:type="dxa"/>
          </w:tcPr>
          <w:p w:rsidR="0093375B" w:rsidRPr="00BE5D6A" w:rsidRDefault="0093375B" w:rsidP="005A4C0F">
            <w:pPr>
              <w:pStyle w:val="AmColumnHeading"/>
            </w:pPr>
            <w:r w:rsidRPr="00BE5D6A">
              <w:t>Poprawka</w:t>
            </w:r>
          </w:p>
        </w:tc>
      </w:tr>
      <w:tr w:rsidR="0093375B" w:rsidRPr="00BE5D6A" w:rsidTr="005A4C0F">
        <w:trPr>
          <w:jc w:val="center"/>
        </w:trPr>
        <w:tc>
          <w:tcPr>
            <w:tcW w:w="4876" w:type="dxa"/>
          </w:tcPr>
          <w:p w:rsidR="0093375B" w:rsidRPr="00BE5D6A" w:rsidRDefault="0093375B" w:rsidP="005A4C0F">
            <w:pPr>
              <w:pStyle w:val="Normal6a"/>
            </w:pPr>
          </w:p>
        </w:tc>
        <w:tc>
          <w:tcPr>
            <w:tcW w:w="4876" w:type="dxa"/>
          </w:tcPr>
          <w:p w:rsidR="0093375B" w:rsidRPr="00BE5D6A" w:rsidRDefault="0093375B" w:rsidP="005A4C0F">
            <w:pPr>
              <w:pStyle w:val="Normal6a"/>
            </w:pPr>
            <w:r w:rsidRPr="00BE5D6A">
              <w:rPr>
                <w:b/>
                <w:i/>
              </w:rPr>
              <w:t>2a.</w:t>
            </w:r>
            <w:r w:rsidRPr="00BE5D6A">
              <w:tab/>
            </w:r>
            <w:r w:rsidRPr="00BE5D6A">
              <w:rPr>
                <w:b/>
                <w:i/>
              </w:rPr>
              <w:t>Komisja ocenia potencjalne przeszkody prawne w stosowaniu niniejszej dyrektywy, np. brak wspólnej i zharmonizowanej definicji stałych zakładów i jednostek zależnych w Unii, z uwzględnieniem norm międzynarodowych.</w:t>
            </w:r>
          </w:p>
        </w:tc>
      </w:tr>
    </w:tbl>
    <w:p w:rsidR="0093375B" w:rsidRPr="00BE5D6A" w:rsidRDefault="0093375B" w:rsidP="0093375B"/>
    <w:p w:rsidR="0093375B" w:rsidRPr="00BE5D6A" w:rsidRDefault="0093375B" w:rsidP="0093375B">
      <w:pPr>
        <w:pStyle w:val="AmNumberTabs"/>
        <w:keepNext/>
      </w:pPr>
      <w:r w:rsidRPr="00BE5D6A">
        <w:t>Poprawka</w:t>
      </w:r>
      <w:r w:rsidRPr="00BE5D6A">
        <w:tab/>
      </w:r>
      <w:r w:rsidRPr="00BE5D6A">
        <w:tab/>
        <w:t>86</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20 – ustęp 1 – akapit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 xml:space="preserve">Państwa członkowskie przyjmują i publikują do dnia 31 grudnia </w:t>
            </w:r>
            <w:r w:rsidRPr="00BE5D6A">
              <w:rPr>
                <w:b/>
                <w:i/>
              </w:rPr>
              <w:t>2025</w:t>
            </w:r>
            <w:r w:rsidRPr="00BE5D6A">
              <w:t> r. przepisy niezbędne do wykonania niniejszej dyrektywy. Niezwłocznie powiadamiają o tym Komisję.</w:t>
            </w:r>
          </w:p>
        </w:tc>
        <w:tc>
          <w:tcPr>
            <w:tcW w:w="4876" w:type="dxa"/>
          </w:tcPr>
          <w:p w:rsidR="0093375B" w:rsidRPr="00BE5D6A" w:rsidRDefault="0093375B" w:rsidP="005A4C0F">
            <w:pPr>
              <w:pStyle w:val="Normal6a"/>
              <w:rPr>
                <w:szCs w:val="24"/>
              </w:rPr>
            </w:pPr>
            <w:r w:rsidRPr="00BE5D6A">
              <w:t xml:space="preserve">Państwa członkowskie przyjmują i publikują do dnia 31 grudnia </w:t>
            </w:r>
            <w:r w:rsidRPr="00BE5D6A">
              <w:rPr>
                <w:b/>
                <w:i/>
              </w:rPr>
              <w:t>2024</w:t>
            </w:r>
            <w:r w:rsidRPr="00BE5D6A">
              <w:t> r. przepisy niezbędne do wykonania niniejszej dyrektywy. Niezwłocznie powiadamiają o tym Komisję.</w:t>
            </w:r>
          </w:p>
        </w:tc>
      </w:tr>
    </w:tbl>
    <w:p w:rsidR="0093375B" w:rsidRPr="00BE5D6A" w:rsidRDefault="0093375B" w:rsidP="0093375B"/>
    <w:p w:rsidR="0093375B" w:rsidRPr="00BE5D6A" w:rsidRDefault="0093375B" w:rsidP="0093375B">
      <w:pPr>
        <w:pStyle w:val="AmNumberTabs"/>
        <w:keepNext/>
      </w:pPr>
      <w:r w:rsidRPr="00BE5D6A">
        <w:lastRenderedPageBreak/>
        <w:t>Poprawka</w:t>
      </w:r>
      <w:r w:rsidRPr="00BE5D6A">
        <w:tab/>
      </w:r>
      <w:r w:rsidRPr="00BE5D6A">
        <w:tab/>
        <w:t>87</w:t>
      </w:r>
    </w:p>
    <w:p w:rsidR="0093375B" w:rsidRPr="00BE5D6A" w:rsidRDefault="0093375B" w:rsidP="0093375B">
      <w:pPr>
        <w:pStyle w:val="NormalBold12b"/>
        <w:keepNext/>
      </w:pPr>
      <w:r w:rsidRPr="00BE5D6A">
        <w:t>Wniosek dotyczący dyrektywy</w:t>
      </w:r>
    </w:p>
    <w:p w:rsidR="0093375B" w:rsidRPr="00BE5D6A" w:rsidRDefault="0093375B" w:rsidP="0093375B">
      <w:pPr>
        <w:pStyle w:val="NormalBold"/>
        <w:keepNext/>
      </w:pPr>
      <w:r w:rsidRPr="00BE5D6A">
        <w:t>Artykuł 20 – ustęp 1 – akapit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375B" w:rsidRPr="00BE5D6A" w:rsidTr="005A4C0F">
        <w:trPr>
          <w:jc w:val="center"/>
        </w:trPr>
        <w:tc>
          <w:tcPr>
            <w:tcW w:w="9752" w:type="dxa"/>
            <w:gridSpan w:val="2"/>
          </w:tcPr>
          <w:p w:rsidR="0093375B" w:rsidRPr="00BE5D6A" w:rsidRDefault="0093375B" w:rsidP="005A4C0F">
            <w:pPr>
              <w:keepNext/>
            </w:pPr>
          </w:p>
        </w:tc>
      </w:tr>
      <w:tr w:rsidR="0093375B" w:rsidRPr="00BE5D6A" w:rsidTr="005A4C0F">
        <w:trPr>
          <w:jc w:val="center"/>
        </w:trPr>
        <w:tc>
          <w:tcPr>
            <w:tcW w:w="4876" w:type="dxa"/>
          </w:tcPr>
          <w:p w:rsidR="0093375B" w:rsidRPr="00BE5D6A" w:rsidRDefault="0093375B" w:rsidP="005A4C0F">
            <w:pPr>
              <w:pStyle w:val="AmColumnHeading"/>
              <w:keepNext/>
            </w:pPr>
            <w:r w:rsidRPr="00BE5D6A">
              <w:t>Tekst proponowany przez Komisję.</w:t>
            </w:r>
          </w:p>
        </w:tc>
        <w:tc>
          <w:tcPr>
            <w:tcW w:w="4876" w:type="dxa"/>
          </w:tcPr>
          <w:p w:rsidR="0093375B" w:rsidRPr="00BE5D6A" w:rsidRDefault="0093375B" w:rsidP="005A4C0F">
            <w:pPr>
              <w:pStyle w:val="AmColumnHeading"/>
              <w:keepNext/>
            </w:pPr>
            <w:r w:rsidRPr="00BE5D6A">
              <w:t>Poprawka</w:t>
            </w:r>
          </w:p>
        </w:tc>
      </w:tr>
      <w:tr w:rsidR="0093375B" w:rsidRPr="00BE5D6A" w:rsidTr="005A4C0F">
        <w:trPr>
          <w:jc w:val="center"/>
        </w:trPr>
        <w:tc>
          <w:tcPr>
            <w:tcW w:w="4876" w:type="dxa"/>
          </w:tcPr>
          <w:p w:rsidR="0093375B" w:rsidRPr="00BE5D6A" w:rsidRDefault="0093375B" w:rsidP="005A4C0F">
            <w:pPr>
              <w:pStyle w:val="Normal6a"/>
            </w:pPr>
            <w:r w:rsidRPr="00BE5D6A">
              <w:t xml:space="preserve">Państwa członkowskie stosują te przepisy od dnia 1 stycznia </w:t>
            </w:r>
            <w:r w:rsidRPr="00BE5D6A">
              <w:rPr>
                <w:b/>
                <w:i/>
              </w:rPr>
              <w:t>2026</w:t>
            </w:r>
            <w:r w:rsidRPr="00BE5D6A">
              <w:t> r.</w:t>
            </w:r>
          </w:p>
        </w:tc>
        <w:tc>
          <w:tcPr>
            <w:tcW w:w="4876" w:type="dxa"/>
          </w:tcPr>
          <w:p w:rsidR="0093375B" w:rsidRPr="00BE5D6A" w:rsidRDefault="0093375B" w:rsidP="005A4C0F">
            <w:pPr>
              <w:pStyle w:val="Normal6a"/>
              <w:rPr>
                <w:szCs w:val="24"/>
              </w:rPr>
            </w:pPr>
            <w:r w:rsidRPr="00BE5D6A">
              <w:t xml:space="preserve">Państwa członkowskie stosują te przepisy od dnia 1 stycznia </w:t>
            </w:r>
            <w:r w:rsidRPr="00BE5D6A">
              <w:rPr>
                <w:b/>
                <w:i/>
              </w:rPr>
              <w:t>2025</w:t>
            </w:r>
            <w:r w:rsidRPr="00BE5D6A">
              <w:t> r.</w:t>
            </w:r>
          </w:p>
        </w:tc>
      </w:tr>
    </w:tbl>
    <w:p w:rsidR="0093375B" w:rsidRPr="00BE5D6A" w:rsidRDefault="0093375B" w:rsidP="0093375B"/>
    <w:p w:rsidR="00E365E1" w:rsidRPr="00BE5D6A" w:rsidRDefault="00E365E1" w:rsidP="00FE1EE4">
      <w:bookmarkStart w:id="9" w:name="TextBodyEnd"/>
      <w:bookmarkEnd w:id="9"/>
    </w:p>
    <w:sectPr w:rsidR="00E365E1" w:rsidRPr="00BE5D6A" w:rsidSect="00BE5D6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C0F" w:rsidRPr="00BE5D6A" w:rsidRDefault="005A4C0F">
      <w:r w:rsidRPr="00BE5D6A">
        <w:separator/>
      </w:r>
    </w:p>
  </w:endnote>
  <w:endnote w:type="continuationSeparator" w:id="0">
    <w:p w:rsidR="005A4C0F" w:rsidRPr="00BE5D6A" w:rsidRDefault="005A4C0F">
      <w:r w:rsidRPr="00BE5D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C0F" w:rsidRPr="00BE5D6A" w:rsidRDefault="005A4C0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C0F" w:rsidRPr="00BE5D6A" w:rsidRDefault="005A4C0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C0F" w:rsidRPr="00BE5D6A" w:rsidRDefault="005A4C0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C0F" w:rsidRPr="00BE5D6A" w:rsidRDefault="005A4C0F">
      <w:r w:rsidRPr="00BE5D6A">
        <w:separator/>
      </w:r>
    </w:p>
  </w:footnote>
  <w:footnote w:type="continuationSeparator" w:id="0">
    <w:p w:rsidR="005A4C0F" w:rsidRPr="00BE5D6A" w:rsidRDefault="005A4C0F">
      <w:r w:rsidRPr="00BE5D6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C0F" w:rsidRPr="00BE5D6A" w:rsidRDefault="005A4C0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C0F" w:rsidRPr="00BE5D6A" w:rsidRDefault="005A4C0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C0F" w:rsidRPr="00BE5D6A" w:rsidRDefault="005A4C0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72BC2C74">
      <w:start w:val="1"/>
      <w:numFmt w:val="decimal"/>
      <w:lvlText w:val="%1."/>
      <w:lvlJc w:val="left"/>
      <w:pPr>
        <w:ind w:left="720" w:hanging="360"/>
      </w:pPr>
      <w:rPr>
        <w:rFonts w:hint="default"/>
        <w:b w:val="0"/>
        <w:i w:val="0"/>
      </w:rPr>
    </w:lvl>
    <w:lvl w:ilvl="1" w:tplc="ADAAD9AC" w:tentative="1">
      <w:start w:val="1"/>
      <w:numFmt w:val="lowerLetter"/>
      <w:lvlText w:val="%2."/>
      <w:lvlJc w:val="left"/>
      <w:pPr>
        <w:ind w:left="1440" w:hanging="360"/>
      </w:pPr>
    </w:lvl>
    <w:lvl w:ilvl="2" w:tplc="50A2D4A0" w:tentative="1">
      <w:start w:val="1"/>
      <w:numFmt w:val="lowerRoman"/>
      <w:lvlText w:val="%3."/>
      <w:lvlJc w:val="right"/>
      <w:pPr>
        <w:ind w:left="2160" w:hanging="180"/>
      </w:pPr>
    </w:lvl>
    <w:lvl w:ilvl="3" w:tplc="7694A898" w:tentative="1">
      <w:start w:val="1"/>
      <w:numFmt w:val="decimal"/>
      <w:lvlText w:val="%4."/>
      <w:lvlJc w:val="left"/>
      <w:pPr>
        <w:ind w:left="2880" w:hanging="360"/>
      </w:pPr>
    </w:lvl>
    <w:lvl w:ilvl="4" w:tplc="7C20606A" w:tentative="1">
      <w:start w:val="1"/>
      <w:numFmt w:val="lowerLetter"/>
      <w:lvlText w:val="%5."/>
      <w:lvlJc w:val="left"/>
      <w:pPr>
        <w:ind w:left="3600" w:hanging="360"/>
      </w:pPr>
    </w:lvl>
    <w:lvl w:ilvl="5" w:tplc="1898FEE0" w:tentative="1">
      <w:start w:val="1"/>
      <w:numFmt w:val="lowerRoman"/>
      <w:lvlText w:val="%6."/>
      <w:lvlJc w:val="right"/>
      <w:pPr>
        <w:ind w:left="4320" w:hanging="180"/>
      </w:pPr>
    </w:lvl>
    <w:lvl w:ilvl="6" w:tplc="75AE059A" w:tentative="1">
      <w:start w:val="1"/>
      <w:numFmt w:val="decimal"/>
      <w:lvlText w:val="%7."/>
      <w:lvlJc w:val="left"/>
      <w:pPr>
        <w:ind w:left="5040" w:hanging="360"/>
      </w:pPr>
    </w:lvl>
    <w:lvl w:ilvl="7" w:tplc="3440FB90" w:tentative="1">
      <w:start w:val="1"/>
      <w:numFmt w:val="lowerLetter"/>
      <w:lvlText w:val="%8."/>
      <w:lvlJc w:val="left"/>
      <w:pPr>
        <w:ind w:left="5760" w:hanging="360"/>
      </w:pPr>
    </w:lvl>
    <w:lvl w:ilvl="8" w:tplc="46B4E904"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PL"/>
    <w:docVar w:name="dvnumam" w:val="87"/>
    <w:docVar w:name="dvpe" w:val="755.999"/>
    <w:docVar w:name="dvrapporteur" w:val="Sprawozdawca: "/>
    <w:docVar w:name="dvstar" w:val="*"/>
    <w:docVar w:name="dvtitre" w:val="Rezolucja ustawodawcza Parlamentu Europejskiego z dnia  2024 r. w sprawie wniosku dotyczącego dyrektywy Rady ustanawiającej system opodatkowania według siedziby głównej dla mikroprzedsiębiorstw oraz małych i średnich przedsiębiorstw i zmieniającej dyrektywę 2011/16/UE(COM(2023)0528 – C9-0340/2023 – 2023/0320(CNS))"/>
  </w:docVars>
  <w:rsids>
    <w:rsidRoot w:val="00FE1EE4"/>
    <w:rsid w:val="00002272"/>
    <w:rsid w:val="00064002"/>
    <w:rsid w:val="000677B9"/>
    <w:rsid w:val="000831BA"/>
    <w:rsid w:val="000A42CC"/>
    <w:rsid w:val="000E7DD9"/>
    <w:rsid w:val="0010095E"/>
    <w:rsid w:val="00125B37"/>
    <w:rsid w:val="001364F3"/>
    <w:rsid w:val="00187494"/>
    <w:rsid w:val="001F32AE"/>
    <w:rsid w:val="002767FF"/>
    <w:rsid w:val="002B18FE"/>
    <w:rsid w:val="002B5493"/>
    <w:rsid w:val="00343214"/>
    <w:rsid w:val="00357C24"/>
    <w:rsid w:val="00361C00"/>
    <w:rsid w:val="00395FA1"/>
    <w:rsid w:val="003E15D4"/>
    <w:rsid w:val="00411CCE"/>
    <w:rsid w:val="0041666E"/>
    <w:rsid w:val="00421060"/>
    <w:rsid w:val="00471C19"/>
    <w:rsid w:val="004867E3"/>
    <w:rsid w:val="00494A28"/>
    <w:rsid w:val="004A0B1D"/>
    <w:rsid w:val="004C0004"/>
    <w:rsid w:val="004C5D52"/>
    <w:rsid w:val="0050519A"/>
    <w:rsid w:val="005072A1"/>
    <w:rsid w:val="00514517"/>
    <w:rsid w:val="00545827"/>
    <w:rsid w:val="00560270"/>
    <w:rsid w:val="005A4C0F"/>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375B"/>
    <w:rsid w:val="009509D8"/>
    <w:rsid w:val="00950B64"/>
    <w:rsid w:val="00981893"/>
    <w:rsid w:val="00A1687D"/>
    <w:rsid w:val="00A26F21"/>
    <w:rsid w:val="00A43E52"/>
    <w:rsid w:val="00A4678D"/>
    <w:rsid w:val="00A778C7"/>
    <w:rsid w:val="00AB441E"/>
    <w:rsid w:val="00AB6293"/>
    <w:rsid w:val="00AE0928"/>
    <w:rsid w:val="00AF3B82"/>
    <w:rsid w:val="00B12E95"/>
    <w:rsid w:val="00B22876"/>
    <w:rsid w:val="00B558F0"/>
    <w:rsid w:val="00BD48FE"/>
    <w:rsid w:val="00BD7BD8"/>
    <w:rsid w:val="00BE5D6A"/>
    <w:rsid w:val="00BE6ADC"/>
    <w:rsid w:val="00C05BFE"/>
    <w:rsid w:val="00C23CD4"/>
    <w:rsid w:val="00C61C0C"/>
    <w:rsid w:val="00C941CB"/>
    <w:rsid w:val="00CC2357"/>
    <w:rsid w:val="00CD38F6"/>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1EE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30183A"/>
  <w15:chartTrackingRefBased/>
  <w15:docId w15:val="{9DA11973-5325-450C-81FB-F2622173F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3375B"/>
    <w:rPr>
      <w:b/>
      <w:kern w:val="28"/>
      <w:sz w:val="28"/>
      <w:lang w:val="fr-FR" w:eastAsia="fr-FR"/>
    </w:rPr>
  </w:style>
  <w:style w:type="character" w:customStyle="1" w:styleId="Heading2Char">
    <w:name w:val="Heading 2 Char"/>
    <w:basedOn w:val="DefaultParagraphFont"/>
    <w:link w:val="Heading2"/>
    <w:semiHidden/>
    <w:rsid w:val="0093375B"/>
    <w:rPr>
      <w:sz w:val="24"/>
      <w:lang w:val="fr-FR" w:eastAsia="fr-FR"/>
    </w:rPr>
  </w:style>
  <w:style w:type="character" w:customStyle="1" w:styleId="Heading3Char">
    <w:name w:val="Heading 3 Char"/>
    <w:basedOn w:val="DefaultParagraphFont"/>
    <w:link w:val="Heading3"/>
    <w:semiHidden/>
    <w:rsid w:val="0093375B"/>
    <w:rPr>
      <w:rFonts w:ascii="Arial" w:hAnsi="Arial"/>
      <w:sz w:val="24"/>
      <w:lang w:val="fr-FR" w:eastAsia="fr-FR"/>
    </w:rPr>
  </w:style>
  <w:style w:type="character" w:customStyle="1" w:styleId="Heading4Char">
    <w:name w:val="Heading 4 Char"/>
    <w:basedOn w:val="DefaultParagraphFont"/>
    <w:link w:val="Heading4"/>
    <w:semiHidden/>
    <w:rsid w:val="0093375B"/>
    <w:rPr>
      <w:sz w:val="24"/>
      <w:lang w:val="en-US" w:eastAsia="fr-FR"/>
    </w:rPr>
  </w:style>
  <w:style w:type="character" w:customStyle="1" w:styleId="Heading5Char">
    <w:name w:val="Heading 5 Char"/>
    <w:basedOn w:val="DefaultParagraphFont"/>
    <w:link w:val="Heading5"/>
    <w:semiHidden/>
    <w:rsid w:val="0093375B"/>
    <w:rPr>
      <w:sz w:val="24"/>
      <w:lang w:val="en-US" w:eastAsia="fr-FR"/>
    </w:rPr>
  </w:style>
  <w:style w:type="character" w:customStyle="1" w:styleId="Heading6Char">
    <w:name w:val="Heading 6 Char"/>
    <w:basedOn w:val="DefaultParagraphFont"/>
    <w:link w:val="Heading6"/>
    <w:semiHidden/>
    <w:rsid w:val="0093375B"/>
    <w:rPr>
      <w:i/>
      <w:sz w:val="22"/>
      <w:lang w:val="pl-PL"/>
    </w:rPr>
  </w:style>
  <w:style w:type="character" w:customStyle="1" w:styleId="Heading7Char">
    <w:name w:val="Heading 7 Char"/>
    <w:basedOn w:val="DefaultParagraphFont"/>
    <w:link w:val="Heading7"/>
    <w:semiHidden/>
    <w:rsid w:val="0093375B"/>
    <w:rPr>
      <w:rFonts w:ascii="Arial" w:hAnsi="Arial"/>
      <w:sz w:val="24"/>
      <w:lang w:val="pl-PL"/>
    </w:rPr>
  </w:style>
  <w:style w:type="character" w:customStyle="1" w:styleId="Heading8Char">
    <w:name w:val="Heading 8 Char"/>
    <w:basedOn w:val="DefaultParagraphFont"/>
    <w:link w:val="Heading8"/>
    <w:semiHidden/>
    <w:rsid w:val="0093375B"/>
    <w:rPr>
      <w:rFonts w:ascii="Arial" w:hAnsi="Arial"/>
      <w:i/>
      <w:sz w:val="24"/>
      <w:lang w:val="pl-PL"/>
    </w:rPr>
  </w:style>
  <w:style w:type="character" w:customStyle="1" w:styleId="Heading9Char">
    <w:name w:val="Heading 9 Char"/>
    <w:basedOn w:val="DefaultParagraphFont"/>
    <w:link w:val="Heading9"/>
    <w:semiHidden/>
    <w:rsid w:val="0093375B"/>
    <w:rPr>
      <w:rFonts w:ascii="Arial" w:hAnsi="Arial"/>
      <w:b/>
      <w:i/>
      <w:sz w:val="18"/>
      <w:lang w:val="pl-PL"/>
    </w:rPr>
  </w:style>
  <w:style w:type="paragraph" w:styleId="TOCHeading">
    <w:name w:val="TOC Heading"/>
    <w:basedOn w:val="Normal"/>
    <w:next w:val="Normal"/>
    <w:unhideWhenUsed/>
    <w:qFormat/>
    <w:rsid w:val="0093375B"/>
    <w:pPr>
      <w:widowControl/>
      <w:spacing w:after="240"/>
    </w:pPr>
    <w:rPr>
      <w:lang w:val="en-GB"/>
    </w:rPr>
  </w:style>
  <w:style w:type="paragraph" w:customStyle="1" w:styleId="EPFooter2">
    <w:name w:val="EPFooter2"/>
    <w:basedOn w:val="Normal"/>
    <w:next w:val="Normal"/>
    <w:rsid w:val="0093375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3375B"/>
    <w:pPr>
      <w:spacing w:before="480" w:after="240"/>
    </w:pPr>
  </w:style>
  <w:style w:type="paragraph" w:customStyle="1" w:styleId="TOCPage">
    <w:name w:val="TOC Page"/>
    <w:basedOn w:val="Normal"/>
    <w:next w:val="TOC1"/>
    <w:rsid w:val="0093375B"/>
    <w:pPr>
      <w:keepNext/>
      <w:spacing w:after="240"/>
      <w:jc w:val="right"/>
    </w:pPr>
    <w:rPr>
      <w:rFonts w:ascii="Arial" w:hAnsi="Arial"/>
      <w:b/>
    </w:rPr>
  </w:style>
  <w:style w:type="paragraph" w:customStyle="1" w:styleId="Normal6a">
    <w:name w:val="Normal6a"/>
    <w:basedOn w:val="Normal"/>
    <w:rsid w:val="0093375B"/>
    <w:pPr>
      <w:spacing w:after="120"/>
    </w:pPr>
  </w:style>
  <w:style w:type="paragraph" w:customStyle="1" w:styleId="PageHeading">
    <w:name w:val="PageHeading"/>
    <w:basedOn w:val="Normal"/>
    <w:rsid w:val="0093375B"/>
    <w:pPr>
      <w:keepNext/>
      <w:spacing w:after="480"/>
      <w:jc w:val="center"/>
    </w:pPr>
    <w:rPr>
      <w:rFonts w:ascii="Arial" w:hAnsi="Arial" w:cs="Arial"/>
      <w:b/>
    </w:rPr>
  </w:style>
  <w:style w:type="paragraph" w:customStyle="1" w:styleId="NormalBold">
    <w:name w:val="NormalBold"/>
    <w:basedOn w:val="Normal"/>
    <w:rsid w:val="0093375B"/>
    <w:rPr>
      <w:b/>
    </w:rPr>
  </w:style>
  <w:style w:type="paragraph" w:customStyle="1" w:styleId="NormalBold12a">
    <w:name w:val="NormalBold12a"/>
    <w:basedOn w:val="Normal"/>
    <w:rsid w:val="0093375B"/>
    <w:pPr>
      <w:spacing w:after="240"/>
    </w:pPr>
    <w:rPr>
      <w:b/>
    </w:rPr>
  </w:style>
  <w:style w:type="paragraph" w:customStyle="1" w:styleId="AmJustText">
    <w:name w:val="AmJustText"/>
    <w:basedOn w:val="Normal"/>
    <w:rsid w:val="0093375B"/>
    <w:pPr>
      <w:spacing w:after="240"/>
    </w:pPr>
    <w:rPr>
      <w:i/>
    </w:rPr>
  </w:style>
  <w:style w:type="paragraph" w:customStyle="1" w:styleId="NormalHanging12a">
    <w:name w:val="NormalHanging12a"/>
    <w:basedOn w:val="Normal"/>
    <w:rsid w:val="0093375B"/>
    <w:pPr>
      <w:spacing w:after="240"/>
      <w:ind w:left="567" w:hanging="567"/>
    </w:pPr>
  </w:style>
  <w:style w:type="paragraph" w:customStyle="1" w:styleId="CoverNormal24a">
    <w:name w:val="CoverNormal24a"/>
    <w:basedOn w:val="Normal"/>
    <w:rsid w:val="0093375B"/>
    <w:pPr>
      <w:spacing w:after="480"/>
      <w:ind w:left="1417"/>
    </w:pPr>
  </w:style>
  <w:style w:type="paragraph" w:customStyle="1" w:styleId="CoverNormal">
    <w:name w:val="CoverNormal"/>
    <w:basedOn w:val="Normal"/>
    <w:rsid w:val="0093375B"/>
    <w:pPr>
      <w:ind w:left="1418"/>
    </w:pPr>
  </w:style>
  <w:style w:type="paragraph" w:customStyle="1" w:styleId="AmCrossRef">
    <w:name w:val="AmCrossRef"/>
    <w:basedOn w:val="Normal"/>
    <w:rsid w:val="0093375B"/>
    <w:pPr>
      <w:spacing w:before="240" w:after="240"/>
      <w:jc w:val="center"/>
    </w:pPr>
    <w:rPr>
      <w:i/>
    </w:rPr>
  </w:style>
  <w:style w:type="paragraph" w:customStyle="1" w:styleId="AmJustTitle">
    <w:name w:val="AmJustTitle"/>
    <w:basedOn w:val="Normal"/>
    <w:next w:val="AmJustText"/>
    <w:rsid w:val="0093375B"/>
    <w:pPr>
      <w:keepNext/>
      <w:spacing w:before="240" w:after="240"/>
      <w:jc w:val="center"/>
    </w:pPr>
    <w:rPr>
      <w:i/>
    </w:rPr>
  </w:style>
  <w:style w:type="paragraph" w:customStyle="1" w:styleId="CoverReference">
    <w:name w:val="CoverReference"/>
    <w:basedOn w:val="Normal"/>
    <w:rsid w:val="0093375B"/>
    <w:pPr>
      <w:spacing w:before="1080"/>
      <w:jc w:val="right"/>
    </w:pPr>
    <w:rPr>
      <w:rFonts w:ascii="Arial" w:hAnsi="Arial" w:cs="Arial"/>
      <w:b/>
    </w:rPr>
  </w:style>
  <w:style w:type="paragraph" w:customStyle="1" w:styleId="CoverDocType">
    <w:name w:val="CoverDocType"/>
    <w:basedOn w:val="Normal"/>
    <w:rsid w:val="0093375B"/>
    <w:pPr>
      <w:ind w:left="1418"/>
    </w:pPr>
    <w:rPr>
      <w:rFonts w:ascii="Arial" w:hAnsi="Arial"/>
      <w:b/>
      <w:sz w:val="48"/>
    </w:rPr>
  </w:style>
  <w:style w:type="paragraph" w:customStyle="1" w:styleId="CoverDocType24a">
    <w:name w:val="CoverDocType24a"/>
    <w:basedOn w:val="Normal"/>
    <w:rsid w:val="0093375B"/>
    <w:pPr>
      <w:spacing w:after="480"/>
      <w:ind w:left="1418"/>
    </w:pPr>
    <w:rPr>
      <w:rFonts w:ascii="Arial" w:hAnsi="Arial"/>
      <w:b/>
      <w:sz w:val="48"/>
    </w:rPr>
  </w:style>
  <w:style w:type="paragraph" w:customStyle="1" w:styleId="CoverDate">
    <w:name w:val="CoverDate"/>
    <w:basedOn w:val="Normal"/>
    <w:rsid w:val="0093375B"/>
    <w:pPr>
      <w:spacing w:before="240" w:after="1200"/>
    </w:pPr>
  </w:style>
  <w:style w:type="paragraph" w:styleId="Header">
    <w:name w:val="header"/>
    <w:basedOn w:val="Normal"/>
    <w:link w:val="HeaderChar"/>
    <w:rsid w:val="0093375B"/>
    <w:pPr>
      <w:tabs>
        <w:tab w:val="center" w:pos="4513"/>
        <w:tab w:val="right" w:pos="9026"/>
      </w:tabs>
    </w:pPr>
  </w:style>
  <w:style w:type="character" w:customStyle="1" w:styleId="HeaderChar">
    <w:name w:val="Header Char"/>
    <w:basedOn w:val="DefaultParagraphFont"/>
    <w:link w:val="Header"/>
    <w:rsid w:val="0093375B"/>
    <w:rPr>
      <w:sz w:val="24"/>
      <w:lang w:val="pl-PL"/>
    </w:rPr>
  </w:style>
  <w:style w:type="paragraph" w:customStyle="1" w:styleId="AmOrLang">
    <w:name w:val="AmOrLang"/>
    <w:basedOn w:val="Normal"/>
    <w:rsid w:val="0093375B"/>
    <w:pPr>
      <w:spacing w:before="240" w:after="240"/>
      <w:jc w:val="right"/>
    </w:pPr>
  </w:style>
  <w:style w:type="paragraph" w:customStyle="1" w:styleId="AmColumnHeading">
    <w:name w:val="AmColumnHeading"/>
    <w:basedOn w:val="Normal"/>
    <w:rsid w:val="0093375B"/>
    <w:pPr>
      <w:spacing w:after="240"/>
      <w:jc w:val="center"/>
    </w:pPr>
    <w:rPr>
      <w:i/>
    </w:rPr>
  </w:style>
  <w:style w:type="paragraph" w:customStyle="1" w:styleId="AmNumberTabs">
    <w:name w:val="AmNumberTabs"/>
    <w:basedOn w:val="Normal"/>
    <w:link w:val="AmNumberTabsChar"/>
    <w:rsid w:val="009337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3375B"/>
    <w:pPr>
      <w:spacing w:before="240"/>
    </w:pPr>
    <w:rPr>
      <w:b/>
    </w:rPr>
  </w:style>
  <w:style w:type="paragraph" w:customStyle="1" w:styleId="EPBody">
    <w:name w:val="EPBody"/>
    <w:basedOn w:val="Normal"/>
    <w:rsid w:val="0093375B"/>
    <w:pPr>
      <w:jc w:val="center"/>
    </w:pPr>
    <w:rPr>
      <w:rFonts w:ascii="Arial" w:hAnsi="Arial" w:cs="Arial"/>
      <w:i/>
      <w:sz w:val="22"/>
      <w:szCs w:val="22"/>
    </w:rPr>
  </w:style>
  <w:style w:type="paragraph" w:customStyle="1" w:styleId="EPFooter">
    <w:name w:val="EPFooter"/>
    <w:basedOn w:val="Normal"/>
    <w:rsid w:val="0093375B"/>
    <w:pPr>
      <w:tabs>
        <w:tab w:val="center" w:pos="4535"/>
        <w:tab w:val="right" w:pos="9071"/>
      </w:tabs>
      <w:spacing w:before="240" w:after="240"/>
    </w:pPr>
    <w:rPr>
      <w:color w:val="010000"/>
      <w:sz w:val="22"/>
    </w:rPr>
  </w:style>
  <w:style w:type="paragraph" w:customStyle="1" w:styleId="Lgendesigne">
    <w:name w:val="Légende signe"/>
    <w:basedOn w:val="Normal"/>
    <w:rsid w:val="0093375B"/>
    <w:pPr>
      <w:tabs>
        <w:tab w:val="right" w:pos="454"/>
        <w:tab w:val="left" w:pos="737"/>
      </w:tabs>
      <w:ind w:left="737" w:hanging="737"/>
    </w:pPr>
    <w:rPr>
      <w:snapToGrid w:val="0"/>
      <w:sz w:val="18"/>
      <w:lang w:eastAsia="en-US"/>
    </w:rPr>
  </w:style>
  <w:style w:type="paragraph" w:customStyle="1" w:styleId="Lgendetitre">
    <w:name w:val="Légende titre"/>
    <w:basedOn w:val="Normal"/>
    <w:rsid w:val="0093375B"/>
    <w:pPr>
      <w:spacing w:before="240" w:after="240"/>
    </w:pPr>
    <w:rPr>
      <w:b/>
      <w:i/>
      <w:snapToGrid w:val="0"/>
      <w:lang w:eastAsia="en-US"/>
    </w:rPr>
  </w:style>
  <w:style w:type="paragraph" w:customStyle="1" w:styleId="Lgendestandard">
    <w:name w:val="Légende standard"/>
    <w:basedOn w:val="Normal"/>
    <w:rsid w:val="0093375B"/>
    <w:rPr>
      <w:sz w:val="18"/>
    </w:rPr>
  </w:style>
  <w:style w:type="paragraph" w:styleId="Footer">
    <w:name w:val="footer"/>
    <w:basedOn w:val="Normal"/>
    <w:link w:val="FooterChar"/>
    <w:rsid w:val="0093375B"/>
    <w:pPr>
      <w:tabs>
        <w:tab w:val="center" w:pos="4513"/>
        <w:tab w:val="right" w:pos="9026"/>
      </w:tabs>
    </w:pPr>
  </w:style>
  <w:style w:type="character" w:customStyle="1" w:styleId="FooterChar">
    <w:name w:val="Footer Char"/>
    <w:basedOn w:val="DefaultParagraphFont"/>
    <w:link w:val="Footer"/>
    <w:rsid w:val="0093375B"/>
    <w:rPr>
      <w:sz w:val="24"/>
      <w:lang w:val="pl-PL"/>
    </w:rPr>
  </w:style>
  <w:style w:type="paragraph" w:styleId="BalloonText">
    <w:name w:val="Balloon Text"/>
    <w:basedOn w:val="Normal"/>
    <w:link w:val="BalloonTextChar"/>
    <w:unhideWhenUsed/>
    <w:rsid w:val="0093375B"/>
    <w:rPr>
      <w:rFonts w:ascii="Segoe UI" w:hAnsi="Segoe UI" w:cs="Segoe UI"/>
      <w:sz w:val="18"/>
      <w:szCs w:val="18"/>
    </w:rPr>
  </w:style>
  <w:style w:type="character" w:customStyle="1" w:styleId="BalloonTextChar">
    <w:name w:val="Balloon Text Char"/>
    <w:basedOn w:val="DefaultParagraphFont"/>
    <w:link w:val="BalloonText"/>
    <w:rsid w:val="0093375B"/>
    <w:rPr>
      <w:rFonts w:ascii="Segoe UI" w:hAnsi="Segoe UI" w:cs="Segoe UI"/>
      <w:sz w:val="18"/>
      <w:szCs w:val="18"/>
      <w:lang w:val="pl-PL"/>
    </w:rPr>
  </w:style>
  <w:style w:type="character" w:styleId="CommentReference">
    <w:name w:val="annotation reference"/>
    <w:basedOn w:val="DefaultParagraphFont"/>
    <w:rsid w:val="0093375B"/>
    <w:rPr>
      <w:sz w:val="16"/>
      <w:szCs w:val="16"/>
    </w:rPr>
  </w:style>
  <w:style w:type="paragraph" w:styleId="CommentText">
    <w:name w:val="annotation text"/>
    <w:basedOn w:val="Normal"/>
    <w:link w:val="CommentTextChar"/>
    <w:rsid w:val="0093375B"/>
    <w:rPr>
      <w:sz w:val="20"/>
    </w:rPr>
  </w:style>
  <w:style w:type="character" w:customStyle="1" w:styleId="CommentTextChar">
    <w:name w:val="Comment Text Char"/>
    <w:basedOn w:val="DefaultParagraphFont"/>
    <w:link w:val="CommentText"/>
    <w:rsid w:val="0093375B"/>
    <w:rPr>
      <w:lang w:val="pl-PL"/>
    </w:rPr>
  </w:style>
  <w:style w:type="paragraph" w:styleId="CommentSubject">
    <w:name w:val="annotation subject"/>
    <w:basedOn w:val="CommentText"/>
    <w:next w:val="CommentText"/>
    <w:link w:val="CommentSubjectChar"/>
    <w:unhideWhenUsed/>
    <w:rsid w:val="0093375B"/>
    <w:rPr>
      <w:b/>
      <w:bCs/>
    </w:rPr>
  </w:style>
  <w:style w:type="character" w:customStyle="1" w:styleId="CommentSubjectChar">
    <w:name w:val="Comment Subject Char"/>
    <w:basedOn w:val="CommentTextChar"/>
    <w:link w:val="CommentSubject"/>
    <w:rsid w:val="0093375B"/>
    <w:rPr>
      <w:b/>
      <w:bCs/>
      <w:lang w:val="pl-PL"/>
    </w:rPr>
  </w:style>
  <w:style w:type="paragraph" w:customStyle="1" w:styleId="Normal24a">
    <w:name w:val="Normal24a"/>
    <w:basedOn w:val="Normal"/>
    <w:rsid w:val="0093375B"/>
    <w:pPr>
      <w:spacing w:after="480"/>
    </w:pPr>
  </w:style>
  <w:style w:type="paragraph" w:customStyle="1" w:styleId="NormalBoldCenter">
    <w:name w:val="NormalBoldCenter"/>
    <w:basedOn w:val="Normal"/>
    <w:rsid w:val="0093375B"/>
    <w:pPr>
      <w:jc w:val="center"/>
    </w:pPr>
    <w:rPr>
      <w:b/>
    </w:rPr>
  </w:style>
  <w:style w:type="character" w:customStyle="1" w:styleId="AmNumberTabsChar">
    <w:name w:val="AmNumberTabs Char"/>
    <w:basedOn w:val="DefaultParagraphFont"/>
    <w:link w:val="AmNumberTabs"/>
    <w:rsid w:val="0093375B"/>
    <w:rPr>
      <w:b/>
      <w:sz w:val="24"/>
      <w:lang w:val="pl-PL"/>
    </w:rPr>
  </w:style>
  <w:style w:type="character" w:customStyle="1" w:styleId="NormalBold12bChar">
    <w:name w:val="NormalBold12b Char"/>
    <w:basedOn w:val="AmNumberTabsChar"/>
    <w:link w:val="NormalBold12b"/>
    <w:rsid w:val="0093375B"/>
    <w:rPr>
      <w:b/>
      <w:sz w:val="24"/>
      <w:lang w:val="pl-PL"/>
    </w:rPr>
  </w:style>
  <w:style w:type="character" w:styleId="Hyperlink">
    <w:name w:val="Hyperlink"/>
    <w:basedOn w:val="DefaultParagraphFont"/>
    <w:rsid w:val="0093375B"/>
    <w:rPr>
      <w:color w:val="0563C1" w:themeColor="hyperlink"/>
      <w:u w:val="single"/>
    </w:rPr>
  </w:style>
  <w:style w:type="paragraph" w:customStyle="1" w:styleId="ManualNumPar1">
    <w:name w:val="Manual NumPar 1"/>
    <w:basedOn w:val="Normal"/>
    <w:next w:val="Normal"/>
    <w:rsid w:val="0093375B"/>
    <w:pPr>
      <w:widowControl/>
      <w:spacing w:before="120" w:after="120"/>
      <w:ind w:left="850" w:hanging="850"/>
      <w:jc w:val="both"/>
    </w:pPr>
    <w:rPr>
      <w:rFonts w:eastAsiaTheme="minorHAnsi"/>
      <w:szCs w:val="22"/>
      <w:lang w:eastAsia="en-US"/>
    </w:rPr>
  </w:style>
  <w:style w:type="paragraph" w:customStyle="1" w:styleId="Normal12a">
    <w:name w:val="Normal12a"/>
    <w:basedOn w:val="Normal"/>
    <w:rsid w:val="0093375B"/>
    <w:pPr>
      <w:spacing w:after="240"/>
    </w:pPr>
  </w:style>
  <w:style w:type="paragraph" w:customStyle="1" w:styleId="RollCallVotes">
    <w:name w:val="RollCallVotes"/>
    <w:basedOn w:val="Normal"/>
    <w:rsid w:val="0093375B"/>
    <w:pPr>
      <w:spacing w:before="120" w:after="120"/>
      <w:jc w:val="center"/>
    </w:pPr>
    <w:rPr>
      <w:b/>
      <w:bCs/>
      <w:snapToGrid w:val="0"/>
      <w:sz w:val="16"/>
      <w:lang w:eastAsia="en-US"/>
    </w:rPr>
  </w:style>
  <w:style w:type="paragraph" w:customStyle="1" w:styleId="RollCallTabs">
    <w:name w:val="RollCallTabs"/>
    <w:basedOn w:val="Normal"/>
    <w:qFormat/>
    <w:rsid w:val="0093375B"/>
    <w:pPr>
      <w:tabs>
        <w:tab w:val="center" w:pos="284"/>
        <w:tab w:val="left" w:pos="426"/>
      </w:tabs>
    </w:pPr>
    <w:rPr>
      <w:snapToGrid w:val="0"/>
      <w:lang w:eastAsia="en-US"/>
    </w:rPr>
  </w:style>
  <w:style w:type="paragraph" w:customStyle="1" w:styleId="RollCallSymbols14pt">
    <w:name w:val="RollCallSymbols14pt"/>
    <w:basedOn w:val="Normal"/>
    <w:rsid w:val="0093375B"/>
    <w:pPr>
      <w:spacing w:before="120" w:after="120"/>
      <w:jc w:val="center"/>
    </w:pPr>
    <w:rPr>
      <w:rFonts w:ascii="Arial" w:hAnsi="Arial"/>
      <w:b/>
      <w:bCs/>
      <w:snapToGrid w:val="0"/>
      <w:sz w:val="28"/>
      <w:lang w:eastAsia="en-US"/>
    </w:rPr>
  </w:style>
  <w:style w:type="paragraph" w:customStyle="1" w:styleId="RollCallTable">
    <w:name w:val="RollCallTable"/>
    <w:basedOn w:val="Normal"/>
    <w:rsid w:val="0093375B"/>
    <w:pPr>
      <w:spacing w:before="120" w:after="120"/>
    </w:pPr>
    <w:rPr>
      <w:snapToGrid w:val="0"/>
      <w:sz w:val="16"/>
      <w:lang w:eastAsia="en-US"/>
    </w:rPr>
  </w:style>
  <w:style w:type="character" w:styleId="FollowedHyperlink">
    <w:name w:val="FollowedHyperlink"/>
    <w:basedOn w:val="DefaultParagraphFont"/>
    <w:uiPriority w:val="99"/>
    <w:unhideWhenUsed/>
    <w:rsid w:val="0093375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0B917-771A-4149-A835-10EF5FA28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11336</Words>
  <Characters>64619</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Karina Pesa</cp:lastModifiedBy>
  <cp:revision>2</cp:revision>
  <cp:lastPrinted>2004-11-19T15:42:00Z</cp:lastPrinted>
  <dcterms:created xsi:type="dcterms:W3CDTF">2025-01-15T09:55:00Z</dcterms:created>
  <dcterms:modified xsi:type="dcterms:W3CDTF">2025-01-15T09:55:00Z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P9_TA(2024)0218_</vt:lpwstr>
  </property>
  <property fmtid="{D5CDD505-2E9C-101B-9397-08002B2CF9AE}" pid="4" name="&lt;Type&gt;">
    <vt:lpwstr>RR</vt:lpwstr>
  </property>
</Properties>
</file>