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1F23" w:rsidTr="0010095E">
        <w:trPr>
          <w:trHeight w:hRule="exact" w:val="1418"/>
        </w:trPr>
        <w:tc>
          <w:tcPr>
            <w:tcW w:w="6804" w:type="dxa"/>
            <w:shd w:val="clear" w:color="auto" w:fill="auto"/>
            <w:vAlign w:val="center"/>
          </w:tcPr>
          <w:p w:rsidR="00751A4A" w:rsidRPr="004A1F23" w:rsidRDefault="003C5A12" w:rsidP="0010095E">
            <w:pPr>
              <w:pStyle w:val="EPName"/>
            </w:pPr>
            <w:r w:rsidRPr="004A1F23">
              <w:t>Európai Parlament</w:t>
            </w:r>
          </w:p>
          <w:p w:rsidR="00751A4A" w:rsidRPr="004A1F23" w:rsidRDefault="00817416" w:rsidP="00756632">
            <w:pPr>
              <w:pStyle w:val="EPTerm"/>
              <w:rPr>
                <w:rStyle w:val="HideTWBExt"/>
                <w:noProof w:val="0"/>
                <w:vanish w:val="0"/>
                <w:color w:val="auto"/>
              </w:rPr>
            </w:pPr>
            <w:r w:rsidRPr="004A1F23">
              <w:t>2019-2024</w:t>
            </w:r>
          </w:p>
        </w:tc>
        <w:tc>
          <w:tcPr>
            <w:tcW w:w="2268" w:type="dxa"/>
            <w:shd w:val="clear" w:color="auto" w:fill="auto"/>
          </w:tcPr>
          <w:p w:rsidR="00751A4A" w:rsidRPr="004A1F23" w:rsidRDefault="00187494" w:rsidP="0010095E">
            <w:pPr>
              <w:pStyle w:val="EPLogo"/>
            </w:pPr>
            <w:r w:rsidRPr="004A1F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1F23" w:rsidRDefault="00D058B8" w:rsidP="004C5D52">
      <w:pPr>
        <w:pStyle w:val="LineTop"/>
      </w:pPr>
    </w:p>
    <w:p w:rsidR="00680577" w:rsidRPr="004A1F23" w:rsidRDefault="003C5A12" w:rsidP="00680577">
      <w:pPr>
        <w:pStyle w:val="EPBodyTA1"/>
      </w:pPr>
      <w:r w:rsidRPr="004A1F23">
        <w:t>ELFOGADOTT SZÖVEGEK</w:t>
      </w:r>
    </w:p>
    <w:p w:rsidR="00D058B8" w:rsidRPr="004A1F23" w:rsidRDefault="00D058B8" w:rsidP="00D058B8">
      <w:pPr>
        <w:pStyle w:val="LineBottom"/>
      </w:pPr>
    </w:p>
    <w:p w:rsidR="003C5A12" w:rsidRPr="004A1F23" w:rsidRDefault="003C5A12" w:rsidP="003C5A12">
      <w:pPr>
        <w:pStyle w:val="ATHeading1"/>
      </w:pPr>
      <w:bookmarkStart w:id="0" w:name="TANumber"/>
      <w:r w:rsidRPr="004A1F23">
        <w:t>P9_TA(2024)</w:t>
      </w:r>
      <w:bookmarkEnd w:id="0"/>
      <w:r w:rsidR="004A1F23" w:rsidRPr="004A1F23">
        <w:t>0219</w:t>
      </w:r>
    </w:p>
    <w:p w:rsidR="003C5A12" w:rsidRPr="004A1F23" w:rsidRDefault="005A49CE" w:rsidP="003C5A12">
      <w:pPr>
        <w:pStyle w:val="ATHeading2"/>
      </w:pPr>
      <w:r w:rsidRPr="004A1F23">
        <w:t>Transzferárazás</w:t>
      </w:r>
    </w:p>
    <w:p w:rsidR="003C5A12" w:rsidRPr="004A1F23" w:rsidRDefault="003C5A12" w:rsidP="003C5A12">
      <w:pPr>
        <w:rPr>
          <w:i/>
          <w:vanish/>
        </w:rPr>
      </w:pPr>
      <w:r w:rsidRPr="004A1F23">
        <w:rPr>
          <w:i/>
        </w:rPr>
        <w:fldChar w:fldCharType="begin"/>
      </w:r>
      <w:r w:rsidRPr="004A1F23">
        <w:rPr>
          <w:i/>
        </w:rPr>
        <w:instrText xml:space="preserve"> TC"(</w:instrText>
      </w:r>
      <w:bookmarkStart w:id="1" w:name="DocNumber"/>
      <w:r w:rsidRPr="004A1F23">
        <w:rPr>
          <w:i/>
        </w:rPr>
        <w:instrText>A9-0066/2024</w:instrText>
      </w:r>
      <w:bookmarkEnd w:id="1"/>
      <w:r w:rsidRPr="004A1F23">
        <w:rPr>
          <w:i/>
        </w:rPr>
        <w:instrText xml:space="preserve"> - Előadó: Kira Marie Peter</w:instrText>
      </w:r>
      <w:r w:rsidRPr="004A1F23">
        <w:rPr>
          <w:i/>
        </w:rPr>
        <w:noBreakHyphen/>
        <w:instrText xml:space="preserve">Hansen)"\l3 \n&gt; \* MERGEFORMAT </w:instrText>
      </w:r>
      <w:r w:rsidRPr="004A1F23">
        <w:rPr>
          <w:i/>
        </w:rPr>
        <w:fldChar w:fldCharType="end"/>
      </w:r>
    </w:p>
    <w:p w:rsidR="003C5A12" w:rsidRPr="004A1F23" w:rsidRDefault="003C5A12" w:rsidP="003C5A12">
      <w:pPr>
        <w:rPr>
          <w:vanish/>
        </w:rPr>
      </w:pPr>
      <w:bookmarkStart w:id="2" w:name="Commission"/>
      <w:r w:rsidRPr="004A1F23">
        <w:rPr>
          <w:vanish/>
        </w:rPr>
        <w:t>Gazdasági és Monetáris Bizottság</w:t>
      </w:r>
      <w:bookmarkEnd w:id="2"/>
    </w:p>
    <w:p w:rsidR="003C5A12" w:rsidRPr="004A1F23" w:rsidRDefault="003C5A12" w:rsidP="003C5A12">
      <w:pPr>
        <w:rPr>
          <w:vanish/>
        </w:rPr>
      </w:pPr>
      <w:bookmarkStart w:id="3" w:name="PE"/>
      <w:r w:rsidRPr="004A1F23">
        <w:rPr>
          <w:vanish/>
        </w:rPr>
        <w:t>PE756.000</w:t>
      </w:r>
      <w:bookmarkEnd w:id="3"/>
    </w:p>
    <w:p w:rsidR="003C5A12" w:rsidRPr="004A1F23" w:rsidRDefault="003C5A12" w:rsidP="003C5A12">
      <w:pPr>
        <w:pStyle w:val="ATHeading3"/>
      </w:pPr>
      <w:bookmarkStart w:id="4" w:name="Sujet"/>
      <w:r w:rsidRPr="004A1F23">
        <w:t xml:space="preserve">Az Európai Parlament 2024. </w:t>
      </w:r>
      <w:r w:rsidR="005A49CE" w:rsidRPr="004A1F23">
        <w:t>április 10</w:t>
      </w:r>
      <w:r w:rsidRPr="004A1F23">
        <w:t>-i jogalkotási állásfoglalása a transzferárazásról szóló tanácsi irányelvre irányuló javaslatról</w:t>
      </w:r>
      <w:bookmarkEnd w:id="4"/>
      <w:r w:rsidRPr="004A1F23">
        <w:t xml:space="preserve"> </w:t>
      </w:r>
      <w:bookmarkStart w:id="5" w:name="References"/>
      <w:r w:rsidRPr="004A1F23">
        <w:t>(COM(2023)0529 – C9-0339/2023 – 2023/0322(CNS))</w:t>
      </w:r>
      <w:bookmarkEnd w:id="5"/>
    </w:p>
    <w:p w:rsidR="00125939" w:rsidRPr="004A1F23" w:rsidRDefault="00125939" w:rsidP="00125939">
      <w:pPr>
        <w:pStyle w:val="NormalBold"/>
      </w:pPr>
      <w:bookmarkStart w:id="6" w:name="TextBodyBegin"/>
      <w:bookmarkEnd w:id="6"/>
      <w:r w:rsidRPr="004A1F23">
        <w:t>(Különleges jogalkotási eljárás– konzultáció)</w:t>
      </w:r>
    </w:p>
    <w:p w:rsidR="00125939" w:rsidRPr="004A1F23" w:rsidRDefault="00125939" w:rsidP="00125939">
      <w:pPr>
        <w:pStyle w:val="EPComma"/>
      </w:pPr>
      <w:r w:rsidRPr="004A1F23">
        <w:rPr>
          <w:i/>
        </w:rPr>
        <w:t>Az Európai Parlament,</w:t>
      </w:r>
    </w:p>
    <w:p w:rsidR="00125939" w:rsidRPr="004A1F23" w:rsidRDefault="00125939" w:rsidP="00125939">
      <w:pPr>
        <w:pStyle w:val="NormalHanging12a"/>
      </w:pPr>
      <w:r w:rsidRPr="004A1F23">
        <w:t>–</w:t>
      </w:r>
      <w:r w:rsidRPr="004A1F23">
        <w:tab/>
        <w:t>tekintettel a Bizottság Tanácshoz intézett javaslatára (COM(2023)0529),</w:t>
      </w:r>
    </w:p>
    <w:p w:rsidR="00125939" w:rsidRPr="004A1F23" w:rsidRDefault="00125939" w:rsidP="00125939">
      <w:pPr>
        <w:pStyle w:val="NormalHanging12a"/>
      </w:pPr>
      <w:r w:rsidRPr="004A1F23">
        <w:t>–</w:t>
      </w:r>
      <w:r w:rsidRPr="004A1F23">
        <w:tab/>
        <w:t>tekintettel az Európai Unió működéséről szóló szerződés 115. cikkére, amelynek megfelelően a Tanács konzultált a Parlamenttel (C9</w:t>
      </w:r>
      <w:r w:rsidRPr="004A1F23">
        <w:noBreakHyphen/>
        <w:t>0339/2023),</w:t>
      </w:r>
    </w:p>
    <w:p w:rsidR="00125939" w:rsidRPr="004A1F23" w:rsidRDefault="00125939" w:rsidP="00125939">
      <w:pPr>
        <w:pStyle w:val="NormalHanging12a"/>
      </w:pPr>
      <w:r w:rsidRPr="004A1F23">
        <w:t>–</w:t>
      </w:r>
      <w:r w:rsidRPr="004A1F23">
        <w:tab/>
        <w:t>tekintettel eljárási szabályzata 82. cikkére,</w:t>
      </w:r>
    </w:p>
    <w:p w:rsidR="00125939" w:rsidRPr="004A1F23" w:rsidRDefault="00125939" w:rsidP="00125939">
      <w:pPr>
        <w:pStyle w:val="NormalHanging12a"/>
      </w:pPr>
      <w:r w:rsidRPr="004A1F23">
        <w:t>–</w:t>
      </w:r>
      <w:r w:rsidRPr="004A1F23">
        <w:tab/>
        <w:t>tekintettel a Gazdasági és Monetáris Bizottság jelentésére (A9-0066/2024),</w:t>
      </w:r>
    </w:p>
    <w:p w:rsidR="00125939" w:rsidRPr="004A1F23" w:rsidRDefault="00125939" w:rsidP="00125939">
      <w:pPr>
        <w:pStyle w:val="NormalHanging12a"/>
      </w:pPr>
      <w:r w:rsidRPr="004A1F23">
        <w:t>1.</w:t>
      </w:r>
      <w:r w:rsidRPr="004A1F23">
        <w:tab/>
        <w:t>jóváhagyja a Bizottság javaslatát annak módosított formájában;</w:t>
      </w:r>
    </w:p>
    <w:p w:rsidR="00125939" w:rsidRPr="004A1F23" w:rsidRDefault="00125939" w:rsidP="00125939">
      <w:pPr>
        <w:pStyle w:val="NormalHanging12a"/>
      </w:pPr>
      <w:r w:rsidRPr="004A1F23">
        <w:t>2.</w:t>
      </w:r>
      <w:r w:rsidRPr="004A1F23">
        <w:tab/>
        <w:t>felkéri a Bizottságot, hogy ennek megfelelően módosítsa javaslatát, az Európai Unió működéséről szóló szerződés 293. cikke (2) bekezdésének megfelelően;</w:t>
      </w:r>
    </w:p>
    <w:p w:rsidR="00125939" w:rsidRPr="004A1F23" w:rsidRDefault="00125939" w:rsidP="00125939">
      <w:pPr>
        <w:pStyle w:val="NormalHanging12a"/>
      </w:pPr>
      <w:r w:rsidRPr="004A1F23">
        <w:t>3.</w:t>
      </w:r>
      <w:r w:rsidRPr="004A1F23">
        <w:tab/>
        <w:t>felhívja a Tanácsot, hogy tájékoztassa a Parlamentet arról, ha a Parlament által jóváhagyott szövegtől el kíván térni;</w:t>
      </w:r>
    </w:p>
    <w:p w:rsidR="00125939" w:rsidRPr="004A1F23" w:rsidRDefault="00125939" w:rsidP="00125939">
      <w:pPr>
        <w:pStyle w:val="NormalHanging12a"/>
      </w:pPr>
      <w:r w:rsidRPr="004A1F23">
        <w:t>4.</w:t>
      </w:r>
      <w:r w:rsidRPr="004A1F23">
        <w:tab/>
        <w:t>felkéri a Tanácsot a Parlamenttel való újbóli konzultációra, ha lényegesen módosítani kívánja a Bizottság javaslatát;</w:t>
      </w:r>
    </w:p>
    <w:p w:rsidR="00125939" w:rsidRPr="004A1F23" w:rsidRDefault="00125939" w:rsidP="00125939">
      <w:pPr>
        <w:pStyle w:val="NormalHanging12a"/>
      </w:pPr>
      <w:r w:rsidRPr="004A1F23">
        <w:t>5.</w:t>
      </w:r>
      <w:r w:rsidRPr="004A1F23">
        <w:tab/>
        <w:t>utasítja elnökét, hogy továbbítsa a Parlament álláspontját a Tanácsnak</w:t>
      </w:r>
      <w:r w:rsidR="00F973EE" w:rsidRPr="004A1F23">
        <w:t>,</w:t>
      </w:r>
      <w:r w:rsidRPr="004A1F23">
        <w:t xml:space="preserve"> a Bizottságnak, valamint a nemzeti parlamenteknek.</w:t>
      </w:r>
    </w:p>
    <w:p w:rsidR="005A49CE" w:rsidRPr="004A1F23" w:rsidRDefault="005A49CE">
      <w:pPr>
        <w:widowControl/>
      </w:pPr>
      <w:r w:rsidRPr="004A1F23">
        <w:rPr>
          <w:b/>
        </w:rPr>
        <w:br w:type="page"/>
      </w:r>
    </w:p>
    <w:p w:rsidR="00125939" w:rsidRPr="004A1F23" w:rsidRDefault="00125939" w:rsidP="00125939">
      <w:pPr>
        <w:pStyle w:val="AmNumberTabs"/>
      </w:pPr>
      <w:r w:rsidRPr="004A1F23">
        <w:lastRenderedPageBreak/>
        <w:t>Módosítás</w:t>
      </w:r>
      <w:r w:rsidRPr="004A1F23">
        <w:tab/>
      </w:r>
      <w:r w:rsidRPr="004A1F23">
        <w:tab/>
        <w:t>1</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2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(2a)</w:t>
            </w:r>
            <w:r w:rsidRPr="004A1F23">
              <w:tab/>
            </w:r>
            <w:r w:rsidRPr="004A1F23">
              <w:rPr>
                <w:b/>
                <w:i/>
              </w:rPr>
              <w:t>Az adóalap-erózió és a nyereségátcsoportosítás a multinacionális vállalatok által alkalmazott adótervezési stratégiákra utal, amelyek az adófizetés elkerülése érdekében kihasználják az adószabályok hiányosságait és eltéréseit.</w:t>
            </w:r>
            <w:r w:rsidRPr="004A1F23">
              <w:t xml:space="preserve"> </w:t>
            </w:r>
            <w:r w:rsidRPr="004A1F23">
              <w:rPr>
                <w:b/>
                <w:i/>
              </w:rPr>
              <w:t>Bár a transzferárazásra jelenleg szükség van annak meghatározásához, hogy hol kell jelenteni a nyereséget, azzal visszaéltek az olyan országokban működő vállalkozások adókötelezettségeinek csökkentésére is, ahol a magasabb adókulcsok nyereségátcsoportosításhoz vezetnek.</w:t>
            </w:r>
            <w:r w:rsidRPr="004A1F23">
              <w:t xml:space="preserve"> </w:t>
            </w:r>
            <w:r w:rsidRPr="004A1F23">
              <w:rPr>
                <w:b/>
                <w:i/>
              </w:rPr>
              <w:t>A szokásos piaci ár elvét a tagállamokban és az adófizetőknek oly módon kell alkalmazniuk, hogy az nagyobb adózási biztonságot garantáljon az adófizetők számára, és minimálisra csökkentse a nyereségátcsoportosítás lehetőségeit.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2</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2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spacing w:after="120"/>
            </w:pPr>
            <w:r w:rsidRPr="004A1F23">
              <w:rPr>
                <w:b/>
                <w:i/>
              </w:rPr>
              <w:t>(2b)</w:t>
            </w:r>
            <w:r w:rsidRPr="004A1F23">
              <w:tab/>
            </w:r>
            <w:r w:rsidRPr="004A1F23">
              <w:rPr>
                <w:b/>
                <w:i/>
              </w:rPr>
              <w:t>Az adókikerülés hatékony kezelésére és a multinacionális vállalatcsoportok tényleges adóztatása minimális szintjének garantálására irányuló hosszú távú megoldásnak az összes tagállam javát szolgáló, képleteken alapuló felosztási rendszernek kell lennie.</w:t>
            </w:r>
            <w:r w:rsidRPr="004A1F23">
              <w:t xml:space="preserve"> </w:t>
            </w:r>
          </w:p>
        </w:tc>
      </w:tr>
    </w:tbl>
    <w:p w:rsidR="00125939" w:rsidRPr="004A1F23" w:rsidRDefault="00125939" w:rsidP="00125939"/>
    <w:p w:rsidR="00125939" w:rsidRPr="004A1F23" w:rsidRDefault="00125939" w:rsidP="00125939">
      <w:pPr>
        <w:pStyle w:val="AmNumberTabs"/>
        <w:keepNext/>
      </w:pPr>
      <w:r w:rsidRPr="004A1F23">
        <w:lastRenderedPageBreak/>
        <w:t>Módosítás</w:t>
      </w:r>
      <w:r w:rsidRPr="004A1F23">
        <w:tab/>
      </w:r>
      <w:r w:rsidRPr="004A1F23">
        <w:tab/>
        <w:t>3</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3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(3)</w:t>
            </w:r>
            <w:r w:rsidRPr="004A1F23">
              <w:tab/>
              <w:t xml:space="preserve">Amennyiben a tagállamok eltérően alkalmazzák vagy értelmezik a szokásos piaci ár elvét, olyan helyzeteket teremtenek, amelyek sérthetik a belső piacot. Az alkalmazandó transzferárazási szabályok következetlensége nemcsak kettős adóztatáshoz vezethet, hanem lehetővé teheti a nyereségátcsoportosítást és az </w:t>
            </w:r>
            <w:r w:rsidRPr="004A1F23">
              <w:rPr>
                <w:b/>
                <w:i/>
              </w:rPr>
              <w:t>adókikerülést</w:t>
            </w:r>
            <w:r w:rsidRPr="004A1F23">
              <w:t xml:space="preserve"> is. Az ilyen </w:t>
            </w:r>
            <w:r w:rsidRPr="004A1F23">
              <w:rPr>
                <w:b/>
                <w:i/>
              </w:rPr>
              <w:t>következetlenség</w:t>
            </w:r>
            <w:r w:rsidRPr="004A1F23">
              <w:t xml:space="preserve"> komoly </w:t>
            </w:r>
            <w:r w:rsidRPr="004A1F23">
              <w:rPr>
                <w:b/>
                <w:i/>
              </w:rPr>
              <w:t>adózási akadályt jelent</w:t>
            </w:r>
            <w:r w:rsidRPr="004A1F23">
              <w:t xml:space="preserve"> a határokon átnyúló tevékenységet folytató vállalkozások</w:t>
            </w:r>
            <w:r w:rsidRPr="004A1F23">
              <w:rPr>
                <w:b/>
                <w:i/>
              </w:rPr>
              <w:t xml:space="preserve"> számára</w:t>
            </w:r>
            <w:r w:rsidRPr="004A1F23">
              <w:t xml:space="preserve">, valószínűleg gazdasági torzulásokat és hatékonysági problémákat </w:t>
            </w:r>
            <w:r w:rsidRPr="004A1F23">
              <w:rPr>
                <w:b/>
                <w:i/>
              </w:rPr>
              <w:t>okoz</w:t>
            </w:r>
            <w:r w:rsidRPr="004A1F23">
              <w:t xml:space="preserve">, és negatív hatással </w:t>
            </w:r>
            <w:r w:rsidRPr="004A1F23">
              <w:rPr>
                <w:b/>
                <w:i/>
              </w:rPr>
              <w:t>van</w:t>
            </w:r>
            <w:r w:rsidRPr="004A1F23">
              <w:t xml:space="preserve"> a határokon átnyúló beruházásokra</w:t>
            </w:r>
            <w:r w:rsidRPr="004A1F23">
              <w:rPr>
                <w:b/>
                <w:i/>
              </w:rPr>
              <w:t xml:space="preserve"> és a növekedésre.</w:t>
            </w:r>
          </w:p>
        </w:tc>
        <w:tc>
          <w:tcPr>
            <w:tcW w:w="4876" w:type="dxa"/>
          </w:tcPr>
          <w:p w:rsidR="00125939" w:rsidRPr="004A1F23" w:rsidRDefault="00125939" w:rsidP="00474151">
            <w:pPr>
              <w:pStyle w:val="Normal6a"/>
              <w:rPr>
                <w:szCs w:val="24"/>
              </w:rPr>
            </w:pPr>
            <w:r w:rsidRPr="004A1F23">
              <w:t>(3)</w:t>
            </w:r>
            <w:r w:rsidRPr="004A1F23">
              <w:tab/>
              <w:t xml:space="preserve">Amennyiben a tagállamok </w:t>
            </w:r>
            <w:r w:rsidRPr="004A1F23">
              <w:rPr>
                <w:b/>
                <w:i/>
              </w:rPr>
              <w:t xml:space="preserve">jelentősen </w:t>
            </w:r>
            <w:r w:rsidRPr="004A1F23">
              <w:t>eltérően alkalmazzák vagy értelmezik a szokásos piaci ár elvét, olyan helyzeteket teremtenek, amelyek sérthetik a belső piacot</w:t>
            </w:r>
            <w:r w:rsidRPr="004A1F23">
              <w:rPr>
                <w:b/>
                <w:i/>
              </w:rPr>
              <w:t>, és szükségtelen költségeket okozhatnak a vállalkozások számára viták esetén, továbbá káros adóversenyt indíthatnak el, agresszív adókikerülési struktúrákat vonzhatnak, jogellenes állami támogatást képezhetnek és csökkenthetik a tagállamok bevételeit</w:t>
            </w:r>
            <w:r w:rsidRPr="004A1F23">
              <w:t>. Az alkalmazandó transzferárazási szabályok következetlensége nemcsak kettős adóztatáshoz vezethet, hanem lehetővé teheti a nyereségátcsoportosítást</w:t>
            </w:r>
            <w:r w:rsidRPr="004A1F23">
              <w:rPr>
                <w:b/>
                <w:i/>
              </w:rPr>
              <w:t>, az adókikerülést</w:t>
            </w:r>
            <w:r w:rsidRPr="004A1F23">
              <w:t xml:space="preserve"> és az </w:t>
            </w:r>
            <w:r w:rsidRPr="004A1F23">
              <w:rPr>
                <w:b/>
                <w:i/>
              </w:rPr>
              <w:t>adóztatás kettős elmaradását</w:t>
            </w:r>
            <w:r w:rsidRPr="004A1F23">
              <w:t xml:space="preserve"> is. Az ilyen </w:t>
            </w:r>
            <w:r w:rsidRPr="004A1F23">
              <w:rPr>
                <w:b/>
                <w:i/>
              </w:rPr>
              <w:t>jelentős következetlenségek</w:t>
            </w:r>
            <w:r w:rsidRPr="004A1F23">
              <w:t xml:space="preserve"> komoly </w:t>
            </w:r>
            <w:r w:rsidRPr="004A1F23">
              <w:rPr>
                <w:b/>
                <w:i/>
              </w:rPr>
              <w:t>veszélyt jelenthetnek az adóbevételekre, az adómorálra, és az adóhatóságok korlátozott kapacitásait eredményezhetik. Az ilyen következetlenségek egyben akadályokat gördítenek</w:t>
            </w:r>
            <w:r w:rsidRPr="004A1F23">
              <w:t xml:space="preserve"> a határokon átnyúló tevékenységet folytató vállalkozások</w:t>
            </w:r>
            <w:r w:rsidRPr="004A1F23">
              <w:rPr>
                <w:b/>
                <w:i/>
              </w:rPr>
              <w:t>, különösen a kkv-k elé</w:t>
            </w:r>
            <w:r w:rsidRPr="004A1F23">
              <w:t xml:space="preserve">, </w:t>
            </w:r>
            <w:r w:rsidRPr="004A1F23">
              <w:rPr>
                <w:b/>
                <w:i/>
              </w:rPr>
              <w:t xml:space="preserve">és </w:t>
            </w:r>
            <w:r w:rsidRPr="004A1F23">
              <w:t xml:space="preserve">valószínűleg gazdasági torzulásokat és hatékonysági problémákat </w:t>
            </w:r>
            <w:r w:rsidRPr="004A1F23">
              <w:rPr>
                <w:b/>
                <w:i/>
              </w:rPr>
              <w:t>okoznak</w:t>
            </w:r>
            <w:r w:rsidRPr="004A1F23">
              <w:t xml:space="preserve">, és negatív hatással </w:t>
            </w:r>
            <w:r w:rsidRPr="004A1F23">
              <w:rPr>
                <w:b/>
                <w:i/>
              </w:rPr>
              <w:t>vannak</w:t>
            </w:r>
            <w:r w:rsidRPr="004A1F23">
              <w:t xml:space="preserve"> a határokon átnyúló beruházásokra</w:t>
            </w:r>
            <w:r w:rsidRPr="004A1F23">
              <w:rPr>
                <w:b/>
                <w:i/>
              </w:rPr>
              <w:t>.</w:t>
            </w:r>
            <w:r w:rsidRPr="004A1F23">
              <w:t xml:space="preserve"> </w:t>
            </w:r>
            <w:r w:rsidRPr="004A1F23">
              <w:rPr>
                <w:b/>
                <w:i/>
              </w:rPr>
              <w:t>A Bizottságnak továbbá biztosítania kell, hogy ez az irányelv ne hozzon létre ellentmondást a legújabb OECD irányelvekkel, többek között az első pillér A. és B. összegével, amelyek célja a meglévő transzferárazási szabályok egyszerűsítése.</w:t>
            </w:r>
          </w:p>
        </w:tc>
      </w:tr>
    </w:tbl>
    <w:p w:rsidR="00125939" w:rsidRPr="004A1F23" w:rsidRDefault="00125939" w:rsidP="00125939"/>
    <w:p w:rsidR="00125939" w:rsidRPr="004A1F23" w:rsidRDefault="00125939" w:rsidP="00125939">
      <w:pPr>
        <w:pStyle w:val="AmNumberTabs"/>
        <w:keepNext/>
      </w:pPr>
      <w:r w:rsidRPr="004A1F23">
        <w:lastRenderedPageBreak/>
        <w:t>Módosítás</w:t>
      </w:r>
      <w:r w:rsidRPr="004A1F23">
        <w:tab/>
      </w:r>
      <w:r w:rsidRPr="004A1F23">
        <w:tab/>
        <w:t>4</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3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szCs w:val="24"/>
              </w:rPr>
            </w:pPr>
            <w:r w:rsidRPr="004A1F23">
              <w:rPr>
                <w:b/>
                <w:i/>
              </w:rPr>
              <w:t>(3a)</w:t>
            </w:r>
            <w:r w:rsidRPr="004A1F23">
              <w:rPr>
                <w:b/>
                <w:i/>
              </w:rPr>
              <w:tab/>
              <w:t>Az adóhatóságoknak azonban figyelembe kell venniük, hogy a kapcsolt vállalkozások piaci erők hiányában vagy egy adott kereskedelmi stratégia elfogadásakor hitelesek lehetnek a piaci ár pontos meghatározása tekintetében.</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5</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3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(3b)</w:t>
            </w:r>
            <w:r w:rsidRPr="004A1F23">
              <w:tab/>
            </w:r>
            <w:r w:rsidRPr="004A1F23">
              <w:rPr>
                <w:b/>
                <w:i/>
              </w:rPr>
              <w:t>Az adóalap-erózióval és nyereségátcsoportosítással kapcsolatos projekt 2013-as kezdetén az OECD becslése szerint – a módszertannal és az adatokkal kapcsolatos korlátok elismerése mellett – az adóalap-erózióval és nyereségátcsoportosítással kapcsolatos gyakorlatokból eredő globális társaságiadóbevétel-kiesés mértéke évi 100–240 milliárd USD lehetett</w:t>
            </w:r>
            <w:r w:rsidRPr="004A1F23">
              <w:rPr>
                <w:b/>
                <w:i/>
                <w:vertAlign w:val="superscript"/>
              </w:rPr>
              <w:t>1a</w:t>
            </w:r>
          </w:p>
        </w:tc>
      </w:tr>
      <w:tr w:rsidR="00125939" w:rsidRPr="004A1F23" w:rsidTr="00474151">
        <w:trPr>
          <w:jc w:val="center"/>
        </w:trPr>
        <w:tc>
          <w:tcPr>
            <w:tcW w:w="4876" w:type="dxa"/>
          </w:tcPr>
          <w:p w:rsidR="00125939" w:rsidRPr="004A1F23" w:rsidRDefault="00125939" w:rsidP="00474151"/>
        </w:tc>
        <w:tc>
          <w:tcPr>
            <w:tcW w:w="4876" w:type="dxa"/>
          </w:tcPr>
          <w:p w:rsidR="00125939" w:rsidRPr="004A1F23" w:rsidRDefault="00125939" w:rsidP="00474151">
            <w:pPr>
              <w:pStyle w:val="Normal6a"/>
            </w:pPr>
            <w:r w:rsidRPr="004A1F23">
              <w:rPr>
                <w:b/>
                <w:i/>
              </w:rPr>
              <w:t>_________________</w:t>
            </w:r>
          </w:p>
        </w:tc>
      </w:tr>
      <w:tr w:rsidR="00125939" w:rsidRPr="004A1F23" w:rsidTr="00474151">
        <w:trPr>
          <w:jc w:val="center"/>
        </w:trPr>
        <w:tc>
          <w:tcPr>
            <w:tcW w:w="4876" w:type="dxa"/>
          </w:tcPr>
          <w:p w:rsidR="00125939" w:rsidRPr="004A1F23" w:rsidRDefault="00125939" w:rsidP="00474151"/>
        </w:tc>
        <w:tc>
          <w:tcPr>
            <w:tcW w:w="4876" w:type="dxa"/>
          </w:tcPr>
          <w:p w:rsidR="00125939" w:rsidRPr="004A1F23" w:rsidRDefault="00125939" w:rsidP="00474151">
            <w:pPr>
              <w:pStyle w:val="Normal6a"/>
            </w:pPr>
            <w:r w:rsidRPr="004A1F23">
              <w:rPr>
                <w:b/>
                <w:i/>
                <w:vertAlign w:val="superscript"/>
              </w:rPr>
              <w:t>1a</w:t>
            </w:r>
            <w:r w:rsidRPr="004A1F23">
              <w:t xml:space="preserve"> </w:t>
            </w:r>
            <w:r w:rsidRPr="004A1F23">
              <w:rPr>
                <w:b/>
                <w:i/>
              </w:rPr>
              <w:t>https://www.oecd.org/tax/beps-project-explanatory-statement-9789264263437-en.htm</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6</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(4)</w:t>
            </w:r>
            <w:r w:rsidRPr="004A1F23">
              <w:tab/>
              <w:t xml:space="preserve">Ez az irányelv szabályokat állapít meg annak érdekében, hogy biztosított legyen a szokásos piaci ár elvének Unió-szerte történő közös alkalmazása, javuljon az adórendszer kiszámíthatósága, </w:t>
            </w:r>
            <w:r w:rsidRPr="004A1F23">
              <w:rPr>
                <w:b/>
                <w:i/>
              </w:rPr>
              <w:t xml:space="preserve">valamint </w:t>
            </w:r>
            <w:r w:rsidRPr="004A1F23">
              <w:rPr>
                <w:b/>
                <w:i/>
              </w:rPr>
              <w:lastRenderedPageBreak/>
              <w:t>hogy csökkenjen</w:t>
            </w:r>
            <w:r w:rsidRPr="004A1F23">
              <w:t xml:space="preserve"> a kettős </w:t>
            </w:r>
            <w:r w:rsidRPr="004A1F23">
              <w:rPr>
                <w:b/>
                <w:i/>
              </w:rPr>
              <w:t>adóztatás</w:t>
            </w:r>
            <w:r w:rsidRPr="004A1F23">
              <w:t xml:space="preserve"> és az </w:t>
            </w:r>
            <w:r w:rsidRPr="004A1F23">
              <w:rPr>
                <w:b/>
                <w:i/>
              </w:rPr>
              <w:t>adóztatás kettős elmaradásának gyakorisága</w:t>
            </w:r>
            <w:r w:rsidRPr="004A1F23">
              <w:t>.</w:t>
            </w:r>
          </w:p>
        </w:tc>
        <w:tc>
          <w:tcPr>
            <w:tcW w:w="4876" w:type="dxa"/>
          </w:tcPr>
          <w:p w:rsidR="00125939" w:rsidRPr="004A1F23" w:rsidRDefault="00125939" w:rsidP="00474151">
            <w:pPr>
              <w:pStyle w:val="Normal6a"/>
            </w:pPr>
            <w:r w:rsidRPr="004A1F23">
              <w:lastRenderedPageBreak/>
              <w:t>(4)</w:t>
            </w:r>
            <w:r w:rsidRPr="004A1F23">
              <w:tab/>
              <w:t xml:space="preserve">Ez az irányelv szabályokat állapít meg annak érdekében, hogy biztosított legyen a szokásos piaci ár elvének Unió-szerte történő közös alkalmazása, javuljon az adórendszer kiszámíthatósága, </w:t>
            </w:r>
            <w:r w:rsidRPr="004A1F23">
              <w:rPr>
                <w:b/>
                <w:i/>
              </w:rPr>
              <w:lastRenderedPageBreak/>
              <w:t>csökkenjen az adóztatás kettős elmaradásának és</w:t>
            </w:r>
            <w:r w:rsidRPr="004A1F23">
              <w:t xml:space="preserve"> a kettős </w:t>
            </w:r>
            <w:r w:rsidRPr="004A1F23">
              <w:rPr>
                <w:b/>
                <w:i/>
              </w:rPr>
              <w:t>adóztatásnak a gyakorisága, csökkentve az adózási megfelelési költségeket</w:t>
            </w:r>
            <w:r w:rsidRPr="004A1F23">
              <w:t xml:space="preserve"> és </w:t>
            </w:r>
            <w:proofErr w:type="spellStart"/>
            <w:r w:rsidRPr="004A1F23">
              <w:rPr>
                <w:b/>
                <w:i/>
              </w:rPr>
              <w:t>és</w:t>
            </w:r>
            <w:proofErr w:type="spellEnd"/>
            <w:r w:rsidRPr="004A1F23">
              <w:rPr>
                <w:b/>
                <w:i/>
              </w:rPr>
              <w:t xml:space="preserve"> a peres eljárásokat, különösen </w:t>
            </w:r>
            <w:r w:rsidRPr="004A1F23">
              <w:t xml:space="preserve">az </w:t>
            </w:r>
            <w:r w:rsidRPr="004A1F23">
              <w:rPr>
                <w:b/>
                <w:i/>
              </w:rPr>
              <w:t>Unión belül határokon átnyúló tevékenységet folytató adófizetők esetében, és megelőzze az adóvisszaélést</w:t>
            </w:r>
            <w:r w:rsidRPr="004A1F23">
              <w: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7</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6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(6)</w:t>
            </w:r>
            <w:r w:rsidRPr="004A1F23">
              <w:tab/>
              <w:t>A kettős adóztatás mérséklésének biztosítása érdekében a tagállamoknak megfelelő mechanizmusokkal kell rendelkezniük, amelyek lehetővé teszik számukra, hogy amennyiben egy másik tagállamban vagy harmadik országbeli adójogrendszerben elsődleges korrekcióra kerül sor, kapcsolódó korrekciót végezhessenek el. A tagállamok számára mindenekelőtt a kapcsolódó korrekciók kölcsönös egyeztetési eljárások keretében történő elvégzését kell lehetővé tenni, azonban ezeket a korrekciókat nem csupán e konkrét, hanem a következő esetekben is engedélyezni kell: i. kölcsönös egyeztetési eljárás indítását nem igénylő, 180 napon belül lezárandó „gyorsított” eljárás, amennyiben nem kétséges, hogy az elsődleges korrekció indokolt; vagy ii. közös ellenőrzések vagy a nemzetközi együttműködés más formái, például többoldalú kockázatértékelési programok, úgy mint az európai bizalmi és együttműködési megközelítés (ETACA) és a nemzetközi megfelelésbiztosítási program (ICAP).</w:t>
            </w:r>
          </w:p>
        </w:tc>
        <w:tc>
          <w:tcPr>
            <w:tcW w:w="4876" w:type="dxa"/>
          </w:tcPr>
          <w:p w:rsidR="00125939" w:rsidRPr="004A1F23" w:rsidRDefault="00125939" w:rsidP="00474151">
            <w:pPr>
              <w:pStyle w:val="Normal6a"/>
            </w:pPr>
            <w:r w:rsidRPr="004A1F23">
              <w:t>(6)</w:t>
            </w:r>
            <w:r w:rsidRPr="004A1F23">
              <w:tab/>
              <w:t xml:space="preserve">A kettős adóztatás mérséklésének biztosítása érdekében a tagállamoknak megfelelő mechanizmusokkal kell rendelkezniük, amelyek lehetővé teszik számukra, hogy amennyiben egy másik tagállamban vagy harmadik országbeli adójogrendszerben elsődleges korrekcióra kerül sor, kapcsolódó korrekciót végezhessenek el. A tagállamok számára mindenekelőtt a kapcsolódó korrekciók kölcsönös egyeztetési eljárások keretében történő elvégzését kell lehetővé tenni, azonban ezeket a korrekciókat nem csupán e konkrét, hanem a következő esetekben is engedélyezni kell: i. kölcsönös egyeztetési eljárás indítását nem igénylő, 180 napon belül lezárandó „gyorsított” eljárás, amennyiben nem kétséges, hogy az elsődleges korrekció indokolt; vagy ii. közös ellenőrzések vagy a nemzetközi együttműködés más formái, például többoldalú kockázatértékelési programok, úgy mint az európai bizalmi és együttműködési megközelítés (ETACA) és a nemzetközi megfelelésbiztosítási program (ICAP). </w:t>
            </w:r>
            <w:r w:rsidRPr="004A1F23">
              <w:rPr>
                <w:b/>
                <w:i/>
              </w:rPr>
              <w:t xml:space="preserve">E célból a tagállamoknak alkalmazniuk kell a közigazgatási együttműködésről szóló irányelvben (DAC) előírt valamennyi eljárást és rendelkezést, különösen a harmadik és hatodik felülvizsgálatot, amely kiterjed az előzetes </w:t>
            </w:r>
            <w:proofErr w:type="spellStart"/>
            <w:r w:rsidRPr="004A1F23">
              <w:rPr>
                <w:b/>
                <w:i/>
              </w:rPr>
              <w:t>árképzési</w:t>
            </w:r>
            <w:proofErr w:type="spellEnd"/>
            <w:r w:rsidRPr="004A1F23">
              <w:rPr>
                <w:b/>
                <w:i/>
              </w:rPr>
              <w:t xml:space="preserve"> megállapodásokkal kapcsolatos </w:t>
            </w:r>
            <w:r w:rsidRPr="004A1F23">
              <w:rPr>
                <w:b/>
                <w:i/>
              </w:rPr>
              <w:lastRenderedPageBreak/>
              <w:t>információcserére, valamint a közvetítők vagy az érintett adózó által jelentett, adatszolgáltatási kötelezettség alá tartozó, határokon átnyúló konstrukciókra vonatkozó információcserére.</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8</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6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szCs w:val="24"/>
              </w:rPr>
            </w:pPr>
            <w:r w:rsidRPr="004A1F23">
              <w:rPr>
                <w:b/>
                <w:i/>
              </w:rPr>
              <w:t>(6a)</w:t>
            </w:r>
            <w:r w:rsidRPr="004A1F23">
              <w:rPr>
                <w:b/>
                <w:i/>
              </w:rPr>
              <w:tab/>
              <w:t>A jogviták számának esetleges növekedése miatt ez az irányelv olyan gyorsított mechanizmusok bevezetését írja elő, amelyek minden igényre választ adhatnak. A választottbírósági rendszernek gyorsnak kell lennie ahhoz, hogy megállapodásokat lehessen elérni, és ezáltal elkerülhetők legyenek az esetlegesen felmerülő problémák és viták.</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9</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6 b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szCs w:val="24"/>
              </w:rPr>
            </w:pPr>
            <w:r w:rsidRPr="004A1F23">
              <w:rPr>
                <w:b/>
                <w:i/>
              </w:rPr>
              <w:t>(6b)</w:t>
            </w:r>
            <w:r w:rsidRPr="004A1F23">
              <w:rPr>
                <w:b/>
                <w:i/>
              </w:rPr>
              <w:tab/>
              <w:t>A hozzáférhető vitarendezési mechanizmusok megléte alapvető fontosságú a határokon átnyúló kereskedelem szempontjából, ezáltal biztosítva az adózási biztonságot és kiküszöbölve az adófizetők kettős adóztatását. Az uniós választottbírósági egyezményben felvázolt kölcsönös megállapodási eljárások alkalmazásának megerősítése felgyorsíthatja az ügyek rövidebb időn belüli rendezését. E célból felkérjük a tagállamokat, hogy különítsenek el megfelelő forrásokat annak érdekében, hogy betartsák a határidőket, és kölcsönös egyeztető eljárások a kettős adóztatás felszámolásának hatékony eszközévé váljanak.</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10</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7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(7)</w:t>
            </w:r>
            <w:r w:rsidRPr="004A1F23">
              <w:tab/>
              <w:t>Jogos indokok szólhatnak amellett, hogy miért nem kerül sor a kapcsolódó korrekcióra, vagy az miért kisebb összegű, mint az elsődleges korrekció. A tagállamok különösen a következő esetekben nem engedélyezhetik a kapcsolódó korrekciókat: i. az elsődleges korrekció nem tekinthető összeegyeztethetőnek a szokásos piaci ár elvével; ii. az elsődleges korrekció eredményeként nem kerül sor azon nyereség adóztatására egy másik adójogrendszerben, amely tekintetében az érintett tagállamban a kapcsolt vállalkozás már adóköteles volt; és iii. amennyiben harmadik országbeli adójogrendszer érintett, és nincs hatályban adóegyezmény. Elsődleges korrekció hiányában a tagállamok csak a következők teljesülése esetén hajthatnak végre lefelé történő korrekciót: i. a lefelé történő korrekció összeegyeztethető a szokásos piaci ár elvével; ii. a lefelé történő korrekciónak megfelelő összeg szerepel a másik adójogrendszerben a kapcsolt vállalkozás nyereségében, így ott adóköteles; és iii. a lefelé történő korrekció elvégzésére irányuló szándékról tájékoztatták az érintett adójogrendszert. Az előzőekben említett rendelkezések célja a következők biztosítása: i. a tagállamok fenntarthatják a jogot annak értékelésére, hogy az elsődleges korrekció megfelel-e a szokásos piaci ár elvének; és ii. nem áll fenn sem kettős adóztatás, sem az adóztatás kettős elmaradása. A tagállamok nem teremthetnek az adóztatás kettős elmaradását eredményező helyzetet.</w:t>
            </w:r>
          </w:p>
        </w:tc>
        <w:tc>
          <w:tcPr>
            <w:tcW w:w="4876" w:type="dxa"/>
          </w:tcPr>
          <w:p w:rsidR="00125939" w:rsidRPr="004A1F23" w:rsidRDefault="00125939" w:rsidP="00474151">
            <w:pPr>
              <w:pStyle w:val="Normal6a"/>
              <w:rPr>
                <w:szCs w:val="24"/>
              </w:rPr>
            </w:pPr>
            <w:r w:rsidRPr="004A1F23">
              <w:t>(7)</w:t>
            </w:r>
            <w:r w:rsidRPr="004A1F23">
              <w:tab/>
              <w:t xml:space="preserve">Jogos indokok szólhatnak amellett, hogy miért nem kerül sor a kapcsolódó korrekcióra, vagy az miért kisebb összegű, mint az elsődleges korrekció. A tagállamok különösen a következő esetekben nem engedélyezhetik a kapcsolódó korrekciókat: i. az elsődleges korrekció nem tekinthető összeegyeztethetőnek a szokásos piaci ár elvével; ii. az elsődleges korrekció eredményeként nem kerül sor azon nyereség adóztatására egy másik adójogrendszerben, amely tekintetében az érintett tagállamban a kapcsolt vállalkozás már adóköteles volt; és iii. amennyiben harmadik országbeli adójogrendszer érintett, és nincs hatályban adóegyezmény. Elsődleges korrekció hiányában a tagállamok csak a következők teljesülése esetén hajthatnak végre lefelé történő korrekciót: i. a lefelé történő korrekció összeegyeztethető a szokásos piaci ár elvével, </w:t>
            </w:r>
            <w:r w:rsidRPr="004A1F23">
              <w:rPr>
                <w:b/>
                <w:bCs/>
                <w:i/>
                <w:iCs/>
              </w:rPr>
              <w:t>és nem vezet az adóztatás kettős elmaradásához;</w:t>
            </w:r>
            <w:r w:rsidRPr="004A1F23">
              <w:t xml:space="preserve"> ii. a lefelé történő korrekciónak megfelelő összeg szerepel a másik adójogrendszerben a kapcsolt vállalkozás nyereségében, így ott adóköteles; és iii. a lefelé történő korrekció elvégzésére irányuló szándékról tájékoztatták az érintett adójogrendszert. Az előzőekben említett rendelkezések célja a következők biztosítása: i. a tagállamok fenntarthatják a jogot annak értékelésére, hogy az elsődleges korrekció megfelel-e a szokásos piaci ár elvének; és ii. nem áll fenn sem kettős adóztatás, sem az adóztatás kettős elmaradása. A tagállamok nem teremthetnek az adóztatás kettős elmaradását eredményező helyzetet.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11</w:t>
      </w:r>
    </w:p>
    <w:p w:rsidR="00125939" w:rsidRPr="004A1F23" w:rsidRDefault="00125939" w:rsidP="00125939">
      <w:pPr>
        <w:pStyle w:val="NormalBold12b"/>
      </w:pPr>
      <w:r w:rsidRPr="004A1F23">
        <w:lastRenderedPageBreak/>
        <w:t>Irányelvre irányuló javaslat</w:t>
      </w:r>
    </w:p>
    <w:p w:rsidR="00125939" w:rsidRPr="004A1F23" w:rsidRDefault="00125939" w:rsidP="00125939">
      <w:pPr>
        <w:pStyle w:val="NormalBold"/>
      </w:pPr>
      <w:r w:rsidRPr="004A1F23">
        <w:t>13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(13)</w:t>
            </w:r>
            <w:r w:rsidRPr="004A1F23">
              <w:tab/>
              <w:t xml:space="preserve">A viták minimalizálása és az egész Unióban egységes megközelítés biztosítása érdekében ez az irányelv előírja továbbá, hogy az adózó esetében nem kerülhet sor korrekcióra, ha az eredményei az </w:t>
            </w:r>
            <w:proofErr w:type="spellStart"/>
            <w:r w:rsidRPr="004A1F23">
              <w:t>interkvartilis</w:t>
            </w:r>
            <w:proofErr w:type="spellEnd"/>
            <w:r w:rsidRPr="004A1F23">
              <w:t xml:space="preserve"> tartományba esnek, kivéve, ha az adóhatóság vagy az adózó bizonyítja, hogy az adott eset tényei és körülményei a tartományon belüli eltérő érték alkalmazását indokolják. Amennyiben egy ellenőrzött ügylet eredményei kívül esnek a szokásos piaci értéktartományon, az adóhatóságoknak korrigálniuk kell az összes eredmény mediánját, kivéve, ha az adózó vagy az adóhatóság bizonyítja, hogy a tartomány bármely más pontja az adott esetben megbízhatóbb szokásos piaci árat határoz meg.</w:t>
            </w:r>
          </w:p>
        </w:tc>
        <w:tc>
          <w:tcPr>
            <w:tcW w:w="4876" w:type="dxa"/>
          </w:tcPr>
          <w:p w:rsidR="00125939" w:rsidRPr="004A1F23" w:rsidRDefault="00125939" w:rsidP="00474151">
            <w:pPr>
              <w:pStyle w:val="Normal6a"/>
            </w:pPr>
            <w:r w:rsidRPr="004A1F23">
              <w:t>(13)</w:t>
            </w:r>
            <w:r w:rsidRPr="004A1F23">
              <w:tab/>
              <w:t>A viták minimalizálása</w:t>
            </w:r>
            <w:r w:rsidRPr="004A1F23">
              <w:rPr>
                <w:b/>
                <w:i/>
              </w:rPr>
              <w:t>, a vállalkozások kapcsolódó költségeinek csökkentése</w:t>
            </w:r>
            <w:r w:rsidRPr="004A1F23">
              <w:t xml:space="preserve"> és az egész Unióban egységes megközelítés biztosítása érdekében ez az irányelv előírja továbbá, hogy az adózó esetében nem kerülhet sor korrekcióra, ha az eredményei az </w:t>
            </w:r>
            <w:proofErr w:type="spellStart"/>
            <w:r w:rsidRPr="004A1F23">
              <w:t>interkvartilis</w:t>
            </w:r>
            <w:proofErr w:type="spellEnd"/>
            <w:r w:rsidRPr="004A1F23">
              <w:t xml:space="preserve"> tartományba esnek, kivéve, ha az adóhatóság vagy az adózó bizonyítja, hogy az adott eset tényei és körülményei a tartományon belüli eltérő érték alkalmazását indokolják. Amennyiben egy ellenőrzött ügylet eredményei kívül esnek a szokásos piaci értéktartományon, az adóhatóságoknak korrigálniuk kell az összes eredmény mediánját, kivéve, ha az adózó vagy az adóhatóság bizonyítja, hogy a tartomány bármely más pontja az adott esetben megbízhatóbb szokásos piaci árat határoz meg.</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12</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(14)</w:t>
            </w:r>
            <w:r w:rsidRPr="004A1F23">
              <w:tab/>
              <w:t xml:space="preserve">Az Unión belül határokon átnyúló tevékenységet folytató adófizetők szabályozásból eredő terheinek csökkentése érdekében továbbá közös megközelítést kell bevezetni a transzferárazásra vonatkozó dokumentáció tekintetében. Az OECD transzferár irányelvek „Dokumentáció” című V. fejezetét és az Európai Unióban található kapcsolt vállalkozások </w:t>
            </w:r>
            <w:proofErr w:type="spellStart"/>
            <w:r w:rsidRPr="004A1F23">
              <w:t>transzferárképzési</w:t>
            </w:r>
            <w:proofErr w:type="spellEnd"/>
            <w:r w:rsidRPr="004A1F23">
              <w:t xml:space="preserve"> dokumentációjára vonatkozó magatartási kódexet</w:t>
            </w:r>
            <w:r w:rsidRPr="004A1F23">
              <w:rPr>
                <w:vertAlign w:val="superscript"/>
              </w:rPr>
              <w:t>33</w:t>
            </w:r>
            <w:r w:rsidRPr="004A1F23">
              <w:t xml:space="preserve"> figyelembe véve egy egységes formanyomtatvány, a tartalomra és a nyelvi szabályokra, a vonatkozó időkeretekre és az adófizetőket tekintve az alkalmazási körre vonatkozó szabályok egyszerűsítenék </w:t>
            </w:r>
            <w:r w:rsidRPr="004A1F23">
              <w:lastRenderedPageBreak/>
              <w:t>a szabályozást, és potenciális költségmegtakarítást eredményeznének.</w:t>
            </w:r>
          </w:p>
        </w:tc>
        <w:tc>
          <w:tcPr>
            <w:tcW w:w="4876" w:type="dxa"/>
          </w:tcPr>
          <w:p w:rsidR="00125939" w:rsidRPr="004A1F23" w:rsidRDefault="00125939" w:rsidP="00474151">
            <w:pPr>
              <w:pStyle w:val="Normal6a"/>
            </w:pPr>
            <w:r w:rsidRPr="004A1F23">
              <w:lastRenderedPageBreak/>
              <w:t>(14)</w:t>
            </w:r>
            <w:r w:rsidRPr="004A1F23">
              <w:tab/>
              <w:t>Az Unión belül határokon átnyúló tevékenységet folytató adófizetők szabályozásból eredő terheinek csökkentése</w:t>
            </w:r>
            <w:r w:rsidRPr="004A1F23">
              <w:rPr>
                <w:b/>
                <w:i/>
              </w:rPr>
              <w:t>, valamint az adókikerülés kockázatának kezelése</w:t>
            </w:r>
            <w:r w:rsidRPr="004A1F23">
              <w:t xml:space="preserve"> érdekében továbbá közös megközelítést kell bevezetni a transzferárazásra vonatkozó dokumentáció tekintetében. Az OECD transzferár irányelvek „Dokumentáció” című V. fejezetét és az Európai Unióban található kapcsolt vállalkozások </w:t>
            </w:r>
            <w:proofErr w:type="spellStart"/>
            <w:r w:rsidRPr="004A1F23">
              <w:t>transzferárképzési</w:t>
            </w:r>
            <w:proofErr w:type="spellEnd"/>
            <w:r w:rsidRPr="004A1F23">
              <w:t xml:space="preserve"> dokumentációjára vonatkozó magatartási kódexet</w:t>
            </w:r>
            <w:r w:rsidRPr="004A1F23">
              <w:rPr>
                <w:vertAlign w:val="superscript"/>
              </w:rPr>
              <w:t>33</w:t>
            </w:r>
            <w:r w:rsidRPr="004A1F23">
              <w:t xml:space="preserve"> figyelembe véve egy egységes formanyomtatvány, a tartalomra és a nyelvi szabályokra, a vonatkozó időkeretekre és az adófizetőket tekintve az alkalmazási </w:t>
            </w:r>
            <w:r w:rsidRPr="004A1F23">
              <w:lastRenderedPageBreak/>
              <w:t xml:space="preserve">körre vonatkozó szabályok egyszerűsítenék a szabályozást, és potenciális költségmegtakarítást eredményeznének. </w:t>
            </w:r>
            <w:r w:rsidRPr="004A1F23">
              <w:rPr>
                <w:b/>
                <w:i/>
              </w:rPr>
              <w:t>Ezen irányelv adóhatóságok és vállalkozások általi alkalmazásának megkönnyítése érdekében is szükség van e kifejezések uniós szintű harmonizált értelmezésére. Ezért a tagállamoknak fel kell hatalmazniuk adóhatóságaikat arra, hogy hatékonyan kezeljék a transzferárazással kapcsolatos közös dokumentációs erőfeszítéseket.</w:t>
            </w:r>
          </w:p>
        </w:tc>
      </w:tr>
      <w:tr w:rsidR="00125939" w:rsidRPr="004A1F23" w:rsidTr="00474151">
        <w:trPr>
          <w:jc w:val="center"/>
        </w:trPr>
        <w:tc>
          <w:tcPr>
            <w:tcW w:w="4876" w:type="dxa"/>
          </w:tcPr>
          <w:p w:rsidR="00125939" w:rsidRPr="004A1F23" w:rsidRDefault="00125939" w:rsidP="00474151">
            <w:pPr>
              <w:pStyle w:val="Normal6a"/>
            </w:pPr>
            <w:r w:rsidRPr="004A1F23">
              <w:rPr>
                <w:b/>
                <w:i/>
              </w:rPr>
              <w:lastRenderedPageBreak/>
              <w:t>_________________</w:t>
            </w:r>
          </w:p>
        </w:tc>
        <w:tc>
          <w:tcPr>
            <w:tcW w:w="4876" w:type="dxa"/>
          </w:tcPr>
          <w:p w:rsidR="00125939" w:rsidRPr="004A1F23" w:rsidRDefault="00125939" w:rsidP="00474151">
            <w:pPr>
              <w:pStyle w:val="Normal6a"/>
            </w:pPr>
            <w:r w:rsidRPr="004A1F23">
              <w:rPr>
                <w:b/>
                <w:i/>
              </w:rPr>
              <w:t>_________________</w:t>
            </w:r>
          </w:p>
        </w:tc>
      </w:tr>
      <w:tr w:rsidR="00125939" w:rsidRPr="004A1F23" w:rsidTr="00474151">
        <w:trPr>
          <w:jc w:val="center"/>
        </w:trPr>
        <w:tc>
          <w:tcPr>
            <w:tcW w:w="4876" w:type="dxa"/>
          </w:tcPr>
          <w:p w:rsidR="00125939" w:rsidRPr="004A1F23" w:rsidRDefault="00125939" w:rsidP="00474151">
            <w:pPr>
              <w:pStyle w:val="Normal6a"/>
            </w:pPr>
            <w:r w:rsidRPr="004A1F23">
              <w:rPr>
                <w:vertAlign w:val="superscript"/>
              </w:rPr>
              <w:t>33</w:t>
            </w:r>
            <w:r w:rsidRPr="004A1F23">
              <w:t xml:space="preserve"> A Tanács és a tagállamok kormányainak a Tanács keretében ülésező képviselőinek állásfoglalása (2006. június 27.) az Európai Unióban található kapcsolt vállalkozások transzfer </w:t>
            </w:r>
            <w:proofErr w:type="spellStart"/>
            <w:r w:rsidRPr="004A1F23">
              <w:t>árképzési</w:t>
            </w:r>
            <w:proofErr w:type="spellEnd"/>
            <w:r w:rsidRPr="004A1F23">
              <w:t xml:space="preserve"> dokumentációjára (EU TPD) vonatkozó magatartási kódexről, 2006/C 176/01, </w:t>
            </w:r>
            <w:hyperlink r:id="rId9" w:history="1">
              <w:r w:rsidRPr="004A1F23">
                <w:rPr>
                  <w:rStyle w:val="Hyperlink"/>
                  <w:color w:val="auto"/>
                </w:rPr>
                <w:t>https://eur-lex.europa.eu/legal-content/</w:t>
              </w:r>
              <w:r w:rsidRPr="004A1F23">
                <w:rPr>
                  <w:rStyle w:val="Hyperlink"/>
                  <w:b/>
                  <w:i/>
                  <w:color w:val="auto"/>
                </w:rPr>
                <w:t>EN</w:t>
              </w:r>
              <w:r w:rsidRPr="004A1F23">
                <w:rPr>
                  <w:rStyle w:val="Hyperlink"/>
                  <w:color w:val="auto"/>
                </w:rPr>
                <w:t>/TXT/?uri=uriserv%3AOJ.C_.2006.176.01.0001.01.</w:t>
              </w:r>
              <w:r w:rsidRPr="004A1F23">
                <w:rPr>
                  <w:rStyle w:val="Hyperlink"/>
                  <w:b/>
                  <w:i/>
                  <w:color w:val="auto"/>
                </w:rPr>
                <w:t>ENG&amp;toc</w:t>
              </w:r>
              <w:r w:rsidRPr="004A1F23">
                <w:rPr>
                  <w:rStyle w:val="Hyperlink"/>
                  <w:color w:val="auto"/>
                </w:rPr>
                <w:t>=OJ%3AC%3A2006%3A176%3AFULL</w:t>
              </w:r>
            </w:hyperlink>
          </w:p>
        </w:tc>
        <w:tc>
          <w:tcPr>
            <w:tcW w:w="4876" w:type="dxa"/>
          </w:tcPr>
          <w:p w:rsidR="00125939" w:rsidRPr="004A1F23" w:rsidRDefault="00125939" w:rsidP="00474151">
            <w:pPr>
              <w:pStyle w:val="Normal6a"/>
            </w:pPr>
            <w:r w:rsidRPr="004A1F23">
              <w:rPr>
                <w:vertAlign w:val="superscript"/>
              </w:rPr>
              <w:t>33</w:t>
            </w:r>
            <w:r w:rsidRPr="004A1F23">
              <w:t xml:space="preserve"> A Tanács és a tagállamok kormányainak a Tanács keretében ülésező képviselőinek állásfoglalása (2006. június 27.) az Európai Unióban található kapcsolt vállalkozások transzfer </w:t>
            </w:r>
            <w:proofErr w:type="spellStart"/>
            <w:r w:rsidRPr="004A1F23">
              <w:t>árképzési</w:t>
            </w:r>
            <w:proofErr w:type="spellEnd"/>
            <w:r w:rsidRPr="004A1F23">
              <w:t xml:space="preserve"> dokumentációjára (EU TPD) vonatkozó magatartási kódexről, 2006/C 176/01, </w:t>
            </w:r>
            <w:hyperlink r:id="rId10" w:history="1">
              <w:r w:rsidRPr="004A1F23">
                <w:rPr>
                  <w:rStyle w:val="Hyperlink"/>
                  <w:color w:val="auto"/>
                </w:rPr>
                <w:t>https://eur-lex.europa.eu/legal-content/</w:t>
              </w:r>
              <w:r w:rsidRPr="004A1F23">
                <w:rPr>
                  <w:rStyle w:val="Hyperlink"/>
                  <w:b/>
                  <w:i/>
                  <w:color w:val="auto"/>
                </w:rPr>
                <w:t>HU</w:t>
              </w:r>
              <w:r w:rsidRPr="004A1F23">
                <w:rPr>
                  <w:rStyle w:val="Hyperlink"/>
                  <w:color w:val="auto"/>
                </w:rPr>
                <w:t>/TXT/?uri=uriserv%3AOJ.C_.2006.176.01.0001.01.</w:t>
              </w:r>
              <w:r w:rsidRPr="004A1F23">
                <w:rPr>
                  <w:rStyle w:val="Hyperlink"/>
                  <w:b/>
                  <w:i/>
                  <w:color w:val="auto"/>
                </w:rPr>
                <w:t>HUN&amp;toc</w:t>
              </w:r>
              <w:r w:rsidRPr="004A1F23">
                <w:rPr>
                  <w:rStyle w:val="Hyperlink"/>
                  <w:color w:val="auto"/>
                </w:rPr>
                <w:t>=OJ%3AC%3A2006%3A176%3AFULL</w:t>
              </w:r>
            </w:hyperlink>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13</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16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(16)</w:t>
            </w:r>
            <w:r w:rsidRPr="004A1F23">
              <w:tab/>
              <w:t xml:space="preserve">Annak érdekében, hogy nagyobb </w:t>
            </w:r>
            <w:proofErr w:type="spellStart"/>
            <w:r w:rsidRPr="004A1F23">
              <w:t>kiszámíthatóságot</w:t>
            </w:r>
            <w:proofErr w:type="spellEnd"/>
            <w:r w:rsidRPr="004A1F23">
              <w:t xml:space="preserve"> teremtsen az adófizetők számára és csökkentse a kettős adóztatás </w:t>
            </w:r>
            <w:r w:rsidRPr="004A1F23">
              <w:rPr>
                <w:b/>
                <w:i/>
              </w:rPr>
              <w:t>kockázatát, ez az irányelv lehetővé teszi további közös transzferárazási szabályok megállapítását végrehajtási jogi aktusok útján.</w:t>
            </w:r>
            <w:r w:rsidRPr="004A1F23">
              <w:t xml:space="preserve"> </w:t>
            </w:r>
            <w:r w:rsidRPr="004A1F23">
              <w:rPr>
                <w:b/>
                <w:i/>
              </w:rPr>
              <w:t>Ezeknek</w:t>
            </w:r>
            <w:r w:rsidRPr="004A1F23">
              <w:t xml:space="preserve"> a </w:t>
            </w:r>
            <w:r w:rsidRPr="004A1F23">
              <w:rPr>
                <w:b/>
                <w:i/>
              </w:rPr>
              <w:t>végrehajtási jogi aktusoknak egyértelmű képet kell adniuk az adófizetők számára arról, hogy az Unióban</w:t>
            </w:r>
            <w:r w:rsidRPr="004A1F23">
              <w:t xml:space="preserve"> az </w:t>
            </w:r>
            <w:r w:rsidRPr="004A1F23">
              <w:rPr>
                <w:b/>
                <w:i/>
              </w:rPr>
              <w:t>adóhatóságok mit tartanának elfogadhatónak meghatározott ügyletek esetében, és olyan úgynevezett „mentesítési szabályokat” kell biztosítaniuk, amelyek csökkentik</w:t>
            </w:r>
            <w:r w:rsidRPr="004A1F23">
              <w:t xml:space="preserve"> a </w:t>
            </w:r>
            <w:r w:rsidRPr="004A1F23">
              <w:rPr>
                <w:b/>
                <w:i/>
              </w:rPr>
              <w:t>szabályozásból eredő terheket és a viták számát.</w:t>
            </w:r>
            <w:r w:rsidRPr="004A1F23">
              <w:t xml:space="preserve"> </w:t>
            </w:r>
            <w:r w:rsidRPr="004A1F23">
              <w:rPr>
                <w:b/>
                <w:i/>
              </w:rPr>
              <w:t>Tekintettel</w:t>
            </w:r>
            <w:r w:rsidRPr="004A1F23">
              <w:t xml:space="preserve"> arra, hogy </w:t>
            </w:r>
            <w:r w:rsidRPr="004A1F23">
              <w:rPr>
                <w:b/>
                <w:i/>
              </w:rPr>
              <w:t xml:space="preserve">ezek </w:t>
            </w:r>
            <w:r w:rsidRPr="004A1F23">
              <w:t xml:space="preserve">az </w:t>
            </w:r>
            <w:r w:rsidRPr="004A1F23">
              <w:rPr>
                <w:b/>
                <w:i/>
              </w:rPr>
              <w:lastRenderedPageBreak/>
              <w:t>intézkedések milyen hatást gyakorolhatnak a közvetlen adózással kapcsolatos nemzeti végrehajtási és jogérvényesítési hatáskörökre és a kettős adóztatás vagy az adóztatás kettős elmaradásának elkerülését célzó két- vagy többoldalú adóügyi egyezmények alapján megszerzett adóztatási jogok gyakorlására, valamint tekintettel a tagállamok adóalapjára gyakorolt lehetséges hatásokra</w:t>
            </w:r>
            <w:r w:rsidRPr="004A1F23">
              <w:t xml:space="preserve">, </w:t>
            </w:r>
            <w:r w:rsidRPr="004A1F23">
              <w:rPr>
                <w:b/>
                <w:i/>
              </w:rPr>
              <w:t>a Tanácsra végrehajtási hatásköröket</w:t>
            </w:r>
            <w:r w:rsidRPr="004A1F23">
              <w:t xml:space="preserve"> kell </w:t>
            </w:r>
            <w:r w:rsidRPr="004A1F23">
              <w:rPr>
                <w:b/>
                <w:i/>
              </w:rPr>
              <w:t>ruházni</w:t>
            </w:r>
            <w:r w:rsidRPr="004A1F23">
              <w:t xml:space="preserve">, </w:t>
            </w:r>
            <w:r w:rsidRPr="004A1F23">
              <w:rPr>
                <w:b/>
                <w:i/>
              </w:rPr>
              <w:t>hogy a Bizottság javaslata alapján eljárva az ezen irányelv szerinti határozatokat fogadjon el</w:t>
            </w:r>
            <w:r w:rsidRPr="004A1F23">
              <w:t>.</w:t>
            </w:r>
          </w:p>
        </w:tc>
        <w:tc>
          <w:tcPr>
            <w:tcW w:w="4876" w:type="dxa"/>
          </w:tcPr>
          <w:p w:rsidR="00125939" w:rsidRPr="004A1F23" w:rsidRDefault="00125939" w:rsidP="00474151">
            <w:pPr>
              <w:pStyle w:val="Normal6a"/>
              <w:rPr>
                <w:szCs w:val="24"/>
              </w:rPr>
            </w:pPr>
            <w:r w:rsidRPr="004A1F23">
              <w:lastRenderedPageBreak/>
              <w:t>(16)</w:t>
            </w:r>
            <w:r w:rsidRPr="004A1F23">
              <w:tab/>
              <w:t xml:space="preserve">Annak érdekében, hogy nagyobb </w:t>
            </w:r>
            <w:proofErr w:type="spellStart"/>
            <w:r w:rsidRPr="004A1F23">
              <w:t>kiszámíthatóságot</w:t>
            </w:r>
            <w:proofErr w:type="spellEnd"/>
            <w:r w:rsidRPr="004A1F23">
              <w:t xml:space="preserve"> teremtsen az adófizetők számára és csökkentse a kettős adóztatás </w:t>
            </w:r>
            <w:r w:rsidRPr="004A1F23">
              <w:rPr>
                <w:b/>
                <w:i/>
              </w:rPr>
              <w:t>elmaradása és a kettős adóztatás kockázatát, és tekintettel arra, hogy a releváns intézkedések milyen hatást gyakorolhatnak</w:t>
            </w:r>
            <w:r w:rsidRPr="004A1F23">
              <w:t xml:space="preserve"> a </w:t>
            </w:r>
            <w:r w:rsidRPr="004A1F23">
              <w:rPr>
                <w:b/>
                <w:i/>
              </w:rPr>
              <w:t>közvetlen adózással kapcsolatos nemzeti végrehajtási és jogérvényesítési hatáskörökre és a kettős adóztatás vagy</w:t>
            </w:r>
            <w:r w:rsidRPr="004A1F23">
              <w:t xml:space="preserve"> az </w:t>
            </w:r>
            <w:r w:rsidRPr="004A1F23">
              <w:rPr>
                <w:b/>
                <w:i/>
              </w:rPr>
              <w:t>adóztatás kettős elmaradásának elkerülését célzó két- vagy többoldalú adóügyi egyezmények alapján megszerzett adóztatási jogok gyakorlására,</w:t>
            </w:r>
            <w:r w:rsidRPr="004A1F23">
              <w:t xml:space="preserve"> a </w:t>
            </w:r>
            <w:r w:rsidRPr="004A1F23">
              <w:rPr>
                <w:b/>
                <w:i/>
              </w:rPr>
              <w:t>Bizottságot fel kell hatalmazni</w:t>
            </w:r>
            <w:r w:rsidRPr="004A1F23">
              <w:t xml:space="preserve"> arra, hogy az </w:t>
            </w:r>
            <w:r w:rsidRPr="004A1F23">
              <w:rPr>
                <w:b/>
                <w:i/>
              </w:rPr>
              <w:t xml:space="preserve">Európai Unió működéséről szóló szerződés 290. </w:t>
            </w:r>
            <w:r w:rsidRPr="004A1F23">
              <w:rPr>
                <w:b/>
                <w:i/>
              </w:rPr>
              <w:lastRenderedPageBreak/>
              <w:t>cikkének megfelelően jogi aktusokat fogadjon el további közös transzferárazási szabályok megállapítását érdekében.</w:t>
            </w:r>
            <w:r w:rsidRPr="004A1F23">
              <w:t xml:space="preserve"> </w:t>
            </w:r>
            <w:r w:rsidRPr="004A1F23">
              <w:rPr>
                <w:b/>
                <w:i/>
              </w:rPr>
              <w:t>Ezeknek a felhatalmazáson alapuló jogi aktusoknak egyértelmű képet kell adniuk az adófizetők számára arról, hogy az Unióban az adóhatóságok mit tartanának elfogadhatónak meghatározott ügyletek esetében</w:t>
            </w:r>
            <w:r w:rsidRPr="004A1F23">
              <w:t xml:space="preserve">, </w:t>
            </w:r>
            <w:r w:rsidRPr="004A1F23">
              <w:rPr>
                <w:b/>
                <w:i/>
              </w:rPr>
              <w:t>és olyan úgynevezett „mentesítési szabályokat”</w:t>
            </w:r>
            <w:r w:rsidRPr="004A1F23">
              <w:t xml:space="preserve"> kell </w:t>
            </w:r>
            <w:r w:rsidRPr="004A1F23">
              <w:rPr>
                <w:b/>
                <w:i/>
              </w:rPr>
              <w:t>biztosítaniuk</w:t>
            </w:r>
            <w:r w:rsidRPr="004A1F23">
              <w:t xml:space="preserve">, </w:t>
            </w:r>
            <w:r w:rsidRPr="004A1F23">
              <w:rPr>
                <w:b/>
                <w:i/>
              </w:rPr>
              <w:t>amelyek csökkentik a szabályozásból eredő terheket és a viták számát</w:t>
            </w:r>
            <w:r w:rsidRPr="004A1F23">
              <w: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14</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16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(16a)</w:t>
            </w:r>
            <w:r w:rsidRPr="004A1F23">
              <w:tab/>
            </w:r>
            <w:r w:rsidRPr="004A1F23">
              <w:rPr>
                <w:b/>
                <w:i/>
              </w:rPr>
              <w:t>Mivel a transzferárazás idővel változik, alapvető fontosságú, hogy folyamatosan figyelemmel kísérjük, hogy szükség van-e ezen irányelv kiigazítására azzal a céllal, hogy garantáljuk a transzferárazási módszerek egységességét az Unión belül és a globális színtéren.</w:t>
            </w:r>
            <w:r w:rsidRPr="004A1F23">
              <w:t xml:space="preserve"> </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15</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16 b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(16b)</w:t>
            </w:r>
            <w:r w:rsidRPr="004A1F23">
              <w:tab/>
              <w:t xml:space="preserve"> </w:t>
            </w:r>
            <w:r w:rsidRPr="004A1F23">
              <w:rPr>
                <w:b/>
                <w:i/>
              </w:rPr>
              <w:t xml:space="preserve">Az EU közös </w:t>
            </w:r>
            <w:proofErr w:type="spellStart"/>
            <w:r w:rsidRPr="004A1F23">
              <w:rPr>
                <w:b/>
                <w:i/>
              </w:rPr>
              <w:t>transzferárfóruma</w:t>
            </w:r>
            <w:proofErr w:type="spellEnd"/>
            <w:r w:rsidRPr="004A1F23">
              <w:rPr>
                <w:b/>
                <w:i/>
              </w:rPr>
              <w:t xml:space="preserve"> gyakorlati megoldásokat kínált az összes tagállam transzferárazási gyakorlata által támasztott kihívásokra. A szóban forgó fórum tágabb megbízatással történő visszaállítása lehetővé teszi a tagállamok nemzeti szakértői, az üzleti közösség, a tudományos szakemberek és a civil társadalom képviselői számára, hogy támogassák a Bizottságot, ami olyan </w:t>
            </w:r>
            <w:r w:rsidRPr="004A1F23">
              <w:rPr>
                <w:b/>
                <w:i/>
              </w:rPr>
              <w:lastRenderedPageBreak/>
              <w:t>jogszabályokat eredményezhet, amelyek képesek elérni az Unión belüli vállalkozások biztonságának növelésére irányuló kitűzött célt.</w:t>
            </w:r>
            <w:r w:rsidRPr="004A1F23">
              <w:t xml:space="preserve"> </w:t>
            </w:r>
            <w:r w:rsidRPr="004A1F23">
              <w:rPr>
                <w:b/>
                <w:i/>
              </w:rPr>
              <w:t>Az adófizetők és az adóhatóságok közös álláspontja átfogóbb képet ad a gyakorlati megoldások megtalálásáról.</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16</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17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(17)</w:t>
            </w:r>
            <w:r w:rsidRPr="004A1F23">
              <w:tab/>
              <w:t>Az ezen irányelvben meghatározott új szabályok hatékonyságának értékelése érdekében a Bizottságnak a tagállamok által szolgáltatott információk és más rendelkezésre álló adatok alapján értékelést kell készítenie.</w:t>
            </w:r>
          </w:p>
        </w:tc>
        <w:tc>
          <w:tcPr>
            <w:tcW w:w="4876" w:type="dxa"/>
          </w:tcPr>
          <w:p w:rsidR="00125939" w:rsidRPr="004A1F23" w:rsidRDefault="00125939" w:rsidP="00474151">
            <w:pPr>
              <w:pStyle w:val="Normal6a"/>
            </w:pPr>
            <w:r w:rsidRPr="004A1F23">
              <w:t>(17)</w:t>
            </w:r>
            <w:r w:rsidRPr="004A1F23">
              <w:tab/>
              <w:t xml:space="preserve">Az ezen irányelvben meghatározott új szabályok hatékonyságának </w:t>
            </w:r>
            <w:r w:rsidRPr="004A1F23">
              <w:rPr>
                <w:b/>
                <w:i/>
              </w:rPr>
              <w:t xml:space="preserve">és hatásának </w:t>
            </w:r>
            <w:r w:rsidRPr="004A1F23">
              <w:t>értékelése érdekében a Bizottságnak a tagállamok által szolgáltatott információk és más rendelkezésre álló adatok alapján értékelést kell készítenie</w:t>
            </w:r>
            <w:r w:rsidRPr="004A1F23">
              <w:rPr>
                <w:b/>
                <w:i/>
              </w:rPr>
              <w:t>, amelyet adott esetben jogalkotási javaslat kísér</w:t>
            </w:r>
            <w:r w:rsidRPr="004A1F23">
              <w:t>.</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17</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17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szCs w:val="24"/>
              </w:rPr>
            </w:pPr>
            <w:r w:rsidRPr="004A1F23">
              <w:rPr>
                <w:b/>
                <w:i/>
              </w:rPr>
              <w:t>(17a)</w:t>
            </w:r>
            <w:r w:rsidRPr="004A1F23">
              <w:rPr>
                <w:b/>
                <w:i/>
              </w:rPr>
              <w:tab/>
              <w:t>A Bizottságnak felül kell vizsgálnia ezen irányelv alkalmazását azon multinacionális vállalatcsoportok esetében, amelyek a következő tanácsi irányelvre irányuló javaslat hatálya alá tartoznak: Vállalkozás Európában: Társaságiadó-keret (BEFIT).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18</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(18)</w:t>
            </w:r>
            <w:r w:rsidRPr="004A1F23">
              <w:tab/>
              <w:t xml:space="preserve">Annak érdekében, hogy a </w:t>
            </w:r>
            <w:r w:rsidRPr="004A1F23">
              <w:lastRenderedPageBreak/>
              <w:t>vállalkozások szükségtelen további adminisztratív terhek nélkül, közvetlenül élvezhessék a belső piac előnyeit, az ezen irányelvben meghatározott adórendelkezésekre vonatkozó információkat az (EU) 2018/1724 rendelettel</w:t>
            </w:r>
            <w:r w:rsidRPr="004A1F23">
              <w:rPr>
                <w:vertAlign w:val="superscript"/>
              </w:rPr>
              <w:t>34</w:t>
            </w:r>
            <w:r w:rsidRPr="004A1F23">
              <w:t xml:space="preserve"> összhangban az egységes digitális kapun (a továbbiakban: SDG) keresztül hozzáférhetővé kell tenni. Az SDG egyablakos rendszert biztosít a határokon átnyúló tevékenységet folytató felhasználók számára a belső piac működése szempontjából releváns információk, eljárások és segítségnyújtó szolgáltatások online nyújtásához.</w:t>
            </w:r>
          </w:p>
        </w:tc>
        <w:tc>
          <w:tcPr>
            <w:tcW w:w="4876" w:type="dxa"/>
          </w:tcPr>
          <w:p w:rsidR="00125939" w:rsidRPr="004A1F23" w:rsidRDefault="00125939" w:rsidP="00474151">
            <w:pPr>
              <w:pStyle w:val="Normal6a"/>
            </w:pPr>
            <w:r w:rsidRPr="004A1F23">
              <w:lastRenderedPageBreak/>
              <w:t>(18)</w:t>
            </w:r>
            <w:r w:rsidRPr="004A1F23">
              <w:tab/>
              <w:t xml:space="preserve">Annak érdekében, hogy a </w:t>
            </w:r>
            <w:r w:rsidRPr="004A1F23">
              <w:lastRenderedPageBreak/>
              <w:t>vállalkozások szükségtelen további adminisztratív terhek nélkül, közvetlenül élvezhessék a belső piac előnyeit, az ezen irányelvben meghatározott adórendelkezésekre vonatkozó információkat az (EU) 2018/1724 rendelettel</w:t>
            </w:r>
            <w:r w:rsidRPr="004A1F23">
              <w:rPr>
                <w:vertAlign w:val="superscript"/>
              </w:rPr>
              <w:t>34</w:t>
            </w:r>
            <w:r w:rsidRPr="004A1F23">
              <w:t xml:space="preserve"> összhangban az egységes digitális kapun (a továbbiakban: SDG) keresztül hozzáférhetővé kell tenni. Az SDG egyablakos rendszert biztosít a határokon átnyúló tevékenységet folytató felhasználók számára a belső piac működése szempontjából releváns információk, eljárások és segítségnyújtó szolgáltatások online nyújtásához. </w:t>
            </w:r>
            <w:r w:rsidRPr="004A1F23">
              <w:rPr>
                <w:b/>
                <w:i/>
              </w:rPr>
              <w:t>Ennek az egyablakos rendszernek intuitívnak és könnyen hozzáférhetőnek kell lennie, és rendelkeznie kell a szükséges eszközökkel, hogy ne jelentsen új bürokratikus akadályt a vállalkozások számára.</w:t>
            </w:r>
            <w:r w:rsidRPr="004A1F23">
              <w:t xml:space="preserve"> </w:t>
            </w:r>
            <w:r w:rsidRPr="004A1F23">
              <w:rPr>
                <w:b/>
                <w:i/>
              </w:rPr>
              <w:t>A hozzáadottérték-adóval (</w:t>
            </w:r>
            <w:proofErr w:type="spellStart"/>
            <w:r w:rsidRPr="004A1F23">
              <w:rPr>
                <w:b/>
                <w:i/>
              </w:rPr>
              <w:t>héa</w:t>
            </w:r>
            <w:proofErr w:type="spellEnd"/>
            <w:r w:rsidRPr="004A1F23">
              <w:rPr>
                <w:b/>
                <w:i/>
              </w:rPr>
              <w:t>) kapcsolatos egyablakos ügyintézési rendszer pozitív tapasztalatai jó példaként szolgálnak arra, hogy hogyan kell úgy kialakítani egy ilyen rendszert, hogy az megfelelően működjön.</w:t>
            </w:r>
          </w:p>
        </w:tc>
      </w:tr>
      <w:tr w:rsidR="00125939" w:rsidRPr="004A1F23" w:rsidTr="00474151">
        <w:trPr>
          <w:jc w:val="center"/>
        </w:trPr>
        <w:tc>
          <w:tcPr>
            <w:tcW w:w="4876" w:type="dxa"/>
          </w:tcPr>
          <w:p w:rsidR="00125939" w:rsidRPr="004A1F23" w:rsidRDefault="00125939" w:rsidP="00474151">
            <w:pPr>
              <w:pStyle w:val="Normal6a"/>
            </w:pPr>
            <w:r w:rsidRPr="004A1F23">
              <w:rPr>
                <w:b/>
                <w:i/>
              </w:rPr>
              <w:lastRenderedPageBreak/>
              <w:t>_________________</w:t>
            </w:r>
          </w:p>
        </w:tc>
        <w:tc>
          <w:tcPr>
            <w:tcW w:w="4876" w:type="dxa"/>
          </w:tcPr>
          <w:p w:rsidR="00125939" w:rsidRPr="004A1F23" w:rsidRDefault="00125939" w:rsidP="00474151">
            <w:pPr>
              <w:pStyle w:val="Normal6a"/>
            </w:pPr>
            <w:r w:rsidRPr="004A1F23">
              <w:rPr>
                <w:b/>
                <w:i/>
              </w:rPr>
              <w:t>_________________</w:t>
            </w:r>
          </w:p>
        </w:tc>
      </w:tr>
      <w:tr w:rsidR="00125939" w:rsidRPr="004A1F23" w:rsidTr="00474151">
        <w:trPr>
          <w:jc w:val="center"/>
        </w:trPr>
        <w:tc>
          <w:tcPr>
            <w:tcW w:w="4876" w:type="dxa"/>
          </w:tcPr>
          <w:p w:rsidR="00125939" w:rsidRPr="004A1F23" w:rsidRDefault="00125939" w:rsidP="00474151">
            <w:pPr>
              <w:pStyle w:val="Normal6a"/>
            </w:pPr>
            <w:r w:rsidRPr="004A1F23">
              <w:rPr>
                <w:vertAlign w:val="superscript"/>
              </w:rPr>
              <w:t>34</w:t>
            </w:r>
            <w:r w:rsidRPr="004A1F23">
              <w:t xml:space="preserve"> Az Európai Parlament és a Tanács (EU) 2018/1724 rendelete (2018. október 2.) az információkhoz, eljárásokhoz, valamint segítségnyújtó és problémamegoldó szolgáltatásokhoz hozzáférést biztosító egységes digitális kapu létrehozásáról, továbbá az 1024/2012/EU rendelet módosításáról (HL L 295., 2018.11.21., 1. o.).</w:t>
            </w:r>
          </w:p>
        </w:tc>
        <w:tc>
          <w:tcPr>
            <w:tcW w:w="4876" w:type="dxa"/>
          </w:tcPr>
          <w:p w:rsidR="00125939" w:rsidRPr="004A1F23" w:rsidRDefault="00125939" w:rsidP="00474151">
            <w:pPr>
              <w:pStyle w:val="Normal6a"/>
            </w:pPr>
            <w:r w:rsidRPr="004A1F23">
              <w:rPr>
                <w:vertAlign w:val="superscript"/>
              </w:rPr>
              <w:t>34</w:t>
            </w:r>
            <w:r w:rsidRPr="004A1F23">
              <w:t xml:space="preserve"> Az Európai Parlament és a Tanács (EU) 2018/1724 rendelete (2018. október 2.) az információkhoz, eljárásokhoz, valamint segítségnyújtó és problémamegoldó szolgáltatásokhoz hozzáférést biztosító egységes digitális kapu létrehozásáról, továbbá az 1024/2012/EU rendelet módosításáról (HL L 295., 2018.11.21., 1. o.).</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19</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21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(21)</w:t>
            </w:r>
            <w:r w:rsidRPr="004A1F23">
              <w:tab/>
              <w:t xml:space="preserve">Az adófizetők adminisztratív terheinek csökkentése érdekében a Bizottságot fel kell hatalmazni arra, hogy az Európai Unió működéséről szóló szerződés 290. cikkének megfelelően jogi </w:t>
            </w:r>
            <w:r w:rsidRPr="004A1F23">
              <w:lastRenderedPageBreak/>
              <w:t>aktusokat fogadjon el a transzferárazási dokumentációra vonatkozóan, közös formanyomtatványok kidolgozása, valamint a nyelvi követelmények, az e formanyomtatványok használatára kötelezett adózó típusa és a vonatkozó időkeretek meghatározása révén. Különösen fontos, hogy a Bizottság az előkészítő munkája során megfelelő konzultációkat folytasson, többek között szakértői szinten, és hogy e konzultációkra a jogalkotás minőségének javításáról szóló, 2016. április 13-i intézményközi megállapodásnak megfelelően kerüljön sor.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c>
          <w:tcPr>
            <w:tcW w:w="4876" w:type="dxa"/>
          </w:tcPr>
          <w:p w:rsidR="00125939" w:rsidRPr="004A1F23" w:rsidRDefault="00125939" w:rsidP="00474151">
            <w:pPr>
              <w:pStyle w:val="Normal6a"/>
            </w:pPr>
            <w:r w:rsidRPr="004A1F23">
              <w:lastRenderedPageBreak/>
              <w:t>(21)</w:t>
            </w:r>
            <w:r w:rsidRPr="004A1F23">
              <w:tab/>
              <w:t xml:space="preserve">Az adófizetők adminisztratív terheinek </w:t>
            </w:r>
            <w:r w:rsidRPr="004A1F23">
              <w:rPr>
                <w:b/>
                <w:i/>
              </w:rPr>
              <w:t xml:space="preserve">és az adókikerülés kockázatának </w:t>
            </w:r>
            <w:r w:rsidRPr="004A1F23">
              <w:t xml:space="preserve">csökkentése érdekében a Bizottságot fel kell hatalmazni arra, hogy az Európai Unió működéséről szóló szerződés </w:t>
            </w:r>
            <w:r w:rsidRPr="004A1F23">
              <w:lastRenderedPageBreak/>
              <w:t>290. cikkének megfelelően jogi aktusokat fogadjon el a transzferárazási dokumentációra vonatkozóan, közös formanyomtatványok kidolgozása, valamint a nyelvi követelmények, az e formanyomtatványok használatára kötelezett adózó típusa és a vonatkozó időkeretek meghatározása révén. Különösen fontos, hogy a Bizottság az előkészítő munkája során megfelelő konzultációkat folytasson, többek között szakértői szinten, és hogy e konzultációkra a jogalkotás minőségének javításáról szóló, 2016. április 13-i intézményközi megállapodásnak megfelelően kerüljön sor.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r>
    </w:tbl>
    <w:p w:rsidR="00125939" w:rsidRPr="004A1F23" w:rsidRDefault="00125939" w:rsidP="00125939"/>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20</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Ez az irányelv szabályokat állapít meg a tagállamok transzferárazási szabályainak harmonizálása és a szokásos piaci ár elve Unión belüli közös alkalmazásának biztosítása érdekében.</w:t>
            </w:r>
          </w:p>
        </w:tc>
        <w:tc>
          <w:tcPr>
            <w:tcW w:w="4876" w:type="dxa"/>
          </w:tcPr>
          <w:p w:rsidR="00125939" w:rsidRPr="004A1F23" w:rsidRDefault="00125939" w:rsidP="00474151">
            <w:pPr>
              <w:pStyle w:val="Normal6a"/>
              <w:rPr>
                <w:szCs w:val="24"/>
              </w:rPr>
            </w:pPr>
            <w:r w:rsidRPr="004A1F23">
              <w:t>Ez az irányelv szabályokat állapít meg a tagállamok transzferárazási szabályainak harmonizálása és a szokásos piaci ár elve Unión belüli közös alkalmazásának biztosítása érdekében</w:t>
            </w:r>
            <w:r w:rsidRPr="004A1F23">
              <w:rPr>
                <w:b/>
                <w:i/>
              </w:rPr>
              <w:t xml:space="preserve"> azzal a céllal, hogy a vállalkozások számára egyszerűsítse a megfelelés szabályainak betartását, miközben biztosítja az adószabályok érvényesítését az Unión belül</w:t>
            </w:r>
            <w:r w:rsidRPr="004A1F23">
              <w: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21</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3 cikk – 1 bekezdés – 1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lastRenderedPageBreak/>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1.</w:t>
            </w:r>
            <w:r w:rsidRPr="004A1F23">
              <w:tab/>
              <w:t xml:space="preserve">„a szokásos piaci ár elve”: az </w:t>
            </w:r>
            <w:r w:rsidRPr="004A1F23">
              <w:rPr>
                <w:b/>
                <w:i/>
              </w:rPr>
              <w:t>a</w:t>
            </w:r>
            <w:r w:rsidRPr="004A1F23">
              <w:t xml:space="preserve"> nemzetközi szabvány, amely előírja, hogy a kapcsolt vállalkozásoknak úgy kell egymással ügyleteket kötniük, mintha független harmadik felek lennének. Más szóval, a két kapcsolt vállalkozás közötti ügyleteknek azt az eredményt kell tükrözniük, amelyet akkor értek volna el, ha a felek nem lennének kapcsolatban egymással, azaz ha a felek függetlenek lennének egymástól, és az eredményt (árat vagy árrést) (nyílt) piaci erők határoznák meg;</w:t>
            </w:r>
          </w:p>
        </w:tc>
        <w:tc>
          <w:tcPr>
            <w:tcW w:w="4876" w:type="dxa"/>
          </w:tcPr>
          <w:p w:rsidR="00125939" w:rsidRPr="004A1F23" w:rsidRDefault="00125939" w:rsidP="00474151">
            <w:pPr>
              <w:pStyle w:val="Normal6a"/>
            </w:pPr>
            <w:r w:rsidRPr="004A1F23">
              <w:t>1.</w:t>
            </w:r>
            <w:r w:rsidRPr="004A1F23">
              <w:tab/>
              <w:t xml:space="preserve">„a szokásos piaci ár elve”: az </w:t>
            </w:r>
            <w:r w:rsidRPr="004A1F23">
              <w:rPr>
                <w:b/>
                <w:i/>
              </w:rPr>
              <w:t>az OECD-modellegyezmény 9. cikke szerinti</w:t>
            </w:r>
            <w:r w:rsidRPr="004A1F23">
              <w:t xml:space="preserve"> nemzetközi szabvány, amely előírja, hogy a kapcsolt vállalkozásoknak úgy kell egymással ügyleteket kötniük, mintha független harmadik felek lennének. Más szóval, a két kapcsolt vállalkozás közötti ügyleteknek azt az eredményt kell tükrözniük, amelyet akkor értek volna el, ha a felek nem lennének kapcsolatban egymással, azaz ha a felek függetlenek lennének egymástól, és az eredményt (árat vagy árrést) (nyílt) piaci erők határoznák meg;</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22</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3 cikk – 1 bekezdés – 18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18.</w:t>
            </w:r>
            <w:r w:rsidRPr="004A1F23">
              <w:tab/>
              <w:t>„OECD transzferár irányelvek”: az OECD Tanácsa által az OECD Tanácsának a kapcsolt vállalkozások közötti transzferárak meghatározásáró</w:t>
            </w:r>
            <w:r w:rsidR="0042629A">
              <w:t>l szóló tanácsi ajánlása [C(95)</w:t>
            </w:r>
            <w:bookmarkStart w:id="7" w:name="_GoBack"/>
            <w:bookmarkEnd w:id="7"/>
            <w:r w:rsidRPr="004A1F23">
              <w:t>126/</w:t>
            </w:r>
            <w:proofErr w:type="spellStart"/>
            <w:r w:rsidRPr="004A1F23">
              <w:t>Final</w:t>
            </w:r>
            <w:proofErr w:type="spellEnd"/>
            <w:r w:rsidRPr="004A1F23">
              <w:t xml:space="preserve">] alapján jóváhagyott, 2022. január 20-án módosított és az I. mellékletben foglalt „OECD transzferár irányelvek a multinacionális vállalkozások és az adóhatóságok számára” c. dokumentum, valamint ezen OECD transzferár irányelveknek </w:t>
            </w:r>
            <w:r w:rsidRPr="004A1F23">
              <w:rPr>
                <w:b/>
                <w:i/>
              </w:rPr>
              <w:t>az Unió által</w:t>
            </w:r>
            <w:r w:rsidRPr="004A1F23">
              <w:t xml:space="preserve"> az OECD adóügyi bizottsága keretében az EUMSZ 218. </w:t>
            </w:r>
            <w:r w:rsidRPr="004A1F23">
              <w:rPr>
                <w:b/>
                <w:i/>
              </w:rPr>
              <w:t>cikkének (9) bekezdése</w:t>
            </w:r>
            <w:r w:rsidRPr="004A1F23">
              <w:t xml:space="preserve"> szerinti uniós álláspont elfogadása révén jóváhagyott</w:t>
            </w:r>
            <w:r w:rsidRPr="004A1F23">
              <w:rPr>
                <w:b/>
                <w:i/>
              </w:rPr>
              <w:t xml:space="preserve"> bármely további módosítása</w:t>
            </w:r>
            <w:r w:rsidRPr="004A1F23">
              <w:t>;</w:t>
            </w:r>
          </w:p>
        </w:tc>
        <w:tc>
          <w:tcPr>
            <w:tcW w:w="4876" w:type="dxa"/>
          </w:tcPr>
          <w:p w:rsidR="00125939" w:rsidRPr="004A1F23" w:rsidRDefault="00125939" w:rsidP="00474151">
            <w:pPr>
              <w:pStyle w:val="Normal6a"/>
              <w:rPr>
                <w:szCs w:val="24"/>
              </w:rPr>
            </w:pPr>
            <w:r w:rsidRPr="004A1F23">
              <w:t>18.</w:t>
            </w:r>
            <w:r w:rsidRPr="004A1F23">
              <w:tab/>
              <w:t>„OECD transzferár irányelvek”: az OECD Tanácsa által az OECD Tanácsának a kapcsolt vállalkozások közötti transzferárak meghatározásáró</w:t>
            </w:r>
            <w:r w:rsidR="00C353E0">
              <w:t>l szóló tanácsi ajánlása [C(95)</w:t>
            </w:r>
            <w:r w:rsidRPr="004A1F23">
              <w:t>126/</w:t>
            </w:r>
            <w:proofErr w:type="spellStart"/>
            <w:r w:rsidRPr="004A1F23">
              <w:t>Final</w:t>
            </w:r>
            <w:proofErr w:type="spellEnd"/>
            <w:r w:rsidRPr="004A1F23">
              <w:t xml:space="preserve">] alapján jóváhagyott, 2022. január 20-án módosított és az I. mellékletben foglalt „OECD transzferár irányelvek a multinacionális vállalkozások és az adóhatóságok számára” c. dokumentum, valamint ezen OECD transzferár irányelveknek </w:t>
            </w:r>
            <w:r w:rsidRPr="004A1F23">
              <w:rPr>
                <w:b/>
                <w:i/>
              </w:rPr>
              <w:t>bármely olyan további módosítása, amelyet a tagállamok</w:t>
            </w:r>
            <w:r w:rsidRPr="004A1F23">
              <w:t xml:space="preserve"> az OECD adóügyi bizottsága keretében </w:t>
            </w:r>
            <w:r w:rsidRPr="004A1F23">
              <w:rPr>
                <w:b/>
                <w:i/>
              </w:rPr>
              <w:t xml:space="preserve">jóváhagytak, vagy az Unió </w:t>
            </w:r>
            <w:r w:rsidRPr="004A1F23">
              <w:t>az EUMSZ 218. </w:t>
            </w:r>
            <w:r w:rsidRPr="004A1F23">
              <w:rPr>
                <w:b/>
                <w:i/>
              </w:rPr>
              <w:t>cikke</w:t>
            </w:r>
            <w:r w:rsidRPr="004A1F23">
              <w:t xml:space="preserve"> szerinti uniós álláspont elfogadása révén jóváhagyott;</w:t>
            </w:r>
          </w:p>
        </w:tc>
      </w:tr>
    </w:tbl>
    <w:p w:rsidR="00125939" w:rsidRPr="004A1F23" w:rsidRDefault="00125939" w:rsidP="00125939"/>
    <w:p w:rsidR="00125939" w:rsidRPr="004A1F23" w:rsidRDefault="00125939" w:rsidP="00125939"/>
    <w:p w:rsidR="00125939" w:rsidRPr="004A1F23" w:rsidRDefault="00125939" w:rsidP="00125939">
      <w:pPr>
        <w:pStyle w:val="AmNumberTabs"/>
        <w:keepNext/>
      </w:pPr>
      <w:r w:rsidRPr="004A1F23">
        <w:lastRenderedPageBreak/>
        <w:t>Módosítás</w:t>
      </w:r>
      <w:r w:rsidRPr="004A1F23">
        <w:tab/>
      </w:r>
      <w:r w:rsidRPr="004A1F23">
        <w:tab/>
        <w:t>23</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rPr>
          <w:rStyle w:val="HideTWBExt"/>
          <w:b w:val="0"/>
          <w:noProof w:val="0"/>
          <w:vanish w:val="0"/>
          <w:color w:val="auto"/>
        </w:rPr>
      </w:pPr>
      <w:r w:rsidRPr="004A1F23">
        <w:t>3 cikk – 1a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szCs w:val="24"/>
              </w:rPr>
            </w:pPr>
            <w:r w:rsidRPr="004A1F23">
              <w:rPr>
                <w:b/>
                <w:bCs/>
                <w:i/>
                <w:iCs/>
              </w:rPr>
              <w:t>A Bizottság felhatalmazást kap arra, hogy a 18. cikknek megfelelően felhatalmazáson alapuló jogi aktusokat fogadjon el</w:t>
            </w:r>
            <w:r w:rsidRPr="004A1F23">
              <w:rPr>
                <w:b/>
                <w:i/>
              </w:rPr>
              <w:t xml:space="preserve"> az OECD transzferár irányelvek az e cikk 18. pontjában meghatározott azon további módosításainak </w:t>
            </w:r>
            <w:r w:rsidRPr="004A1F23">
              <w:rPr>
                <w:b/>
                <w:bCs/>
                <w:i/>
                <w:iCs/>
              </w:rPr>
              <w:t>beépítése érdekében</w:t>
            </w:r>
            <w:r w:rsidRPr="004A1F23">
              <w:rPr>
                <w:b/>
                <w:i/>
              </w:rPr>
              <w:t xml:space="preserve">, amelyeket a </w:t>
            </w:r>
            <w:r w:rsidRPr="004A1F23">
              <w:rPr>
                <w:b/>
                <w:bCs/>
                <w:i/>
                <w:iCs/>
              </w:rPr>
              <w:t>tagállamok</w:t>
            </w:r>
            <w:r w:rsidRPr="004A1F23">
              <w:rPr>
                <w:b/>
                <w:i/>
              </w:rPr>
              <w:t xml:space="preserve"> az OECD adóügyi bizottsága keretében jóváhagytak, vagy az Unió az EUMSZ 218. cikke szerinti uniós álláspont elfogadása révén jóváhagyott.</w:t>
            </w:r>
          </w:p>
        </w:tc>
      </w:tr>
    </w:tbl>
    <w:p w:rsidR="00125939" w:rsidRPr="004A1F23" w:rsidRDefault="00125939" w:rsidP="00125939">
      <w:pPr>
        <w:pStyle w:val="AmNumberTabs"/>
      </w:pPr>
      <w:r w:rsidRPr="004A1F23">
        <w:t>Módosítás</w:t>
      </w:r>
      <w:r w:rsidRPr="004A1F23">
        <w:tab/>
      </w:r>
      <w:r w:rsidRPr="004A1F23">
        <w:tab/>
        <w:t>24</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5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a)</w:t>
            </w:r>
            <w:r w:rsidRPr="004A1F23">
              <w:tab/>
              <w:t>a személy úgy vesz részt egy másik személy irányításában, hogy helyzete révén a másik személyre jelentős befolyást gyakorol;</w:t>
            </w:r>
          </w:p>
        </w:tc>
        <w:tc>
          <w:tcPr>
            <w:tcW w:w="4876" w:type="dxa"/>
          </w:tcPr>
          <w:p w:rsidR="00125939" w:rsidRPr="004A1F23" w:rsidRDefault="00125939" w:rsidP="00474151">
            <w:pPr>
              <w:pStyle w:val="Normal6a"/>
            </w:pPr>
            <w:r w:rsidRPr="004A1F23">
              <w:t>a)</w:t>
            </w:r>
            <w:r w:rsidRPr="004A1F23">
              <w:tab/>
              <w:t>a személy úgy vesz részt egy másik személy irányításában, hogy helyzete révén a másik személyre jelentős befolyást gyakorol;</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25</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6 cikk – 3 bekezdés – a pont – i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i.</w:t>
            </w:r>
            <w:r w:rsidRPr="004A1F23">
              <w:tab/>
              <w:t>fel kell tüntetnie minden olyan ténybeli és jogi körülményt, amely a másik adójogrendszerben elvégzett elsődleges korrekció szokásos piaci ár elve szerinti értékeléséhez szükséges;</w:t>
            </w:r>
          </w:p>
        </w:tc>
        <w:tc>
          <w:tcPr>
            <w:tcW w:w="4876" w:type="dxa"/>
          </w:tcPr>
          <w:p w:rsidR="00125939" w:rsidRPr="004A1F23" w:rsidRDefault="00125939" w:rsidP="00474151">
            <w:pPr>
              <w:pStyle w:val="Normal6a"/>
            </w:pPr>
            <w:r w:rsidRPr="004A1F23">
              <w:t>i.</w:t>
            </w:r>
            <w:r w:rsidRPr="004A1F23">
              <w:tab/>
              <w:t>fel kell tüntetnie minden olyan ténybeli és jogi körülményt, amely a másik adójogrendszerben elvégzett elsődleges korrekció szokásos piaci ár elve szerinti értékeléséhez szükséges</w:t>
            </w:r>
            <w:r w:rsidRPr="004A1F23">
              <w:rPr>
                <w:b/>
                <w:i/>
              </w:rPr>
              <w:t>, beleértve a tagállamokkal közölt vonatkozó transzferárazási dokumentációt is</w:t>
            </w:r>
            <w:r w:rsidRPr="004A1F23">
              <w: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26</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6 cikk – 3 bekezdés – a pont – ii a pont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rPr>
            </w:pPr>
            <w:proofErr w:type="spellStart"/>
            <w:r w:rsidRPr="004A1F23">
              <w:rPr>
                <w:b/>
                <w:i/>
              </w:rPr>
              <w:t>iia</w:t>
            </w:r>
            <w:proofErr w:type="spellEnd"/>
            <w:r w:rsidRPr="004A1F23">
              <w:rPr>
                <w:b/>
                <w:i/>
              </w:rPr>
              <w:t>.</w:t>
            </w:r>
            <w:r w:rsidRPr="004A1F23">
              <w:tab/>
            </w:r>
            <w:r w:rsidRPr="004A1F23">
              <w:rPr>
                <w:b/>
                <w:i/>
              </w:rPr>
              <w:t>a kiigazítás által érintett minden egyes tagállam tekintetében közli az (EU) 2022/2523</w:t>
            </w:r>
            <w:r w:rsidRPr="004A1F23">
              <w:rPr>
                <w:b/>
                <w:i/>
                <w:vertAlign w:val="superscript"/>
              </w:rPr>
              <w:t>1a</w:t>
            </w:r>
            <w:r w:rsidRPr="004A1F23">
              <w:rPr>
                <w:b/>
                <w:i/>
              </w:rPr>
              <w:t xml:space="preserve"> tanácsi irányelv értelmében kiszámított tényleges adókulcsot;</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rPr>
            </w:pPr>
            <w:r w:rsidRPr="004A1F23">
              <w:rPr>
                <w:b/>
                <w:i/>
              </w:rPr>
              <w:t>________________</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rPr>
            </w:pPr>
            <w:r w:rsidRPr="004A1F23">
              <w:rPr>
                <w:b/>
                <w:i/>
                <w:vertAlign w:val="superscript"/>
              </w:rPr>
              <w:t>1a</w:t>
            </w:r>
            <w:r w:rsidRPr="004A1F23">
              <w:rPr>
                <w:b/>
                <w:i/>
              </w:rPr>
              <w:t xml:space="preserve"> A Tanács (EU) 2022/2523 irányelve (2022. december 14.) az Unióban a multinacionális vállalatcsoportokra és a nagy volumenű belföldi vállalatcsoportokra vonatkozó globális minimum-adószint biztosításáról (HL L 328., 2022.12.22., 1. o.).</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27</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6 cikk – 3 bekezdés – b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b)</w:t>
            </w:r>
            <w:r w:rsidRPr="004A1F23">
              <w:tab/>
              <w:t xml:space="preserve">a tagállamok az adózó értesítésével </w:t>
            </w:r>
            <w:r w:rsidRPr="004A1F23">
              <w:rPr>
                <w:b/>
                <w:i/>
              </w:rPr>
              <w:t>30</w:t>
            </w:r>
            <w:r w:rsidRPr="004A1F23">
              <w:t xml:space="preserve"> napon belül elfogadhatónak nyilvánítják a kérelmet, amennyiben a (3) bekezdés a) pontjában előírt valamennyi információt benyújtották. Ugyanez a határidő áll rendelkezésre, hogy a tagállamok értesítsék az adózót a szükséges információk hiányáról, és az információk benyújtására legalább </w:t>
            </w:r>
            <w:r w:rsidRPr="004A1F23">
              <w:rPr>
                <w:b/>
                <w:i/>
              </w:rPr>
              <w:t>30</w:t>
            </w:r>
            <w:r w:rsidRPr="004A1F23">
              <w:t xml:space="preserve"> napot kell biztosítani. Ha az adózó a megadott határidőn belül nem nyújtja be a kért információkat, a </w:t>
            </w:r>
            <w:r w:rsidRPr="004A1F23">
              <w:rPr>
                <w:b/>
                <w:i/>
              </w:rPr>
              <w:t>kérelem</w:t>
            </w:r>
            <w:r w:rsidRPr="004A1F23">
              <w:t xml:space="preserve"> elfogadhatatlanként </w:t>
            </w:r>
            <w:r w:rsidRPr="004A1F23">
              <w:rPr>
                <w:b/>
                <w:i/>
              </w:rPr>
              <w:t>elutasítható;</w:t>
            </w:r>
          </w:p>
        </w:tc>
        <w:tc>
          <w:tcPr>
            <w:tcW w:w="4876" w:type="dxa"/>
          </w:tcPr>
          <w:p w:rsidR="00125939" w:rsidRPr="004A1F23" w:rsidRDefault="00125939" w:rsidP="00474151">
            <w:pPr>
              <w:pStyle w:val="Normal6a"/>
            </w:pPr>
            <w:r w:rsidRPr="004A1F23">
              <w:t>b)</w:t>
            </w:r>
            <w:r w:rsidRPr="004A1F23">
              <w:tab/>
              <w:t xml:space="preserve">a tagállamok az adózó értesítésével </w:t>
            </w:r>
            <w:r w:rsidRPr="004A1F23">
              <w:rPr>
                <w:b/>
                <w:i/>
              </w:rPr>
              <w:t>40</w:t>
            </w:r>
            <w:r w:rsidRPr="004A1F23">
              <w:t xml:space="preserve"> napon belül elfogadhatónak nyilvánítják a kérelmet, amennyiben a (3) bekezdés a) pontjában előírt valamennyi információt benyújtották. Ugyanez a határidő áll rendelkezésre, hogy a tagállamok értesítsék az adózót a szükséges információk hiányáról, és az információk benyújtására legalább </w:t>
            </w:r>
            <w:r w:rsidRPr="004A1F23">
              <w:rPr>
                <w:b/>
                <w:i/>
              </w:rPr>
              <w:t>40</w:t>
            </w:r>
            <w:r w:rsidRPr="004A1F23">
              <w:t xml:space="preserve"> napot kell biztosítani. Ha az adózó a megadott határidőn belül nem nyújtja be a kért információkat, a </w:t>
            </w:r>
            <w:r w:rsidRPr="004A1F23">
              <w:rPr>
                <w:b/>
                <w:i/>
              </w:rPr>
              <w:t>kérelmet</w:t>
            </w:r>
            <w:r w:rsidRPr="004A1F23">
              <w:t xml:space="preserve"> elfogadhatatlanként </w:t>
            </w:r>
            <w:r w:rsidRPr="004A1F23">
              <w:rPr>
                <w:b/>
                <w:i/>
              </w:rPr>
              <w:t>el kell utasítani.</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28</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6 cikk – 3 bekezdés – c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c)</w:t>
            </w:r>
            <w:r w:rsidRPr="004A1F23">
              <w:tab/>
              <w:t xml:space="preserve">a tagállamok biztosítják, hogy amennyiben a kettős adóztatás egy másik tagállamban elvégzett elsődleges korrekcióból ered, az eljárás az adózó kérelmének kézhezvételétől számított </w:t>
            </w:r>
            <w:r w:rsidRPr="004A1F23">
              <w:rPr>
                <w:b/>
                <w:i/>
              </w:rPr>
              <w:lastRenderedPageBreak/>
              <w:t>180</w:t>
            </w:r>
            <w:r w:rsidRPr="004A1F23">
              <w:t> napon belül, indokolással ellátott elfogadási vagy elutasítási okirat kiadásával lezáruljon;</w:t>
            </w:r>
          </w:p>
        </w:tc>
        <w:tc>
          <w:tcPr>
            <w:tcW w:w="4876" w:type="dxa"/>
          </w:tcPr>
          <w:p w:rsidR="00125939" w:rsidRPr="004A1F23" w:rsidRDefault="00125939" w:rsidP="00474151">
            <w:pPr>
              <w:pStyle w:val="Normal6a"/>
            </w:pPr>
            <w:r w:rsidRPr="004A1F23">
              <w:lastRenderedPageBreak/>
              <w:t>c)</w:t>
            </w:r>
            <w:r w:rsidRPr="004A1F23">
              <w:tab/>
              <w:t xml:space="preserve">a tagállamok biztosítják, hogy amennyiben a kettős adóztatás egy másik tagállamban elvégzett elsődleges korrekcióból ered, az eljárás az adózó kérelmének kézhezvételétől számított </w:t>
            </w:r>
            <w:r w:rsidRPr="004A1F23">
              <w:rPr>
                <w:b/>
                <w:i/>
              </w:rPr>
              <w:lastRenderedPageBreak/>
              <w:t>200</w:t>
            </w:r>
            <w:r w:rsidRPr="004A1F23">
              <w:t xml:space="preserve"> napon belül, indokolással ellátott elfogadási vagy elutasítási okirat kiadásával lezáruljon; </w:t>
            </w:r>
            <w:r w:rsidRPr="004A1F23">
              <w:rPr>
                <w:b/>
                <w:i/>
              </w:rPr>
              <w:t>Az eljárás egy alkalommal, 100 nappal meghosszabbítható, ha az adófizető és az érintett tagállamok mindegyike egyetért a meghosszabbítással.</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29</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6 cikk – 3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d)</w:t>
            </w:r>
            <w:r w:rsidRPr="004A1F23">
              <w:tab/>
              <w:t>elfogadás esetén a tagállamok tájékoztatják a másik érintett adójogrendszer adóhatóságát arról, hogy elismerik a kapcsolódó korrekciót;</w:t>
            </w:r>
          </w:p>
        </w:tc>
        <w:tc>
          <w:tcPr>
            <w:tcW w:w="4876" w:type="dxa"/>
          </w:tcPr>
          <w:p w:rsidR="00125939" w:rsidRPr="004A1F23" w:rsidRDefault="00125939" w:rsidP="00474151">
            <w:pPr>
              <w:pStyle w:val="Normal6a"/>
            </w:pPr>
            <w:r w:rsidRPr="004A1F23">
              <w:t>d)</w:t>
            </w:r>
            <w:r w:rsidRPr="004A1F23">
              <w:tab/>
              <w:t xml:space="preserve">elfogadás esetén a tagállamok </w:t>
            </w:r>
            <w:r w:rsidRPr="004A1F23">
              <w:rPr>
                <w:b/>
                <w:i/>
              </w:rPr>
              <w:t xml:space="preserve">haladéktalanul </w:t>
            </w:r>
            <w:r w:rsidRPr="004A1F23">
              <w:t>tájékoztatják a másik érintett adójogrendszer adóhatóságát arról, hogy elismerik a kapcsolódó korrekciót;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30</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6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3a.</w:t>
            </w:r>
            <w:r w:rsidRPr="004A1F23">
              <w:tab/>
            </w:r>
            <w:r w:rsidRPr="004A1F23">
              <w:rPr>
                <w:b/>
                <w:i/>
              </w:rPr>
              <w:t>Az (1), (2) és (3) bekezdés alkalmazásában a tagállamoknak a közigazgatási együttműködésről szóló irányelvben (DAC) előírt valamennyi rendelkezésre álló eljárást és rendelkezést alkalmazniuk kell.</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31</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 xml:space="preserve">6 cikk – 5 bekezdés – a </w:t>
      </w:r>
      <w:proofErr w:type="spellStart"/>
      <w:r w:rsidRPr="004A1F23">
        <w:t>a</w:t>
      </w:r>
      <w:proofErr w:type="spellEnd"/>
      <w:r w:rsidRPr="004A1F23">
        <w:t xml:space="preserve"> pont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szCs w:val="24"/>
              </w:rPr>
            </w:pPr>
            <w:proofErr w:type="spellStart"/>
            <w:r w:rsidRPr="004A1F23">
              <w:rPr>
                <w:b/>
                <w:i/>
              </w:rPr>
              <w:t>aa</w:t>
            </w:r>
            <w:proofErr w:type="spellEnd"/>
            <w:r w:rsidRPr="004A1F23">
              <w:rPr>
                <w:b/>
                <w:i/>
              </w:rPr>
              <w:t>)</w:t>
            </w:r>
            <w:r w:rsidRPr="004A1F23">
              <w:rPr>
                <w:b/>
                <w:i/>
              </w:rPr>
              <w:tab/>
              <w:t>a lefelé irányuló kiigazítás nem vezet az adóztatás kettős elmaradásához, ami azt jelenti, hogy a lefelé irányuló kiigazítást a másik joghatóságban működő kapcsolt vállalkozás adóköteles nyeresége tartalmazza;</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32</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11 cikk – 3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a)</w:t>
            </w:r>
            <w:r w:rsidRPr="004A1F23">
              <w:tab/>
              <w:t>az összehasonlított ügyletek vagy az ilyen ügyleteket végrehajtó vállalkozások közötti különbségek (ha vannak ilyenek) egyike sem befolyásolhatja lényegesen a nyílt piaci árat;</w:t>
            </w:r>
          </w:p>
        </w:tc>
        <w:tc>
          <w:tcPr>
            <w:tcW w:w="4876" w:type="dxa"/>
          </w:tcPr>
          <w:p w:rsidR="00125939" w:rsidRPr="004A1F23" w:rsidRDefault="00125939" w:rsidP="00474151">
            <w:pPr>
              <w:pStyle w:val="Normal6a"/>
            </w:pPr>
            <w:r w:rsidRPr="004A1F23">
              <w:t>a)</w:t>
            </w:r>
            <w:r w:rsidRPr="004A1F23">
              <w:tab/>
              <w:t>az összehasonlított ügyletek vagy az ilyen ügyleteket végrehajtó vállalkozások közötti különbségek (ha vannak ilyenek) egyike sem befolyásolhatja lényegesen a nyílt piaci árat</w:t>
            </w:r>
            <w:r w:rsidRPr="004A1F23">
              <w:rPr>
                <w:b/>
                <w:i/>
              </w:rPr>
              <w:t xml:space="preserve"> vagy árrést</w:t>
            </w:r>
            <w:r w:rsidRPr="004A1F23">
              <w:t>;</w:t>
            </w:r>
          </w:p>
        </w:tc>
      </w:tr>
    </w:tbl>
    <w:p w:rsidR="00125939" w:rsidRPr="004A1F23" w:rsidRDefault="00125939" w:rsidP="00125939"/>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33</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14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(2)</w:t>
            </w:r>
            <w:r w:rsidRPr="004A1F23">
              <w:tab/>
            </w:r>
            <w:r w:rsidRPr="004A1F23">
              <w:rPr>
                <w:b/>
                <w:i/>
              </w:rPr>
              <w:t>Az adórendszer nagyobb kiszámíthatósága és</w:t>
            </w:r>
            <w:r w:rsidRPr="004A1F23">
              <w:t xml:space="preserve"> a </w:t>
            </w:r>
            <w:r w:rsidRPr="004A1F23">
              <w:rPr>
                <w:b/>
                <w:i/>
              </w:rPr>
              <w:t>kettős adóztatás kockázatának csökkentése érdekében</w:t>
            </w:r>
            <w:r w:rsidRPr="004A1F23">
              <w:t xml:space="preserve"> a </w:t>
            </w:r>
            <w:r w:rsidRPr="004A1F23">
              <w:rPr>
                <w:b/>
                <w:i/>
              </w:rPr>
              <w:t>Tanács további</w:t>
            </w:r>
            <w:r w:rsidRPr="004A1F23">
              <w:t xml:space="preserve">, </w:t>
            </w:r>
            <w:r w:rsidRPr="004A1F23">
              <w:rPr>
                <w:b/>
                <w:i/>
              </w:rPr>
              <w:t>az OECD</w:t>
            </w:r>
            <w:r w:rsidRPr="004A1F23">
              <w:t xml:space="preserve"> transzferár irányelvekkel összhangban lévő szabályokat </w:t>
            </w:r>
            <w:r w:rsidRPr="004A1F23">
              <w:rPr>
                <w:b/>
                <w:i/>
              </w:rPr>
              <w:t>állapíthat</w:t>
            </w:r>
            <w:r w:rsidRPr="004A1F23">
              <w:t xml:space="preserve"> meg arra vonatkozóan, hogy a szokásos piaci ár elvét és az ezen irányelv II. fejezetében meghatározott egyéb rendelkezéseket hogyan kell alkalmazni a konkrét ügyletekre</w:t>
            </w:r>
            <w:r w:rsidRPr="004A1F23">
              <w:rPr>
                <w:b/>
                <w:i/>
              </w:rPr>
              <w:t>.</w:t>
            </w:r>
            <w:r w:rsidRPr="004A1F23">
              <w:t xml:space="preserve"> </w:t>
            </w:r>
            <w:r w:rsidRPr="004A1F23">
              <w:rPr>
                <w:b/>
                <w:i/>
              </w:rPr>
              <w:t>Ilyen konkrét ügyletek a következők:</w:t>
            </w:r>
          </w:p>
        </w:tc>
        <w:tc>
          <w:tcPr>
            <w:tcW w:w="4876" w:type="dxa"/>
          </w:tcPr>
          <w:p w:rsidR="00125939" w:rsidRPr="004A1F23" w:rsidRDefault="00125939" w:rsidP="00474151">
            <w:pPr>
              <w:pStyle w:val="Normal6a"/>
              <w:rPr>
                <w:szCs w:val="24"/>
              </w:rPr>
            </w:pPr>
            <w:r w:rsidRPr="004A1F23">
              <w:t>(2)</w:t>
            </w:r>
            <w:r w:rsidRPr="004A1F23">
              <w:tab/>
            </w:r>
            <w:r w:rsidRPr="004A1F23">
              <w:rPr>
                <w:b/>
                <w:i/>
              </w:rPr>
              <w:t>A Bizottság felhatalmazást kap arra, hogy</w:t>
            </w:r>
            <w:r w:rsidRPr="004A1F23">
              <w:t xml:space="preserve"> a </w:t>
            </w:r>
            <w:r w:rsidRPr="004A1F23">
              <w:rPr>
                <w:b/>
                <w:i/>
              </w:rPr>
              <w:t>18. cikknek megfelelően felhatalmazáson alapuló jogi aktusokat fogadjon el abból</w:t>
            </w:r>
            <w:r w:rsidRPr="004A1F23">
              <w:t xml:space="preserve"> a </w:t>
            </w:r>
            <w:r w:rsidRPr="004A1F23">
              <w:rPr>
                <w:b/>
                <w:i/>
              </w:rPr>
              <w:t>célból, hogy az OECD-től vagy az Egyesült Nemzetek Szervezetétől származó</w:t>
            </w:r>
            <w:r w:rsidRPr="004A1F23">
              <w:t xml:space="preserve">, </w:t>
            </w:r>
            <w:r w:rsidRPr="004A1F23">
              <w:rPr>
                <w:b/>
                <w:i/>
              </w:rPr>
              <w:t>nemzetközileg ajánlott legfrissebb</w:t>
            </w:r>
            <w:r w:rsidRPr="004A1F23">
              <w:t xml:space="preserve"> transzferár irányelvekkel összhangban lévő</w:t>
            </w:r>
            <w:r w:rsidRPr="004A1F23">
              <w:rPr>
                <w:b/>
                <w:i/>
              </w:rPr>
              <w:t>, további</w:t>
            </w:r>
            <w:r w:rsidRPr="004A1F23">
              <w:t xml:space="preserve"> szabályokat </w:t>
            </w:r>
            <w:r w:rsidRPr="004A1F23">
              <w:rPr>
                <w:b/>
                <w:i/>
              </w:rPr>
              <w:t>állapítson</w:t>
            </w:r>
            <w:r w:rsidRPr="004A1F23">
              <w:t xml:space="preserve"> meg arra vonatkozóan, hogy a szokásos piaci ár elvét és az ezen irányelv II. fejezetében meghatározott egyéb rendelkezéseket hogyan kell alkalmazni a konkrét ügyletekre</w:t>
            </w:r>
            <w:r w:rsidRPr="004A1F23">
              <w:rPr>
                <w:b/>
                <w:i/>
              </w:rPr>
              <w:t>, az adórendszer nagyobb kiszámíthatósága és az adóztatás kettős elmaradása és</w:t>
            </w:r>
            <w:r w:rsidRPr="004A1F23">
              <w:t xml:space="preserve"> a </w:t>
            </w:r>
            <w:r w:rsidRPr="004A1F23">
              <w:rPr>
                <w:b/>
                <w:i/>
              </w:rPr>
              <w:t>kettős adóztatás kockázatának, valamint az adójogi viták és az adóvisszaélések csökkentése érdekében.</w:t>
            </w:r>
          </w:p>
        </w:tc>
      </w:tr>
      <w:tr w:rsidR="00125939" w:rsidRPr="004A1F23" w:rsidTr="00474151">
        <w:trPr>
          <w:jc w:val="center"/>
        </w:trPr>
        <w:tc>
          <w:tcPr>
            <w:tcW w:w="4876" w:type="dxa"/>
          </w:tcPr>
          <w:p w:rsidR="00125939" w:rsidRPr="004A1F23" w:rsidRDefault="00125939" w:rsidP="00474151">
            <w:pPr>
              <w:pStyle w:val="Normal6a"/>
            </w:pPr>
            <w:r w:rsidRPr="004A1F23">
              <w:rPr>
                <w:b/>
                <w:i/>
              </w:rPr>
              <w:t>a)</w:t>
            </w:r>
            <w:r w:rsidRPr="004A1F23">
              <w:rPr>
                <w:b/>
                <w:i/>
              </w:rPr>
              <w:tab/>
              <w:t>immateriális javak vagy immateriális javakhoz fűződő jogok kapcsolt vállalkozások közötti átruházása, beleértve a nehezen értékelhető immateriális javakat is;</w:t>
            </w:r>
          </w:p>
        </w:tc>
        <w:tc>
          <w:tcPr>
            <w:tcW w:w="4876" w:type="dxa"/>
          </w:tcPr>
          <w:p w:rsidR="00125939" w:rsidRPr="004A1F23" w:rsidRDefault="00125939" w:rsidP="00474151">
            <w:pPr>
              <w:pStyle w:val="Normal6a"/>
              <w:rPr>
                <w:szCs w:val="24"/>
              </w:rPr>
            </w:pPr>
          </w:p>
        </w:tc>
      </w:tr>
      <w:tr w:rsidR="00125939" w:rsidRPr="004A1F23" w:rsidTr="00474151">
        <w:trPr>
          <w:jc w:val="center"/>
        </w:trPr>
        <w:tc>
          <w:tcPr>
            <w:tcW w:w="4876" w:type="dxa"/>
          </w:tcPr>
          <w:p w:rsidR="00125939" w:rsidRPr="004A1F23" w:rsidRDefault="00125939" w:rsidP="00474151">
            <w:pPr>
              <w:pStyle w:val="Normal6a"/>
              <w:rPr>
                <w:b/>
                <w:i/>
              </w:rPr>
            </w:pPr>
            <w:r w:rsidRPr="004A1F23">
              <w:rPr>
                <w:b/>
                <w:i/>
              </w:rPr>
              <w:lastRenderedPageBreak/>
              <w:t>b)</w:t>
            </w:r>
            <w:r w:rsidRPr="004A1F23">
              <w:rPr>
                <w:b/>
                <w:i/>
              </w:rPr>
              <w:tab/>
              <w:t>szolgáltatások nyújtása a kapcsolt vállalkozások között, beleértve a marketing- és forgalmazási szolgáltatások nyújtását is;</w:t>
            </w:r>
          </w:p>
        </w:tc>
        <w:tc>
          <w:tcPr>
            <w:tcW w:w="4876" w:type="dxa"/>
          </w:tcPr>
          <w:p w:rsidR="00125939" w:rsidRPr="004A1F23" w:rsidRDefault="00125939" w:rsidP="00474151">
            <w:pPr>
              <w:pStyle w:val="Normal6a"/>
              <w:rPr>
                <w:szCs w:val="24"/>
              </w:rPr>
            </w:pPr>
          </w:p>
        </w:tc>
      </w:tr>
      <w:tr w:rsidR="00125939" w:rsidRPr="004A1F23" w:rsidTr="00474151">
        <w:trPr>
          <w:jc w:val="center"/>
        </w:trPr>
        <w:tc>
          <w:tcPr>
            <w:tcW w:w="4876" w:type="dxa"/>
          </w:tcPr>
          <w:p w:rsidR="00125939" w:rsidRPr="004A1F23" w:rsidRDefault="00125939" w:rsidP="00474151">
            <w:pPr>
              <w:pStyle w:val="Normal6a"/>
              <w:rPr>
                <w:b/>
                <w:i/>
              </w:rPr>
            </w:pPr>
            <w:r w:rsidRPr="004A1F23">
              <w:rPr>
                <w:b/>
                <w:i/>
              </w:rPr>
              <w:t>c)</w:t>
            </w:r>
            <w:r w:rsidRPr="004A1F23">
              <w:rPr>
                <w:b/>
                <w:i/>
              </w:rPr>
              <w:tab/>
              <w:t>kapcsolt vállalkozások közötti költségmegosztási megállapodások;</w:t>
            </w:r>
          </w:p>
        </w:tc>
        <w:tc>
          <w:tcPr>
            <w:tcW w:w="4876" w:type="dxa"/>
          </w:tcPr>
          <w:p w:rsidR="00125939" w:rsidRPr="004A1F23" w:rsidRDefault="00125939" w:rsidP="00474151">
            <w:pPr>
              <w:pStyle w:val="Normal6a"/>
              <w:rPr>
                <w:szCs w:val="24"/>
              </w:rPr>
            </w:pPr>
          </w:p>
        </w:tc>
      </w:tr>
      <w:tr w:rsidR="00125939" w:rsidRPr="004A1F23" w:rsidTr="00474151">
        <w:trPr>
          <w:jc w:val="center"/>
        </w:trPr>
        <w:tc>
          <w:tcPr>
            <w:tcW w:w="4876" w:type="dxa"/>
          </w:tcPr>
          <w:p w:rsidR="00125939" w:rsidRPr="004A1F23" w:rsidRDefault="00125939" w:rsidP="00474151">
            <w:pPr>
              <w:pStyle w:val="Normal6a"/>
              <w:rPr>
                <w:b/>
                <w:i/>
              </w:rPr>
            </w:pPr>
            <w:r w:rsidRPr="004A1F23">
              <w:rPr>
                <w:b/>
                <w:i/>
              </w:rPr>
              <w:t>d)</w:t>
            </w:r>
            <w:r w:rsidRPr="004A1F23">
              <w:rPr>
                <w:b/>
                <w:i/>
              </w:rPr>
              <w:tab/>
              <w:t>üzleti szerkezetátalakítással összefüggő, kapcsolt vállalkozások közötti ügyletek;</w:t>
            </w:r>
          </w:p>
        </w:tc>
        <w:tc>
          <w:tcPr>
            <w:tcW w:w="4876" w:type="dxa"/>
          </w:tcPr>
          <w:p w:rsidR="00125939" w:rsidRPr="004A1F23" w:rsidRDefault="00125939" w:rsidP="00474151">
            <w:pPr>
              <w:pStyle w:val="Normal6a"/>
              <w:rPr>
                <w:szCs w:val="24"/>
              </w:rPr>
            </w:pPr>
          </w:p>
        </w:tc>
      </w:tr>
      <w:tr w:rsidR="00125939" w:rsidRPr="004A1F23" w:rsidTr="00474151">
        <w:trPr>
          <w:jc w:val="center"/>
        </w:trPr>
        <w:tc>
          <w:tcPr>
            <w:tcW w:w="4876" w:type="dxa"/>
          </w:tcPr>
          <w:p w:rsidR="00125939" w:rsidRPr="004A1F23" w:rsidRDefault="00125939" w:rsidP="00474151">
            <w:pPr>
              <w:pStyle w:val="Normal6a"/>
              <w:rPr>
                <w:b/>
                <w:i/>
              </w:rPr>
            </w:pPr>
            <w:r w:rsidRPr="004A1F23">
              <w:rPr>
                <w:b/>
                <w:i/>
              </w:rPr>
              <w:t>e)</w:t>
            </w:r>
            <w:r w:rsidRPr="004A1F23">
              <w:rPr>
                <w:b/>
                <w:i/>
              </w:rPr>
              <w:tab/>
              <w:t>pénzügyi tranzakciók;</w:t>
            </w:r>
          </w:p>
        </w:tc>
        <w:tc>
          <w:tcPr>
            <w:tcW w:w="4876" w:type="dxa"/>
          </w:tcPr>
          <w:p w:rsidR="00125939" w:rsidRPr="004A1F23" w:rsidRDefault="00125939" w:rsidP="00474151">
            <w:pPr>
              <w:pStyle w:val="Normal6a"/>
              <w:rPr>
                <w:szCs w:val="24"/>
              </w:rPr>
            </w:pPr>
          </w:p>
        </w:tc>
      </w:tr>
      <w:tr w:rsidR="00125939" w:rsidRPr="004A1F23" w:rsidTr="00474151">
        <w:trPr>
          <w:jc w:val="center"/>
        </w:trPr>
        <w:tc>
          <w:tcPr>
            <w:tcW w:w="4876" w:type="dxa"/>
          </w:tcPr>
          <w:p w:rsidR="00125939" w:rsidRPr="004A1F23" w:rsidRDefault="00125939" w:rsidP="00474151">
            <w:pPr>
              <w:pStyle w:val="Normal6a"/>
              <w:rPr>
                <w:b/>
                <w:i/>
              </w:rPr>
            </w:pPr>
            <w:r w:rsidRPr="004A1F23">
              <w:rPr>
                <w:b/>
                <w:i/>
              </w:rPr>
              <w:t>f)</w:t>
            </w:r>
            <w:r w:rsidRPr="004A1F23">
              <w:rPr>
                <w:b/>
                <w:i/>
              </w:rPr>
              <w:tab/>
              <w:t>a központ és állandó telephelyei közötti ügyletek.</w:t>
            </w:r>
          </w:p>
        </w:tc>
        <w:tc>
          <w:tcPr>
            <w:tcW w:w="4876" w:type="dxa"/>
          </w:tcPr>
          <w:p w:rsidR="00125939" w:rsidRPr="004A1F23" w:rsidRDefault="00125939" w:rsidP="00474151">
            <w:pPr>
              <w:pStyle w:val="Normal6a"/>
              <w:rPr>
                <w:szCs w:val="24"/>
              </w:rPr>
            </w:pP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34</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14 cikk – 2a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szCs w:val="24"/>
              </w:rPr>
            </w:pPr>
            <w:r w:rsidRPr="004A1F23">
              <w:rPr>
                <w:b/>
                <w:i/>
              </w:rPr>
              <w:t>(2a)</w:t>
            </w:r>
            <w:r w:rsidRPr="004A1F23">
              <w:rPr>
                <w:b/>
                <w:i/>
              </w:rPr>
              <w:tab/>
              <w:t>A Bizottság a 18. cikknek megfelelően felhatalmazáson alapuló jogi aktusokat fogadhat el további szabályok megállapítására, például mentesítési szabályok bevezetésére, a szokásos piaci ár elvének Unión belüli alkalmazásának egyszerűsítésére, az adórendszer nagyobb kiszámíthatóságának biztosítására, valamint az adóztatás kettős elmaradásának és a kettős adóztatás kockázatának csökkentésére, valamint az adóviták és az adóvisszaélések csökkentésére.</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35</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14 cikk – 2 b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szCs w:val="24"/>
              </w:rPr>
            </w:pPr>
            <w:r w:rsidRPr="004A1F23">
              <w:rPr>
                <w:b/>
                <w:i/>
              </w:rPr>
              <w:t>(2b)</w:t>
            </w:r>
            <w:r w:rsidRPr="004A1F23">
              <w:rPr>
                <w:b/>
                <w:i/>
              </w:rPr>
              <w:tab/>
              <w:t xml:space="preserve">A Bizottság a 18. cikknek megfelelően felhatalmazáson alapuló jogi aktust fogadhat el a Vállalkozás Európában: Társaságiadó-keret (BEFIT) témaköréről szóló XX/XX/EU tanácsi </w:t>
            </w:r>
            <w:r w:rsidRPr="004A1F23">
              <w:rPr>
                <w:b/>
                <w:i/>
              </w:rPr>
              <w:lastRenderedPageBreak/>
              <w:t xml:space="preserve">irányelvben említett forgalmazási és gyártási tevékenységek tekintetében a transzferárazásnak való megfelelésre vonatkozó javasolt egyszerűsített megközelítés ezen irányelvbe történő beillesztésére vonatkozó szabályok megállapításáról. </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36</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14 cikk – 3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rPr>
                <w:b/>
                <w:i/>
              </w:rPr>
              <w:t>(3)</w:t>
            </w:r>
            <w:r w:rsidRPr="004A1F23">
              <w:tab/>
              <w:t>A (2) bekezdésben említett szabályokat a Bizottság javaslata alapján elfogadott tanácsi végrehajtási jogi aktusok útján kell meghozni.</w:t>
            </w:r>
          </w:p>
        </w:tc>
        <w:tc>
          <w:tcPr>
            <w:tcW w:w="4876" w:type="dxa"/>
          </w:tcPr>
          <w:p w:rsidR="00125939" w:rsidRPr="004A1F23" w:rsidRDefault="00125939" w:rsidP="00474151">
            <w:pPr>
              <w:pStyle w:val="Normal6a"/>
              <w:rPr>
                <w:b/>
                <w:i/>
                <w:szCs w:val="24"/>
              </w:rPr>
            </w:pPr>
            <w:r w:rsidRPr="004A1F23">
              <w:rPr>
                <w:b/>
                <w:i/>
              </w:rPr>
              <w:t>törölve</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37</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14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jc w:val="center"/>
            </w:pPr>
            <w:r w:rsidRPr="004A1F23">
              <w:rPr>
                <w:b/>
                <w:i/>
              </w:rPr>
              <w:t>14a. cikk</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spacing w:after="120"/>
              <w:jc w:val="center"/>
              <w:rPr>
                <w:b/>
                <w:i/>
              </w:rPr>
            </w:pPr>
            <w:r w:rsidRPr="004A1F23">
              <w:rPr>
                <w:b/>
                <w:i/>
              </w:rPr>
              <w:t xml:space="preserve">Az EU közös </w:t>
            </w:r>
            <w:proofErr w:type="spellStart"/>
            <w:r w:rsidRPr="004A1F23">
              <w:rPr>
                <w:b/>
                <w:i/>
              </w:rPr>
              <w:t>transzferárfórumának</w:t>
            </w:r>
            <w:proofErr w:type="spellEnd"/>
            <w:r w:rsidRPr="004A1F23">
              <w:rPr>
                <w:b/>
                <w:i/>
              </w:rPr>
              <w:t xml:space="preserve"> visszaállítása</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(1)</w:t>
            </w:r>
            <w:r w:rsidRPr="004A1F23">
              <w:tab/>
            </w:r>
            <w:r w:rsidRPr="004A1F23">
              <w:rPr>
                <w:b/>
                <w:i/>
              </w:rPr>
              <w:t>A Bizottság létrehozza a transzferárazás európai fórumát (EFTP), és betölti annak elnöki tisztét.</w:t>
            </w:r>
            <w:r w:rsidRPr="004A1F23">
              <w:t xml:space="preserve"> </w:t>
            </w:r>
            <w:r w:rsidRPr="004A1F23">
              <w:rPr>
                <w:b/>
                <w:i/>
              </w:rPr>
              <w:t>Az EFTP tanácsadást és segítséget nyújt a 17. cikk szerinti bizottságnak, különösen annak felmérése érdekében, hogy szükség van-e ezen irányelv kiigazítására azzal a céllal, hogy biztosítsa a transzferárazási módszerek folyamatos egységességét az Unión belül és globális szinten, mindenekelőtt figyelembe véve az OECD vagy az ENSZ szintjén bekövetkezett fejleményeket.</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(2)</w:t>
            </w:r>
            <w:r w:rsidRPr="004A1F23">
              <w:tab/>
            </w:r>
            <w:r w:rsidRPr="004A1F23">
              <w:rPr>
                <w:b/>
                <w:i/>
              </w:rPr>
              <w:t xml:space="preserve">Az EFTP a tagállamok képviselőiből, valamint az adófizetők, a tudományos szakemberek és a civil társadalom kiegyensúlyozott </w:t>
            </w:r>
            <w:r w:rsidRPr="004A1F23">
              <w:rPr>
                <w:b/>
                <w:i/>
              </w:rPr>
              <w:lastRenderedPageBreak/>
              <w:t>képviseletéből áll.</w:t>
            </w:r>
            <w:r w:rsidRPr="004A1F23">
              <w:t xml:space="preserve"> </w:t>
            </w:r>
            <w:r w:rsidRPr="004A1F23">
              <w:rPr>
                <w:b/>
                <w:i/>
              </w:rPr>
              <w:t>Az Európai Parlament megfigyelőként tagja az EFTP-</w:t>
            </w:r>
            <w:proofErr w:type="spellStart"/>
            <w:r w:rsidRPr="004A1F23">
              <w:rPr>
                <w:b/>
                <w:i/>
              </w:rPr>
              <w:t>nek</w:t>
            </w:r>
            <w:proofErr w:type="spellEnd"/>
            <w:r w:rsidRPr="004A1F23">
              <w:rPr>
                <w:b/>
                <w:i/>
              </w:rPr>
              <w:t>.</w:t>
            </w:r>
            <w:r w:rsidRPr="004A1F23">
              <w:t xml:space="preserve"> </w:t>
            </w:r>
            <w:r w:rsidRPr="004A1F23">
              <w:rPr>
                <w:b/>
                <w:i/>
              </w:rPr>
              <w:t>A tagság feltételeiről a 17. cikkben említett bizottság dönt.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38</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14 b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jc w:val="center"/>
            </w:pPr>
            <w:r w:rsidRPr="004A1F23">
              <w:rPr>
                <w:b/>
                <w:i/>
              </w:rPr>
              <w:t>14b. cikk</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jc w:val="center"/>
              <w:rPr>
                <w:b/>
                <w:i/>
              </w:rPr>
            </w:pPr>
            <w:r w:rsidRPr="004A1F23">
              <w:rPr>
                <w:b/>
                <w:i/>
              </w:rPr>
              <w:t>Az európai bizalmi és együttműködési megközelítés (ETACA) kezdeményezés kiterjesztése</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(1)</w:t>
            </w:r>
            <w:r w:rsidRPr="004A1F23">
              <w:tab/>
            </w:r>
            <w:r w:rsidRPr="004A1F23">
              <w:rPr>
                <w:b/>
                <w:i/>
              </w:rPr>
              <w:t>Az európai bizalmi és együttműködési megközelítés (ETACA) hatálya kiterjed a részt vevő tagállamok által az Unión belüli konkrét tranzakciók transzferárazási felülvizsgálatára, és nem csak az alacsony hozzáadott értékű ügyletekre, mint jelenleg.</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(2)</w:t>
            </w:r>
            <w:r w:rsidRPr="004A1F23">
              <w:tab/>
            </w:r>
            <w:r w:rsidRPr="004A1F23">
              <w:rPr>
                <w:b/>
                <w:i/>
              </w:rPr>
              <w:t xml:space="preserve">A tagállamokat felkérik, hogy hozzanak létre kapcsolatot az ETACA és az előzetes </w:t>
            </w:r>
            <w:proofErr w:type="spellStart"/>
            <w:r w:rsidRPr="004A1F23">
              <w:rPr>
                <w:b/>
                <w:i/>
              </w:rPr>
              <w:t>árképzési</w:t>
            </w:r>
            <w:proofErr w:type="spellEnd"/>
            <w:r w:rsidRPr="004A1F23">
              <w:rPr>
                <w:b/>
                <w:i/>
              </w:rPr>
              <w:t xml:space="preserve"> megállapodások között annak biztosítása érdekében, hogy az ETACA gyorsított eljárásként szolgáljon a stabil megoldások megtalálásához, ha problémák merülnek fel a felülvizsgálati folyamat során.</w:t>
            </w:r>
          </w:p>
        </w:tc>
      </w:tr>
    </w:tbl>
    <w:p w:rsidR="00125939" w:rsidRPr="004A1F23" w:rsidRDefault="00125939" w:rsidP="00125939"/>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39</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15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(1)</w:t>
            </w:r>
            <w:r w:rsidRPr="004A1F23">
              <w:tab/>
              <w:t xml:space="preserve">A Bizottság </w:t>
            </w:r>
            <w:r w:rsidRPr="004A1F23">
              <w:rPr>
                <w:b/>
                <w:i/>
              </w:rPr>
              <w:t>ötévente</w:t>
            </w:r>
            <w:r w:rsidRPr="004A1F23">
              <w:t xml:space="preserve"> megvizsgálja és értékeli ezen irányelv alkalmazását, és az </w:t>
            </w:r>
            <w:r w:rsidRPr="004A1F23">
              <w:rPr>
                <w:b/>
                <w:i/>
              </w:rPr>
              <w:t>értékeléséről</w:t>
            </w:r>
            <w:r w:rsidRPr="004A1F23">
              <w:t xml:space="preserve"> jelentést nyújt be az Európai Parlamentnek és a Tanácsnak. Az első jelentést </w:t>
            </w:r>
            <w:r w:rsidRPr="004A1F23">
              <w:rPr>
                <w:b/>
                <w:i/>
              </w:rPr>
              <w:t>2031</w:t>
            </w:r>
            <w:r w:rsidRPr="004A1F23">
              <w:t>. december 31-ig kell benyújtani.</w:t>
            </w:r>
          </w:p>
        </w:tc>
        <w:tc>
          <w:tcPr>
            <w:tcW w:w="4876" w:type="dxa"/>
          </w:tcPr>
          <w:p w:rsidR="00125939" w:rsidRPr="004A1F23" w:rsidRDefault="00125939" w:rsidP="00474151">
            <w:pPr>
              <w:pStyle w:val="Normal6a"/>
              <w:rPr>
                <w:szCs w:val="24"/>
              </w:rPr>
            </w:pPr>
            <w:r w:rsidRPr="004A1F23">
              <w:t>(1)</w:t>
            </w:r>
            <w:r w:rsidRPr="004A1F23">
              <w:tab/>
              <w:t xml:space="preserve">A Bizottság </w:t>
            </w:r>
            <w:r w:rsidRPr="004A1F23">
              <w:rPr>
                <w:b/>
                <w:i/>
              </w:rPr>
              <w:t>háromévente</w:t>
            </w:r>
            <w:r w:rsidRPr="004A1F23">
              <w:t xml:space="preserve"> megvizsgálja és értékeli ezen irányelv alkalmazását, </w:t>
            </w:r>
            <w:r w:rsidRPr="004A1F23">
              <w:rPr>
                <w:b/>
                <w:i/>
              </w:rPr>
              <w:t xml:space="preserve">hatását, valamint a legújabb OECD- vagy ENSZ-iránymutatásokkal való kölcsönhatását, </w:t>
            </w:r>
            <w:r w:rsidRPr="004A1F23">
              <w:t xml:space="preserve">és az </w:t>
            </w:r>
            <w:r w:rsidRPr="004A1F23">
              <w:rPr>
                <w:b/>
                <w:i/>
              </w:rPr>
              <w:t>értékelésről</w:t>
            </w:r>
            <w:r w:rsidRPr="004A1F23">
              <w:t xml:space="preserve"> jelentést nyújt be az Európai Parlamentnek és a Tanácsnak</w:t>
            </w:r>
            <w:r w:rsidRPr="004A1F23">
              <w:rPr>
                <w:b/>
                <w:i/>
              </w:rPr>
              <w:t xml:space="preserve">, amelyhez adott esetben </w:t>
            </w:r>
            <w:r w:rsidRPr="004A1F23">
              <w:rPr>
                <w:b/>
                <w:i/>
              </w:rPr>
              <w:lastRenderedPageBreak/>
              <w:t>jogalkotási javaslatot is csatol</w:t>
            </w:r>
            <w:r w:rsidRPr="004A1F23">
              <w:t xml:space="preserve">. Az első jelentést </w:t>
            </w:r>
            <w:r w:rsidRPr="004A1F23">
              <w:rPr>
                <w:b/>
                <w:i/>
              </w:rPr>
              <w:t>2029</w:t>
            </w:r>
            <w:r w:rsidRPr="004A1F23">
              <w:t xml:space="preserve">. december 31-ig kell benyújtani. </w:t>
            </w:r>
            <w:r w:rsidRPr="004A1F23">
              <w:rPr>
                <w:b/>
                <w:i/>
              </w:rPr>
              <w:t>A Bizottság eltérhet az említett határidőktől, ha az OECD vagy az ENSZ szintjén új transzferár irányelveket fogadnak el.</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40</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15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(2)</w:t>
            </w:r>
            <w:r w:rsidRPr="004A1F23">
              <w:tab/>
              <w:t xml:space="preserve">A tagállamok a (3) bekezdéssel összhangban közlik a Bizottsággal az ezen irányelv értékeléséhez szükséges információkat a szokásos piaci ár elve alkalmazásának javítása, a kettős </w:t>
            </w:r>
            <w:r w:rsidRPr="004A1F23">
              <w:rPr>
                <w:b/>
                <w:i/>
              </w:rPr>
              <w:t>adóztatás</w:t>
            </w:r>
            <w:r w:rsidRPr="004A1F23">
              <w:t xml:space="preserve"> csökkentése, valamint az adóvisszaélések elleni küzdelem céljából.</w:t>
            </w:r>
          </w:p>
        </w:tc>
        <w:tc>
          <w:tcPr>
            <w:tcW w:w="4876" w:type="dxa"/>
          </w:tcPr>
          <w:p w:rsidR="00125939" w:rsidRPr="004A1F23" w:rsidRDefault="00125939" w:rsidP="00474151">
            <w:pPr>
              <w:pStyle w:val="Normal6a"/>
              <w:rPr>
                <w:szCs w:val="24"/>
              </w:rPr>
            </w:pPr>
            <w:r w:rsidRPr="004A1F23">
              <w:t>(2)</w:t>
            </w:r>
            <w:r w:rsidRPr="004A1F23">
              <w:tab/>
              <w:t xml:space="preserve">A tagállamok a (3) bekezdéssel összhangban közlik a Bizottsággal az ezen irányelv értékeléséhez szükséges információkat a szokásos piaci ár elve alkalmazásának javítása, </w:t>
            </w:r>
            <w:r w:rsidRPr="004A1F23">
              <w:rPr>
                <w:b/>
                <w:i/>
              </w:rPr>
              <w:t xml:space="preserve">az adóztatás kettős elmaradásának és </w:t>
            </w:r>
            <w:r w:rsidRPr="004A1F23">
              <w:t xml:space="preserve">a kettős </w:t>
            </w:r>
            <w:r w:rsidRPr="004A1F23">
              <w:rPr>
                <w:b/>
                <w:i/>
              </w:rPr>
              <w:t>adóztatásnak a</w:t>
            </w:r>
            <w:r w:rsidRPr="004A1F23">
              <w:t xml:space="preserve"> csökkentése, valamint az adóvisszaélések</w:t>
            </w:r>
            <w:r w:rsidRPr="004A1F23">
              <w:rPr>
                <w:b/>
                <w:i/>
              </w:rPr>
              <w:t xml:space="preserve"> és az adóügyi viták</w:t>
            </w:r>
            <w:r w:rsidRPr="004A1F23">
              <w:t xml:space="preserve"> elleni küzdelem céljából.</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41</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15 cikk – 5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(5)</w:t>
            </w:r>
            <w:r w:rsidRPr="004A1F23">
              <w:tab/>
              <w:t xml:space="preserve">A tagállamok által a (2) bekezdés értelmében a Bizottsággal közölt információk, valamint a Bizottság által ezen információk felhasználásával készített bármely jelentés vagy dokumentum továbbítható a többi tagállamnak. Az információkra hivatalos titoktartási kötelezettség vonatkozik, és azok ugyanolyan védelmet élveznek, mint </w:t>
            </w:r>
            <w:proofErr w:type="spellStart"/>
            <w:r w:rsidRPr="004A1F23">
              <w:t>amilyet</w:t>
            </w:r>
            <w:proofErr w:type="spellEnd"/>
            <w:r w:rsidRPr="004A1F23">
              <w:t xml:space="preserve"> az információt fogadó tagállam nemzeti joga az ilyen jellegű információnak biztosít.</w:t>
            </w:r>
          </w:p>
        </w:tc>
        <w:tc>
          <w:tcPr>
            <w:tcW w:w="4876" w:type="dxa"/>
          </w:tcPr>
          <w:p w:rsidR="00125939" w:rsidRPr="004A1F23" w:rsidRDefault="00125939" w:rsidP="00474151">
            <w:pPr>
              <w:pStyle w:val="Normal6a"/>
              <w:rPr>
                <w:szCs w:val="24"/>
              </w:rPr>
            </w:pPr>
            <w:r w:rsidRPr="004A1F23">
              <w:t>(5)</w:t>
            </w:r>
            <w:r w:rsidRPr="004A1F23">
              <w:tab/>
              <w:t>A tagállamok által a (2) bekezdés értelmében a Bizottsággal közölt információk, valamint a Bizottság által ezen információk felhasználásával készített bármely jelentés vagy dokumentum továbbítható a többi tagállamnak</w:t>
            </w:r>
            <w:r w:rsidRPr="004A1F23">
              <w:rPr>
                <w:b/>
                <w:i/>
              </w:rPr>
              <w:t xml:space="preserve"> és az Európai Parlamentnek</w:t>
            </w:r>
            <w:r w:rsidRPr="004A1F23">
              <w:t xml:space="preserve">. Az információkra hivatalos titoktartási kötelezettség vonatkozik, és azok ugyanolyan védelmet élveznek, mint </w:t>
            </w:r>
            <w:proofErr w:type="spellStart"/>
            <w:r w:rsidRPr="004A1F23">
              <w:t>amilyet</w:t>
            </w:r>
            <w:proofErr w:type="spellEnd"/>
            <w:r w:rsidRPr="004A1F23">
              <w:t xml:space="preserve"> az információt fogadó tagállam nemzeti joga az ilyen jellegű információnak biztosít.</w:t>
            </w:r>
          </w:p>
        </w:tc>
      </w:tr>
    </w:tbl>
    <w:p w:rsidR="00125939" w:rsidRPr="004A1F23" w:rsidRDefault="00125939" w:rsidP="00125939"/>
    <w:p w:rsidR="00125939" w:rsidRPr="004A1F23" w:rsidRDefault="00125939" w:rsidP="00125939">
      <w:pPr>
        <w:pStyle w:val="AmNumberTabs"/>
        <w:keepNext/>
      </w:pPr>
      <w:r w:rsidRPr="004A1F23">
        <w:lastRenderedPageBreak/>
        <w:t>Módosítás</w:t>
      </w:r>
      <w:r w:rsidRPr="004A1F23">
        <w:tab/>
      </w:r>
      <w:r w:rsidRPr="004A1F23">
        <w:tab/>
        <w:t>42</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16 cikk – 2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(2)</w:t>
            </w:r>
            <w:r w:rsidRPr="004A1F23">
              <w:tab/>
              <w:t>Az ezen irányelvvel összhangban kezelt információk – beleértve a személyes adatokat is – csak addig őrizhetők meg, amíg az ezen irányelv céljainak eléréséhez szükséges, az egyes adatkezelőknek az elévülésre vonatkozó nemzeti jogával összhangban, de legfeljebb 10 évig.</w:t>
            </w:r>
          </w:p>
        </w:tc>
        <w:tc>
          <w:tcPr>
            <w:tcW w:w="4876" w:type="dxa"/>
          </w:tcPr>
          <w:p w:rsidR="00125939" w:rsidRPr="004A1F23" w:rsidRDefault="00125939" w:rsidP="00474151">
            <w:pPr>
              <w:pStyle w:val="Normal6a"/>
              <w:rPr>
                <w:szCs w:val="24"/>
              </w:rPr>
            </w:pPr>
            <w:r w:rsidRPr="004A1F23">
              <w:t>(2)</w:t>
            </w:r>
            <w:r w:rsidRPr="004A1F23">
              <w:tab/>
              <w:t>Az ezen irányelvvel összhangban kezelt információk – beleértve a személyes adatokat is – csak addig őrizhetők meg, amíg az ezen irányelv céljainak eléréséhez szükséges, az egyes adatkezelőknek az elévülésre vonatkozó nemzeti jogával összhangban, de legfeljebb 10 évig</w:t>
            </w:r>
            <w:r w:rsidRPr="004A1F23">
              <w:rPr>
                <w:b/>
                <w:i/>
              </w:rPr>
              <w:t>, attól az időponttól számítva, amikor a személyes adatok feldolgozása ezen irányelv céljaira történik</w:t>
            </w:r>
            <w:r w:rsidRPr="004A1F23">
              <w: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43</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18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(1)</w:t>
            </w:r>
            <w:r w:rsidRPr="004A1F23">
              <w:tab/>
              <w:t xml:space="preserve">A Bizottság az e cikkben meghatározott feltételek mellett felhatalmazást kap a 13. cikk szerinti felhatalmazáson alapuló jogi </w:t>
            </w:r>
            <w:r w:rsidRPr="004A1F23">
              <w:rPr>
                <w:b/>
                <w:i/>
              </w:rPr>
              <w:t>aktus</w:t>
            </w:r>
            <w:r w:rsidRPr="004A1F23">
              <w:t xml:space="preserve"> elfogadására.</w:t>
            </w:r>
          </w:p>
        </w:tc>
        <w:tc>
          <w:tcPr>
            <w:tcW w:w="4876" w:type="dxa"/>
          </w:tcPr>
          <w:p w:rsidR="00125939" w:rsidRPr="004A1F23" w:rsidRDefault="00125939" w:rsidP="00474151">
            <w:pPr>
              <w:pStyle w:val="Normal6a"/>
            </w:pPr>
            <w:r w:rsidRPr="004A1F23">
              <w:t>(1)</w:t>
            </w:r>
            <w:r w:rsidRPr="004A1F23">
              <w:tab/>
              <w:t xml:space="preserve">A Bizottság az e cikkben meghatározott feltételek mellett felhatalmazást kap a </w:t>
            </w:r>
            <w:r w:rsidRPr="004A1F23">
              <w:rPr>
                <w:b/>
                <w:i/>
              </w:rPr>
              <w:t xml:space="preserve">3. cikk második bekezdése, a </w:t>
            </w:r>
            <w:r w:rsidRPr="004A1F23">
              <w:t xml:space="preserve">13. cikk </w:t>
            </w:r>
            <w:r w:rsidRPr="004A1F23">
              <w:rPr>
                <w:b/>
                <w:i/>
              </w:rPr>
              <w:t xml:space="preserve">és a 14. cikk (2), (2a) és (2b) bekezdése </w:t>
            </w:r>
            <w:r w:rsidRPr="004A1F23">
              <w:t xml:space="preserve">szerinti felhatalmazáson alapuló jogi </w:t>
            </w:r>
            <w:r w:rsidRPr="004A1F23">
              <w:rPr>
                <w:b/>
                <w:i/>
              </w:rPr>
              <w:t>aktusok</w:t>
            </w:r>
            <w:r w:rsidRPr="004A1F23">
              <w:t xml:space="preserve"> elfogadására.</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44</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18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(2)</w:t>
            </w:r>
            <w:r w:rsidRPr="004A1F23">
              <w:tab/>
              <w:t xml:space="preserve">A Tanács bármikor visszavonhatja a 13. cikkben említett felhatalmazást. A visszavonásról szóló határozat megszünteti az abban meghatározott felhatalmazást. A határozat az </w:t>
            </w:r>
            <w:r w:rsidRPr="004A1F23">
              <w:rPr>
                <w:i/>
              </w:rPr>
              <w:t>Európai Unió Hivatalos Lapjában</w:t>
            </w:r>
            <w:r w:rsidRPr="004A1F23">
              <w:t xml:space="preserve"> való kihirdetését követő napon vagy a benne megjelölt későbbi időpontban lép hatályba. A határozat nem érinti a már hatályban lévő, felhatalmazáson alapuló </w:t>
            </w:r>
            <w:r w:rsidRPr="004A1F23">
              <w:lastRenderedPageBreak/>
              <w:t>jogi aktus érvényességét.</w:t>
            </w:r>
          </w:p>
        </w:tc>
        <w:tc>
          <w:tcPr>
            <w:tcW w:w="4876" w:type="dxa"/>
          </w:tcPr>
          <w:p w:rsidR="00125939" w:rsidRPr="004A1F23" w:rsidRDefault="00125939" w:rsidP="00474151">
            <w:pPr>
              <w:pStyle w:val="Normal6a"/>
            </w:pPr>
            <w:r w:rsidRPr="004A1F23">
              <w:lastRenderedPageBreak/>
              <w:t>(2)</w:t>
            </w:r>
            <w:r w:rsidRPr="004A1F23">
              <w:tab/>
              <w:t xml:space="preserve">A Tanács bármikor visszavonhatja a </w:t>
            </w:r>
            <w:r w:rsidRPr="004A1F23">
              <w:rPr>
                <w:b/>
                <w:i/>
              </w:rPr>
              <w:t xml:space="preserve">3.cikk második bekezdésében, a </w:t>
            </w:r>
            <w:r w:rsidRPr="004A1F23">
              <w:t>13. cikkben</w:t>
            </w:r>
            <w:r w:rsidRPr="004A1F23">
              <w:rPr>
                <w:b/>
                <w:i/>
              </w:rPr>
              <w:t xml:space="preserve"> és a 14. cikk (2), (2a) és (2b) bekezdésében</w:t>
            </w:r>
            <w:r w:rsidRPr="004A1F23">
              <w:t xml:space="preserve"> említett felhatalmazást. A visszavonásról szóló határozat megszünteti az abban meghatározott felhatalmazást. A határozat az </w:t>
            </w:r>
            <w:r w:rsidRPr="004A1F23">
              <w:rPr>
                <w:i/>
              </w:rPr>
              <w:t>Európai Unió Hivatalos Lapjában</w:t>
            </w:r>
            <w:r w:rsidRPr="004A1F23">
              <w:t xml:space="preserve"> való kihirdetését követő napon vagy a benne megjelölt későbbi időpontban lép hatályba. A határozat nem érinti a már </w:t>
            </w:r>
            <w:r w:rsidRPr="004A1F23">
              <w:lastRenderedPageBreak/>
              <w:t>hatályban lévő, felhatalmazáson alapuló jogi aktus érvényességét.</w:t>
            </w:r>
          </w:p>
        </w:tc>
      </w:tr>
    </w:tbl>
    <w:p w:rsidR="00125939" w:rsidRPr="004A1F23" w:rsidRDefault="00125939" w:rsidP="00125939"/>
    <w:p w:rsidR="00125939" w:rsidRPr="004A1F23" w:rsidRDefault="00125939" w:rsidP="00125939">
      <w:pPr>
        <w:pStyle w:val="AmNumberTabs"/>
      </w:pPr>
      <w:r w:rsidRPr="004A1F23">
        <w:t>Módosítás</w:t>
      </w:r>
      <w:r w:rsidRPr="004A1F23">
        <w:tab/>
      </w:r>
      <w:r w:rsidRPr="004A1F23">
        <w:tab/>
        <w:t>45</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18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(3)</w:t>
            </w:r>
            <w:r w:rsidRPr="004A1F23">
              <w:tab/>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p>
        </w:tc>
        <w:tc>
          <w:tcPr>
            <w:tcW w:w="4876" w:type="dxa"/>
          </w:tcPr>
          <w:p w:rsidR="00125939" w:rsidRPr="004A1F23" w:rsidRDefault="00125939" w:rsidP="00474151">
            <w:pPr>
              <w:pStyle w:val="Normal6a"/>
            </w:pPr>
            <w:r w:rsidRPr="004A1F23">
              <w:t>(3)</w:t>
            </w:r>
            <w:r w:rsidRPr="004A1F23">
              <w:tab/>
              <w:t xml:space="preserve">A felhatalmazáson alapuló jogi aktus elfogadása előtt a Bizottság a jogalkotás minőségének javításáról szóló, 2016. április 13-i intézményközi megállapodásban foglalt elveknek megfelelően konzultál az egyes tagállamok által kijelölt szakértőkkel. </w:t>
            </w:r>
            <w:r w:rsidRPr="004A1F23">
              <w:rPr>
                <w:b/>
                <w:i/>
              </w:rPr>
              <w:t xml:space="preserve">Az illetékes szakértői testület a 14a. cikkben említett, </w:t>
            </w:r>
            <w:proofErr w:type="spellStart"/>
            <w:r w:rsidRPr="004A1F23">
              <w:rPr>
                <w:b/>
                <w:i/>
              </w:rPr>
              <w:t>transzferárképzéssel</w:t>
            </w:r>
            <w:proofErr w:type="spellEnd"/>
            <w:r w:rsidRPr="004A1F23">
              <w:rPr>
                <w:b/>
                <w:i/>
              </w:rPr>
              <w:t xml:space="preserve"> foglalkozó európai fórum.</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46</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19 cikk – 1a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b/>
                <w:i/>
                <w:szCs w:val="24"/>
              </w:rPr>
            </w:pPr>
            <w:r w:rsidRPr="004A1F23">
              <w:rPr>
                <w:b/>
                <w:i/>
              </w:rPr>
              <w:t>Az Európai Parlament megfigyelőként részt vehet a transzferár irányelvekről szóló nemzetközi tárgyalásokon a megfelelő nemzetközi fórumokon.</w:t>
            </w:r>
          </w:p>
        </w:tc>
      </w:tr>
    </w:tbl>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47</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19 a cikk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jc w:val="center"/>
              <w:rPr>
                <w:b/>
                <w:i/>
                <w:szCs w:val="24"/>
              </w:rPr>
            </w:pPr>
            <w:r w:rsidRPr="004A1F23">
              <w:rPr>
                <w:b/>
                <w:i/>
              </w:rPr>
              <w:t>19a. cikk</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jc w:val="center"/>
              <w:rPr>
                <w:b/>
                <w:i/>
                <w:szCs w:val="24"/>
              </w:rPr>
            </w:pPr>
            <w:r w:rsidRPr="004A1F23">
              <w:rPr>
                <w:b/>
                <w:i/>
              </w:rPr>
              <w:t>Felülvizsgálat</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rPr>
                <w:szCs w:val="24"/>
              </w:rPr>
            </w:pPr>
            <w:r w:rsidRPr="004A1F23">
              <w:rPr>
                <w:b/>
                <w:i/>
              </w:rPr>
              <w:t xml:space="preserve">A Bizottság felülvizsgálja ezen irányelv alkalmazását azon multinacionális vállalatcsoportok esetében, amelyek a következő tanácsi irányelvre irányuló </w:t>
            </w:r>
            <w:r w:rsidRPr="004A1F23">
              <w:rPr>
                <w:b/>
                <w:i/>
              </w:rPr>
              <w:lastRenderedPageBreak/>
              <w:t>javaslat hatálya alá tartoznak: Vállalkozás Európában: Társaságiadó-keret (BEFIT), amint az említett irányelv hatályba lép.</w:t>
            </w:r>
          </w:p>
        </w:tc>
      </w:tr>
    </w:tbl>
    <w:p w:rsidR="00125939" w:rsidRPr="004A1F23" w:rsidRDefault="00125939" w:rsidP="00125939">
      <w:pPr>
        <w:pStyle w:val="AmNumberTabs"/>
      </w:pPr>
      <w:r w:rsidRPr="004A1F23">
        <w:lastRenderedPageBreak/>
        <w:t>Módosítás</w:t>
      </w:r>
      <w:r w:rsidRPr="004A1F23">
        <w:tab/>
      </w:r>
      <w:r w:rsidRPr="004A1F23">
        <w:tab/>
        <w:t>48</w:t>
      </w:r>
    </w:p>
    <w:p w:rsidR="00125939" w:rsidRPr="004A1F23" w:rsidRDefault="00125939" w:rsidP="00125939">
      <w:pPr>
        <w:pStyle w:val="NormalBold12b"/>
      </w:pPr>
      <w:r w:rsidRPr="004A1F23">
        <w:t>Irányelvre irányuló javaslat</w:t>
      </w:r>
    </w:p>
    <w:p w:rsidR="00125939" w:rsidRPr="004A1F23" w:rsidRDefault="00125939" w:rsidP="00125939">
      <w:pPr>
        <w:pStyle w:val="NormalBold"/>
      </w:pPr>
      <w:r w:rsidRPr="004A1F23">
        <w:t>19b cikk (új)</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25939" w:rsidRPr="004A1F23" w:rsidTr="00474151">
        <w:trPr>
          <w:trHeight w:hRule="exact" w:val="240"/>
          <w:jc w:val="center"/>
        </w:trPr>
        <w:tc>
          <w:tcPr>
            <w:tcW w:w="9752" w:type="dxa"/>
            <w:gridSpan w:val="2"/>
          </w:tcPr>
          <w:p w:rsidR="00125939" w:rsidRPr="004A1F23" w:rsidRDefault="00125939" w:rsidP="00474151"/>
        </w:tc>
      </w:tr>
      <w:tr w:rsidR="00125939" w:rsidRPr="004A1F23" w:rsidTr="00474151">
        <w:trPr>
          <w:trHeight w:val="240"/>
          <w:jc w:val="center"/>
        </w:trPr>
        <w:tc>
          <w:tcPr>
            <w:tcW w:w="4876" w:type="dxa"/>
          </w:tcPr>
          <w:p w:rsidR="00125939" w:rsidRPr="004A1F23" w:rsidRDefault="00125939" w:rsidP="00474151">
            <w:pPr>
              <w:pStyle w:val="AmColumnHeading"/>
            </w:pPr>
            <w:r w:rsidRPr="004A1F23">
              <w:t>A Bizottság által javasolt szöveg</w:t>
            </w:r>
          </w:p>
        </w:tc>
        <w:tc>
          <w:tcPr>
            <w:tcW w:w="4876" w:type="dxa"/>
          </w:tcPr>
          <w:p w:rsidR="00125939" w:rsidRPr="004A1F23" w:rsidRDefault="00125939" w:rsidP="00474151">
            <w:pPr>
              <w:pStyle w:val="AmColumnHeading"/>
            </w:pPr>
            <w:r w:rsidRPr="004A1F23">
              <w:t>Módosítás</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jc w:val="center"/>
            </w:pPr>
            <w:r w:rsidRPr="004A1F23">
              <w:rPr>
                <w:b/>
                <w:i/>
              </w:rPr>
              <w:t>19b. cikk</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jc w:val="center"/>
            </w:pPr>
            <w:r w:rsidRPr="004A1F23">
              <w:rPr>
                <w:b/>
                <w:i/>
              </w:rPr>
              <w:t>A 2011/16/EU irányelv módosítása</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A 2011/16/EU irányelv 8a. cikke (6) bekezdésének i) pontja helyébe a következő szöveg lép:</w:t>
            </w:r>
          </w:p>
        </w:tc>
      </w:tr>
      <w:tr w:rsidR="00125939" w:rsidRPr="004A1F23" w:rsidTr="00474151">
        <w:trPr>
          <w:jc w:val="center"/>
        </w:trPr>
        <w:tc>
          <w:tcPr>
            <w:tcW w:w="4876" w:type="dxa"/>
          </w:tcPr>
          <w:p w:rsidR="00125939" w:rsidRPr="004A1F23" w:rsidRDefault="00125939" w:rsidP="00474151">
            <w:pPr>
              <w:pStyle w:val="Normal6a"/>
            </w:pPr>
          </w:p>
        </w:tc>
        <w:tc>
          <w:tcPr>
            <w:tcW w:w="4876" w:type="dxa"/>
          </w:tcPr>
          <w:p w:rsidR="00125939" w:rsidRPr="004A1F23" w:rsidRDefault="00125939" w:rsidP="00474151">
            <w:pPr>
              <w:pStyle w:val="Normal6a"/>
            </w:pPr>
            <w:r w:rsidRPr="004A1F23">
              <w:rPr>
                <w:b/>
                <w:i/>
              </w:rPr>
              <w:t>„i.</w:t>
            </w:r>
            <w:r w:rsidRPr="004A1F23">
              <w:rPr>
                <w:b/>
                <w:i/>
              </w:rPr>
              <w:tab/>
              <w:t xml:space="preserve">a </w:t>
            </w:r>
            <w:proofErr w:type="spellStart"/>
            <w:r w:rsidRPr="004A1F23">
              <w:rPr>
                <w:b/>
                <w:i/>
              </w:rPr>
              <w:t>transzferárképzési</w:t>
            </w:r>
            <w:proofErr w:type="spellEnd"/>
            <w:r w:rsidRPr="004A1F23">
              <w:rPr>
                <w:b/>
                <w:i/>
              </w:rPr>
              <w:t xml:space="preserve"> módszer vagy a [transzferárazásról szóló 2024/XX/XX] irányelv 9. cikkében meghatározott szokásos piaci ár becslésére szolgáló egyéb értékelési módszerek és technikák meghatározása, valamint e módszer alkalmazásának indokolása, vagy előzetes </w:t>
            </w:r>
            <w:proofErr w:type="spellStart"/>
            <w:r w:rsidRPr="004A1F23">
              <w:rPr>
                <w:b/>
                <w:i/>
              </w:rPr>
              <w:t>árképzési</w:t>
            </w:r>
            <w:proofErr w:type="spellEnd"/>
            <w:r w:rsidRPr="004A1F23">
              <w:rPr>
                <w:b/>
                <w:i/>
              </w:rPr>
              <w:t xml:space="preserve"> megállapodás esetén maga a transzferár;”</w:t>
            </w:r>
          </w:p>
        </w:tc>
      </w:tr>
    </w:tbl>
    <w:p w:rsidR="00125939" w:rsidRPr="004A1F23" w:rsidRDefault="00125939" w:rsidP="00125939"/>
    <w:p w:rsidR="00125939" w:rsidRPr="004A1F23" w:rsidRDefault="00125939" w:rsidP="00125939"/>
    <w:p w:rsidR="00125939" w:rsidRPr="004A1F23" w:rsidRDefault="00125939" w:rsidP="00125939">
      <w:pPr>
        <w:pStyle w:val="AmNumberTabs"/>
        <w:keepNext/>
      </w:pPr>
      <w:r w:rsidRPr="004A1F23">
        <w:t>Módosítás</w:t>
      </w:r>
      <w:r w:rsidRPr="004A1F23">
        <w:tab/>
      </w:r>
      <w:r w:rsidRPr="004A1F23">
        <w:tab/>
        <w:t>49</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 xml:space="preserve">20 cikk – 1 bekezdés – 1 </w:t>
      </w:r>
      <w:proofErr w:type="spellStart"/>
      <w:r w:rsidRPr="004A1F23">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 xml:space="preserve">A tagállamok legkésőbb </w:t>
            </w:r>
            <w:r w:rsidRPr="004A1F23">
              <w:rPr>
                <w:b/>
                <w:i/>
              </w:rPr>
              <w:t>[2025</w:t>
            </w:r>
            <w:r w:rsidRPr="004A1F23">
              <w:t>. december 31-ig</w:t>
            </w:r>
            <w:r w:rsidRPr="004A1F23">
              <w:rPr>
                <w:b/>
                <w:i/>
              </w:rPr>
              <w:t>]elfogadják</w:t>
            </w:r>
            <w:r w:rsidRPr="004A1F23">
              <w:t xml:space="preserve"> és kihirdetik azokat a törvényi, rendeleti és közigazgatási rendelkezéseket, amelyek szükségesek ahhoz, hogy ennek az irányelvnek megfeleljenek. E rendelkezések szövegét haladéktalanul megküldik a Bizottságnak.</w:t>
            </w:r>
          </w:p>
        </w:tc>
        <w:tc>
          <w:tcPr>
            <w:tcW w:w="4876" w:type="dxa"/>
          </w:tcPr>
          <w:p w:rsidR="00125939" w:rsidRPr="004A1F23" w:rsidRDefault="00125939" w:rsidP="00B7132C">
            <w:pPr>
              <w:pStyle w:val="Normal6a"/>
              <w:rPr>
                <w:szCs w:val="24"/>
              </w:rPr>
            </w:pPr>
            <w:r w:rsidRPr="004A1F23">
              <w:t xml:space="preserve">A tagállamok legkésőbb </w:t>
            </w:r>
            <w:r w:rsidRPr="004A1F23">
              <w:rPr>
                <w:b/>
                <w:i/>
              </w:rPr>
              <w:t>2024</w:t>
            </w:r>
            <w:r w:rsidRPr="004A1F23">
              <w:t>. december 31-ig</w:t>
            </w:r>
            <w:r w:rsidR="005A49CE" w:rsidRPr="004A1F23">
              <w:rPr>
                <w:b/>
                <w:i/>
              </w:rPr>
              <w:t xml:space="preserve"> </w:t>
            </w:r>
            <w:r w:rsidRPr="004A1F23">
              <w:rPr>
                <w:b/>
                <w:i/>
              </w:rPr>
              <w:t>elfogadják</w:t>
            </w:r>
            <w:r w:rsidRPr="004A1F23">
              <w:t xml:space="preserve"> és kihirdetik azokat a törvényi, rendeleti és közigazgatási rendelkezéseket, amelyek szükségesek ahhoz, hogy ennek az irányelvnek megfeleljenek. E rendelkezések szövegét haladéktalanul megküldik a Bizottságnak.</w:t>
            </w:r>
          </w:p>
        </w:tc>
      </w:tr>
    </w:tbl>
    <w:p w:rsidR="00125939" w:rsidRPr="004A1F23" w:rsidRDefault="00125939" w:rsidP="00125939"/>
    <w:p w:rsidR="00125939" w:rsidRPr="004A1F23" w:rsidRDefault="00125939" w:rsidP="00125939">
      <w:pPr>
        <w:pStyle w:val="AmNumberTabs"/>
        <w:keepNext/>
      </w:pPr>
      <w:r w:rsidRPr="004A1F23">
        <w:lastRenderedPageBreak/>
        <w:t>Módosítás</w:t>
      </w:r>
      <w:r w:rsidRPr="004A1F23">
        <w:tab/>
      </w:r>
      <w:r w:rsidRPr="004A1F23">
        <w:tab/>
        <w:t>50</w:t>
      </w:r>
    </w:p>
    <w:p w:rsidR="00125939" w:rsidRPr="004A1F23" w:rsidRDefault="00125939" w:rsidP="00125939">
      <w:pPr>
        <w:pStyle w:val="NormalBold12b"/>
        <w:keepNext/>
      </w:pPr>
      <w:r w:rsidRPr="004A1F23">
        <w:t>Irányelvre irányuló javaslat</w:t>
      </w:r>
    </w:p>
    <w:p w:rsidR="00125939" w:rsidRPr="004A1F23" w:rsidRDefault="00125939" w:rsidP="00125939">
      <w:pPr>
        <w:pStyle w:val="NormalBold"/>
        <w:keepNext/>
      </w:pPr>
      <w:r w:rsidRPr="004A1F23">
        <w:t xml:space="preserve"> 20 cikk – 1 bekezdés – 2 </w:t>
      </w:r>
      <w:proofErr w:type="spellStart"/>
      <w:r w:rsidRPr="004A1F23">
        <w:t>albekezdés</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25939" w:rsidRPr="004A1F23" w:rsidTr="00474151">
        <w:trPr>
          <w:jc w:val="center"/>
        </w:trPr>
        <w:tc>
          <w:tcPr>
            <w:tcW w:w="9752" w:type="dxa"/>
            <w:gridSpan w:val="2"/>
          </w:tcPr>
          <w:p w:rsidR="00125939" w:rsidRPr="004A1F23" w:rsidRDefault="00125939" w:rsidP="00474151">
            <w:pPr>
              <w:keepNext/>
            </w:pPr>
          </w:p>
        </w:tc>
      </w:tr>
      <w:tr w:rsidR="00125939" w:rsidRPr="004A1F23" w:rsidTr="00474151">
        <w:trPr>
          <w:jc w:val="center"/>
        </w:trPr>
        <w:tc>
          <w:tcPr>
            <w:tcW w:w="4876" w:type="dxa"/>
          </w:tcPr>
          <w:p w:rsidR="00125939" w:rsidRPr="004A1F23" w:rsidRDefault="00125939" w:rsidP="00474151">
            <w:pPr>
              <w:pStyle w:val="AmColumnHeading"/>
              <w:keepNext/>
            </w:pPr>
            <w:r w:rsidRPr="004A1F23">
              <w:t>A Bizottság által javasolt szöveg</w:t>
            </w:r>
          </w:p>
        </w:tc>
        <w:tc>
          <w:tcPr>
            <w:tcW w:w="4876" w:type="dxa"/>
          </w:tcPr>
          <w:p w:rsidR="00125939" w:rsidRPr="004A1F23" w:rsidRDefault="00125939" w:rsidP="00474151">
            <w:pPr>
              <w:pStyle w:val="AmColumnHeading"/>
              <w:keepNext/>
            </w:pPr>
            <w:r w:rsidRPr="004A1F23">
              <w:t>Módosítás</w:t>
            </w:r>
          </w:p>
        </w:tc>
      </w:tr>
      <w:tr w:rsidR="00125939" w:rsidRPr="004A1F23" w:rsidTr="00474151">
        <w:trPr>
          <w:jc w:val="center"/>
        </w:trPr>
        <w:tc>
          <w:tcPr>
            <w:tcW w:w="4876" w:type="dxa"/>
          </w:tcPr>
          <w:p w:rsidR="00125939" w:rsidRPr="004A1F23" w:rsidRDefault="00125939" w:rsidP="00474151">
            <w:pPr>
              <w:pStyle w:val="Normal6a"/>
            </w:pPr>
            <w:r w:rsidRPr="004A1F23">
              <w:t xml:space="preserve">A tagállamok </w:t>
            </w:r>
            <w:r w:rsidRPr="004A1F23">
              <w:rPr>
                <w:b/>
                <w:i/>
              </w:rPr>
              <w:t>[2026</w:t>
            </w:r>
            <w:r w:rsidRPr="004A1F23">
              <w:t>. január 1-jétől</w:t>
            </w:r>
            <w:r w:rsidRPr="004A1F23">
              <w:rPr>
                <w:b/>
                <w:i/>
              </w:rPr>
              <w:t>]</w:t>
            </w:r>
            <w:r w:rsidRPr="004A1F23">
              <w:t xml:space="preserve"> alkalmazzák ezeket a rendelkezéseket.</w:t>
            </w:r>
          </w:p>
        </w:tc>
        <w:tc>
          <w:tcPr>
            <w:tcW w:w="4876" w:type="dxa"/>
          </w:tcPr>
          <w:p w:rsidR="00125939" w:rsidRPr="004A1F23" w:rsidRDefault="00125939" w:rsidP="00B7132C">
            <w:pPr>
              <w:pStyle w:val="Normal6a"/>
              <w:rPr>
                <w:szCs w:val="24"/>
              </w:rPr>
            </w:pPr>
            <w:r w:rsidRPr="004A1F23">
              <w:t xml:space="preserve">A tagállamok </w:t>
            </w:r>
            <w:r w:rsidRPr="004A1F23">
              <w:rPr>
                <w:b/>
                <w:i/>
              </w:rPr>
              <w:t>2025</w:t>
            </w:r>
            <w:r w:rsidRPr="004A1F23">
              <w:t>. január 1-jétől alkalmazzák ezeket a rendelkezéseket.</w:t>
            </w:r>
          </w:p>
        </w:tc>
      </w:tr>
    </w:tbl>
    <w:p w:rsidR="00125939" w:rsidRPr="004A1F23" w:rsidRDefault="00125939" w:rsidP="00125939"/>
    <w:p w:rsidR="00E365E1" w:rsidRPr="004A1F23" w:rsidRDefault="00E365E1" w:rsidP="003C5A12">
      <w:bookmarkStart w:id="8" w:name="TextBodyEnd"/>
      <w:bookmarkEnd w:id="8"/>
    </w:p>
    <w:sectPr w:rsidR="00E365E1" w:rsidRPr="004A1F23" w:rsidSect="00A4368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5A12" w:rsidRPr="00A43684" w:rsidRDefault="003C5A12">
      <w:r w:rsidRPr="00A43684">
        <w:separator/>
      </w:r>
    </w:p>
  </w:endnote>
  <w:endnote w:type="continuationSeparator" w:id="0">
    <w:p w:rsidR="003C5A12" w:rsidRPr="00A43684" w:rsidRDefault="003C5A12">
      <w:r w:rsidRPr="00A436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6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6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6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5A12" w:rsidRPr="00A43684" w:rsidRDefault="003C5A12">
      <w:r w:rsidRPr="00A43684">
        <w:separator/>
      </w:r>
    </w:p>
  </w:footnote>
  <w:footnote w:type="continuationSeparator" w:id="0">
    <w:p w:rsidR="003C5A12" w:rsidRPr="00A43684" w:rsidRDefault="003C5A12">
      <w:r w:rsidRPr="00A436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6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6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36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HU"/>
    <w:docVar w:name="dvnumam" w:val="0"/>
    <w:docVar w:name="dvpe" w:val="756.000"/>
    <w:docVar w:name="dvrapporteur" w:val="Előadó: "/>
    <w:docVar w:name="dvstar" w:val="*"/>
    <w:docVar w:name="dvtitre" w:val="Az Európai Parlament 2024.  ...-i jogalkotási állásfoglalása a transzferárazásról szóló tanácsi irányelvre irányuló javaslatról(COM(2023)0529 – C9-0339/2023 – 2023/0322(CNS))"/>
  </w:docVars>
  <w:rsids>
    <w:rsidRoot w:val="003C5A12"/>
    <w:rsid w:val="00002272"/>
    <w:rsid w:val="00064002"/>
    <w:rsid w:val="000677B9"/>
    <w:rsid w:val="000831BA"/>
    <w:rsid w:val="000A42CC"/>
    <w:rsid w:val="000E7DD9"/>
    <w:rsid w:val="0010095E"/>
    <w:rsid w:val="00125939"/>
    <w:rsid w:val="00125B37"/>
    <w:rsid w:val="00187494"/>
    <w:rsid w:val="001F32AE"/>
    <w:rsid w:val="002318C8"/>
    <w:rsid w:val="002767FF"/>
    <w:rsid w:val="002A7495"/>
    <w:rsid w:val="002B18FE"/>
    <w:rsid w:val="002B5493"/>
    <w:rsid w:val="00343214"/>
    <w:rsid w:val="00361C00"/>
    <w:rsid w:val="00395FA1"/>
    <w:rsid w:val="003C5A12"/>
    <w:rsid w:val="003E15D4"/>
    <w:rsid w:val="00411CCE"/>
    <w:rsid w:val="0041666E"/>
    <w:rsid w:val="00421060"/>
    <w:rsid w:val="0042629A"/>
    <w:rsid w:val="00471C19"/>
    <w:rsid w:val="004867E3"/>
    <w:rsid w:val="00494A28"/>
    <w:rsid w:val="004A1F23"/>
    <w:rsid w:val="004C0004"/>
    <w:rsid w:val="004C5D52"/>
    <w:rsid w:val="0050519A"/>
    <w:rsid w:val="005072A1"/>
    <w:rsid w:val="00514517"/>
    <w:rsid w:val="00545827"/>
    <w:rsid w:val="00560270"/>
    <w:rsid w:val="005A49C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EA9"/>
    <w:rsid w:val="00A1687D"/>
    <w:rsid w:val="00A43684"/>
    <w:rsid w:val="00A43E52"/>
    <w:rsid w:val="00A4678D"/>
    <w:rsid w:val="00A778C7"/>
    <w:rsid w:val="00AB441E"/>
    <w:rsid w:val="00AB6293"/>
    <w:rsid w:val="00AE0928"/>
    <w:rsid w:val="00AF3B82"/>
    <w:rsid w:val="00B12E95"/>
    <w:rsid w:val="00B22876"/>
    <w:rsid w:val="00B558F0"/>
    <w:rsid w:val="00B7132C"/>
    <w:rsid w:val="00BD48FE"/>
    <w:rsid w:val="00BD7BD8"/>
    <w:rsid w:val="00BE6ADC"/>
    <w:rsid w:val="00C05BFE"/>
    <w:rsid w:val="00C23CD4"/>
    <w:rsid w:val="00C353E0"/>
    <w:rsid w:val="00C61C0C"/>
    <w:rsid w:val="00C941CB"/>
    <w:rsid w:val="00CC2357"/>
    <w:rsid w:val="00CF071A"/>
    <w:rsid w:val="00D058B8"/>
    <w:rsid w:val="00D56C11"/>
    <w:rsid w:val="00D834A0"/>
    <w:rsid w:val="00D872DF"/>
    <w:rsid w:val="00D91E21"/>
    <w:rsid w:val="00DA7FCD"/>
    <w:rsid w:val="00DE5EB1"/>
    <w:rsid w:val="00E365E1"/>
    <w:rsid w:val="00E820A4"/>
    <w:rsid w:val="00EB006A"/>
    <w:rsid w:val="00EB4772"/>
    <w:rsid w:val="00ED169E"/>
    <w:rsid w:val="00ED4235"/>
    <w:rsid w:val="00EF1DBC"/>
    <w:rsid w:val="00F04346"/>
    <w:rsid w:val="00F075DC"/>
    <w:rsid w:val="00F149E9"/>
    <w:rsid w:val="00F5134D"/>
    <w:rsid w:val="00F74202"/>
    <w:rsid w:val="00F87713"/>
    <w:rsid w:val="00F973E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F4A98"/>
  <w15:chartTrackingRefBased/>
  <w15:docId w15:val="{0579C707-5285-4FA6-8C31-B86AD9C9B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5939"/>
    <w:pPr>
      <w:spacing w:before="480" w:after="240"/>
    </w:pPr>
  </w:style>
  <w:style w:type="paragraph" w:customStyle="1" w:styleId="Normal6a">
    <w:name w:val="Normal6a"/>
    <w:basedOn w:val="Normal"/>
    <w:rsid w:val="00125939"/>
    <w:pPr>
      <w:spacing w:after="120"/>
    </w:pPr>
  </w:style>
  <w:style w:type="paragraph" w:customStyle="1" w:styleId="NormalBold">
    <w:name w:val="NormalBold"/>
    <w:basedOn w:val="Normal"/>
    <w:rsid w:val="00125939"/>
    <w:rPr>
      <w:b/>
    </w:rPr>
  </w:style>
  <w:style w:type="paragraph" w:customStyle="1" w:styleId="NormalHanging12a">
    <w:name w:val="NormalHanging12a"/>
    <w:basedOn w:val="Normal"/>
    <w:rsid w:val="00125939"/>
    <w:pPr>
      <w:spacing w:after="240"/>
      <w:ind w:left="567" w:hanging="567"/>
    </w:pPr>
  </w:style>
  <w:style w:type="paragraph" w:customStyle="1" w:styleId="AmColumnHeading">
    <w:name w:val="AmColumnHeading"/>
    <w:basedOn w:val="Normal"/>
    <w:rsid w:val="00125939"/>
    <w:pPr>
      <w:spacing w:after="240"/>
      <w:jc w:val="center"/>
    </w:pPr>
    <w:rPr>
      <w:i/>
    </w:rPr>
  </w:style>
  <w:style w:type="paragraph" w:customStyle="1" w:styleId="AmNumberTabs">
    <w:name w:val="AmNumberTabs"/>
    <w:basedOn w:val="Normal"/>
    <w:link w:val="AmNumberTabsChar"/>
    <w:rsid w:val="001259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25939"/>
    <w:pPr>
      <w:spacing w:before="240"/>
    </w:pPr>
    <w:rPr>
      <w:b/>
    </w:rPr>
  </w:style>
  <w:style w:type="character" w:styleId="Hyperlink">
    <w:name w:val="Hyperlink"/>
    <w:uiPriority w:val="99"/>
    <w:rsid w:val="00125939"/>
    <w:rPr>
      <w:color w:val="0000FF"/>
      <w:u w:val="single"/>
    </w:rPr>
  </w:style>
  <w:style w:type="character" w:customStyle="1" w:styleId="AmNumberTabsChar">
    <w:name w:val="AmNumberTabs Char"/>
    <w:basedOn w:val="DefaultParagraphFont"/>
    <w:link w:val="AmNumberTabs"/>
    <w:rsid w:val="00125939"/>
    <w:rPr>
      <w:b/>
      <w:sz w:val="24"/>
      <w:lang w:val="hu-HU"/>
    </w:rPr>
  </w:style>
  <w:style w:type="character" w:customStyle="1" w:styleId="NormalBold12bChar">
    <w:name w:val="NormalBold12b Char"/>
    <w:basedOn w:val="AmNumberTabsChar"/>
    <w:link w:val="NormalBold12b"/>
    <w:rsid w:val="00125939"/>
    <w:rPr>
      <w:b/>
      <w:sz w:val="24"/>
      <w:lang w:val="hu-HU"/>
    </w:rPr>
  </w:style>
  <w:style w:type="paragraph" w:styleId="BalloonText">
    <w:name w:val="Balloon Text"/>
    <w:basedOn w:val="Normal"/>
    <w:link w:val="BalloonTextChar"/>
    <w:rsid w:val="005A49CE"/>
    <w:rPr>
      <w:rFonts w:ascii="Segoe UI" w:hAnsi="Segoe UI" w:cs="Segoe UI"/>
      <w:sz w:val="18"/>
      <w:szCs w:val="18"/>
    </w:rPr>
  </w:style>
  <w:style w:type="character" w:customStyle="1" w:styleId="BalloonTextChar">
    <w:name w:val="Balloon Text Char"/>
    <w:basedOn w:val="DefaultParagraphFont"/>
    <w:link w:val="BalloonText"/>
    <w:rsid w:val="005A49CE"/>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HU/TXT/?uri=uriserv:OJ.C_.2006.176.01.0001.01.HUN&amp;toc=OJ:C:2006:176:FULL" TargetMode="External"/><Relationship Id="rId4" Type="http://schemas.openxmlformats.org/officeDocument/2006/relationships/settings" Target="settings.xml"/><Relationship Id="rId9" Type="http://schemas.openxmlformats.org/officeDocument/2006/relationships/hyperlink" Target="https://eur-lex.europa.eu/legal-content/HU/TXT/?uri=uriserv:OJ.C_.2006.176.01.0001.01.HUN&amp;toc=OJ:C:2006:176: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E2C35-6B95-4642-BCCD-CD30326FA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5805</Words>
  <Characters>41728</Characters>
  <Application>Microsoft Office Word</Application>
  <DocSecurity>0</DocSecurity>
  <Lines>347</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Karina Pesa</cp:lastModifiedBy>
  <cp:revision>2</cp:revision>
  <cp:lastPrinted>2004-11-19T15:42:00Z</cp:lastPrinted>
  <dcterms:created xsi:type="dcterms:W3CDTF">2025-01-15T09:39:00Z</dcterms:created>
  <dcterms:modified xsi:type="dcterms:W3CDTF">2025-01-15T09:39:00Z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P9_TA(2024)0219_</vt:lpwstr>
  </property>
  <property fmtid="{D5CDD505-2E9C-101B-9397-08002B2CF9AE}" pid="4" name="&lt;Type&gt;">
    <vt:lpwstr>RR</vt:lpwstr>
  </property>
</Properties>
</file>