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2732" w:rsidTr="0010095E">
        <w:trPr>
          <w:trHeight w:hRule="exact" w:val="1418"/>
        </w:trPr>
        <w:tc>
          <w:tcPr>
            <w:tcW w:w="6804" w:type="dxa"/>
            <w:shd w:val="clear" w:color="auto" w:fill="auto"/>
            <w:vAlign w:val="center"/>
          </w:tcPr>
          <w:p w:rsidR="00751A4A" w:rsidRPr="00F22732" w:rsidRDefault="00195E63" w:rsidP="0010095E">
            <w:pPr>
              <w:pStyle w:val="EPName"/>
            </w:pPr>
            <w:r w:rsidRPr="00F22732">
              <w:t>Europos Parlamentas</w:t>
            </w:r>
          </w:p>
          <w:p w:rsidR="00751A4A" w:rsidRPr="00F22732" w:rsidRDefault="00817416" w:rsidP="00756632">
            <w:pPr>
              <w:pStyle w:val="EPTerm"/>
              <w:rPr>
                <w:rStyle w:val="HideTWBExt"/>
                <w:noProof w:val="0"/>
                <w:vanish w:val="0"/>
                <w:color w:val="auto"/>
              </w:rPr>
            </w:pPr>
            <w:r w:rsidRPr="00F22732">
              <w:t>2019-2024</w:t>
            </w:r>
          </w:p>
        </w:tc>
        <w:tc>
          <w:tcPr>
            <w:tcW w:w="2268" w:type="dxa"/>
            <w:shd w:val="clear" w:color="auto" w:fill="auto"/>
          </w:tcPr>
          <w:p w:rsidR="00751A4A" w:rsidRPr="00F22732" w:rsidRDefault="00187494" w:rsidP="0010095E">
            <w:pPr>
              <w:pStyle w:val="EPLogo"/>
            </w:pPr>
            <w:r w:rsidRPr="00F227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2732" w:rsidRDefault="00D058B8" w:rsidP="004C5D52">
      <w:pPr>
        <w:pStyle w:val="LineTop"/>
      </w:pPr>
    </w:p>
    <w:p w:rsidR="00680577" w:rsidRPr="00F22732" w:rsidRDefault="00195E63" w:rsidP="00680577">
      <w:pPr>
        <w:pStyle w:val="EPBodyTA1"/>
      </w:pPr>
      <w:r w:rsidRPr="00F22732">
        <w:t>PRIIMTI TEKSTAI</w:t>
      </w:r>
    </w:p>
    <w:p w:rsidR="00D058B8" w:rsidRPr="00F22732" w:rsidRDefault="00D058B8" w:rsidP="00D058B8">
      <w:pPr>
        <w:pStyle w:val="LineBottom"/>
      </w:pPr>
    </w:p>
    <w:p w:rsidR="00195E63" w:rsidRPr="00F22732" w:rsidRDefault="00195E63" w:rsidP="00195E63">
      <w:pPr>
        <w:pStyle w:val="ATHeading1"/>
      </w:pPr>
      <w:bookmarkStart w:id="0" w:name="TANumber"/>
      <w:r w:rsidRPr="00F22732">
        <w:t>P9_TA(2024)0</w:t>
      </w:r>
      <w:r w:rsidR="001710E8">
        <w:t>219</w:t>
      </w:r>
      <w:bookmarkEnd w:id="0"/>
    </w:p>
    <w:p w:rsidR="00195E63" w:rsidRPr="00124409" w:rsidRDefault="009247A3" w:rsidP="00195E63">
      <w:pPr>
        <w:pStyle w:val="ATHeading2"/>
      </w:pPr>
      <w:bookmarkStart w:id="1" w:name="title"/>
      <w:r w:rsidRPr="00124409">
        <w:t>Sandorių kainodara</w:t>
      </w:r>
      <w:bookmarkEnd w:id="1"/>
    </w:p>
    <w:p w:rsidR="00195E63" w:rsidRPr="00F22732" w:rsidRDefault="00195E63" w:rsidP="00195E63">
      <w:pPr>
        <w:rPr>
          <w:i/>
          <w:vanish/>
        </w:rPr>
      </w:pPr>
      <w:r w:rsidRPr="00F22732">
        <w:rPr>
          <w:i/>
        </w:rPr>
        <w:fldChar w:fldCharType="begin"/>
      </w:r>
      <w:r w:rsidRPr="00F22732">
        <w:rPr>
          <w:i/>
        </w:rPr>
        <w:instrText xml:space="preserve"> TC"(</w:instrText>
      </w:r>
      <w:bookmarkStart w:id="2" w:name="DocNumber"/>
      <w:r w:rsidRPr="00F22732">
        <w:rPr>
          <w:i/>
        </w:rPr>
        <w:instrText>A9-0066/2024</w:instrText>
      </w:r>
      <w:bookmarkEnd w:id="2"/>
      <w:r w:rsidRPr="00F22732">
        <w:rPr>
          <w:i/>
        </w:rPr>
        <w:instrText xml:space="preserve"> - Pranešėja: Kira Marie Peter</w:instrText>
      </w:r>
      <w:r w:rsidRPr="00F22732">
        <w:rPr>
          <w:i/>
        </w:rPr>
        <w:noBreakHyphen/>
        <w:instrText xml:space="preserve">Hansen)"\l3 \n&gt; \* MERGEFORMAT </w:instrText>
      </w:r>
      <w:r w:rsidRPr="00F22732">
        <w:rPr>
          <w:i/>
        </w:rPr>
        <w:fldChar w:fldCharType="end"/>
      </w:r>
    </w:p>
    <w:p w:rsidR="00195E63" w:rsidRPr="00F22732" w:rsidRDefault="00195E63" w:rsidP="00195E63">
      <w:pPr>
        <w:rPr>
          <w:vanish/>
        </w:rPr>
      </w:pPr>
      <w:bookmarkStart w:id="3" w:name="Commission"/>
      <w:r w:rsidRPr="00F22732">
        <w:rPr>
          <w:vanish/>
        </w:rPr>
        <w:t>Ekonomikos ir pinigų politikos komitetas</w:t>
      </w:r>
      <w:bookmarkEnd w:id="3"/>
    </w:p>
    <w:p w:rsidR="00195E63" w:rsidRPr="00F22732" w:rsidRDefault="00195E63" w:rsidP="00195E63">
      <w:pPr>
        <w:rPr>
          <w:vanish/>
        </w:rPr>
      </w:pPr>
      <w:bookmarkStart w:id="4" w:name="PE"/>
      <w:r w:rsidRPr="00F22732">
        <w:rPr>
          <w:vanish/>
        </w:rPr>
        <w:t>PE756.000</w:t>
      </w:r>
      <w:bookmarkEnd w:id="4"/>
    </w:p>
    <w:p w:rsidR="00195E63" w:rsidRPr="00F22732" w:rsidRDefault="00195E63" w:rsidP="00195E63">
      <w:pPr>
        <w:pStyle w:val="ATHeading3"/>
      </w:pPr>
      <w:bookmarkStart w:id="5" w:name="Sujet"/>
      <w:r w:rsidRPr="00F22732">
        <w:t xml:space="preserve">2024 m. </w:t>
      </w:r>
      <w:r w:rsidR="00891CA2" w:rsidRPr="00F22732">
        <w:t>balandžio</w:t>
      </w:r>
      <w:r w:rsidRPr="00F22732">
        <w:t xml:space="preserve"> </w:t>
      </w:r>
      <w:r w:rsidR="009247A3">
        <w:t>10</w:t>
      </w:r>
      <w:r w:rsidRPr="00F22732">
        <w:t xml:space="preserve"> d. Europos Parlamento teisėkūros rezoliucija dėl pasiūlymo dėl Tarybos direktyvos dėl sandorių kainodaros</w:t>
      </w:r>
      <w:bookmarkEnd w:id="5"/>
      <w:r w:rsidRPr="00F22732">
        <w:t xml:space="preserve"> </w:t>
      </w:r>
      <w:bookmarkStart w:id="6" w:name="References"/>
      <w:r w:rsidRPr="00F22732">
        <w:t>(COM(2023)0529 – C9-0339/2023 – 2023/0322(CNS))</w:t>
      </w:r>
      <w:bookmarkEnd w:id="6"/>
    </w:p>
    <w:p w:rsidR="00195E63" w:rsidRPr="00F22732" w:rsidRDefault="00195E63" w:rsidP="00195E63"/>
    <w:p w:rsidR="00EA365F" w:rsidRPr="00F22732" w:rsidRDefault="00EA365F" w:rsidP="00EA365F">
      <w:pPr>
        <w:pStyle w:val="NormalBold"/>
      </w:pPr>
      <w:bookmarkStart w:id="7" w:name="TextBodyBegin"/>
      <w:bookmarkEnd w:id="7"/>
      <w:r w:rsidRPr="00F22732">
        <w:t>(Speciali teisėkūros procedūra: konsultavimasis)</w:t>
      </w:r>
    </w:p>
    <w:p w:rsidR="00EA365F" w:rsidRPr="00F22732" w:rsidRDefault="00EA365F" w:rsidP="00EA365F">
      <w:pPr>
        <w:pStyle w:val="EPComma"/>
      </w:pPr>
      <w:r w:rsidRPr="00F22732">
        <w:rPr>
          <w:i/>
        </w:rPr>
        <w:t>Europos Parlamentas</w:t>
      </w:r>
      <w:r w:rsidRPr="00F22732">
        <w:t>,</w:t>
      </w:r>
    </w:p>
    <w:p w:rsidR="00EA365F" w:rsidRPr="00F22732" w:rsidRDefault="00EA365F" w:rsidP="00EA365F">
      <w:pPr>
        <w:pStyle w:val="NormalHanging12a"/>
      </w:pPr>
      <w:r w:rsidRPr="00F22732">
        <w:t>–</w:t>
      </w:r>
      <w:r w:rsidRPr="00F22732">
        <w:tab/>
        <w:t>atsižvelgdamas į Komisijos pasiūlymą Tarybai (COM(2023)0529),</w:t>
      </w:r>
    </w:p>
    <w:p w:rsidR="00EA365F" w:rsidRPr="00F22732" w:rsidRDefault="00EA365F" w:rsidP="00EA365F">
      <w:pPr>
        <w:pStyle w:val="NormalHanging12a"/>
      </w:pPr>
      <w:r w:rsidRPr="00F22732">
        <w:t>–</w:t>
      </w:r>
      <w:r w:rsidRPr="00F22732">
        <w:tab/>
        <w:t>atsižvelgdamas į Sutarties dėl Europos Sąjungos veikimo 115 straipsnį, pagal kurį Taryba kreipėsi į Parlamentą dėl konsultacijos (C9</w:t>
      </w:r>
      <w:r w:rsidRPr="00F22732">
        <w:noBreakHyphen/>
        <w:t>0339/2023),</w:t>
      </w:r>
    </w:p>
    <w:p w:rsidR="00EA365F" w:rsidRPr="00F22732" w:rsidRDefault="00EA365F" w:rsidP="00EA365F">
      <w:pPr>
        <w:pStyle w:val="NormalHanging12a"/>
      </w:pPr>
      <w:r w:rsidRPr="00F22732">
        <w:t>–</w:t>
      </w:r>
      <w:r w:rsidRPr="00F22732">
        <w:tab/>
        <w:t>atsižvelgdamas į Darbo tvarkos taisyklių 82 straipsnį,</w:t>
      </w:r>
    </w:p>
    <w:p w:rsidR="00EA365F" w:rsidRPr="00F22732" w:rsidRDefault="00EA365F" w:rsidP="00EA365F">
      <w:pPr>
        <w:pStyle w:val="NormalHanging12a"/>
      </w:pPr>
      <w:r w:rsidRPr="00F22732">
        <w:t>–</w:t>
      </w:r>
      <w:r w:rsidRPr="00F22732">
        <w:tab/>
        <w:t>atsižvelgdamas į Ekonomikos ir pinigų politikos komiteto pranešimą (A9-0066/2024),</w:t>
      </w:r>
    </w:p>
    <w:p w:rsidR="00EA365F" w:rsidRPr="00F22732" w:rsidRDefault="00EA365F" w:rsidP="00EA365F">
      <w:pPr>
        <w:pStyle w:val="NormalHanging12a"/>
      </w:pPr>
      <w:r w:rsidRPr="00F22732">
        <w:t>1.</w:t>
      </w:r>
      <w:r w:rsidRPr="00F22732">
        <w:tab/>
        <w:t>pritaria Komisijos pasiūlymui su pakeitimais;</w:t>
      </w:r>
    </w:p>
    <w:p w:rsidR="00EA365F" w:rsidRPr="00F22732" w:rsidRDefault="00EA365F" w:rsidP="00EA365F">
      <w:pPr>
        <w:pStyle w:val="NormalHanging12a"/>
      </w:pPr>
      <w:r w:rsidRPr="00F22732">
        <w:t>2.</w:t>
      </w:r>
      <w:r w:rsidRPr="00F22732">
        <w:tab/>
        <w:t>ragina Komisiją atitinkamai pakeisti savo pasiūlymą pagal Sutarties dėl Europos Sąjungos veikimo 293 straipsnio 2 dalį;</w:t>
      </w:r>
    </w:p>
    <w:p w:rsidR="00EA365F" w:rsidRPr="00F22732" w:rsidRDefault="00EA365F" w:rsidP="00EA365F">
      <w:pPr>
        <w:pStyle w:val="NormalHanging12a"/>
      </w:pPr>
      <w:r w:rsidRPr="00F22732">
        <w:t>3.</w:t>
      </w:r>
      <w:r w:rsidRPr="00F22732">
        <w:tab/>
        <w:t>ragina Tarybą pranešti Parlamentui, jei ji ketina nukrypti nuo teksto, kuriam pritarė Parlamentas;</w:t>
      </w:r>
    </w:p>
    <w:p w:rsidR="00EA365F" w:rsidRPr="00F22732" w:rsidRDefault="00EA365F" w:rsidP="00EA365F">
      <w:pPr>
        <w:pStyle w:val="NormalHanging12a"/>
      </w:pPr>
      <w:r w:rsidRPr="00F22732">
        <w:t>4.</w:t>
      </w:r>
      <w:r w:rsidRPr="00F22732">
        <w:tab/>
        <w:t>ragina Tarybą dar kartą konsultuotis su Parlamentu, jei ji ketina iš esmės keisti Komisijos pasiūlymą;</w:t>
      </w:r>
    </w:p>
    <w:p w:rsidR="00EA365F" w:rsidRPr="00F22732" w:rsidRDefault="00EA365F" w:rsidP="00EA365F">
      <w:pPr>
        <w:pStyle w:val="NormalHanging12a"/>
      </w:pPr>
      <w:r w:rsidRPr="00F22732">
        <w:t>5.</w:t>
      </w:r>
      <w:r w:rsidRPr="00F22732">
        <w:tab/>
        <w:t>paveda Pirmininkei perduoti Parlamento poziciją Tarybai, Komisijai ir nacionaliniams parlamentams.</w:t>
      </w:r>
    </w:p>
    <w:p w:rsidR="00EA365F" w:rsidRPr="00F22732" w:rsidRDefault="00EA365F" w:rsidP="00EA365F">
      <w:pPr>
        <w:pStyle w:val="NormalHanging12a"/>
      </w:pPr>
    </w:p>
    <w:p w:rsidR="00EA365F" w:rsidRPr="00F22732" w:rsidRDefault="00EA365F" w:rsidP="00EA365F">
      <w:pPr>
        <w:pStyle w:val="AmNumberTabs"/>
        <w:keepNext/>
      </w:pPr>
    </w:p>
    <w:p w:rsidR="00EA365F" w:rsidRPr="00F22732" w:rsidRDefault="00EA365F" w:rsidP="00EA365F">
      <w:pPr>
        <w:pStyle w:val="AmNumberTabs"/>
      </w:pPr>
      <w:r w:rsidRPr="00F22732">
        <w:t>Pakeitimas</w:t>
      </w:r>
      <w:r w:rsidRPr="00F22732">
        <w:tab/>
      </w:r>
      <w:r w:rsidRPr="00F22732">
        <w:tab/>
        <w:t>1</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2a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(2a)</w:t>
            </w:r>
            <w:r w:rsidRPr="00F22732">
              <w:tab/>
            </w:r>
            <w:r w:rsidRPr="00F22732">
              <w:rPr>
                <w:b/>
                <w:i/>
              </w:rPr>
              <w:t>mokesčių bazės erozija ir pelno perkėlimas (BEPS) – tai tarptautinių įmonių naudojamos mokesčių planavimo strategijos, kuriomis išnaudojamos mokesčių taisyklių spragos ir neatitikimai siekiant išvengti mokesčių mokėjimo.</w:t>
            </w:r>
            <w:r w:rsidRPr="00F22732">
              <w:t xml:space="preserve"> </w:t>
            </w:r>
            <w:r w:rsidRPr="00F22732">
              <w:rPr>
                <w:b/>
                <w:i/>
              </w:rPr>
              <w:t>Nors šiuo metu sandorių kainodara reikalinga siekiant nustatyti, kur pranešama apie pelną, ji taip pat buvo netinkamai naudojama siekiant sumažinti įmonių mokesčio įsipareigojimus tose šalyse, kuriose galioja didesni mokesčių tarifai, ir tai nulėmė pelno perkėlimą.</w:t>
            </w:r>
            <w:r w:rsidRPr="00F22732">
              <w:t xml:space="preserve"> </w:t>
            </w:r>
            <w:r w:rsidRPr="00F22732">
              <w:rPr>
                <w:b/>
                <w:i/>
              </w:rPr>
              <w:t>Ištiestosios rankos principas valstybėse narėse ir mokesčių mokėtojų turėtų būti taikomas taip, kad būtų garantuotas didesnis mokestinis tikrumas mokesčių mokėtojams ir kuo labiau sumažintos galimybės perkelti pelną;</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2</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2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spacing w:after="120"/>
            </w:pPr>
            <w:r w:rsidRPr="00F22732">
              <w:rPr>
                <w:b/>
                <w:i/>
              </w:rPr>
              <w:t>(2b)</w:t>
            </w:r>
            <w:r w:rsidRPr="00F22732">
              <w:tab/>
            </w:r>
            <w:r w:rsidRPr="00F22732">
              <w:rPr>
                <w:b/>
                <w:i/>
              </w:rPr>
              <w:t>ilgalaikis sprendimas, skirtas veiksmingai spręsti mokesčių vengimo problemą ir užtikrinti minimalų veiksmingo tarptautinių įmonių grupių apmokestinimo lygį, turėtų būti proporcingo paskirstymo formulės sistema, naudinga visoms valstybėms narėms;</w:t>
            </w:r>
            <w:r w:rsidRPr="00F22732">
              <w:t xml:space="preserve"> </w:t>
            </w:r>
          </w:p>
        </w:tc>
      </w:tr>
    </w:tbl>
    <w:p w:rsidR="00EA365F" w:rsidRPr="00F22732" w:rsidRDefault="00EA365F" w:rsidP="00EA365F"/>
    <w:p w:rsidR="00EA365F" w:rsidRPr="00F22732" w:rsidRDefault="00EA365F" w:rsidP="00EA365F">
      <w:pPr>
        <w:pStyle w:val="AmNumberTabs"/>
        <w:keepNext/>
      </w:pPr>
      <w:r w:rsidRPr="00F22732">
        <w:lastRenderedPageBreak/>
        <w:t>Pakeitimas</w:t>
      </w:r>
      <w:r w:rsidRPr="00F22732">
        <w:tab/>
      </w:r>
      <w:r w:rsidRPr="00F22732">
        <w:tab/>
        <w:t>3</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3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(3)</w:t>
            </w:r>
            <w:r w:rsidRPr="00F22732">
              <w:tab/>
              <w:t xml:space="preserve">kai valstybės narės skirtingai taiko ar aiškina ištiestosios rankos principą, susidaro aplinkybės, galinčios pakenkti vidaus rinkai. Taikomų sandorių kainodaros taisyklių nenuoseklumas ne tik gali lemti dvigubą apmokestinimą, bet ir sudaryti sąlygas pelno perkėlimui ir </w:t>
            </w:r>
            <w:r w:rsidRPr="00F22732">
              <w:rPr>
                <w:b/>
                <w:i/>
              </w:rPr>
              <w:t>mokesčių vengimui</w:t>
            </w:r>
            <w:r w:rsidRPr="00F22732">
              <w:t xml:space="preserve">. Toks nenuoseklumas </w:t>
            </w:r>
            <w:r w:rsidRPr="00F22732">
              <w:rPr>
                <w:b/>
                <w:i/>
              </w:rPr>
              <w:t>yra didelė mokestinė kliūtis</w:t>
            </w:r>
            <w:r w:rsidRPr="00F22732">
              <w:t xml:space="preserve"> tarpvalstybinę veiklą vykdančioms įmonėms, dėl jo gali atsirasti ekonominių iškraipymų ir neveiksmingumo ir </w:t>
            </w:r>
            <w:r w:rsidRPr="00F22732">
              <w:rPr>
                <w:b/>
                <w:i/>
              </w:rPr>
              <w:t>jis daro neigiamą poveikį</w:t>
            </w:r>
            <w:r w:rsidRPr="00F22732">
              <w:t xml:space="preserve"> tarpvalstybinėms investicijoms ir </w:t>
            </w:r>
            <w:r w:rsidRPr="00F22732">
              <w:rPr>
                <w:b/>
                <w:i/>
              </w:rPr>
              <w:t>augimui</w:t>
            </w:r>
            <w:r w:rsidRPr="00F22732">
              <w:t>;</w:t>
            </w:r>
          </w:p>
        </w:tc>
        <w:tc>
          <w:tcPr>
            <w:tcW w:w="4876" w:type="dxa"/>
          </w:tcPr>
          <w:p w:rsidR="00EA365F" w:rsidRPr="00F22732" w:rsidRDefault="00EA365F" w:rsidP="0086552B">
            <w:pPr>
              <w:pStyle w:val="Normal6a"/>
              <w:rPr>
                <w:szCs w:val="24"/>
              </w:rPr>
            </w:pPr>
            <w:r w:rsidRPr="00F22732">
              <w:t>(3)</w:t>
            </w:r>
            <w:r w:rsidRPr="00F22732">
              <w:tab/>
              <w:t xml:space="preserve">kai valstybės narės </w:t>
            </w:r>
            <w:r w:rsidRPr="00F22732">
              <w:rPr>
                <w:b/>
                <w:i/>
              </w:rPr>
              <w:t xml:space="preserve">labai </w:t>
            </w:r>
            <w:r w:rsidRPr="00F22732">
              <w:t>skirtingai taiko ar aiškina ištiestosios rankos principą, susidaro aplinkybės, galinčios pakenkti vidaus rinkai</w:t>
            </w:r>
            <w:r w:rsidRPr="00F22732">
              <w:rPr>
                <w:b/>
                <w:i/>
              </w:rPr>
              <w:t xml:space="preserve"> ir nulemti nereikalingas išlaidas įmonėms ginčų atveju, taip pat paskatinti žalingą mokesčių konkurenciją, pritraukti agresyvaus mokesčių vengimo struktūras, suformuoti neteisėtą valstybės pagalbą ir sumažinti pajamas iš valstybių narių</w:t>
            </w:r>
            <w:r w:rsidRPr="00F22732">
              <w:t>. Taikomų sandorių kainodaros taisyklių nenuoseklumas ne tik gali lemti dvigubą apmokestinimą, bet ir sudaryti sąlygas pelno perkėlimui</w:t>
            </w:r>
            <w:r w:rsidRPr="00F22732">
              <w:rPr>
                <w:b/>
                <w:i/>
              </w:rPr>
              <w:t>, mokesčių vengimui</w:t>
            </w:r>
            <w:r w:rsidRPr="00F22732">
              <w:t xml:space="preserve"> ir </w:t>
            </w:r>
            <w:r w:rsidRPr="00F22732">
              <w:rPr>
                <w:b/>
                <w:i/>
              </w:rPr>
              <w:t>visiškam neapmokestinimui</w:t>
            </w:r>
            <w:r w:rsidRPr="00F22732">
              <w:t>. Toks</w:t>
            </w:r>
            <w:r w:rsidRPr="00F22732">
              <w:rPr>
                <w:b/>
                <w:i/>
              </w:rPr>
              <w:t xml:space="preserve"> didelis</w:t>
            </w:r>
            <w:r w:rsidRPr="00F22732">
              <w:t xml:space="preserve"> nenuoseklumas </w:t>
            </w:r>
            <w:r w:rsidRPr="00F22732">
              <w:rPr>
                <w:b/>
                <w:i/>
              </w:rPr>
              <w:t>gali kelti didelę grėsmę mokestinėms pajamoms, mokesčių etikai ir ribotiems mokesčių administratorių pajėgumams. Be to, dėl tokio nenuoseklumo gali atsirasti kliūčių</w:t>
            </w:r>
            <w:r w:rsidRPr="00F22732">
              <w:t xml:space="preserve"> tarpvalstybinę veiklą vykdančioms įmonėms, </w:t>
            </w:r>
            <w:r w:rsidRPr="00F22732">
              <w:rPr>
                <w:b/>
                <w:i/>
              </w:rPr>
              <w:t xml:space="preserve">ypač MVĮ, </w:t>
            </w:r>
            <w:r w:rsidRPr="00F22732">
              <w:t xml:space="preserve">dėl jo gali atsirasti ekonominių iškraipymų ir neveiksmingumo ir </w:t>
            </w:r>
            <w:r w:rsidRPr="00F22732">
              <w:rPr>
                <w:b/>
                <w:i/>
              </w:rPr>
              <w:t>neigiamas poveikis</w:t>
            </w:r>
            <w:r w:rsidRPr="00F22732">
              <w:t xml:space="preserve"> tarpvalstybinėms investicijoms</w:t>
            </w:r>
            <w:r w:rsidRPr="00F22732">
              <w:rPr>
                <w:b/>
                <w:i/>
              </w:rPr>
              <w:t>.</w:t>
            </w:r>
            <w:r w:rsidRPr="00F22732">
              <w:t xml:space="preserve"> </w:t>
            </w:r>
            <w:r w:rsidRPr="00F22732">
              <w:rPr>
                <w:b/>
                <w:i/>
              </w:rPr>
              <w:t>Be to, Komisija turėtų užtikrinti, kad dėl šios direktyvos neatsirastų jokių neatitikimų naujausioms EBPO gairėms, įskaitant pirmojo ramsčio, kuriuo siekiama supaprastinti esamas sandorių kainodaros taisykles, A ir B sumas;</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4</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3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(3a)</w:t>
            </w:r>
            <w:r w:rsidRPr="00F22732">
              <w:rPr>
                <w:b/>
                <w:i/>
              </w:rPr>
              <w:tab/>
              <w:t xml:space="preserve">vis dėlto mokesčių administratoriai turėtų atsižvelgti į tai, kad, nesant rinkos jėgų arba priimdamos konkrečią komercinę strategiją, asocijuotosios </w:t>
            </w:r>
            <w:r w:rsidRPr="00F22732">
              <w:rPr>
                <w:b/>
                <w:i/>
              </w:rPr>
              <w:lastRenderedPageBreak/>
              <w:t>įmonės gali būti sąžiningos ir tiksliai nustatyti rinkos kainą;</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5</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3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(3b)</w:t>
            </w:r>
            <w:r w:rsidRPr="00F22732">
              <w:tab/>
            </w:r>
            <w:r w:rsidRPr="00F22732">
              <w:rPr>
                <w:b/>
                <w:i/>
              </w:rPr>
              <w:t>2013 m. pradėjus įgyvendinti BEPS projektą, EBPO, pripažindama metodinius ir duomenų trūkumus, apskaičiavo, kad dėl BEPS praktikos, įskaitant manipuliavimą sandorių kainodara, pasaulyje prarandamų pelno mokesčio pajamų mastas gali būti nuo 100 mlrd. iki 240 mlrd. USD per metus</w:t>
            </w:r>
            <w:r w:rsidRPr="00F22732">
              <w:rPr>
                <w:b/>
                <w:i/>
                <w:vertAlign w:val="superscript"/>
              </w:rPr>
              <w:t>1a</w:t>
            </w:r>
            <w:r w:rsidRPr="00F22732">
              <w:rPr>
                <w:b/>
                <w:i/>
              </w:rPr>
              <w:t>;</w:t>
            </w:r>
          </w:p>
        </w:tc>
      </w:tr>
      <w:tr w:rsidR="00EA365F" w:rsidRPr="00F22732" w:rsidTr="0086552B">
        <w:trPr>
          <w:jc w:val="center"/>
        </w:trPr>
        <w:tc>
          <w:tcPr>
            <w:tcW w:w="4876" w:type="dxa"/>
          </w:tcPr>
          <w:p w:rsidR="00EA365F" w:rsidRPr="00F22732" w:rsidRDefault="00EA365F" w:rsidP="0086552B"/>
        </w:tc>
        <w:tc>
          <w:tcPr>
            <w:tcW w:w="4876" w:type="dxa"/>
          </w:tcPr>
          <w:p w:rsidR="00EA365F" w:rsidRPr="00F22732" w:rsidRDefault="00EA365F" w:rsidP="0086552B">
            <w:pPr>
              <w:pStyle w:val="Normal6a"/>
            </w:pPr>
            <w:r w:rsidRPr="00F22732">
              <w:rPr>
                <w:b/>
                <w:i/>
              </w:rPr>
              <w:t>_________________</w:t>
            </w:r>
          </w:p>
        </w:tc>
      </w:tr>
      <w:tr w:rsidR="00EA365F" w:rsidRPr="00F22732" w:rsidTr="0086552B">
        <w:trPr>
          <w:jc w:val="center"/>
        </w:trPr>
        <w:tc>
          <w:tcPr>
            <w:tcW w:w="4876" w:type="dxa"/>
          </w:tcPr>
          <w:p w:rsidR="00EA365F" w:rsidRPr="00F22732" w:rsidRDefault="00EA365F" w:rsidP="0086552B"/>
        </w:tc>
        <w:tc>
          <w:tcPr>
            <w:tcW w:w="4876" w:type="dxa"/>
          </w:tcPr>
          <w:p w:rsidR="00EA365F" w:rsidRPr="00F22732" w:rsidRDefault="00EA365F" w:rsidP="0086552B">
            <w:pPr>
              <w:pStyle w:val="Normal6a"/>
            </w:pPr>
            <w:r w:rsidRPr="00F22732">
              <w:rPr>
                <w:b/>
                <w:i/>
                <w:vertAlign w:val="superscript"/>
              </w:rPr>
              <w:t>1a</w:t>
            </w:r>
            <w:r w:rsidRPr="00F22732">
              <w:t xml:space="preserve"> </w:t>
            </w:r>
            <w:r w:rsidRPr="00F22732">
              <w:rPr>
                <w:b/>
                <w:i/>
              </w:rPr>
              <w:t>https://www.oecd.org/tax/beps-project-explanatory-statement-9789264263437-en.htm</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6</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(4)</w:t>
            </w:r>
            <w:r w:rsidRPr="00F22732">
              <w:tab/>
              <w:t>šia direktyva nustatomos taisyklės, kad būtų užtikrintas bendras ištiestosios rankos principo taikymas visoje Sąjungoje, siekiant padidinti mokestinį tikrumą</w:t>
            </w:r>
            <w:r w:rsidRPr="00F22732">
              <w:rPr>
                <w:b/>
                <w:i/>
              </w:rPr>
              <w:t xml:space="preserve"> ir</w:t>
            </w:r>
            <w:r w:rsidRPr="00F22732">
              <w:t xml:space="preserve"> sumažinti dvigubo apmokestinimo </w:t>
            </w:r>
            <w:r w:rsidRPr="00F22732">
              <w:rPr>
                <w:b/>
                <w:i/>
              </w:rPr>
              <w:t>ir visiško neapmokestinimo atvejų skaičių</w:t>
            </w:r>
            <w:r w:rsidRPr="00F22732">
              <w:t>;</w:t>
            </w:r>
          </w:p>
        </w:tc>
        <w:tc>
          <w:tcPr>
            <w:tcW w:w="4876" w:type="dxa"/>
          </w:tcPr>
          <w:p w:rsidR="00EA365F" w:rsidRPr="00F22732" w:rsidRDefault="00EA365F" w:rsidP="0086552B">
            <w:pPr>
              <w:pStyle w:val="Normal6a"/>
            </w:pPr>
            <w:r w:rsidRPr="00F22732">
              <w:t>(4)</w:t>
            </w:r>
            <w:r w:rsidRPr="00F22732">
              <w:tab/>
              <w:t>šia direktyva nustatomos taisyklės, kad būtų užtikrintas bendras ištiestosios rankos principo taikymas visoje Sąjungoje, siekiant padidinti mokestinį tikrumą</w:t>
            </w:r>
            <w:r w:rsidRPr="00F22732">
              <w:rPr>
                <w:b/>
                <w:i/>
              </w:rPr>
              <w:t>,</w:t>
            </w:r>
            <w:r w:rsidRPr="00F22732">
              <w:t xml:space="preserve"> sumažinti </w:t>
            </w:r>
            <w:r w:rsidRPr="00F22732">
              <w:rPr>
                <w:b/>
                <w:i/>
              </w:rPr>
              <w:t>visiško neapmokestinimo ir</w:t>
            </w:r>
            <w:r w:rsidRPr="00F22732">
              <w:t xml:space="preserve"> dvigubo apmokestinimo </w:t>
            </w:r>
            <w:r w:rsidRPr="00F22732">
              <w:rPr>
                <w:b/>
                <w:i/>
              </w:rPr>
              <w:t xml:space="preserve">atvejų skaičių, sumažinti mokestinių prievolių vykdymo išlaidas </w:t>
            </w:r>
            <w:r w:rsidRPr="00F22732">
              <w:t xml:space="preserve">ir </w:t>
            </w:r>
            <w:r w:rsidRPr="00F22732">
              <w:rPr>
                <w:b/>
                <w:i/>
              </w:rPr>
              <w:t>bylinėjimąsi, visų pirma mokesčių mokėtojams, kurie Sąjungoje veikia tarpvalstybiniu lygmeniu, ir išvengti piktnaudžiavimo mokesčiais</w:t>
            </w:r>
            <w:r w:rsidRPr="00F22732">
              <w:t>;</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7</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lastRenderedPageBreak/>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(6)</w:t>
            </w:r>
            <w:r w:rsidRPr="00F22732">
              <w:tab/>
              <w:t>siekiant užtikrinti dvigubo apmokestinimo mažinimą, valstybės narės turėtų turėti atitinkamus mechanizmus, kad, kai kitoje valstybėje narėje arba trečiosios valstybės jurisdikcijoje atliekamas pirminis koregavimas, jos galėtų atlikti atitiktinį koregavimą. Visų pirma valstybės narės turėtų turėti galimybę atlikti atitiktinius koregavimus ir turėtų neriboti tokio koregavimo taikymo ne tik vykdant bendro susitarimo procedūras, bet ir: i) pagreitintą procedūrą, kuri turi būti užbaigta per 180 dienų, nepradedant bendro susitarimo procedūros, kai nėra abejonių, kad pirminis koregavimas yra pagrįstas, arba ii) bendrus auditus ar kitokį tarptautinį bendradarbiavimą, pavyzdžiui, daugiašales rizikos vertinimo programas, kaip antai Europos pasitikėjimo ir bendradarbiavimo metodas (ETACA) ir Tarptautinė reikalavimų laikymosi užtikrinimo programa (ICAP);</w:t>
            </w:r>
          </w:p>
        </w:tc>
        <w:tc>
          <w:tcPr>
            <w:tcW w:w="4876" w:type="dxa"/>
          </w:tcPr>
          <w:p w:rsidR="00EA365F" w:rsidRPr="00F22732" w:rsidRDefault="00EA365F" w:rsidP="0086552B">
            <w:pPr>
              <w:pStyle w:val="Normal6a"/>
            </w:pPr>
            <w:r w:rsidRPr="00F22732">
              <w:t>(6)</w:t>
            </w:r>
            <w:r w:rsidRPr="00F22732">
              <w:tab/>
              <w:t>siekiant užtikrinti dvigubo apmokestinimo mažinimą, valstybės narės turėtų turėti atitinkamus mechanizmus, kad, kai kitoje valstybėje narėje arba trečiosios valstybės jurisdikcijoje atliekamas pirminis koregavimas, jos galėtų atlikti atitiktinį koregavimą. Visų pirma valstybės narės turėtų turėti galimybę atlikti atitiktinius koregavimus ir turėtų neriboti tokio koregavimo taikymo ne tik vykdant bendro susitarimo procedūras, bet ir: i) pagreitintą procedūrą, kuri turi būti užbaigta per 180 dienų, nepradedant bendro susitarimo procedūros, kai nėra abejonių, kad pirminis koregavimas yra pagrįstas, arba ii) bendrus auditus ar kitokį tarptautinį bendradarbiavimą, pavyzdžiui, daugiašales rizikos vertinimo programas, kaip antai Europos pasitikėjimo ir bendradarbiavimo metodas (ETACA) ir Tarptautinė reikalavimų laikymosi užtikrinimo programa (ICAP)</w:t>
            </w:r>
            <w:r w:rsidRPr="00F22732">
              <w:rPr>
                <w:b/>
                <w:i/>
              </w:rPr>
              <w:t>.</w:t>
            </w:r>
            <w:r w:rsidRPr="00F22732">
              <w:t xml:space="preserve"> </w:t>
            </w:r>
            <w:r w:rsidRPr="00F22732">
              <w:rPr>
                <w:b/>
                <w:i/>
              </w:rPr>
              <w:t>Tuo tikslu valstybės narės turėtų pasinaudoti visomis Direktyvoje dėl administracinio bendradarbiavimo (DAB), ypač trečiojoje ir šeštojoje DAB, numatytomis procedūromis ir tvarka, taikomomis su išankstine kainodaros tvarka susijusios informacijos mainams ir informacijos apie praneštinus tarpvalstybinius susitarimus, apie kuriuos pranešė tarpininkai arba atitinkamas mokesčių mokėtojas, mainams;</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8</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6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(6a)</w:t>
            </w:r>
            <w:r w:rsidRPr="00F22732">
              <w:rPr>
                <w:b/>
                <w:i/>
              </w:rPr>
              <w:tab/>
              <w:t xml:space="preserve">kadangi gali padaugėti bylinėjimosi, šioje direktyvoje reikalaujama nustatyti pagreitintos procedūros mechanizmus, kuriais būtų reaguojama į visus reikalavimus. </w:t>
            </w:r>
            <w:r w:rsidRPr="00F22732">
              <w:rPr>
                <w:b/>
                <w:i/>
              </w:rPr>
              <w:lastRenderedPageBreak/>
              <w:t>Arbitražo sistema turi veikti greitai, kad būtų galima pasiekti susitarimus ir taip išvengti problemų ir ginčų, kurių gali kilti;</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9</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6 b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(6b)</w:t>
            </w:r>
            <w:r w:rsidRPr="00F22732">
              <w:rPr>
                <w:b/>
                <w:i/>
              </w:rPr>
              <w:tab/>
              <w:t>prieinamų ginčų sprendimo mechanizmų buvimas yra itin svarbus tarpvalstybinei prekybai, nes taip užtikrinamas mokestinis tikrumas ir dvigubo apmokestinimo panaikinimas mokesčių mokėtojams. Didinant ES arbitražo konvencijoje numatytų bendro susitarimo procedūrų taikymą galima paspartinti bylų nagrinėjimą per trumpesnį laikotarpį. Tuo tikslu valstybės narės raginamos skirti pakankamai išteklių, kad būtų laikomasi terminų ir bendro susitarimo procedūros galėtų tapti veiksminga dvigubo apmokestinimo panaikinimo priemone;</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10</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7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(7)</w:t>
            </w:r>
            <w:r w:rsidRPr="00F22732">
              <w:tab/>
              <w:t xml:space="preserve">gali būti pagrįstų priežasčių, dėl kurių atitiktinis koregavimas neatliekamas arba yra mažesnis už pirminį koregavimą. Visų pirma valstybės narės neturėtų atlikti atitiktinių koregavimų, jei: i) nelaikoma, kad pirminis koregavimas atitinka ištiestosios rankos principą; ii) dėl pirminio koregavimo kitame jurisdikciją turinčiame subjekte neapmokestinama pelno suma, nuo kurios asocijuotajai įmonei atitinkamoje valstybėje narėje jau buvo apskaičiuoti mokesčiai, ir iii) kai tai susiję su trečiosios valstybės jurisdikcija, nėra </w:t>
            </w:r>
            <w:r w:rsidRPr="00F22732">
              <w:lastRenderedPageBreak/>
              <w:t>sudaryta sutartis dėl mokesčių. Jei pirminis koregavimas neatliktas, valstybės narės gali atlikti koregavimą sumažindamos sumą tik tuo atveju, jei: i) koregavimas sumažinant sumą atitinka ištiestosios rankos principą</w:t>
            </w:r>
            <w:r w:rsidRPr="00F22732">
              <w:rPr>
                <w:b/>
                <w:i/>
              </w:rPr>
              <w:t>:</w:t>
            </w:r>
            <w:r w:rsidRPr="00F22732">
              <w:t xml:space="preserve"> ii) suma, lygi koreguojant sumažintai sumai, yra įtraukta į kito jurisdikciją turinčio subjekto asocijuotosios įmonės pelną ir ten apmokestinta ir iii) atitinkamam jurisdikciją turinčiam subjektui išsiųstas pranešimas apie ketinimą atlikti koregavimą sumažinant sumą. Ankstesnėmis nuostatomis siekiama užtikrinti, kad: i) valstybės narės galėtų išsaugoti teisę vertinti, ar pirminis koregavimas atitinka ištiestosios rinkos principą ir ii) ar nesama nei dvigubo apmokestinimo, nei visiško neapmokestinimo. Valstybės narės neturėtų sukurti visiško neapmokestinimo atvejų;</w:t>
            </w:r>
          </w:p>
        </w:tc>
        <w:tc>
          <w:tcPr>
            <w:tcW w:w="4876" w:type="dxa"/>
          </w:tcPr>
          <w:p w:rsidR="00EA365F" w:rsidRPr="00F22732" w:rsidRDefault="00EA365F" w:rsidP="0086552B">
            <w:pPr>
              <w:pStyle w:val="Normal6a"/>
              <w:rPr>
                <w:szCs w:val="24"/>
              </w:rPr>
            </w:pPr>
            <w:r w:rsidRPr="00F22732">
              <w:lastRenderedPageBreak/>
              <w:t>(7)</w:t>
            </w:r>
            <w:r w:rsidRPr="00F22732">
              <w:tab/>
              <w:t xml:space="preserve">gali būti pagrįstų priežasčių, dėl kurių atitiktinis koregavimas neatliekamas arba yra mažesnis už pirminį koregavimą. Visų pirma valstybės narės neturėtų atlikti atitiktinių koregavimų, jei: i) nelaikoma, kad pirminis koregavimas atitinka ištiestosios rankos principą; ii) dėl pirminio koregavimo kitame jurisdikciją turinčiame subjekte neapmokestinama pelno suma, nuo kurios asocijuotajai įmonei atitinkamoje valstybėje narėje jau buvo apskaičiuoti mokesčiai, ir iii) kai tai susiję su trečiosios valstybės jurisdikcija, nėra </w:t>
            </w:r>
            <w:r w:rsidRPr="00F22732">
              <w:lastRenderedPageBreak/>
              <w:t>sudaryta sutartis dėl mokesčių. Jei pirminis koregavimas neatliktas, valstybės narės gali atlikti koregavimą sumažindamos sumą tik tuo atveju, jei: i) koregavimas sumažinant sumą atitinka ištiestosios rankos principą</w:t>
            </w:r>
            <w:r w:rsidRPr="00F22732">
              <w:rPr>
                <w:b/>
                <w:i/>
              </w:rPr>
              <w:t xml:space="preserve"> ir dėl jo neatsiranda visiškas neapmokestinimas;</w:t>
            </w:r>
            <w:r w:rsidRPr="00F22732">
              <w:t xml:space="preserve"> ii) suma, lygi koreguojant sumažintai sumai, yra įtraukta į kito jurisdikciją turinčio subjekto asocijuotosios įmonės pelną ir ten apmokestinta ir iii) atitinkamam jurisdikciją turinčiam subjektui išsiųstas pranešimas apie ketinimą atlikti koregavimą sumažinant sumą. Ankstesnėmis nuostatomis siekiama užtikrinti, kad: i) valstybės narės galėtų išsaugoti teisę vertinti, ar pirminis koregavimas atitinka ištiestosios rinkos principą ir ii) ar nesama nei dvigubo apmokestinimo, nei visiško neapmokestinimo. Valstybės narės neturėtų sukurti visiško neapmokestinimo atvejų;</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11</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(13)</w:t>
            </w:r>
            <w:r w:rsidRPr="00F22732">
              <w:tab/>
              <w:t xml:space="preserve">siekiant sumažinti ginčų skaičių ir užtikrinti bendrą požiūrį visoje Sąjungoje, šioje direktyvoje taip pat nustatyta, kad i) mokesčių mokėtojui neturėtų būti taikomas koregavimas, kai jo rezultatai patenka į tarpkvartilinį intervalą, išskyrus atvejus, kai mokesčių administratorius arba mokesčių mokėtojas įrodo, kad konkretus kitoks intervalo išdėstymas yra pagrįstas konkretaus atvejo faktais ir aplinkybėmis. Kai kontroliuojamojo sandorio rezultatai nepatenka į ištiestosios rankos principą atitinkančio intervalo ribas, mokesčių administratoriai turėtų privalėti atlikti visų rezultatų medianos koregavimą, nebent mokesčių mokėtojas arba mokesčių administratorius įrodytų, kad bet kuris kitas intervalo taškas leidžia nustatyti patikimesnę ištiestosios rankos principą </w:t>
            </w:r>
            <w:r w:rsidRPr="00F22732">
              <w:lastRenderedPageBreak/>
              <w:t>atitinkančią kainą konkrečiu nagrinėjamu atveju;</w:t>
            </w:r>
          </w:p>
        </w:tc>
        <w:tc>
          <w:tcPr>
            <w:tcW w:w="4876" w:type="dxa"/>
          </w:tcPr>
          <w:p w:rsidR="00EA365F" w:rsidRPr="00F22732" w:rsidRDefault="00EA365F" w:rsidP="0086552B">
            <w:pPr>
              <w:pStyle w:val="Normal6a"/>
            </w:pPr>
            <w:r w:rsidRPr="00F22732">
              <w:lastRenderedPageBreak/>
              <w:t>(13)</w:t>
            </w:r>
            <w:r w:rsidRPr="00F22732">
              <w:tab/>
              <w:t>siekiant sumažinti ginčų skaičių</w:t>
            </w:r>
            <w:r w:rsidRPr="00F22732">
              <w:rPr>
                <w:b/>
                <w:i/>
              </w:rPr>
              <w:t>, sumažinti įmonių patiriamas susijusias išlaidas</w:t>
            </w:r>
            <w:r w:rsidRPr="00F22732">
              <w:t xml:space="preserve"> ir užtikrinti bendrą požiūrį visoje Sąjungoje, šioje direktyvoje taip pat nustatyta, kad i) mokesčių mokėtojui neturėtų būti taikomas koregavimas, kai jo rezultatai patenka į tarpkvartilinį intervalą, išskyrus atvejus, kai mokesčių administratorius arba mokesčių mokėtojas įrodo, kad konkretus kitoks intervalo išdėstymas yra pagrįstas konkretaus atvejo faktais ir aplinkybėmis. Kai kontroliuojamojo sandorio rezultatai nepatenka į ištiestosios rankos principą atitinkančio intervalo ribas, mokesčių administratoriai turėtų privalėti atlikti visų rezultatų medianos koregavimą, nebent mokesčių mokėtojas arba mokesčių administratorius įrodytų, kad bet kuris kitas </w:t>
            </w:r>
            <w:r w:rsidRPr="00F22732">
              <w:lastRenderedPageBreak/>
              <w:t>intervalo taškas leidžia nustatyti patikimesnę ištiestosios rankos principą atitinkančią kainą konkrečiu nagrinėjamu atveju;</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12</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(14)</w:t>
            </w:r>
            <w:r w:rsidRPr="00F22732">
              <w:tab/>
              <w:t>siekiant sumažinti reikalavimų laikymosi naštą tarpvalstybinę veiklą Sąjungoje vykdantiems mokesčių mokėtojams, taip pat reikėtų pradėti taikyti bendrą požiūrį į dokumentų dėl sandorių kainodaros rengimą. Atsižvelgiant į EBPO sandorių kainodaros gairių V skyrių „Dokumentai“ ir Europos Sąjungos asocijuotųjų įmonių sandorių kainodaros dokumentų elgesio kodeksą</w:t>
            </w:r>
            <w:r w:rsidRPr="00F22732">
              <w:rPr>
                <w:b/>
                <w:i/>
              </w:rPr>
              <w:t>,</w:t>
            </w:r>
            <w:r w:rsidRPr="00F22732">
              <w:t xml:space="preserve"> nustatytas vienas standartinis šablonas, taisyklės dėl turinio ir lingvistiniai reikalavimai, terminai ir mokesčių mokėtojai, kurie turi rengti dokumentus, užtikrintų paprastumą ir padėtų sutaupyti lėšų</w:t>
            </w:r>
            <w:r w:rsidRPr="00F22732">
              <w:rPr>
                <w:vertAlign w:val="superscript"/>
              </w:rPr>
              <w:t>33</w:t>
            </w:r>
            <w:r w:rsidRPr="00F22732">
              <w:t>;</w:t>
            </w:r>
          </w:p>
        </w:tc>
        <w:tc>
          <w:tcPr>
            <w:tcW w:w="4876" w:type="dxa"/>
          </w:tcPr>
          <w:p w:rsidR="00EA365F" w:rsidRPr="00F22732" w:rsidRDefault="00EA365F" w:rsidP="0086552B">
            <w:pPr>
              <w:pStyle w:val="Normal6a"/>
            </w:pPr>
            <w:r w:rsidRPr="00F22732">
              <w:t>(14)</w:t>
            </w:r>
            <w:r w:rsidRPr="00F22732">
              <w:tab/>
              <w:t>siekiant sumažinti reikalavimų laikymosi naštą tarpvalstybinę veiklą Sąjungoje vykdantiems mokesčių mokėtojams</w:t>
            </w:r>
            <w:r w:rsidRPr="00F22732">
              <w:rPr>
                <w:b/>
                <w:i/>
              </w:rPr>
              <w:t xml:space="preserve"> ir šalinti mokesčių vengimo riziką</w:t>
            </w:r>
            <w:r w:rsidRPr="00F22732">
              <w:t>, taip pat reikėtų pradėti taikyti bendrą požiūrį į dokumentų dėl sandorių kainodaros rengimą. Atsižvelgiant į EBPO sandorių kainodaros gairių V skyrių „Dokumentai“ ir Europos Sąjungos asocijuotųjų įmonių sandorių kainodaros dokumentų elgesio kodeksą nustatytas vienas standartinis šablonas, taisyklės dėl turinio ir lingvistiniai reikalavimai, terminai ir mokesčių mokėtojai, kurie turi rengti dokumentus, užtikrintų paprastumą ir padėtų sutaupyti lėšų</w:t>
            </w:r>
            <w:r w:rsidRPr="00F22732">
              <w:rPr>
                <w:vertAlign w:val="superscript"/>
              </w:rPr>
              <w:t>33</w:t>
            </w:r>
            <w:r w:rsidRPr="00F22732">
              <w:rPr>
                <w:b/>
                <w:i/>
              </w:rPr>
              <w:t>. Be to, siekiant sudaryti palankesnes sąlygas mokesčių administratoriams ir įmonėms taikyti šią direktyvą, tuos terminus būtina vienodai aiškinti Sąjungos lygmeniu. Todėl valstybės narės turėtų įgalinti savo mokesčių administratorius veiksmingai vykdyti bendras sandorių kainodaros dokumentavimo pastangas;</w:t>
            </w:r>
          </w:p>
        </w:tc>
      </w:tr>
      <w:tr w:rsidR="00EA365F" w:rsidRPr="00F22732" w:rsidTr="0086552B">
        <w:trPr>
          <w:jc w:val="center"/>
        </w:trPr>
        <w:tc>
          <w:tcPr>
            <w:tcW w:w="4876" w:type="dxa"/>
          </w:tcPr>
          <w:p w:rsidR="00EA365F" w:rsidRPr="00F22732" w:rsidRDefault="00EA365F" w:rsidP="0086552B">
            <w:pPr>
              <w:pStyle w:val="Normal6a"/>
            </w:pPr>
            <w:r w:rsidRPr="00F22732">
              <w:rPr>
                <w:b/>
                <w:i/>
              </w:rPr>
              <w:t>_________________</w:t>
            </w:r>
          </w:p>
        </w:tc>
        <w:tc>
          <w:tcPr>
            <w:tcW w:w="4876" w:type="dxa"/>
          </w:tcPr>
          <w:p w:rsidR="00EA365F" w:rsidRPr="00F22732" w:rsidRDefault="00EA365F" w:rsidP="0086552B">
            <w:pPr>
              <w:pStyle w:val="Normal6a"/>
            </w:pPr>
            <w:r w:rsidRPr="00F22732">
              <w:rPr>
                <w:b/>
                <w:i/>
              </w:rPr>
              <w:t>_________________</w:t>
            </w:r>
          </w:p>
        </w:tc>
      </w:tr>
      <w:tr w:rsidR="00EA365F" w:rsidRPr="00F22732" w:rsidTr="0086552B">
        <w:trPr>
          <w:jc w:val="center"/>
        </w:trPr>
        <w:tc>
          <w:tcPr>
            <w:tcW w:w="4876" w:type="dxa"/>
          </w:tcPr>
          <w:p w:rsidR="00EA365F" w:rsidRPr="00F22732" w:rsidRDefault="00EA365F" w:rsidP="0086552B">
            <w:pPr>
              <w:pStyle w:val="Normal6a"/>
            </w:pPr>
            <w:r w:rsidRPr="00F22732">
              <w:rPr>
                <w:vertAlign w:val="superscript"/>
              </w:rPr>
              <w:t>33</w:t>
            </w:r>
            <w:r w:rsidRPr="00F22732">
              <w:t xml:space="preserve"> 2006 m. birželio 27 d. Europos Sąjungos Tarybos ir Taryboje posėdžiavusių valstybių narių vyriausybių atstovų rezoliucija dėl Europos sąjungos asocijuotųjų įmonių sandorių kainodaros dokumentų (ES SKD) elgesio kodekso, 2006/C 176/01,</w:t>
            </w:r>
            <w:hyperlink r:id="rId9" w:history="1">
              <w:r w:rsidRPr="00F22732">
                <w:rPr>
                  <w:rStyle w:val="Hyperlink"/>
                  <w:color w:val="auto"/>
                </w:rPr>
                <w:t>https://eur-lex.europa.eu/legal-content/LT/TXT/HTML/?uri=CELEX:42006X0728(01)</w:t>
              </w:r>
            </w:hyperlink>
            <w:r w:rsidRPr="00F22732">
              <w:t>.</w:t>
            </w:r>
          </w:p>
        </w:tc>
        <w:tc>
          <w:tcPr>
            <w:tcW w:w="4876" w:type="dxa"/>
          </w:tcPr>
          <w:p w:rsidR="00EA365F" w:rsidRPr="00F22732" w:rsidRDefault="00EA365F" w:rsidP="0086552B">
            <w:pPr>
              <w:pStyle w:val="Normal6a"/>
            </w:pPr>
            <w:r w:rsidRPr="00F22732">
              <w:rPr>
                <w:vertAlign w:val="superscript"/>
              </w:rPr>
              <w:t>33</w:t>
            </w:r>
            <w:r w:rsidRPr="00F22732">
              <w:t xml:space="preserve"> 2006 m. birželio 27 d. Europos Sąjungos Tarybos ir Taryboje posėdžiavusių valstybių narių vyriausybių atstovų rezoliucija dėl Europos sąjungos asocijuotųjų įmonių sandorių kainodaros dokumentų (ES SKD) elgesio kodekso, 2006/C 176/01,</w:t>
            </w:r>
            <w:hyperlink r:id="rId10" w:history="1">
              <w:r w:rsidRPr="00F22732">
                <w:rPr>
                  <w:rStyle w:val="Hyperlink"/>
                  <w:color w:val="auto"/>
                </w:rPr>
                <w:t>https://eur-lex.europa.eu/legal-content/LT/TXT/HTML/?uri=CELEX:42006X0728(01)</w:t>
              </w:r>
            </w:hyperlink>
            <w:r w:rsidRPr="00F22732">
              <w:t>.</w:t>
            </w:r>
          </w:p>
        </w:tc>
      </w:tr>
    </w:tbl>
    <w:p w:rsidR="00EA365F" w:rsidRPr="00F22732" w:rsidRDefault="00EA365F" w:rsidP="00EA365F"/>
    <w:p w:rsidR="00EA365F" w:rsidRPr="00F22732" w:rsidRDefault="00EA365F" w:rsidP="00EA365F">
      <w:pPr>
        <w:pStyle w:val="AmNumberTabs"/>
        <w:keepNext/>
      </w:pPr>
      <w:r w:rsidRPr="00F22732">
        <w:lastRenderedPageBreak/>
        <w:t>Pakeitimas</w:t>
      </w:r>
      <w:r w:rsidRPr="00F22732">
        <w:tab/>
      </w:r>
      <w:r w:rsidRPr="00F22732">
        <w:tab/>
        <w:t>13</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16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(16)</w:t>
            </w:r>
            <w:r w:rsidRPr="00F22732">
              <w:tab/>
              <w:t>siekiant mokesčių mokėtojams suteikti daugiau tikrumo ir sumažinti dvigubo apmokestinimo riziką</w:t>
            </w:r>
            <w:r w:rsidRPr="00F22732">
              <w:rPr>
                <w:b/>
                <w:bCs/>
                <w:i/>
                <w:iCs/>
              </w:rPr>
              <w:t>, šioje direktyvoje numatyta galimybė įgyvendinimo aktais</w:t>
            </w:r>
            <w:r w:rsidRPr="00F22732">
              <w:t xml:space="preserve"> nustatyti tolesnes bendras sandorių kainodaros privalomas taisykles. Tuose </w:t>
            </w:r>
            <w:r w:rsidRPr="00F22732">
              <w:rPr>
                <w:b/>
                <w:bCs/>
                <w:i/>
                <w:iCs/>
              </w:rPr>
              <w:t>įgyvendinimo</w:t>
            </w:r>
            <w:r w:rsidRPr="00F22732">
              <w:t xml:space="preserve"> aktuose mokesčių mokėtojams turėtų būti aiškiai nurodyta, ką Sąjungos mokesčių administratoriai laikytų priimtina taikyti konkretiems sandoriams, taip pat turėtų būti numatytos vadinamosios apsaugos taisyklės, kurios sumažintų reikalavimų laikymosi naštą ir ginčų skaičių. Atsižvelgiant į galimą tokių priemonių poveikį nacionaliniams vykdomiesiems ir vykdymo užtikrinimo įgaliojimams tiesioginio apmokestinimo srityje, naudojimąsi apmokestinimo teisėmis, suteiktomis pagal dvišales ar daugiašales sutartis dėl mokesčių, kuriomis išvengiama dvigubo apmokestinimo arba visiško neapmokestinimo, ir galimą finansinį poveikį valstybių narių mokesčių bazėms, </w:t>
            </w:r>
            <w:r w:rsidRPr="00F22732">
              <w:rPr>
                <w:b/>
                <w:bCs/>
                <w:i/>
                <w:iCs/>
              </w:rPr>
              <w:t>įgyvendinimo įgaliojimai priimti sprendimus pagal šią direktyvą turėtų būti suteikti Tarybai, kuri remtųsi Komisijos pasiūlymu</w:t>
            </w:r>
            <w:r w:rsidRPr="00F22732">
              <w:t>;</w:t>
            </w:r>
          </w:p>
        </w:tc>
        <w:tc>
          <w:tcPr>
            <w:tcW w:w="4876" w:type="dxa"/>
          </w:tcPr>
          <w:p w:rsidR="00EA365F" w:rsidRPr="00F22732" w:rsidRDefault="00EA365F" w:rsidP="0086552B">
            <w:pPr>
              <w:pStyle w:val="Normal6a"/>
              <w:rPr>
                <w:szCs w:val="24"/>
              </w:rPr>
            </w:pPr>
            <w:r w:rsidRPr="00F22732">
              <w:t>(16)</w:t>
            </w:r>
            <w:r w:rsidRPr="00F22732">
              <w:tab/>
              <w:t xml:space="preserve">siekiant mokesčių mokėtojams suteikti daugiau tikrumo ir sumažinti </w:t>
            </w:r>
            <w:r w:rsidRPr="00F22732">
              <w:rPr>
                <w:b/>
                <w:i/>
              </w:rPr>
              <w:t>visiško neapmokestinimo ir</w:t>
            </w:r>
            <w:r w:rsidRPr="00F22732">
              <w:t xml:space="preserve"> dvigubo apmokestinimo riziką</w:t>
            </w:r>
            <w:r w:rsidRPr="00F22732">
              <w:rPr>
                <w:b/>
                <w:bCs/>
                <w:i/>
                <w:iCs/>
              </w:rPr>
              <w:t>, taip pat</w:t>
            </w:r>
            <w:r w:rsidRPr="00F22732">
              <w:t xml:space="preserve"> atsižvelgiant į galimą tokių priemonių poveikį nacionaliniams vykdomiesiems ir vykdymo užtikrinimo įgaliojimams tiesioginio apmokestinimo srityje, naudojimąsi apmokestinimo teisėmis, suteiktomis pagal dvišales ar daugiašales sutartis dėl mokesčių, kuriomis išvengiama dvigubo apmokestinimo arba visiško neapmokestinimo, ir galimą finansinį poveikį valstybių narių mokesčių bazėms, </w:t>
            </w:r>
            <w:r w:rsidRPr="00F22732">
              <w:rPr>
                <w:b/>
                <w:bCs/>
                <w:i/>
                <w:iCs/>
              </w:rPr>
              <w:t>pagal Sutarties dėl Europos Sąjungos veikimo 290 straipsnį Komisijai turėtų būti deleguoti įgaliojimai priimti aktus, siekiant</w:t>
            </w:r>
            <w:r w:rsidRPr="00F22732">
              <w:t xml:space="preserve"> nustatyti tolesnes bendras sandorių kainodaros privalomas taisykles. Tuose </w:t>
            </w:r>
            <w:r w:rsidRPr="00F22732">
              <w:rPr>
                <w:b/>
                <w:bCs/>
                <w:i/>
                <w:iCs/>
              </w:rPr>
              <w:t>deleguotuosiuose</w:t>
            </w:r>
            <w:r w:rsidRPr="00F22732">
              <w:t xml:space="preserve"> aktuose mokesčių mokėtojams turėtų būti aiškiai nurodyta, ką Sąjungos mokesčių administratoriai laikytų priimtina taikyti konkretiems sandoriams, taip pat turėtų būti numatytos vadinamosios apsaugos taisyklės, kurios sumažintų reikalavimų laikymosi naštą ir ginčų skaičių;</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14</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16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(16a)</w:t>
            </w:r>
            <w:r w:rsidRPr="00F22732">
              <w:tab/>
            </w:r>
            <w:r w:rsidRPr="00F22732">
              <w:rPr>
                <w:b/>
                <w:i/>
              </w:rPr>
              <w:t>sandorių kainodara laikui bėgant kinta, todėl bus labai svarbu nuolat stebėti, ar reikia padaryti šios direktyvos pakeitimų siekiant užtikrinti, kad sandorių kainodaros metodika būtų vienoda Sąjungoje ir pasaulinėje arenoje;</w:t>
            </w:r>
            <w:r w:rsidRPr="00F22732">
              <w:t xml:space="preserve"> </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15</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16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(16b)</w:t>
            </w:r>
            <w:r w:rsidRPr="00F22732">
              <w:tab/>
              <w:t xml:space="preserve"> </w:t>
            </w:r>
            <w:r w:rsidRPr="00F22732">
              <w:rPr>
                <w:b/>
                <w:i/>
              </w:rPr>
              <w:t>ES bendras sandorių kainodaros forumas pasiūlė problemų, kurių dėl sandorių kainodaros praktikos kyla visose valstybėse narėse, praktinių sprendimų. Atkūrus tą forumą ir išplėtus jo įgaliojimus valstybių narių nacionaliniams ekspertams kartu su verslo bendruomenės, akademinio pasaulio ir pilietinės visuomenės atstovais sudaromos sąlygos padėti Komisijai ir to rezultatas galėtų būti teisės aktai, kuriais galima pasiekti užsibrėžtą tikslą – padidinti saugumą įmonėms Sąjungoje.</w:t>
            </w:r>
            <w:r w:rsidRPr="00F22732">
              <w:t xml:space="preserve"> </w:t>
            </w:r>
            <w:r w:rsidRPr="00F22732">
              <w:rPr>
                <w:b/>
                <w:i/>
              </w:rPr>
              <w:t>Bendras mokesčių mokėtojų ir mokesčių administratorių požiūris užtikrina platesnį požiūrį ieškant praktinių sprendimų;</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16</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(17)</w:t>
            </w:r>
            <w:r w:rsidRPr="00F22732">
              <w:tab/>
              <w:t>siekdama įvertinti šioje direktyvoje nustatytų naujų taisyklių veiksmingumą, Komisija turėtų parengti vertinimą remdamasi valstybių narių pateikta informacija ir kitais turimais duomenimis;</w:t>
            </w:r>
          </w:p>
        </w:tc>
        <w:tc>
          <w:tcPr>
            <w:tcW w:w="4876" w:type="dxa"/>
          </w:tcPr>
          <w:p w:rsidR="00EA365F" w:rsidRPr="00F22732" w:rsidRDefault="00EA365F" w:rsidP="0086552B">
            <w:pPr>
              <w:pStyle w:val="Normal6a"/>
            </w:pPr>
            <w:r w:rsidRPr="00F22732">
              <w:t>(17)</w:t>
            </w:r>
            <w:r w:rsidRPr="00F22732">
              <w:tab/>
              <w:t>siekdama įvertinti šioje direktyvoje nustatytų naujų taisyklių veiksmingumą</w:t>
            </w:r>
            <w:r w:rsidRPr="00F22732">
              <w:rPr>
                <w:b/>
                <w:i/>
              </w:rPr>
              <w:t xml:space="preserve"> ir poveikį</w:t>
            </w:r>
            <w:r w:rsidRPr="00F22732">
              <w:t>, Komisija turėtų parengti vertinimą remdamasi valstybių narių pateikta informacija ir kitais turimais duomenimis</w:t>
            </w:r>
            <w:r w:rsidRPr="00F22732">
              <w:rPr>
                <w:b/>
                <w:i/>
              </w:rPr>
              <w:t xml:space="preserve"> ir, jei tinkama, pateikti pasiūlymą dėl teisėkūros procedūra priimamo akto</w:t>
            </w:r>
            <w:r w:rsidRPr="00F22732">
              <w:t>;</w:t>
            </w:r>
          </w:p>
        </w:tc>
      </w:tr>
    </w:tbl>
    <w:p w:rsidR="00EA365F" w:rsidRPr="00F22732" w:rsidRDefault="00EA365F" w:rsidP="00EA365F"/>
    <w:p w:rsidR="00EA365F" w:rsidRPr="00F22732" w:rsidRDefault="00EA365F" w:rsidP="00EA365F">
      <w:pPr>
        <w:pStyle w:val="AmNumberTabs"/>
        <w:keepNext/>
      </w:pPr>
      <w:r w:rsidRPr="00F22732">
        <w:lastRenderedPageBreak/>
        <w:t>Pakeitimas</w:t>
      </w:r>
      <w:r w:rsidRPr="00F22732">
        <w:tab/>
      </w:r>
      <w:r w:rsidRPr="00F22732">
        <w:tab/>
        <w:t>17</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17 a konstatuojamoji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(17a)</w:t>
            </w:r>
            <w:r w:rsidRPr="00F22732">
              <w:rPr>
                <w:b/>
                <w:i/>
              </w:rPr>
              <w:tab/>
              <w:t>Komisija turėtų peržiūrėti šios direktyvos taikymą tarptautinėms įmonių grupėms, kurioms taikomas pasiūlymas dėl Tarybos direktyvos dėl sistemos „Verslas Europoje. Pajamų apmokestinimo sistema“ (BEFIT);</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18</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(18)</w:t>
            </w:r>
            <w:r w:rsidRPr="00F22732">
              <w:tab/>
              <w:t>siekiant, kad įmonės galėtų tiesiogiai naudotis vidaus rinkos teikiamais privalumais ir nepatirtų nereikalingos papildomos administracinės naštos, informacija apie šioje direktyvoje nustatytas mokesčių nuostatas turėtų būti prieinama per bendruosius skaitmeninius vartus pagal Reglamentą (ES) 2018/1724</w:t>
            </w:r>
            <w:r w:rsidRPr="00F22732">
              <w:rPr>
                <w:vertAlign w:val="superscript"/>
              </w:rPr>
              <w:t>34</w:t>
            </w:r>
            <w:r w:rsidRPr="00F22732">
              <w:t>. Bendrieji skaitmeniniai vartai suteikia vieną bendrą prieigą tarpvalstybiniams naudotojams prie internetu teikiamos su vidaus rinkos veikimu susijusios informacijos, procedūrų ir pagalbos paslaugų;</w:t>
            </w:r>
          </w:p>
        </w:tc>
        <w:tc>
          <w:tcPr>
            <w:tcW w:w="4876" w:type="dxa"/>
          </w:tcPr>
          <w:p w:rsidR="00EA365F" w:rsidRPr="00F22732" w:rsidRDefault="00EA365F" w:rsidP="0086552B">
            <w:pPr>
              <w:pStyle w:val="Normal6a"/>
            </w:pPr>
            <w:r w:rsidRPr="00F22732">
              <w:t>(18)</w:t>
            </w:r>
            <w:r w:rsidRPr="00F22732">
              <w:tab/>
              <w:t>siekiant, kad įmonės galėtų tiesiogiai naudotis vidaus rinkos teikiamais privalumais ir nepatirtų nereikalingos papildomos administracinės naštos, informacija apie šioje direktyvoje nustatytas mokesčių nuostatas turėtų būti prieinama per bendruosius skaitmeninius vartus pagal Reglamentą (ES) 2018/1724</w:t>
            </w:r>
            <w:r w:rsidRPr="00F22732">
              <w:rPr>
                <w:vertAlign w:val="superscript"/>
              </w:rPr>
              <w:t>34</w:t>
            </w:r>
            <w:r w:rsidRPr="00F22732">
              <w:t>. Bendrieji skaitmeniniai vartai suteikia vieną bendrą prieigą tarpvalstybiniams naudotojams prie internetu teikiamos su vidaus rinkos veikimu susijusios informacijos, procedūrų ir pagalbos paslaugų</w:t>
            </w:r>
            <w:r w:rsidRPr="00F22732">
              <w:rPr>
                <w:b/>
                <w:i/>
              </w:rPr>
              <w:t>.</w:t>
            </w:r>
            <w:r w:rsidRPr="00F22732">
              <w:t xml:space="preserve"> </w:t>
            </w:r>
            <w:r w:rsidRPr="00F22732">
              <w:rPr>
                <w:b/>
                <w:i/>
              </w:rPr>
              <w:t>Ši viena bendra prieiga turėtų būti intuityvi, lengvai prieinama ir aprūpinta reikiamomis priemonėmis, kad nesudarytų naujų biurokratinių kliūčių įmonėms.</w:t>
            </w:r>
            <w:r w:rsidRPr="00F22732">
              <w:t xml:space="preserve"> </w:t>
            </w:r>
            <w:r w:rsidRPr="00F22732">
              <w:rPr>
                <w:b/>
                <w:i/>
              </w:rPr>
              <w:t>Vieno langelio principu grindžiama pridėtinės vertės mokesčio (PVM) sistema yra geras pavyzdys, kaip tokia prieiga turėtų būti sukurta, kad tinkamai veiktų;</w:t>
            </w:r>
          </w:p>
        </w:tc>
      </w:tr>
      <w:tr w:rsidR="00EA365F" w:rsidRPr="00F22732" w:rsidTr="0086552B">
        <w:trPr>
          <w:jc w:val="center"/>
        </w:trPr>
        <w:tc>
          <w:tcPr>
            <w:tcW w:w="4876" w:type="dxa"/>
          </w:tcPr>
          <w:p w:rsidR="00EA365F" w:rsidRPr="00F22732" w:rsidRDefault="00EA365F" w:rsidP="0086552B">
            <w:pPr>
              <w:pStyle w:val="Normal6a"/>
            </w:pPr>
            <w:r w:rsidRPr="00F22732">
              <w:rPr>
                <w:b/>
                <w:i/>
              </w:rPr>
              <w:t>_________________</w:t>
            </w:r>
          </w:p>
        </w:tc>
        <w:tc>
          <w:tcPr>
            <w:tcW w:w="4876" w:type="dxa"/>
          </w:tcPr>
          <w:p w:rsidR="00EA365F" w:rsidRPr="00F22732" w:rsidRDefault="00EA365F" w:rsidP="0086552B">
            <w:pPr>
              <w:pStyle w:val="Normal6a"/>
            </w:pPr>
            <w:r w:rsidRPr="00F22732">
              <w:rPr>
                <w:b/>
                <w:i/>
              </w:rPr>
              <w:t>_________________</w:t>
            </w:r>
          </w:p>
        </w:tc>
      </w:tr>
      <w:tr w:rsidR="00EA365F" w:rsidRPr="00F22732" w:rsidTr="0086552B">
        <w:trPr>
          <w:jc w:val="center"/>
        </w:trPr>
        <w:tc>
          <w:tcPr>
            <w:tcW w:w="4876" w:type="dxa"/>
          </w:tcPr>
          <w:p w:rsidR="00EA365F" w:rsidRPr="00F22732" w:rsidRDefault="00EA365F" w:rsidP="0086552B">
            <w:pPr>
              <w:pStyle w:val="Normal6a"/>
            </w:pPr>
            <w:r w:rsidRPr="00F22732">
              <w:rPr>
                <w:vertAlign w:val="superscript"/>
              </w:rPr>
              <w:t xml:space="preserve">34 </w:t>
            </w:r>
            <w:r w:rsidRPr="00F22732">
              <w:t xml:space="preserve">2018 m. spalio 2 d. Europos Parlamento ir Tarybos reglamentas (ES) 2018/1724, kuriuo sukuriami bendrieji skaitmeniniai vartai, skirti suteikti prieigą prie informacijos, procedūrų ir pagalbos bei </w:t>
            </w:r>
            <w:r w:rsidRPr="00F22732">
              <w:lastRenderedPageBreak/>
              <w:t>problemų sprendimo paslaugų, ir kuriuo iš dalies keičiamas Reglamentas (ES) Nr. 1024/2012 (OL L 295, 2018 11 21, p. 1).</w:t>
            </w:r>
          </w:p>
        </w:tc>
        <w:tc>
          <w:tcPr>
            <w:tcW w:w="4876" w:type="dxa"/>
          </w:tcPr>
          <w:p w:rsidR="00EA365F" w:rsidRPr="00F22732" w:rsidRDefault="00EA365F" w:rsidP="0086552B">
            <w:pPr>
              <w:pStyle w:val="Normal6a"/>
            </w:pPr>
            <w:r w:rsidRPr="00F22732">
              <w:rPr>
                <w:vertAlign w:val="superscript"/>
              </w:rPr>
              <w:lastRenderedPageBreak/>
              <w:t xml:space="preserve">34 </w:t>
            </w:r>
            <w:r w:rsidRPr="00F22732">
              <w:t xml:space="preserve">2018 m. spalio 2 d. Europos Parlamento ir Tarybos reglamentas (ES) 2018/1724, kuriuo sukuriami bendrieji skaitmeniniai vartai, skirti suteikti prieigą prie informacijos, procedūrų ir pagalbos bei </w:t>
            </w:r>
            <w:r w:rsidRPr="00F22732">
              <w:lastRenderedPageBreak/>
              <w:t>problemų sprendimo paslaugų, ir kuriuo iš dalies keičiamas Reglamentas (ES) Nr. 1024/2012 (OL L 295, 2018 11 21, p. 1).</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19</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21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(21)</w:t>
            </w:r>
            <w:r w:rsidRPr="00F22732">
              <w:tab/>
              <w:t>siekiant sumažinti mokesčių mokėtojams tenkančią administracinę naštą, pagal Sutarties dėl Europos Sąjungos veikimo 290 straipsnį Komisijai turėtų būti deleguoti įgaliojimai priimti aktus dėl sandorių kainodaros dokumentų, nustatant bendrus šablonus, lingvistinius reikalavimus, apibrėžiant mokesčių mokėtojų, kurie turi laikytis šių šablonų, rūšis ir terminus.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EA365F" w:rsidRPr="00F22732" w:rsidRDefault="00EA365F" w:rsidP="0086552B">
            <w:pPr>
              <w:pStyle w:val="Normal6a"/>
            </w:pPr>
            <w:r w:rsidRPr="00F22732">
              <w:t>(21)</w:t>
            </w:r>
            <w:r w:rsidRPr="00F22732">
              <w:tab/>
              <w:t>siekiant sumažinti mokesčių mokėtojams tenkančią administracinę naštą</w:t>
            </w:r>
            <w:r w:rsidRPr="00F22732">
              <w:rPr>
                <w:b/>
                <w:i/>
              </w:rPr>
              <w:t xml:space="preserve"> ir mokesčių vengimo riziką</w:t>
            </w:r>
            <w:r w:rsidRPr="00F22732">
              <w:t>, pagal Sutarties dėl Europos Sąjungos veikimo 290 straipsnį Komisijai turėtų būti deleguoti įgaliojimai priimti aktus dėl sandorių kainodaros dokumentų, nustatant bendrus šablonus, lingvistinius reikalavimus, apibrėžiant mokesčių mokėtojų, kurie turi laikytis šių šablonų, rūšis ir terminus.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bl>
    <w:p w:rsidR="00EA365F" w:rsidRPr="00F22732" w:rsidRDefault="00EA365F" w:rsidP="00EA365F"/>
    <w:p w:rsidR="00EA365F" w:rsidRPr="00F22732" w:rsidRDefault="00EA365F" w:rsidP="00EA365F"/>
    <w:p w:rsidR="00EA365F" w:rsidRPr="00F22732" w:rsidRDefault="00EA365F" w:rsidP="00EA365F">
      <w:pPr>
        <w:pStyle w:val="AmNumberTabs"/>
        <w:keepNext/>
      </w:pPr>
      <w:r w:rsidRPr="00F22732">
        <w:lastRenderedPageBreak/>
        <w:t>Pakeitimas</w:t>
      </w:r>
      <w:r w:rsidRPr="00F22732">
        <w:tab/>
      </w:r>
      <w:r w:rsidRPr="00F22732">
        <w:tab/>
        <w:t>20</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 straipsnio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Šia direktyva nustatomos taisyklės, kuriomis siekiama suderinti valstybių narių sandorių kainodaros taisykles ir užtikrinti bendrą ištiestosios rankos principo taikymą Sąjungoje</w:t>
            </w:r>
            <w:r w:rsidRPr="00F22732">
              <w:rPr>
                <w:b/>
                <w:i/>
              </w:rPr>
              <w:t>.</w:t>
            </w:r>
          </w:p>
        </w:tc>
        <w:tc>
          <w:tcPr>
            <w:tcW w:w="4876" w:type="dxa"/>
          </w:tcPr>
          <w:p w:rsidR="00EA365F" w:rsidRPr="00F22732" w:rsidRDefault="00EA365F" w:rsidP="0086552B">
            <w:pPr>
              <w:pStyle w:val="Normal6a"/>
              <w:rPr>
                <w:szCs w:val="24"/>
              </w:rPr>
            </w:pPr>
            <w:r w:rsidRPr="00F22732">
              <w:t>Šia direktyva nustatomos taisyklės, kuriomis siekiama suderinti valstybių narių sandorių kainodaros taisykles ir užtikrinti bendrą ištiestosios rankos principo taikymą Sąjungoje</w:t>
            </w:r>
            <w:r w:rsidRPr="00F22732">
              <w:rPr>
                <w:b/>
                <w:i/>
              </w:rPr>
              <w:t>, siekiant supaprastinti reikalavimų laikymąsi įmonėms, sykiu užtikrinant mokesčių taisyklių vykdymą Sąjungoje;</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21</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3 straipsnio 1 pastraipos 1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w:t>
            </w:r>
            <w:r w:rsidRPr="00F22732">
              <w:tab/>
              <w:t>ištiestosios rankos principas – tarptautinis standartas, pagal kurį asocijuotosios įmonės turi tarpusavyje sudaryti sandorius taip, lyg būtų nepriklausomos trečiosios šalys. Kitaip tariant, sandoriai tarp dviejų asocijuotųjų įmonių turėtų atspindėti rezultatą, kuris būtų pasiektas, jei šalys nebūtų susijusios, t. y. jei šalys būtų nepriklausomos viena nuo kitos, o rezultatą (kainą ar maržas) nustatytų (atvirosios) rinkos jėgos;</w:t>
            </w:r>
          </w:p>
        </w:tc>
        <w:tc>
          <w:tcPr>
            <w:tcW w:w="4876" w:type="dxa"/>
          </w:tcPr>
          <w:p w:rsidR="00EA365F" w:rsidRPr="00F22732" w:rsidRDefault="00EA365F" w:rsidP="0086552B">
            <w:pPr>
              <w:pStyle w:val="Normal6a"/>
            </w:pPr>
            <w:r w:rsidRPr="00F22732">
              <w:t>1)</w:t>
            </w:r>
            <w:r w:rsidRPr="00F22732">
              <w:tab/>
              <w:t xml:space="preserve">ištiestosios rankos principas – </w:t>
            </w:r>
            <w:r w:rsidRPr="00F22732">
              <w:rPr>
                <w:b/>
                <w:i/>
              </w:rPr>
              <w:t xml:space="preserve">EBPO pavyzdinės sutarties dėl apmokestinimo 9 straipsnyje numatytas </w:t>
            </w:r>
            <w:r w:rsidRPr="00F22732">
              <w:t>tarptautinis standartas, pagal kurį asocijuotosios įmonės turi tarpusavyje sudaryti sandorius taip, lyg būtų nepriklausomos trečiosios šalys. Kitaip tariant, sandoriai tarp dviejų asocijuotųjų įmonių turėtų atspindėti rezultatą, kuris būtų pasiektas, jei šalys nebūtų susijusios, t. y. jei šalys būtų nepriklausomos viena nuo kitos, o rezultatą (kainą ar maržas) nustatytų (atvirosios) rinkos jėgos;</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22</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3 straipsnio 1 pastraipos 18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18)</w:t>
            </w:r>
            <w:r w:rsidRPr="00F22732">
              <w:tab/>
              <w:t xml:space="preserve">EBPO sandorių kainodaros gairės – 2022 m. EBPO sandorių kainodaros gairės tarptautinėms įmonėms ir mokesčių administratoriams, patvirtintos EBPO tarybos pagal EBPO tarybos </w:t>
            </w:r>
            <w:r w:rsidRPr="00F22732">
              <w:lastRenderedPageBreak/>
              <w:t>rekomendaciją dėl asocijuotųjų įmonių sando</w:t>
            </w:r>
            <w:r w:rsidR="00772C2D">
              <w:t>rių kainodaros nustatymo [C(95)</w:t>
            </w:r>
            <w:bookmarkStart w:id="8" w:name="_GoBack"/>
            <w:bookmarkEnd w:id="8"/>
            <w:r w:rsidRPr="00F22732">
              <w:t xml:space="preserve">126/final], su pakeitimais, padarytais 2022 m. sausio 20 d., ir įtrauktos į I priedą, ir visi tolesni šių EBPO sandorių kainodaros gairių pakeitimai, kuriuos </w:t>
            </w:r>
            <w:r w:rsidRPr="00F22732">
              <w:rPr>
                <w:b/>
                <w:i/>
              </w:rPr>
              <w:t>Sąjunga</w:t>
            </w:r>
            <w:r w:rsidRPr="00F22732">
              <w:t xml:space="preserve"> patvirtino EBPO fiskalinių reikalų komitete priimdama Sąjungos poziciją pagal SESV 218 </w:t>
            </w:r>
            <w:r w:rsidRPr="00F22732">
              <w:rPr>
                <w:b/>
                <w:i/>
              </w:rPr>
              <w:t>straipsnio 9 dalį</w:t>
            </w:r>
            <w:r w:rsidRPr="00F22732">
              <w:t>;</w:t>
            </w:r>
          </w:p>
        </w:tc>
        <w:tc>
          <w:tcPr>
            <w:tcW w:w="4876" w:type="dxa"/>
          </w:tcPr>
          <w:p w:rsidR="00EA365F" w:rsidRPr="00F22732" w:rsidRDefault="00EA365F" w:rsidP="0086552B">
            <w:pPr>
              <w:pStyle w:val="Normal6a"/>
              <w:rPr>
                <w:szCs w:val="24"/>
              </w:rPr>
            </w:pPr>
            <w:r w:rsidRPr="00F22732">
              <w:lastRenderedPageBreak/>
              <w:t>18)</w:t>
            </w:r>
            <w:r w:rsidRPr="00F22732">
              <w:tab/>
              <w:t xml:space="preserve">EBPO sandorių kainodaros gairės – 2022 m. EBPO sandorių kainodaros gairės tarptautinėms įmonėms ir mokesčių administratoriams, patvirtintos EBPO tarybos pagal EBPO tarybos </w:t>
            </w:r>
            <w:r w:rsidRPr="00F22732">
              <w:lastRenderedPageBreak/>
              <w:t>rekomendaciją dėl asocijuotųjų įmonių sandorių kainodaros nustatymo [C(95</w:t>
            </w:r>
            <w:r w:rsidR="00772C2D">
              <w:t>)</w:t>
            </w:r>
            <w:r w:rsidRPr="00F22732">
              <w:t>126/</w:t>
            </w:r>
            <w:proofErr w:type="spellStart"/>
            <w:r w:rsidRPr="00F22732">
              <w:t>final</w:t>
            </w:r>
            <w:proofErr w:type="spellEnd"/>
            <w:r w:rsidRPr="00F22732">
              <w:t xml:space="preserve">], su pakeitimais, padarytais 2022 m. sausio 20 d., ir įtrauktos į I priedą, ir visi tolesni šių EBPO sandorių kainodaros gairių pakeitimai, kuriuos </w:t>
            </w:r>
            <w:r w:rsidRPr="00F22732">
              <w:rPr>
                <w:b/>
                <w:i/>
              </w:rPr>
              <w:t>valstybės narės</w:t>
            </w:r>
            <w:r w:rsidRPr="00F22732">
              <w:t xml:space="preserve"> patvirtino EBPO fiskalinių reikalų komitete </w:t>
            </w:r>
            <w:r w:rsidRPr="00F22732">
              <w:rPr>
                <w:b/>
                <w:i/>
              </w:rPr>
              <w:t xml:space="preserve">arba kuriuos patvirtino Sąjunga, </w:t>
            </w:r>
            <w:r w:rsidRPr="00F22732">
              <w:t xml:space="preserve">priimdama Sąjungos poziciją pagal SESV 218 </w:t>
            </w:r>
            <w:r w:rsidRPr="00F22732">
              <w:rPr>
                <w:b/>
                <w:i/>
              </w:rPr>
              <w:t>straipsnį</w:t>
            </w:r>
            <w:r w:rsidRPr="00F22732">
              <w:t>;</w:t>
            </w:r>
          </w:p>
        </w:tc>
      </w:tr>
    </w:tbl>
    <w:p w:rsidR="00EA365F" w:rsidRPr="00F22732" w:rsidRDefault="00EA365F" w:rsidP="00EA365F"/>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23</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rPr>
          <w:rStyle w:val="HideTWBExt"/>
          <w:b w:val="0"/>
          <w:noProof w:val="0"/>
          <w:vanish w:val="0"/>
          <w:color w:val="auto"/>
        </w:rPr>
      </w:pPr>
      <w:r w:rsidRPr="00F22732">
        <w:t>3 straipsnio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szCs w:val="24"/>
              </w:rPr>
            </w:pPr>
            <w:r w:rsidRPr="00F22732">
              <w:rPr>
                <w:b/>
                <w:bCs/>
                <w:i/>
                <w:iCs/>
              </w:rPr>
              <w:t>Komisijai pagal 18 straipsnį suteikiami įgaliojimai priimti deleguotuosius aktus, kad būtų įtraukti visi tolesni EBPO sandorių kainodaros gairių, kaip apibrėžta šio straipsnio 18 punkte, pakeitimai, kuriuos valstybės narės patvirtino EBPO Fiskalinių reikalų komitete arba kuriuos patvirtino Sąjunga, priimdama Sąjungos poziciją pagal SESV 218 straipsnį.</w:t>
            </w:r>
          </w:p>
        </w:tc>
      </w:tr>
    </w:tbl>
    <w:p w:rsidR="00EA365F" w:rsidRPr="00F22732" w:rsidRDefault="00EA365F" w:rsidP="00EA365F">
      <w:pPr>
        <w:pStyle w:val="AmNumberTabs"/>
      </w:pPr>
      <w:r w:rsidRPr="00F22732">
        <w:t>Pakeitimas</w:t>
      </w:r>
      <w:r w:rsidRPr="00F22732">
        <w:tab/>
      </w:r>
      <w:r w:rsidRPr="00F22732">
        <w:tab/>
        <w:t>24</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5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a)</w:t>
            </w:r>
            <w:r w:rsidRPr="00F22732">
              <w:tab/>
              <w:t>asmuo dalyvauja valdant kitą asmenį, t. y. tam kitam asmeniui gali daryti reikšmingą įtaką;</w:t>
            </w:r>
          </w:p>
        </w:tc>
        <w:tc>
          <w:tcPr>
            <w:tcW w:w="4876" w:type="dxa"/>
          </w:tcPr>
          <w:p w:rsidR="00EA365F" w:rsidRPr="00F22732" w:rsidRDefault="00EA365F" w:rsidP="0086552B">
            <w:pPr>
              <w:pStyle w:val="Normal6a"/>
            </w:pPr>
            <w:r w:rsidRPr="00F22732">
              <w:rPr>
                <w:i/>
              </w:rPr>
              <w:t>(Tekstas lietuvių kalba nekeičiamas.)</w:t>
            </w:r>
            <w:r w:rsidRPr="00F22732">
              <w:tab/>
              <w:t xml:space="preserve"> </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25</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6 straipsnio 3 dalies a punkto i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i)</w:t>
            </w:r>
            <w:r w:rsidRPr="00F22732">
              <w:tab/>
              <w:t xml:space="preserve">nurodomos visos faktinės ir teisinės </w:t>
            </w:r>
            <w:r w:rsidRPr="00F22732">
              <w:lastRenderedPageBreak/>
              <w:t>aplinkybės, būtinos siekiant pagal ištiestosios rankos principą įvertinti kitoje jurisdikcijoje atliktą pirminį koregavimą;</w:t>
            </w:r>
          </w:p>
        </w:tc>
        <w:tc>
          <w:tcPr>
            <w:tcW w:w="4876" w:type="dxa"/>
          </w:tcPr>
          <w:p w:rsidR="00EA365F" w:rsidRPr="00F22732" w:rsidRDefault="00EA365F" w:rsidP="0086552B">
            <w:pPr>
              <w:pStyle w:val="Normal6a"/>
            </w:pPr>
            <w:r w:rsidRPr="00F22732">
              <w:lastRenderedPageBreak/>
              <w:t>i)</w:t>
            </w:r>
            <w:r w:rsidRPr="00F22732">
              <w:tab/>
              <w:t xml:space="preserve">nurodomos visos faktinės ir teisinės </w:t>
            </w:r>
            <w:r w:rsidRPr="00F22732">
              <w:lastRenderedPageBreak/>
              <w:t>aplinkybės, būtinos siekiant pagal ištiestosios rankos principą įvertinti kitoje jurisdikcijoje atliktą pirminį koregavimą</w:t>
            </w:r>
            <w:r w:rsidRPr="00F22732">
              <w:rPr>
                <w:b/>
                <w:i/>
              </w:rPr>
              <w:t>, įskaitant valstybėms narėms perduotus atitinkamus sandorių kainodaros dokumentus</w:t>
            </w:r>
            <w:r w:rsidRPr="00F22732">
              <w:t>;</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26</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6 straipsnio 3 dalies a punkto ii a papunktis (naujas)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rPr>
            </w:pPr>
            <w:r w:rsidRPr="00F22732">
              <w:rPr>
                <w:b/>
                <w:i/>
              </w:rPr>
              <w:t>iia)</w:t>
            </w:r>
            <w:r w:rsidRPr="00F22732">
              <w:tab/>
            </w:r>
            <w:r w:rsidRPr="00F22732">
              <w:rPr>
                <w:b/>
                <w:i/>
              </w:rPr>
              <w:t>nurodomas kiekvienos valstybės narės, kuriai taikomas koregavimas, efektyvusis mokesčio tarifas, apskaičiuotas, kaip nustatyta Tarybos direktyvoje (ES) 2022/2523</w:t>
            </w:r>
            <w:r w:rsidRPr="00F22732">
              <w:rPr>
                <w:b/>
                <w:i/>
                <w:vertAlign w:val="superscript"/>
              </w:rPr>
              <w:t>1a</w:t>
            </w:r>
            <w:r w:rsidRPr="00F22732">
              <w:rPr>
                <w:b/>
                <w:i/>
              </w:rPr>
              <w:t>;</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rPr>
            </w:pPr>
            <w:r w:rsidRPr="00F22732">
              <w:rPr>
                <w:b/>
                <w:i/>
              </w:rPr>
              <w:t>________________</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rPr>
            </w:pPr>
            <w:r w:rsidRPr="00F22732">
              <w:rPr>
                <w:b/>
                <w:i/>
                <w:vertAlign w:val="superscript"/>
              </w:rPr>
              <w:t>1a</w:t>
            </w:r>
            <w:r w:rsidRPr="00F22732">
              <w:rPr>
                <w:b/>
                <w:i/>
              </w:rPr>
              <w:t xml:space="preserve"> 2022 m. gruodžio 14 d. Tarybos direktyva (ES) 2022/2523 dėl visuotinio minimalaus tarptautinių įmonių grupių ir didelių vietos subjektų grupių apmokestinimo lygio užtikrinimo Sąjungoje (OL L 328, 2022 12 22, p. 1).</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27</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6 straipsnio 3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b)</w:t>
            </w:r>
            <w:r w:rsidRPr="00F22732">
              <w:tab/>
              <w:t xml:space="preserve">valstybės narės per </w:t>
            </w:r>
            <w:r w:rsidRPr="00F22732">
              <w:rPr>
                <w:b/>
                <w:i/>
              </w:rPr>
              <w:t>30</w:t>
            </w:r>
            <w:r w:rsidRPr="00F22732">
              <w:t xml:space="preserve"> dienų paskelbia, kad prašymas yra priimtinas, apie tai pranešdamos mokesčių mokėtojui, jei buvo pateikta visa 3 dalies a punkte nurodyta informacija. Per tą patį laikotarpį valstybės narės praneša mokesčių mokėtojui, jei trūksta kokios nors būtinos informacijos, ir duoda bent </w:t>
            </w:r>
            <w:r w:rsidRPr="00F22732">
              <w:rPr>
                <w:b/>
                <w:i/>
              </w:rPr>
              <w:t>30</w:t>
            </w:r>
            <w:r w:rsidRPr="00F22732">
              <w:t xml:space="preserve"> dienų jai pateikti. Jei mokesčių mokėtojas iki nustatyto termino nepateikia prašomos informacijos, prašymas </w:t>
            </w:r>
            <w:r w:rsidRPr="00F22732">
              <w:rPr>
                <w:b/>
                <w:i/>
              </w:rPr>
              <w:t>gali būti atmestas</w:t>
            </w:r>
            <w:r w:rsidRPr="00F22732">
              <w:t xml:space="preserve"> kaip nepriimtinas;</w:t>
            </w:r>
          </w:p>
        </w:tc>
        <w:tc>
          <w:tcPr>
            <w:tcW w:w="4876" w:type="dxa"/>
          </w:tcPr>
          <w:p w:rsidR="00EA365F" w:rsidRPr="00F22732" w:rsidRDefault="00EA365F" w:rsidP="0086552B">
            <w:pPr>
              <w:pStyle w:val="Normal6a"/>
            </w:pPr>
            <w:r w:rsidRPr="00F22732">
              <w:t>b)</w:t>
            </w:r>
            <w:r w:rsidRPr="00F22732">
              <w:tab/>
              <w:t xml:space="preserve">valstybės narės per </w:t>
            </w:r>
            <w:r w:rsidRPr="00F22732">
              <w:rPr>
                <w:b/>
                <w:i/>
              </w:rPr>
              <w:t>40</w:t>
            </w:r>
            <w:r w:rsidRPr="00F22732">
              <w:t xml:space="preserve"> dienų paskelbia, kad prašymas yra priimtinas, apie tai pranešdamos mokesčių mokėtojui, jei buvo pateikta visa 3 dalies a punkte nurodyta informacija. Per tą patį laikotarpį valstybės narės praneša mokesčių mokėtojui, jei trūksta kokios nors būtinos informacijos, ir duoda bent </w:t>
            </w:r>
            <w:r w:rsidRPr="00F22732">
              <w:rPr>
                <w:b/>
                <w:i/>
              </w:rPr>
              <w:t>40</w:t>
            </w:r>
            <w:r w:rsidRPr="00F22732">
              <w:t xml:space="preserve"> dienų jai pateikti. Jei mokesčių mokėtojas iki nustatyto termino nepateikia prašomos informacijos, prašymas </w:t>
            </w:r>
            <w:r w:rsidRPr="00F22732">
              <w:rPr>
                <w:b/>
                <w:i/>
              </w:rPr>
              <w:t>atmetamas</w:t>
            </w:r>
            <w:r w:rsidRPr="00F22732">
              <w:t xml:space="preserve"> kaip nepriimtinas;</w:t>
            </w:r>
          </w:p>
        </w:tc>
      </w:tr>
    </w:tbl>
    <w:p w:rsidR="00EA365F" w:rsidRPr="00F22732" w:rsidRDefault="00EA365F" w:rsidP="00EA365F"/>
    <w:p w:rsidR="00EA365F" w:rsidRPr="00F22732" w:rsidRDefault="00EA365F" w:rsidP="00EA365F">
      <w:pPr>
        <w:pStyle w:val="AmNumberTabs"/>
      </w:pPr>
      <w:r w:rsidRPr="00F22732">
        <w:lastRenderedPageBreak/>
        <w:t>Pakeitimas</w:t>
      </w:r>
      <w:r w:rsidRPr="00F22732">
        <w:tab/>
      </w:r>
      <w:r w:rsidRPr="00F22732">
        <w:tab/>
        <w:t>28</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6 straipsnio 3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c)</w:t>
            </w:r>
            <w:r w:rsidRPr="00F22732">
              <w:tab/>
              <w:t xml:space="preserve">valstybės narės užtikrina, kad tais atvejais, kai dvigubas apmokestinimas atsiranda dėl pirminio koregavimo, atlikto kitoje valstybėje narėje, procedūra būtų baigta per </w:t>
            </w:r>
            <w:r w:rsidRPr="00F22732">
              <w:rPr>
                <w:b/>
                <w:i/>
              </w:rPr>
              <w:t>180</w:t>
            </w:r>
            <w:r w:rsidRPr="00F22732">
              <w:t xml:space="preserve"> dienų nuo mokesčių mokėtojo prašymo gavimo, pateikiant pagrįstą priėmimo arba atmetimo dokumentą;</w:t>
            </w:r>
          </w:p>
        </w:tc>
        <w:tc>
          <w:tcPr>
            <w:tcW w:w="4876" w:type="dxa"/>
          </w:tcPr>
          <w:p w:rsidR="00EA365F" w:rsidRPr="00F22732" w:rsidRDefault="00EA365F" w:rsidP="0086552B">
            <w:pPr>
              <w:pStyle w:val="Normal6a"/>
            </w:pPr>
            <w:r w:rsidRPr="00F22732">
              <w:t>c)</w:t>
            </w:r>
            <w:r w:rsidRPr="00F22732">
              <w:tab/>
              <w:t xml:space="preserve">valstybės narės užtikrina, kad tais atvejais, kai dvigubas apmokestinimas atsiranda dėl pirminio koregavimo, atlikto kitoje valstybėje narėje, procedūra būtų baigta per </w:t>
            </w:r>
            <w:r w:rsidRPr="00F22732">
              <w:rPr>
                <w:b/>
                <w:i/>
              </w:rPr>
              <w:t>200</w:t>
            </w:r>
            <w:r w:rsidRPr="00F22732">
              <w:t xml:space="preserve"> dienų nuo mokesčių mokėtojo prašymo gavimo, pateikiant pagrįstą priėmimo arba atmetimo dokumentą</w:t>
            </w:r>
            <w:r w:rsidRPr="00F22732">
              <w:rPr>
                <w:b/>
                <w:i/>
              </w:rPr>
              <w:t>.</w:t>
            </w:r>
            <w:r w:rsidRPr="00F22732">
              <w:t xml:space="preserve"> </w:t>
            </w:r>
            <w:r w:rsidRPr="00F22732">
              <w:rPr>
                <w:b/>
                <w:i/>
              </w:rPr>
              <w:t>Procedūra gali būti vieną kartą pratęsta 100 dienų, jei tiek mokesčių mokėtojas, tiek atitinkamos valstybės narės sutaria dėl tokio pratęsimo;</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29</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6 straipsnio 3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d)</w:t>
            </w:r>
            <w:r w:rsidRPr="00F22732">
              <w:tab/>
              <w:t>priėmimo atveju valstybės narės praneša kitos atitinkamos jurisdikcijos mokesčių administratoriui apie atitiktinio koregavimo pripažinimą;</w:t>
            </w:r>
          </w:p>
        </w:tc>
        <w:tc>
          <w:tcPr>
            <w:tcW w:w="4876" w:type="dxa"/>
          </w:tcPr>
          <w:p w:rsidR="00EA365F" w:rsidRPr="00F22732" w:rsidRDefault="00EA365F" w:rsidP="0086552B">
            <w:pPr>
              <w:pStyle w:val="Normal6a"/>
            </w:pPr>
            <w:r w:rsidRPr="00F22732">
              <w:t>d)</w:t>
            </w:r>
            <w:r w:rsidRPr="00F22732">
              <w:tab/>
              <w:t xml:space="preserve">priėmimo atveju valstybės narės </w:t>
            </w:r>
            <w:r w:rsidRPr="00F22732">
              <w:rPr>
                <w:b/>
                <w:i/>
              </w:rPr>
              <w:t xml:space="preserve">nedelsdamos </w:t>
            </w:r>
            <w:r w:rsidRPr="00F22732">
              <w:t>praneša kitos atitinkamos jurisdikcijos mokesčių administratoriui apie atitiktinio koregavimo pripažinimą;</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30</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6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3a.</w:t>
            </w:r>
            <w:r w:rsidRPr="00F22732">
              <w:tab/>
            </w:r>
            <w:r w:rsidRPr="00F22732">
              <w:rPr>
                <w:b/>
                <w:i/>
              </w:rPr>
              <w:t>Taikant 1, 2 ir 3 dalis valstybės narės turėtų naudoti visas prieinamas procedūras ir tvarką, numatytas Direktyvoje dėl administracinio bendradarbiavimo (DAB).</w:t>
            </w:r>
          </w:p>
        </w:tc>
      </w:tr>
    </w:tbl>
    <w:p w:rsidR="00EA365F" w:rsidRPr="00F22732" w:rsidRDefault="00EA365F" w:rsidP="00EA365F"/>
    <w:p w:rsidR="00EA365F" w:rsidRPr="00F22732" w:rsidRDefault="00EA365F" w:rsidP="00EA365F">
      <w:pPr>
        <w:pStyle w:val="AmNumberTabs"/>
        <w:keepNext/>
      </w:pPr>
      <w:r w:rsidRPr="00F22732">
        <w:lastRenderedPageBreak/>
        <w:t>Pakeitimas</w:t>
      </w:r>
      <w:r w:rsidRPr="00F22732">
        <w:tab/>
      </w:r>
      <w:r w:rsidRPr="00F22732">
        <w:tab/>
        <w:t>31</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6 straipsnio 5 dalies a a punktas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aa)</w:t>
            </w:r>
            <w:r w:rsidRPr="00F22732">
              <w:rPr>
                <w:b/>
                <w:i/>
              </w:rPr>
              <w:tab/>
              <w:t>dėl koregavimo sumažinant sumą neatsiranda visiškas neapmokestinimas, t. y. koreguojant sumažinta suma yra įtraukta į kitos jurisdikcijos asocijuotosios įmonės apmokestinamąjį pelną;</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32</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11 straipsnio 3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a)</w:t>
            </w:r>
            <w:r w:rsidRPr="00F22732">
              <w:tab/>
              <w:t>nė vienas iš lyginamų sandorių arba šiuos sandorius vykdančių įmonių skirtumų (jeigu tokių yra) negali turėti reikšmingos įtakos kainai atvirojoje rinkoje,</w:t>
            </w:r>
          </w:p>
        </w:tc>
        <w:tc>
          <w:tcPr>
            <w:tcW w:w="4876" w:type="dxa"/>
          </w:tcPr>
          <w:p w:rsidR="00EA365F" w:rsidRPr="00F22732" w:rsidRDefault="00EA365F" w:rsidP="0086552B">
            <w:pPr>
              <w:pStyle w:val="Normal6a"/>
            </w:pPr>
            <w:r w:rsidRPr="00F22732">
              <w:t>a)</w:t>
            </w:r>
            <w:r w:rsidRPr="00F22732">
              <w:tab/>
              <w:t xml:space="preserve">nė vienas iš lyginamų sandorių arba šiuos sandorius vykdančių įmonių skirtumų (jeigu tokių yra) negali turėti reikšmingos įtakos kainai </w:t>
            </w:r>
            <w:r w:rsidRPr="00F22732">
              <w:rPr>
                <w:b/>
                <w:i/>
              </w:rPr>
              <w:t xml:space="preserve">ar maržai </w:t>
            </w:r>
            <w:r w:rsidRPr="00F22732">
              <w:t>atvirojoje rinkoje,</w:t>
            </w:r>
          </w:p>
        </w:tc>
      </w:tr>
    </w:tbl>
    <w:p w:rsidR="00EA365F" w:rsidRPr="00F22732" w:rsidRDefault="00EA365F" w:rsidP="00EA365F"/>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33</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14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2.</w:t>
            </w:r>
            <w:r w:rsidRPr="00F22732">
              <w:tab/>
              <w:t xml:space="preserve">Kad būtų užtikrintas didesnis mokestinis tikrumas ir sumažinta dvigubo apmokestinimo rizika, </w:t>
            </w:r>
            <w:r w:rsidRPr="00F22732">
              <w:rPr>
                <w:b/>
                <w:i/>
              </w:rPr>
              <w:t>Taryba gali</w:t>
            </w:r>
            <w:r w:rsidRPr="00F22732">
              <w:t xml:space="preserve"> nustatyti papildomas taisykles, atitinkančias EBPO sandorių kainodaros gaires, dėl to, kaip konkretiems sandoriams turi būti taikomas ištiestosios rankos principas ir kitos nuostatos, išdėstytos šios direktyvos II skyriuje. </w:t>
            </w:r>
            <w:r w:rsidRPr="00F22732">
              <w:rPr>
                <w:b/>
                <w:i/>
              </w:rPr>
              <w:t>Tie konkretūs sandoriai ar operacijos apima:</w:t>
            </w:r>
          </w:p>
        </w:tc>
        <w:tc>
          <w:tcPr>
            <w:tcW w:w="4876" w:type="dxa"/>
          </w:tcPr>
          <w:p w:rsidR="00EA365F" w:rsidRPr="00F22732" w:rsidRDefault="00EA365F" w:rsidP="0086552B">
            <w:pPr>
              <w:pStyle w:val="Normal6a"/>
              <w:rPr>
                <w:szCs w:val="24"/>
              </w:rPr>
            </w:pPr>
            <w:r w:rsidRPr="00F22732">
              <w:t>2.</w:t>
            </w:r>
            <w:r w:rsidRPr="00F22732">
              <w:tab/>
              <w:t xml:space="preserve">Kad būtų užtikrintas didesnis mokestinis tikrumas ir sumažinta </w:t>
            </w:r>
            <w:r w:rsidRPr="00F22732">
              <w:rPr>
                <w:b/>
                <w:i/>
              </w:rPr>
              <w:t xml:space="preserve">visiško neapmokestinimo ir </w:t>
            </w:r>
            <w:r w:rsidRPr="00F22732">
              <w:t>dvigubo apmokestinimo rizika</w:t>
            </w:r>
            <w:r w:rsidRPr="00F22732">
              <w:rPr>
                <w:b/>
                <w:i/>
              </w:rPr>
              <w:t xml:space="preserve"> bei sumažintas mokestinių ginčų ir piktnaudžiavimo mokesčiais mastas</w:t>
            </w:r>
            <w:r w:rsidRPr="00F22732">
              <w:t xml:space="preserve">, </w:t>
            </w:r>
            <w:r w:rsidRPr="00F22732">
              <w:rPr>
                <w:b/>
                <w:i/>
              </w:rPr>
              <w:t>Komisijai pagal 18 straipsnį suteikiami įgaliojimai priimti deleguotuosius aktus siekiant</w:t>
            </w:r>
            <w:r w:rsidRPr="00F22732">
              <w:t xml:space="preserve"> nustatyti papildomas taisykles, atitinkančias </w:t>
            </w:r>
            <w:r w:rsidRPr="00F22732">
              <w:rPr>
                <w:b/>
                <w:i/>
              </w:rPr>
              <w:t xml:space="preserve">naujausias tarptautiniu lygmeniu rekomenduotas </w:t>
            </w:r>
            <w:r w:rsidRPr="00F22732">
              <w:t>EBPO</w:t>
            </w:r>
            <w:r w:rsidRPr="00F22732">
              <w:rPr>
                <w:b/>
                <w:i/>
              </w:rPr>
              <w:t xml:space="preserve"> ar Jungtinių Tautų</w:t>
            </w:r>
            <w:r w:rsidRPr="00F22732">
              <w:t xml:space="preserve"> sandorių kainodaros gaires, dėl to, kaip konkretiems sandoriams turi būti taikomas ištiestosios rankos principas ir kitos nuostatos, išdėstytos šios direktyvos II </w:t>
            </w:r>
            <w:r w:rsidRPr="00F22732">
              <w:lastRenderedPageBreak/>
              <w:t>skyriuje.</w:t>
            </w:r>
          </w:p>
        </w:tc>
      </w:tr>
      <w:tr w:rsidR="00EA365F" w:rsidRPr="00F22732" w:rsidTr="0086552B">
        <w:trPr>
          <w:jc w:val="center"/>
        </w:trPr>
        <w:tc>
          <w:tcPr>
            <w:tcW w:w="4876" w:type="dxa"/>
          </w:tcPr>
          <w:p w:rsidR="00EA365F" w:rsidRPr="00F22732" w:rsidRDefault="00EA365F" w:rsidP="0086552B">
            <w:pPr>
              <w:pStyle w:val="Normal6a"/>
            </w:pPr>
            <w:r w:rsidRPr="00F22732">
              <w:rPr>
                <w:b/>
                <w:i/>
              </w:rPr>
              <w:lastRenderedPageBreak/>
              <w:t>a)</w:t>
            </w:r>
            <w:r w:rsidRPr="00F22732">
              <w:rPr>
                <w:b/>
                <w:i/>
              </w:rPr>
              <w:tab/>
              <w:t>nematerialiojo turto arba teisių į nematerialųjį turtą perdavimą tarp asocijuotųjų įmonių, įskaitant sunkiai nustatomos vertės nematerialųjį turtą;</w:t>
            </w:r>
          </w:p>
        </w:tc>
        <w:tc>
          <w:tcPr>
            <w:tcW w:w="4876" w:type="dxa"/>
          </w:tcPr>
          <w:p w:rsidR="00EA365F" w:rsidRPr="00F22732" w:rsidRDefault="00EA365F" w:rsidP="0086552B">
            <w:pPr>
              <w:pStyle w:val="Normal6a"/>
              <w:rPr>
                <w:szCs w:val="24"/>
              </w:rPr>
            </w:pPr>
          </w:p>
        </w:tc>
      </w:tr>
      <w:tr w:rsidR="00EA365F" w:rsidRPr="00F22732" w:rsidTr="0086552B">
        <w:trPr>
          <w:jc w:val="center"/>
        </w:trPr>
        <w:tc>
          <w:tcPr>
            <w:tcW w:w="4876" w:type="dxa"/>
          </w:tcPr>
          <w:p w:rsidR="00EA365F" w:rsidRPr="00F22732" w:rsidRDefault="00EA365F" w:rsidP="0086552B">
            <w:pPr>
              <w:pStyle w:val="Normal6a"/>
              <w:rPr>
                <w:b/>
                <w:i/>
              </w:rPr>
            </w:pPr>
            <w:r w:rsidRPr="00F22732">
              <w:rPr>
                <w:b/>
                <w:i/>
              </w:rPr>
              <w:t>b)</w:t>
            </w:r>
            <w:r w:rsidRPr="00F22732">
              <w:rPr>
                <w:b/>
                <w:i/>
              </w:rPr>
              <w:tab/>
              <w:t>paslaugų teikimą tarp asocijuotųjų įmonių, įskaitant rinkodaros ir platinimo paslaugų teikimą;</w:t>
            </w:r>
          </w:p>
        </w:tc>
        <w:tc>
          <w:tcPr>
            <w:tcW w:w="4876" w:type="dxa"/>
          </w:tcPr>
          <w:p w:rsidR="00EA365F" w:rsidRPr="00F22732" w:rsidRDefault="00EA365F" w:rsidP="0086552B">
            <w:pPr>
              <w:pStyle w:val="Normal6a"/>
              <w:rPr>
                <w:szCs w:val="24"/>
              </w:rPr>
            </w:pPr>
          </w:p>
        </w:tc>
      </w:tr>
      <w:tr w:rsidR="00EA365F" w:rsidRPr="00F22732" w:rsidTr="0086552B">
        <w:trPr>
          <w:jc w:val="center"/>
        </w:trPr>
        <w:tc>
          <w:tcPr>
            <w:tcW w:w="4876" w:type="dxa"/>
          </w:tcPr>
          <w:p w:rsidR="00EA365F" w:rsidRPr="00F22732" w:rsidRDefault="00EA365F" w:rsidP="0086552B">
            <w:pPr>
              <w:pStyle w:val="Normal6a"/>
              <w:rPr>
                <w:b/>
                <w:i/>
              </w:rPr>
            </w:pPr>
            <w:r w:rsidRPr="00F22732">
              <w:rPr>
                <w:b/>
                <w:i/>
              </w:rPr>
              <w:t>c)</w:t>
            </w:r>
            <w:r w:rsidRPr="00F22732">
              <w:rPr>
                <w:b/>
                <w:i/>
              </w:rPr>
              <w:tab/>
              <w:t>sąnaudų pasidalijimo susitarimus tarp asocijuotųjų įmonių;</w:t>
            </w:r>
          </w:p>
        </w:tc>
        <w:tc>
          <w:tcPr>
            <w:tcW w:w="4876" w:type="dxa"/>
          </w:tcPr>
          <w:p w:rsidR="00EA365F" w:rsidRPr="00F22732" w:rsidRDefault="00EA365F" w:rsidP="0086552B">
            <w:pPr>
              <w:pStyle w:val="Normal6a"/>
              <w:rPr>
                <w:szCs w:val="24"/>
              </w:rPr>
            </w:pPr>
          </w:p>
        </w:tc>
      </w:tr>
      <w:tr w:rsidR="00EA365F" w:rsidRPr="00F22732" w:rsidTr="0086552B">
        <w:trPr>
          <w:jc w:val="center"/>
        </w:trPr>
        <w:tc>
          <w:tcPr>
            <w:tcW w:w="4876" w:type="dxa"/>
          </w:tcPr>
          <w:p w:rsidR="00EA365F" w:rsidRPr="00F22732" w:rsidRDefault="00EA365F" w:rsidP="0086552B">
            <w:pPr>
              <w:pStyle w:val="Normal6a"/>
              <w:rPr>
                <w:b/>
                <w:i/>
              </w:rPr>
            </w:pPr>
            <w:r w:rsidRPr="00F22732">
              <w:rPr>
                <w:b/>
                <w:i/>
              </w:rPr>
              <w:t>d)</w:t>
            </w:r>
            <w:r w:rsidRPr="00F22732">
              <w:rPr>
                <w:b/>
                <w:i/>
              </w:rPr>
              <w:tab/>
              <w:t>sandorius tarp asocijuotųjų įmonių vykdant verslo restruktūrizavimą;</w:t>
            </w:r>
          </w:p>
        </w:tc>
        <w:tc>
          <w:tcPr>
            <w:tcW w:w="4876" w:type="dxa"/>
          </w:tcPr>
          <w:p w:rsidR="00EA365F" w:rsidRPr="00F22732" w:rsidRDefault="00EA365F" w:rsidP="0086552B">
            <w:pPr>
              <w:pStyle w:val="Normal6a"/>
              <w:rPr>
                <w:szCs w:val="24"/>
              </w:rPr>
            </w:pPr>
          </w:p>
        </w:tc>
      </w:tr>
      <w:tr w:rsidR="00EA365F" w:rsidRPr="00F22732" w:rsidTr="0086552B">
        <w:trPr>
          <w:jc w:val="center"/>
        </w:trPr>
        <w:tc>
          <w:tcPr>
            <w:tcW w:w="4876" w:type="dxa"/>
          </w:tcPr>
          <w:p w:rsidR="00EA365F" w:rsidRPr="00F22732" w:rsidRDefault="00EA365F" w:rsidP="0086552B">
            <w:pPr>
              <w:pStyle w:val="Normal6a"/>
              <w:rPr>
                <w:b/>
                <w:i/>
              </w:rPr>
            </w:pPr>
            <w:r w:rsidRPr="00F22732">
              <w:rPr>
                <w:b/>
                <w:i/>
              </w:rPr>
              <w:t>e)</w:t>
            </w:r>
            <w:r w:rsidRPr="00F22732">
              <w:rPr>
                <w:b/>
                <w:i/>
              </w:rPr>
              <w:tab/>
              <w:t>finansinius sandorius;</w:t>
            </w:r>
          </w:p>
        </w:tc>
        <w:tc>
          <w:tcPr>
            <w:tcW w:w="4876" w:type="dxa"/>
          </w:tcPr>
          <w:p w:rsidR="00EA365F" w:rsidRPr="00F22732" w:rsidRDefault="00EA365F" w:rsidP="0086552B">
            <w:pPr>
              <w:pStyle w:val="Normal6a"/>
              <w:rPr>
                <w:szCs w:val="24"/>
              </w:rPr>
            </w:pPr>
          </w:p>
        </w:tc>
      </w:tr>
      <w:tr w:rsidR="00EA365F" w:rsidRPr="00F22732" w:rsidTr="0086552B">
        <w:trPr>
          <w:jc w:val="center"/>
        </w:trPr>
        <w:tc>
          <w:tcPr>
            <w:tcW w:w="4876" w:type="dxa"/>
          </w:tcPr>
          <w:p w:rsidR="00EA365F" w:rsidRPr="00F22732" w:rsidRDefault="00EA365F" w:rsidP="0086552B">
            <w:pPr>
              <w:pStyle w:val="Normal6a"/>
              <w:rPr>
                <w:b/>
                <w:i/>
              </w:rPr>
            </w:pPr>
            <w:r w:rsidRPr="00F22732">
              <w:rPr>
                <w:b/>
                <w:i/>
              </w:rPr>
              <w:t>f)</w:t>
            </w:r>
            <w:r w:rsidRPr="00F22732">
              <w:rPr>
                <w:b/>
                <w:i/>
              </w:rPr>
              <w:tab/>
              <w:t>operacijas tarp pagrindinės buveinės ir jos nuolatinių buveinių.</w:t>
            </w:r>
          </w:p>
        </w:tc>
        <w:tc>
          <w:tcPr>
            <w:tcW w:w="4876" w:type="dxa"/>
          </w:tcPr>
          <w:p w:rsidR="00EA365F" w:rsidRPr="00F22732" w:rsidRDefault="00EA365F" w:rsidP="0086552B">
            <w:pPr>
              <w:pStyle w:val="Normal6a"/>
              <w:rPr>
                <w:szCs w:val="24"/>
              </w:rPr>
            </w:pP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34</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14 straipsnio 2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2a.</w:t>
            </w:r>
            <w:r w:rsidRPr="00F22732">
              <w:rPr>
                <w:b/>
                <w:i/>
              </w:rPr>
              <w:tab/>
              <w:t>Komisija pagal 18 straipsnį gali priimti deleguotuosius aktus, kad nustatytų tolesnes taisykles, pavyzdžiui, apsaugos taisykles, kuriomis būtų supaprastintas ištiestosios rankos principo taikymas Sąjungoje, siekdama užtikrinti didesnį tikrumą mokesčių srityje ir sumažinti visiško neapmokestinimo ir dvigubo apmokestinimo riziką, taip pat sumažinti mokestinių ginčų ir piktnaudžiavimo mokesčiais mastą.</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35</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14 straipsnio 2 b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2b.</w:t>
            </w:r>
            <w:r w:rsidRPr="00F22732">
              <w:rPr>
                <w:b/>
                <w:i/>
              </w:rPr>
              <w:tab/>
              <w:t xml:space="preserve">Komisija pagal 18 straipsnį gali priimti deleguotąjį aktą, kuriuo nustatomos taisyklės, kaip į šią direktyvą įtraukti siūlomą supaprastintą požiūrį į </w:t>
            </w:r>
            <w:r w:rsidRPr="00F22732">
              <w:rPr>
                <w:b/>
                <w:i/>
              </w:rPr>
              <w:lastRenderedPageBreak/>
              <w:t>sandorių kainodaros reikalavimų laikymąsi, taikomą platinimo ir gamybos veiklai, kaip nurodyta Tarybos direktyvoje XX/XX/ES dėl sistemos „Verslas Europoje. Pajamų apmokestinimo sistema“ (BEFIT).</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36</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14 straipsnio 3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rPr>
                <w:b/>
                <w:i/>
              </w:rPr>
              <w:t>3.</w:t>
            </w:r>
            <w:r w:rsidRPr="00F22732">
              <w:tab/>
            </w:r>
            <w:r w:rsidRPr="00F22732">
              <w:rPr>
                <w:b/>
                <w:i/>
              </w:rPr>
              <w:t>2 dalyje nurodytos taisyklės priimamos Tarybos įgyvendinimo aktais, remiantis Komisijos pasiūlymu</w:t>
            </w:r>
            <w:r w:rsidRPr="00F22732">
              <w:t>.</w:t>
            </w:r>
          </w:p>
        </w:tc>
        <w:tc>
          <w:tcPr>
            <w:tcW w:w="4876" w:type="dxa"/>
          </w:tcPr>
          <w:p w:rsidR="00EA365F" w:rsidRPr="00F22732" w:rsidRDefault="00EA365F" w:rsidP="0086552B">
            <w:pPr>
              <w:pStyle w:val="Normal6a"/>
              <w:rPr>
                <w:b/>
                <w:i/>
                <w:szCs w:val="24"/>
              </w:rPr>
            </w:pPr>
            <w:r w:rsidRPr="00F22732">
              <w:rPr>
                <w:b/>
                <w:i/>
              </w:rPr>
              <w:t>Išbraukta.</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37</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14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jc w:val="center"/>
            </w:pPr>
            <w:r w:rsidRPr="00F22732">
              <w:rPr>
                <w:b/>
                <w:i/>
              </w:rPr>
              <w:t>14a straipsnis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spacing w:after="120"/>
              <w:jc w:val="center"/>
              <w:rPr>
                <w:b/>
                <w:i/>
              </w:rPr>
            </w:pPr>
            <w:r w:rsidRPr="00F22732">
              <w:rPr>
                <w:b/>
                <w:i/>
              </w:rPr>
              <w:t>ES bendro sandorių kainodaros forumo atkūrimas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1.</w:t>
            </w:r>
            <w:r w:rsidRPr="00F22732">
              <w:tab/>
            </w:r>
            <w:r w:rsidRPr="00F22732">
              <w:rPr>
                <w:b/>
                <w:i/>
              </w:rPr>
              <w:t>Komisija įsteigia Europos sandorių kainodaros forumą (EFTP) ir jam pirmininkauja.</w:t>
            </w:r>
            <w:r w:rsidRPr="00F22732">
              <w:t xml:space="preserve"> </w:t>
            </w:r>
            <w:r w:rsidRPr="00F22732">
              <w:rPr>
                <w:b/>
                <w:i/>
              </w:rPr>
              <w:t>EFTP teikia konsultacijas ir pagalbą komitetui, kaip apibrėžta 17 straipsnyje, visų pirma tam, kad būtų įvertintas poreikis padaryti šios direktyvos pakeitimų siekiant užtikrinti, kad sandorių kainodaros metodika būtų nuolat vienoda Sąjungoje ir pasaulinėje arenoje, visų pirma atsižvelgiant į pokyčius EBPO ar JT lygmeniu.</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2.</w:t>
            </w:r>
            <w:r w:rsidRPr="00F22732">
              <w:tab/>
            </w:r>
            <w:r w:rsidRPr="00F22732">
              <w:rPr>
                <w:b/>
                <w:i/>
              </w:rPr>
              <w:t>EFTP sudaro valstybių narių atstovai ir subalansuotai atstovaujami mokesčių mokėtojai, akademikai ir pilietinė visuomenė.</w:t>
            </w:r>
            <w:r w:rsidRPr="00F22732">
              <w:t xml:space="preserve"> </w:t>
            </w:r>
            <w:r w:rsidRPr="00F22732">
              <w:rPr>
                <w:b/>
                <w:i/>
              </w:rPr>
              <w:t>Europos Parlamentas yra stebėtojo teises turintis EFTP narys.</w:t>
            </w:r>
            <w:r w:rsidRPr="00F22732">
              <w:t xml:space="preserve"> </w:t>
            </w:r>
            <w:r w:rsidRPr="00F22732">
              <w:rPr>
                <w:b/>
                <w:i/>
              </w:rPr>
              <w:t>Narystės sąlygas nustato 17 straipsnyje nurodytas komitetas.</w:t>
            </w:r>
          </w:p>
        </w:tc>
      </w:tr>
    </w:tbl>
    <w:p w:rsidR="00EA365F" w:rsidRPr="00F22732" w:rsidRDefault="00EA365F" w:rsidP="00EA365F"/>
    <w:p w:rsidR="00EA365F" w:rsidRPr="00F22732" w:rsidRDefault="00EA365F" w:rsidP="00EA365F">
      <w:pPr>
        <w:pStyle w:val="AmNumberTabs"/>
      </w:pPr>
      <w:r w:rsidRPr="00F22732">
        <w:lastRenderedPageBreak/>
        <w:t>Pakeitimas</w:t>
      </w:r>
      <w:r w:rsidRPr="00F22732">
        <w:tab/>
      </w:r>
      <w:r w:rsidRPr="00F22732">
        <w:tab/>
        <w:t>38</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14 b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jc w:val="center"/>
            </w:pPr>
            <w:r w:rsidRPr="00F22732">
              <w:rPr>
                <w:b/>
                <w:i/>
              </w:rPr>
              <w:t>14b straipsnis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jc w:val="center"/>
              <w:rPr>
                <w:b/>
                <w:i/>
              </w:rPr>
            </w:pPr>
            <w:r w:rsidRPr="00F22732">
              <w:rPr>
                <w:b/>
                <w:i/>
              </w:rPr>
              <w:t>Iniciatyvos „Europos pasitikėjimo ir bendradarbiavimo metodas (ETACA)“ išplėtimas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1.</w:t>
            </w:r>
            <w:r w:rsidRPr="00F22732">
              <w:tab/>
            </w:r>
            <w:r w:rsidRPr="00F22732">
              <w:rPr>
                <w:b/>
                <w:i/>
              </w:rPr>
              <w:t>Europos pasitikėjimo ir bendradarbiavimo metodo (ETACA) taikymo sritis turi apimti dalyvaujančių valstybių narių atliekamą konkrečių Sąjungos vidaus srautų sandorių kainodaros peržiūrą, o ne tik mažos pridėtinės vertės sandorius, kaip yra šiuo metu.</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2.</w:t>
            </w:r>
            <w:r w:rsidRPr="00F22732">
              <w:tab/>
            </w:r>
            <w:r w:rsidRPr="00F22732">
              <w:rPr>
                <w:b/>
                <w:bCs/>
                <w:i/>
                <w:iCs/>
              </w:rPr>
              <w:t>Valstybės narės raginamos susieti ETACA su išankstine kainodaros tvarka, siekiant užtikrinti, kad ETACA veiktų kaip greitas būdas rasti stabilius sprendimus, kai peržiūros proceso metu iškyla problemų.</w:t>
            </w:r>
          </w:p>
        </w:tc>
      </w:tr>
    </w:tbl>
    <w:p w:rsidR="00EA365F" w:rsidRPr="00F22732" w:rsidRDefault="00EA365F" w:rsidP="00EA365F"/>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39</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15 straipsnio 1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w:t>
            </w:r>
            <w:r w:rsidRPr="00F22732">
              <w:tab/>
              <w:t xml:space="preserve">Komisija kas </w:t>
            </w:r>
            <w:r w:rsidRPr="00F22732">
              <w:rPr>
                <w:b/>
                <w:i/>
              </w:rPr>
              <w:t>penkerius</w:t>
            </w:r>
            <w:r w:rsidRPr="00F22732">
              <w:t xml:space="preserve"> metus nagrinėja ir vertina šios direktyvos taikymą ir teikia </w:t>
            </w:r>
            <w:r w:rsidRPr="00F22732">
              <w:rPr>
                <w:b/>
                <w:i/>
              </w:rPr>
              <w:t>jos</w:t>
            </w:r>
            <w:r w:rsidRPr="00F22732">
              <w:t xml:space="preserve"> vertinimo ataskaitą Europos Parlamentui ir Tarybai. Pirma ataskaita pateikiama ne vėliau kaip </w:t>
            </w:r>
            <w:r w:rsidRPr="00F22732">
              <w:rPr>
                <w:b/>
                <w:i/>
              </w:rPr>
              <w:t>2031</w:t>
            </w:r>
            <w:r w:rsidRPr="00F22732">
              <w:t> m. gruodžio 31 d.</w:t>
            </w:r>
          </w:p>
        </w:tc>
        <w:tc>
          <w:tcPr>
            <w:tcW w:w="4876" w:type="dxa"/>
          </w:tcPr>
          <w:p w:rsidR="00EA365F" w:rsidRPr="00F22732" w:rsidRDefault="00EA365F" w:rsidP="0086552B">
            <w:pPr>
              <w:pStyle w:val="Normal6a"/>
              <w:rPr>
                <w:szCs w:val="24"/>
              </w:rPr>
            </w:pPr>
            <w:r w:rsidRPr="00F22732">
              <w:t>1.</w:t>
            </w:r>
            <w:r w:rsidRPr="00F22732">
              <w:tab/>
              <w:t xml:space="preserve">Komisija kas </w:t>
            </w:r>
            <w:r w:rsidRPr="00F22732">
              <w:rPr>
                <w:b/>
                <w:i/>
              </w:rPr>
              <w:t>trejus</w:t>
            </w:r>
            <w:r w:rsidRPr="00F22732">
              <w:t xml:space="preserve"> metus nagrinėja ir vertina šios direktyvos taikymą</w:t>
            </w:r>
            <w:r w:rsidRPr="00F22732">
              <w:rPr>
                <w:b/>
                <w:i/>
              </w:rPr>
              <w:t>, poveikį bei sąveiką su naujausiomis EBPO ar JT gairėmis,</w:t>
            </w:r>
            <w:r w:rsidRPr="00F22732">
              <w:t xml:space="preserve"> ir teikia </w:t>
            </w:r>
            <w:r w:rsidRPr="00F22732">
              <w:rPr>
                <w:b/>
                <w:i/>
              </w:rPr>
              <w:t>savo</w:t>
            </w:r>
            <w:r w:rsidRPr="00F22732">
              <w:t xml:space="preserve"> vertinimo ataskaitą Europos Parlamentui ir Tarybai</w:t>
            </w:r>
            <w:r w:rsidRPr="00F22732">
              <w:rPr>
                <w:b/>
                <w:i/>
              </w:rPr>
              <w:t>, prie kurios, jei tikslinga, prideda pasiūlymą dėl teisėkūros procedūra priimamo akto</w:t>
            </w:r>
            <w:r w:rsidRPr="00F22732">
              <w:t xml:space="preserve">. Pirma ataskaita pateikiama ne vėliau kaip </w:t>
            </w:r>
            <w:r w:rsidRPr="00F22732">
              <w:rPr>
                <w:b/>
                <w:i/>
              </w:rPr>
              <w:t>2029</w:t>
            </w:r>
            <w:r w:rsidRPr="00F22732">
              <w:t xml:space="preserve"> m. gruodžio 31 d. </w:t>
            </w:r>
            <w:r w:rsidRPr="00F22732">
              <w:rPr>
                <w:b/>
                <w:i/>
              </w:rPr>
              <w:t>Komisija gali nukrypti nuo šių terminų, kai EBPO arba JT lygmeniu susitariama dėl naujų sandorių kainodaros gairių.</w:t>
            </w:r>
          </w:p>
        </w:tc>
      </w:tr>
    </w:tbl>
    <w:p w:rsidR="00EA365F" w:rsidRPr="00F22732" w:rsidRDefault="00EA365F" w:rsidP="00EA365F"/>
    <w:p w:rsidR="00EA365F" w:rsidRPr="00F22732" w:rsidRDefault="00EA365F" w:rsidP="00EA365F">
      <w:pPr>
        <w:pStyle w:val="AmNumberTabs"/>
        <w:keepNext/>
      </w:pPr>
      <w:r w:rsidRPr="00F22732">
        <w:lastRenderedPageBreak/>
        <w:t>Pakeitimas</w:t>
      </w:r>
      <w:r w:rsidRPr="00F22732">
        <w:tab/>
      </w:r>
      <w:r w:rsidRPr="00F22732">
        <w:tab/>
        <w:t>40</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15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2.</w:t>
            </w:r>
            <w:r w:rsidRPr="00F22732">
              <w:tab/>
              <w:t>Valstybės narės pateikia Komisijai 3 dalyje nurodytą atitinkamą informaciją, reikalingą šiai direktyvai įvertinti, kad būtų patobulintas ištiestosios rankos principo taikymas, mažinamas dvigubas apmokestinimas ir kovojama su piktnaudžiavimu mokesčiais.</w:t>
            </w:r>
          </w:p>
        </w:tc>
        <w:tc>
          <w:tcPr>
            <w:tcW w:w="4876" w:type="dxa"/>
          </w:tcPr>
          <w:p w:rsidR="00EA365F" w:rsidRPr="00F22732" w:rsidRDefault="00EA365F" w:rsidP="0086552B">
            <w:pPr>
              <w:pStyle w:val="Normal6a"/>
              <w:rPr>
                <w:szCs w:val="24"/>
              </w:rPr>
            </w:pPr>
            <w:r w:rsidRPr="00F22732">
              <w:t>2.</w:t>
            </w:r>
            <w:r w:rsidRPr="00F22732">
              <w:tab/>
              <w:t xml:space="preserve">Valstybės narės pateikia Komisijai 3 dalyje nurodytą atitinkamą informaciją, reikalingą šiai direktyvai įvertinti, kad būtų patobulintas ištiestosios rankos principo taikymas, mažinamas </w:t>
            </w:r>
            <w:r w:rsidRPr="00F22732">
              <w:rPr>
                <w:b/>
                <w:i/>
              </w:rPr>
              <w:t xml:space="preserve">visiškas neapmokestinimas ir </w:t>
            </w:r>
            <w:r w:rsidRPr="00F22732">
              <w:t>dvigubas apmokestinimas ir kovojama su piktnaudžiavimu mokesčiais</w:t>
            </w:r>
            <w:r w:rsidRPr="00F22732">
              <w:rPr>
                <w:b/>
                <w:i/>
              </w:rPr>
              <w:t xml:space="preserve"> bei mokestiniais ginčais</w:t>
            </w:r>
            <w:r w:rsidRPr="00F22732">
              <w:t>.</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41</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15 straipsnio 5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5.</w:t>
            </w:r>
            <w:r w:rsidRPr="00F22732">
              <w:tab/>
              <w:t>Informacija, kurią valstybė narė pateikė Komisijai pagal 2 dalį, taip pat ataskaitos ar dokumentai, kuriuos Komisija parengė naudodamasi tokia informacija, gali būti perduodami kitoms valstybėms narėms. Informacijai taikomi tarnybinės paslapties reikalavimai ir suteikiama tokia pati apsauga, kokia panašaus pobūdžio informacijai suteikiama pagal ją gavusios valstybės narės nacionalinės teisės aktus.</w:t>
            </w:r>
          </w:p>
        </w:tc>
        <w:tc>
          <w:tcPr>
            <w:tcW w:w="4876" w:type="dxa"/>
          </w:tcPr>
          <w:p w:rsidR="00EA365F" w:rsidRPr="00F22732" w:rsidRDefault="00EA365F" w:rsidP="0086552B">
            <w:pPr>
              <w:pStyle w:val="Normal6a"/>
              <w:rPr>
                <w:szCs w:val="24"/>
              </w:rPr>
            </w:pPr>
            <w:r w:rsidRPr="00F22732">
              <w:t>5.</w:t>
            </w:r>
            <w:r w:rsidRPr="00F22732">
              <w:tab/>
              <w:t>Informacija, kurią valstybė narė pateikė Komisijai pagal 2 dalį, taip pat ataskaitos ar dokumentai, kuriuos Komisija parengė naudodamasi tokia informacija, gali būti perduodami kitoms valstybėms narėms</w:t>
            </w:r>
            <w:r w:rsidRPr="00F22732">
              <w:rPr>
                <w:b/>
                <w:i/>
              </w:rPr>
              <w:t xml:space="preserve"> ir Europos Parlamentui</w:t>
            </w:r>
            <w:r w:rsidRPr="00F22732">
              <w:t>. Informacijai taikomi tarnybinės paslapties reikalavimai ir suteikiama tokia pati apsauga, kokia panašaus pobūdžio informacijai suteikiama pagal ją gavusios valstybės narės nacionalinės teisės aktus.</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42</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16 straipsnio 2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2.</w:t>
            </w:r>
            <w:r w:rsidRPr="00F22732">
              <w:tab/>
              <w:t xml:space="preserve">Pagal šią direktyvą tvarkoma informacija, įskaitant asmens duomenis, saugoma tik tiek, kiek būtina šios direktyvos tikslams pasiekti, laikantis kiekvieno duomenų valdytojo nacionalinių </w:t>
            </w:r>
            <w:r w:rsidRPr="00F22732">
              <w:lastRenderedPageBreak/>
              <w:t>įstatymų dėl senaties terminų, tačiau bet kuriuo atveju ne ilgiau kaip 10 metų.</w:t>
            </w:r>
          </w:p>
        </w:tc>
        <w:tc>
          <w:tcPr>
            <w:tcW w:w="4876" w:type="dxa"/>
          </w:tcPr>
          <w:p w:rsidR="00EA365F" w:rsidRPr="00F22732" w:rsidRDefault="00EA365F" w:rsidP="0086552B">
            <w:pPr>
              <w:pStyle w:val="Normal6a"/>
              <w:rPr>
                <w:szCs w:val="24"/>
              </w:rPr>
            </w:pPr>
            <w:r w:rsidRPr="00F22732">
              <w:lastRenderedPageBreak/>
              <w:t>2.</w:t>
            </w:r>
            <w:r w:rsidRPr="00F22732">
              <w:tab/>
              <w:t xml:space="preserve">Pagal šią direktyvą tvarkoma informacija, įskaitant asmens duomenis, saugoma tik tiek, kiek būtina šios direktyvos tikslams pasiekti, laikantis kiekvieno duomenų valdytojo nacionalinių </w:t>
            </w:r>
            <w:r w:rsidRPr="00F22732">
              <w:lastRenderedPageBreak/>
              <w:t>įstatymų dėl senaties terminų, tačiau bet kuriuo atveju ne ilgiau kaip 10 metų</w:t>
            </w:r>
            <w:r w:rsidRPr="00F22732">
              <w:rPr>
                <w:b/>
                <w:i/>
              </w:rPr>
              <w:t xml:space="preserve"> nuo to momento, kai tvarkomi asmens duomenys šios direktyvos tikslais</w:t>
            </w:r>
            <w:r w:rsidRPr="00F22732">
              <w:t>.</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43</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1.</w:t>
            </w:r>
            <w:r w:rsidRPr="00F22732">
              <w:tab/>
              <w:t xml:space="preserve">Įgaliojimai priimti 13 straipsnyje </w:t>
            </w:r>
            <w:r w:rsidRPr="00F22732">
              <w:rPr>
                <w:b/>
                <w:i/>
              </w:rPr>
              <w:t>nurodytą deleguotąjį aktą</w:t>
            </w:r>
            <w:r w:rsidRPr="00F22732">
              <w:t xml:space="preserve"> Komisijai suteikiami šiame straipsnyje nustatytomis sąlygomis.</w:t>
            </w:r>
          </w:p>
        </w:tc>
        <w:tc>
          <w:tcPr>
            <w:tcW w:w="4876" w:type="dxa"/>
          </w:tcPr>
          <w:p w:rsidR="00EA365F" w:rsidRPr="00F22732" w:rsidRDefault="00EA365F" w:rsidP="0086552B">
            <w:pPr>
              <w:pStyle w:val="Normal6a"/>
            </w:pPr>
            <w:r w:rsidRPr="00F22732">
              <w:t>1.</w:t>
            </w:r>
            <w:r w:rsidRPr="00F22732">
              <w:tab/>
              <w:t xml:space="preserve">Įgaliojimai priimti </w:t>
            </w:r>
            <w:r w:rsidRPr="00F22732">
              <w:rPr>
                <w:b/>
                <w:i/>
              </w:rPr>
              <w:t xml:space="preserve">3 straipsnio antroje pastraipoje, </w:t>
            </w:r>
            <w:r w:rsidRPr="00F22732">
              <w:t xml:space="preserve">13 straipsnyje </w:t>
            </w:r>
            <w:r w:rsidRPr="00F22732">
              <w:rPr>
                <w:b/>
                <w:i/>
              </w:rPr>
              <w:t>ir 14 straipsnio 2, 2a ir 2b dalyse nurodytus deleguotuosius aktus</w:t>
            </w:r>
            <w:r w:rsidRPr="00F22732">
              <w:t xml:space="preserve"> Komisijai suteikiami šiame straipsnyje nustatytomis sąlygomis.</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44</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18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2.</w:t>
            </w:r>
            <w:r w:rsidRPr="00F22732">
              <w:tab/>
              <w:t xml:space="preserve">Taryba gali bet kada atšaukti 13 straipsnyje nurodytus deleguotuosius įgaliojimus. Sprendimu dėl įgaliojimų atšaukimo nutraukiami tame sprendime nurodyti įgaliojimai priimti deleguotuosius aktus. Sprendimas įsigalioja kitą dieną po jo paskelbimo </w:t>
            </w:r>
            <w:r w:rsidRPr="00F22732">
              <w:rPr>
                <w:i/>
                <w:iCs/>
              </w:rPr>
              <w:t>Europos Sąjungos oficialiajame leidinyje</w:t>
            </w:r>
            <w:r w:rsidRPr="00F22732">
              <w:t xml:space="preserve"> arba vėlesnę jame nurodytą dieną. Jis nedaro poveikio jau galiojančio deleguotojo akto galiojimui.</w:t>
            </w:r>
          </w:p>
        </w:tc>
        <w:tc>
          <w:tcPr>
            <w:tcW w:w="4876" w:type="dxa"/>
          </w:tcPr>
          <w:p w:rsidR="00EA365F" w:rsidRPr="00F22732" w:rsidRDefault="00EA365F" w:rsidP="0086552B">
            <w:pPr>
              <w:pStyle w:val="Normal6a"/>
            </w:pPr>
            <w:r w:rsidRPr="00F22732">
              <w:t>2.</w:t>
            </w:r>
            <w:r w:rsidRPr="00F22732">
              <w:tab/>
              <w:t xml:space="preserve">Taryba gali bet kada atšaukti </w:t>
            </w:r>
            <w:r w:rsidRPr="00F22732">
              <w:rPr>
                <w:b/>
                <w:i/>
              </w:rPr>
              <w:t xml:space="preserve">3 straipsnio antroje pastraipoje, </w:t>
            </w:r>
            <w:r w:rsidRPr="00F22732">
              <w:t>13 straipsnyje</w:t>
            </w:r>
            <w:r w:rsidRPr="00F22732">
              <w:rPr>
                <w:b/>
                <w:i/>
              </w:rPr>
              <w:t>, 14 straipsnio 2, 2a ir 2b dalyse</w:t>
            </w:r>
            <w:r w:rsidRPr="00F22732">
              <w:t xml:space="preserve"> nurodytus deleguotuosius įgaliojimus. Sprendimu dėl įgaliojimų atšaukimo nutraukiami tame sprendime nurodyti įgaliojimai priimti deleguotuosius aktus. Sprendimas įsigalioja kitą dieną po jo paskelbimo </w:t>
            </w:r>
            <w:r w:rsidRPr="00F22732">
              <w:rPr>
                <w:i/>
                <w:iCs/>
              </w:rPr>
              <w:t>Europos Sąjungos oficialiajame leidinyje</w:t>
            </w:r>
            <w:r w:rsidRPr="00F22732">
              <w:t xml:space="preserve"> arba vėlesnę jame nurodytą dieną. Jis nedaro poveikio jau galiojančio deleguotojo akto galiojimui.</w:t>
            </w:r>
          </w:p>
        </w:tc>
      </w:tr>
    </w:tbl>
    <w:p w:rsidR="00EA365F" w:rsidRPr="00F22732" w:rsidRDefault="00EA365F" w:rsidP="00EA365F"/>
    <w:p w:rsidR="00EA365F" w:rsidRPr="00F22732" w:rsidRDefault="00EA365F" w:rsidP="00EA365F">
      <w:pPr>
        <w:pStyle w:val="AmNumberTabs"/>
      </w:pPr>
      <w:r w:rsidRPr="00F22732">
        <w:t>Pakeitimas</w:t>
      </w:r>
      <w:r w:rsidRPr="00F22732">
        <w:tab/>
      </w:r>
      <w:r w:rsidRPr="00F22732">
        <w:tab/>
        <w:t>45</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18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3.</w:t>
            </w:r>
            <w:r w:rsidRPr="00F22732">
              <w:tab/>
              <w:t xml:space="preserve">Prieš priimdama deleguotąjį aktą Komisija konsultuojasi su kiekvienos valstybės narės paskirtais ekspertais </w:t>
            </w:r>
            <w:r w:rsidRPr="00F22732">
              <w:lastRenderedPageBreak/>
              <w:t>vadovaudamasi 2016 m. balandžio 13 d. Tarpinstituciniame susitarime dėl geresnės teisėkūros nustatytais principais.</w:t>
            </w:r>
          </w:p>
        </w:tc>
        <w:tc>
          <w:tcPr>
            <w:tcW w:w="4876" w:type="dxa"/>
          </w:tcPr>
          <w:p w:rsidR="00EA365F" w:rsidRPr="00F22732" w:rsidRDefault="00EA365F" w:rsidP="0086552B">
            <w:pPr>
              <w:pStyle w:val="Normal6a"/>
            </w:pPr>
            <w:r w:rsidRPr="00F22732">
              <w:lastRenderedPageBreak/>
              <w:t>3.</w:t>
            </w:r>
            <w:r w:rsidRPr="00F22732">
              <w:tab/>
              <w:t xml:space="preserve">Prieš priimdama deleguotąjį aktą Komisija konsultuojasi su kiekvienos valstybės narės paskirtais ekspertais </w:t>
            </w:r>
            <w:r w:rsidRPr="00F22732">
              <w:lastRenderedPageBreak/>
              <w:t xml:space="preserve">vadovaudamasi 2016 m. balandžio 13 d. Tarpinstituciniame susitarime dėl geresnės teisėkūros nustatytais principais. </w:t>
            </w:r>
            <w:r w:rsidRPr="00F22732">
              <w:rPr>
                <w:b/>
                <w:i/>
              </w:rPr>
              <w:t>14a straipsnyje nurodytas Europos sandorių kainodaros forumas veikia kaip atitinkama ekspertų įstaiga.</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46</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19 straipsnio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b/>
                <w:i/>
                <w:szCs w:val="24"/>
              </w:rPr>
            </w:pPr>
            <w:r w:rsidRPr="00F22732">
              <w:rPr>
                <w:b/>
                <w:i/>
              </w:rPr>
              <w:t>Europos Parlamentas stebėtojo teisėmis gali dalyvauti atitinkamuose tarptautiniuose forumuose vykstančiose tarptautinėse derybose dėl sandorių kainodaros gairių.</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47</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19 a straipsnis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jc w:val="center"/>
              <w:rPr>
                <w:b/>
                <w:i/>
                <w:szCs w:val="24"/>
              </w:rPr>
            </w:pPr>
            <w:r w:rsidRPr="00F22732">
              <w:rPr>
                <w:b/>
                <w:i/>
              </w:rPr>
              <w:t>19a straipsnis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jc w:val="center"/>
              <w:rPr>
                <w:b/>
                <w:i/>
                <w:szCs w:val="24"/>
              </w:rPr>
            </w:pPr>
            <w:r w:rsidRPr="00F22732">
              <w:rPr>
                <w:b/>
                <w:i/>
              </w:rPr>
              <w:t>Peržiūra</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rPr>
                <w:szCs w:val="24"/>
              </w:rPr>
            </w:pPr>
            <w:r w:rsidRPr="00F22732">
              <w:rPr>
                <w:b/>
                <w:i/>
              </w:rPr>
              <w:t>Komisija peržiūri šios direktyvos taikymą tarptautinėms įmonių grupėms, kurioms taikomas pasiūlymas dėl Tarybos direktyvos dėl sistemos „Verslas Europoje. Pajamų apmokestinimo sistema“ (BEFIT), kai tik ta direktyva įsigalioja.</w:t>
            </w:r>
          </w:p>
        </w:tc>
      </w:tr>
    </w:tbl>
    <w:p w:rsidR="00EA365F" w:rsidRPr="00F22732" w:rsidRDefault="00EA365F" w:rsidP="00EA365F">
      <w:pPr>
        <w:pStyle w:val="AmNumberTabs"/>
      </w:pPr>
      <w:r w:rsidRPr="00F22732">
        <w:t>Pakeitimas</w:t>
      </w:r>
      <w:r w:rsidRPr="00F22732">
        <w:tab/>
      </w:r>
      <w:r w:rsidRPr="00F22732">
        <w:tab/>
        <w:t>48</w:t>
      </w:r>
    </w:p>
    <w:p w:rsidR="00EA365F" w:rsidRPr="00F22732" w:rsidRDefault="00EA365F" w:rsidP="00EA365F">
      <w:pPr>
        <w:pStyle w:val="NormalBold12b"/>
      </w:pPr>
      <w:r w:rsidRPr="00F22732">
        <w:t>Pasiūlymas dėl direktyvos</w:t>
      </w:r>
    </w:p>
    <w:p w:rsidR="00EA365F" w:rsidRPr="00F22732" w:rsidRDefault="00EA365F" w:rsidP="00EA365F">
      <w:pPr>
        <w:pStyle w:val="NormalBold"/>
      </w:pPr>
      <w:r w:rsidRPr="00F22732">
        <w:t>19 b straipsnis (naujas)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A365F" w:rsidRPr="00F22732" w:rsidTr="0086552B">
        <w:trPr>
          <w:trHeight w:hRule="exact" w:val="240"/>
          <w:jc w:val="center"/>
        </w:trPr>
        <w:tc>
          <w:tcPr>
            <w:tcW w:w="9752" w:type="dxa"/>
            <w:gridSpan w:val="2"/>
          </w:tcPr>
          <w:p w:rsidR="00EA365F" w:rsidRPr="00F22732" w:rsidRDefault="00EA365F" w:rsidP="0086552B"/>
        </w:tc>
      </w:tr>
      <w:tr w:rsidR="00EA365F" w:rsidRPr="00F22732" w:rsidTr="0086552B">
        <w:trPr>
          <w:trHeight w:val="240"/>
          <w:jc w:val="center"/>
        </w:trPr>
        <w:tc>
          <w:tcPr>
            <w:tcW w:w="4876" w:type="dxa"/>
          </w:tcPr>
          <w:p w:rsidR="00EA365F" w:rsidRPr="00F22732" w:rsidRDefault="00EA365F" w:rsidP="0086552B">
            <w:pPr>
              <w:pStyle w:val="AmColumnHeading"/>
            </w:pPr>
            <w:r w:rsidRPr="00F22732">
              <w:t>Komisijos siūlomas tekstas</w:t>
            </w:r>
          </w:p>
        </w:tc>
        <w:tc>
          <w:tcPr>
            <w:tcW w:w="4876" w:type="dxa"/>
          </w:tcPr>
          <w:p w:rsidR="00EA365F" w:rsidRPr="00F22732" w:rsidRDefault="00EA365F" w:rsidP="0086552B">
            <w:pPr>
              <w:pStyle w:val="AmColumnHeading"/>
            </w:pPr>
            <w:r w:rsidRPr="00F22732">
              <w:t>Pakeitimas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jc w:val="center"/>
            </w:pPr>
            <w:r w:rsidRPr="00F22732">
              <w:rPr>
                <w:b/>
                <w:i/>
              </w:rPr>
              <w:t>19b straipsnis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jc w:val="center"/>
            </w:pPr>
            <w:r w:rsidRPr="00F22732">
              <w:rPr>
                <w:b/>
                <w:i/>
              </w:rPr>
              <w:t>Direktyvos 2011/16/ES dalinis keitimas</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 xml:space="preserve">Direktyvos 2011/16/ES 8a straipsnio 6 </w:t>
            </w:r>
            <w:r w:rsidRPr="00F22732">
              <w:rPr>
                <w:b/>
                <w:i/>
              </w:rPr>
              <w:lastRenderedPageBreak/>
              <w:t>dalies i punktas pakeičiamas taip:</w:t>
            </w:r>
          </w:p>
        </w:tc>
      </w:tr>
      <w:tr w:rsidR="00EA365F" w:rsidRPr="00F22732" w:rsidTr="0086552B">
        <w:trPr>
          <w:jc w:val="center"/>
        </w:trPr>
        <w:tc>
          <w:tcPr>
            <w:tcW w:w="4876" w:type="dxa"/>
          </w:tcPr>
          <w:p w:rsidR="00EA365F" w:rsidRPr="00F22732" w:rsidRDefault="00EA365F" w:rsidP="0086552B">
            <w:pPr>
              <w:pStyle w:val="Normal6a"/>
            </w:pPr>
          </w:p>
        </w:tc>
        <w:tc>
          <w:tcPr>
            <w:tcW w:w="4876" w:type="dxa"/>
          </w:tcPr>
          <w:p w:rsidR="00EA365F" w:rsidRPr="00F22732" w:rsidRDefault="00EA365F" w:rsidP="0086552B">
            <w:pPr>
              <w:pStyle w:val="Normal6a"/>
            </w:pPr>
            <w:r w:rsidRPr="00F22732">
              <w:rPr>
                <w:b/>
                <w:i/>
              </w:rPr>
              <w:t>„i)</w:t>
            </w:r>
            <w:r w:rsidRPr="00F22732">
              <w:rPr>
                <w:b/>
                <w:i/>
              </w:rPr>
              <w:tab/>
              <w:t>sandorių kainodaros nustatymo metodo arba kitų vertės nustatymo metodų ir būdų, skirtų ištiestosios rankos principą atitinkančiai kainai apskaičiuoti, kaip apibrėžta Direktyvos [2024/XX/XX dėl sandorių kainodaros] 9 straipsnyje, ir tokio metodo taikymo motyvų arba, jei nustatyta išankstinė kainodaros tvarka, paties sandorio kainos nurodymą;“</w:t>
            </w:r>
          </w:p>
        </w:tc>
      </w:tr>
    </w:tbl>
    <w:p w:rsidR="00EA365F" w:rsidRPr="00F22732" w:rsidRDefault="00EA365F" w:rsidP="00EA365F"/>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49</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20 straipsnio 1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 xml:space="preserve">Valstybės narės ne vėliau kaip </w:t>
            </w:r>
            <w:r w:rsidRPr="005D53EF">
              <w:rPr>
                <w:b/>
                <w:i/>
              </w:rPr>
              <w:t>[</w:t>
            </w:r>
            <w:r w:rsidRPr="00F22732">
              <w:rPr>
                <w:b/>
                <w:i/>
              </w:rPr>
              <w:t>2025</w:t>
            </w:r>
            <w:r w:rsidRPr="00F22732">
              <w:t> m. gruodžio 31 d.</w:t>
            </w:r>
            <w:r w:rsidRPr="005D53EF">
              <w:rPr>
                <w:b/>
                <w:i/>
              </w:rPr>
              <w:t>]</w:t>
            </w:r>
            <w:r w:rsidR="00A46AF0">
              <w:t xml:space="preserve"> </w:t>
            </w:r>
            <w:r w:rsidRPr="00F22732">
              <w:t>priima ir paskelbia įstatymus ir kitus teisės aktus, būtinus, kad būtų laikomasi šios direktyvos. Jos nedelsdamos pateikia Komisijai tų teisės aktų nuostatų tekstą.</w:t>
            </w:r>
          </w:p>
        </w:tc>
        <w:tc>
          <w:tcPr>
            <w:tcW w:w="4876" w:type="dxa"/>
          </w:tcPr>
          <w:p w:rsidR="00EA365F" w:rsidRPr="00F22732" w:rsidRDefault="00EA365F" w:rsidP="00A46AF0">
            <w:pPr>
              <w:pStyle w:val="Normal6a"/>
              <w:rPr>
                <w:szCs w:val="24"/>
              </w:rPr>
            </w:pPr>
            <w:r w:rsidRPr="00F22732">
              <w:t xml:space="preserve">Valstybės narės ne vėliau kaip </w:t>
            </w:r>
            <w:r w:rsidRPr="00F22732">
              <w:rPr>
                <w:b/>
                <w:i/>
              </w:rPr>
              <w:t>2024</w:t>
            </w:r>
            <w:r w:rsidRPr="00F22732">
              <w:t> m. gruodžio 31 d.</w:t>
            </w:r>
            <w:r w:rsidR="00A46AF0">
              <w:t xml:space="preserve"> </w:t>
            </w:r>
            <w:r w:rsidRPr="00F22732">
              <w:t>priima ir paskelbia įstatymus ir kitus teisės aktus, būtinus, kad būtų laikomasi šios direktyvos. Jos nedelsdamos pateikia Komisijai tų teisės aktų nuostatų tekstą.</w:t>
            </w:r>
          </w:p>
        </w:tc>
      </w:tr>
    </w:tbl>
    <w:p w:rsidR="00EA365F" w:rsidRPr="00F22732" w:rsidRDefault="00EA365F" w:rsidP="00EA365F"/>
    <w:p w:rsidR="00EA365F" w:rsidRPr="00F22732" w:rsidRDefault="00EA365F" w:rsidP="00EA365F">
      <w:pPr>
        <w:pStyle w:val="AmNumberTabs"/>
        <w:keepNext/>
      </w:pPr>
      <w:r w:rsidRPr="00F22732">
        <w:t>Pakeitimas</w:t>
      </w:r>
      <w:r w:rsidRPr="00F22732">
        <w:tab/>
      </w:r>
      <w:r w:rsidRPr="00F22732">
        <w:tab/>
        <w:t>50</w:t>
      </w:r>
    </w:p>
    <w:p w:rsidR="00EA365F" w:rsidRPr="00F22732" w:rsidRDefault="00EA365F" w:rsidP="00EA365F">
      <w:pPr>
        <w:pStyle w:val="NormalBold12b"/>
        <w:keepNext/>
      </w:pPr>
      <w:r w:rsidRPr="00F22732">
        <w:t>Pasiūlymas dėl direktyvos</w:t>
      </w:r>
    </w:p>
    <w:p w:rsidR="00EA365F" w:rsidRPr="00F22732" w:rsidRDefault="00EA365F" w:rsidP="00EA365F">
      <w:pPr>
        <w:pStyle w:val="NormalBold"/>
        <w:keepNext/>
      </w:pPr>
      <w:r w:rsidRPr="00F22732">
        <w:t xml:space="preserve"> 20 straipsnio 1 dalies 2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65F" w:rsidRPr="00F22732" w:rsidTr="0086552B">
        <w:trPr>
          <w:jc w:val="center"/>
        </w:trPr>
        <w:tc>
          <w:tcPr>
            <w:tcW w:w="9752" w:type="dxa"/>
            <w:gridSpan w:val="2"/>
          </w:tcPr>
          <w:p w:rsidR="00EA365F" w:rsidRPr="00F22732" w:rsidRDefault="00EA365F" w:rsidP="0086552B">
            <w:pPr>
              <w:keepNext/>
            </w:pPr>
          </w:p>
        </w:tc>
      </w:tr>
      <w:tr w:rsidR="00EA365F" w:rsidRPr="00F22732" w:rsidTr="0086552B">
        <w:trPr>
          <w:jc w:val="center"/>
        </w:trPr>
        <w:tc>
          <w:tcPr>
            <w:tcW w:w="4876" w:type="dxa"/>
          </w:tcPr>
          <w:p w:rsidR="00EA365F" w:rsidRPr="00F22732" w:rsidRDefault="00EA365F" w:rsidP="0086552B">
            <w:pPr>
              <w:pStyle w:val="AmColumnHeading"/>
              <w:keepNext/>
            </w:pPr>
            <w:r w:rsidRPr="00F22732">
              <w:t>Komisijos siūlomas tekstas</w:t>
            </w:r>
          </w:p>
        </w:tc>
        <w:tc>
          <w:tcPr>
            <w:tcW w:w="4876" w:type="dxa"/>
          </w:tcPr>
          <w:p w:rsidR="00EA365F" w:rsidRPr="00F22732" w:rsidRDefault="00EA365F" w:rsidP="0086552B">
            <w:pPr>
              <w:pStyle w:val="AmColumnHeading"/>
              <w:keepNext/>
            </w:pPr>
            <w:r w:rsidRPr="00F22732">
              <w:t>Pakeitimas</w:t>
            </w:r>
          </w:p>
        </w:tc>
      </w:tr>
      <w:tr w:rsidR="00EA365F" w:rsidRPr="00F22732" w:rsidTr="0086552B">
        <w:trPr>
          <w:jc w:val="center"/>
        </w:trPr>
        <w:tc>
          <w:tcPr>
            <w:tcW w:w="4876" w:type="dxa"/>
          </w:tcPr>
          <w:p w:rsidR="00EA365F" w:rsidRPr="00F22732" w:rsidRDefault="00EA365F" w:rsidP="0086552B">
            <w:pPr>
              <w:pStyle w:val="Normal6a"/>
            </w:pPr>
            <w:r w:rsidRPr="00F22732">
              <w:t xml:space="preserve">Tas nuostatas jos taiko nuo </w:t>
            </w:r>
            <w:r w:rsidRPr="005D53EF">
              <w:rPr>
                <w:b/>
                <w:i/>
              </w:rPr>
              <w:t>[</w:t>
            </w:r>
            <w:r w:rsidRPr="00F22732">
              <w:rPr>
                <w:b/>
                <w:i/>
              </w:rPr>
              <w:t>2026</w:t>
            </w:r>
            <w:r w:rsidRPr="00F22732">
              <w:t xml:space="preserve"> m. sausio 1 d.</w:t>
            </w:r>
            <w:r w:rsidRPr="005D53EF">
              <w:rPr>
                <w:b/>
                <w:i/>
              </w:rPr>
              <w:t>]</w:t>
            </w:r>
            <w:r w:rsidRPr="00F22732">
              <w:t>.</w:t>
            </w:r>
          </w:p>
        </w:tc>
        <w:tc>
          <w:tcPr>
            <w:tcW w:w="4876" w:type="dxa"/>
          </w:tcPr>
          <w:p w:rsidR="00EA365F" w:rsidRPr="00F22732" w:rsidRDefault="00EA365F" w:rsidP="00A46AF0">
            <w:pPr>
              <w:pStyle w:val="Normal6a"/>
              <w:rPr>
                <w:szCs w:val="24"/>
              </w:rPr>
            </w:pPr>
            <w:r w:rsidRPr="00F22732">
              <w:t xml:space="preserve">Tas nuostatas jos taiko nuo </w:t>
            </w:r>
            <w:r w:rsidRPr="00F22732">
              <w:rPr>
                <w:b/>
                <w:i/>
              </w:rPr>
              <w:t>2025</w:t>
            </w:r>
            <w:r w:rsidRPr="00F22732">
              <w:t xml:space="preserve"> m. sausio 1 d.</w:t>
            </w:r>
          </w:p>
        </w:tc>
      </w:tr>
    </w:tbl>
    <w:p w:rsidR="00E365E1" w:rsidRPr="00F22732" w:rsidRDefault="00E365E1" w:rsidP="0081241E">
      <w:bookmarkStart w:id="9" w:name="TextBodyEnd"/>
      <w:bookmarkEnd w:id="9"/>
    </w:p>
    <w:sectPr w:rsidR="00E365E1" w:rsidRPr="00F22732" w:rsidSect="00F2273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E63" w:rsidRPr="00F22732" w:rsidRDefault="00195E63">
      <w:r w:rsidRPr="00F22732">
        <w:separator/>
      </w:r>
    </w:p>
  </w:endnote>
  <w:endnote w:type="continuationSeparator" w:id="0">
    <w:p w:rsidR="00195E63" w:rsidRPr="00F22732" w:rsidRDefault="00195E63">
      <w:r w:rsidRPr="00F227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E63" w:rsidRPr="00F22732" w:rsidRDefault="00195E63">
      <w:r w:rsidRPr="00F22732">
        <w:separator/>
      </w:r>
    </w:p>
  </w:footnote>
  <w:footnote w:type="continuationSeparator" w:id="0">
    <w:p w:rsidR="00195E63" w:rsidRPr="00F22732" w:rsidRDefault="00195E63">
      <w:r w:rsidRPr="00F227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7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LT"/>
    <w:docVar w:name="dvnumam" w:val="50"/>
    <w:docVar w:name="dvpe" w:val="756.000"/>
    <w:docVar w:name="dvrapporteur" w:val="Pranešėja: "/>
    <w:docVar w:name="dvstar" w:val="*"/>
    <w:docVar w:name="dvtitre" w:val="2024 m. balandzio XX d. Europos Parlamento teisėkūros rezoliucija dėl pasiūlymo dėl Tarybos direktyvos dėl sandorių kainodaros(COM(2023)0529 – C9-0339/2023 – 2023/0322(CNS))"/>
  </w:docVars>
  <w:rsids>
    <w:rsidRoot w:val="00195E63"/>
    <w:rsid w:val="00002272"/>
    <w:rsid w:val="00064002"/>
    <w:rsid w:val="000677B9"/>
    <w:rsid w:val="000831BA"/>
    <w:rsid w:val="000A42CC"/>
    <w:rsid w:val="000E7DD9"/>
    <w:rsid w:val="0010095E"/>
    <w:rsid w:val="00124409"/>
    <w:rsid w:val="00125B37"/>
    <w:rsid w:val="001710E8"/>
    <w:rsid w:val="00187494"/>
    <w:rsid w:val="00195E63"/>
    <w:rsid w:val="001E57C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3EF"/>
    <w:rsid w:val="006037C0"/>
    <w:rsid w:val="006631B6"/>
    <w:rsid w:val="00680577"/>
    <w:rsid w:val="006F74FA"/>
    <w:rsid w:val="00731ADD"/>
    <w:rsid w:val="00734777"/>
    <w:rsid w:val="00747932"/>
    <w:rsid w:val="00751A4A"/>
    <w:rsid w:val="00756632"/>
    <w:rsid w:val="00762C74"/>
    <w:rsid w:val="00772C2D"/>
    <w:rsid w:val="00786EC0"/>
    <w:rsid w:val="007D1690"/>
    <w:rsid w:val="007E22AD"/>
    <w:rsid w:val="0081241E"/>
    <w:rsid w:val="00817416"/>
    <w:rsid w:val="00842779"/>
    <w:rsid w:val="00865F67"/>
    <w:rsid w:val="00881A7B"/>
    <w:rsid w:val="008840E5"/>
    <w:rsid w:val="00887B3E"/>
    <w:rsid w:val="00891CA2"/>
    <w:rsid w:val="008C2AC6"/>
    <w:rsid w:val="009247A3"/>
    <w:rsid w:val="00930C23"/>
    <w:rsid w:val="0093193B"/>
    <w:rsid w:val="009509D8"/>
    <w:rsid w:val="00950B64"/>
    <w:rsid w:val="00981893"/>
    <w:rsid w:val="00A1687D"/>
    <w:rsid w:val="00A43E52"/>
    <w:rsid w:val="00A4678D"/>
    <w:rsid w:val="00A46AF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227"/>
    <w:rsid w:val="00D56C11"/>
    <w:rsid w:val="00D834A0"/>
    <w:rsid w:val="00D872DF"/>
    <w:rsid w:val="00D91E21"/>
    <w:rsid w:val="00DA7FCD"/>
    <w:rsid w:val="00E365E1"/>
    <w:rsid w:val="00E820A4"/>
    <w:rsid w:val="00EA365F"/>
    <w:rsid w:val="00EB006A"/>
    <w:rsid w:val="00EB4772"/>
    <w:rsid w:val="00ED169E"/>
    <w:rsid w:val="00ED4235"/>
    <w:rsid w:val="00ED6974"/>
    <w:rsid w:val="00F04346"/>
    <w:rsid w:val="00F075DC"/>
    <w:rsid w:val="00F149E9"/>
    <w:rsid w:val="00F2273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ECB09"/>
  <w15:chartTrackingRefBased/>
  <w15:docId w15:val="{1E250184-DC2C-4402-A972-F3ED99AFE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365F"/>
    <w:pPr>
      <w:spacing w:before="480" w:after="240"/>
    </w:pPr>
  </w:style>
  <w:style w:type="paragraph" w:customStyle="1" w:styleId="Normal6a">
    <w:name w:val="Normal6a"/>
    <w:basedOn w:val="Normal"/>
    <w:rsid w:val="00EA365F"/>
    <w:pPr>
      <w:spacing w:after="120"/>
    </w:pPr>
  </w:style>
  <w:style w:type="paragraph" w:customStyle="1" w:styleId="NormalBold">
    <w:name w:val="NormalBold"/>
    <w:basedOn w:val="Normal"/>
    <w:rsid w:val="00EA365F"/>
    <w:rPr>
      <w:b/>
    </w:rPr>
  </w:style>
  <w:style w:type="paragraph" w:customStyle="1" w:styleId="NormalHanging12a">
    <w:name w:val="NormalHanging12a"/>
    <w:basedOn w:val="Normal"/>
    <w:rsid w:val="00EA365F"/>
    <w:pPr>
      <w:spacing w:after="240"/>
      <w:ind w:left="567" w:hanging="567"/>
    </w:pPr>
  </w:style>
  <w:style w:type="paragraph" w:customStyle="1" w:styleId="AmColumnHeading">
    <w:name w:val="AmColumnHeading"/>
    <w:basedOn w:val="Normal"/>
    <w:rsid w:val="00EA365F"/>
    <w:pPr>
      <w:spacing w:after="240"/>
      <w:jc w:val="center"/>
    </w:pPr>
    <w:rPr>
      <w:i/>
    </w:rPr>
  </w:style>
  <w:style w:type="paragraph" w:customStyle="1" w:styleId="AmNumberTabs">
    <w:name w:val="AmNumberTabs"/>
    <w:basedOn w:val="Normal"/>
    <w:link w:val="AmNumberTabsChar"/>
    <w:rsid w:val="00EA36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A365F"/>
    <w:pPr>
      <w:spacing w:before="240"/>
    </w:pPr>
    <w:rPr>
      <w:b/>
    </w:rPr>
  </w:style>
  <w:style w:type="character" w:styleId="Hyperlink">
    <w:name w:val="Hyperlink"/>
    <w:uiPriority w:val="99"/>
    <w:rsid w:val="00EA365F"/>
    <w:rPr>
      <w:color w:val="0000FF"/>
      <w:u w:val="single"/>
    </w:rPr>
  </w:style>
  <w:style w:type="character" w:customStyle="1" w:styleId="AmNumberTabsChar">
    <w:name w:val="AmNumberTabs Char"/>
    <w:basedOn w:val="DefaultParagraphFont"/>
    <w:link w:val="AmNumberTabs"/>
    <w:rsid w:val="00EA365F"/>
    <w:rPr>
      <w:b/>
      <w:sz w:val="24"/>
      <w:lang w:val="lt-LT"/>
    </w:rPr>
  </w:style>
  <w:style w:type="character" w:customStyle="1" w:styleId="NormalBold12bChar">
    <w:name w:val="NormalBold12b Char"/>
    <w:basedOn w:val="AmNumberTabsChar"/>
    <w:link w:val="NormalBold12b"/>
    <w:rsid w:val="00EA365F"/>
    <w:rPr>
      <w:b/>
      <w:sz w:val="24"/>
      <w:lang w:val="lt-LT"/>
    </w:rPr>
  </w:style>
  <w:style w:type="paragraph" w:styleId="BalloonText">
    <w:name w:val="Balloon Text"/>
    <w:basedOn w:val="Normal"/>
    <w:link w:val="BalloonTextChar"/>
    <w:rsid w:val="009247A3"/>
    <w:rPr>
      <w:rFonts w:ascii="Segoe UI" w:hAnsi="Segoe UI" w:cs="Segoe UI"/>
      <w:sz w:val="18"/>
      <w:szCs w:val="18"/>
    </w:rPr>
  </w:style>
  <w:style w:type="character" w:customStyle="1" w:styleId="BalloonTextChar">
    <w:name w:val="Balloon Text Char"/>
    <w:basedOn w:val="DefaultParagraphFont"/>
    <w:link w:val="BalloonText"/>
    <w:rsid w:val="009247A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LT/TXT/HTML/?uri=CELEX:42006X0728(01)" TargetMode="External"/><Relationship Id="rId4" Type="http://schemas.openxmlformats.org/officeDocument/2006/relationships/settings" Target="settings.xml"/><Relationship Id="rId9" Type="http://schemas.openxmlformats.org/officeDocument/2006/relationships/hyperlink" Target="https://eur-lex.europa.eu/legal-content/LT/TXT/HTML/?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AB4FF-82FA-4B2C-8F3E-DA44E13C9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5313</Words>
  <Characters>38703</Characters>
  <Application>Microsoft Office Word</Application>
  <DocSecurity>0</DocSecurity>
  <Lines>322</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Karina Pesa</cp:lastModifiedBy>
  <cp:revision>2</cp:revision>
  <cp:lastPrinted>2004-11-19T15:42:00Z</cp:lastPrinted>
  <dcterms:created xsi:type="dcterms:W3CDTF">2025-01-15T09:38:00Z</dcterms:created>
  <dcterms:modified xsi:type="dcterms:W3CDTF">2025-01-15T09:38:00Z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P9_TA(2024)0219_</vt:lpwstr>
  </property>
  <property fmtid="{D5CDD505-2E9C-101B-9397-08002B2CF9AE}" pid="4" name="&lt;Type&gt;">
    <vt:lpwstr>RR</vt:lpwstr>
  </property>
</Properties>
</file>