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1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3151" w:rsidRDefault="00D44035" w:rsidP="0010095E">
            <w:pPr>
              <w:pStyle w:val="EPName"/>
            </w:pPr>
            <w:r w:rsidRPr="003D3151">
              <w:t>Parlament Ewropew</w:t>
            </w:r>
          </w:p>
          <w:p w:rsidR="00751A4A" w:rsidRPr="003D31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1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3151" w:rsidRDefault="00187494" w:rsidP="0010095E">
            <w:pPr>
              <w:pStyle w:val="EPLogo"/>
            </w:pPr>
            <w:r w:rsidRPr="003D31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3151" w:rsidRDefault="00D058B8" w:rsidP="004C5D52">
      <w:pPr>
        <w:pStyle w:val="LineTop"/>
      </w:pPr>
    </w:p>
    <w:p w:rsidR="00680577" w:rsidRPr="003D3151" w:rsidRDefault="00D44035" w:rsidP="00680577">
      <w:pPr>
        <w:pStyle w:val="EPBodyTA1"/>
      </w:pPr>
      <w:r w:rsidRPr="003D3151">
        <w:t>TESTI ADOTTATI</w:t>
      </w:r>
    </w:p>
    <w:p w:rsidR="00D058B8" w:rsidRPr="003D3151" w:rsidRDefault="00D058B8" w:rsidP="00D058B8">
      <w:pPr>
        <w:pStyle w:val="LineBottom"/>
      </w:pPr>
    </w:p>
    <w:p w:rsidR="00D44035" w:rsidRPr="003D3151" w:rsidRDefault="00D44035" w:rsidP="00D44035">
      <w:pPr>
        <w:pStyle w:val="ATHeading1"/>
      </w:pPr>
      <w:bookmarkStart w:id="0" w:name="TANumber"/>
      <w:r w:rsidRPr="003D3151">
        <w:t>P9_TA(2024)0</w:t>
      </w:r>
      <w:bookmarkEnd w:id="0"/>
      <w:r w:rsidR="003D3151">
        <w:t>219</w:t>
      </w:r>
    </w:p>
    <w:p w:rsidR="00D44035" w:rsidRPr="003D3151" w:rsidRDefault="00D44035" w:rsidP="00D44035">
      <w:pPr>
        <w:pStyle w:val="ATHeading2"/>
      </w:pPr>
      <w:bookmarkStart w:id="1" w:name="title"/>
      <w:r w:rsidRPr="003D3151">
        <w:t>L-ipprezzar ta' trasferimenti</w:t>
      </w:r>
      <w:bookmarkEnd w:id="1"/>
    </w:p>
    <w:p w:rsidR="00D44035" w:rsidRPr="003D3151" w:rsidRDefault="00D44035" w:rsidP="00D44035">
      <w:pPr>
        <w:rPr>
          <w:i/>
          <w:vanish/>
        </w:rPr>
      </w:pPr>
      <w:r w:rsidRPr="003D3151">
        <w:rPr>
          <w:i/>
        </w:rPr>
        <w:fldChar w:fldCharType="begin"/>
      </w:r>
      <w:r w:rsidRPr="003D3151">
        <w:rPr>
          <w:i/>
        </w:rPr>
        <w:instrText xml:space="preserve"> TC"(</w:instrText>
      </w:r>
      <w:bookmarkStart w:id="2" w:name="DocNumber"/>
      <w:r w:rsidRPr="003D3151">
        <w:rPr>
          <w:i/>
        </w:rPr>
        <w:instrText>A9-0066/2024</w:instrText>
      </w:r>
      <w:bookmarkEnd w:id="2"/>
      <w:r w:rsidRPr="003D3151">
        <w:rPr>
          <w:i/>
        </w:rPr>
        <w:instrText xml:space="preserve"> - Rapporteur: Kira Marie Peter</w:instrText>
      </w:r>
      <w:r w:rsidRPr="003D3151">
        <w:rPr>
          <w:i/>
        </w:rPr>
        <w:noBreakHyphen/>
        <w:instrText xml:space="preserve">Hansen)"\l3 \n&gt; \* MERGEFORMAT </w:instrText>
      </w:r>
      <w:r w:rsidRPr="003D3151">
        <w:rPr>
          <w:i/>
        </w:rPr>
        <w:fldChar w:fldCharType="end"/>
      </w:r>
    </w:p>
    <w:p w:rsidR="00D44035" w:rsidRPr="003D3151" w:rsidRDefault="00D44035" w:rsidP="00D44035">
      <w:pPr>
        <w:rPr>
          <w:vanish/>
        </w:rPr>
      </w:pPr>
      <w:bookmarkStart w:id="3" w:name="Commission"/>
      <w:r w:rsidRPr="003D3151">
        <w:rPr>
          <w:vanish/>
        </w:rPr>
        <w:t>Kumitat għall-Affarijiet Ekonomiċi u Monetarji</w:t>
      </w:r>
      <w:bookmarkEnd w:id="3"/>
    </w:p>
    <w:p w:rsidR="00D44035" w:rsidRPr="003D3151" w:rsidRDefault="00D44035" w:rsidP="00D44035">
      <w:pPr>
        <w:rPr>
          <w:vanish/>
        </w:rPr>
      </w:pPr>
      <w:bookmarkStart w:id="4" w:name="PE"/>
      <w:r w:rsidRPr="003D3151">
        <w:rPr>
          <w:vanish/>
        </w:rPr>
        <w:t>PE756.000</w:t>
      </w:r>
      <w:bookmarkEnd w:id="4"/>
    </w:p>
    <w:p w:rsidR="00D44035" w:rsidRPr="003D3151" w:rsidRDefault="00D44035" w:rsidP="00D44035">
      <w:pPr>
        <w:pStyle w:val="ATHeading3"/>
      </w:pPr>
      <w:bookmarkStart w:id="5" w:name="Sujet"/>
      <w:r w:rsidRPr="003D3151">
        <w:t>Riżoluzzjoni leġiżlattiva tal-Parlament Ewropew tal-10 ta' April 2024 dwar il-proposta għal direttiva tal-Kunsill dwar l-ipprezzar ta’ trasferiment</w:t>
      </w:r>
      <w:bookmarkEnd w:id="5"/>
      <w:r w:rsidRPr="003D3151">
        <w:t xml:space="preserve"> </w:t>
      </w:r>
      <w:bookmarkStart w:id="6" w:name="References"/>
      <w:r w:rsidRPr="003D3151">
        <w:t>(COM(2023)0529 – C9-0339/2023 – 2023/0322(CNS))</w:t>
      </w:r>
      <w:bookmarkEnd w:id="6"/>
    </w:p>
    <w:p w:rsidR="007040D2" w:rsidRPr="003D3151" w:rsidRDefault="007040D2" w:rsidP="00B22573"/>
    <w:p w:rsidR="00D2025C" w:rsidRPr="003D3151" w:rsidRDefault="00D2025C" w:rsidP="00D2025C">
      <w:pPr>
        <w:pStyle w:val="NormalBold"/>
      </w:pPr>
      <w:bookmarkStart w:id="7" w:name="TextBodyBegin"/>
      <w:bookmarkEnd w:id="7"/>
      <w:r w:rsidRPr="003D3151">
        <w:t>(Proċedura leġiżlattiva speċjali – konsultazzjoni)</w:t>
      </w:r>
    </w:p>
    <w:p w:rsidR="00D2025C" w:rsidRPr="003D3151" w:rsidRDefault="00D2025C" w:rsidP="00D2025C">
      <w:pPr>
        <w:pStyle w:val="EPComma"/>
      </w:pPr>
      <w:r w:rsidRPr="003D3151">
        <w:rPr>
          <w:i/>
        </w:rPr>
        <w:t>Il-Parlament Ewropew</w:t>
      </w:r>
      <w:r w:rsidRPr="003D3151">
        <w:t>,</w:t>
      </w:r>
    </w:p>
    <w:p w:rsidR="00D2025C" w:rsidRPr="003D3151" w:rsidRDefault="00D2025C" w:rsidP="00D2025C">
      <w:pPr>
        <w:pStyle w:val="NormalHanging12a"/>
      </w:pPr>
      <w:r w:rsidRPr="003D3151">
        <w:t>–</w:t>
      </w:r>
      <w:r w:rsidRPr="003D3151">
        <w:tab/>
        <w:t>wara li kkunsidra l-proposta tal-Kummissjoni lill-Kunsill (COM(2023)0529),</w:t>
      </w:r>
    </w:p>
    <w:p w:rsidR="00D2025C" w:rsidRPr="003D3151" w:rsidRDefault="00D2025C" w:rsidP="00D2025C">
      <w:pPr>
        <w:pStyle w:val="NormalHanging12a"/>
      </w:pPr>
      <w:r w:rsidRPr="003D3151">
        <w:t>–</w:t>
      </w:r>
      <w:r w:rsidRPr="003D3151">
        <w:tab/>
        <w:t>wara li kkunsidra l-Artikolu 115 tat-Trattat dwar il-Funzjonament tal-Unjoni Ewropea, li skontu l-Kunsill ikkonsulta lill-Parlament (C9</w:t>
      </w:r>
      <w:r w:rsidRPr="003D3151">
        <w:noBreakHyphen/>
        <w:t>0339/2023),</w:t>
      </w:r>
    </w:p>
    <w:p w:rsidR="00D2025C" w:rsidRPr="003D3151" w:rsidRDefault="00D2025C" w:rsidP="00D2025C">
      <w:pPr>
        <w:pStyle w:val="NormalHanging12a"/>
      </w:pPr>
      <w:r w:rsidRPr="003D3151">
        <w:t>–</w:t>
      </w:r>
      <w:r w:rsidRPr="003D3151">
        <w:tab/>
        <w:t>wara li kkunsidra l-Artikolu 82 tar-Regoli ta’ Proċedura tiegħu,</w:t>
      </w:r>
    </w:p>
    <w:p w:rsidR="00D2025C" w:rsidRPr="003D3151" w:rsidRDefault="00D2025C" w:rsidP="00D2025C">
      <w:pPr>
        <w:pStyle w:val="NormalHanging12a"/>
      </w:pPr>
      <w:r w:rsidRPr="003D3151">
        <w:t>–</w:t>
      </w:r>
      <w:r w:rsidRPr="003D3151">
        <w:tab/>
        <w:t>wara li kkunsidra r-rapport tal-Kumitat għall-Affarijiet Ekonomiċi u Monetarji (A9-0066/2024),</w:t>
      </w:r>
    </w:p>
    <w:p w:rsidR="00D2025C" w:rsidRPr="003D3151" w:rsidRDefault="00D2025C" w:rsidP="00D2025C">
      <w:pPr>
        <w:pStyle w:val="NormalHanging12a"/>
      </w:pPr>
      <w:r w:rsidRPr="003D3151">
        <w:t>1.</w:t>
      </w:r>
      <w:r w:rsidRPr="003D3151">
        <w:tab/>
        <w:t>Japprova l-proposta tal-Kummissjoni kif emendata;</w:t>
      </w:r>
    </w:p>
    <w:p w:rsidR="00D2025C" w:rsidRPr="003D3151" w:rsidRDefault="00D2025C" w:rsidP="00D2025C">
      <w:pPr>
        <w:pStyle w:val="NormalHanging12a"/>
      </w:pPr>
      <w:r w:rsidRPr="003D3151">
        <w:t>2.</w:t>
      </w:r>
      <w:r w:rsidRPr="003D3151">
        <w:tab/>
        <w:t>Jappella lill-Kummissjoni biex temenda l-proposta skont dan, f’konformità mal-Artikolu 293(2) tat-Trattat dwar il-Funzjonament tal-Unjoni Ewropea;</w:t>
      </w:r>
    </w:p>
    <w:p w:rsidR="00D2025C" w:rsidRPr="003D3151" w:rsidRDefault="00D2025C" w:rsidP="00D2025C">
      <w:pPr>
        <w:pStyle w:val="NormalHanging12a"/>
      </w:pPr>
      <w:r w:rsidRPr="003D3151">
        <w:t>3.</w:t>
      </w:r>
      <w:r w:rsidRPr="003D3151">
        <w:tab/>
        <w:t>Jistieden lill-Kunsill biex jinfurmah jekk ikollu l-ħsieb li jitbiegħed mit-test approvat mill-Parlament;</w:t>
      </w:r>
    </w:p>
    <w:p w:rsidR="00D2025C" w:rsidRPr="003D3151" w:rsidRDefault="00D2025C" w:rsidP="00D2025C">
      <w:pPr>
        <w:pStyle w:val="NormalHanging12a"/>
      </w:pPr>
      <w:r w:rsidRPr="003D3151">
        <w:t>4.</w:t>
      </w:r>
      <w:r w:rsidRPr="003D3151">
        <w:tab/>
        <w:t>Jitlob lill-Kunsill biex jerġa’ jikkonsultah jekk ikollu l-ħsieb li jemenda l-proposta tal-Kummissjoni b’mod sostanzjali;</w:t>
      </w:r>
    </w:p>
    <w:p w:rsidR="00D2025C" w:rsidRPr="003D3151" w:rsidRDefault="00D2025C" w:rsidP="00FA127F">
      <w:pPr>
        <w:pStyle w:val="NormalHanging12a"/>
      </w:pPr>
      <w:r w:rsidRPr="003D3151">
        <w:t>5.</w:t>
      </w:r>
      <w:r w:rsidRPr="003D3151">
        <w:tab/>
        <w:t>Jagħti istruzzjonijiet lill-President tiegħu biex tgħaddi l-pożizzjoni tal-Parlament lill-Kunsill u lill-Kummissjoni kif ukoll lill-parlamenti nazzjonali.</w:t>
      </w:r>
    </w:p>
    <w:p w:rsidR="00FA127F" w:rsidRPr="003D3151" w:rsidRDefault="00FA127F" w:rsidP="00D2025C">
      <w:pPr>
        <w:pStyle w:val="AmNumberTabs"/>
      </w:pPr>
      <w:r w:rsidRPr="003D3151">
        <w:br w:type="page"/>
      </w:r>
    </w:p>
    <w:p w:rsidR="00D2025C" w:rsidRPr="003D3151" w:rsidRDefault="00D2025C" w:rsidP="00D2025C">
      <w:pPr>
        <w:pStyle w:val="AmNumberTabs"/>
      </w:pPr>
      <w:r w:rsidRPr="003D3151">
        <w:lastRenderedPageBreak/>
        <w:t>Emenda</w:t>
      </w:r>
      <w:r w:rsidRPr="003D3151">
        <w:tab/>
      </w:r>
      <w:r w:rsidRPr="003D3151">
        <w:tab/>
        <w:t>1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(2a)</w:t>
            </w:r>
            <w:r w:rsidRPr="003D3151">
              <w:tab/>
            </w:r>
            <w:r w:rsidRPr="003D3151">
              <w:rPr>
                <w:b/>
                <w:i/>
              </w:rPr>
              <w:t>L-erożjoni tal-bażi tat-taxxa u t-trasferiment tal-profitti (BEPS) tirreferi għal strateġiji ta’ ppjanar tat-taxxa użati minn intrapriżi multinazzjonali li jisfruttaw in-nuqqasijiet u d-diskrepanzi fir-regoli tat-taxxa sabiex jevitaw milli jħallsu t-taxxa.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L-ipprezzar ta’ trasferiment, filwaqt li attwalment huwa meħtieġ biex jiġi ddeterminat fejn jiġu rrapportati l-profitti, intuża wkoll ħażin biex jitnaqqsu l-obbligazzjonijiet ta’ taxxa tad-ditti f’pajjiżi b’rati ogħla tat-taxxa, li jwassal għal trasferiment tal-profitti.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Jenħtieġ li l-prinċipju ta’ distakkament jiġi applikat fl-Istati Membri, u mill-kontribwenti, b’mod li jiggarantixxi aktar ċertezza tat-taxxa għall-kontribwenti u jimminimizza l-opportunitajiet ta’ trasferiment tal-profitti.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2b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spacing w:after="120"/>
            </w:pPr>
            <w:r w:rsidRPr="003D3151">
              <w:rPr>
                <w:b/>
                <w:i/>
              </w:rPr>
              <w:t>(2b)</w:t>
            </w:r>
            <w:r w:rsidRPr="003D3151">
              <w:tab/>
            </w:r>
            <w:r w:rsidRPr="003D3151">
              <w:rPr>
                <w:b/>
                <w:i/>
              </w:rPr>
              <w:t>Is-soluzzjoni fit-tul biex jiġi indirizzat l-evitar tat-taxxa u biex jiġi ggarantit livell minimu ta’ tassazzjoni effettiva għall-gruppi MNE jenħtieġ li tkun sistema bi tqassim skont formula speċifika għall-benefiċċju tal-Istati Membri kollha.</w:t>
            </w:r>
            <w:r w:rsidRPr="003D3151">
              <w:t xml:space="preserve"> 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3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(3)</w:t>
            </w:r>
            <w:r w:rsidRPr="003D3151">
              <w:tab/>
              <w:t xml:space="preserve">Meta l-Istati Membri japplikaw jew jinterpretaw il-prinċipju ta’ distakkament b’mod differenti, dawn joħolqu sitwazzjonijiet li jistgħu jagħmlu ħsara lis-suq intern. L-inkonsistenza fir-regoli applikabbli dwar l-ipprezzar ta’ trasferiment mhux biss tista’ twassal għal tassazzjoni doppja iżda tippermetti wkoll trasferiment tal-profitti u evitar tat-taxxa. Tali </w:t>
            </w:r>
            <w:r w:rsidRPr="003D3151">
              <w:rPr>
                <w:b/>
                <w:i/>
              </w:rPr>
              <w:t>inkonsistenza hija ostaklu serju għat-taxxa</w:t>
            </w:r>
            <w:r w:rsidRPr="003D3151">
              <w:t xml:space="preserve"> fil-każ tan-negozji li joperaw bejn il-fruntieri</w:t>
            </w:r>
            <w:r w:rsidRPr="003D3151">
              <w:rPr>
                <w:b/>
                <w:i/>
              </w:rPr>
              <w:t>,</w:t>
            </w:r>
            <w:r w:rsidRPr="003D3151">
              <w:t xml:space="preserve"> x’aktarx li </w:t>
            </w:r>
            <w:r w:rsidRPr="003D3151">
              <w:rPr>
                <w:b/>
                <w:i/>
              </w:rPr>
              <w:t>tikkawża</w:t>
            </w:r>
            <w:r w:rsidRPr="003D3151">
              <w:t xml:space="preserve"> distorsjonijiet u ineffiċjenzi ekonomiċi u </w:t>
            </w:r>
            <w:r w:rsidRPr="003D3151">
              <w:rPr>
                <w:b/>
                <w:i/>
              </w:rPr>
              <w:t>għandha</w:t>
            </w:r>
            <w:r w:rsidRPr="003D3151">
              <w:t xml:space="preserve"> impatt negattiv fuq l-investiment</w:t>
            </w:r>
            <w:r w:rsidRPr="003D3151">
              <w:rPr>
                <w:b/>
                <w:i/>
              </w:rPr>
              <w:t xml:space="preserve"> u t-tkabbir</w:t>
            </w:r>
            <w:r w:rsidRPr="003D3151">
              <w:t xml:space="preserve"> transfruntier.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(3)</w:t>
            </w:r>
            <w:r w:rsidRPr="003D3151">
              <w:tab/>
              <w:t>Meta l-Istati Membri japplikaw jew jinterpretaw il-prinċipju ta’ distakkament b’mod</w:t>
            </w:r>
            <w:r w:rsidRPr="003D3151">
              <w:rPr>
                <w:b/>
                <w:i/>
              </w:rPr>
              <w:t xml:space="preserve"> li jkun</w:t>
            </w:r>
            <w:r w:rsidRPr="003D3151">
              <w:t xml:space="preserve"> differenti</w:t>
            </w:r>
            <w:r w:rsidRPr="003D3151">
              <w:rPr>
                <w:b/>
                <w:i/>
              </w:rPr>
              <w:t xml:space="preserve"> b’mod sinifikanti</w:t>
            </w:r>
            <w:r w:rsidRPr="003D3151">
              <w:t>, dawn joħolqu sitwazzjonijiet li jistgħu jagħmlu ħsara lis-suq intern</w:t>
            </w:r>
            <w:r w:rsidRPr="003D3151">
              <w:rPr>
                <w:b/>
                <w:i/>
              </w:rPr>
              <w:t xml:space="preserve"> u jwasslu għal kosti bla bżonn għan-negozji f’każ ta’ tilwim, kif ukoll jinstigaw kompetizzjoni fit-taxxa li tkun ta’ dannu, jattiraw strutturi ta’ evitar aggressiv tat-taxxa, jiffurmaw għajnuna mill-Istat illegali u jnaqqsu d-dħul mill-Istati Membri</w:t>
            </w:r>
            <w:r w:rsidRPr="003D3151">
              <w:t>. L-inkonsistenza fir-regoli applikabbli dwar l-ipprezzar ta’ trasferiment mhux biss tista’ twassal għal tassazzjoni doppja iżda tippermetti wkoll trasferiment tal-profitti u evitar tat-taxxa</w:t>
            </w:r>
            <w:r w:rsidRPr="003D3151">
              <w:rPr>
                <w:b/>
                <w:i/>
              </w:rPr>
              <w:t xml:space="preserve"> u n-nontassazzjoni doppja</w:t>
            </w:r>
            <w:r w:rsidRPr="003D3151">
              <w:t xml:space="preserve">. Tali </w:t>
            </w:r>
            <w:r w:rsidRPr="003D3151">
              <w:rPr>
                <w:b/>
                <w:i/>
              </w:rPr>
              <w:t>inkonsistenzi sinifikanti jistgħu jippreżentaw theddida serja għad-dħul mit-taxxa, għall-moral tat-taxxa u għall-kapaċitajiet limitati tal-amministrazzjonijiet tat-taxxa. Barra minn hekk tali inkonsistenzi jwasslu għal ostakli</w:t>
            </w:r>
            <w:r w:rsidRPr="003D3151">
              <w:t xml:space="preserve"> fil-każ tan-negozji</w:t>
            </w:r>
            <w:r w:rsidRPr="003D3151">
              <w:rPr>
                <w:b/>
                <w:i/>
              </w:rPr>
              <w:t>, speċjalment l-SMEs,</w:t>
            </w:r>
            <w:r w:rsidRPr="003D3151">
              <w:t xml:space="preserve"> li joperaw bejn il-fruntieri</w:t>
            </w:r>
            <w:r w:rsidRPr="003D3151">
              <w:rPr>
                <w:b/>
                <w:i/>
              </w:rPr>
              <w:t xml:space="preserve"> u</w:t>
            </w:r>
            <w:r w:rsidRPr="003D3151">
              <w:t xml:space="preserve"> x’aktarx li </w:t>
            </w:r>
            <w:r w:rsidRPr="003D3151">
              <w:rPr>
                <w:b/>
                <w:i/>
              </w:rPr>
              <w:t>jikkawżaw</w:t>
            </w:r>
            <w:r w:rsidRPr="003D3151">
              <w:t xml:space="preserve"> distorsjonijiet u ineffiċjenzi ekonomiċi u jkollhom impatt negattiv fuq l-investiment transfruntier. </w:t>
            </w:r>
            <w:r w:rsidRPr="003D3151">
              <w:rPr>
                <w:b/>
                <w:i/>
              </w:rPr>
              <w:t>Barra minn hekk, jenħtieġ li l-Kummissjoni tiżgura li din id-Direttiva ma toħloq l-ebda inkonsistenza mal-aktar linji gwida reċenti tal-OECD, inkluż l-Ammont A u l-Ammont B tal-Pilastru Wieħed li għandhom l-għan li jissimplifikaw ir-regoli eżistenti dwar -ipprezzar ta’ trasferiment.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4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3a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(3a)</w:t>
            </w:r>
            <w:r w:rsidRPr="003D3151">
              <w:rPr>
                <w:b/>
                <w:i/>
              </w:rPr>
              <w:tab/>
              <w:t>Madankollu, l-amministrazzjonijiet tat-taxxa jenħtieġ li jikkunsidraw li l-intrapriżi assoċjati jistgħu jkunu ġenwini fid-determinazzjoni preċiża ta’ prezz tas-suq fin-nuqqas ta’ forzi tas-suq jew meta tiġi adottata strateġija kummerċjali partikolari.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5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3b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(3b)</w:t>
            </w:r>
            <w:r w:rsidRPr="003D3151">
              <w:tab/>
            </w:r>
            <w:r w:rsidRPr="003D3151">
              <w:rPr>
                <w:b/>
                <w:i/>
              </w:rPr>
              <w:t>Fil-bidu tal-proġett tal-BEPS fl-2013, l-OECD kienet stmat, filwaqt li rrikonoxxiet il-limitazzjonijiet metodoloġiċi u tad-data, li l-iskala tat-telf globali tad-dħul mit-taxxa korporattiva fuq l-introjtu minħabba l-prattiki tal-BEPS, inkluża l-manipulazzjoni tal-ipprezzar ta’ trasferiment, tista’ tkun bejn USD 100 u 240 biljun fis-sena</w:t>
            </w:r>
            <w:r w:rsidRPr="003D3151">
              <w:rPr>
                <w:b/>
                <w:i/>
                <w:vertAlign w:val="superscript"/>
              </w:rPr>
              <w:t>1a</w:t>
            </w:r>
            <w:r w:rsidRPr="003D3151">
              <w:rPr>
                <w:b/>
                <w:i/>
              </w:rPr>
              <w:t>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/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_________________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/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  <w:vertAlign w:val="superscript"/>
              </w:rPr>
              <w:t>1a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 xml:space="preserve"> https://www.oecd.org/tax/beps-project-explanatory-statement-9789264263437-en.htm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6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(4)</w:t>
            </w:r>
            <w:r w:rsidRPr="003D3151">
              <w:tab/>
              <w:t>Din id-Direttiva tistabbilixxi regoli biex tiġi żgurata applikazzjoni komuni tal-prinċipju ta’ distakkament madwar l-Unjoni bil-għan li tiżdied iċ-ċertezza tat-taxxa</w:t>
            </w:r>
            <w:r w:rsidRPr="003D3151">
              <w:rPr>
                <w:b/>
                <w:i/>
              </w:rPr>
              <w:t xml:space="preserve"> u</w:t>
            </w:r>
            <w:r w:rsidRPr="003D3151">
              <w:t xml:space="preserve"> jitnaqqsu l-okkorrenzi tat-</w:t>
            </w:r>
            <w:r w:rsidRPr="003D3151">
              <w:lastRenderedPageBreak/>
              <w:t>tassazzjoni doppja kif ukoll tan-nontassazzjoni doppja.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lastRenderedPageBreak/>
              <w:t>(4)</w:t>
            </w:r>
            <w:r w:rsidRPr="003D3151">
              <w:tab/>
              <w:t>Din id-Direttiva tistabbilixxi regoli biex tiġi żgurata applikazzjoni komuni tal-prinċipju ta’ distakkament madwar l-Unjoni bil-għan li tiżdied iċ-ċertezza tat-taxxa</w:t>
            </w:r>
            <w:r w:rsidRPr="003D3151">
              <w:rPr>
                <w:b/>
                <w:i/>
              </w:rPr>
              <w:t>,</w:t>
            </w:r>
            <w:r w:rsidRPr="003D3151">
              <w:t xml:space="preserve"> jitnaqqsu l-okkorrenzi tat-</w:t>
            </w:r>
            <w:r w:rsidRPr="003D3151">
              <w:lastRenderedPageBreak/>
              <w:t>tassazzjoni doppja kif ukoll tan-nontassazzjoni doppja</w:t>
            </w:r>
            <w:r w:rsidRPr="003D3151">
              <w:rPr>
                <w:b/>
                <w:i/>
              </w:rPr>
              <w:t>, jitnaqqsu l-kostijiet ta’ konformità mar-regoli tat-taxxa u l-litigazzjoni, speċjalment għall-kontribwenti li joperaw b’mod transfruntier ġewwa l-Unjoni, u li jiġi evitat l-abbuż tat-taxxa</w:t>
            </w:r>
            <w:r w:rsidRPr="003D3151">
              <w:t>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7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(6)</w:t>
            </w:r>
            <w:r w:rsidRPr="003D3151">
              <w:tab/>
              <w:t>Sabiex tiġi żgurata l-mitigazzjoni tat-tassazzjoni doppja, l-Istati Membri jenħtieġ li jkollhom stabbiliti mekkaniżmi adegwati biex ikunu jistgħu, meta jsir aġġustament primarju fi Stat Membru ieħor jew f’ġuriżdizzjoni ta’ pajjiż terz, jagħmlu aġġustament korrelattiv. B’mod partikolari, l-Istati Membri jenħtieġ li jkollhom il-possibbiltà li jwettqu aġġustamenti korrelattivi u jenħtieġ li ma jillimitawx l-għoti ta’ tali aġġustament fil-kuntest ta’ proċeduri ta’ ftehim reċiproku (MAPs) iżda wkoll bħala riżultat ta’: (i) proċedura “rapida” li għandha tiġi konkluża fi żmien 180 jum mingħajr il-ħtieġa li tinfetaħ MAP meta ma jkun hemm l-ebda dubju li l-aġġustament primarju jkun fondat sew; jew (ii) awditi konġunti jew forom oħra ta’ kooperazzjoni internazzjonali bħal programmi multilaterali ta’ valutazzjoni tar-riskju bħall-Approċċ Ewropew ta’ Fiduċja u Kooperazzjoni (ETACA) u l-Programm Internazzjonali ta’ Assigurazzjoni tal-Konformità (ICAP).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(6)</w:t>
            </w:r>
            <w:r w:rsidRPr="003D3151">
              <w:tab/>
              <w:t xml:space="preserve">Sabiex tiġi żgurata l-mitigazzjoni tat-tassazzjoni doppja, l-Istati Membri jenħtieġ li jkollhom stabbiliti mekkaniżmi adegwati biex ikunu jistgħu, meta jsir aġġustament primarju fi Stat Membru ieħor jew f’ġuriżdizzjoni ta’ pajjiż terz, jagħmlu aġġustament korrelattiv. B’mod partikolari, l-Istati Membri jenħtieġ li jkollhom il-possibbiltà li jwettqu aġġustamenti korrelattivi u jenħtieġ li ma jillimitawx l-għoti ta’ tali aġġustament fil-kuntest ta’ proċeduri ta’ ftehim reċiproku (MAPs) iżda wkoll bħala riżultat ta’: (i) proċedura “rapida” li għandha tiġi konkluża fi żmien 180 jum mingħajr il-ħtieġa li tinfetaħ MAP meta ma jkun hemm l-ebda dubju li l-aġġustament primarju jkun fondat sew; jew (ii) awditi konġunti jew forom oħra ta’ kooperazzjoni internazzjonali bħal programmi multilaterali ta’ valutazzjoni tar-riskju bħall-Approċċ Ewropew ta’ Fiduċja u Kooperazzjoni (ETACA) u l-Programm Internazzjonali ta’ Assigurazzjoni tal-Konformità (ICAP). </w:t>
            </w:r>
            <w:r w:rsidRPr="003D3151">
              <w:rPr>
                <w:b/>
                <w:i/>
              </w:rPr>
              <w:t xml:space="preserve">Għal dan l-għan, jenħtieġ li l-Istati Membri jużaw il-proċeduri u l-arranġamenti kollha pprovduti mid-Direttiva dwar il-kooperazzjoni amministrattiva (DAC), speċjalment it-tielet u s-sitt reviżjoni li jkopru l-iskambju ta’ informazzjoni relatata ma’ Arranġamenti Preliminari ta’ Prezzijiet ta’ Trasferiment u l-iskambju ta’ informazzjoni dwar arranġamenti </w:t>
            </w:r>
            <w:r w:rsidRPr="003D3151">
              <w:rPr>
                <w:b/>
                <w:i/>
              </w:rPr>
              <w:lastRenderedPageBreak/>
              <w:t>transfruntieri rapportabbli li ġew rrapportati minn intermedjarji jew mill-kontribwent rilevanti.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8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6a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(6a)</w:t>
            </w:r>
            <w:r w:rsidRPr="003D3151">
              <w:rPr>
                <w:b/>
                <w:i/>
              </w:rPr>
              <w:tab/>
              <w:t>Minħabba ż-żieda possibbli fil-litigazzjoni, din id-Direttiva tirrikjedi l-introduzzjoni ta’ mekkaniżmi rapidi li jkunu jiffunzjonaw b’tali mod li jwieġbu għat-talbiet kollha. Is-sistema ta’ arbitraġġ jeħtieġ li tkun rapida biex ikunu jistgħu jintlaħqu ftehimiet u b’hekk jiġu evitati l-problemi u l-kunflitti li jistgħu jinqalgħu.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9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6b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(6b)</w:t>
            </w:r>
            <w:r w:rsidRPr="003D3151">
              <w:rPr>
                <w:b/>
                <w:i/>
              </w:rPr>
              <w:tab/>
              <w:t>Il-presenza ta’ mekkaniżmi aċċessibbli għas-soluzzjoni tat-tilwim hija ta’ importanza kruċjali għall-kummerċ transfruntier, u tiżgura ċ-ċertezza fiskali u l-eliminazzjoni tat-taxxa doppja għall-kontribwenti. It-tisħiħ tal-użu ta’ proċeduri ta’ ftehim reċiproku (MAPs) kif indikat fil-Konvenzjoni dwar l-Arbitraġġ tal-UE tista’ tħaffef is-soluzzjoni tal-każijiet fi żmien iqsar. Għal dan il-għan, l-Istati huma mistiedna jassenjaw riżorsi adegwati biex jiġu rispettati l-iskadenzi u l-MAPs ikunu jistgħu jissarrfu f’għodda effikaċi li telimina t-taxxa doppja.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10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(7)</w:t>
            </w:r>
            <w:r w:rsidRPr="003D3151">
              <w:tab/>
              <w:t xml:space="preserve">Jista’ jkun hemm raġunijiet leġittimi għaliex aġġustament korrelattiv ma jingħatax jew ikun inqas mill-aġġustament primarju. B’mod partikolari, l-Istati Membri jenħtieġ li ma jagħtux aġġustamenti korrelattivi jekk: (i) l-aġġustament primarju ma jitqiesx li huwa konsistenti mal-prinċipju ta’ distakkament; (ii) l-aġġustament primarju ma jirriżultax fit-tassazzjoni ta’ ammont ta’ profitti f’ġuriżdizzjoni oħra li fuqhom l-intrapriża assoċjata fl-Istat Membru rilevanti tkun diġà ġiet soġġetta għat-taxxa; u (iii) meta tkun involuta ġuriżdizzjoni ta’ pajjiż terz, ma jkun hemm l-ebda trattat dwar it-taxxa stabbilit. Fin-nuqqas ta’ aġġustament primarju, l-Istati Membri jistgħu jwettqu aġġustament ’l isfel biss jekk: (i) l-aġġustament ’l isfel huwa konsistenti mal-prinċipju ta’ distakkament: (ii) ammont ugwali għall-aġġustament ’l isfel huwa inkluż fil-profitt tal-intrapriża assoċjata fil-ġuriżdizzjoni l-oħra u hemmhekk ikun soġġett għat-taxxa: u (iii) intbagħtet komunikazzjoni dwar l-intenzjoni li jitwettaq aġġustament ’l isfel lill-ġuriżdizzjoni rilevanti. L-għan tad-dispożizzjonijiet preċedenti huwa li jiġi żgurat li: (i) l-Istati Membri jkunu jistgħu jippreżervaw id-dritt li jivvalutaw jekk l-aġġustament primarju huwiex fuq bażi distakkata; u (ii) la hemm tassazzjoni doppja u lanqas </w:t>
            </w:r>
            <w:r w:rsidRPr="003D3151">
              <w:rPr>
                <w:b/>
                <w:bCs/>
                <w:i/>
                <w:iCs/>
              </w:rPr>
              <w:t>nuqqas ta’ tassazzjoni doppju</w:t>
            </w:r>
            <w:r w:rsidRPr="003D3151">
              <w:t xml:space="preserve">. L-Istati Membri jenħtieġ li ma joħolqux sitwazzjonijiet ta’ </w:t>
            </w:r>
            <w:r w:rsidRPr="003D3151">
              <w:rPr>
                <w:b/>
                <w:bCs/>
                <w:i/>
                <w:iCs/>
              </w:rPr>
              <w:t>nuqqas ta’ tassazzjoni doppju</w:t>
            </w:r>
            <w:r w:rsidRPr="003D3151">
              <w:t>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(7)</w:t>
            </w:r>
            <w:r w:rsidRPr="003D3151">
              <w:tab/>
              <w:t>Jista’ jkun hemm raġunijiet leġittimi għaliex aġġustament korrelattiv ma jingħatax jew ikun inqas mill-aġġustament primarju. B’mod partikolari, l-Istati Membri jenħtieġ li ma jagħtux aġġustamenti korrelattivi jekk: (i) l-aġġustament primarju ma jitqiesx li huwa konsistenti mal-prinċipju ta’ distakkament; (ii) l-aġġustament primarju ma jirriżultax fit-tassazzjoni ta’ ammont ta’ profitti f’ġuriżdizzjoni oħra li fuqhom l-intrapriża assoċjata fl-Istat Membru rilevanti tkun diġà ġiet soġġetta għat-taxxa; u (iii) meta tkun involuta ġuriżdizzjoni ta’ pajjiż terz, ma jkun hemm l-ebda trattat dwar it-taxxa stabbilit. Fin-nuqqas ta’ aġġustament primarju, l-Istati Membri jistgħu jwettqu aġġustament ’l isfel biss jekk: (i) l-aġġustament ’l isfel huwa konsistenti mal-prinċipju ta’ distakkament</w:t>
            </w:r>
            <w:r w:rsidRPr="003D3151">
              <w:rPr>
                <w:b/>
                <w:i/>
              </w:rPr>
              <w:t xml:space="preserve"> u ma jwassalx għal nontassazzjoni doppja</w:t>
            </w:r>
            <w:r w:rsidR="00AD0777" w:rsidRPr="003D3151">
              <w:t>;</w:t>
            </w:r>
            <w:r w:rsidRPr="003D3151">
              <w:t xml:space="preserve"> (ii) ammont ugwali għall-aġġustament ’l isfel huwa inkluż fil-profitt tal-intrapriża assoċjata fil-ġuriżdizzjoni l-oħra u hemmhekk ikun soġġett għat-taxxa</w:t>
            </w:r>
            <w:r w:rsidR="00AD0777" w:rsidRPr="003D3151">
              <w:t>;</w:t>
            </w:r>
            <w:r w:rsidRPr="003D3151">
              <w:t xml:space="preserve"> u (iii) intbagħtet komunikazzjoni dwar l-intenzjoni li jitwettaq aġġustament ’l isfel lill-ġuriżdizzjoni rilevanti. L-għan tad-dispożizzjonijiet preċedenti huwa li jiġi żgurat li: (i) l-Istati Membri jkunu jistgħu jippreżervaw id-dritt li jivvalutaw jekk l-aġġustament primarju huwiex fuq bażi distakkata; u (ii) la hemm tassazzjoni doppja u lanqas </w:t>
            </w:r>
            <w:r w:rsidRPr="003D3151">
              <w:rPr>
                <w:b/>
                <w:bCs/>
                <w:i/>
                <w:iCs/>
              </w:rPr>
              <w:t>nontassazzjoni doppja</w:t>
            </w:r>
            <w:r w:rsidRPr="003D3151">
              <w:t xml:space="preserve">. L-Istati Membri jenħtieġ li ma joħolqux sitwazzjonijiet ta’ </w:t>
            </w:r>
            <w:r w:rsidRPr="003D3151">
              <w:rPr>
                <w:b/>
                <w:bCs/>
                <w:i/>
                <w:iCs/>
              </w:rPr>
              <w:t>nontassazzjoni doppja</w:t>
            </w:r>
            <w:r w:rsidRPr="003D3151">
              <w:t>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11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 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lastRenderedPageBreak/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(13)</w:t>
            </w:r>
            <w:r w:rsidRPr="003D3151">
              <w:tab/>
              <w:t xml:space="preserve">Sabiex jiġi mminimizzat it-tilwim u jiġi żgurat approċċ komuni madwar l-Unjoni, din id-Direttiva tipprevedi wkoll li l-kontribwent </w:t>
            </w:r>
            <w:r w:rsidRPr="003D3151">
              <w:rPr>
                <w:b/>
                <w:bCs/>
                <w:i/>
                <w:iCs/>
              </w:rPr>
              <w:t>ma għandux ikun</w:t>
            </w:r>
            <w:r w:rsidRPr="003D3151">
              <w:t xml:space="preserve"> soġġett għal aġġustament meta r-riżultati tiegħu jaqgħu fil-medda interkwartali sakemm l-amministrazzjoni tat-taxxa jew il-kontribwent ma jġibux provi li jkun ġustifikat pożizzjonament differenti speċifiku fil-medda mill-fatti u ċ-ċirkostanzi tal-każ speċifiku. Meta r-riżultati ta’ tranżazzjoni kkontrollata jaqgħu barra mill-medda tad-distakkament, l-amministrazzjonijiet tat-taxxa jenħtieġ li jkunu meħtieġa jagħmlu aġġustament għall-medjan tar-riżultati kollha sakemm il-kontribwent jew l-amministrazzjoni tat-taxxa ma tagħtix prova li kwalunkwe punt ieħor tal-medda jiddetermina prezz ta’ distakkament aktar affidabbli f’każ partikolari.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(13)</w:t>
            </w:r>
            <w:r w:rsidRPr="003D3151">
              <w:tab/>
              <w:t>Sabiex jiġi mminimizzat it-tilwim</w:t>
            </w:r>
            <w:r w:rsidRPr="003D3151">
              <w:rPr>
                <w:b/>
                <w:i/>
              </w:rPr>
              <w:t>, jitnaqqsu l-kostijiet relatati għan-negozji</w:t>
            </w:r>
            <w:r w:rsidRPr="003D3151">
              <w:t xml:space="preserve"> u jiġi żgurat approċċ komuni madwar l-Unjoni, din id-Direttiva tipprevedi wkoll li l-kontribwent </w:t>
            </w:r>
            <w:r w:rsidRPr="003D3151">
              <w:rPr>
                <w:b/>
                <w:bCs/>
                <w:i/>
                <w:iCs/>
              </w:rPr>
              <w:t>jenħtieġ li ma jkunx</w:t>
            </w:r>
            <w:r w:rsidRPr="003D3151">
              <w:t xml:space="preserve"> soġġett għal aġġustament meta r-riżultati tiegħu jaqgħu fil-medda interkwartali sakemm l-amministrazzjoni tat-taxxa jew il-kontribwent ma jġibux provi li jkun ġustifikat pożizzjonament differenti speċifiku fil-medda mill-fatti u ċ-ċirkostanzi tal-każ speċifiku. Meta r-riżultati ta’ tranżazzjoni kkontrollata jaqgħu barra mill-medda tad-distakkament, l-amministrazzjonijiet tat-taxxa jenħtieġ li jkunu meħtieġa jagħmlu aġġustament għall-medjan tar-riżultati kollha sakemm il-kontribwent jew l-amministrazzjoni tat-taxxa ma tagħtix prova li kwalunkwe punt ieħor tal-medda jiddetermina prezz ta’ distakkament aktar affidabbli f’każ partikolari.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12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(14)</w:t>
            </w:r>
            <w:r w:rsidRPr="003D3151">
              <w:tab/>
              <w:t>Sabiex jitnaqqas il-piż tal-konformità għall-kontribwenti li joperaw b’mod transfruntier fl-Unjoni, jenħtieġ li jiġi introdott ukoll approċċ komuni lejn id-dokumentazzjoni dwar l-ipprezzar ta’ trasferiment. L-istabbiliment ta’ mudell standard partikolari, ta’ regoli dwar il-kontenut u l-arranġamenti lingwistiċi, dwar il-perjodi ta’ żmien u liema kontribwenti jenħtieġ li jkunu fl-ambitu jwasslu għas-sempliċità u l-iffrankar potenzjali tal-kostijiet filwaqt li jitqies il-Kapitolu V “Dokumentazzjoni” tal-Linji Gwida tal-OECD dwar l-Ipprezzar tat-Trasferimenti u l-Kodiċi ta’ Kondotta dwar id-dokumentazzjoni tal-ipprezzar ta’ trasferiment għal intrapriżi assoċjati fl-</w:t>
            </w:r>
            <w:r w:rsidRPr="003D3151">
              <w:lastRenderedPageBreak/>
              <w:t>Unjoni Ewropea</w:t>
            </w:r>
            <w:r w:rsidRPr="003D3151">
              <w:rPr>
                <w:vertAlign w:val="superscript"/>
              </w:rPr>
              <w:t>33</w:t>
            </w:r>
            <w:r w:rsidRPr="003D3151">
              <w:t>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lastRenderedPageBreak/>
              <w:t>(14)</w:t>
            </w:r>
            <w:r w:rsidRPr="003D3151">
              <w:tab/>
              <w:t>Sabiex jitnaqqas il-piż tal-konformità għall-kontribwenti li joperaw b’mod transfruntier fl-Unjoni</w:t>
            </w:r>
            <w:r w:rsidRPr="003D3151">
              <w:rPr>
                <w:b/>
                <w:i/>
              </w:rPr>
              <w:t>, kif ukoll biex jiġi indirizzat ir-riskju tal-evitar tat-taxxa</w:t>
            </w:r>
            <w:r w:rsidRPr="003D3151">
              <w:t xml:space="preserve">, jenħtieġ li jiġi introdott ukoll approċċ komuni lejn id-dokumentazzjoni dwar l-ipprezzar ta’ trasferiment. L-istabbiliment ta’ mudell standard partikolari, ta’ regoli dwar il-kontenut u l-arranġamenti lingwistiċi, dwar il-perjodi ta’ żmien u liema kontribwenti jenħtieġ li jkunu fl-ambitu jwasslu għas-sempliċità u l-iffrankar potenzjali tal-kostijiet filwaqt li jitqies il-Kapitolu V “Dokumentazzjoni” tal-Linji Gwida tal-OECD dwar l-Ipprezzar tat-Trasferimenti u l-Kodiċi ta’ Kondotta dwar id-dokumentazzjoni tal-ipprezzar ta’ </w:t>
            </w:r>
            <w:r w:rsidRPr="003D3151">
              <w:lastRenderedPageBreak/>
              <w:t>trasferiment għal intrapriżi assoċjati fl-Unjoni Ewropea</w:t>
            </w:r>
            <w:r w:rsidRPr="003D3151">
              <w:rPr>
                <w:vertAlign w:val="superscript"/>
              </w:rPr>
              <w:t>33</w:t>
            </w:r>
            <w:r w:rsidRPr="003D3151">
              <w:t xml:space="preserve">. </w:t>
            </w:r>
            <w:r w:rsidRPr="003D3151">
              <w:rPr>
                <w:b/>
                <w:i/>
              </w:rPr>
              <w:t>L-interpretazzjoni armonizzata ta’ dawk it-termini fil-livell tal-Unjoni hija meħtieġa wkoll biex tiffaċilita l-applikazzjoni ta’ din id-Direttiva mill-amministrazzjonijiet tat-taxxa u min-negozji. Għalhekk, l-Istati Membri jenħtieġ li jagħtu s-setgħa lill-amministrazzjonijiet tat-taxxa tagħhom biex jittrattaw b’mod effiċjenti l-isforzi komuni ta’ dokumentazzjoni dwar l-ipprezzar ta’ trasferiment.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_________________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vertAlign w:val="superscript"/>
              </w:rPr>
              <w:t>33</w:t>
            </w:r>
            <w:r w:rsidRPr="003D3151">
              <w:t xml:space="preserve"> Riżoluzzjoni tal-Kunsill u tar-rappreżentanti tal-gvernijiet tal-Istati Membri, imlaqqgħin fil-Kunsill, tas-27 ta’ Ġunju 2006 dwar kodiċi ta’ kondotta dwar id-dokumentazzjoni rigward l-ipprezzar tat-trasferimenti għall-intrapriżi assoċjati fl-Unjoni Ewropea (TPD UE), 2006/C 176/01, https://eur-lex.europa.eu/legal-content/EN/TXT/?uri=uriserv%3AOJ.C_.2006.176.01, </w:t>
            </w:r>
            <w:hyperlink r:id="rId9" w:history="1">
              <w:r w:rsidRPr="003D3151">
                <w:rPr>
                  <w:rStyle w:val="Hyperlink"/>
                  <w:color w:val="auto"/>
                </w:rPr>
                <w:t>https://eur-lex.europa.eu/legal-content/EN/TXT/?uri=uriserv%3AOJ.C_.2006.176.01.0001.01.ENG&amp;toc=OJ%3AC%3A2006%3A176%3AFULL</w:t>
              </w:r>
            </w:hyperlink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vertAlign w:val="superscript"/>
              </w:rPr>
              <w:t>33</w:t>
            </w:r>
            <w:r w:rsidRPr="003D3151">
              <w:t xml:space="preserve"> Riżoluzzjoni tal-Kunsill u tar-rappreżentanti tal-gvernijiet tal-Istati Membri, imlaqqgħin fil-Kunsill, tas-27 ta’ Ġunju 2006 dwar kodiċi ta’ kondotta dwar id-dokumentazzjoni rigward l-ipprezzar tat-trasferimenti għall-intrapriżi assoċjati fl-Unjoni Ewropea (TPD UE), 2006/C 176/01, https://eur-lex.europa.eu/legal-content/EN/TXT/?uri=uriserv%3AOJ.C_.2006.176.01, </w:t>
            </w:r>
            <w:hyperlink r:id="rId10" w:history="1">
              <w:r w:rsidRPr="003D3151">
                <w:rPr>
                  <w:rStyle w:val="Hyperlink"/>
                  <w:color w:val="auto"/>
                </w:rPr>
                <w:t>https://eur-lex.europa.eu/legal-content/EN/TXT/?uri=uriserv%3AOJ.C_.2006.176.01.0001.01.ENG&amp;toc=OJ%3AC%3A2006%3A176%3AFULL</w:t>
              </w:r>
            </w:hyperlink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13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16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(16)</w:t>
            </w:r>
            <w:r w:rsidRPr="003D3151">
              <w:tab/>
              <w:t xml:space="preserve">Sabiex tinħoloq aktar ċertezza għall-kontribwenti u jiġi mmitigat ir-riskju </w:t>
            </w:r>
            <w:r w:rsidRPr="003D3151">
              <w:rPr>
                <w:b/>
                <w:i/>
              </w:rPr>
              <w:t>ta’ tassazzjoni</w:t>
            </w:r>
            <w:r w:rsidRPr="003D3151">
              <w:t xml:space="preserve"> doppja</w:t>
            </w:r>
            <w:r w:rsidRPr="003D3151">
              <w:rPr>
                <w:b/>
                <w:i/>
              </w:rPr>
              <w:t>, il-possibbiltà li</w:t>
            </w:r>
            <w:r w:rsidRPr="003D3151">
              <w:t xml:space="preserve"> jiġu stabbiliti aktar regoli komuni vinkolanti dwar l-ipprezzar ta’ trasferiment</w:t>
            </w:r>
            <w:r w:rsidRPr="003D3151">
              <w:rPr>
                <w:b/>
                <w:i/>
              </w:rPr>
              <w:t xml:space="preserve"> permezz ta’ atti ta’ implimentazzjoni hija prevista f’din id-Direttiva.</w:t>
            </w:r>
            <w:r w:rsidRPr="003D3151">
              <w:t xml:space="preserve"> Dawk l-atti </w:t>
            </w:r>
            <w:r w:rsidRPr="003D3151">
              <w:rPr>
                <w:b/>
                <w:i/>
              </w:rPr>
              <w:t>ta’ implimentazzjoni</w:t>
            </w:r>
            <w:r w:rsidRPr="003D3151">
              <w:t xml:space="preserve"> jenħtieġ li jipprovdu lill-kontribwenti perspettiva ċara ta’ dak li l-awtoritajiet tat-taxxa fl-Unjoni jikkunsidraw aċċettabbli biex jintuża għal tranżazzjonijiet speċifikati u jipprovdu l-hekk imsejħa “portijiet sikuri” li jnaqqsu l-piż tal-konformità u l-għadd ta’ każijiet ta’ </w:t>
            </w:r>
            <w:r w:rsidRPr="003D3151">
              <w:lastRenderedPageBreak/>
              <w:t xml:space="preserve">tilwim. </w:t>
            </w:r>
            <w:r w:rsidRPr="003D3151">
              <w:rPr>
                <w:b/>
                <w:i/>
              </w:rPr>
              <w:t>Fid-dawl tal-impatt potenzjali ta’ tali miżuri fuq is-setgħa nazzjonali eżekuttiva u ta’ infurzar fir-rigward tat-tassazzjoni diretta, l-eżerċitar tad-drittijiet ta’ tassazzjoni allokati skont konvenzjonijiet tat-taxxa bilaterali jew multilaterali li jipprevjenu t-tassazzjoni doppja jew in-nuqqas ta’ tassazzjoni doppja u fid-dawl tal-impatt potenzjali fuq il-bażijiet tat-taxxa tal-Istati Membri, il-Kunsill jenħtieġ li jingħata setgħat ta’ implimentazzjoni għall-adozzjoni ta’ deċiżjonijiet skont din id-Direttiva, filwaqt li jaġixxi fuq proposta mill-Kummissjoni.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lastRenderedPageBreak/>
              <w:t>(16)</w:t>
            </w:r>
            <w:r w:rsidRPr="003D3151">
              <w:tab/>
              <w:t xml:space="preserve">Sabiex tinħoloq aktar ċertezza għall-kontribwenti u jiġi mmitigat ir-riskju </w:t>
            </w:r>
            <w:r w:rsidRPr="003D3151">
              <w:rPr>
                <w:b/>
                <w:i/>
              </w:rPr>
              <w:t>tan-nontassazzjoni doppja u tat-tassazzjoni</w:t>
            </w:r>
            <w:r w:rsidRPr="003D3151">
              <w:t xml:space="preserve"> doppja</w:t>
            </w:r>
            <w:r w:rsidRPr="003D3151">
              <w:rPr>
                <w:b/>
                <w:i/>
              </w:rPr>
              <w:t xml:space="preserve"> u b’kont meħud tal-impatt potenzjali tal-miżuri rilevanti fuq is-setgħa nazzjonali eżekuttiva u ta’ infurzar fir-rigward tat-tassazzjoni diretta, l-eżerċitar tad-drittijiet ta’ tassazzjoni allokati skont konvenzjonijiet bilaterali jew multilaterali dwar it-taxxa li jipprevjenu t-tassazzjoni doppja jew in-nontassazzjoni doppja u fid-dawl tal-impatt potenzjali fuq il-bażijiet tat-taxxa tal-Istati Membri, is-setgħa li jiġu adottati </w:t>
            </w:r>
            <w:r w:rsidRPr="003D3151">
              <w:rPr>
                <w:b/>
                <w:i/>
              </w:rPr>
              <w:lastRenderedPageBreak/>
              <w:t>atti f’konformità mal-Artikolu 290 tat-Trattat dwar il-Funzjonament tal-Unjoni Ewropea jenħtieġ li tiġi ddelegata lill-Kummissjoni sabiex</w:t>
            </w:r>
            <w:r w:rsidRPr="003D3151">
              <w:t xml:space="preserve"> jiġu stabbiliti aktar regoli komuni vinkolanti dwar l-ipprezzar ta’ trasferiment</w:t>
            </w:r>
            <w:r w:rsidRPr="003D3151">
              <w:rPr>
                <w:b/>
                <w:i/>
              </w:rPr>
              <w:t>.</w:t>
            </w:r>
            <w:r w:rsidRPr="003D3151">
              <w:t xml:space="preserve"> Dawk l-atti </w:t>
            </w:r>
            <w:r w:rsidRPr="003D3151">
              <w:rPr>
                <w:b/>
                <w:i/>
              </w:rPr>
              <w:t>delegati</w:t>
            </w:r>
            <w:r w:rsidRPr="003D3151">
              <w:t xml:space="preserve"> jenħtieġ li jipprovdu lill-kontribwenti perspettiva ċara ta’ dak li l-awtoritajiet tat-taxxa fl-Unjoni jikkunsidraw aċċettabbli biex jintuża għal tranżazzjonijiet speċifikati u jipprovdu l-hekk imsejħa “portijiet sikuri” li jnaqqsu l-piż tal-konformità u l-għadd ta’ każijiet ta’ tilwim.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14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16a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(16a)</w:t>
            </w:r>
            <w:r w:rsidRPr="003D3151">
              <w:tab/>
            </w:r>
            <w:r w:rsidRPr="003D3151">
              <w:rPr>
                <w:b/>
                <w:i/>
              </w:rPr>
              <w:t>Peress li l-ipprezzar ta’ trasferiment huwa suġġett li jevolvi matul iż-żmien, se jkun essenzjali li tiġi mmonitorjata b’mod kontinwu l-ħtieġa ta’ aġġustamenti ta’ din id-Direttiva bil-għan li tiġi ggarantita l-uniformità tal-metodoloġiji tal-ipprezzar ta’ trasferiment fl-Unjoni u fuq livell globali.</w:t>
            </w:r>
            <w:r w:rsidRPr="003D3151">
              <w:t xml:space="preserve"> 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15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16b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(16b)</w:t>
            </w:r>
            <w:r w:rsidRPr="003D3151">
              <w:tab/>
              <w:t xml:space="preserve"> </w:t>
            </w:r>
            <w:r w:rsidRPr="003D3151">
              <w:rPr>
                <w:b/>
                <w:i/>
              </w:rPr>
              <w:t xml:space="preserve">Il-Forum Konġunt tal-UE dwar l-Ipprezzar ta’ Trasferiment offra soluzzjonijiet prattiċi għall-isfidi ppreżentati mill-prattiki tal-ipprezzar ta’ trasferiment fl-Istati Membri kollha. L-istabbiliment mill-ġdid ta’ dak il-forum b’mandat usa’ jippermetti lill-esperti nazzjonali mill-Istati Membri, flimkien mar-rappreżentanti tal-komunità tan-negozju, l-akkademiċi u s-soċjetà ċivili, </w:t>
            </w:r>
            <w:r w:rsidRPr="003D3151">
              <w:rPr>
                <w:b/>
                <w:i/>
              </w:rPr>
              <w:lastRenderedPageBreak/>
              <w:t>jappoġġaw lill-Kummissjoni, li jista’ jirriżulta f’leġiżlazzjoni li kapaċi tilħaq l-objettiv iddikjarat li tiżdied is-sigurtà għan-negozju fl-Unjoni.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Perspettiva konġunta tal-kontribwenti u tal-awtoritajiet tat-taxxa tipprovdi perspettiva aktar komprensiva f’dak li għandu x’jaqsam mas-sejbien ta’ soluzzjonijiet prattiċi.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16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(17)</w:t>
            </w:r>
            <w:r w:rsidRPr="003D3151">
              <w:tab/>
              <w:t>Sabiex tiġi evalwata l-effettività tar-regoli l-ġodda stabbiliti f’din id-Direttiva, jenħtieġ li l-Kummissjoni tħejji evalwazzjoni abbażi tal-informazzjoni pprovduta mill-Istati Membri u data oħra disponibbli.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(17)</w:t>
            </w:r>
            <w:r w:rsidRPr="003D3151">
              <w:tab/>
              <w:t xml:space="preserve">Sabiex </w:t>
            </w:r>
            <w:r w:rsidRPr="003D3151">
              <w:rPr>
                <w:b/>
                <w:bCs/>
                <w:i/>
                <w:iCs/>
              </w:rPr>
              <w:t>jiġu evalwati</w:t>
            </w:r>
            <w:r w:rsidRPr="003D3151">
              <w:t xml:space="preserve"> l-effettività </w:t>
            </w:r>
            <w:r w:rsidRPr="003D3151">
              <w:rPr>
                <w:b/>
                <w:i/>
              </w:rPr>
              <w:t xml:space="preserve">u l-impatt </w:t>
            </w:r>
            <w:r w:rsidRPr="003D3151">
              <w:t>tar-regoli l-ġodda stabbiliti f’din id-Direttiva, jenħtieġ li l-Kummissjoni tħejji evalwazzjoni abbażi tal-informazzjoni pprovduta mill-Istati Membri u data oħra disponibbli</w:t>
            </w:r>
            <w:r w:rsidRPr="003D3151">
              <w:rPr>
                <w:b/>
                <w:i/>
              </w:rPr>
              <w:t>, akkumpanjata bi proposta leġiżlattiva, jekk ikun il-każ</w:t>
            </w:r>
            <w:r w:rsidRPr="003D3151">
              <w:t>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17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Premessa 17a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(17a)</w:t>
            </w:r>
            <w:r w:rsidRPr="003D3151">
              <w:rPr>
                <w:b/>
                <w:i/>
              </w:rPr>
              <w:tab/>
              <w:t>Il-Kummissjoni jenħtieġ li tirrieżamina l-applikazzjoni ta’ din id-Direttiva għall-gruppi MNE li jaqgħu taħt il-kamp ta’ applikazzjoni tal-proposta għal Direttiva tal-Kunsill dwar in-Negozju fl-Ewropa: Qafas għat-Tassazzjoni tal-Introjtu (BEFIT).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18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 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lastRenderedPageBreak/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(18)</w:t>
            </w:r>
            <w:r w:rsidRPr="003D3151">
              <w:tab/>
              <w:t>Sabiex in-negozji jkunu jistgħu jgawdu direttament mill-benefiċċji tas-suq intern mingħajr ma jġarrbu piż amministrattiv addizzjonali bla bżonn, l-informazzjoni dwar id-dispożizzjonijiet tat-taxxa stabbiliti f’din id-Direttiva jenħtieġ li ssir aċċessibbli permezz tal-Gateway Diġitali Unika (“SDG”) f’konformità mar-Regolament (UE) 2018/1724</w:t>
            </w:r>
            <w:r w:rsidRPr="003D3151">
              <w:rPr>
                <w:vertAlign w:val="superscript"/>
              </w:rPr>
              <w:t>34</w:t>
            </w:r>
            <w:r w:rsidRPr="003D3151">
              <w:t>. L-SDG tipprovdi punt uniku ta’ servizz għall-utenti transfruntieri għall-forniment online ta’ informazzjoni, proċeduri u servizzi ta’ assistenza rilevanti għall-funzjonament tas-suq intern.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(18)</w:t>
            </w:r>
            <w:r w:rsidRPr="003D3151">
              <w:tab/>
              <w:t>Sabiex in-negozji jkunu jistgħu jgawdu direttament mill-benefiċċji tas-suq intern mingħajr ma jġarrbu piż amministrattiv addizzjonali bla bżonn, l-informazzjoni dwar id-dispożizzjonijiet tat-taxxa stabbiliti f’din id-Direttiva jenħtieġ li ssir aċċessibbli permezz tal-Gateway Diġitali Unika (“SDG”) f’konformità mar-Regolament (UE) 2018/1724</w:t>
            </w:r>
            <w:r w:rsidRPr="003D3151">
              <w:rPr>
                <w:vertAlign w:val="superscript"/>
              </w:rPr>
              <w:t>34</w:t>
            </w:r>
            <w:r w:rsidRPr="003D3151">
              <w:t xml:space="preserve">. L-SDG tipprovdi punt uniku ta’ servizz għall-utenti transfruntieri għall-forniment online ta’ informazzjoni, proċeduri u servizzi ta’ assistenza rilevanti għall-funzjonament tas-suq intern. </w:t>
            </w:r>
            <w:r w:rsidRPr="003D3151">
              <w:rPr>
                <w:b/>
                <w:i/>
              </w:rPr>
              <w:t>Dan il-punt uniku ta’ servizz jenħtieġ li jkun intuwittiv, faċilment aċċessibbli u mgħammar bl-għodda kollha meħtieġa sabiex ma jkunx hemm ostakli burokratiċi ġodda għall-intrapriżi.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L-esperjenza tajba tal-punt uniku ta’ servizz tat-Taxxa fuq il-Valur Miżjud (VAT) hija eżempju tajjeb ta’ kif tali punt uniku jenħtieġ li jitfassal biex jiffunzjona tajjeb.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_________________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vertAlign w:val="superscript"/>
              </w:rPr>
              <w:t>34</w:t>
            </w:r>
            <w:r w:rsidRPr="003D3151">
              <w:t xml:space="preserve"> Ir-Regolament (UE) 2018/1724 tal-Parlament Ewropew u tal-Kunsill tat-2 ta’ Ottubru 2018 li jistabbilixxi gateway diġitali unika li tipprovdi aċċess għal informazzjoni, għal proċeduri u għas-servizzi ta’ assistenza u ta’ soluzzjoni tal-problemi u li jemenda r-Regolament (UE) Nru 1024/2012 (ĠU L 295, 21.11.2018, p. 1).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vertAlign w:val="superscript"/>
              </w:rPr>
              <w:t>34</w:t>
            </w:r>
            <w:r w:rsidRPr="003D3151">
              <w:t xml:space="preserve"> Ir-Regolament (UE) 2018/1724 tal-Parlament Ewropew u tal-Kunsill tat-2 ta’ Ottubru 2018 li jistabbilixxi gateway diġitali unika li tipprovdi aċċess għal informazzjoni, għal proċeduri u għas-servizzi ta’ assistenza u ta’ soluzzjoni tal-problemi u li jemenda r-Regolament (UE) Nru 1024/2012 (ĠU L 295, 21.11.2018, p. 1).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19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(21)</w:t>
            </w:r>
            <w:r w:rsidRPr="003D3151">
              <w:tab/>
              <w:t xml:space="preserve">Sabiex jitnaqqas il-piż amministrattiv għall-kontribwenti, is-setgħa ta’ adozzjoni ta’ atti skont l-Artikolu 290 tat-Trattat dwar il-Funzjonament tal-Unjoni Ewropea jenħtieġ li tiġi delegata lill-Kummissjoni fir-rigward </w:t>
            </w:r>
            <w:r w:rsidRPr="003D3151">
              <w:lastRenderedPageBreak/>
              <w:t>tad-dokumentazzjoni tal-ipprezzar ta’ trasferiment, billi jiġu stabbiliti mudelli komuni u rekwiżiti lingwistiċi, jiġi ddefinit it-tip ta’ kontribwent li għandu jirrispetta dawn il-mudelli u l-perjodi ta’ żmien li għandhom jiġu koperti. Huwa partikolarment importanti li l-Kummissjoni twettaq konsultazzjonijiet xierqa matul ix-xogħol tagħha ta’ tħejjija, anke fil-livell ta’ esperti, u li dawk il-konsultazzjonijiet jiġu mwettqa f’konformità mal-prinċipji stipulati fil-Ftehim Interistituzzjonali dwar it-Tfassil Aħjar tal-Liġijiet tat-13 ta’ April 2016.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lastRenderedPageBreak/>
              <w:t>(21)</w:t>
            </w:r>
            <w:r w:rsidRPr="003D3151">
              <w:tab/>
              <w:t>Sabiex jitnaqqas il-piż amministrattiv għall-kontribwenti</w:t>
            </w:r>
            <w:r w:rsidRPr="003D3151">
              <w:rPr>
                <w:b/>
                <w:i/>
              </w:rPr>
              <w:t xml:space="preserve"> u r-riskju tal-evitar tat-taxxa</w:t>
            </w:r>
            <w:r w:rsidRPr="003D3151">
              <w:t>, is-setgħa ta’ adozzjoni ta’ atti skont l-Artikolu 290 tat-Trattat dwar il-Funzjonament tal-Unjoni Ewropea jenħtieġ li tiġi delegata lill-</w:t>
            </w:r>
            <w:r w:rsidRPr="003D3151">
              <w:lastRenderedPageBreak/>
              <w:t>Kummissjoni fir-rigward tad-dokumentazzjoni tal-ipprezzar ta’ trasferiment, billi jiġu stabbiliti mudelli komuni u rekwiżiti lingwistiċi, jiġi ddefinit it-tip ta’ kontribwent li għandu jirrispetta dawn il-mudelli u l-perjodi ta’ żmien li għandhom jiġu koperti. Huwa partikolarment importanti li l-Kummissjoni twettaq konsultazzjonijiet xierqa matul ix-xogħol tagħha ta’ tħejjija, anke fil-livell ta’ esperti, u li dawk il-konsultazzjonijiet jiġu mwettqa f’konformità mal-prinċipji stipulati fil-Ftehim Interistituzzjonali dwar it-Tfassil Aħjar tal-Liġijiet tat-13 ta’ April 2016.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</w:tr>
    </w:tbl>
    <w:p w:rsidR="00D2025C" w:rsidRPr="003D3151" w:rsidRDefault="00D2025C" w:rsidP="00D2025C"/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20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Din id-Direttiva tistabbilixxi regoli għall-armonizzazzjoni tar-regoli dwar l-ipprezzar ta’ trasferiment tal-Istati Membri u biex tiġi żgurata applikazzjoni komuni tal-prinċipju ta’ distakkament fl-Unjoni.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Din id-Direttiva tistabbilixxi regoli għall-armonizzazzjoni tar-regoli dwar l-ipprezzar ta’ trasferiment tal-Istati Membri u biex tiġi żgurata applikazzjoni komuni tal-prinċipju ta’ distakkament fl-Unjoni</w:t>
            </w:r>
            <w:r w:rsidRPr="003D3151">
              <w:rPr>
                <w:b/>
                <w:i/>
              </w:rPr>
              <w:t xml:space="preserve"> bil-għan li tiġi ssimplifikata l-konformità għall-kumpaniji filwaqt li jiġu infurzati r-regoli tat-taxxa fl-Unjoni</w:t>
            </w:r>
            <w:r w:rsidRPr="003D3151">
              <w:t>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21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3 – paragrafu 1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lastRenderedPageBreak/>
              <w:t>(1)</w:t>
            </w:r>
            <w:r w:rsidRPr="003D3151">
              <w:tab/>
              <w:t>“prinċipju ta’ distakkament” tfisser l-istandard internazzjonali li jippreskrivi li l-intrapriżi assoċjati jeħtiġilhom jinnegozjaw ma’ xulxin daqslikieku kienu partijiet terzi indipendenti. Fi kliem ieħor, it-tranżazzjonijiet bejn żewġ intrapriżi assoċjati jenħtieġ li jirriflettu l-eżitu li kien jinkiseb kieku l-partijiet ma kinux relatati, jiġifieri li kieku l-partijiet kienu indipendenti minn xulxin u l-eżitu (prezz jew marġini) kien iddeterminat minn forzi tas-suq (miftuħa).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(1)</w:t>
            </w:r>
            <w:r w:rsidRPr="003D3151">
              <w:tab/>
              <w:t>“prinċipju ta’ distakkament” tfisser l-istandard internazzjonali</w:t>
            </w:r>
            <w:r w:rsidRPr="003D3151">
              <w:rPr>
                <w:b/>
                <w:i/>
              </w:rPr>
              <w:t xml:space="preserve"> skont l-Artikolu 9 tal-Mudell ta’ Konvenzjoni dwar it-Taxxa tal-OECD</w:t>
            </w:r>
            <w:r w:rsidRPr="003D3151">
              <w:t xml:space="preserve"> li jippreskrivi li l-intrapriżi assoċjati jeħtiġilhom jinnegozjaw ma’ xulxin daqslikieku kienu partijiet terzi indipendenti. Fi kliem ieħor, it-tranżazzjonijiet bejn żewġ intrapriżi assoċjati jenħtieġ li jirriflettu l-eżitu li kien jinkiseb kieku l-partijiet ma kinux relatati, jiġifieri li kieku l-partijiet kienu indipendenti minn xulxin u l-eżitu (prezz jew marġini) kien iddeterminat minn forzi tas-suq (miftuħa).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22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3 – paragrafu 1 – punt 18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(18)</w:t>
            </w:r>
            <w:r w:rsidRPr="003D3151">
              <w:tab/>
              <w:t xml:space="preserve">“Linji Gwida tal-OECD dwar l-Ipprezzar tat-Trasferimenti” tfisser l-OECD Transfer Pricing Guidelines for Multinational Enterprises and Tax Administrations 2022, approvati mill-Kunsill tal-OECD skont ir- Recommendation of the Council on the Determination of Transfer Pricing between Associated Enterprises [C(95)126/Final], u kif emendata fl-20 ta’ Jannar 2022 u inkluża fl-Anness I, u kwalunkwe emenda oħra għal dawn il-Linji Gwida tal-OECD dwar l-Ipprezzar tat-Trasferimenti li </w:t>
            </w:r>
            <w:r w:rsidRPr="003D3151">
              <w:rPr>
                <w:b/>
                <w:i/>
              </w:rPr>
              <w:t>l-Unjoni approvat</w:t>
            </w:r>
            <w:r w:rsidRPr="003D3151">
              <w:t xml:space="preserve"> fil-kuntest tal-Kumitat tal-OECD dwar l-Affarijiet Fiskali permezz tal-adozzjoni ta’ pożizzjoni tal-Unjoni skont l-Artikolu </w:t>
            </w:r>
            <w:r w:rsidRPr="003D3151">
              <w:rPr>
                <w:b/>
                <w:i/>
              </w:rPr>
              <w:t>218(9)</w:t>
            </w:r>
            <w:r w:rsidRPr="003D3151">
              <w:t xml:space="preserve"> tat-TFUE;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(18)</w:t>
            </w:r>
            <w:r w:rsidRPr="003D3151">
              <w:tab/>
              <w:t xml:space="preserve">“Linji Gwida tal-OECD dwar l-Ipprezzar tat-Trasferimenti” tfisser l-OECD Transfer Pricing Guidelines for Multinational Enterprises and Tax Administrations 2022, approvati mill-Kunsill tal-OECD skont ir- Recommendation of the Council on the Determination of Transfer Pricing between Associated Enterprises [C(95)126/Final], u kif emendata fl-20 ta’ Jannar 2022 u inkluża fl-Anness I, u kwalunkwe emenda oħra għal dawn il-Linji Gwida tal-OECD dwar l-Ipprezzar tat-Trasferimenti li </w:t>
            </w:r>
            <w:r w:rsidRPr="003D3151">
              <w:rPr>
                <w:b/>
                <w:i/>
              </w:rPr>
              <w:t>l-Istati Membri approvaw</w:t>
            </w:r>
            <w:r w:rsidRPr="003D3151">
              <w:t xml:space="preserve"> fil-kuntest tal-Kumitat tal-OECD dwar l-Affarijiet Fiskali </w:t>
            </w:r>
            <w:r w:rsidRPr="003D3151">
              <w:rPr>
                <w:b/>
                <w:i/>
              </w:rPr>
              <w:t xml:space="preserve">jew li l-Unjoni approvat </w:t>
            </w:r>
            <w:r w:rsidRPr="003D3151">
              <w:t xml:space="preserve">permezz tal-adozzjoni ta’ pożizzjoni tal-Unjoni skont l-Artikolu </w:t>
            </w:r>
            <w:r w:rsidRPr="003D3151">
              <w:rPr>
                <w:b/>
                <w:i/>
              </w:rPr>
              <w:t>218</w:t>
            </w:r>
            <w:r w:rsidRPr="003D3151">
              <w:t xml:space="preserve"> tat-TFUE;</w:t>
            </w:r>
          </w:p>
        </w:tc>
      </w:tr>
    </w:tbl>
    <w:p w:rsidR="00D2025C" w:rsidRPr="003D3151" w:rsidRDefault="00D2025C" w:rsidP="00D2025C"/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23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  <w:rPr>
          <w:rStyle w:val="HideTWBExt"/>
          <w:b w:val="0"/>
          <w:noProof w:val="0"/>
          <w:vanish w:val="0"/>
          <w:color w:val="auto"/>
        </w:rPr>
      </w:pPr>
      <w:r w:rsidRPr="003D3151">
        <w:t>Artikolu 3 –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rPr>
                <w:b/>
                <w:i/>
              </w:rPr>
              <w:t>Il-Kummissjoni għandha tingħata s-setgħa li tadotta atti delegati f’konformità mal-Artikolu 18 sabiex tinkorpora kwalunkwe emenda ulterjuri fil-Linji Gwida tal-OECD dwar l-Ipprezzar tat-Trasferimenti, kif definit fil-punt (18) ta’ dan l-Artikolu, li l-Istati Membri approvaw fil-kuntest tal-Kumitat tal-OECD għall-Affarijiet Fiskali jew li l-Unjoni approvat permezz tal-adozzjoni ta’ pożizzjoni tal-Unjoni skont l-Artikolu 218 tat-TFUE.</w:t>
            </w:r>
          </w:p>
        </w:tc>
      </w:tr>
    </w:tbl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24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5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(a)</w:t>
            </w:r>
            <w:r w:rsidRPr="003D3151">
              <w:tab/>
              <w:t>persuna tipparteċipa fil-ġestjoni ta’ persuna oħra billi tkun f’pożizzjoni li teżerċita influwenza sinifikanti fuq il-persuna l-oħra;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(a)</w:t>
            </w:r>
            <w:r w:rsidRPr="003D3151">
              <w:tab/>
            </w:r>
            <w:r w:rsidRPr="003D3151">
              <w:rPr>
                <w:i/>
                <w:iCs/>
              </w:rPr>
              <w:t>Ma taffettwax il-verżjoni Maltija.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25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6 – paragrafu 3 – punt a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(i)</w:t>
            </w:r>
            <w:r w:rsidRPr="003D3151">
              <w:tab/>
              <w:t>tindika ċ-ċirkostanzi fattwali u legali kollha meħtieġa biex jiġi evalwat l-aġġustament primarju mwettaq fil-ġuriżdizzjoni l-oħra skont il-prinċipju ta’ distakkament;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(i)</w:t>
            </w:r>
            <w:r w:rsidRPr="003D3151">
              <w:tab/>
              <w:t>tindika ċ-ċirkostanzi fattwali u legali kollha meħtieġa biex jiġi evalwat l-aġġustament primarju mwettaq fil-ġuriżdizzjoni l-oħra skont il-prinċipju ta’ distakkament</w:t>
            </w:r>
            <w:r w:rsidRPr="003D3151">
              <w:rPr>
                <w:b/>
                <w:i/>
              </w:rPr>
              <w:t>, inkluża dokumentazzjoni rilevanti ta’ pprezzar ta’ trasferiment ikkomunikata lill-Istati Membri</w:t>
            </w:r>
            <w:r w:rsidRPr="003D3151">
              <w:t>;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26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lastRenderedPageBreak/>
        <w:t>Artikolu 6 – paragrafu 3 – punt a – punt iia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(iia)</w:t>
            </w:r>
            <w:r w:rsidRPr="003D3151">
              <w:tab/>
            </w:r>
            <w:r w:rsidRPr="003D3151">
              <w:rPr>
                <w:b/>
                <w:i/>
              </w:rPr>
              <w:t>tikkomunika, għal kull Stat Membru kkonċernat bl-aġġustament, ir-rata tat-taxxa effettiva kkalkulata fis-sens tad-Direttiva tal-Kunsill (UE) 2022/2523</w:t>
            </w:r>
            <w:r w:rsidRPr="003D3151">
              <w:rPr>
                <w:b/>
                <w:i/>
                <w:vertAlign w:val="superscript"/>
              </w:rPr>
              <w:t>1a</w:t>
            </w:r>
            <w:r w:rsidRPr="003D3151">
              <w:rPr>
                <w:b/>
                <w:i/>
              </w:rPr>
              <w:t>;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________________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  <w:vertAlign w:val="superscript"/>
              </w:rPr>
              <w:t>1a</w:t>
            </w:r>
            <w:r w:rsidRPr="003D3151">
              <w:rPr>
                <w:b/>
                <w:i/>
              </w:rPr>
              <w:t xml:space="preserve"> Id-Direttiva tal-Kunsill (UE) 2022/2523 tal-14 ta’ Diċembru 2022 dwar l-iżgurar ta’ livell minimu globali ta’ tassazzjoni għal gruppi ta’ intrapriżi multinazzjonali u gruppi domestiċi fuq skala kbira fl-Unjoni (ĠU L 328, 22.12.2022, p. 1).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27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6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(b)</w:t>
            </w:r>
            <w:r w:rsidRPr="003D3151">
              <w:tab/>
              <w:t xml:space="preserve">L-Istati Membri għandhom jiddikjaraw it-talba ammissibbli fi żmien </w:t>
            </w:r>
            <w:r w:rsidRPr="003D3151">
              <w:rPr>
                <w:b/>
                <w:i/>
              </w:rPr>
              <w:t>30</w:t>
            </w:r>
            <w:r w:rsidRPr="003D3151">
              <w:t xml:space="preserve"> jum permezz ta’ notifika lill-kontribwent jekk tkun ġiet ippreżentata l-informazzjoni kollha prevista fil-paragrafu 3(a). Fl-istess perjodu ta’ żmien, l-Istati Membri għandhom jinnotifikaw lill-kontribwent dwar in-nuqqas ta’ kwalunkwe informazzjoni meħtieġa u jagħtu mill-inqas </w:t>
            </w:r>
            <w:r w:rsidRPr="003D3151">
              <w:rPr>
                <w:b/>
                <w:i/>
              </w:rPr>
              <w:t>30</w:t>
            </w:r>
            <w:r w:rsidRPr="003D3151">
              <w:t xml:space="preserve"> jum biex din tingħata. Jekk il-kontribwent ma jipprovdix l-informazzjoni mitluba sal-iskadenza assenjata, it-talba </w:t>
            </w:r>
            <w:r w:rsidRPr="003D3151">
              <w:rPr>
                <w:b/>
                <w:i/>
              </w:rPr>
              <w:t>tista’</w:t>
            </w:r>
            <w:r w:rsidRPr="003D3151">
              <w:t xml:space="preserve"> tiġi rifjutata bħala inammissibbli.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(b)</w:t>
            </w:r>
            <w:r w:rsidRPr="003D3151">
              <w:tab/>
              <w:t xml:space="preserve">L-Istati Membri għandhom jiddikjaraw it-talba ammissibbli fi żmien </w:t>
            </w:r>
            <w:r w:rsidRPr="003D3151">
              <w:rPr>
                <w:b/>
                <w:i/>
              </w:rPr>
              <w:t>40</w:t>
            </w:r>
            <w:r w:rsidRPr="003D3151">
              <w:t xml:space="preserve"> jum permezz ta’ notifika lill-kontribwent jekk tkun ġiet ippreżentata l-informazzjoni kollha prevista fil-paragrafu 3(a). Fl-istess perjodu ta’ żmien, l-Istati Membri għandhom jinnotifikaw lill-kontribwent dwar in-nuqqas ta’ kwalunkwe informazzjoni meħtieġa u jagħtu mill-inqas </w:t>
            </w:r>
            <w:r w:rsidRPr="003D3151">
              <w:rPr>
                <w:b/>
                <w:i/>
              </w:rPr>
              <w:t>40</w:t>
            </w:r>
            <w:r w:rsidRPr="003D3151">
              <w:t xml:space="preserve"> jum biex din tingħata. Jekk il-kontribwent ma jipprovdix l-informazzjoni mitluba sal-iskadenza assenjata, it-talba </w:t>
            </w:r>
            <w:r w:rsidRPr="003D3151">
              <w:rPr>
                <w:b/>
                <w:i/>
              </w:rPr>
              <w:t>għandha</w:t>
            </w:r>
            <w:r w:rsidRPr="003D3151">
              <w:t xml:space="preserve"> tiġi rifjutata bħala inammissibbli.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28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6 – paragrafu 3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(c)</w:t>
            </w:r>
            <w:r w:rsidRPr="003D3151">
              <w:tab/>
              <w:t xml:space="preserve">L-Istati Membri għandhom jiżguraw li meta t-tassazzjoni doppja tirriżulta minn aġġustament primarju li jsir </w:t>
            </w:r>
            <w:r w:rsidRPr="003D3151">
              <w:lastRenderedPageBreak/>
              <w:t xml:space="preserve">fi Stat Membru ieħor, il-proċedura tiġi konkluża fi żmien </w:t>
            </w:r>
            <w:r w:rsidRPr="003D3151">
              <w:rPr>
                <w:b/>
                <w:i/>
              </w:rPr>
              <w:t>180</w:t>
            </w:r>
            <w:r w:rsidRPr="003D3151">
              <w:t xml:space="preserve"> jum minn meta tasal it-talba tal-kontribwent b’att motivat ta’ aċċettazzjoni jew rifjut.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lastRenderedPageBreak/>
              <w:t>(c)</w:t>
            </w:r>
            <w:r w:rsidRPr="003D3151">
              <w:tab/>
              <w:t xml:space="preserve">L-Istati Membri għandhom jiżguraw li meta t-tassazzjoni doppja tirriżulta minn aġġustament primarju li jsir </w:t>
            </w:r>
            <w:r w:rsidRPr="003D3151">
              <w:lastRenderedPageBreak/>
              <w:t xml:space="preserve">fi Stat Membru ieħor, il-proċedura tiġi konkluża fi żmien </w:t>
            </w:r>
            <w:r w:rsidRPr="003D3151">
              <w:rPr>
                <w:b/>
                <w:i/>
              </w:rPr>
              <w:t>200</w:t>
            </w:r>
            <w:r w:rsidRPr="003D3151">
              <w:t xml:space="preserve"> jum minn meta tasal it-talba tal-kontribwent b’att motivat ta’ aċċettazzjoni jew rifjut. </w:t>
            </w:r>
            <w:r w:rsidRPr="003D3151">
              <w:rPr>
                <w:b/>
                <w:i/>
              </w:rPr>
              <w:t>Il-proċedura tista’ tiġi estiża darba b’perjodu ta’ 100 jum jekk il-kontribwent u l-Istati Membri kkonċernati kollha jaqblu dwar tali estensjoni.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29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6 – paragrafu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(d)</w:t>
            </w:r>
            <w:r w:rsidRPr="003D3151">
              <w:tab/>
              <w:t>Fil-każ ta’ aċċettazzjoni, l-Istati Membri għandhom jikkomunikaw lill-awtorità tat-taxxa tal-ġuriżdizzjoni rilevanti l-oħra r-rikonoxximent tal-aġġustament korrelattiv.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(d)</w:t>
            </w:r>
            <w:r w:rsidRPr="003D3151">
              <w:tab/>
              <w:t xml:space="preserve">Fil-każ ta’ aċċettazzjoni, l-Istati Membri għandhom jikkomunikaw </w:t>
            </w:r>
            <w:r w:rsidRPr="003D3151">
              <w:rPr>
                <w:b/>
                <w:i/>
              </w:rPr>
              <w:t xml:space="preserve">minnufih </w:t>
            </w:r>
            <w:r w:rsidRPr="003D3151">
              <w:t>lill-awtorità tat-taxxa tal-ġuriżdizzjoni rilevanti l-oħra r-rikonoxximent tal-aġġustament korrelattiv.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30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6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3a.</w:t>
            </w:r>
            <w:r w:rsidRPr="003D3151">
              <w:tab/>
            </w:r>
            <w:r w:rsidRPr="003D3151">
              <w:rPr>
                <w:b/>
                <w:i/>
              </w:rPr>
              <w:t>Għall-fini tal-paragrafi 1, 2 u 3, l-Istati Membri għandhom jużaw il-proċeduri u l-arranġamenti kollha pprovduti mid-Direttiva dwar il-Kooperazzjoni Amministrattiva (DAC).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31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5 – paragrafu 5 – punt aa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(aa)</w:t>
            </w:r>
            <w:r w:rsidRPr="003D3151">
              <w:rPr>
                <w:b/>
                <w:i/>
              </w:rPr>
              <w:tab/>
              <w:t>l-aġġustament ’l isfel ma jwassalx għan-nontassazzjoni doppja, li jfisser li l-aġġustament ’l isfel ikun inkluż fil-profitti taxxabbli tal-intrapriża assoċjata fil-ġuriżdizzjoni l-oħra;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32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11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(a)</w:t>
            </w:r>
            <w:r w:rsidRPr="003D3151">
              <w:tab/>
              <w:t>l-ebda waħda mid-differenzi (jekk ikun hemm) bejn it-tranżazzjonijiet li jkunu qed jitqabblu jew bejn l-intrapriżi li jkunu qed iwettqu dawk it-tranżazzjonijiet ma tista’ taffettwa materjalment il-prezz fis-suq miftuħ;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(a)</w:t>
            </w:r>
            <w:r w:rsidRPr="003D3151">
              <w:tab/>
              <w:t xml:space="preserve">l-ebda waħda mid-differenzi (jekk ikun hemm) bejn it-tranżazzjonijiet li jkunu qed jitqabblu jew bejn l-intrapriżi li jkunu qed iwettqu dawk it-tranżazzjonijiet ma tista’ taffettwa materjalment il-prezz </w:t>
            </w:r>
            <w:r w:rsidRPr="003D3151">
              <w:rPr>
                <w:b/>
                <w:i/>
              </w:rPr>
              <w:t xml:space="preserve">jew il-marġni </w:t>
            </w:r>
            <w:r w:rsidRPr="003D3151">
              <w:t>fis-suq miftuħ;</w:t>
            </w:r>
          </w:p>
        </w:tc>
      </w:tr>
    </w:tbl>
    <w:p w:rsidR="00D2025C" w:rsidRPr="003D3151" w:rsidRDefault="00D2025C" w:rsidP="00D2025C"/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33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14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2.</w:t>
            </w:r>
            <w:r w:rsidRPr="003D3151">
              <w:tab/>
            </w:r>
            <w:r w:rsidRPr="003D3151">
              <w:rPr>
                <w:b/>
                <w:i/>
              </w:rPr>
              <w:t>Il-Kunsill jista’ jistabbilixxi</w:t>
            </w:r>
            <w:r w:rsidRPr="003D3151">
              <w:t xml:space="preserve"> regoli ulterjuri, konsistenti </w:t>
            </w:r>
            <w:r w:rsidRPr="003D3151">
              <w:rPr>
                <w:b/>
                <w:bCs/>
                <w:i/>
                <w:iCs/>
              </w:rPr>
              <w:t>mal-Linji</w:t>
            </w:r>
            <w:r w:rsidRPr="003D3151">
              <w:t xml:space="preserve"> Gwida </w:t>
            </w:r>
            <w:r w:rsidRPr="003D3151">
              <w:rPr>
                <w:b/>
                <w:i/>
              </w:rPr>
              <w:t xml:space="preserve">tal-OECD </w:t>
            </w:r>
            <w:r w:rsidRPr="003D3151">
              <w:t xml:space="preserve">dwar l-Ipprezzar tat-Trasferimenti, dwar kif il-prinċipju ta’ distakkament u d-dispożizzjonijiet l-oħra stabbiliti fil-Kapitolu II ta’ din id-Direttiva għandhom jiġu applikati fi tranżazzjonijiet speċifiċi biex tiġi żgurata aktar ċertezza tat-taxxa u jiġi mmitigat ir-riskju </w:t>
            </w:r>
            <w:r w:rsidRPr="003D3151">
              <w:rPr>
                <w:b/>
                <w:bCs/>
                <w:i/>
                <w:iCs/>
              </w:rPr>
              <w:t>ta’ tassazzjoni</w:t>
            </w:r>
            <w:r w:rsidRPr="003D3151">
              <w:t xml:space="preserve"> doppja. </w:t>
            </w:r>
            <w:r w:rsidRPr="003D3151">
              <w:rPr>
                <w:b/>
                <w:i/>
              </w:rPr>
              <w:t>Dawk it-tranżazzjonijiet jew negozjati speċifiċi huma dawn li ġejjin: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2.</w:t>
            </w:r>
            <w:r w:rsidRPr="003D3151">
              <w:tab/>
            </w:r>
            <w:r w:rsidRPr="003D3151">
              <w:rPr>
                <w:b/>
                <w:i/>
              </w:rPr>
              <w:t>Il-Kummissjoni għandha tingħata s-setgħa li tadotta atti delegati skont l-Artikolu 18 biex tistabbilixxi</w:t>
            </w:r>
            <w:r w:rsidRPr="003D3151">
              <w:t xml:space="preserve"> regoli ulterjuri, konsistenti </w:t>
            </w:r>
            <w:r w:rsidRPr="003D3151">
              <w:rPr>
                <w:b/>
                <w:i/>
              </w:rPr>
              <w:t>mal-aħħar Linji</w:t>
            </w:r>
            <w:r w:rsidRPr="003D3151">
              <w:t xml:space="preserve"> Gwida dwar l-Ipprezzar tat-Trasferimenti</w:t>
            </w:r>
            <w:r w:rsidRPr="003D3151">
              <w:rPr>
                <w:b/>
                <w:i/>
              </w:rPr>
              <w:t xml:space="preserve"> rrakkomandati fil-livell internazzjonali maħruġa mill-OECD jew min-Nazzjonijiet Uniti</w:t>
            </w:r>
            <w:r w:rsidRPr="003D3151">
              <w:t xml:space="preserve">, dwar kif il-prinċipju ta’ distakkament u d-dispożizzjonijiet l-oħra stabbiliti fil-Kapitolu II ta’ din id-Direttiva għandhom jiġu applikati fi tranżazzjonijiet speċifiċi biex tiġi żgurata aktar ċertezza tat-taxxa u jiġi mmitigat ir-riskju </w:t>
            </w:r>
            <w:r w:rsidRPr="003D3151">
              <w:rPr>
                <w:b/>
                <w:i/>
              </w:rPr>
              <w:t>tan-nontassazzjoni</w:t>
            </w:r>
            <w:r w:rsidRPr="003D3151">
              <w:t xml:space="preserve"> doppja</w:t>
            </w:r>
            <w:r w:rsidRPr="003D3151">
              <w:rPr>
                <w:b/>
                <w:i/>
              </w:rPr>
              <w:t xml:space="preserve"> u tat-tassazzjoni doppja u jitnaqqsu t-tilwim dwar it-taxxa u l-abbuż tat-taxxa</w:t>
            </w:r>
            <w:r w:rsidRPr="003D3151">
              <w:t>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(a)</w:t>
            </w:r>
            <w:r w:rsidRPr="003D3151">
              <w:rPr>
                <w:b/>
                <w:i/>
              </w:rPr>
              <w:tab/>
              <w:t>it-trasferiment ta’ assi intanġibbli jew ta’ drittijiet f’assi intanġibbli bejn intrapriżi assoċjati, inklużi assi intanġibbli li diffiċli jiġu vvalutati;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(b)</w:t>
            </w:r>
            <w:r w:rsidRPr="003D3151">
              <w:rPr>
                <w:b/>
                <w:i/>
              </w:rPr>
              <w:tab/>
              <w:t>il-forniment ta’ servizzi bejn intrapriżi assoċjati, inkluż il-forniment ta’ servizzi ta’ kummerċjalizzazzjoni u ta’ distribuzzjoni;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lastRenderedPageBreak/>
              <w:t>(c)</w:t>
            </w:r>
            <w:r w:rsidRPr="003D3151">
              <w:rPr>
                <w:b/>
                <w:i/>
              </w:rPr>
              <w:tab/>
              <w:t>l-arranġamenti ta’ kontribuzzjoni għall-kostijiet bejn l-intrapriżi assoċjati;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(d)</w:t>
            </w:r>
            <w:r w:rsidRPr="003D3151">
              <w:rPr>
                <w:b/>
                <w:i/>
              </w:rPr>
              <w:tab/>
              <w:t>it-tranżazzjonijiet bejn intrapriżi assoċjati fil-kuntest tar-ristrutturar tan-negozju;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(e)</w:t>
            </w:r>
            <w:r w:rsidRPr="003D3151">
              <w:rPr>
                <w:b/>
                <w:i/>
              </w:rPr>
              <w:tab/>
              <w:t>it-tranżazzjonijiet finanzjarji;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</w:rPr>
            </w:pPr>
            <w:r w:rsidRPr="003D3151">
              <w:rPr>
                <w:b/>
                <w:i/>
              </w:rPr>
              <w:t>(f)</w:t>
            </w:r>
            <w:r w:rsidRPr="003D3151">
              <w:rPr>
                <w:b/>
                <w:i/>
              </w:rPr>
              <w:tab/>
              <w:t>in-negozjati bejn l-uffiċċju prinċipali u l-istabbilimenti permanenti tiegħu.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34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14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2a.</w:t>
            </w:r>
            <w:r w:rsidRPr="003D3151">
              <w:rPr>
                <w:b/>
                <w:i/>
              </w:rPr>
              <w:tab/>
              <w:t>Il-Kummissjoni tista’ tadotta atti delegati skont l-Artikolu 18 biex tistabbilixxi regoli ulterjuri, bħall-introduzzjoni ta’ portijiet sikuri, biex tissimplifika l-applikazzjoni tal-prinċipju ta’ distakkament fl-Unjoni, biex tiżgura aktar ċertezza tat-taxxa u timmitiga r-riskju tan-nontassazzjoni doppja u tat-tassazzjoni doppja, u biex tnaqqas it-tilwim dwar it-taxxa u l-abbuż tat-taxxa.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35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14 – paragrafu 2b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2b.</w:t>
            </w:r>
            <w:r w:rsidRPr="003D3151">
              <w:rPr>
                <w:b/>
                <w:i/>
              </w:rPr>
              <w:tab/>
              <w:t>Il-Kummissjoni tista’ tadotta att delegat skont l-Artikolu 18, li jistabbilixxi regoli għall-integrazzjoni f’din id-Direttiva tal-approċċ simplifikat propost għall-konformità tal-ipprezzar ta’ trasferiment għall-attivitajiet ta’ distribuzzjoni u manifattura kif imsemmi fid-Direttiva tal-Kunsill XX/XX/UE dwar in-Negozju fl-Ewropa: Qafas għat-Tassazzjoni tal-Introjtu (BEFIT).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36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14b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3.</w:t>
            </w:r>
            <w:r w:rsidRPr="003D3151">
              <w:tab/>
            </w:r>
            <w:r w:rsidRPr="003D3151">
              <w:rPr>
                <w:b/>
                <w:i/>
              </w:rPr>
              <w:t>Ir-regoli msemmija fil-paragrafu 2 għandhom jittieħdu permezz ta’ atti ta’ implimentazzjoni tal-Kunsill ibbażati fuq proposta mill-Kummissjoni.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imħassar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37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</w:pPr>
            <w:r w:rsidRPr="003D3151">
              <w:rPr>
                <w:b/>
                <w:i/>
              </w:rPr>
              <w:t>Artikolu 14a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spacing w:after="120"/>
              <w:jc w:val="center"/>
              <w:rPr>
                <w:b/>
                <w:i/>
              </w:rPr>
            </w:pPr>
            <w:r w:rsidRPr="003D3151">
              <w:rPr>
                <w:b/>
                <w:i/>
              </w:rPr>
              <w:t>Twaqqif mill-Ġdid tal-Forum Konġunt tal-UE dwar l-Ipprezzar ta’ Trasferiment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1.</w:t>
            </w:r>
            <w:r w:rsidRPr="003D3151">
              <w:tab/>
            </w:r>
            <w:r w:rsidRPr="003D3151">
              <w:rPr>
                <w:b/>
                <w:i/>
              </w:rPr>
              <w:t>Il-Kummissjoni għandha tistabbilixxi u tippresjedi l-Forum Ewropew dwar il-Prezzijiet ta’ Trasferiment (EFTP).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L-EFTP għandu jipprovdi pariri u assistenza lill-kumitat fis-sens tal-Artikolu 17, b’mod partikolari biex jivvaluta l-ħtieġa ta’ kwalunkwe aġġustament għal din id-Direttiva bil-għan li jiggarantixxi l-uniformità kontinwa tal-metodoloġiji tal-ipprezzar ta’ trasferiment fl-Unjoni u fix-xena globali u, l-aktar importanti, filwaqt li jitqiesu l-iżviluppi fil-livell tal-OECD jew tan-NU.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2.</w:t>
            </w:r>
            <w:r w:rsidRPr="003D3151">
              <w:tab/>
            </w:r>
            <w:r w:rsidRPr="003D3151">
              <w:rPr>
                <w:b/>
                <w:i/>
              </w:rPr>
              <w:t>L-EFTP għandu jkun magħmul minn rappreżentanti tal-Istati Membri u rappreżentanza bbilanċjata tal-kontribwenti, tal-akkademiċi u tas-soċjetà ċivili.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Il-Parlament Ewropew għandu jkun membru tal-EFTP bħala osservatur.</w:t>
            </w:r>
            <w:r w:rsidRPr="003D3151">
              <w:t xml:space="preserve"> </w:t>
            </w:r>
            <w:r w:rsidRPr="003D3151">
              <w:rPr>
                <w:b/>
                <w:i/>
              </w:rPr>
              <w:t>Il-kundizzjonijiet għas-sħubija għandhom jiġu deċiżi mill-kumitat kif imsemmi fl-Artikolu 17.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38</w:t>
      </w:r>
    </w:p>
    <w:p w:rsidR="00D2025C" w:rsidRPr="003D3151" w:rsidRDefault="00D2025C" w:rsidP="00D2025C">
      <w:pPr>
        <w:pStyle w:val="NormalBold12b"/>
      </w:pPr>
      <w:r w:rsidRPr="003D3151">
        <w:lastRenderedPageBreak/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</w:pPr>
            <w:r w:rsidRPr="003D3151">
              <w:rPr>
                <w:b/>
                <w:i/>
              </w:rPr>
              <w:t>Artikolu 14b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  <w:rPr>
                <w:b/>
                <w:i/>
              </w:rPr>
            </w:pPr>
            <w:r w:rsidRPr="003D3151">
              <w:rPr>
                <w:b/>
                <w:i/>
              </w:rPr>
              <w:t>Twessigħ tal-inizjattiva tal-Approċċ Ewropew ta’ Fiduċja u Kooperazzjoni (ETACA)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1.</w:t>
            </w:r>
            <w:r w:rsidRPr="003D3151">
              <w:tab/>
            </w:r>
            <w:r w:rsidRPr="003D3151">
              <w:rPr>
                <w:b/>
                <w:i/>
              </w:rPr>
              <w:t>Il-kamp ta’ applikazzjoni tal-Approċċ Ewropew ta’ Fiduċja u Kooperazzjoni (ETACA) għandu jinkludi r-rieżamijiet tal-ipprezzar ta’ trasferiment ta’ flussi intra-Unjoni speċifiċi mill-Istati Membri li jipparteċipaw, u mhux biss it-tranżazzjonijiet ta’ valur miżjud baxx, kif inhu l-każ bħalissa.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2.</w:t>
            </w:r>
            <w:r w:rsidRPr="003D3151">
              <w:tab/>
            </w:r>
            <w:r w:rsidRPr="003D3151">
              <w:rPr>
                <w:b/>
                <w:i/>
              </w:rPr>
              <w:t>L-Istati Membri huma mistiedna jistabbilixxu rabta bejn l-ETACA u l-APAs sabiex jiġi żgurat li l-ETACA jservi bħala mezz rapidu biex jinstabu soluzzjonijiet stabbli meta jfeġġu problemi matul il-proċess ta’ rieżami.</w:t>
            </w:r>
          </w:p>
        </w:tc>
      </w:tr>
    </w:tbl>
    <w:p w:rsidR="00D2025C" w:rsidRPr="003D3151" w:rsidRDefault="00D2025C" w:rsidP="00D2025C"/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39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15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1.</w:t>
            </w:r>
            <w:r w:rsidRPr="003D3151">
              <w:tab/>
              <w:t xml:space="preserve">Il-Kummissjoni għandha teżamina u tevalwa l-applikazzjoni ta’ din id-Direttiva </w:t>
            </w:r>
            <w:r w:rsidRPr="003D3151">
              <w:rPr>
                <w:b/>
                <w:i/>
              </w:rPr>
              <w:t xml:space="preserve">kull 5 snin </w:t>
            </w:r>
            <w:r w:rsidRPr="003D3151">
              <w:t xml:space="preserve">u tippreżenta rapport dwar l-evalwazzjoni tagħha lill-Parlament Ewropew u lill-Kunsill. L-ewwel rapport għandu jiġi preżentat sal-31 ta’ Diċembru </w:t>
            </w:r>
            <w:r w:rsidRPr="003D3151">
              <w:rPr>
                <w:b/>
                <w:i/>
              </w:rPr>
              <w:t>2031</w:t>
            </w:r>
            <w:r w:rsidRPr="003D3151">
              <w:t>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1.</w:t>
            </w:r>
            <w:r w:rsidRPr="003D3151">
              <w:tab/>
            </w:r>
            <w:r w:rsidRPr="003D3151">
              <w:rPr>
                <w:b/>
                <w:i/>
              </w:rPr>
              <w:t xml:space="preserve">Kull tliet snin, </w:t>
            </w:r>
            <w:r w:rsidRPr="003D3151">
              <w:t>il-Kummissjoni għandha teżamina u tevalwa l-applikazzjoni</w:t>
            </w:r>
            <w:r w:rsidRPr="003D3151">
              <w:rPr>
                <w:b/>
                <w:i/>
              </w:rPr>
              <w:t>, l-impatt u l-interazzjoni</w:t>
            </w:r>
            <w:r w:rsidRPr="003D3151">
              <w:t xml:space="preserve"> ta’ din id-Direttiva </w:t>
            </w:r>
            <w:r w:rsidRPr="003D3151">
              <w:rPr>
                <w:b/>
                <w:i/>
              </w:rPr>
              <w:t>mal-aktar linji gwida reċenti tal-OECD jew tan-NU</w:t>
            </w:r>
            <w:r w:rsidRPr="003D3151">
              <w:t xml:space="preserve"> u tippreżenta rapport dwar l-evalwazzjoni tagħha lill-Parlament Ewropew u lill-Kunsill</w:t>
            </w:r>
            <w:r w:rsidRPr="003D3151">
              <w:rPr>
                <w:b/>
                <w:i/>
              </w:rPr>
              <w:t>, li jkun akkumpanjat, jekk ikun xieraq, bi proposta leġiżlattiva</w:t>
            </w:r>
            <w:r w:rsidRPr="003D3151">
              <w:t xml:space="preserve">. L-ewwel rapport għandu jiġi preżentat sal-31 ta’ Diċembru </w:t>
            </w:r>
            <w:r w:rsidRPr="003D3151">
              <w:rPr>
                <w:b/>
                <w:i/>
              </w:rPr>
              <w:t>2029</w:t>
            </w:r>
            <w:r w:rsidRPr="003D3151">
              <w:t xml:space="preserve">. </w:t>
            </w:r>
            <w:r w:rsidRPr="003D3151">
              <w:rPr>
                <w:b/>
                <w:i/>
              </w:rPr>
              <w:t>Il-Kummissjoni tista’ tiddevja minn dawk il-kalendarji meta jiġu miftiehma linji gwida ġodda dwar l-Ipprezzar ta’ Trasferiment fil-livell tal-OECD jew tan-NU.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lastRenderedPageBreak/>
        <w:t>Emenda</w:t>
      </w:r>
      <w:r w:rsidRPr="003D3151">
        <w:tab/>
      </w:r>
      <w:r w:rsidRPr="003D3151">
        <w:tab/>
        <w:t>40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15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2.</w:t>
            </w:r>
            <w:r w:rsidRPr="003D3151">
              <w:tab/>
              <w:t xml:space="preserve">L-Istati Membri għandhom jikkomunikaw lill-Kummissjoni l-informazzjoni rilevanti għall-evalwazzjoni ta’ din id-Direttiva bil-għan li tittejjeb l-applikazzjoni tal-prinċipju ta’ distakkament, li </w:t>
            </w:r>
            <w:r w:rsidRPr="003D3151">
              <w:rPr>
                <w:b/>
                <w:bCs/>
                <w:i/>
                <w:iCs/>
              </w:rPr>
              <w:t>titnaqqas it-tassazzjoni</w:t>
            </w:r>
            <w:r w:rsidRPr="003D3151">
              <w:t xml:space="preserve"> doppja kif ukoll li </w:t>
            </w:r>
            <w:r w:rsidRPr="003D3151">
              <w:rPr>
                <w:b/>
                <w:bCs/>
                <w:i/>
                <w:iCs/>
              </w:rPr>
              <w:t>jiġi miġġieled</w:t>
            </w:r>
            <w:r w:rsidRPr="003D3151">
              <w:t xml:space="preserve"> l-abbuż tat-taxxa, f’konformità mal-paragrafu 3.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2.</w:t>
            </w:r>
            <w:r w:rsidRPr="003D3151">
              <w:tab/>
              <w:t xml:space="preserve">L-Istati Membri għandhom jikkomunikaw lill-Kummissjoni l-informazzjoni rilevanti għall-evalwazzjoni ta’ din id-Direttiva bil-għan li tittejjeb l-applikazzjoni tal-prinċipju ta’ distakkament, li </w:t>
            </w:r>
            <w:r w:rsidRPr="003D3151">
              <w:rPr>
                <w:b/>
                <w:i/>
              </w:rPr>
              <w:t>jitnaqqsu n-nontassazzjoni doppja u t-tassazzjoni</w:t>
            </w:r>
            <w:r w:rsidRPr="003D3151">
              <w:t xml:space="preserve"> doppja kif ukoll li </w:t>
            </w:r>
            <w:r w:rsidRPr="003D3151">
              <w:rPr>
                <w:b/>
                <w:i/>
              </w:rPr>
              <w:t>jiġu miġġielda</w:t>
            </w:r>
            <w:r w:rsidRPr="003D3151">
              <w:t xml:space="preserve"> l-abbuż tat-taxxa</w:t>
            </w:r>
            <w:r w:rsidRPr="003D3151">
              <w:rPr>
                <w:b/>
                <w:i/>
              </w:rPr>
              <w:t xml:space="preserve"> u t-tilwim dwar it-taxxa</w:t>
            </w:r>
            <w:r w:rsidRPr="003D3151">
              <w:t>, f’konformità mal-paragrafu 3.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41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15 – paragrafu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5.</w:t>
            </w:r>
            <w:r w:rsidRPr="003D3151">
              <w:tab/>
              <w:t>L-informazzjoni kkomunikata lill-Kummissjoni minn Stat Membru skont l-Artikolu 2, kif ukoll kwalunkwe rapport jew dokument prodotti mill-Kummissjoni li jużaw tali informazzjoni, jistgħu jiġu trażmessi lil Stati Membri oħra. L-informazzjoni għandha tkun koperta mill-obbligu ta’ segretezza uffiċjali u għandha tgawdi l-protezzjoni estiża għal informazzjoni simili skont id-dritt nazzjonali tal-Istat Membru li jkun irċevieha.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5.</w:t>
            </w:r>
            <w:r w:rsidRPr="003D3151">
              <w:tab/>
              <w:t>L-informazzjoni kkomunikata lill-Kummissjoni minn Stat Membru skont l-Artikolu 2, kif ukoll kwalunkwe rapport jew dokument prodotti mill-Kummissjoni li jużaw tali informazzjoni, jistgħu jiġu trażmessi lil Stati Membri oħra</w:t>
            </w:r>
            <w:r w:rsidRPr="003D3151">
              <w:rPr>
                <w:b/>
                <w:i/>
              </w:rPr>
              <w:t xml:space="preserve"> u lill-Parlament Ewropew</w:t>
            </w:r>
            <w:r w:rsidRPr="003D3151">
              <w:t>. L-informazzjoni għandha tkun koperta mill-obbligu ta’ segretezza uffiċjali u għandha tgawdi l-protezzjoni estiża għal informazzjoni simili skont id-dritt nazzjonali tal-Istat Membru li jkun irċevieha.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42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16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2.</w:t>
            </w:r>
            <w:r w:rsidRPr="003D3151">
              <w:tab/>
              <w:t xml:space="preserve">L-informazzjoni, inkluża d-data personali, ipproċessata f’konformità ma’ din id-Direttiva, għandha tinżamm biss </w:t>
            </w:r>
            <w:r w:rsidRPr="003D3151">
              <w:lastRenderedPageBreak/>
              <w:t>sakemm ikun meħtieġ biex jintlaħqu l-finijiet ta’ din id-Direttiva, f’konformità mad-dritt nazzjonali ta’ kull kontrollur tad-data dwar l-istatut ta’ limitazzjonijiet, iżda fi kwalunkwe każ għal mhux aktar minn 10 snin.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lastRenderedPageBreak/>
              <w:t>2.</w:t>
            </w:r>
            <w:r w:rsidRPr="003D3151">
              <w:tab/>
              <w:t xml:space="preserve">L-informazzjoni, inkluża d-data personali, ipproċessata f’konformità ma’ din id-Direttiva, għandha tinżamm biss </w:t>
            </w:r>
            <w:r w:rsidRPr="003D3151">
              <w:lastRenderedPageBreak/>
              <w:t>sakemm ikun meħtieġ biex jintlaħqu l-finijiet ta’ din id-Direttiva, f’konformità mad-dritt nazzjonali ta’ kull kontrollur tad-data dwar l-istatut ta’ limitazzjonijiet, iżda fi kwalunkwe każ għal mhux aktar minn 10 snin</w:t>
            </w:r>
            <w:r w:rsidRPr="003D3151">
              <w:rPr>
                <w:b/>
                <w:i/>
              </w:rPr>
              <w:t xml:space="preserve"> mill-mument meta d-data personali tiġi pproċessata għall-finijiet ta’ din id-Direttiva</w:t>
            </w:r>
            <w:r w:rsidRPr="003D3151">
              <w:t>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43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1.</w:t>
            </w:r>
            <w:r w:rsidRPr="003D3151">
              <w:tab/>
            </w:r>
            <w:r w:rsidRPr="003D3151">
              <w:rPr>
                <w:bCs/>
                <w:iCs/>
              </w:rPr>
              <w:t>Il-Kummissjoni għandha tingħata</w:t>
            </w:r>
            <w:r w:rsidRPr="003D3151">
              <w:rPr>
                <w:b/>
                <w:bCs/>
                <w:i/>
                <w:iCs/>
              </w:rPr>
              <w:t xml:space="preserve"> s-setgħa</w:t>
            </w:r>
            <w:r w:rsidRPr="003D3151">
              <w:t xml:space="preserve"> ta’ adozzjoni tal-att delegat imsemmi fl-Artikolu 13 </w:t>
            </w:r>
            <w:r w:rsidRPr="003D3151">
              <w:rPr>
                <w:bCs/>
                <w:iCs/>
              </w:rPr>
              <w:t>soġġett għall-kundizzjonijiet</w:t>
            </w:r>
            <w:r w:rsidRPr="003D3151">
              <w:t xml:space="preserve"> stabbiliti f’dan l-Artikolu.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1.</w:t>
            </w:r>
            <w:r w:rsidRPr="003D3151">
              <w:tab/>
            </w:r>
            <w:r w:rsidRPr="003D3151">
              <w:rPr>
                <w:b/>
                <w:i/>
              </w:rPr>
              <w:t>Is-setgħa</w:t>
            </w:r>
            <w:r w:rsidRPr="003D3151">
              <w:t xml:space="preserve"> ta’ adozzjoni tal-att delegat imsemmi </w:t>
            </w:r>
            <w:r w:rsidRPr="003D3151">
              <w:rPr>
                <w:b/>
                <w:i/>
              </w:rPr>
              <w:t xml:space="preserve">fl-Artikolu 3, it-tieni paragrafu, </w:t>
            </w:r>
            <w:r w:rsidRPr="003D3151">
              <w:t xml:space="preserve">fl-Artikolu 13 </w:t>
            </w:r>
            <w:r w:rsidRPr="003D3151">
              <w:rPr>
                <w:b/>
                <w:i/>
              </w:rPr>
              <w:t xml:space="preserve">u fl-Artikolu 14(2), (2a) u (2b) għandha tingħata lill-Kummissjoni </w:t>
            </w:r>
            <w:r w:rsidRPr="003D3151">
              <w:t>s</w:t>
            </w:r>
            <w:r w:rsidR="00AD0777" w:rsidRPr="003D3151">
              <w:t>o</w:t>
            </w:r>
            <w:r w:rsidRPr="003D3151">
              <w:t>ġġett għall-kondizzjonijiet</w:t>
            </w:r>
            <w:r w:rsidRPr="003D3151">
              <w:rPr>
                <w:b/>
                <w:i/>
              </w:rPr>
              <w:t xml:space="preserve"> </w:t>
            </w:r>
            <w:r w:rsidRPr="003D3151">
              <w:t>stabbiliti f’dan l-Artikolu.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44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2.</w:t>
            </w:r>
            <w:r w:rsidRPr="003D3151">
              <w:tab/>
              <w:t xml:space="preserve">Id-delega </w:t>
            </w:r>
            <w:r w:rsidRPr="003D3151">
              <w:rPr>
                <w:b/>
                <w:bCs/>
                <w:i/>
                <w:iCs/>
              </w:rPr>
              <w:t>tas-setgħa</w:t>
            </w:r>
            <w:r w:rsidRPr="003D3151">
              <w:t xml:space="preserve"> msemmija fl-Artikolu 13 tista’ tiġi rrevokata fi kwalunkwe </w:t>
            </w:r>
            <w:r w:rsidRPr="003D3151">
              <w:rPr>
                <w:b/>
                <w:bCs/>
                <w:i/>
                <w:iCs/>
              </w:rPr>
              <w:t>ħin</w:t>
            </w:r>
            <w:r w:rsidRPr="003D3151">
              <w:t xml:space="preserve"> mill-Kunsill. Deċiżjoni li tirrevoka għandha ttemm id-delega </w:t>
            </w:r>
            <w:r w:rsidRPr="003D3151">
              <w:rPr>
                <w:b/>
                <w:bCs/>
                <w:i/>
                <w:iCs/>
              </w:rPr>
              <w:t>tas-setgħa</w:t>
            </w:r>
            <w:r w:rsidRPr="003D3151">
              <w:t xml:space="preserve"> speċifikata f’dik id-deċiżjoni. </w:t>
            </w:r>
            <w:r w:rsidRPr="003D3151">
              <w:rPr>
                <w:b/>
                <w:bCs/>
                <w:i/>
                <w:iCs/>
              </w:rPr>
              <w:t xml:space="preserve">Din </w:t>
            </w:r>
            <w:r w:rsidRPr="003D3151">
              <w:t xml:space="preserve">għandha ssir effettiva </w:t>
            </w:r>
            <w:r w:rsidRPr="003D3151">
              <w:rPr>
                <w:b/>
                <w:bCs/>
                <w:i/>
                <w:iCs/>
              </w:rPr>
              <w:t>l-għada tal-pubblikazzjoni</w:t>
            </w:r>
            <w:r w:rsidRPr="003D3151">
              <w:t xml:space="preserve"> tad-deċiżjoni f’Il-Ġurnal Uffiċjali tal-Unjoni Ewropea jew f’data aktar tard speċifikata fih. Ma </w:t>
            </w:r>
            <w:r w:rsidRPr="003D3151">
              <w:rPr>
                <w:b/>
                <w:bCs/>
                <w:i/>
                <w:iCs/>
              </w:rPr>
              <w:t>għandhiex</w:t>
            </w:r>
            <w:r w:rsidRPr="003D3151">
              <w:t xml:space="preserve"> taffettwa l-validità </w:t>
            </w:r>
            <w:r w:rsidRPr="003D3151">
              <w:rPr>
                <w:b/>
                <w:bCs/>
                <w:i/>
                <w:iCs/>
              </w:rPr>
              <w:t>tal-att</w:t>
            </w:r>
            <w:r w:rsidRPr="003D3151">
              <w:t xml:space="preserve"> delegat </w:t>
            </w:r>
            <w:r w:rsidRPr="003D3151">
              <w:rPr>
                <w:b/>
                <w:bCs/>
                <w:i/>
                <w:iCs/>
              </w:rPr>
              <w:t>jekk ikun</w:t>
            </w:r>
            <w:r w:rsidRPr="003D3151">
              <w:t xml:space="preserve"> diġà fis-seħħ.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2.</w:t>
            </w:r>
            <w:r w:rsidRPr="003D3151">
              <w:tab/>
              <w:t xml:space="preserve">Id-delegazzjoni </w:t>
            </w:r>
            <w:r w:rsidRPr="003D3151">
              <w:rPr>
                <w:b/>
                <w:i/>
              </w:rPr>
              <w:t>ta’ setgħa</w:t>
            </w:r>
            <w:r w:rsidRPr="003D3151">
              <w:t xml:space="preserve"> msemmija </w:t>
            </w:r>
            <w:r w:rsidRPr="003D3151">
              <w:rPr>
                <w:b/>
                <w:i/>
              </w:rPr>
              <w:t xml:space="preserve">fl-Artikolu 3, it-tieni paragrafu, </w:t>
            </w:r>
            <w:r w:rsidRPr="003D3151">
              <w:t xml:space="preserve">fl-Artikolu 13 </w:t>
            </w:r>
            <w:r w:rsidRPr="003D3151">
              <w:rPr>
                <w:b/>
                <w:i/>
              </w:rPr>
              <w:t xml:space="preserve">u fl-Artikolu 14(2), (2a) u (2b) </w:t>
            </w:r>
            <w:r w:rsidRPr="003D3151">
              <w:t xml:space="preserve">tista’ tiġi revokata fi kwalunkwe </w:t>
            </w:r>
            <w:r w:rsidRPr="003D3151">
              <w:rPr>
                <w:b/>
                <w:bCs/>
                <w:i/>
                <w:iCs/>
              </w:rPr>
              <w:t>mument</w:t>
            </w:r>
            <w:r w:rsidRPr="003D3151">
              <w:t xml:space="preserve"> mill-Kunsill. Deċiżjoni li tirrevoka għandha ttemm id-delega </w:t>
            </w:r>
            <w:r w:rsidRPr="003D3151">
              <w:rPr>
                <w:b/>
                <w:bCs/>
                <w:i/>
                <w:iCs/>
              </w:rPr>
              <w:t>ta’ setgħa</w:t>
            </w:r>
            <w:r w:rsidRPr="003D3151">
              <w:t xml:space="preserve"> speċifikata f’dik id-deċiżjoni. Għandha ssir effettiva </w:t>
            </w:r>
            <w:r w:rsidRPr="003D3151">
              <w:rPr>
                <w:b/>
                <w:bCs/>
                <w:i/>
                <w:iCs/>
              </w:rPr>
              <w:t>fil-jum wara l-pubblikazzjoni</w:t>
            </w:r>
            <w:r w:rsidRPr="003D3151">
              <w:t xml:space="preserve"> tad-deċiżjoni f’</w:t>
            </w:r>
            <w:r w:rsidRPr="003D3151">
              <w:rPr>
                <w:i/>
                <w:iCs/>
              </w:rPr>
              <w:t>Il-Ġurnal Uffiċjali tal-Unjoni Ewropea</w:t>
            </w:r>
            <w:r w:rsidRPr="003D3151">
              <w:t xml:space="preserve"> jew f’data aktar tard speċifikata fih. Ma </w:t>
            </w:r>
            <w:r w:rsidRPr="003D3151">
              <w:rPr>
                <w:b/>
                <w:bCs/>
                <w:i/>
                <w:iCs/>
              </w:rPr>
              <w:t>għandha</w:t>
            </w:r>
            <w:r w:rsidRPr="003D3151">
              <w:t xml:space="preserve"> taffettwa l-validità </w:t>
            </w:r>
            <w:r w:rsidRPr="003D3151">
              <w:rPr>
                <w:b/>
                <w:bCs/>
                <w:i/>
                <w:iCs/>
              </w:rPr>
              <w:t>tal-ebda att</w:t>
            </w:r>
            <w:r w:rsidRPr="003D3151">
              <w:t xml:space="preserve"> delegat </w:t>
            </w:r>
            <w:r w:rsidRPr="003D3151">
              <w:rPr>
                <w:b/>
                <w:bCs/>
                <w:i/>
                <w:iCs/>
              </w:rPr>
              <w:t>li jkun</w:t>
            </w:r>
            <w:r w:rsidRPr="003D3151">
              <w:t xml:space="preserve"> diġà fis-seħħ.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45</w:t>
      </w:r>
    </w:p>
    <w:p w:rsidR="00D2025C" w:rsidRPr="003D3151" w:rsidRDefault="00D2025C" w:rsidP="00D2025C">
      <w:pPr>
        <w:pStyle w:val="NormalBold12b"/>
      </w:pPr>
      <w:r w:rsidRPr="003D3151">
        <w:t>Proposta għal direttiva</w:t>
      </w:r>
    </w:p>
    <w:p w:rsidR="00D2025C" w:rsidRPr="003D3151" w:rsidRDefault="00D2025C" w:rsidP="00D2025C">
      <w:pPr>
        <w:pStyle w:val="NormalBold"/>
      </w:pPr>
      <w:r w:rsidRPr="003D3151">
        <w:lastRenderedPageBreak/>
        <w:t>Artikolu 18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3.</w:t>
            </w:r>
            <w:r w:rsidRPr="003D3151">
              <w:tab/>
              <w:t xml:space="preserve">Qabel ma tadotta l-att delegat, il-Kummissjoni għandha tikkonsulta </w:t>
            </w:r>
            <w:r w:rsidRPr="003D3151">
              <w:rPr>
                <w:b/>
                <w:bCs/>
                <w:i/>
                <w:iCs/>
              </w:rPr>
              <w:t>mal-esperti magħżula ta’</w:t>
            </w:r>
            <w:r w:rsidRPr="003D3151">
              <w:t xml:space="preserve"> kull Stat Membru </w:t>
            </w:r>
            <w:r w:rsidRPr="003D3151">
              <w:rPr>
                <w:b/>
                <w:bCs/>
                <w:i/>
                <w:iCs/>
              </w:rPr>
              <w:t>f’konformità mal-prinċipji stabbiliti</w:t>
            </w:r>
            <w:r w:rsidRPr="003D3151">
              <w:t xml:space="preserve"> fil-Ftehim Interistituzzjonali</w:t>
            </w:r>
            <w:r w:rsidRPr="003D3151">
              <w:rPr>
                <w:b/>
                <w:bCs/>
                <w:i/>
                <w:iCs/>
              </w:rPr>
              <w:t xml:space="preserve"> dwar it-tfassil aħjar tal-liġijiet</w:t>
            </w:r>
            <w:r w:rsidRPr="003D3151">
              <w:t xml:space="preserve"> tat-13 ta’ April 2016.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>3.</w:t>
            </w:r>
            <w:r w:rsidRPr="003D3151">
              <w:tab/>
              <w:t xml:space="preserve">Qabel ma tadotta l-att delegat, il-Kummissjoni għandha tikkonsulta </w:t>
            </w:r>
            <w:r w:rsidRPr="003D3151">
              <w:rPr>
                <w:b/>
                <w:bCs/>
                <w:i/>
                <w:iCs/>
              </w:rPr>
              <w:t>esperti nnominati minn</w:t>
            </w:r>
            <w:r w:rsidRPr="003D3151">
              <w:t xml:space="preserve"> kull Stat Membru </w:t>
            </w:r>
            <w:r w:rsidRPr="003D3151">
              <w:rPr>
                <w:b/>
                <w:bCs/>
                <w:i/>
                <w:iCs/>
              </w:rPr>
              <w:t>skont il-prinċipji stipulati</w:t>
            </w:r>
            <w:r w:rsidRPr="003D3151">
              <w:t xml:space="preserve"> fil-Ftehim Interistituzzjonali tat-13 ta’ April 2016</w:t>
            </w:r>
            <w:r w:rsidRPr="003D3151">
              <w:rPr>
                <w:b/>
                <w:bCs/>
                <w:i/>
                <w:iCs/>
              </w:rPr>
              <w:t xml:space="preserve"> dwar it-Tfassil Aħjar tal-Liġijiet</w:t>
            </w:r>
            <w:r w:rsidRPr="003D3151">
              <w:t xml:space="preserve">. </w:t>
            </w:r>
            <w:r w:rsidRPr="003D3151">
              <w:rPr>
                <w:b/>
                <w:i/>
              </w:rPr>
              <w:t>Il-Forum Ewropew dwar il-Prezzijiet ta’ Trasferiment imsemmi fl-Artikolu 14a għandu jservi bħala l-korp espert rilevanti.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46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19 –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Il-Parlament Ewropew jista’ jattendi bħala osservatur fin-negozjati internazzjonali dwar il-Linji Gwida tal-Ipprezzar ta’ Trasferiment f’fora internazzjonali rilevanti.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47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19a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Artikolu 19a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  <w:rPr>
                <w:b/>
                <w:i/>
                <w:szCs w:val="24"/>
              </w:rPr>
            </w:pPr>
            <w:r w:rsidRPr="003D3151">
              <w:rPr>
                <w:b/>
                <w:i/>
              </w:rPr>
              <w:t>Rieżami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rPr>
                <w:b/>
                <w:i/>
              </w:rPr>
              <w:t>Il-Kummissjoni għandha tirrieżamina l-applikazzjoni ta’ din id-Direttiva għall-gruppi MNE li jaqgħu taħt il-kamp ta’ applikazzjoni tal-proposta għal Direttiva tal-Kunsill dwar in-Negozju fl-Ewropa: Qafas għat-Tassazzjoni fuq l-Introjtu (BEFIT), ladarba din id-Direttiva tidħol fis-seħħ.</w:t>
            </w:r>
          </w:p>
        </w:tc>
      </w:tr>
    </w:tbl>
    <w:p w:rsidR="00D2025C" w:rsidRPr="003D3151" w:rsidRDefault="00D2025C" w:rsidP="00D2025C">
      <w:pPr>
        <w:pStyle w:val="AmNumberTabs"/>
      </w:pPr>
      <w:r w:rsidRPr="003D3151">
        <w:t>Emenda</w:t>
      </w:r>
      <w:r w:rsidRPr="003D3151">
        <w:tab/>
      </w:r>
      <w:r w:rsidRPr="003D3151">
        <w:tab/>
        <w:t>48</w:t>
      </w:r>
    </w:p>
    <w:p w:rsidR="00D2025C" w:rsidRPr="003D3151" w:rsidRDefault="00D2025C" w:rsidP="00D2025C">
      <w:pPr>
        <w:pStyle w:val="NormalBold12b"/>
      </w:pPr>
      <w:r w:rsidRPr="003D3151">
        <w:lastRenderedPageBreak/>
        <w:t>Proposta għal direttiva</w:t>
      </w:r>
    </w:p>
    <w:p w:rsidR="00D2025C" w:rsidRPr="003D3151" w:rsidRDefault="00D2025C" w:rsidP="00D2025C">
      <w:pPr>
        <w:pStyle w:val="NormalBold"/>
      </w:pPr>
      <w:r w:rsidRPr="003D3151">
        <w:t>Artikolu 19b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2025C" w:rsidRPr="003D3151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/>
        </w:tc>
      </w:tr>
      <w:tr w:rsidR="00D2025C" w:rsidRPr="003D3151" w:rsidTr="009E5E4D">
        <w:trPr>
          <w:trHeight w:val="240"/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</w:pPr>
            <w:r w:rsidRPr="003D3151">
              <w:rPr>
                <w:b/>
                <w:i/>
              </w:rPr>
              <w:t>Artikolu 19b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jc w:val="center"/>
            </w:pPr>
            <w:r w:rsidRPr="003D3151">
              <w:rPr>
                <w:b/>
                <w:i/>
              </w:rPr>
              <w:t>Emendi għad-Direttiva 2011/16/</w:t>
            </w:r>
            <w:r w:rsidR="007E4B13" w:rsidRPr="003D3151">
              <w:rPr>
                <w:b/>
                <w:i/>
              </w:rPr>
              <w:t>UE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Fid-Direttiva 2011/16/</w:t>
            </w:r>
            <w:r w:rsidR="007E4B13" w:rsidRPr="003D3151">
              <w:rPr>
                <w:b/>
                <w:i/>
              </w:rPr>
              <w:t>UE</w:t>
            </w:r>
            <w:bookmarkStart w:id="8" w:name="_GoBack"/>
            <w:bookmarkEnd w:id="8"/>
            <w:r w:rsidRPr="003D3151">
              <w:rPr>
                <w:b/>
                <w:i/>
              </w:rPr>
              <w:t>, il-punt (i) tal-Artikolu 8a(6) huwa sostitwit b’dan li ġej: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>“(i)</w:t>
            </w:r>
            <w:r w:rsidRPr="003D3151">
              <w:rPr>
                <w:b/>
                <w:i/>
              </w:rPr>
              <w:tab/>
              <w:t>l-identifikazzjoni tal-metodu użat għad-determinazzjoni tal-ipprezzar ta’ trasferiment jew metodi u tekniki oħra ta’ valwazzjoni biex jistmaw il-prezz ta’ distakkament kif definit fl-Artikolu 9 taċd-Direttiva [2024/XX/XX dwar l-ipprezzar ta’ trasferiment], u r-raġunament għall-applikazzjoni ta’ tali metodu, jew il-prezz tat-trasferiment innifsu fil-każ ta’ arranġament preliminari ta’ prezzijiet ta’ trasferiment;</w:t>
            </w:r>
          </w:p>
        </w:tc>
      </w:tr>
    </w:tbl>
    <w:p w:rsidR="00D2025C" w:rsidRPr="003D3151" w:rsidRDefault="00D2025C" w:rsidP="00D2025C"/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49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>Artikolu 20 – paragrafu 1 – subparagrafu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rPr>
                <w:b/>
                <w:i/>
              </w:rPr>
              <w:t xml:space="preserve">Sa mhux aktar tard minn [il-31 ta’ Diċembru 2025], </w:t>
            </w:r>
            <w:r w:rsidRPr="003D3151">
              <w:t>l-Istati Membri għandhom jadottaw u jippubblikaw il-liġijiet, ir-regolamenti u d-dispożizzjonijiet amministrattivi meħtieġa sabiex jikkonformaw ma’ din id-Direttiva. Għandhom jikkomunikaw minnufih it-test ta’ dawk id-dispożizzjonijiet lill-Kummissjoni.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Normal6a"/>
              <w:rPr>
                <w:szCs w:val="24"/>
              </w:rPr>
            </w:pPr>
            <w:r w:rsidRPr="003D3151">
              <w:t>L-Istati Membri għandhom jadottaw u jippubblikaw</w:t>
            </w:r>
            <w:r w:rsidRPr="003D3151">
              <w:rPr>
                <w:b/>
                <w:i/>
              </w:rPr>
              <w:t>, sa mhux aktar tard mi</w:t>
            </w:r>
            <w:r w:rsidR="00AD0777" w:rsidRPr="003D3151">
              <w:rPr>
                <w:b/>
                <w:i/>
              </w:rPr>
              <w:t>l</w:t>
            </w:r>
            <w:r w:rsidRPr="003D3151">
              <w:rPr>
                <w:b/>
                <w:i/>
              </w:rPr>
              <w:t>l-31 ta’ Diċembru 2024</w:t>
            </w:r>
            <w:r w:rsidRPr="003D3151">
              <w:t>, il-liġijiet, ir-regolamenti u d-dispożizzjonijiet amministrattivi meħtieġa sabiex jikkonformaw ma’ din id-Direttiva. Għandhom jikkomunikaw minnufih it-test ta’ dawk id-dispożizzjonijiet lill-Kummissjoni.</w:t>
            </w:r>
          </w:p>
        </w:tc>
      </w:tr>
    </w:tbl>
    <w:p w:rsidR="00D2025C" w:rsidRPr="003D3151" w:rsidRDefault="00D2025C" w:rsidP="00D2025C"/>
    <w:p w:rsidR="00D2025C" w:rsidRPr="003D3151" w:rsidRDefault="00D2025C" w:rsidP="00D2025C">
      <w:pPr>
        <w:pStyle w:val="AmNumberTabs"/>
        <w:keepNext/>
      </w:pPr>
      <w:r w:rsidRPr="003D3151">
        <w:t>Emenda</w:t>
      </w:r>
      <w:r w:rsidRPr="003D3151">
        <w:tab/>
      </w:r>
      <w:r w:rsidRPr="003D3151">
        <w:tab/>
        <w:t>50</w:t>
      </w:r>
    </w:p>
    <w:p w:rsidR="00D2025C" w:rsidRPr="003D3151" w:rsidRDefault="00D2025C" w:rsidP="00D2025C">
      <w:pPr>
        <w:pStyle w:val="NormalBold12b"/>
        <w:keepNext/>
      </w:pPr>
      <w:r w:rsidRPr="003D3151">
        <w:t>Proposta għal direttiva</w:t>
      </w:r>
    </w:p>
    <w:p w:rsidR="00D2025C" w:rsidRPr="003D3151" w:rsidRDefault="00D2025C" w:rsidP="00D2025C">
      <w:pPr>
        <w:pStyle w:val="NormalBold"/>
        <w:keepNext/>
      </w:pPr>
      <w:r w:rsidRPr="003D3151">
        <w:t xml:space="preserve"> Artikolu 20 – paragrafu 1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2025C" w:rsidRPr="003D3151" w:rsidTr="009E5E4D">
        <w:trPr>
          <w:jc w:val="center"/>
        </w:trPr>
        <w:tc>
          <w:tcPr>
            <w:tcW w:w="9752" w:type="dxa"/>
            <w:gridSpan w:val="2"/>
          </w:tcPr>
          <w:p w:rsidR="00D2025C" w:rsidRPr="003D3151" w:rsidRDefault="00D2025C" w:rsidP="009E5E4D">
            <w:pPr>
              <w:keepNext/>
            </w:pPr>
          </w:p>
        </w:tc>
      </w:tr>
      <w:tr w:rsidR="00D2025C" w:rsidRPr="003D3151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Test propost mill-Kummissjoni</w:t>
            </w:r>
          </w:p>
        </w:tc>
        <w:tc>
          <w:tcPr>
            <w:tcW w:w="4876" w:type="dxa"/>
          </w:tcPr>
          <w:p w:rsidR="00D2025C" w:rsidRPr="003D3151" w:rsidRDefault="00D2025C" w:rsidP="009E5E4D">
            <w:pPr>
              <w:pStyle w:val="AmColumnHeading"/>
              <w:keepNext/>
            </w:pPr>
            <w:r w:rsidRPr="003D3151">
              <w:t>Emenda</w:t>
            </w:r>
          </w:p>
        </w:tc>
      </w:tr>
      <w:tr w:rsidR="00D2025C" w:rsidRPr="00F10682" w:rsidTr="009E5E4D">
        <w:trPr>
          <w:jc w:val="center"/>
        </w:trPr>
        <w:tc>
          <w:tcPr>
            <w:tcW w:w="4876" w:type="dxa"/>
          </w:tcPr>
          <w:p w:rsidR="00D2025C" w:rsidRPr="003D3151" w:rsidRDefault="00D2025C" w:rsidP="009E5E4D">
            <w:pPr>
              <w:pStyle w:val="Normal6a"/>
            </w:pPr>
            <w:r w:rsidRPr="003D3151">
              <w:t xml:space="preserve">Huma għandhom japplikaw </w:t>
            </w:r>
            <w:r w:rsidRPr="003D3151">
              <w:rPr>
                <w:b/>
                <w:bCs/>
                <w:i/>
                <w:iCs/>
              </w:rPr>
              <w:t>dawk</w:t>
            </w:r>
            <w:r w:rsidRPr="003D3151">
              <w:t xml:space="preserve"> id-</w:t>
            </w:r>
            <w:r w:rsidRPr="003D3151">
              <w:lastRenderedPageBreak/>
              <w:t>dispożizzjonijiet mill-[1 ta’ Jannar </w:t>
            </w:r>
            <w:r w:rsidRPr="003D3151">
              <w:rPr>
                <w:b/>
                <w:bCs/>
                <w:i/>
                <w:iCs/>
              </w:rPr>
              <w:t>2026</w:t>
            </w:r>
            <w:r w:rsidRPr="003D3151">
              <w:t>].</w:t>
            </w:r>
          </w:p>
        </w:tc>
        <w:tc>
          <w:tcPr>
            <w:tcW w:w="4876" w:type="dxa"/>
          </w:tcPr>
          <w:p w:rsidR="00D2025C" w:rsidRPr="00F10682" w:rsidRDefault="00D2025C" w:rsidP="00AD0777">
            <w:pPr>
              <w:pStyle w:val="Normal6a"/>
              <w:rPr>
                <w:szCs w:val="24"/>
              </w:rPr>
            </w:pPr>
            <w:r w:rsidRPr="003D3151">
              <w:lastRenderedPageBreak/>
              <w:t xml:space="preserve">Huma għandhom japplikaw </w:t>
            </w:r>
            <w:r w:rsidRPr="003D3151">
              <w:rPr>
                <w:b/>
                <w:bCs/>
                <w:i/>
                <w:iCs/>
              </w:rPr>
              <w:t>dawn</w:t>
            </w:r>
            <w:r w:rsidRPr="003D3151">
              <w:t xml:space="preserve"> id-</w:t>
            </w:r>
            <w:r w:rsidRPr="003D3151">
              <w:lastRenderedPageBreak/>
              <w:t>dispożizzjonijiet mill-1 ta’ Jannar </w:t>
            </w:r>
            <w:r w:rsidRPr="003D3151">
              <w:rPr>
                <w:b/>
                <w:i/>
              </w:rPr>
              <w:t>2025</w:t>
            </w:r>
            <w:r w:rsidRPr="003D3151">
              <w:t>.</w:t>
            </w:r>
          </w:p>
        </w:tc>
      </w:tr>
    </w:tbl>
    <w:p w:rsidR="00E365E1" w:rsidRPr="00F10682" w:rsidRDefault="00E365E1" w:rsidP="00D44035">
      <w:bookmarkStart w:id="9" w:name="TextBodyEnd"/>
      <w:bookmarkEnd w:id="9"/>
    </w:p>
    <w:sectPr w:rsidR="00E365E1" w:rsidRPr="00F10682" w:rsidSect="00F106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035" w:rsidRPr="00F10682" w:rsidRDefault="00D44035">
      <w:r w:rsidRPr="00F10682">
        <w:separator/>
      </w:r>
    </w:p>
  </w:endnote>
  <w:endnote w:type="continuationSeparator" w:id="0">
    <w:p w:rsidR="00D44035" w:rsidRPr="00F10682" w:rsidRDefault="00D44035">
      <w:r w:rsidRPr="00F106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035" w:rsidRPr="00F10682" w:rsidRDefault="00D44035">
      <w:r w:rsidRPr="00F10682">
        <w:separator/>
      </w:r>
    </w:p>
  </w:footnote>
  <w:footnote w:type="continuationSeparator" w:id="0">
    <w:p w:rsidR="00D44035" w:rsidRPr="00F10682" w:rsidRDefault="00D44035">
      <w:r w:rsidRPr="00F106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6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6/2024"/>
    <w:docVar w:name="dvlangue" w:val="MT"/>
    <w:docVar w:name="dvnumam" w:val="50"/>
    <w:docVar w:name="dvpe" w:val="756.000"/>
    <w:docVar w:name="dvrapporteur" w:val="Rapporteur: "/>
    <w:docVar w:name="dvstar" w:val="*"/>
    <w:docVar w:name="dvtitre" w:val="Riżoluzzjoni leġiżlattiva tal-Parlament Ewropew tal-10 ta' April 2024 dwar il-proposta għal direttiva tal-Kunsill dwar l-ipprezzar ta’ trasferiment(COM(2023)0529 – C9-0339/2023 – 2023/0322(CNS))"/>
  </w:docVars>
  <w:rsids>
    <w:rsidRoot w:val="00D440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315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40D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B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777"/>
    <w:rsid w:val="00AE0928"/>
    <w:rsid w:val="00AF3B82"/>
    <w:rsid w:val="00B12E95"/>
    <w:rsid w:val="00B22573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25C"/>
    <w:rsid w:val="00D4403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682"/>
    <w:rsid w:val="00F149E9"/>
    <w:rsid w:val="00F5134D"/>
    <w:rsid w:val="00F74202"/>
    <w:rsid w:val="00F87713"/>
    <w:rsid w:val="00FA127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E33BF-1DCF-4D82-A0C0-418EDD79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025C"/>
    <w:pPr>
      <w:spacing w:before="480" w:after="240"/>
    </w:pPr>
  </w:style>
  <w:style w:type="paragraph" w:customStyle="1" w:styleId="Normal6a">
    <w:name w:val="Normal6a"/>
    <w:basedOn w:val="Normal"/>
    <w:rsid w:val="00D2025C"/>
    <w:pPr>
      <w:spacing w:after="120"/>
    </w:pPr>
  </w:style>
  <w:style w:type="paragraph" w:customStyle="1" w:styleId="NormalBold">
    <w:name w:val="NormalBold"/>
    <w:basedOn w:val="Normal"/>
    <w:rsid w:val="00D2025C"/>
    <w:rPr>
      <w:b/>
    </w:rPr>
  </w:style>
  <w:style w:type="paragraph" w:customStyle="1" w:styleId="NormalHanging12a">
    <w:name w:val="NormalHanging12a"/>
    <w:basedOn w:val="Normal"/>
    <w:rsid w:val="00D2025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2025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202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2025C"/>
    <w:pPr>
      <w:spacing w:before="240"/>
    </w:pPr>
    <w:rPr>
      <w:b/>
    </w:rPr>
  </w:style>
  <w:style w:type="character" w:styleId="Hyperlink">
    <w:name w:val="Hyperlink"/>
    <w:uiPriority w:val="99"/>
    <w:rsid w:val="00D2025C"/>
    <w:rPr>
      <w:color w:val="0000FF"/>
      <w:u w:val="single"/>
    </w:rPr>
  </w:style>
  <w:style w:type="character" w:customStyle="1" w:styleId="AmNumberTabsChar">
    <w:name w:val="AmNumberTabs Char"/>
    <w:basedOn w:val="DefaultParagraphFont"/>
    <w:link w:val="AmNumberTabs"/>
    <w:rsid w:val="00D2025C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D2025C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AD0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077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legal-content/EN/TXT/?uri=uriserv:OJ.C_.2006.176.01.0001.01.ENG&amp;toc=OJ:C:2006:176:FUL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TXT/?uri=uriserv:OJ.C_.2006.176.01.0001.01.ENG&amp;toc=OJ:C:2006:176:FUL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A03F5-523D-4EEC-A9A8-BA32475F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5699</Words>
  <Characters>42835</Characters>
  <Application>Microsoft Office Word</Application>
  <DocSecurity>0</DocSecurity>
  <Lines>356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2</cp:revision>
  <cp:lastPrinted>2004-11-19T15:42:00Z</cp:lastPrinted>
  <dcterms:created xsi:type="dcterms:W3CDTF">2025-01-15T09:43:00Z</dcterms:created>
  <dcterms:modified xsi:type="dcterms:W3CDTF">2025-01-15T09:43:00Z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P9_TA(2024)0219_</vt:lpwstr>
  </property>
  <property fmtid="{D5CDD505-2E9C-101B-9397-08002B2CF9AE}" pid="4" name="&lt;Type&gt;">
    <vt:lpwstr>RR</vt:lpwstr>
  </property>
</Properties>
</file>