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20D5" w:rsidTr="0010095E">
        <w:trPr>
          <w:trHeight w:hRule="exact" w:val="1418"/>
        </w:trPr>
        <w:tc>
          <w:tcPr>
            <w:tcW w:w="6804" w:type="dxa"/>
            <w:shd w:val="clear" w:color="auto" w:fill="auto"/>
            <w:vAlign w:val="center"/>
          </w:tcPr>
          <w:p w:rsidR="00751A4A" w:rsidRPr="008320D5" w:rsidRDefault="00AC4F92" w:rsidP="0010095E">
            <w:pPr>
              <w:pStyle w:val="EPName"/>
            </w:pPr>
            <w:bookmarkStart w:id="0" w:name="_GoBack"/>
            <w:bookmarkEnd w:id="0"/>
            <w:r w:rsidRPr="008320D5">
              <w:t>Európsky parlament</w:t>
            </w:r>
          </w:p>
          <w:p w:rsidR="00751A4A" w:rsidRPr="008320D5" w:rsidRDefault="00817416" w:rsidP="00756632">
            <w:pPr>
              <w:pStyle w:val="EPTerm"/>
              <w:rPr>
                <w:rStyle w:val="HideTWBExt"/>
                <w:noProof w:val="0"/>
                <w:vanish w:val="0"/>
                <w:color w:val="auto"/>
              </w:rPr>
            </w:pPr>
            <w:r w:rsidRPr="008320D5">
              <w:t>2019-2024</w:t>
            </w:r>
          </w:p>
        </w:tc>
        <w:tc>
          <w:tcPr>
            <w:tcW w:w="2268" w:type="dxa"/>
            <w:shd w:val="clear" w:color="auto" w:fill="auto"/>
          </w:tcPr>
          <w:p w:rsidR="00751A4A" w:rsidRPr="008320D5" w:rsidRDefault="00187494" w:rsidP="0010095E">
            <w:pPr>
              <w:pStyle w:val="EPLogo"/>
            </w:pPr>
            <w:r w:rsidRPr="008320D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20D5" w:rsidRDefault="00D058B8" w:rsidP="004C5D52">
      <w:pPr>
        <w:pStyle w:val="LineTop"/>
      </w:pPr>
    </w:p>
    <w:p w:rsidR="00680577" w:rsidRPr="008320D5" w:rsidRDefault="00AC4F92" w:rsidP="00680577">
      <w:pPr>
        <w:pStyle w:val="EPBodyTA1"/>
      </w:pPr>
      <w:r w:rsidRPr="008320D5">
        <w:t>PRIJATÉ TEXTY</w:t>
      </w:r>
    </w:p>
    <w:p w:rsidR="00D058B8" w:rsidRPr="008320D5" w:rsidRDefault="00D058B8" w:rsidP="00D058B8">
      <w:pPr>
        <w:pStyle w:val="LineBottom"/>
      </w:pPr>
    </w:p>
    <w:p w:rsidR="00AC4F92" w:rsidRPr="008320D5" w:rsidRDefault="00AC4F92" w:rsidP="00AC4F92">
      <w:pPr>
        <w:pStyle w:val="ATHeading1"/>
      </w:pPr>
      <w:bookmarkStart w:id="1" w:name="TANumber"/>
      <w:r w:rsidRPr="008320D5">
        <w:t>P9_TA(2024)0</w:t>
      </w:r>
      <w:r w:rsidR="008320D5" w:rsidRPr="008320D5">
        <w:t>219</w:t>
      </w:r>
      <w:bookmarkEnd w:id="1"/>
    </w:p>
    <w:p w:rsidR="00AC4F92" w:rsidRPr="008320D5" w:rsidRDefault="00AC4F92" w:rsidP="00AC4F92">
      <w:pPr>
        <w:pStyle w:val="ATHeading2"/>
      </w:pPr>
      <w:bookmarkStart w:id="2" w:name="title"/>
      <w:r w:rsidRPr="008320D5">
        <w:t>Transferové oceňovanie</w:t>
      </w:r>
      <w:bookmarkEnd w:id="2"/>
    </w:p>
    <w:p w:rsidR="00AC4F92" w:rsidRPr="008320D5" w:rsidRDefault="00AC4F92" w:rsidP="00AC4F92">
      <w:pPr>
        <w:rPr>
          <w:i/>
          <w:vanish/>
        </w:rPr>
      </w:pPr>
      <w:r w:rsidRPr="008320D5">
        <w:rPr>
          <w:i/>
        </w:rPr>
        <w:fldChar w:fldCharType="begin"/>
      </w:r>
      <w:r w:rsidRPr="008320D5">
        <w:rPr>
          <w:i/>
        </w:rPr>
        <w:instrText xml:space="preserve"> TC"(</w:instrText>
      </w:r>
      <w:bookmarkStart w:id="3" w:name="DocNumber"/>
      <w:r w:rsidRPr="008320D5">
        <w:rPr>
          <w:i/>
        </w:rPr>
        <w:instrText>A9-0066/2024</w:instrText>
      </w:r>
      <w:bookmarkEnd w:id="3"/>
      <w:r w:rsidRPr="008320D5">
        <w:rPr>
          <w:i/>
        </w:rPr>
        <w:instrText xml:space="preserve"> - Spravodajkyňa: Kira Marie Peter</w:instrText>
      </w:r>
      <w:r w:rsidRPr="008320D5">
        <w:rPr>
          <w:i/>
        </w:rPr>
        <w:noBreakHyphen/>
        <w:instrText xml:space="preserve">Hansen)"\l3 \n&gt; \* MERGEFORMAT </w:instrText>
      </w:r>
      <w:r w:rsidRPr="008320D5">
        <w:rPr>
          <w:i/>
        </w:rPr>
        <w:fldChar w:fldCharType="end"/>
      </w:r>
    </w:p>
    <w:p w:rsidR="00AC4F92" w:rsidRPr="008320D5" w:rsidRDefault="00AC4F92" w:rsidP="00AC4F92">
      <w:pPr>
        <w:rPr>
          <w:vanish/>
        </w:rPr>
      </w:pPr>
      <w:bookmarkStart w:id="4" w:name="Commission"/>
      <w:r w:rsidRPr="008320D5">
        <w:rPr>
          <w:vanish/>
        </w:rPr>
        <w:t>Výbor pre hospodárske a menové veci</w:t>
      </w:r>
      <w:bookmarkEnd w:id="4"/>
    </w:p>
    <w:p w:rsidR="00AC4F92" w:rsidRPr="008320D5" w:rsidRDefault="00AC4F92" w:rsidP="00AC4F92">
      <w:pPr>
        <w:rPr>
          <w:vanish/>
        </w:rPr>
      </w:pPr>
      <w:bookmarkStart w:id="5" w:name="PE"/>
      <w:r w:rsidRPr="008320D5">
        <w:rPr>
          <w:vanish/>
        </w:rPr>
        <w:t>PE756.000</w:t>
      </w:r>
      <w:bookmarkEnd w:id="5"/>
    </w:p>
    <w:p w:rsidR="00AC4F92" w:rsidRPr="008320D5" w:rsidRDefault="00AC4F92" w:rsidP="00AC4F92">
      <w:pPr>
        <w:pStyle w:val="ATHeading3"/>
      </w:pPr>
      <w:bookmarkStart w:id="6" w:name="Sujet"/>
      <w:r w:rsidRPr="008320D5">
        <w:t>Legislatívne uznesenie Európskeho parlamentu z</w:t>
      </w:r>
      <w:r w:rsidR="00657F34" w:rsidRPr="008320D5">
        <w:t> 10</w:t>
      </w:r>
      <w:r w:rsidRPr="008320D5">
        <w:t>. apríla 2024 o návrhu smernice Rady o transferovom oceňovaní</w:t>
      </w:r>
      <w:bookmarkEnd w:id="6"/>
      <w:r w:rsidRPr="008320D5">
        <w:t xml:space="preserve"> </w:t>
      </w:r>
      <w:bookmarkStart w:id="7" w:name="References"/>
      <w:r w:rsidRPr="008320D5">
        <w:t>(COM(2023)0529 – C9-0339/2023 – 2023/0322(CNS))</w:t>
      </w:r>
      <w:bookmarkEnd w:id="7"/>
    </w:p>
    <w:p w:rsidR="00AC4F92" w:rsidRPr="008320D5" w:rsidRDefault="00AC4F92" w:rsidP="00AC4F92"/>
    <w:p w:rsidR="002748E5" w:rsidRPr="008320D5" w:rsidRDefault="002748E5" w:rsidP="002748E5">
      <w:pPr>
        <w:pStyle w:val="NormalBold"/>
      </w:pPr>
      <w:bookmarkStart w:id="8" w:name="TextBodyBegin"/>
      <w:bookmarkEnd w:id="8"/>
      <w:r w:rsidRPr="008320D5">
        <w:t>(Mimoriadny legislatívny postup – konzultácia)</w:t>
      </w:r>
    </w:p>
    <w:p w:rsidR="002748E5" w:rsidRPr="008320D5" w:rsidRDefault="002748E5" w:rsidP="002748E5">
      <w:pPr>
        <w:pStyle w:val="EPComma"/>
      </w:pPr>
      <w:r w:rsidRPr="008320D5">
        <w:rPr>
          <w:i/>
          <w:iCs/>
        </w:rPr>
        <w:t>Európsky parlament</w:t>
      </w:r>
      <w:r w:rsidRPr="008320D5">
        <w:t>,</w:t>
      </w:r>
    </w:p>
    <w:p w:rsidR="002748E5" w:rsidRPr="008320D5" w:rsidRDefault="002748E5" w:rsidP="002748E5">
      <w:pPr>
        <w:pStyle w:val="NormalHanging12a"/>
      </w:pPr>
      <w:r w:rsidRPr="008320D5">
        <w:t>–</w:t>
      </w:r>
      <w:r w:rsidRPr="008320D5">
        <w:tab/>
        <w:t xml:space="preserve">so zreteľom na návrh Komisie pre Radu </w:t>
      </w:r>
      <w:r w:rsidR="00657F34" w:rsidRPr="008320D5">
        <w:t>(</w:t>
      </w:r>
      <w:r w:rsidRPr="008320D5">
        <w:t>COM(2023)0529</w:t>
      </w:r>
      <w:r w:rsidR="00657F34" w:rsidRPr="008320D5">
        <w:t>)</w:t>
      </w:r>
      <w:r w:rsidRPr="008320D5">
        <w:t>,</w:t>
      </w:r>
    </w:p>
    <w:p w:rsidR="002748E5" w:rsidRPr="008320D5" w:rsidRDefault="002748E5" w:rsidP="002748E5">
      <w:pPr>
        <w:pStyle w:val="NormalHanging12a"/>
      </w:pPr>
      <w:r w:rsidRPr="008320D5">
        <w:t>–</w:t>
      </w:r>
      <w:r w:rsidRPr="008320D5">
        <w:tab/>
        <w:t>so zreteľom na článok 115 Zmluvy o fungovaní Európskej únie, v súlade s ktorým Rada konzultovala s Európskym parlamentom (C9</w:t>
      </w:r>
      <w:r w:rsidRPr="008320D5">
        <w:noBreakHyphen/>
        <w:t>0339/2023),</w:t>
      </w:r>
    </w:p>
    <w:p w:rsidR="002748E5" w:rsidRPr="008320D5" w:rsidRDefault="002748E5" w:rsidP="002748E5">
      <w:pPr>
        <w:pStyle w:val="NormalHanging12a"/>
      </w:pPr>
      <w:r w:rsidRPr="008320D5">
        <w:t>–</w:t>
      </w:r>
      <w:r w:rsidRPr="008320D5">
        <w:tab/>
        <w:t>so zreteľom na článok 82 rokovacieho poriadku,</w:t>
      </w:r>
    </w:p>
    <w:p w:rsidR="002748E5" w:rsidRPr="008320D5" w:rsidRDefault="002748E5" w:rsidP="002748E5">
      <w:pPr>
        <w:pStyle w:val="NormalHanging12a"/>
      </w:pPr>
      <w:r w:rsidRPr="008320D5">
        <w:t>–</w:t>
      </w:r>
      <w:r w:rsidRPr="008320D5">
        <w:tab/>
        <w:t>so zreteľom na správu Výboru pre hospodárske a menové veci (A9-0066/2024),</w:t>
      </w:r>
    </w:p>
    <w:p w:rsidR="002748E5" w:rsidRPr="008320D5" w:rsidRDefault="002748E5" w:rsidP="002748E5">
      <w:pPr>
        <w:pStyle w:val="NormalHanging12a"/>
      </w:pPr>
      <w:r w:rsidRPr="008320D5">
        <w:t>1.</w:t>
      </w:r>
      <w:r w:rsidRPr="008320D5">
        <w:tab/>
        <w:t>schvaľuje zmenený návrh Komisie;</w:t>
      </w:r>
    </w:p>
    <w:p w:rsidR="002748E5" w:rsidRPr="008320D5" w:rsidRDefault="002748E5" w:rsidP="002748E5">
      <w:pPr>
        <w:pStyle w:val="NormalHanging12a"/>
      </w:pPr>
      <w:r w:rsidRPr="008320D5">
        <w:t>2.</w:t>
      </w:r>
      <w:r w:rsidRPr="008320D5">
        <w:tab/>
        <w:t>vyzýva Komisiu, aby zmenila svoj návrh v súlade s článkom 293 ods. 2 Zmluvy o fungovaní Európskej únie;</w:t>
      </w:r>
    </w:p>
    <w:p w:rsidR="002748E5" w:rsidRPr="008320D5" w:rsidRDefault="002748E5" w:rsidP="002748E5">
      <w:pPr>
        <w:pStyle w:val="NormalHanging12a"/>
      </w:pPr>
      <w:r w:rsidRPr="008320D5">
        <w:t>3.</w:t>
      </w:r>
      <w:r w:rsidRPr="008320D5">
        <w:tab/>
        <w:t>vyzýva Radu, aby oznámila Európskemu parlamentu, ak má v úmysle odchýliť sa od ním schváleného textu;</w:t>
      </w:r>
    </w:p>
    <w:p w:rsidR="002748E5" w:rsidRPr="008320D5" w:rsidRDefault="002748E5" w:rsidP="002748E5">
      <w:pPr>
        <w:pStyle w:val="NormalHanging12a"/>
      </w:pPr>
      <w:r w:rsidRPr="008320D5">
        <w:t>4.</w:t>
      </w:r>
      <w:r w:rsidRPr="008320D5">
        <w:tab/>
        <w:t>žiada Radu o opätovnú konzultáciu, ak má v úmysle podstatne zmeniť návrh Komisie;</w:t>
      </w:r>
    </w:p>
    <w:p w:rsidR="002748E5" w:rsidRPr="008320D5" w:rsidRDefault="002748E5" w:rsidP="002748E5">
      <w:pPr>
        <w:pStyle w:val="NormalHanging12a"/>
      </w:pPr>
      <w:r w:rsidRPr="008320D5">
        <w:t>5.</w:t>
      </w:r>
      <w:r w:rsidRPr="008320D5">
        <w:tab/>
        <w:t>poveruje svoju predsedníčku, aby postúpila túto pozíciu Rade, Komisii a národným parlamentom.</w:t>
      </w:r>
    </w:p>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2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(2a)</w:t>
            </w:r>
            <w:r w:rsidRPr="008320D5">
              <w:tab/>
            </w:r>
            <w:r w:rsidRPr="008320D5">
              <w:rPr>
                <w:b/>
                <w:i/>
              </w:rPr>
              <w:t>Narúšanie základu dane a presun ziskov predstavujú stratégie daňového plánovania používané nadnárodnými podnikmi, ktoré využívajú medzery a rozdielne daňové pravidlá na to, aby sa vyhli plateniu daní.</w:t>
            </w:r>
            <w:r w:rsidRPr="008320D5">
              <w:t xml:space="preserve"> </w:t>
            </w:r>
            <w:r w:rsidRPr="008320D5">
              <w:rPr>
                <w:b/>
                <w:i/>
              </w:rPr>
              <w:t>Transferové oceňovanie, ktoré je v súčasnosti potrebné na určenie miesta vykazovania zisku, sa zneužíva aj na zníženie daňových povinností firiem v krajinách s vyššími daňovými sadzbami, čo vedie k presunu zisku.</w:t>
            </w:r>
            <w:r w:rsidRPr="008320D5">
              <w:t xml:space="preserve"> </w:t>
            </w:r>
            <w:r w:rsidRPr="008320D5">
              <w:rPr>
                <w:b/>
                <w:i/>
              </w:rPr>
              <w:t>Princíp nezávislého vzťahu by sa mal uplatňovať v členských štátoch a daňovníkmi tak, aby sa zaručila väčšia daňová istota pre daňovníkov a minimalizovali možnosti presunu ziskov.</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2</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2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spacing w:after="120"/>
            </w:pPr>
            <w:r w:rsidRPr="008320D5">
              <w:rPr>
                <w:b/>
                <w:i/>
              </w:rPr>
              <w:t>(2b)</w:t>
            </w:r>
            <w:r w:rsidRPr="008320D5">
              <w:tab/>
            </w:r>
            <w:r w:rsidRPr="008320D5">
              <w:rPr>
                <w:b/>
                <w:i/>
              </w:rPr>
              <w:t>Dlhodobým riešením, ktoré účinne rieši vyhýbanie sa daňovým povinnostiam a zaručuje minimálnu úroveň efektívneho zdanenia skupín nadnárodných podnikov, by mal byť systém s rozdeľovaním na základe vzorca v prospech všetkých členských štátov.</w:t>
            </w:r>
            <w:r w:rsidRPr="008320D5">
              <w:t xml:space="preserve"> </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3</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Odôvodnenie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(3)</w:t>
            </w:r>
            <w:r w:rsidRPr="008320D5">
              <w:tab/>
              <w:t xml:space="preserve">Ak členské štáty uplatňujú alebo vykladajú princíp nezávislého vzťahu </w:t>
            </w:r>
            <w:r w:rsidRPr="008320D5">
              <w:rPr>
                <w:b/>
                <w:i/>
              </w:rPr>
              <w:t>rozlične</w:t>
            </w:r>
            <w:r w:rsidRPr="008320D5">
              <w:t xml:space="preserve">, vytvárajú situácie, ktoré by mohli poškodzovať vnútorný trh. </w:t>
            </w:r>
            <w:proofErr w:type="spellStart"/>
            <w:r w:rsidRPr="008320D5">
              <w:t>Nekonzistentnosť</w:t>
            </w:r>
            <w:proofErr w:type="spellEnd"/>
            <w:r w:rsidRPr="008320D5">
              <w:t xml:space="preserve"> uplatniteľných pravidiel transferového oceňovania by mohla nielen viesť k dvojitému zdaneniu, ale aj umožňovať presun ziskov </w:t>
            </w:r>
            <w:r w:rsidRPr="008320D5">
              <w:rPr>
                <w:b/>
                <w:i/>
              </w:rPr>
              <w:t>a </w:t>
            </w:r>
            <w:r w:rsidRPr="008320D5">
              <w:t xml:space="preserve">vyhýbanie sa daňovým povinnostiam. Takáto </w:t>
            </w:r>
            <w:proofErr w:type="spellStart"/>
            <w:r w:rsidRPr="008320D5">
              <w:lastRenderedPageBreak/>
              <w:t>nekonzistentnosť</w:t>
            </w:r>
            <w:proofErr w:type="spellEnd"/>
            <w:r w:rsidRPr="008320D5">
              <w:t xml:space="preserve"> </w:t>
            </w:r>
            <w:r w:rsidRPr="008320D5">
              <w:rPr>
                <w:b/>
                <w:i/>
              </w:rPr>
              <w:t>je vážnou daňovou prekážkou</w:t>
            </w:r>
            <w:r w:rsidRPr="008320D5">
              <w:t xml:space="preserve"> pre podniky pôsobiace cezhranične a </w:t>
            </w:r>
            <w:r w:rsidRPr="008320D5">
              <w:rPr>
                <w:b/>
                <w:i/>
              </w:rPr>
              <w:t>je pravdepodobné, že</w:t>
            </w:r>
            <w:r w:rsidRPr="008320D5">
              <w:t xml:space="preserve"> spôsobuje hospodárske deformácie a neefektívnosť, pričom má negatívny vplyv na cezhraničné investície a</w:t>
            </w:r>
            <w:r w:rsidRPr="008320D5">
              <w:rPr>
                <w:b/>
                <w:i/>
              </w:rPr>
              <w:t> rast</w:t>
            </w:r>
            <w:r w:rsidRPr="008320D5">
              <w:t>.</w:t>
            </w:r>
          </w:p>
        </w:tc>
        <w:tc>
          <w:tcPr>
            <w:tcW w:w="4876" w:type="dxa"/>
          </w:tcPr>
          <w:p w:rsidR="002748E5" w:rsidRPr="008320D5" w:rsidRDefault="002748E5" w:rsidP="00D02FC5">
            <w:pPr>
              <w:pStyle w:val="Normal6a"/>
              <w:rPr>
                <w:szCs w:val="24"/>
              </w:rPr>
            </w:pPr>
            <w:r w:rsidRPr="008320D5">
              <w:lastRenderedPageBreak/>
              <w:t>(3)</w:t>
            </w:r>
            <w:r w:rsidRPr="008320D5">
              <w:tab/>
              <w:t xml:space="preserve">Ak členské štáty uplatňujú alebo vykladajú princíp nezávislého vzťahu </w:t>
            </w:r>
            <w:r w:rsidRPr="008320D5">
              <w:rPr>
                <w:b/>
                <w:i/>
              </w:rPr>
              <w:t>veľmi odlišne</w:t>
            </w:r>
            <w:r w:rsidRPr="008320D5">
              <w:t>, vytvárajú situácie, ktoré by mohli poškodzovať vnútorný trh</w:t>
            </w:r>
            <w:r w:rsidRPr="008320D5">
              <w:rPr>
                <w:b/>
                <w:i/>
              </w:rPr>
              <w:t xml:space="preserve">, viesť k zbytočným nákladom pre podniky v prípade sporov, ako aj podnecovať škodlivú daňovú konkurenciu, lákať štruktúry agresívneho vyhýbania sa daňovým povinnostiam, vytvárať </w:t>
            </w:r>
            <w:r w:rsidRPr="008320D5">
              <w:rPr>
                <w:b/>
                <w:i/>
              </w:rPr>
              <w:lastRenderedPageBreak/>
              <w:t>nezákonnú štátnu pomoc a znižovať príjmy členských štátov</w:t>
            </w:r>
            <w:r w:rsidRPr="008320D5">
              <w:t xml:space="preserve">. </w:t>
            </w:r>
            <w:proofErr w:type="spellStart"/>
            <w:r w:rsidRPr="008320D5">
              <w:t>Nekonzistentnosť</w:t>
            </w:r>
            <w:proofErr w:type="spellEnd"/>
            <w:r w:rsidRPr="008320D5">
              <w:t xml:space="preserve"> uplatniteľných pravidiel transferového oceňovania by mohla nielen viesť k dvojitému zdaneniu, ale aj umožňovať presun ziskov</w:t>
            </w:r>
            <w:r w:rsidRPr="008320D5">
              <w:rPr>
                <w:b/>
                <w:i/>
              </w:rPr>
              <w:t>,</w:t>
            </w:r>
            <w:r w:rsidRPr="008320D5">
              <w:t xml:space="preserve"> vyhýbanie sa daňovým povinnostiam</w:t>
            </w:r>
            <w:r w:rsidRPr="008320D5">
              <w:rPr>
                <w:b/>
                <w:i/>
              </w:rPr>
              <w:t xml:space="preserve"> a dvojité nezdanenie</w:t>
            </w:r>
            <w:r w:rsidRPr="008320D5">
              <w:t>. Takáto</w:t>
            </w:r>
            <w:r w:rsidRPr="008320D5">
              <w:rPr>
                <w:b/>
                <w:i/>
              </w:rPr>
              <w:t xml:space="preserve"> výrazná</w:t>
            </w:r>
            <w:r w:rsidRPr="008320D5">
              <w:t xml:space="preserve"> </w:t>
            </w:r>
            <w:proofErr w:type="spellStart"/>
            <w:r w:rsidRPr="008320D5">
              <w:t>nekonzistentnosť</w:t>
            </w:r>
            <w:proofErr w:type="spellEnd"/>
            <w:r w:rsidRPr="008320D5">
              <w:t xml:space="preserve"> </w:t>
            </w:r>
            <w:r w:rsidRPr="008320D5">
              <w:rPr>
                <w:b/>
                <w:i/>
              </w:rPr>
              <w:t>môže predstavovať vážnu hrozbu pre daňové príjmy, daňovú morálku a obmedzené kapacity daňových správ. Vedie tiež k prekážkam</w:t>
            </w:r>
            <w:r w:rsidRPr="008320D5">
              <w:t xml:space="preserve"> pre podniky</w:t>
            </w:r>
            <w:r w:rsidRPr="008320D5">
              <w:rPr>
                <w:b/>
                <w:i/>
              </w:rPr>
              <w:t>, najmä MSP</w:t>
            </w:r>
            <w:r w:rsidRPr="008320D5">
              <w:t xml:space="preserve"> pôsobiace cezhranične a </w:t>
            </w:r>
            <w:r w:rsidRPr="008320D5">
              <w:rPr>
                <w:b/>
                <w:i/>
              </w:rPr>
              <w:t>pravdepodobne</w:t>
            </w:r>
            <w:r w:rsidRPr="008320D5">
              <w:t xml:space="preserve"> spôsobuje hospodárske deformácie a neefektívnosť, pričom má negatívny vplyv na cezhraničné investície</w:t>
            </w:r>
            <w:r w:rsidRPr="008320D5">
              <w:rPr>
                <w:b/>
                <w:i/>
              </w:rPr>
              <w:t>.</w:t>
            </w:r>
            <w:r w:rsidRPr="008320D5">
              <w:t xml:space="preserve"> </w:t>
            </w:r>
            <w:r w:rsidRPr="008320D5">
              <w:rPr>
                <w:b/>
                <w:i/>
              </w:rPr>
              <w:t xml:space="preserve">Okrem toho by Komisia mala zabezpečiť, aby táto smernica nevytvárala žiaden nesúlad s najnovšími usmerneniami OECD vrátane časti A </w:t>
            </w:r>
            <w:proofErr w:type="spellStart"/>
            <w:r w:rsidRPr="008320D5">
              <w:rPr>
                <w:b/>
                <w:i/>
              </w:rPr>
              <w:t>a</w:t>
            </w:r>
            <w:proofErr w:type="spellEnd"/>
            <w:r w:rsidRPr="008320D5">
              <w:rPr>
                <w:b/>
                <w:i/>
              </w:rPr>
              <w:t xml:space="preserve"> časti B prvého piliera, ktorých cieľom je zjednodušenie existujúcich pravidiel transferového oceňovania.</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4</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Odôvodnenie 3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r w:rsidRPr="008320D5">
              <w:rPr>
                <w:b/>
                <w:i/>
              </w:rPr>
              <w:t>(3a)</w:t>
            </w:r>
            <w:r w:rsidRPr="008320D5">
              <w:rPr>
                <w:b/>
                <w:i/>
              </w:rPr>
              <w:tab/>
              <w:t>Daňové správy by však mali zohľadniť to, že pri absencii trhových síl alebo pri prijatí určitej obchodnej stratégie môžu pridružené podniky skutočne presne určiť trhovú cenu.</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5</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3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(3b)</w:t>
            </w:r>
            <w:r w:rsidRPr="008320D5">
              <w:tab/>
            </w:r>
            <w:r w:rsidRPr="008320D5">
              <w:rPr>
                <w:b/>
                <w:i/>
              </w:rPr>
              <w:t xml:space="preserve">OECD odhadlo, pri zohľadnení metodických a dátových obmedzení, že na začiatku projektu na zabránenie narúšaniu základu dane a presunu ziskov (BEPS) v roku 2013 sa mohol rozsah </w:t>
            </w:r>
            <w:r w:rsidRPr="008320D5">
              <w:rPr>
                <w:b/>
                <w:i/>
              </w:rPr>
              <w:lastRenderedPageBreak/>
              <w:t>celosvetových strát príjmov z dane z príjmu právnických osôb v dôsledku praktík BEPS pohybovať medzi 100 až 240 miliardami USD ročne</w:t>
            </w:r>
            <w:r w:rsidRPr="008320D5">
              <w:rPr>
                <w:b/>
                <w:i/>
                <w:vertAlign w:val="superscript"/>
              </w:rPr>
              <w:t>1a</w:t>
            </w:r>
            <w:r w:rsidRPr="008320D5">
              <w:rPr>
                <w:b/>
                <w:i/>
              </w:rPr>
              <w:t>.</w:t>
            </w:r>
          </w:p>
        </w:tc>
      </w:tr>
      <w:tr w:rsidR="002748E5" w:rsidRPr="008320D5" w:rsidTr="00D02FC5">
        <w:trPr>
          <w:jc w:val="center"/>
        </w:trPr>
        <w:tc>
          <w:tcPr>
            <w:tcW w:w="4876" w:type="dxa"/>
          </w:tcPr>
          <w:p w:rsidR="002748E5" w:rsidRPr="008320D5" w:rsidRDefault="002748E5" w:rsidP="00D02FC5"/>
        </w:tc>
        <w:tc>
          <w:tcPr>
            <w:tcW w:w="4876" w:type="dxa"/>
          </w:tcPr>
          <w:p w:rsidR="002748E5" w:rsidRPr="008320D5" w:rsidRDefault="002748E5" w:rsidP="00D02FC5">
            <w:pPr>
              <w:pStyle w:val="Normal6a"/>
            </w:pPr>
            <w:r w:rsidRPr="008320D5">
              <w:rPr>
                <w:b/>
                <w:i/>
              </w:rPr>
              <w:t>_________________</w:t>
            </w:r>
          </w:p>
        </w:tc>
      </w:tr>
      <w:tr w:rsidR="002748E5" w:rsidRPr="008320D5" w:rsidTr="00D02FC5">
        <w:trPr>
          <w:jc w:val="center"/>
        </w:trPr>
        <w:tc>
          <w:tcPr>
            <w:tcW w:w="4876" w:type="dxa"/>
          </w:tcPr>
          <w:p w:rsidR="002748E5" w:rsidRPr="008320D5" w:rsidRDefault="002748E5" w:rsidP="00D02FC5"/>
        </w:tc>
        <w:tc>
          <w:tcPr>
            <w:tcW w:w="4876" w:type="dxa"/>
          </w:tcPr>
          <w:p w:rsidR="002748E5" w:rsidRPr="008320D5" w:rsidRDefault="002748E5" w:rsidP="00D02FC5">
            <w:pPr>
              <w:pStyle w:val="Normal6a"/>
            </w:pPr>
            <w:r w:rsidRPr="008320D5">
              <w:rPr>
                <w:b/>
                <w:i/>
                <w:vertAlign w:val="superscript"/>
              </w:rPr>
              <w:t>1a</w:t>
            </w:r>
            <w:r w:rsidRPr="008320D5">
              <w:t xml:space="preserve"> </w:t>
            </w:r>
            <w:r w:rsidRPr="008320D5">
              <w:rPr>
                <w:b/>
                <w:i/>
              </w:rPr>
              <w:t xml:space="preserve"> https://www.oecd.org/tax/beps-project-explanatory-statement-9789264263437-en.htm</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6</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(4)</w:t>
            </w:r>
            <w:r w:rsidRPr="008320D5">
              <w:tab/>
              <w:t xml:space="preserve">V tejto smernici sa stanovujú pravidlá, ktoré majú zabezpečiť spoločné uplatňovanie princípu nezávislého vzťahu v celej Únii s cieľom zvýšiť daňovú istotu </w:t>
            </w:r>
            <w:r w:rsidRPr="008320D5">
              <w:rPr>
                <w:b/>
                <w:i/>
              </w:rPr>
              <w:t>a </w:t>
            </w:r>
            <w:r w:rsidRPr="008320D5">
              <w:t xml:space="preserve">znížiť výskyt prípadov dvojitého </w:t>
            </w:r>
            <w:r w:rsidRPr="008320D5">
              <w:rPr>
                <w:b/>
                <w:i/>
              </w:rPr>
              <w:t>zdanenia</w:t>
            </w:r>
            <w:r w:rsidRPr="008320D5">
              <w:t xml:space="preserve">, ako aj dvojitého </w:t>
            </w:r>
            <w:r w:rsidRPr="008320D5">
              <w:rPr>
                <w:b/>
                <w:i/>
              </w:rPr>
              <w:t>nezdanenia</w:t>
            </w:r>
            <w:r w:rsidRPr="008320D5">
              <w:t>.</w:t>
            </w:r>
          </w:p>
        </w:tc>
        <w:tc>
          <w:tcPr>
            <w:tcW w:w="4876" w:type="dxa"/>
          </w:tcPr>
          <w:p w:rsidR="002748E5" w:rsidRPr="008320D5" w:rsidRDefault="002748E5" w:rsidP="00D02FC5">
            <w:pPr>
              <w:pStyle w:val="Normal6a"/>
            </w:pPr>
            <w:r w:rsidRPr="008320D5">
              <w:t>(4)</w:t>
            </w:r>
            <w:r w:rsidRPr="008320D5">
              <w:tab/>
              <w:t>V tejto smernici sa stanovujú pravidlá, ktoré majú zabezpečiť spoločné uplatňovanie princípu nezávislého vzťahu v celej Únii s cieľom zvýšiť daňovú istotu</w:t>
            </w:r>
            <w:r w:rsidRPr="008320D5">
              <w:rPr>
                <w:b/>
                <w:i/>
              </w:rPr>
              <w:t>,</w:t>
            </w:r>
            <w:r w:rsidRPr="008320D5">
              <w:t xml:space="preserve"> znížiť výskyt prípadov dvojitého </w:t>
            </w:r>
            <w:r w:rsidRPr="008320D5">
              <w:rPr>
                <w:b/>
                <w:i/>
              </w:rPr>
              <w:t>nezdanenia</w:t>
            </w:r>
            <w:r w:rsidRPr="008320D5">
              <w:t xml:space="preserve">, ako aj dvojitého </w:t>
            </w:r>
            <w:r w:rsidRPr="008320D5">
              <w:rPr>
                <w:b/>
                <w:i/>
              </w:rPr>
              <w:t>zdanenia, znížiť náklady na dodržiavanie daňových predpisov a súdne spory, najmä pre daňovníkov, ktorí pôsobia v rámci Únie cezhranične, a zabrániť zneužívaniu daňových predpisov</w:t>
            </w:r>
            <w:r w:rsidRPr="008320D5">
              <w:t>.</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7</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(6)</w:t>
            </w:r>
            <w:r w:rsidRPr="008320D5">
              <w:tab/>
              <w:t xml:space="preserve">S cieľom obmedziť výskyt dvojitého zdanenia by členské štáty mali mať zavedené primerané mechanizmy, ktoré im v prípade, že sa vykoná primárna úprava v inom členskom štáte alebo jurisdikcii tretej krajiny, umožnia vykonať korešpondujúcu úpravu. Členské štáty by konkrétne mali mať možnosť vykonávať korešpondujúce úpravy, ktorých priznanie by nemalo byť obmedzené iba na kontext postupov vzájomnej dohody, ale malo by byť možné aj v dôsledku: i) zrýchleného postupu, ktorý sa ukončí do 180 dní bez </w:t>
            </w:r>
            <w:r w:rsidRPr="008320D5">
              <w:lastRenderedPageBreak/>
              <w:t>toho, aby bolo potrebné začať postup vzájomnej dohody, ak niet pochýb o tom, že primárna úprava je opodstatnená, alebo ii) spoločných kontrol alebo iných foriem medzinárodnej spolupráce, ako sú programy na mnohostranné hodnotenie rizika, napríklad európsky program ETACA (</w:t>
            </w:r>
            <w:proofErr w:type="spellStart"/>
            <w:r w:rsidRPr="008320D5">
              <w:t>European</w:t>
            </w:r>
            <w:proofErr w:type="spellEnd"/>
            <w:r w:rsidRPr="008320D5">
              <w:t xml:space="preserve"> Trust and </w:t>
            </w:r>
            <w:proofErr w:type="spellStart"/>
            <w:r w:rsidRPr="008320D5">
              <w:t>Cooperation</w:t>
            </w:r>
            <w:proofErr w:type="spellEnd"/>
            <w:r w:rsidRPr="008320D5">
              <w:t xml:space="preserve"> </w:t>
            </w:r>
            <w:proofErr w:type="spellStart"/>
            <w:r w:rsidRPr="008320D5">
              <w:t>Approach</w:t>
            </w:r>
            <w:proofErr w:type="spellEnd"/>
            <w:r w:rsidRPr="008320D5">
              <w:t xml:space="preserve">) a medzinárodný program ICAP (International </w:t>
            </w:r>
            <w:proofErr w:type="spellStart"/>
            <w:r w:rsidRPr="008320D5">
              <w:t>Compliance</w:t>
            </w:r>
            <w:proofErr w:type="spellEnd"/>
            <w:r w:rsidRPr="008320D5">
              <w:t xml:space="preserve"> </w:t>
            </w:r>
            <w:proofErr w:type="spellStart"/>
            <w:r w:rsidRPr="008320D5">
              <w:t>Assurance</w:t>
            </w:r>
            <w:proofErr w:type="spellEnd"/>
            <w:r w:rsidRPr="008320D5">
              <w:t xml:space="preserve"> </w:t>
            </w:r>
            <w:proofErr w:type="spellStart"/>
            <w:r w:rsidRPr="008320D5">
              <w:t>Programme</w:t>
            </w:r>
            <w:proofErr w:type="spellEnd"/>
            <w:r w:rsidRPr="008320D5">
              <w:t>).</w:t>
            </w:r>
          </w:p>
        </w:tc>
        <w:tc>
          <w:tcPr>
            <w:tcW w:w="4876" w:type="dxa"/>
          </w:tcPr>
          <w:p w:rsidR="002748E5" w:rsidRPr="008320D5" w:rsidRDefault="002748E5" w:rsidP="00D02FC5">
            <w:pPr>
              <w:pStyle w:val="Normal6a"/>
            </w:pPr>
            <w:r w:rsidRPr="008320D5">
              <w:lastRenderedPageBreak/>
              <w:t>(6)</w:t>
            </w:r>
            <w:r w:rsidRPr="008320D5">
              <w:tab/>
              <w:t xml:space="preserve">S cieľom obmedziť výskyt dvojitého zdanenia by členské štáty mali mať zavedené primerané mechanizmy, ktoré im v prípade, že sa vykoná primárna úprava v inom členskom štáte alebo jurisdikcii tretej krajiny, umožnia vykonať korešpondujúcu úpravu. Členské štáty by konkrétne mali mať možnosť vykonávať korešpondujúce úpravy, ktorých priznanie by nemalo byť obmedzené iba na kontext postupov vzájomnej dohody, ale malo by byť možné aj v dôsledku: i) zrýchleného postupu, ktorý sa ukončí do 180 dní bez </w:t>
            </w:r>
            <w:r w:rsidRPr="008320D5">
              <w:lastRenderedPageBreak/>
              <w:t>toho, aby bolo potrebné začať postup vzájomnej dohody, ak niet pochýb o tom, že primárna úprava je opodstatnená; alebo ii) spoločných kontrol alebo iných foriem medzinárodnej spolupráce, ako sú programy na mnohostranné hodnotenie rizika, napríklad európsky program ETACA (</w:t>
            </w:r>
            <w:proofErr w:type="spellStart"/>
            <w:r w:rsidRPr="008320D5">
              <w:t>European</w:t>
            </w:r>
            <w:proofErr w:type="spellEnd"/>
            <w:r w:rsidRPr="008320D5">
              <w:t xml:space="preserve"> Trust and </w:t>
            </w:r>
            <w:proofErr w:type="spellStart"/>
            <w:r w:rsidRPr="008320D5">
              <w:t>Cooperation</w:t>
            </w:r>
            <w:proofErr w:type="spellEnd"/>
            <w:r w:rsidRPr="008320D5">
              <w:t xml:space="preserve"> </w:t>
            </w:r>
            <w:proofErr w:type="spellStart"/>
            <w:r w:rsidRPr="008320D5">
              <w:t>Approach</w:t>
            </w:r>
            <w:proofErr w:type="spellEnd"/>
            <w:r w:rsidRPr="008320D5">
              <w:t xml:space="preserve">) a medzinárodný program ICAP (International </w:t>
            </w:r>
            <w:proofErr w:type="spellStart"/>
            <w:r w:rsidRPr="008320D5">
              <w:t>Compliance</w:t>
            </w:r>
            <w:proofErr w:type="spellEnd"/>
            <w:r w:rsidRPr="008320D5">
              <w:t xml:space="preserve"> </w:t>
            </w:r>
            <w:proofErr w:type="spellStart"/>
            <w:r w:rsidRPr="008320D5">
              <w:t>Assurance</w:t>
            </w:r>
            <w:proofErr w:type="spellEnd"/>
            <w:r w:rsidRPr="008320D5">
              <w:t xml:space="preserve"> </w:t>
            </w:r>
            <w:proofErr w:type="spellStart"/>
            <w:r w:rsidRPr="008320D5">
              <w:t>Programme</w:t>
            </w:r>
            <w:proofErr w:type="spellEnd"/>
            <w:r w:rsidRPr="008320D5">
              <w:t xml:space="preserve">). </w:t>
            </w:r>
            <w:r w:rsidRPr="008320D5">
              <w:rPr>
                <w:b/>
                <w:i/>
              </w:rPr>
              <w:t>Na tento účel by členské štáty mali využívať všetky postupy a opatrenia stanovené v smernici o administratívnej spolupráci v oblasti daní (DAC), najmä tretej a šiestej revízii, ktoré sa týkajú výmeny informácií súvisiacich so záväznými stanoviskami k stanoveniu metódy ocenenia a výmeny informácií o cezhraničných dohodách podliehajúcich oznamovaniu, ktoré oznámili sprostredkovatelia alebo príslušný daňovník.</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8</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Odôvodnenie 6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r w:rsidRPr="008320D5">
              <w:rPr>
                <w:b/>
                <w:i/>
              </w:rPr>
              <w:t>(6a)</w:t>
            </w:r>
            <w:r w:rsidRPr="008320D5">
              <w:rPr>
                <w:b/>
                <w:i/>
              </w:rPr>
              <w:tab/>
              <w:t>Vzhľadom na možný nárast počtu súdnych sporov sa v tejto smernici požaduje zavedenie zrýchlených mechanizmov, ktorých fungovanie reaguje na všetky požiadavky. Arbitrážny systém by mal byť rýchly, aby jurisdikcie mohli dosiahnuť dohodu a vyhli sa tak problémom a sporom, ktoré môžu vzniknúť.</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9</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Odôvodnenie 6 b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r w:rsidRPr="008320D5">
              <w:rPr>
                <w:b/>
                <w:i/>
              </w:rPr>
              <w:t>(6b)</w:t>
            </w:r>
            <w:r w:rsidRPr="008320D5">
              <w:rPr>
                <w:b/>
                <w:i/>
              </w:rPr>
              <w:tab/>
              <w:t xml:space="preserve">Existencia prístupných </w:t>
            </w:r>
            <w:r w:rsidRPr="008320D5">
              <w:rPr>
                <w:b/>
                <w:i/>
              </w:rPr>
              <w:lastRenderedPageBreak/>
              <w:t>mechanizmov riešenia sporov má zásadný význam pre cezhraničný obchod, čím sa zabezpečí daňová istota a odstránenie dvojitého zdanenia pre daňovníkov. Posilnenie využívania postupov vzájomnej dohody, ako sa uvádza v arbitrážnom dohovore EÚ, môže urýchliť riešenie prípadov v kratších lehotách. Na tento účel sa členské štáty vyzývajú, aby vyčlenili primerané zdroje na to, aby sa dodržiavali lehoty a aby sa postupy vzájomnej dohody mohli stať účinným nástrojom na odstránenie dvojitého zdanenia.</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10</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Odôvodnenie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(7)</w:t>
            </w:r>
            <w:r w:rsidRPr="008320D5">
              <w:tab/>
              <w:t>Môžu existovať legitímne dôvody, pre ktoré sa korešpondujúca úprava neprizná alebo je nižšia ako primárna úprava. Členské štáty by predovšetkým nemali priznávať korešpondujúce úpravy, ak: i) sa primárna úprava nepovažuje za úpravu v súlade s princípom nezávislého vzťahu; ii) primárna úprava nevedie k zdaneniu sumy ziskov v inej jurisdikcii, v súvislosti s ktorou už pridružený podnik v príslušnom členskom štáte podlieha dani; a ak iii) v prípade, že ide o jurisdikciu tretej krajiny, neexistuje žiadna daňová zmluva. Ak nedôjde k primárnej úprave, členské štáty môžu vykonať úpravu smerom nadol, len ak: i) je úprava smerom nadol v súlade s princípom nezávislého vzťahu; ii) je suma rovnajúca sa úprave smerom nadol zahrnutá do zisku pridruženého podniku v dotknutej inej jurisdikcii a v nej podlieha dani; a iii) príslušnej jurisdikcii bolo zaslané oznámenie o zámere vykonať úpravu smerom nadol. Predchádzajúce ustanovenia majú zabezpečiť: i) aby si členské štáty mohli ponechať právo posúdiť, či je primárna úprava v súlade s princípom nezávislého vzťahu; a ii) aby nedochádzalo k dvojitému zdaneniu ani k dvojitému nezdaneniu. Členské štáty by nemali vytvárať situácie dvojitého nezdanenia.</w:t>
            </w:r>
          </w:p>
        </w:tc>
        <w:tc>
          <w:tcPr>
            <w:tcW w:w="4876" w:type="dxa"/>
          </w:tcPr>
          <w:p w:rsidR="002748E5" w:rsidRPr="008320D5" w:rsidRDefault="002748E5" w:rsidP="00D02FC5">
            <w:pPr>
              <w:pStyle w:val="Normal6a"/>
              <w:rPr>
                <w:szCs w:val="24"/>
              </w:rPr>
            </w:pPr>
            <w:r w:rsidRPr="008320D5">
              <w:t>(7)</w:t>
            </w:r>
            <w:r w:rsidRPr="008320D5">
              <w:tab/>
              <w:t>Môžu existovať legitímne dôvody, pre ktoré sa korešpondujúca úprava neprizná alebo je nižšia ako primárna úprava. Členské štáty by predovšetkým nemali priznávať korešpondujúce úpravy, ak: i) sa primárna úprava nepovažuje za úpravu v súlade s princípom nezávislého vzťahu; ii) primárna úprava nevedie k zdaneniu sumy ziskov v inej jurisdikcii, v súvislosti s ktorou už pridružený podnik v príslušnom členskom štáte podlieha dani; a ak iii) v prípade, že ide o jurisdikciu tretej krajiny, neexistuje žiadna daňová zmluva. Ak nedôjde k primárnej úprave, členské štáty môžu vykonať úpravu smerom nadol, len ak: i) je úprava smerom nadol v súlade s princípom nezávislého vzťahu</w:t>
            </w:r>
            <w:r w:rsidRPr="008320D5">
              <w:rPr>
                <w:b/>
                <w:i/>
              </w:rPr>
              <w:t xml:space="preserve"> a nevedie k dvojitému nezdaneniu</w:t>
            </w:r>
            <w:r w:rsidRPr="008320D5">
              <w:t>; ii) je suma rovnajúca sa úprave smerom nadol zahrnutá do zisku pridruženého podniku v dotknutej inej jurisdikcii a v nej podlieha dani; a iii) príslušnej jurisdikcii bolo zaslané oznámenie o zámere vykonať úpravu smerom nadol. Predchádzajúce ustanovenia majú zabezpečiť: i) aby si členské štáty mohli ponechať právo posúdiť, či je primárna úprava v súlade s princípom nezávislého vzťahu; a ii) aby nedochádzalo k dvojitému zdaneniu ani k dvojitému nezdaneniu. Členské štáty by nemali vytvárať situácie dvojitého nezdanenia.</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11</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(13)</w:t>
            </w:r>
            <w:r w:rsidRPr="008320D5">
              <w:tab/>
              <w:t xml:space="preserve">S cieľom minimalizovať spory a zabezpečiť spoločný prístup v celej Únii sa v tejto smernici ďalej stanovuje, že pri daňovníkovi by sa nemala uplatniť úprava, ak jeho výsledky patria do </w:t>
            </w:r>
            <w:proofErr w:type="spellStart"/>
            <w:r w:rsidRPr="008320D5">
              <w:t>medzikvartilového</w:t>
            </w:r>
            <w:proofErr w:type="spellEnd"/>
            <w:r w:rsidRPr="008320D5">
              <w:t xml:space="preserve"> rozpätia, pokiaľ daňová správa alebo daňovník nepreukáže, že určité iné umiestnenie na rozpätí je odôvodnené skutočnosťami a okolnosťami konkrétneho prípadu. Ak výsledky kontrolovanej transakcie ležia mimo rozpätia hodnôt v rámci nezávislého vzťahu, daňové správy by mali byť povinné vykonať úpravu na medián všetkých výsledkov, pokiaľ daňovník alebo daňová správa nepreukážu, že spoľahlivejšiu nezávislú trhovú cenu v danom prípade predstavuje iný bod rozpätia.</w:t>
            </w:r>
          </w:p>
        </w:tc>
        <w:tc>
          <w:tcPr>
            <w:tcW w:w="4876" w:type="dxa"/>
          </w:tcPr>
          <w:p w:rsidR="002748E5" w:rsidRPr="008320D5" w:rsidRDefault="002748E5" w:rsidP="00D02FC5">
            <w:pPr>
              <w:pStyle w:val="Normal6a"/>
            </w:pPr>
            <w:r w:rsidRPr="008320D5">
              <w:t>(13)</w:t>
            </w:r>
            <w:r w:rsidRPr="008320D5">
              <w:tab/>
              <w:t>S cieľom minimalizovať spory</w:t>
            </w:r>
            <w:r w:rsidRPr="008320D5">
              <w:rPr>
                <w:b/>
                <w:i/>
              </w:rPr>
              <w:t>, znížiť súvisiace náklady pre podniky</w:t>
            </w:r>
            <w:r w:rsidRPr="008320D5">
              <w:t xml:space="preserve"> a zabezpečiť spoločný prístup v celej Únii sa v tejto smernici ďalej stanovuje, že pri daňovníkovi by sa nemala uplatniť úprava, ak jeho výsledky patria do </w:t>
            </w:r>
            <w:proofErr w:type="spellStart"/>
            <w:r w:rsidRPr="008320D5">
              <w:t>medzikvartilového</w:t>
            </w:r>
            <w:proofErr w:type="spellEnd"/>
            <w:r w:rsidRPr="008320D5">
              <w:t xml:space="preserve"> rozpätia, pokiaľ daňová správa alebo daňovník nepreukáže, že určité iné umiestnenie na rozpätí je odôvodnené skutočnosťami a okolnosťami konkrétneho prípadu. Ak výsledky kontrolovanej transakcie ležia mimo rozpätia hodnôt v rámci nezávislého vzťahu, daňové správy by mali byť povinné vykonať úpravu na medián všetkých výsledkov, pokiaľ daňovník alebo daňová správa nepreukážu, že spoľahlivejšiu nezávislú trhovú cenu v danom prípade predstavuje iný bod rozpätia.</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12</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(14)</w:t>
            </w:r>
            <w:r w:rsidRPr="008320D5">
              <w:tab/>
              <w:t>S cieľom znížiť regulačné zaťaženie daňovníkov, ktorí pôsobia cezhranične v rámci Únie, by sa mal ďalej zaviesť spoločný prístup k dokumentácii o transferovom oceňovaní. Ak by bol stanovený jeden štandardný vzor, pravidlá týkajúce sa obsahu a jazykového režimu, lehoty a daňovníci, ktorí by mali patriť do rozsahu pôsobnosti, prinieslo by to jednoduchosť a potenciálne úspory nákladov, pričom by sa zohľadnila kapitola V „Dokumentácia“ smernice OECD o transferovom oceňovaní a kódex správania pre dokumentáciu o transferovom oceňovaní pre pridružené podniky v Európskej únii</w:t>
            </w:r>
            <w:r w:rsidRPr="008320D5">
              <w:rPr>
                <w:vertAlign w:val="superscript"/>
              </w:rPr>
              <w:t>33</w:t>
            </w:r>
            <w:r w:rsidRPr="008320D5">
              <w:t>.</w:t>
            </w:r>
          </w:p>
        </w:tc>
        <w:tc>
          <w:tcPr>
            <w:tcW w:w="4876" w:type="dxa"/>
          </w:tcPr>
          <w:p w:rsidR="002748E5" w:rsidRPr="008320D5" w:rsidRDefault="002748E5" w:rsidP="00D02FC5">
            <w:pPr>
              <w:pStyle w:val="Normal6a"/>
            </w:pPr>
            <w:r w:rsidRPr="008320D5">
              <w:t>(14)</w:t>
            </w:r>
            <w:r w:rsidRPr="008320D5">
              <w:tab/>
              <w:t xml:space="preserve">S cieľom znížiť regulačné zaťaženie daňovníkov, ktorí pôsobia cezhranične v rámci Únie, </w:t>
            </w:r>
            <w:r w:rsidRPr="008320D5">
              <w:rPr>
                <w:b/>
                <w:i/>
              </w:rPr>
              <w:t xml:space="preserve">ako aj riešiť riziko vyhýbania sa daňovým povinnostiam </w:t>
            </w:r>
            <w:r w:rsidRPr="008320D5">
              <w:t>by sa mal ďalej zaviesť spoločný prístup k dokumentácii o transferovom oceňovaní. Ak by bol stanovený jeden štandardný vzor, pravidlá týkajúce sa obsahu a jazykového režimu, lehoty a daňovníci, ktorí by mali patriť do rozsahu pôsobnosti, prinieslo by to jednoduchosť a potenciálne úspory nákladov, pričom by sa zohľadnila kapitola V „Dokumentácia“ smernice OECD o transferovom oceňovaní a kódex správania pre dokumentáciu o transferovom oceňovaní pre pridružené podniky v Európskej únii</w:t>
            </w:r>
            <w:r w:rsidRPr="008320D5">
              <w:rPr>
                <w:vertAlign w:val="superscript"/>
              </w:rPr>
              <w:t>33</w:t>
            </w:r>
            <w:r w:rsidRPr="008320D5">
              <w:t xml:space="preserve">. </w:t>
            </w:r>
            <w:r w:rsidRPr="008320D5">
              <w:rPr>
                <w:b/>
                <w:i/>
              </w:rPr>
              <w:t>Harmonizovaný výklad uvedených pojmov na úrovni Únie je potrebný aj na to, aby sa uľahčilo uplatňovanie tejto smernice daňovými správami aj podnikmi. Členské štáty by preto mali splnomocniť svoje daňové správy, aby sa účinne zaoberali snahou o vypracovanie spoločnej dokumentácie v oblasti transferového oceňovania.</w:t>
            </w:r>
          </w:p>
        </w:tc>
      </w:tr>
      <w:tr w:rsidR="002748E5" w:rsidRPr="008320D5" w:rsidTr="00D02FC5">
        <w:trPr>
          <w:jc w:val="center"/>
        </w:trPr>
        <w:tc>
          <w:tcPr>
            <w:tcW w:w="4876" w:type="dxa"/>
          </w:tcPr>
          <w:p w:rsidR="002748E5" w:rsidRPr="008320D5" w:rsidRDefault="002748E5" w:rsidP="00D02FC5">
            <w:pPr>
              <w:pStyle w:val="Normal6a"/>
            </w:pPr>
            <w:r w:rsidRPr="008320D5">
              <w:rPr>
                <w:b/>
                <w:i/>
              </w:rPr>
              <w:t>_________________</w:t>
            </w:r>
          </w:p>
        </w:tc>
        <w:tc>
          <w:tcPr>
            <w:tcW w:w="4876" w:type="dxa"/>
          </w:tcPr>
          <w:p w:rsidR="002748E5" w:rsidRPr="008320D5" w:rsidRDefault="002748E5" w:rsidP="00D02FC5">
            <w:pPr>
              <w:pStyle w:val="Normal6a"/>
            </w:pPr>
            <w:r w:rsidRPr="008320D5">
              <w:rPr>
                <w:b/>
                <w:i/>
              </w:rPr>
              <w:t>_________________</w:t>
            </w:r>
          </w:p>
        </w:tc>
      </w:tr>
      <w:tr w:rsidR="002748E5" w:rsidRPr="008320D5" w:rsidTr="00D02FC5">
        <w:trPr>
          <w:jc w:val="center"/>
        </w:trPr>
        <w:tc>
          <w:tcPr>
            <w:tcW w:w="4876" w:type="dxa"/>
          </w:tcPr>
          <w:p w:rsidR="002748E5" w:rsidRPr="008320D5" w:rsidRDefault="002748E5" w:rsidP="00D02FC5">
            <w:pPr>
              <w:pStyle w:val="Normal6a"/>
            </w:pPr>
            <w:r w:rsidRPr="008320D5">
              <w:rPr>
                <w:vertAlign w:val="superscript"/>
              </w:rPr>
              <w:t>33</w:t>
            </w:r>
            <w:r w:rsidRPr="008320D5">
              <w:t xml:space="preserve"> Uznesenie Rady a zástupcov vlád členských štátov, ktorí sa zišli na zasadnutí Rady z 27. júna 2006, o kódexe správania pre dokumentáciu o transferovom oceňovaní pre pridružené podniky v Európskej únii (DTO EÚ), 2006/C 176/01, </w:t>
            </w:r>
            <w:hyperlink r:id="rId9" w:history="1">
              <w:r w:rsidRPr="008320D5">
                <w:rPr>
                  <w:rStyle w:val="Hyperlink"/>
                  <w:color w:val="auto"/>
                </w:rPr>
                <w:t>https://eur-lex.europa.eu/legal-content/SK/TXT/?uri=CELEX:42006X0728(01)</w:t>
              </w:r>
            </w:hyperlink>
          </w:p>
        </w:tc>
        <w:tc>
          <w:tcPr>
            <w:tcW w:w="4876" w:type="dxa"/>
          </w:tcPr>
          <w:p w:rsidR="002748E5" w:rsidRPr="008320D5" w:rsidRDefault="002748E5" w:rsidP="00D02FC5">
            <w:pPr>
              <w:pStyle w:val="Normal6a"/>
            </w:pPr>
            <w:r w:rsidRPr="008320D5">
              <w:rPr>
                <w:vertAlign w:val="superscript"/>
              </w:rPr>
              <w:t>33</w:t>
            </w:r>
            <w:r w:rsidRPr="008320D5">
              <w:t xml:space="preserve"> Uznesenie Rady a zástupcov vlád členských štátov, ktorí sa zišli na zasadnutí Rady z 27. júna 2006, o kódexe správania pre dokumentáciu o transferovom oceňovaní pre pridružené podniky v Európskej únii (DTO EÚ), 2006/C 176/01, </w:t>
            </w:r>
            <w:hyperlink r:id="rId10" w:history="1">
              <w:r w:rsidRPr="008320D5">
                <w:rPr>
                  <w:rStyle w:val="Hyperlink"/>
                  <w:color w:val="auto"/>
                </w:rPr>
                <w:t>https://eur-lex.europa.eu/legal-content/SK/TXT/?uri=CELEX:42006X0728(01)</w:t>
              </w:r>
            </w:hyperlink>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13</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Odôvodnenie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(16)</w:t>
            </w:r>
            <w:r w:rsidRPr="008320D5">
              <w:tab/>
              <w:t>S cieľom priniesť väčšiu istotu pre daňovníkov a</w:t>
            </w:r>
            <w:r w:rsidRPr="008320D5">
              <w:rPr>
                <w:b/>
                <w:i/>
              </w:rPr>
              <w:t> </w:t>
            </w:r>
            <w:r w:rsidRPr="008320D5">
              <w:t xml:space="preserve">zmierniť riziko dvojitého </w:t>
            </w:r>
            <w:r w:rsidRPr="008320D5">
              <w:rPr>
                <w:b/>
                <w:i/>
              </w:rPr>
              <w:t>zdanenia táto smernica umožňuje stanoviť ďalšie spoločné záväzné pravidlá transferového oceňovania prostredníctvom vykonávacích aktov.</w:t>
            </w:r>
            <w:r w:rsidRPr="008320D5">
              <w:t xml:space="preserve"> </w:t>
            </w:r>
            <w:r w:rsidRPr="008320D5">
              <w:rPr>
                <w:b/>
                <w:i/>
              </w:rPr>
              <w:t>Takéto vykonávacie akty by mali daňovníkom poskytovať jasný prehľad o tom, čo by daňové orgány v Únii považovali za prijateľné použiť pri určených transakciách,</w:t>
            </w:r>
            <w:r w:rsidRPr="008320D5">
              <w:t xml:space="preserve"> a</w:t>
            </w:r>
            <w:r w:rsidRPr="008320D5">
              <w:rPr>
                <w:b/>
                <w:i/>
              </w:rPr>
              <w:t> poskytovali by tzv. bezpečné prístavy, ktoré znižujú regulačnú záťaž</w:t>
            </w:r>
            <w:r w:rsidRPr="008320D5">
              <w:t xml:space="preserve"> a</w:t>
            </w:r>
            <w:r w:rsidRPr="008320D5">
              <w:rPr>
                <w:b/>
                <w:i/>
              </w:rPr>
              <w:t> počet sporov.</w:t>
            </w:r>
            <w:r w:rsidRPr="008320D5">
              <w:t xml:space="preserve"> </w:t>
            </w:r>
            <w:r w:rsidRPr="008320D5">
              <w:rPr>
                <w:b/>
                <w:i/>
              </w:rPr>
              <w:t>Vzhľadom</w:t>
            </w:r>
            <w:r w:rsidRPr="008320D5">
              <w:t xml:space="preserve"> na potenciálny vplyv </w:t>
            </w:r>
            <w:r w:rsidRPr="008320D5">
              <w:rPr>
                <w:b/>
                <w:i/>
              </w:rPr>
              <w:t>takýchto</w:t>
            </w:r>
            <w:r w:rsidRPr="008320D5">
              <w:t xml:space="preserve"> opatrení na </w:t>
            </w:r>
            <w:r w:rsidRPr="008320D5">
              <w:rPr>
                <w:b/>
                <w:i/>
              </w:rPr>
              <w:t>výkonnú</w:t>
            </w:r>
            <w:r w:rsidRPr="008320D5">
              <w:t xml:space="preserve"> a</w:t>
            </w:r>
            <w:r w:rsidRPr="008320D5">
              <w:rPr>
                <w:b/>
                <w:i/>
              </w:rPr>
              <w:t> </w:t>
            </w:r>
            <w:proofErr w:type="spellStart"/>
            <w:r w:rsidRPr="008320D5">
              <w:rPr>
                <w:b/>
                <w:i/>
              </w:rPr>
              <w:t>presadzovaciu</w:t>
            </w:r>
            <w:proofErr w:type="spellEnd"/>
            <w:r w:rsidRPr="008320D5">
              <w:rPr>
                <w:b/>
                <w:i/>
              </w:rPr>
              <w:t xml:space="preserve"> právomoc členských štátov</w:t>
            </w:r>
            <w:r w:rsidRPr="008320D5">
              <w:t>, pokiaľ ide o</w:t>
            </w:r>
            <w:r w:rsidRPr="008320D5">
              <w:rPr>
                <w:b/>
                <w:i/>
              </w:rPr>
              <w:t> </w:t>
            </w:r>
            <w:r w:rsidRPr="008320D5">
              <w:t xml:space="preserve">priame zdaňovanie, </w:t>
            </w:r>
            <w:r w:rsidRPr="008320D5">
              <w:rPr>
                <w:b/>
                <w:i/>
              </w:rPr>
              <w:t xml:space="preserve">na </w:t>
            </w:r>
            <w:r w:rsidRPr="008320D5">
              <w:t xml:space="preserve">uplatňovanie práv zdaňovať pridelených na základe dvojstranných daňových zmlúv alebo mnohostranných daňových dohovorov, ktoré zabraňujú dvojitému zdaneniu alebo dvojitému nezdaneniu, a vzhľadom na potenciálny vplyv na základy dane členských štátov by sa </w:t>
            </w:r>
            <w:r w:rsidRPr="008320D5">
              <w:rPr>
                <w:b/>
                <w:i/>
              </w:rPr>
              <w:t>vykonávacie právomoci na prijímanie rozhodnutí podľa tejto smernice</w:t>
            </w:r>
            <w:r w:rsidRPr="008320D5">
              <w:t xml:space="preserve"> mali </w:t>
            </w:r>
            <w:r w:rsidRPr="008320D5">
              <w:rPr>
                <w:b/>
                <w:i/>
              </w:rPr>
              <w:t>preniesť na Radu</w:t>
            </w:r>
            <w:r w:rsidRPr="008320D5">
              <w:t xml:space="preserve">, </w:t>
            </w:r>
            <w:r w:rsidRPr="008320D5">
              <w:rPr>
                <w:b/>
                <w:i/>
              </w:rPr>
              <w:t>konajúcu na návrh Komisie</w:t>
            </w:r>
            <w:r w:rsidRPr="008320D5">
              <w:t>.</w:t>
            </w:r>
          </w:p>
        </w:tc>
        <w:tc>
          <w:tcPr>
            <w:tcW w:w="4876" w:type="dxa"/>
          </w:tcPr>
          <w:p w:rsidR="002748E5" w:rsidRPr="008320D5" w:rsidRDefault="002748E5" w:rsidP="00D02FC5">
            <w:pPr>
              <w:pStyle w:val="Normal6a"/>
              <w:rPr>
                <w:szCs w:val="24"/>
              </w:rPr>
            </w:pPr>
            <w:r w:rsidRPr="008320D5">
              <w:t>(16)</w:t>
            </w:r>
            <w:r w:rsidRPr="008320D5">
              <w:tab/>
              <w:t>S cieľom priniesť väčšiu istotu pre daňovníkov a</w:t>
            </w:r>
            <w:r w:rsidRPr="008320D5">
              <w:rPr>
                <w:b/>
                <w:i/>
              </w:rPr>
              <w:t xml:space="preserve"> </w:t>
            </w:r>
            <w:r w:rsidRPr="008320D5">
              <w:t xml:space="preserve">zmierniť riziko dvojitého </w:t>
            </w:r>
            <w:r w:rsidRPr="008320D5">
              <w:rPr>
                <w:b/>
                <w:i/>
              </w:rPr>
              <w:t>nezdanenia</w:t>
            </w:r>
            <w:r w:rsidRPr="008320D5">
              <w:t xml:space="preserve"> a</w:t>
            </w:r>
            <w:r w:rsidRPr="008320D5">
              <w:rPr>
                <w:b/>
                <w:i/>
              </w:rPr>
              <w:t xml:space="preserve"> dvojitého zdanenia</w:t>
            </w:r>
            <w:r w:rsidRPr="008320D5">
              <w:t xml:space="preserve"> a</w:t>
            </w:r>
            <w:r w:rsidRPr="008320D5">
              <w:rPr>
                <w:b/>
                <w:i/>
              </w:rPr>
              <w:t xml:space="preserve"> so zreteľom</w:t>
            </w:r>
            <w:r w:rsidRPr="008320D5">
              <w:t xml:space="preserve"> na potenciálny vplyv </w:t>
            </w:r>
            <w:r w:rsidRPr="008320D5">
              <w:rPr>
                <w:b/>
                <w:i/>
              </w:rPr>
              <w:t>príslušných</w:t>
            </w:r>
            <w:r w:rsidRPr="008320D5">
              <w:t xml:space="preserve"> opatrení na </w:t>
            </w:r>
            <w:r w:rsidRPr="008320D5">
              <w:rPr>
                <w:b/>
                <w:i/>
              </w:rPr>
              <w:t>vnútroštátne výkonné právomoci</w:t>
            </w:r>
            <w:r w:rsidRPr="008320D5">
              <w:t xml:space="preserve"> a</w:t>
            </w:r>
            <w:r w:rsidRPr="008320D5">
              <w:rPr>
                <w:b/>
                <w:i/>
              </w:rPr>
              <w:t xml:space="preserve"> právomoci v oblasti presadzovania práva</w:t>
            </w:r>
            <w:r w:rsidRPr="008320D5">
              <w:t>, pokiaľ ide o</w:t>
            </w:r>
            <w:r w:rsidRPr="008320D5">
              <w:rPr>
                <w:b/>
                <w:i/>
              </w:rPr>
              <w:t xml:space="preserve"> </w:t>
            </w:r>
            <w:r w:rsidRPr="008320D5">
              <w:t xml:space="preserve">priame zdaňovanie, uplatňovanie práv zdaňovať pridelených na základe dvojstranných daňových zmlúv alebo mnohostranných daňových dohovorov, ktoré zabraňujú dvojitému zdaneniu alebo dvojitému nezdaneniu, a vzhľadom na potenciálny vplyv na základy dane členských štátov by sa </w:t>
            </w:r>
            <w:r w:rsidRPr="008320D5">
              <w:rPr>
                <w:b/>
                <w:i/>
              </w:rPr>
              <w:t>mala na Komisiu delegovať právomoc prijímať akty v súlade s článkom 290 Zmluvy o fungovaní Európskej únie s cieľom stanoviť ďalšie spoločné záväzné pravidlá transferového oceňovania.</w:t>
            </w:r>
            <w:r w:rsidRPr="008320D5">
              <w:t xml:space="preserve"> </w:t>
            </w:r>
            <w:r w:rsidRPr="008320D5">
              <w:rPr>
                <w:b/>
                <w:i/>
              </w:rPr>
              <w:t>Takéto delegované akty by</w:t>
            </w:r>
            <w:r w:rsidRPr="008320D5">
              <w:t xml:space="preserve"> mali </w:t>
            </w:r>
            <w:r w:rsidRPr="008320D5">
              <w:rPr>
                <w:b/>
                <w:i/>
              </w:rPr>
              <w:t>daňovníkom poskytovať jasný prehľad o tom, čo by daňové orgány v Únii považovali za prijateľné použiť pri určených transakciách</w:t>
            </w:r>
            <w:r w:rsidRPr="008320D5">
              <w:t xml:space="preserve">, </w:t>
            </w:r>
            <w:r w:rsidRPr="008320D5">
              <w:rPr>
                <w:b/>
                <w:i/>
              </w:rPr>
              <w:t>a poskytovali by tzv. bezpečné prístavy, ktoré znižujú regulačnú záťaž a počet sporov</w:t>
            </w:r>
            <w:r w:rsidRPr="008320D5">
              <w:t>.</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14</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16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(16a)</w:t>
            </w:r>
            <w:r w:rsidRPr="008320D5">
              <w:tab/>
            </w:r>
            <w:r w:rsidRPr="008320D5">
              <w:rPr>
                <w:b/>
                <w:i/>
              </w:rPr>
              <w:t>Keďže oblasť transferového oceňovania sa časom vyvíja, bude nevyhnutné neustále monitorovať potrebu úprav tejto smernice s cieľom zaručiť jednotnosť metodík transferového oceňovania v rámci Únie a na celosvetovej úrovni.</w:t>
            </w:r>
            <w:r w:rsidRPr="008320D5">
              <w:t xml:space="preserve"> </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15</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16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(16b)</w:t>
            </w:r>
            <w:r w:rsidRPr="008320D5">
              <w:tab/>
            </w:r>
            <w:r w:rsidRPr="008320D5">
              <w:rPr>
                <w:b/>
                <w:i/>
              </w:rPr>
              <w:t>Spoločné fórum EÚ pre transferové oceňovanie ponúka praktické riešenia problémov, ktoré predstavujú postupy transferového oceňovania vo všetkých členských štátoch. Obnovenie tohto fóra s rozšíreným mandátom umožňuje národným expertom z členských štátov spolu so zástupcami podnikateľskej komunity, akademických pracovníkov a občianskej spoločnosti poskytnúť podporu Komisii, čo môže viesť k prijatiu právnych predpisov, ktoré budú schopné dosiahnuť stanovený cieľ, a to zvýšiť istotu pre podniky v Únii.</w:t>
            </w:r>
            <w:r w:rsidRPr="008320D5">
              <w:t xml:space="preserve"> </w:t>
            </w:r>
            <w:r w:rsidRPr="008320D5">
              <w:rPr>
                <w:b/>
                <w:i/>
              </w:rPr>
              <w:t>Spoločná vízia daňovníkov a daňových orgánov poskytuje komplexnejší pohľad pri hľadaní praktických riešení.</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16</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(17)</w:t>
            </w:r>
            <w:r w:rsidRPr="008320D5">
              <w:tab/>
              <w:t>S cieľom vyhodnotiť účinnosť nových pravidiel stanovených v tejto smernici by Komisia mala vypracovať hodnotenie na základe informácií poskytnutých členskými štátmi a ďalších dostupných údajov.</w:t>
            </w:r>
          </w:p>
        </w:tc>
        <w:tc>
          <w:tcPr>
            <w:tcW w:w="4876" w:type="dxa"/>
          </w:tcPr>
          <w:p w:rsidR="002748E5" w:rsidRPr="008320D5" w:rsidRDefault="002748E5" w:rsidP="00D02FC5">
            <w:pPr>
              <w:pStyle w:val="Normal6a"/>
            </w:pPr>
            <w:r w:rsidRPr="008320D5">
              <w:t>(17)</w:t>
            </w:r>
            <w:r w:rsidRPr="008320D5">
              <w:tab/>
              <w:t xml:space="preserve">S cieľom vyhodnotiť účinnosť </w:t>
            </w:r>
            <w:r w:rsidRPr="008320D5">
              <w:rPr>
                <w:b/>
                <w:i/>
              </w:rPr>
              <w:t xml:space="preserve">a dosah </w:t>
            </w:r>
            <w:r w:rsidRPr="008320D5">
              <w:t>nových pravidiel stanovených v tejto smernici by Komisia mala vypracovať hodnotenie na základe informácií poskytnutých členskými štátmi a ďalších dostupných údajov</w:t>
            </w:r>
            <w:r w:rsidRPr="008320D5">
              <w:rPr>
                <w:b/>
                <w:i/>
              </w:rPr>
              <w:t xml:space="preserve"> spolu s prípadným legislatívnym návrhom</w:t>
            </w:r>
            <w:r w:rsidRPr="008320D5">
              <w:t>.</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17</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Odôvodnenie 17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r w:rsidRPr="008320D5">
              <w:rPr>
                <w:b/>
                <w:i/>
              </w:rPr>
              <w:t>(17a)</w:t>
            </w:r>
            <w:r w:rsidRPr="008320D5">
              <w:rPr>
                <w:b/>
                <w:i/>
              </w:rPr>
              <w:tab/>
              <w:t>Komisia by mala preskúmať uplatňovanie tejto smernice pre nadnárodné skupiny podnikov, ktoré patria do rozsahu pôsobnosti návrhu smernice Rady s názvom Podnikanie v Európe: rámec pre zdaňovanie príjmov (BEFIT).</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18</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(18)</w:t>
            </w:r>
            <w:r w:rsidRPr="008320D5">
              <w:tab/>
              <w:t>V záujme toho, aby podniky mohli priamo využívať výhody vnútorného trhu bez zbytočného dodatočného administratívneho zaťaženia, by sa informácie o daňových ustanoveniach uvedených v tejto smernici mali sprístupniť prostredníctvom jednotnej digitálnej brány v súlade s nariadením (EÚ) 2018/1724</w:t>
            </w:r>
            <w:r w:rsidRPr="008320D5">
              <w:rPr>
                <w:vertAlign w:val="superscript"/>
              </w:rPr>
              <w:t>34</w:t>
            </w:r>
            <w:r w:rsidRPr="008320D5">
              <w:t>. Jednotná digitálna brána je jednotným kontaktným miestom pre cezhraničných používateľov na poskytovanie informácií, postupov a asistenčných služieb online, ktoré sú relevantné pre fungovanie vnútorného trhu.</w:t>
            </w:r>
          </w:p>
        </w:tc>
        <w:tc>
          <w:tcPr>
            <w:tcW w:w="4876" w:type="dxa"/>
          </w:tcPr>
          <w:p w:rsidR="002748E5" w:rsidRPr="008320D5" w:rsidRDefault="002748E5" w:rsidP="00D02FC5">
            <w:pPr>
              <w:pStyle w:val="Normal6a"/>
            </w:pPr>
            <w:r w:rsidRPr="008320D5">
              <w:t>(18)</w:t>
            </w:r>
            <w:r w:rsidRPr="008320D5">
              <w:tab/>
              <w:t>V záujme toho, aby podniky mohli priamo využívať výhody vnútorného trhu bez zbytočného dodatočného administratívneho zaťaženia, by sa informácie o daňových ustanoveniach uvedených v tejto smernici mali sprístupniť prostredníctvom jednotnej digitálnej brány v súlade s nariadením (EÚ) 2018/1724</w:t>
            </w:r>
            <w:r w:rsidRPr="008320D5">
              <w:rPr>
                <w:vertAlign w:val="superscript"/>
              </w:rPr>
              <w:t>34</w:t>
            </w:r>
            <w:r w:rsidRPr="008320D5">
              <w:t xml:space="preserve">. Jednotná digitálna brána je jednotným kontaktným miestom pre cezhraničných používateľov na poskytovanie informácií, postupov a asistenčných služieb online, ktoré sú relevantné pre fungovanie vnútorného trhu. </w:t>
            </w:r>
            <w:r w:rsidRPr="008320D5">
              <w:rPr>
                <w:b/>
                <w:i/>
              </w:rPr>
              <w:t>Táto jednotná digitálna brána by mala byť intuitívna, ľahko prístupná a mala by mať potrebné nástroje, aby pre podniky nepredstavovala novú byrokratickú prekážku.</w:t>
            </w:r>
            <w:r w:rsidRPr="008320D5">
              <w:t xml:space="preserve"> </w:t>
            </w:r>
            <w:r w:rsidRPr="008320D5">
              <w:rPr>
                <w:b/>
                <w:i/>
              </w:rPr>
              <w:t>Dobré skúsenosti s jednotnou digitálnou bránou pre daň z pridanej hodnoty (DPH) sú dobrým príkladom toho, ako má byť takáto brána navrhnutá, aby správne fungovala.</w:t>
            </w:r>
          </w:p>
        </w:tc>
      </w:tr>
      <w:tr w:rsidR="002748E5" w:rsidRPr="008320D5" w:rsidTr="00D02FC5">
        <w:trPr>
          <w:jc w:val="center"/>
        </w:trPr>
        <w:tc>
          <w:tcPr>
            <w:tcW w:w="4876" w:type="dxa"/>
          </w:tcPr>
          <w:p w:rsidR="002748E5" w:rsidRPr="008320D5" w:rsidRDefault="002748E5" w:rsidP="00D02FC5">
            <w:pPr>
              <w:pStyle w:val="Normal6a"/>
            </w:pPr>
            <w:r w:rsidRPr="008320D5">
              <w:rPr>
                <w:b/>
                <w:i/>
              </w:rPr>
              <w:t>_________________</w:t>
            </w:r>
          </w:p>
        </w:tc>
        <w:tc>
          <w:tcPr>
            <w:tcW w:w="4876" w:type="dxa"/>
          </w:tcPr>
          <w:p w:rsidR="002748E5" w:rsidRPr="008320D5" w:rsidRDefault="002748E5" w:rsidP="00D02FC5">
            <w:pPr>
              <w:pStyle w:val="Normal6a"/>
            </w:pPr>
            <w:r w:rsidRPr="008320D5">
              <w:rPr>
                <w:b/>
                <w:i/>
              </w:rPr>
              <w:t>_________________</w:t>
            </w:r>
          </w:p>
        </w:tc>
      </w:tr>
      <w:tr w:rsidR="002748E5" w:rsidRPr="008320D5" w:rsidTr="00D02FC5">
        <w:trPr>
          <w:jc w:val="center"/>
        </w:trPr>
        <w:tc>
          <w:tcPr>
            <w:tcW w:w="4876" w:type="dxa"/>
          </w:tcPr>
          <w:p w:rsidR="002748E5" w:rsidRPr="008320D5" w:rsidRDefault="002748E5" w:rsidP="00D02FC5">
            <w:pPr>
              <w:pStyle w:val="Normal6a"/>
            </w:pPr>
            <w:r w:rsidRPr="008320D5">
              <w:rPr>
                <w:vertAlign w:val="superscript"/>
              </w:rPr>
              <w:t>34</w:t>
            </w:r>
            <w:r w:rsidRPr="008320D5">
              <w:t xml:space="preserve"> 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w:t>
            </w:r>
          </w:p>
        </w:tc>
        <w:tc>
          <w:tcPr>
            <w:tcW w:w="4876" w:type="dxa"/>
          </w:tcPr>
          <w:p w:rsidR="002748E5" w:rsidRPr="008320D5" w:rsidRDefault="002748E5" w:rsidP="00D02FC5">
            <w:pPr>
              <w:pStyle w:val="Normal6a"/>
            </w:pPr>
            <w:r w:rsidRPr="008320D5">
              <w:rPr>
                <w:vertAlign w:val="superscript"/>
              </w:rPr>
              <w:t>34</w:t>
            </w:r>
            <w:r w:rsidRPr="008320D5">
              <w:t xml:space="preserve"> 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19</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Odôvodnenie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(21)</w:t>
            </w:r>
            <w:r w:rsidRPr="008320D5">
              <w:tab/>
              <w:t>S cieľom znížiť administratívne zaťaženie daňovníkov by sa mala na Komisiu delegovať právomoc prijímať akty v súlade s článkom 290 Zmluvy o fungovaní Európskej únie, pokiaľ ide o dokumentáciu o transferovom oceňovaní, a to stanovením spoločných vzorov, nastavením jazykových požiadaviek, vymedzením typu daňovníka, ktorý sa má týmito vzormi riadiť, a časových rámcov, na ktoré sa má dokumentácia vzťahovať. Je osobitne dôležité, aby Komisia počas prípravných prác uskutočnila príslušné konzultácie, a to aj na úrovni expertov, a aby tieto konzultácie vykonávala v súlade so zásadami stanovenými v </w:t>
            </w:r>
            <w:proofErr w:type="spellStart"/>
            <w:r w:rsidRPr="008320D5">
              <w:t>Medziinštitucionálnej</w:t>
            </w:r>
            <w:proofErr w:type="spellEnd"/>
            <w:r w:rsidRPr="008320D5">
              <w:t xml:space="preserve"> dohode o lepšej tvorbe práva </w:t>
            </w:r>
            <w:r w:rsidRPr="008320D5">
              <w:rPr>
                <w:b/>
                <w:i/>
              </w:rPr>
              <w:t>z 13. apríla 2016</w:t>
            </w:r>
            <w:r w:rsidRPr="008320D5">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c>
          <w:tcPr>
            <w:tcW w:w="4876" w:type="dxa"/>
          </w:tcPr>
          <w:p w:rsidR="002748E5" w:rsidRPr="008320D5" w:rsidRDefault="002748E5" w:rsidP="00E921F1">
            <w:pPr>
              <w:spacing w:after="120"/>
            </w:pPr>
            <w:r w:rsidRPr="008320D5">
              <w:t>(21)</w:t>
            </w:r>
            <w:r w:rsidRPr="008320D5">
              <w:tab/>
              <w:t xml:space="preserve">S cieľom znížiť administratívne zaťaženie daňovníkov </w:t>
            </w:r>
            <w:r w:rsidRPr="008320D5">
              <w:rPr>
                <w:b/>
                <w:i/>
              </w:rPr>
              <w:t xml:space="preserve">a riziko vyhýbania sa daňovým povinnostiam </w:t>
            </w:r>
            <w:r w:rsidRPr="008320D5">
              <w:t>by sa mala na Komisiu delegovať právomoc prijímať akty v súlade s článkom 290 Zmluvy o fungovaní Európskej únie, pokiaľ ide o dokumentáciu o transferovom oceňovaní, a to stanovením spoločných vzorov, nastavením jazykových požiadaviek, vymedzením typu daňovníka, ktorý sa má týmito vzormi riadiť, a časových rámcov, na ktoré sa má dokumentácia vzťahovať. Je osobitne dôležité, aby Komisia počas prípravných prác uskutočnila príslušné konzultácie, a to aj na úrovni expertov, a aby tieto konzultácie vykonávala v súlade so zásadami stanovenými v </w:t>
            </w:r>
            <w:proofErr w:type="spellStart"/>
            <w:r w:rsidRPr="008320D5">
              <w:t>Medziinštitucionálnej</w:t>
            </w:r>
            <w:proofErr w:type="spellEnd"/>
            <w:r w:rsidRPr="008320D5">
              <w:t xml:space="preserve"> dohode </w:t>
            </w:r>
            <w:r w:rsidR="00657F34" w:rsidRPr="008320D5">
              <w:rPr>
                <w:b/>
                <w:i/>
              </w:rPr>
              <w:t xml:space="preserve">z 13. apríla 2016 </w:t>
            </w:r>
            <w:r w:rsidRPr="008320D5">
              <w:t>o lepšej tvorbe práva.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r>
    </w:tbl>
    <w:p w:rsidR="002748E5" w:rsidRPr="008320D5" w:rsidRDefault="002748E5" w:rsidP="002748E5"/>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20</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Touto smernicou sa stanovujú pravidlá na harmonizáciu pravidiel členských štátov v oblasti transferového oceňovania a na zabezpečenie spoločného uplatňovania princípu nezávislého vzťahu v rámci Únie.</w:t>
            </w:r>
          </w:p>
        </w:tc>
        <w:tc>
          <w:tcPr>
            <w:tcW w:w="4876" w:type="dxa"/>
          </w:tcPr>
          <w:p w:rsidR="002748E5" w:rsidRPr="008320D5" w:rsidRDefault="002748E5" w:rsidP="00D02FC5">
            <w:pPr>
              <w:pStyle w:val="Normal6a"/>
              <w:rPr>
                <w:szCs w:val="24"/>
              </w:rPr>
            </w:pPr>
            <w:r w:rsidRPr="008320D5">
              <w:t>Touto smernicou sa stanovujú pravidlá na harmonizáciu pravidiel členských štátov v oblasti transferového oceňovania a na zabezpečenie spoločného uplatňovania princípu nezávislého vzťahu v rámci Únie</w:t>
            </w:r>
            <w:r w:rsidRPr="008320D5">
              <w:rPr>
                <w:b/>
                <w:i/>
              </w:rPr>
              <w:t xml:space="preserve"> s cieľom zjednodušiť dodržiavanie predpisov pre spoločnosti a zabezpečiť presadzovanie daňových pravidiel v Únii</w:t>
            </w:r>
            <w:r w:rsidRPr="008320D5">
              <w:t>.</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21</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3 – odsek 1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w:t>
            </w:r>
            <w:r w:rsidRPr="008320D5">
              <w:tab/>
              <w:t>„princíp nezávislého vzťahu“ je medzinárodná norma, ktorá stanovuje, že pridružené podniky musia medzi sebou realizovať transakcie tak, akoby boli nezávislými tretími stranami. Inými slovami, transakcie medzi dvoma pridruženými podnikmi by mali odzrkadľovať výsledok, ktorý by sa dosiahol, ak by strany neboli spriaznené, t. j. ak by strany boli navzájom nezávislé a výsledok (cenu alebo marže) by určovali trhové sily (na voľnom trhu);</w:t>
            </w:r>
          </w:p>
        </w:tc>
        <w:tc>
          <w:tcPr>
            <w:tcW w:w="4876" w:type="dxa"/>
          </w:tcPr>
          <w:p w:rsidR="002748E5" w:rsidRPr="008320D5" w:rsidRDefault="002748E5" w:rsidP="00D02FC5">
            <w:pPr>
              <w:pStyle w:val="Normal6a"/>
            </w:pPr>
            <w:r w:rsidRPr="008320D5">
              <w:t>(1)</w:t>
            </w:r>
            <w:r w:rsidRPr="008320D5">
              <w:tab/>
              <w:t>„princíp nezávislého vzťahu“ je medzinárodná norma</w:t>
            </w:r>
            <w:r w:rsidRPr="008320D5">
              <w:rPr>
                <w:b/>
                <w:i/>
              </w:rPr>
              <w:t xml:space="preserve"> podľa článku 9 Modelovej zmluvy OECD o zdaňovaní</w:t>
            </w:r>
            <w:r w:rsidRPr="008320D5">
              <w:t>, ktorá stanovuje, že pridružené podniky musia medzi sebou realizovať transakcie tak, akoby boli nezávislými tretími stranami. Inými slovami, transakcie medzi dvoma pridruženými podnikmi by mali odzrkadľovať výsledok, ktorý by sa dosiahol, ak by strany neboli spriaznené, t. j. ak by strany boli navzájom nezávislé a výsledok (cenu alebo marže) by určovali trhové sily (na voľnom trhu);</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22</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3 – odsek 1 – bod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(18)</w:t>
            </w:r>
            <w:r w:rsidRPr="008320D5">
              <w:tab/>
              <w:t>„smernica OECD o transferovom oceňovaní“ je smernica OECD o transferovom oceňovaní pre nadnárodné spoločnosti a správu daní z roku 2022, ktorú schválila Rada OECD podľa odporúčania Rady OECD o určovaní transferového oceňovania medzi pridruženými podnikmi [C(95)126/</w:t>
            </w:r>
            <w:proofErr w:type="spellStart"/>
            <w:r w:rsidRPr="008320D5">
              <w:t>final</w:t>
            </w:r>
            <w:proofErr w:type="spellEnd"/>
            <w:r w:rsidRPr="008320D5">
              <w:t xml:space="preserve">], zmenená 20. januára 2022 a zahrnutá do prílohy I, ako aj akékoľvek ďalšie zmeny tejto smernice OECD o transferovom oceňovaní, ktoré </w:t>
            </w:r>
            <w:r w:rsidRPr="008320D5">
              <w:rPr>
                <w:b/>
                <w:i/>
              </w:rPr>
              <w:t>Únia schválila</w:t>
            </w:r>
            <w:r w:rsidRPr="008320D5">
              <w:t xml:space="preserve"> v kontexte Výboru OECD pre daňové záležitosti prijatím pozície Únie podľa článku 218</w:t>
            </w:r>
            <w:r w:rsidRPr="008320D5">
              <w:rPr>
                <w:b/>
                <w:i/>
              </w:rPr>
              <w:t xml:space="preserve"> ods. 9</w:t>
            </w:r>
            <w:r w:rsidRPr="008320D5">
              <w:t xml:space="preserve"> ZFEÚ;</w:t>
            </w:r>
          </w:p>
        </w:tc>
        <w:tc>
          <w:tcPr>
            <w:tcW w:w="4876" w:type="dxa"/>
          </w:tcPr>
          <w:p w:rsidR="002748E5" w:rsidRPr="008320D5" w:rsidRDefault="002748E5" w:rsidP="00D02FC5">
            <w:pPr>
              <w:pStyle w:val="Normal6a"/>
              <w:rPr>
                <w:szCs w:val="24"/>
              </w:rPr>
            </w:pPr>
            <w:r w:rsidRPr="008320D5">
              <w:t>(18)</w:t>
            </w:r>
            <w:r w:rsidRPr="008320D5">
              <w:tab/>
              <w:t>„smernica OECD o transferovom oceňovaní“ je smernica OECD o transferovom oceňovaní pre nadnárodné spoločnosti a správu daní z roku 2022, ktorú schválila Rada OECD podľa odporúčania Rady OECD o určovaní transferového oceňovania medzi pridruženými podnikmi [C(95)126/</w:t>
            </w:r>
            <w:proofErr w:type="spellStart"/>
            <w:r w:rsidRPr="008320D5">
              <w:t>final</w:t>
            </w:r>
            <w:proofErr w:type="spellEnd"/>
            <w:r w:rsidRPr="008320D5">
              <w:t xml:space="preserve">], zmenená 20. januára 2022 a zahrnutá do prílohy I, ako aj akékoľvek ďalšie zmeny tejto smernice OECD o transferovom oceňovaní, ktoré </w:t>
            </w:r>
            <w:r w:rsidRPr="008320D5">
              <w:rPr>
                <w:b/>
                <w:i/>
              </w:rPr>
              <w:t>členské štáty schválili</w:t>
            </w:r>
            <w:r w:rsidRPr="008320D5">
              <w:t xml:space="preserve"> v kontexte Výboru OECD pre daňové záležitosti </w:t>
            </w:r>
            <w:r w:rsidRPr="008320D5">
              <w:rPr>
                <w:b/>
                <w:i/>
              </w:rPr>
              <w:t xml:space="preserve">alebo Únia schválila </w:t>
            </w:r>
            <w:r w:rsidRPr="008320D5">
              <w:t>prijatím pozície Únie podľa článku 218 ZFEÚ;</w:t>
            </w:r>
          </w:p>
        </w:tc>
      </w:tr>
    </w:tbl>
    <w:p w:rsidR="002748E5" w:rsidRPr="008320D5" w:rsidRDefault="002748E5" w:rsidP="002748E5"/>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23</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rPr>
          <w:rStyle w:val="HideTWBExt"/>
          <w:b w:val="0"/>
          <w:noProof w:val="0"/>
          <w:vanish w:val="0"/>
          <w:color w:val="auto"/>
        </w:rPr>
      </w:pPr>
      <w:r w:rsidRPr="008320D5">
        <w:t>Článok 3 – odsek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szCs w:val="24"/>
              </w:rPr>
            </w:pPr>
            <w:r w:rsidRPr="008320D5">
              <w:rPr>
                <w:b/>
                <w:bCs/>
                <w:i/>
                <w:iCs/>
              </w:rPr>
              <w:t>Komisia je splnomocnená prijímať delegované akty v súlade s článkom 18 s cieľom začleniť akékoľvek ďalšie zmeny smernice OECD o transferovom oceňovaní, ako sa vymedzuje v bode 18 tohto článku, ktoré členské štáty schválili v rámci Výboru OECD pre fiškálne záležitosti alebo Únia schválila prijatím pozície Únie podľa článku 218 ZFEÚ.</w:t>
            </w:r>
          </w:p>
        </w:tc>
      </w:tr>
    </w:tbl>
    <w:p w:rsidR="002748E5" w:rsidRPr="008320D5" w:rsidRDefault="002748E5" w:rsidP="002748E5">
      <w:pPr>
        <w:pStyle w:val="AmNumberTabs"/>
      </w:pPr>
      <w:r w:rsidRPr="008320D5">
        <w:t>Pozmeňujúci návrh</w:t>
      </w:r>
      <w:r w:rsidRPr="008320D5">
        <w:tab/>
      </w:r>
      <w:r w:rsidRPr="008320D5">
        <w:tab/>
        <w:t>24</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5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a)</w:t>
            </w:r>
            <w:r w:rsidRPr="008320D5">
              <w:tab/>
              <w:t>daná osoba sa zúčastňuje na riadení inej osoby tak, že je v postavení uplatňovať na túto inú osobu významný vplyv;</w:t>
            </w:r>
          </w:p>
        </w:tc>
        <w:tc>
          <w:tcPr>
            <w:tcW w:w="4876" w:type="dxa"/>
          </w:tcPr>
          <w:p w:rsidR="002748E5" w:rsidRPr="008320D5" w:rsidRDefault="002748E5" w:rsidP="00D02FC5">
            <w:pPr>
              <w:pStyle w:val="Normal6a"/>
            </w:pPr>
            <w:r w:rsidRPr="008320D5">
              <w:rPr>
                <w:i/>
              </w:rPr>
              <w:t>(Netýka sa slovenskej verzie.)</w:t>
            </w:r>
            <w:r w:rsidRPr="008320D5">
              <w:tab/>
              <w:t xml:space="preserve"> </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25</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6 – odsek 3 – písmeno a – bod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i)</w:t>
            </w:r>
            <w:r w:rsidRPr="008320D5">
              <w:tab/>
              <w:t>uvedú všetky skutkové a právne okolnosti potrebné na vyhodnotenie primárnej úpravy vykonanej v dotknutej inej jurisdikcii, a to na základe princípu nezávislého vzťahu;</w:t>
            </w:r>
          </w:p>
        </w:tc>
        <w:tc>
          <w:tcPr>
            <w:tcW w:w="4876" w:type="dxa"/>
          </w:tcPr>
          <w:p w:rsidR="002748E5" w:rsidRPr="008320D5" w:rsidRDefault="002748E5" w:rsidP="00D02FC5">
            <w:pPr>
              <w:pStyle w:val="Normal6a"/>
            </w:pPr>
            <w:r w:rsidRPr="008320D5">
              <w:t>i)</w:t>
            </w:r>
            <w:r w:rsidRPr="008320D5">
              <w:tab/>
              <w:t>uvedú všetky skutkové a právne okolnosti potrebné na vyhodnotenie primárnej úpravy vykonanej v dotknutej inej jurisdikcii, a to na základe princípu nezávislého vzťahu</w:t>
            </w:r>
            <w:r w:rsidRPr="008320D5">
              <w:rPr>
                <w:b/>
                <w:i/>
              </w:rPr>
              <w:t xml:space="preserve"> vrátane príslušnej dokumentácie o transferovom oceňovaní oznámenej členským štátom</w:t>
            </w:r>
            <w:r w:rsidRPr="008320D5">
              <w:t>;</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26</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6 – odsek 3 – písmeno a – bod ii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rPr>
            </w:pPr>
            <w:proofErr w:type="spellStart"/>
            <w:r w:rsidRPr="008320D5">
              <w:rPr>
                <w:b/>
                <w:i/>
              </w:rPr>
              <w:t>iia</w:t>
            </w:r>
            <w:proofErr w:type="spellEnd"/>
            <w:r w:rsidRPr="008320D5">
              <w:rPr>
                <w:b/>
                <w:i/>
              </w:rPr>
              <w:t>)</w:t>
            </w:r>
            <w:r w:rsidRPr="008320D5">
              <w:tab/>
            </w:r>
            <w:r w:rsidRPr="008320D5">
              <w:rPr>
                <w:b/>
                <w:i/>
              </w:rPr>
              <w:t>v prípade každého členského štátu, ktorého sa úprava týka, oznámi efektívnu sadzbu dane vypočítanú v zmysle smernice Rady (EÚ) 2022/2523</w:t>
            </w:r>
            <w:r w:rsidRPr="008320D5">
              <w:rPr>
                <w:b/>
                <w:i/>
                <w:vertAlign w:val="superscript"/>
              </w:rPr>
              <w:t>1a</w:t>
            </w:r>
            <w:r w:rsidRPr="008320D5">
              <w:rPr>
                <w:b/>
                <w:i/>
              </w:rPr>
              <w:t>;</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rPr>
            </w:pPr>
            <w:r w:rsidRPr="008320D5">
              <w:rPr>
                <w:b/>
                <w:i/>
              </w:rPr>
              <w:t>________________</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rPr>
            </w:pPr>
            <w:r w:rsidRPr="008320D5">
              <w:rPr>
                <w:b/>
                <w:i/>
                <w:vertAlign w:val="superscript"/>
              </w:rPr>
              <w:t>1a</w:t>
            </w:r>
            <w:r w:rsidRPr="008320D5">
              <w:rPr>
                <w:b/>
                <w:i/>
              </w:rPr>
              <w:t xml:space="preserve"> Smernica Rady (EÚ) 2022/2523 zo 14. decembra 2022 o zabezpečení globálnej minimálnej úrovne zdanenia nadnárodných skupín podnikov a veľkých vnútroštátnych skupín v Únii (Ú. v. EÚ L 328, 22.12.2022, s. 1).</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27</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6 – odsek 3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b)</w:t>
            </w:r>
            <w:r w:rsidRPr="008320D5">
              <w:tab/>
              <w:t xml:space="preserve">členské štáty vyhlásia žiadosť za prípustnú do </w:t>
            </w:r>
            <w:r w:rsidRPr="008320D5">
              <w:rPr>
                <w:b/>
                <w:i/>
              </w:rPr>
              <w:t>30</w:t>
            </w:r>
            <w:r w:rsidRPr="008320D5">
              <w:t xml:space="preserve"> dní prostredníctvom oznámenia daňovníkovi, ak boli predložené všetky informácie uvedené v odseku 3 písm. a). V rovnakej lehote členské štáty oznámia daňovníkovi akékoľvek chýbajúce potrebné informácie a poskytnú mu aspoň </w:t>
            </w:r>
            <w:r w:rsidRPr="008320D5">
              <w:rPr>
                <w:b/>
                <w:i/>
              </w:rPr>
              <w:t>30</w:t>
            </w:r>
            <w:r w:rsidRPr="008320D5">
              <w:t xml:space="preserve"> dní na ich predloženie. Ak daňovník požadované informácie nepredloží v stanovenej lehote, žiadosť sa </w:t>
            </w:r>
            <w:r w:rsidRPr="008320D5">
              <w:rPr>
                <w:b/>
                <w:i/>
              </w:rPr>
              <w:t>môže zamietnuť</w:t>
            </w:r>
            <w:r w:rsidRPr="008320D5">
              <w:t xml:space="preserve"> ako neprípustná;</w:t>
            </w:r>
          </w:p>
        </w:tc>
        <w:tc>
          <w:tcPr>
            <w:tcW w:w="4876" w:type="dxa"/>
          </w:tcPr>
          <w:p w:rsidR="002748E5" w:rsidRPr="008320D5" w:rsidRDefault="002748E5" w:rsidP="00D02FC5">
            <w:pPr>
              <w:pStyle w:val="Normal6a"/>
            </w:pPr>
            <w:r w:rsidRPr="008320D5">
              <w:t>b)</w:t>
            </w:r>
            <w:r w:rsidRPr="008320D5">
              <w:tab/>
              <w:t xml:space="preserve">členské štáty vyhlásia žiadosť za prípustnú do </w:t>
            </w:r>
            <w:r w:rsidRPr="008320D5">
              <w:rPr>
                <w:b/>
                <w:i/>
              </w:rPr>
              <w:t>40</w:t>
            </w:r>
            <w:r w:rsidRPr="008320D5">
              <w:t xml:space="preserve"> dní prostredníctvom oznámenia daňovníkovi, ak boli predložené všetky informácie uvedené v odseku 3 písm. a). V rovnakej lehote členské štáty oznámia daňovníkovi akékoľvek chýbajúce potrebné informácie a poskytnú mu aspoň </w:t>
            </w:r>
            <w:r w:rsidRPr="008320D5">
              <w:rPr>
                <w:b/>
                <w:i/>
              </w:rPr>
              <w:t>40</w:t>
            </w:r>
            <w:r w:rsidRPr="008320D5">
              <w:t xml:space="preserve"> dní na ich predloženie. Ak daňovník požadované informácie nepredloží v stanovenej lehote, žiadosť sa </w:t>
            </w:r>
            <w:r w:rsidRPr="008320D5">
              <w:rPr>
                <w:b/>
                <w:i/>
              </w:rPr>
              <w:t>zamietne</w:t>
            </w:r>
            <w:r w:rsidRPr="008320D5">
              <w:t xml:space="preserve"> ako neprípustná;</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28</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6 – odsek 3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c)</w:t>
            </w:r>
            <w:r w:rsidRPr="008320D5">
              <w:tab/>
              <w:t>členské štáty zabezpečia, aby sa tento postup v prípade, keď primárna úprava vykonaná v inom členskom štáte vedie k dvojitému zdaneniu, ukončil do 180 dní od doručenia žiadosti daňovníka odôvodneným prijatím alebo zamietnutím žiadosti;</w:t>
            </w:r>
          </w:p>
        </w:tc>
        <w:tc>
          <w:tcPr>
            <w:tcW w:w="4876" w:type="dxa"/>
          </w:tcPr>
          <w:p w:rsidR="002748E5" w:rsidRPr="008320D5" w:rsidRDefault="002748E5" w:rsidP="00D02FC5">
            <w:pPr>
              <w:pStyle w:val="Normal6a"/>
            </w:pPr>
            <w:r w:rsidRPr="008320D5">
              <w:t>c)</w:t>
            </w:r>
            <w:r w:rsidRPr="008320D5">
              <w:tab/>
              <w:t xml:space="preserve">členské štáty zabezpečia, aby sa tento postup v prípade, keď primárna úprava vykonaná v inom členskom štáte vedie k dvojitému zdaneniu, ukončil do 200 dní od doručenia žiadosti daňovníka odôvodneným prijatím alebo zamietnutím žiadosti; </w:t>
            </w:r>
            <w:r w:rsidRPr="008320D5">
              <w:rPr>
                <w:b/>
                <w:i/>
              </w:rPr>
              <w:t>Tento postup sa môže jedenkrát predĺžiť o obdobie 100 dní, ak s tým daňovník aj dotknuté členské štáty súhlasia.</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29</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6 – odsek 3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d)</w:t>
            </w:r>
            <w:r w:rsidRPr="008320D5">
              <w:tab/>
              <w:t>v prípade prijatia žiadosti členské štáty oznámia daňovému orgánu druhej dotknutej jurisdikcie uznanie korešpondujúcej úpravy;</w:t>
            </w:r>
          </w:p>
        </w:tc>
        <w:tc>
          <w:tcPr>
            <w:tcW w:w="4876" w:type="dxa"/>
          </w:tcPr>
          <w:p w:rsidR="002748E5" w:rsidRPr="008320D5" w:rsidRDefault="002748E5" w:rsidP="00D02FC5">
            <w:pPr>
              <w:pStyle w:val="Normal6a"/>
            </w:pPr>
            <w:r w:rsidRPr="008320D5">
              <w:t>d)</w:t>
            </w:r>
            <w:r w:rsidRPr="008320D5">
              <w:tab/>
              <w:t xml:space="preserve">v prípade prijatia žiadosti členské štáty </w:t>
            </w:r>
            <w:r w:rsidRPr="008320D5">
              <w:rPr>
                <w:b/>
                <w:i/>
              </w:rPr>
              <w:t xml:space="preserve">okamžite </w:t>
            </w:r>
            <w:r w:rsidRPr="008320D5">
              <w:t>oznámia daňovému orgánu druhej dotknutej jurisdikcie uznanie korešpondujúcej úpravy;</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30</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6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3a.</w:t>
            </w:r>
            <w:r w:rsidRPr="008320D5">
              <w:tab/>
            </w:r>
            <w:r w:rsidRPr="008320D5">
              <w:rPr>
                <w:b/>
                <w:i/>
              </w:rPr>
              <w:t>Na účely odsekov 1, 2 a 3 členské štáty využijú všetky dostupné postupy a opatrenia stanovené v smernici o administratívnej spolupráci v oblasti daní (DAC).</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31</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 xml:space="preserve">Článok 6 – odsek 5 – písmeno a </w:t>
      </w:r>
      <w:proofErr w:type="spellStart"/>
      <w:r w:rsidRPr="008320D5">
        <w:t>a</w:t>
      </w:r>
      <w:proofErr w:type="spellEnd"/>
      <w:r w:rsidRPr="008320D5">
        <w:t xml:space="preserve">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proofErr w:type="spellStart"/>
            <w:r w:rsidRPr="008320D5">
              <w:rPr>
                <w:b/>
                <w:i/>
              </w:rPr>
              <w:t>aa</w:t>
            </w:r>
            <w:proofErr w:type="spellEnd"/>
            <w:r w:rsidRPr="008320D5">
              <w:rPr>
                <w:b/>
                <w:i/>
              </w:rPr>
              <w:t>)</w:t>
            </w:r>
            <w:r w:rsidRPr="008320D5">
              <w:rPr>
                <w:b/>
                <w:i/>
              </w:rPr>
              <w:tab/>
              <w:t>úprava smerom nadol nevedie k dvojitému nezdaneniu, čo znamená, že úprava smerom nadol je zahrnutá do zdaniteľných ziskov pridruženého podniku v inej jurisdikcii;</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32</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11 – odsek 3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a)</w:t>
            </w:r>
            <w:r w:rsidRPr="008320D5">
              <w:tab/>
              <w:t>žiadny z (prípadných) rozdielov medzi porovnávanými transakciami alebo medzi podnikmi vykonávajúcimi tieto transakcie by nemohol podstatne ovplyvniť cenu na voľnom trhu;</w:t>
            </w:r>
          </w:p>
        </w:tc>
        <w:tc>
          <w:tcPr>
            <w:tcW w:w="4876" w:type="dxa"/>
          </w:tcPr>
          <w:p w:rsidR="002748E5" w:rsidRPr="008320D5" w:rsidRDefault="002748E5" w:rsidP="00D02FC5">
            <w:pPr>
              <w:pStyle w:val="Normal6a"/>
            </w:pPr>
            <w:r w:rsidRPr="008320D5">
              <w:t>a)</w:t>
            </w:r>
            <w:r w:rsidRPr="008320D5">
              <w:tab/>
              <w:t xml:space="preserve">žiadny z (prípadných) rozdielov medzi porovnávanými transakciami alebo medzi podnikmi vykonávajúcimi tieto transakcie by nemohol podstatne ovplyvniť cenu </w:t>
            </w:r>
            <w:r w:rsidRPr="008320D5">
              <w:rPr>
                <w:b/>
                <w:i/>
              </w:rPr>
              <w:t xml:space="preserve">alebo rozpätie </w:t>
            </w:r>
            <w:r w:rsidRPr="008320D5">
              <w:t>na voľnom trhu;</w:t>
            </w:r>
          </w:p>
        </w:tc>
      </w:tr>
    </w:tbl>
    <w:p w:rsidR="002748E5" w:rsidRPr="008320D5" w:rsidRDefault="002748E5" w:rsidP="002748E5"/>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33</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14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2.</w:t>
            </w:r>
            <w:r w:rsidRPr="008320D5">
              <w:tab/>
            </w:r>
            <w:r w:rsidRPr="008320D5">
              <w:rPr>
                <w:b/>
                <w:i/>
              </w:rPr>
              <w:t>Rada môže</w:t>
            </w:r>
            <w:r w:rsidRPr="008320D5">
              <w:t xml:space="preserve"> stanoviť ďalšie pravidlá, ktoré budú v súlade </w:t>
            </w:r>
            <w:r w:rsidRPr="008320D5">
              <w:rPr>
                <w:b/>
                <w:i/>
              </w:rPr>
              <w:t>so</w:t>
            </w:r>
            <w:r w:rsidRPr="008320D5">
              <w:t xml:space="preserve"> smernicou </w:t>
            </w:r>
            <w:r w:rsidRPr="008320D5">
              <w:rPr>
                <w:b/>
                <w:i/>
              </w:rPr>
              <w:t xml:space="preserve">OECD </w:t>
            </w:r>
            <w:r w:rsidRPr="008320D5">
              <w:t>o transferovom oceňovaní a budú upravovať, ako sa majú princíp nezávislého vzťahu a ostatné ustanovenia uvedené v kapitole II tejto smernice uplatňovať na konkrétne transakcie s cieľom zabezpečiť väčšiu daňovú istotu a zmierniť riziko dvojitého zdanenia</w:t>
            </w:r>
            <w:r w:rsidRPr="008320D5">
              <w:rPr>
                <w:b/>
                <w:i/>
              </w:rPr>
              <w:t>.</w:t>
            </w:r>
            <w:r w:rsidRPr="008320D5">
              <w:t xml:space="preserve"> </w:t>
            </w:r>
            <w:r w:rsidRPr="008320D5">
              <w:rPr>
                <w:b/>
                <w:i/>
              </w:rPr>
              <w:t>Ide o tieto konkrétne transakcie alebo obchody:</w:t>
            </w:r>
          </w:p>
        </w:tc>
        <w:tc>
          <w:tcPr>
            <w:tcW w:w="4876" w:type="dxa"/>
          </w:tcPr>
          <w:p w:rsidR="002748E5" w:rsidRPr="008320D5" w:rsidRDefault="002748E5" w:rsidP="00D02FC5">
            <w:pPr>
              <w:pStyle w:val="Normal6a"/>
              <w:rPr>
                <w:szCs w:val="24"/>
              </w:rPr>
            </w:pPr>
            <w:r w:rsidRPr="008320D5">
              <w:t>2.</w:t>
            </w:r>
            <w:r w:rsidRPr="008320D5">
              <w:tab/>
            </w:r>
            <w:r w:rsidRPr="008320D5">
              <w:rPr>
                <w:b/>
                <w:i/>
              </w:rPr>
              <w:t>Komisia je oprávnená prijať delegované akty v súlade s článkom 18 s cieľom</w:t>
            </w:r>
            <w:r w:rsidRPr="008320D5">
              <w:t xml:space="preserve"> stanoviť ďalšie pravidlá, ktoré budú v súlade </w:t>
            </w:r>
            <w:r w:rsidRPr="008320D5">
              <w:rPr>
                <w:b/>
                <w:i/>
              </w:rPr>
              <w:t>s najnovšou medzinárodne odporúčanou</w:t>
            </w:r>
            <w:r w:rsidRPr="008320D5">
              <w:t xml:space="preserve"> smernicou o transferovom oceňovaní</w:t>
            </w:r>
            <w:r w:rsidRPr="008320D5">
              <w:rPr>
                <w:b/>
                <w:i/>
              </w:rPr>
              <w:t>, či už od OECD alebo OSN,</w:t>
            </w:r>
            <w:r w:rsidRPr="008320D5">
              <w:t xml:space="preserve"> a budú upravovať, ako sa majú princíp nezávislého vzťahu a ostatné ustanovenia uvedené v kapitole II tejto smernice uplatňovať na konkrétne transakcie s cieľom zabezpečiť väčšiu daňovú istotu a zmierniť riziko dvojitého </w:t>
            </w:r>
            <w:r w:rsidRPr="008320D5">
              <w:rPr>
                <w:b/>
                <w:i/>
              </w:rPr>
              <w:t xml:space="preserve">nezdanenia a dvojitého </w:t>
            </w:r>
            <w:r w:rsidRPr="008320D5">
              <w:t>zdanenia</w:t>
            </w:r>
            <w:r w:rsidRPr="008320D5">
              <w:rPr>
                <w:b/>
                <w:i/>
              </w:rPr>
              <w:t>, a obmedziť daňové spory a zneužívanie daňových predpisov.</w:t>
            </w:r>
          </w:p>
        </w:tc>
      </w:tr>
      <w:tr w:rsidR="002748E5" w:rsidRPr="008320D5" w:rsidTr="00D02FC5">
        <w:trPr>
          <w:jc w:val="center"/>
        </w:trPr>
        <w:tc>
          <w:tcPr>
            <w:tcW w:w="4876" w:type="dxa"/>
          </w:tcPr>
          <w:p w:rsidR="002748E5" w:rsidRPr="008320D5" w:rsidRDefault="002748E5" w:rsidP="00D02FC5">
            <w:pPr>
              <w:pStyle w:val="Normal6a"/>
            </w:pPr>
            <w:r w:rsidRPr="008320D5">
              <w:rPr>
                <w:b/>
                <w:i/>
              </w:rPr>
              <w:t>a)</w:t>
            </w:r>
            <w:r w:rsidRPr="008320D5">
              <w:rPr>
                <w:b/>
                <w:i/>
              </w:rPr>
              <w:tab/>
              <w:t xml:space="preserve">prevod nehmotného majetku alebo práv k nehmotnému majetku medzi pridruženými podnikmi vrátane ťažko </w:t>
            </w:r>
            <w:proofErr w:type="spellStart"/>
            <w:r w:rsidRPr="008320D5">
              <w:rPr>
                <w:b/>
                <w:i/>
              </w:rPr>
              <w:t>ohodnotiteľného</w:t>
            </w:r>
            <w:proofErr w:type="spellEnd"/>
            <w:r w:rsidRPr="008320D5">
              <w:rPr>
                <w:b/>
                <w:i/>
              </w:rPr>
              <w:t xml:space="preserve"> nehmotného majetku;</w:t>
            </w:r>
          </w:p>
        </w:tc>
        <w:tc>
          <w:tcPr>
            <w:tcW w:w="4876" w:type="dxa"/>
          </w:tcPr>
          <w:p w:rsidR="002748E5" w:rsidRPr="008320D5" w:rsidRDefault="002748E5" w:rsidP="00D02FC5">
            <w:pPr>
              <w:pStyle w:val="Normal6a"/>
              <w:rPr>
                <w:szCs w:val="24"/>
              </w:rPr>
            </w:pPr>
          </w:p>
        </w:tc>
      </w:tr>
      <w:tr w:rsidR="002748E5" w:rsidRPr="008320D5" w:rsidTr="00D02FC5">
        <w:trPr>
          <w:jc w:val="center"/>
        </w:trPr>
        <w:tc>
          <w:tcPr>
            <w:tcW w:w="4876" w:type="dxa"/>
          </w:tcPr>
          <w:p w:rsidR="002748E5" w:rsidRPr="008320D5" w:rsidRDefault="002748E5" w:rsidP="00D02FC5">
            <w:pPr>
              <w:pStyle w:val="Normal6a"/>
              <w:rPr>
                <w:b/>
                <w:i/>
              </w:rPr>
            </w:pPr>
            <w:r w:rsidRPr="008320D5">
              <w:rPr>
                <w:b/>
                <w:i/>
              </w:rPr>
              <w:t>b)</w:t>
            </w:r>
            <w:r w:rsidRPr="008320D5">
              <w:rPr>
                <w:b/>
                <w:i/>
              </w:rPr>
              <w:tab/>
              <w:t>poskytovanie služieb medzi pridruženými podnikmi vrátane poskytovania marketingových a distribučných služieb;</w:t>
            </w:r>
          </w:p>
        </w:tc>
        <w:tc>
          <w:tcPr>
            <w:tcW w:w="4876" w:type="dxa"/>
          </w:tcPr>
          <w:p w:rsidR="002748E5" w:rsidRPr="008320D5" w:rsidRDefault="002748E5" w:rsidP="00D02FC5">
            <w:pPr>
              <w:pStyle w:val="Normal6a"/>
              <w:rPr>
                <w:szCs w:val="24"/>
              </w:rPr>
            </w:pPr>
          </w:p>
        </w:tc>
      </w:tr>
      <w:tr w:rsidR="002748E5" w:rsidRPr="008320D5" w:rsidTr="00D02FC5">
        <w:trPr>
          <w:jc w:val="center"/>
        </w:trPr>
        <w:tc>
          <w:tcPr>
            <w:tcW w:w="4876" w:type="dxa"/>
          </w:tcPr>
          <w:p w:rsidR="002748E5" w:rsidRPr="008320D5" w:rsidRDefault="002748E5" w:rsidP="00D02FC5">
            <w:pPr>
              <w:pStyle w:val="Normal6a"/>
              <w:rPr>
                <w:b/>
                <w:i/>
              </w:rPr>
            </w:pPr>
            <w:r w:rsidRPr="008320D5">
              <w:rPr>
                <w:b/>
                <w:i/>
              </w:rPr>
              <w:t>c)</w:t>
            </w:r>
            <w:r w:rsidRPr="008320D5">
              <w:rPr>
                <w:b/>
                <w:i/>
              </w:rPr>
              <w:tab/>
              <w:t>dohody o príspevkoch na náklady medzi pridruženými podnikmi;</w:t>
            </w:r>
          </w:p>
        </w:tc>
        <w:tc>
          <w:tcPr>
            <w:tcW w:w="4876" w:type="dxa"/>
          </w:tcPr>
          <w:p w:rsidR="002748E5" w:rsidRPr="008320D5" w:rsidRDefault="002748E5" w:rsidP="00D02FC5">
            <w:pPr>
              <w:pStyle w:val="Normal6a"/>
              <w:rPr>
                <w:szCs w:val="24"/>
              </w:rPr>
            </w:pPr>
          </w:p>
        </w:tc>
      </w:tr>
      <w:tr w:rsidR="002748E5" w:rsidRPr="008320D5" w:rsidTr="00D02FC5">
        <w:trPr>
          <w:jc w:val="center"/>
        </w:trPr>
        <w:tc>
          <w:tcPr>
            <w:tcW w:w="4876" w:type="dxa"/>
          </w:tcPr>
          <w:p w:rsidR="002748E5" w:rsidRPr="008320D5" w:rsidRDefault="002748E5" w:rsidP="00D02FC5">
            <w:pPr>
              <w:pStyle w:val="Normal6a"/>
              <w:rPr>
                <w:b/>
                <w:i/>
              </w:rPr>
            </w:pPr>
            <w:r w:rsidRPr="008320D5">
              <w:rPr>
                <w:b/>
                <w:i/>
              </w:rPr>
              <w:t>d)</w:t>
            </w:r>
            <w:r w:rsidRPr="008320D5">
              <w:rPr>
                <w:b/>
                <w:i/>
              </w:rPr>
              <w:tab/>
              <w:t>transakcie medzi pridruženými podnikmi v rámci reštrukturalizácie podnikov;</w:t>
            </w:r>
          </w:p>
        </w:tc>
        <w:tc>
          <w:tcPr>
            <w:tcW w:w="4876" w:type="dxa"/>
          </w:tcPr>
          <w:p w:rsidR="002748E5" w:rsidRPr="008320D5" w:rsidRDefault="002748E5" w:rsidP="00D02FC5">
            <w:pPr>
              <w:pStyle w:val="Normal6a"/>
              <w:rPr>
                <w:szCs w:val="24"/>
              </w:rPr>
            </w:pPr>
          </w:p>
        </w:tc>
      </w:tr>
      <w:tr w:rsidR="002748E5" w:rsidRPr="008320D5" w:rsidTr="00D02FC5">
        <w:trPr>
          <w:jc w:val="center"/>
        </w:trPr>
        <w:tc>
          <w:tcPr>
            <w:tcW w:w="4876" w:type="dxa"/>
          </w:tcPr>
          <w:p w:rsidR="002748E5" w:rsidRPr="008320D5" w:rsidRDefault="002748E5" w:rsidP="00D02FC5">
            <w:pPr>
              <w:pStyle w:val="Normal6a"/>
              <w:rPr>
                <w:b/>
                <w:i/>
              </w:rPr>
            </w:pPr>
            <w:r w:rsidRPr="008320D5">
              <w:rPr>
                <w:b/>
                <w:i/>
              </w:rPr>
              <w:t>e)</w:t>
            </w:r>
            <w:r w:rsidRPr="008320D5">
              <w:rPr>
                <w:b/>
                <w:i/>
              </w:rPr>
              <w:tab/>
              <w:t>finančné transakcie;</w:t>
            </w:r>
          </w:p>
        </w:tc>
        <w:tc>
          <w:tcPr>
            <w:tcW w:w="4876" w:type="dxa"/>
          </w:tcPr>
          <w:p w:rsidR="002748E5" w:rsidRPr="008320D5" w:rsidRDefault="002748E5" w:rsidP="00D02FC5">
            <w:pPr>
              <w:pStyle w:val="Normal6a"/>
              <w:rPr>
                <w:szCs w:val="24"/>
              </w:rPr>
            </w:pPr>
          </w:p>
        </w:tc>
      </w:tr>
      <w:tr w:rsidR="002748E5" w:rsidRPr="008320D5" w:rsidTr="00D02FC5">
        <w:trPr>
          <w:jc w:val="center"/>
        </w:trPr>
        <w:tc>
          <w:tcPr>
            <w:tcW w:w="4876" w:type="dxa"/>
          </w:tcPr>
          <w:p w:rsidR="002748E5" w:rsidRPr="008320D5" w:rsidRDefault="002748E5" w:rsidP="00D02FC5">
            <w:pPr>
              <w:pStyle w:val="Normal6a"/>
              <w:rPr>
                <w:b/>
                <w:i/>
              </w:rPr>
            </w:pPr>
            <w:r w:rsidRPr="008320D5">
              <w:rPr>
                <w:b/>
                <w:i/>
              </w:rPr>
              <w:t>f)</w:t>
            </w:r>
            <w:r w:rsidRPr="008320D5">
              <w:rPr>
                <w:b/>
                <w:i/>
              </w:rPr>
              <w:tab/>
              <w:t>obchody medzi ústredím a jeho stálymi prevádzkarňami.</w:t>
            </w:r>
          </w:p>
        </w:tc>
        <w:tc>
          <w:tcPr>
            <w:tcW w:w="4876" w:type="dxa"/>
          </w:tcPr>
          <w:p w:rsidR="002748E5" w:rsidRPr="008320D5" w:rsidRDefault="002748E5" w:rsidP="00D02FC5">
            <w:pPr>
              <w:pStyle w:val="Normal6a"/>
              <w:rPr>
                <w:szCs w:val="24"/>
              </w:rPr>
            </w:pP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34</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14 – odsek 2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r w:rsidRPr="008320D5">
              <w:rPr>
                <w:b/>
                <w:i/>
              </w:rPr>
              <w:t>2a.</w:t>
            </w:r>
            <w:r w:rsidRPr="008320D5">
              <w:rPr>
                <w:b/>
                <w:i/>
              </w:rPr>
              <w:tab/>
              <w:t>Komisia môže prijať delegované akty v súlade článkom 18 s cieľom stanoviť ďalšie pravidlá, ako je zavedenie bezpečných prístavov, s cieľom zjednodušiť uplatňovanie princípu nezávislého vzťahu v Únii, zabezpečiť väčšiu daňovú istotu, zmierniť riziko dvojitého nezdanenia a dvojitého zdanenia a obmedziť daňové spory a zneužívanie daňových predpisov.</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35</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14 – odsek 2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r w:rsidRPr="008320D5">
              <w:rPr>
                <w:b/>
                <w:i/>
              </w:rPr>
              <w:t>2b.</w:t>
            </w:r>
            <w:r w:rsidRPr="008320D5">
              <w:rPr>
                <w:b/>
                <w:i/>
              </w:rPr>
              <w:tab/>
              <w:t>Komisia môže prijať delegovaný akt v súlade s článkom 18, v ktorom stanoví pravidlá na začlenenie navrhovaného zjednodušeného prístupu k dodržiavaniu pravidiel transferového oceňovania v prípade distribučných a výrobných činností, ako sa uvádza v smernici Rady XX/XX/EÚ o podnikaní v Európe: rámec pre zdaňovanie príjmov (BEFIT), do tejto smernice.</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36</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14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rPr>
                <w:b/>
                <w:i/>
              </w:rPr>
              <w:t>3.</w:t>
            </w:r>
            <w:r w:rsidRPr="008320D5">
              <w:tab/>
            </w:r>
            <w:r w:rsidRPr="008320D5">
              <w:rPr>
                <w:b/>
                <w:i/>
              </w:rPr>
              <w:t>Pravidlá uvedené v odseku 2</w:t>
            </w:r>
            <w:r w:rsidRPr="008320D5">
              <w:t xml:space="preserve"> sa</w:t>
            </w:r>
            <w:r w:rsidRPr="008320D5">
              <w:rPr>
                <w:b/>
                <w:i/>
              </w:rPr>
              <w:t xml:space="preserve"> prijmú prostredníctvom vykonávacích aktov Rady na základe návrhu Komisie.</w:t>
            </w:r>
          </w:p>
        </w:tc>
        <w:tc>
          <w:tcPr>
            <w:tcW w:w="4876" w:type="dxa"/>
          </w:tcPr>
          <w:p w:rsidR="002748E5" w:rsidRPr="008320D5" w:rsidRDefault="002748E5" w:rsidP="00D02FC5">
            <w:pPr>
              <w:pStyle w:val="Normal6a"/>
              <w:rPr>
                <w:b/>
                <w:i/>
                <w:szCs w:val="24"/>
              </w:rPr>
            </w:pPr>
            <w:r w:rsidRPr="008320D5">
              <w:rPr>
                <w:b/>
                <w:i/>
              </w:rPr>
              <w:t>vypúšťa sa</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37</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14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jc w:val="center"/>
            </w:pPr>
            <w:r w:rsidRPr="008320D5">
              <w:rPr>
                <w:b/>
                <w:i/>
              </w:rPr>
              <w:t>Article14a</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spacing w:after="120"/>
              <w:jc w:val="center"/>
              <w:rPr>
                <w:b/>
                <w:i/>
              </w:rPr>
            </w:pPr>
            <w:r w:rsidRPr="008320D5">
              <w:rPr>
                <w:b/>
                <w:i/>
              </w:rPr>
              <w:t>Obnovenie Spoločného fóra EÚ pre transferové oceňovanie</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1.</w:t>
            </w:r>
            <w:r w:rsidRPr="008320D5">
              <w:tab/>
            </w:r>
            <w:r w:rsidRPr="008320D5">
              <w:rPr>
                <w:b/>
                <w:i/>
              </w:rPr>
              <w:t>Komisia zriadi Európske fórum pre transferové oceňovanie (ďalej len „EFTP“) a predsedá mu.</w:t>
            </w:r>
            <w:r w:rsidRPr="008320D5">
              <w:t xml:space="preserve"> </w:t>
            </w:r>
            <w:r w:rsidRPr="008320D5">
              <w:rPr>
                <w:b/>
                <w:i/>
              </w:rPr>
              <w:t>EFTP poskytuje výboru poradenstvo a pomoc v zmysle článku 17, najmä pri posudzovaní potreby akejkoľvek úpravy tejto smernice s cieľom zaručiť trvalú jednotnosť metodík transferového oceňovania v rámci Únie a na celosvetovej úrovni, a najmä zohľadňuje vývoj na úrovni OECD a OSN.</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2.</w:t>
            </w:r>
            <w:r w:rsidRPr="008320D5">
              <w:tab/>
            </w:r>
            <w:r w:rsidRPr="008320D5">
              <w:rPr>
                <w:b/>
                <w:i/>
              </w:rPr>
              <w:t>EFTP sa skladá zo zástupcov členských štátov a sú v ňom vyvážene zastúpení daňovníci, akademickí pracovníci a občianska spoločnosť.</w:t>
            </w:r>
            <w:r w:rsidRPr="008320D5">
              <w:t xml:space="preserve"> </w:t>
            </w:r>
            <w:r w:rsidRPr="008320D5">
              <w:rPr>
                <w:b/>
                <w:i/>
              </w:rPr>
              <w:t>Európsky parlament je členom fóra EFTP v úlohe pozorovateľa.</w:t>
            </w:r>
            <w:r w:rsidRPr="008320D5">
              <w:t xml:space="preserve"> </w:t>
            </w:r>
            <w:r w:rsidRPr="008320D5">
              <w:rPr>
                <w:b/>
                <w:i/>
              </w:rPr>
              <w:t>O podmienkach členstva rozhoduje výbor, ako sa uvádza v článku 17.</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38</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14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jc w:val="center"/>
            </w:pPr>
            <w:r w:rsidRPr="008320D5">
              <w:rPr>
                <w:b/>
                <w:i/>
              </w:rPr>
              <w:t>Článok 14b</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jc w:val="center"/>
              <w:rPr>
                <w:b/>
                <w:i/>
              </w:rPr>
            </w:pPr>
            <w:r w:rsidRPr="008320D5">
              <w:rPr>
                <w:b/>
                <w:i/>
              </w:rPr>
              <w:t>Rozšírenie Európskeho prístupu založeného na dôvere a spolupráci (ETACA)</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1.</w:t>
            </w:r>
            <w:r w:rsidRPr="008320D5">
              <w:tab/>
            </w:r>
            <w:r w:rsidRPr="008320D5">
              <w:rPr>
                <w:b/>
                <w:i/>
              </w:rPr>
              <w:t>Európsky prístup založený na dôvere a spolupráci (ETACA) zahŕňa preskúmanie transferového oceňovania konkrétnych tokov v rámci Únie zúčastnenými členskými štátmi, a nielen transakcií s nízkou pridanou hodnotou, ako je to v súčasnosti.</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2.</w:t>
            </w:r>
            <w:r w:rsidRPr="008320D5">
              <w:tab/>
            </w:r>
            <w:r w:rsidRPr="008320D5">
              <w:rPr>
                <w:b/>
                <w:i/>
              </w:rPr>
              <w:t>Členským štátom sa odporúča, aby vytvorili prepojenie medzi ETACA a záväznými stanoviskami k stanoveniu metódy ocenenia, aby ETACA fungoval ako rýchly nástroj na nájdenie stabilných riešení v prípade problémov, ktoré sa vyskytnú počas procesu preskúmania.</w:t>
            </w:r>
          </w:p>
        </w:tc>
      </w:tr>
    </w:tbl>
    <w:p w:rsidR="002748E5" w:rsidRPr="008320D5" w:rsidRDefault="002748E5" w:rsidP="002748E5"/>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39</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15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w:t>
            </w:r>
            <w:r w:rsidRPr="008320D5">
              <w:tab/>
              <w:t xml:space="preserve">Komisia skúma a hodnotí uplatňovanie tejto smernice </w:t>
            </w:r>
            <w:r w:rsidRPr="008320D5">
              <w:rPr>
                <w:b/>
                <w:i/>
              </w:rPr>
              <w:t>každých päť rokov</w:t>
            </w:r>
            <w:r w:rsidRPr="008320D5">
              <w:t xml:space="preserve"> a predkladá správu o svojom hodnotení Európskemu parlamentu a Rade. Prvá správa sa predloží do 31. decembra </w:t>
            </w:r>
            <w:r w:rsidRPr="008320D5">
              <w:rPr>
                <w:b/>
                <w:i/>
              </w:rPr>
              <w:t>2031</w:t>
            </w:r>
            <w:r w:rsidRPr="008320D5">
              <w:t>.</w:t>
            </w:r>
          </w:p>
        </w:tc>
        <w:tc>
          <w:tcPr>
            <w:tcW w:w="4876" w:type="dxa"/>
          </w:tcPr>
          <w:p w:rsidR="002748E5" w:rsidRPr="008320D5" w:rsidRDefault="002748E5" w:rsidP="00D02FC5">
            <w:pPr>
              <w:pStyle w:val="Normal6a"/>
              <w:rPr>
                <w:szCs w:val="24"/>
              </w:rPr>
            </w:pPr>
            <w:r w:rsidRPr="008320D5">
              <w:t>1.</w:t>
            </w:r>
            <w:r w:rsidRPr="008320D5">
              <w:tab/>
              <w:t xml:space="preserve">Komisia </w:t>
            </w:r>
            <w:r w:rsidRPr="008320D5">
              <w:rPr>
                <w:b/>
                <w:i/>
              </w:rPr>
              <w:t xml:space="preserve">každé tri roky </w:t>
            </w:r>
            <w:r w:rsidRPr="008320D5">
              <w:t>skúma a hodnotí uplatňovanie</w:t>
            </w:r>
            <w:r w:rsidRPr="008320D5">
              <w:rPr>
                <w:b/>
                <w:i/>
              </w:rPr>
              <w:t>, vplyv, ako aj vzájomné pôsobenie</w:t>
            </w:r>
            <w:r w:rsidRPr="008320D5">
              <w:t xml:space="preserve"> tejto smernice </w:t>
            </w:r>
            <w:r w:rsidRPr="008320D5">
              <w:rPr>
                <w:b/>
                <w:i/>
              </w:rPr>
              <w:t>a najnovších smerníc OECD alebo OSN</w:t>
            </w:r>
            <w:r w:rsidRPr="008320D5">
              <w:t xml:space="preserve"> a predkladá správu o svojom hodnotení Európskemu parlamentu a Rade</w:t>
            </w:r>
            <w:r w:rsidRPr="008320D5">
              <w:rPr>
                <w:b/>
                <w:i/>
              </w:rPr>
              <w:t>, podľa potreby spolu s legislatívnym návrhom</w:t>
            </w:r>
            <w:r w:rsidRPr="008320D5">
              <w:t xml:space="preserve">. Prvá správa sa predloží do 31. decembra </w:t>
            </w:r>
            <w:r w:rsidRPr="008320D5">
              <w:rPr>
                <w:b/>
                <w:i/>
              </w:rPr>
              <w:t>2029.</w:t>
            </w:r>
            <w:r w:rsidRPr="008320D5">
              <w:t xml:space="preserve"> </w:t>
            </w:r>
            <w:r w:rsidRPr="008320D5">
              <w:rPr>
                <w:b/>
                <w:i/>
              </w:rPr>
              <w:t>Komisia sa môže odchýliť od týchto lehôt, keď sa na úrovni OECD alebo OSN dohodnú nové smernice o transferovom oceňovaní</w:t>
            </w:r>
            <w:r w:rsidRPr="008320D5">
              <w:t>.</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40</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15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2.</w:t>
            </w:r>
            <w:r w:rsidRPr="008320D5">
              <w:tab/>
              <w:t>Členské štáty oznamujú Komisii príslušné informácie na účely hodnotenia tejto smernice s cieľom zlepšiť uplatňovanie princípu nezávislého vzťahu, znížiť mieru dvojitého zdanenia, ako aj bojovať proti zneužívaniu daňových predpisov, a to v súlade s odsekom 3.</w:t>
            </w:r>
          </w:p>
        </w:tc>
        <w:tc>
          <w:tcPr>
            <w:tcW w:w="4876" w:type="dxa"/>
          </w:tcPr>
          <w:p w:rsidR="002748E5" w:rsidRPr="008320D5" w:rsidRDefault="002748E5" w:rsidP="00D02FC5">
            <w:pPr>
              <w:pStyle w:val="Normal6a"/>
              <w:rPr>
                <w:szCs w:val="24"/>
              </w:rPr>
            </w:pPr>
            <w:r w:rsidRPr="008320D5">
              <w:t>2.</w:t>
            </w:r>
            <w:r w:rsidRPr="008320D5">
              <w:tab/>
              <w:t xml:space="preserve">Členské štáty oznamujú Komisii príslušné informácie na účely hodnotenia tejto smernice s cieľom zlepšiť uplatňovanie princípu nezávislého vzťahu, znížiť mieru dvojitého </w:t>
            </w:r>
            <w:r w:rsidRPr="008320D5">
              <w:rPr>
                <w:b/>
                <w:i/>
              </w:rPr>
              <w:t xml:space="preserve">nezdanenia a dvojitého </w:t>
            </w:r>
            <w:r w:rsidRPr="008320D5">
              <w:t>zdanenia, ako aj bojovať proti zneužívaniu daňových predpisov</w:t>
            </w:r>
            <w:r w:rsidRPr="008320D5">
              <w:rPr>
                <w:b/>
                <w:i/>
              </w:rPr>
              <w:t xml:space="preserve"> a daňovým sporom</w:t>
            </w:r>
            <w:r w:rsidRPr="008320D5">
              <w:t>, a to v súlade s odsekom 3.</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41</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15 – odsek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5.</w:t>
            </w:r>
            <w:r w:rsidRPr="008320D5">
              <w:tab/>
              <w:t xml:space="preserve">Informácie, ktoré oznamuje členský štát Komisii podľa odseku 2, ako aj akékoľvek správy alebo dokumenty, ktoré Komisia vypracúva s použitím takýchto informácií, sa môžu postúpiť iným členským štátom. Na takéto informácie sa vzťahuje povinnosť zachovávať úradné tajomstvo a uplatňuje sa na </w:t>
            </w:r>
            <w:proofErr w:type="spellStart"/>
            <w:r w:rsidRPr="008320D5">
              <w:t>ne</w:t>
            </w:r>
            <w:proofErr w:type="spellEnd"/>
            <w:r w:rsidRPr="008320D5">
              <w:t xml:space="preserve"> ochrana poskytovaná podobným informáciám podľa vnútroštátneho práva členského štátu, ktorý tieto informácie prijal.</w:t>
            </w:r>
          </w:p>
        </w:tc>
        <w:tc>
          <w:tcPr>
            <w:tcW w:w="4876" w:type="dxa"/>
          </w:tcPr>
          <w:p w:rsidR="002748E5" w:rsidRPr="008320D5" w:rsidRDefault="002748E5" w:rsidP="00D02FC5">
            <w:pPr>
              <w:pStyle w:val="Normal6a"/>
              <w:rPr>
                <w:szCs w:val="24"/>
              </w:rPr>
            </w:pPr>
            <w:r w:rsidRPr="008320D5">
              <w:t>5.</w:t>
            </w:r>
            <w:r w:rsidRPr="008320D5">
              <w:tab/>
              <w:t>Informácie, ktoré oznamuje členský štát Komisii podľa odseku 2, ako aj akékoľvek správy alebo dokumenty, ktoré Komisia vypracúva s použitím takýchto informácií, sa môžu postúpiť iným členským štátom</w:t>
            </w:r>
            <w:r w:rsidRPr="008320D5">
              <w:rPr>
                <w:b/>
                <w:i/>
              </w:rPr>
              <w:t xml:space="preserve"> a Európskemu parlamentu</w:t>
            </w:r>
            <w:r w:rsidRPr="008320D5">
              <w:t xml:space="preserve">. Na takéto informácie sa vzťahuje povinnosť zachovávať úradné tajomstvo a uplatňuje sa na </w:t>
            </w:r>
            <w:proofErr w:type="spellStart"/>
            <w:r w:rsidRPr="008320D5">
              <w:t>ne</w:t>
            </w:r>
            <w:proofErr w:type="spellEnd"/>
            <w:r w:rsidRPr="008320D5">
              <w:t xml:space="preserve"> ochrana poskytovaná podobným informáciám podľa vnútroštátneho práva členského štátu, ktorý tieto informácie prijal.</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42</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16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2.</w:t>
            </w:r>
            <w:r w:rsidRPr="008320D5">
              <w:tab/>
              <w:t>Informácie vrátane osobných údajov, ktoré sa spracúvajú v súlade s touto smernicou, sa uchovávajú len tak dlho, ako je to potrebné na dosiahnutie účelov tejto smernice, a to v súlade s vnútroštátnym právom každého prevádzkovateľa týkajúcim sa premlčania, v žiadnom prípade však nie dlhšie ako desať rokov.</w:t>
            </w:r>
          </w:p>
        </w:tc>
        <w:tc>
          <w:tcPr>
            <w:tcW w:w="4876" w:type="dxa"/>
          </w:tcPr>
          <w:p w:rsidR="002748E5" w:rsidRPr="008320D5" w:rsidRDefault="002748E5" w:rsidP="00D02FC5">
            <w:pPr>
              <w:pStyle w:val="Normal6a"/>
              <w:rPr>
                <w:szCs w:val="24"/>
              </w:rPr>
            </w:pPr>
            <w:r w:rsidRPr="008320D5">
              <w:t>2.</w:t>
            </w:r>
            <w:r w:rsidRPr="008320D5">
              <w:tab/>
              <w:t>Informácie vrátane osobných údajov, ktoré sa spracúvajú v súlade s touto smernicou, sa uchovávajú len tak dlho, ako je to potrebné na dosiahnutie účelov tejto smernice, a to v súlade s vnútroštátnym právom každého prevádzkovateľa týkajúcim sa premlčania, v žiadnom prípade však nie dlhšie ako desať rokov</w:t>
            </w:r>
            <w:r w:rsidRPr="008320D5">
              <w:rPr>
                <w:b/>
                <w:i/>
              </w:rPr>
              <w:t xml:space="preserve"> od momentu, keď sú osobné údaje spracované na účely tejto smernice</w:t>
            </w:r>
            <w:r w:rsidRPr="008320D5">
              <w:t>.</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43</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18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1.</w:t>
            </w:r>
            <w:r w:rsidRPr="008320D5">
              <w:tab/>
              <w:t>Komisii sa udeľuje právomoc prijať delegovaný akt uvedený v článku 13 za podmienok stanovených v tomto článku.</w:t>
            </w:r>
          </w:p>
        </w:tc>
        <w:tc>
          <w:tcPr>
            <w:tcW w:w="4876" w:type="dxa"/>
          </w:tcPr>
          <w:p w:rsidR="002748E5" w:rsidRPr="008320D5" w:rsidRDefault="002748E5" w:rsidP="003B1593">
            <w:pPr>
              <w:pStyle w:val="Normal6a"/>
            </w:pPr>
            <w:r w:rsidRPr="008320D5">
              <w:t>1.</w:t>
            </w:r>
            <w:r w:rsidRPr="008320D5">
              <w:tab/>
              <w:t xml:space="preserve">Komisii sa udeľuje právomoc prijať delegovaný akt uvedený v článku </w:t>
            </w:r>
            <w:r w:rsidRPr="008320D5">
              <w:rPr>
                <w:b/>
                <w:i/>
              </w:rPr>
              <w:t xml:space="preserve">3, druhom odseku, článku </w:t>
            </w:r>
            <w:r w:rsidRPr="008320D5">
              <w:t>13</w:t>
            </w:r>
            <w:r w:rsidRPr="008320D5">
              <w:rPr>
                <w:b/>
                <w:i/>
              </w:rPr>
              <w:t xml:space="preserve"> a článku 14 ods. 2, 2a a 2b</w:t>
            </w:r>
            <w:r w:rsidRPr="008320D5">
              <w:t xml:space="preserve"> za podmienok stanovených v tomto článku.</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44</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18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2.</w:t>
            </w:r>
            <w:r w:rsidRPr="008320D5">
              <w:tab/>
              <w:t>Delegovanie právomoci uvedené v</w:t>
            </w:r>
            <w:r w:rsidRPr="008320D5">
              <w:rPr>
                <w:b/>
                <w:i/>
              </w:rPr>
              <w:t> </w:t>
            </w:r>
            <w:r w:rsidRPr="008320D5">
              <w:t>článku 13 môže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delegovaného aktu, ak už nadobudol účinnosť.</w:t>
            </w:r>
          </w:p>
        </w:tc>
        <w:tc>
          <w:tcPr>
            <w:tcW w:w="4876" w:type="dxa"/>
          </w:tcPr>
          <w:p w:rsidR="002748E5" w:rsidRPr="008320D5" w:rsidRDefault="002748E5" w:rsidP="003B1593">
            <w:pPr>
              <w:pStyle w:val="Normal6a"/>
            </w:pPr>
            <w:r w:rsidRPr="008320D5">
              <w:t>2.</w:t>
            </w:r>
            <w:r w:rsidRPr="008320D5">
              <w:tab/>
              <w:t>Delegovanie právomoci uvedené v</w:t>
            </w:r>
            <w:r w:rsidRPr="008320D5">
              <w:rPr>
                <w:b/>
                <w:i/>
              </w:rPr>
              <w:t xml:space="preserve"> článku 3 druhom odseku, v </w:t>
            </w:r>
            <w:r w:rsidRPr="008320D5">
              <w:t xml:space="preserve">článku 13 </w:t>
            </w:r>
            <w:r w:rsidRPr="008320D5">
              <w:rPr>
                <w:b/>
                <w:i/>
              </w:rPr>
              <w:t xml:space="preserve">a článku 14 ods. 2, 2a a 2b </w:t>
            </w:r>
            <w:r w:rsidRPr="008320D5">
              <w:t>môže</w:t>
            </w:r>
            <w:r w:rsidRPr="008320D5">
              <w:rPr>
                <w:b/>
                <w:i/>
              </w:rPr>
              <w:t xml:space="preserve"> Európsky parlament alebo</w:t>
            </w:r>
            <w:r w:rsidRPr="008320D5">
              <w:t xml:space="preserve">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delegovaného aktu, ak už nadobudol účinnosť.</w:t>
            </w:r>
          </w:p>
        </w:tc>
      </w:tr>
    </w:tbl>
    <w:p w:rsidR="002748E5" w:rsidRPr="008320D5" w:rsidRDefault="002748E5" w:rsidP="002748E5"/>
    <w:p w:rsidR="002748E5" w:rsidRPr="008320D5" w:rsidRDefault="002748E5" w:rsidP="002748E5">
      <w:pPr>
        <w:pStyle w:val="AmNumberTabs"/>
      </w:pPr>
      <w:r w:rsidRPr="008320D5">
        <w:t>Pozmeňujúci návrh</w:t>
      </w:r>
      <w:r w:rsidRPr="008320D5">
        <w:tab/>
      </w:r>
      <w:r w:rsidRPr="008320D5">
        <w:tab/>
        <w:t>45</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18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3.</w:t>
            </w:r>
            <w:r w:rsidRPr="008320D5">
              <w:tab/>
              <w:t>Komisia pred prijatím delegovaného aktu konzultuje s expertmi určenými jednotlivými členskými štátmi v súlade so zásadami stanovenými v </w:t>
            </w:r>
            <w:proofErr w:type="spellStart"/>
            <w:r w:rsidRPr="008320D5">
              <w:t>Medziinštitucionálnej</w:t>
            </w:r>
            <w:proofErr w:type="spellEnd"/>
            <w:r w:rsidRPr="008320D5">
              <w:t xml:space="preserve"> dohode o lepšej tvorbe práva z 13. apríla 2016.</w:t>
            </w:r>
          </w:p>
        </w:tc>
        <w:tc>
          <w:tcPr>
            <w:tcW w:w="4876" w:type="dxa"/>
          </w:tcPr>
          <w:p w:rsidR="002748E5" w:rsidRPr="008320D5" w:rsidRDefault="002748E5" w:rsidP="00D02FC5">
            <w:pPr>
              <w:pStyle w:val="Normal6a"/>
            </w:pPr>
            <w:r w:rsidRPr="008320D5">
              <w:t>3.</w:t>
            </w:r>
            <w:r w:rsidRPr="008320D5">
              <w:tab/>
              <w:t>Komisia pred prijatím delegovaného aktu konzultuje s expertmi určenými jednotlivými členskými štátmi v súlade so zásadami stanovenými v </w:t>
            </w:r>
            <w:proofErr w:type="spellStart"/>
            <w:r w:rsidRPr="008320D5">
              <w:t>Medziinštitucionálnej</w:t>
            </w:r>
            <w:proofErr w:type="spellEnd"/>
            <w:r w:rsidRPr="008320D5">
              <w:t xml:space="preserve"> dohode o lepšej tvorbe práva z 13. apríla 2016. </w:t>
            </w:r>
            <w:r w:rsidRPr="008320D5">
              <w:rPr>
                <w:b/>
                <w:i/>
              </w:rPr>
              <w:t>Príslušným odborným orgánom je Európske fórum pre transferové oceňovanie uvedené v článku 14a.</w:t>
            </w:r>
          </w:p>
        </w:tc>
      </w:tr>
    </w:tbl>
    <w:p w:rsidR="002748E5" w:rsidRPr="008320D5" w:rsidRDefault="002748E5" w:rsidP="002748E5"/>
    <w:p w:rsidR="002748E5" w:rsidRPr="008320D5" w:rsidRDefault="002748E5" w:rsidP="00E921F1">
      <w:pPr>
        <w:pStyle w:val="AmNumberTabs"/>
      </w:pPr>
      <w:r w:rsidRPr="008320D5">
        <w:t>Pozmeňujúci návrh</w:t>
      </w:r>
      <w:r w:rsidRPr="008320D5">
        <w:tab/>
      </w:r>
      <w:r w:rsidRPr="008320D5">
        <w:tab/>
        <w:t>46</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19 – odsek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b/>
                <w:i/>
                <w:szCs w:val="24"/>
              </w:rPr>
            </w:pPr>
            <w:r w:rsidRPr="008320D5">
              <w:rPr>
                <w:b/>
                <w:i/>
              </w:rPr>
              <w:t>Európsky parlament sa môže ako pozorovateľ zúčastniť na medzinárodných rokovaniach o smernici o transferovom oceňovaní na príslušných medzinárodných fórach.</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47</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Článok 19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jc w:val="center"/>
              <w:rPr>
                <w:b/>
                <w:i/>
                <w:szCs w:val="24"/>
              </w:rPr>
            </w:pPr>
            <w:r w:rsidRPr="008320D5">
              <w:rPr>
                <w:b/>
                <w:i/>
              </w:rPr>
              <w:t>Článok 19a</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jc w:val="center"/>
              <w:rPr>
                <w:b/>
                <w:i/>
                <w:szCs w:val="24"/>
              </w:rPr>
            </w:pPr>
            <w:r w:rsidRPr="008320D5">
              <w:rPr>
                <w:b/>
                <w:i/>
              </w:rPr>
              <w:t>Preskúmanie</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rPr>
                <w:szCs w:val="24"/>
              </w:rPr>
            </w:pPr>
            <w:r w:rsidRPr="008320D5">
              <w:rPr>
                <w:b/>
                <w:i/>
              </w:rPr>
              <w:t>Komisia preskúma uplatňovanie tejto smernice pre nadnárodné skupiny podnikov, ktoré patria do rozsahu pôsobnosti návrhu smernice Rady s názvom Podnikanie v Európe: rámec pre zdaňovanie príjmov (BEFIT), keď táto smernica nadobudne účinnosť.</w:t>
            </w:r>
          </w:p>
        </w:tc>
      </w:tr>
    </w:tbl>
    <w:p w:rsidR="002748E5" w:rsidRPr="008320D5" w:rsidRDefault="002748E5" w:rsidP="002748E5">
      <w:pPr>
        <w:pStyle w:val="AmNumberTabs"/>
      </w:pPr>
      <w:r w:rsidRPr="008320D5">
        <w:t>Pozmeňujúci návrh</w:t>
      </w:r>
      <w:r w:rsidRPr="008320D5">
        <w:tab/>
      </w:r>
      <w:r w:rsidRPr="008320D5">
        <w:tab/>
        <w:t>48</w:t>
      </w:r>
    </w:p>
    <w:p w:rsidR="002748E5" w:rsidRPr="008320D5" w:rsidRDefault="002748E5" w:rsidP="002748E5">
      <w:pPr>
        <w:pStyle w:val="NormalBold12b"/>
      </w:pPr>
      <w:r w:rsidRPr="008320D5">
        <w:t>Návrh smernice</w:t>
      </w:r>
    </w:p>
    <w:p w:rsidR="002748E5" w:rsidRPr="008320D5" w:rsidRDefault="002748E5" w:rsidP="002748E5">
      <w:pPr>
        <w:pStyle w:val="NormalBold"/>
      </w:pPr>
      <w:r w:rsidRPr="008320D5">
        <w:t>Článok 19 b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48E5" w:rsidRPr="008320D5" w:rsidTr="00D02FC5">
        <w:trPr>
          <w:trHeight w:hRule="exact" w:val="240"/>
          <w:jc w:val="center"/>
        </w:trPr>
        <w:tc>
          <w:tcPr>
            <w:tcW w:w="9752" w:type="dxa"/>
            <w:gridSpan w:val="2"/>
          </w:tcPr>
          <w:p w:rsidR="002748E5" w:rsidRPr="008320D5" w:rsidRDefault="002748E5" w:rsidP="00D02FC5"/>
        </w:tc>
      </w:tr>
      <w:tr w:rsidR="002748E5" w:rsidRPr="008320D5" w:rsidTr="00D02FC5">
        <w:trPr>
          <w:trHeight w:val="240"/>
          <w:jc w:val="center"/>
        </w:trPr>
        <w:tc>
          <w:tcPr>
            <w:tcW w:w="4876" w:type="dxa"/>
          </w:tcPr>
          <w:p w:rsidR="002748E5" w:rsidRPr="008320D5" w:rsidRDefault="002748E5" w:rsidP="00D02FC5">
            <w:pPr>
              <w:pStyle w:val="AmColumnHeading"/>
            </w:pPr>
            <w:r w:rsidRPr="008320D5">
              <w:t>Text predložený Komisiou</w:t>
            </w:r>
          </w:p>
        </w:tc>
        <w:tc>
          <w:tcPr>
            <w:tcW w:w="4876" w:type="dxa"/>
          </w:tcPr>
          <w:p w:rsidR="002748E5" w:rsidRPr="008320D5" w:rsidRDefault="002748E5" w:rsidP="00D02FC5">
            <w:pPr>
              <w:pStyle w:val="AmColumnHeading"/>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jc w:val="center"/>
            </w:pPr>
            <w:r w:rsidRPr="008320D5">
              <w:rPr>
                <w:b/>
                <w:i/>
              </w:rPr>
              <w:t>Článok 19b</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jc w:val="center"/>
            </w:pPr>
            <w:r w:rsidRPr="008320D5">
              <w:rPr>
                <w:b/>
                <w:i/>
              </w:rPr>
              <w:t>Zmena smernice 2011/16/EÚ</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V smernici 2011/16/EÚ sa článok 8a ods. 6 bod i) nahrádza takto:</w:t>
            </w:r>
          </w:p>
        </w:tc>
      </w:tr>
      <w:tr w:rsidR="002748E5" w:rsidRPr="008320D5" w:rsidTr="00D02FC5">
        <w:trPr>
          <w:jc w:val="center"/>
        </w:trPr>
        <w:tc>
          <w:tcPr>
            <w:tcW w:w="4876" w:type="dxa"/>
          </w:tcPr>
          <w:p w:rsidR="002748E5" w:rsidRPr="008320D5" w:rsidRDefault="002748E5" w:rsidP="00D02FC5">
            <w:pPr>
              <w:pStyle w:val="Normal6a"/>
            </w:pPr>
          </w:p>
        </w:tc>
        <w:tc>
          <w:tcPr>
            <w:tcW w:w="4876" w:type="dxa"/>
          </w:tcPr>
          <w:p w:rsidR="002748E5" w:rsidRPr="008320D5" w:rsidRDefault="002748E5" w:rsidP="00D02FC5">
            <w:pPr>
              <w:pStyle w:val="Normal6a"/>
            </w:pPr>
            <w:r w:rsidRPr="008320D5">
              <w:rPr>
                <w:b/>
                <w:i/>
              </w:rPr>
              <w:t>„i)</w:t>
            </w:r>
            <w:r w:rsidRPr="008320D5">
              <w:rPr>
                <w:b/>
                <w:i/>
              </w:rPr>
              <w:tab/>
              <w:t>identifikáciu metódy použitej na určenie transferovej ceny alebo iných metód a techník oceňovania na odhad ceny za nezávislých trhových podmienok, ako je vymedzené v článku 9 smernice [2024/XX/XX o transferovom oceňovaní], a odôvodnenie použitia takejto metódy alebo samotnej transferovej ceny v prípade dohody o predbežnom oceňovaní;</w:t>
            </w:r>
          </w:p>
        </w:tc>
      </w:tr>
    </w:tbl>
    <w:p w:rsidR="002748E5" w:rsidRPr="008320D5" w:rsidRDefault="002748E5" w:rsidP="002748E5"/>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49</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 xml:space="preserve">Článok 20 – odsek 1 - </w:t>
      </w:r>
      <w:proofErr w:type="spellStart"/>
      <w:r w:rsidRPr="008320D5">
        <w:t>pododsek</w:t>
      </w:r>
      <w:proofErr w:type="spellEnd"/>
      <w:r w:rsidRPr="008320D5">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 xml:space="preserve">Členské štáty prijmú a uverejnia najneskôr do </w:t>
            </w:r>
            <w:r w:rsidRPr="008320D5">
              <w:rPr>
                <w:b/>
                <w:i/>
              </w:rPr>
              <w:t>[</w:t>
            </w:r>
            <w:r w:rsidRPr="008320D5">
              <w:t xml:space="preserve">31. decembra </w:t>
            </w:r>
            <w:r w:rsidRPr="008320D5">
              <w:rPr>
                <w:b/>
                <w:i/>
              </w:rPr>
              <w:t xml:space="preserve">2025] </w:t>
            </w:r>
            <w:r w:rsidRPr="008320D5">
              <w:t>zákony, iné právne predpisy a správne opatrenia potrebné na dosiahnutie súladu s touto smernicou. Znenie týchto ustanovení bezodkladne oznámia Komisii.</w:t>
            </w:r>
          </w:p>
        </w:tc>
        <w:tc>
          <w:tcPr>
            <w:tcW w:w="4876" w:type="dxa"/>
          </w:tcPr>
          <w:p w:rsidR="002748E5" w:rsidRPr="008320D5" w:rsidRDefault="002748E5" w:rsidP="00D02FC5">
            <w:pPr>
              <w:pStyle w:val="Normal6a"/>
              <w:rPr>
                <w:szCs w:val="24"/>
              </w:rPr>
            </w:pPr>
            <w:r w:rsidRPr="008320D5">
              <w:t xml:space="preserve">Členské štáty prijmú a uverejnia najneskôr do 31. decembra </w:t>
            </w:r>
            <w:r w:rsidRPr="008320D5">
              <w:rPr>
                <w:b/>
                <w:i/>
              </w:rPr>
              <w:t>2024</w:t>
            </w:r>
            <w:r w:rsidRPr="008320D5">
              <w:t xml:space="preserve"> zákony, iné právne predpisy a správne opatrenia potrebné na dosiahnutie súladu s touto smernicou. Znenie týchto ustanovení bezodkladne oznámia Komisii.</w:t>
            </w:r>
          </w:p>
        </w:tc>
      </w:tr>
    </w:tbl>
    <w:p w:rsidR="002748E5" w:rsidRPr="008320D5" w:rsidRDefault="002748E5" w:rsidP="002748E5"/>
    <w:p w:rsidR="002748E5" w:rsidRPr="008320D5" w:rsidRDefault="002748E5" w:rsidP="002748E5">
      <w:pPr>
        <w:pStyle w:val="AmNumberTabs"/>
        <w:keepNext/>
      </w:pPr>
      <w:r w:rsidRPr="008320D5">
        <w:t>Pozmeňujúci návrh</w:t>
      </w:r>
      <w:r w:rsidRPr="008320D5">
        <w:tab/>
      </w:r>
      <w:r w:rsidRPr="008320D5">
        <w:tab/>
        <w:t>50</w:t>
      </w:r>
    </w:p>
    <w:p w:rsidR="002748E5" w:rsidRPr="008320D5" w:rsidRDefault="002748E5" w:rsidP="002748E5">
      <w:pPr>
        <w:pStyle w:val="NormalBold12b"/>
        <w:keepNext/>
      </w:pPr>
      <w:r w:rsidRPr="008320D5">
        <w:t>Návrh smernice</w:t>
      </w:r>
    </w:p>
    <w:p w:rsidR="002748E5" w:rsidRPr="008320D5" w:rsidRDefault="002748E5" w:rsidP="002748E5">
      <w:pPr>
        <w:pStyle w:val="NormalBold"/>
        <w:keepNext/>
      </w:pPr>
      <w:r w:rsidRPr="008320D5">
        <w:t xml:space="preserve"> Článok 20 – odsek 1 - </w:t>
      </w:r>
      <w:proofErr w:type="spellStart"/>
      <w:r w:rsidRPr="008320D5">
        <w:t>pododsek</w:t>
      </w:r>
      <w:proofErr w:type="spellEnd"/>
      <w:r w:rsidRPr="008320D5">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748E5" w:rsidRPr="008320D5" w:rsidTr="00D02FC5">
        <w:trPr>
          <w:jc w:val="center"/>
        </w:trPr>
        <w:tc>
          <w:tcPr>
            <w:tcW w:w="9752" w:type="dxa"/>
            <w:gridSpan w:val="2"/>
          </w:tcPr>
          <w:p w:rsidR="002748E5" w:rsidRPr="008320D5" w:rsidRDefault="002748E5" w:rsidP="00D02FC5">
            <w:pPr>
              <w:keepNext/>
            </w:pPr>
          </w:p>
        </w:tc>
      </w:tr>
      <w:tr w:rsidR="002748E5" w:rsidRPr="008320D5" w:rsidTr="00D02FC5">
        <w:trPr>
          <w:jc w:val="center"/>
        </w:trPr>
        <w:tc>
          <w:tcPr>
            <w:tcW w:w="4876" w:type="dxa"/>
          </w:tcPr>
          <w:p w:rsidR="002748E5" w:rsidRPr="008320D5" w:rsidRDefault="002748E5" w:rsidP="00D02FC5">
            <w:pPr>
              <w:pStyle w:val="AmColumnHeading"/>
              <w:keepNext/>
            </w:pPr>
            <w:r w:rsidRPr="008320D5">
              <w:t>Text predložený Komisiou</w:t>
            </w:r>
          </w:p>
        </w:tc>
        <w:tc>
          <w:tcPr>
            <w:tcW w:w="4876" w:type="dxa"/>
          </w:tcPr>
          <w:p w:rsidR="002748E5" w:rsidRPr="008320D5" w:rsidRDefault="002748E5" w:rsidP="00D02FC5">
            <w:pPr>
              <w:pStyle w:val="AmColumnHeading"/>
              <w:keepNext/>
            </w:pPr>
            <w:r w:rsidRPr="008320D5">
              <w:t>Pozmeňujúci návrh</w:t>
            </w:r>
          </w:p>
        </w:tc>
      </w:tr>
      <w:tr w:rsidR="002748E5" w:rsidRPr="008320D5" w:rsidTr="00D02FC5">
        <w:trPr>
          <w:jc w:val="center"/>
        </w:trPr>
        <w:tc>
          <w:tcPr>
            <w:tcW w:w="4876" w:type="dxa"/>
          </w:tcPr>
          <w:p w:rsidR="002748E5" w:rsidRPr="008320D5" w:rsidRDefault="002748E5" w:rsidP="00D02FC5">
            <w:pPr>
              <w:pStyle w:val="Normal6a"/>
            </w:pPr>
            <w:r w:rsidRPr="008320D5">
              <w:t xml:space="preserve">Tieto ustanovenia uplatňujú od </w:t>
            </w:r>
            <w:r w:rsidRPr="008320D5">
              <w:rPr>
                <w:b/>
                <w:i/>
              </w:rPr>
              <w:t>[</w:t>
            </w:r>
            <w:r w:rsidRPr="008320D5">
              <w:t xml:space="preserve">1. januára </w:t>
            </w:r>
            <w:r w:rsidRPr="008320D5">
              <w:rPr>
                <w:b/>
                <w:i/>
              </w:rPr>
              <w:t>2026]</w:t>
            </w:r>
            <w:r w:rsidRPr="008320D5">
              <w:t>.</w:t>
            </w:r>
          </w:p>
        </w:tc>
        <w:tc>
          <w:tcPr>
            <w:tcW w:w="4876" w:type="dxa"/>
          </w:tcPr>
          <w:p w:rsidR="002748E5" w:rsidRPr="008320D5" w:rsidRDefault="002748E5" w:rsidP="00D02FC5">
            <w:pPr>
              <w:pStyle w:val="Normal6a"/>
              <w:rPr>
                <w:szCs w:val="24"/>
              </w:rPr>
            </w:pPr>
            <w:r w:rsidRPr="008320D5">
              <w:t xml:space="preserve">Tieto ustanovenia uplatňujú od 1. januára </w:t>
            </w:r>
            <w:r w:rsidRPr="008320D5">
              <w:rPr>
                <w:b/>
                <w:i/>
              </w:rPr>
              <w:t>2025</w:t>
            </w:r>
            <w:r w:rsidRPr="008320D5">
              <w:t>.</w:t>
            </w:r>
          </w:p>
        </w:tc>
      </w:tr>
    </w:tbl>
    <w:p w:rsidR="002748E5" w:rsidRPr="008320D5" w:rsidRDefault="002748E5" w:rsidP="00567A32"/>
    <w:sectPr w:rsidR="002748E5" w:rsidRPr="008320D5" w:rsidSect="00E20BB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F92" w:rsidRPr="00E20BBD" w:rsidRDefault="00AC4F92">
      <w:r w:rsidRPr="00E20BBD">
        <w:separator/>
      </w:r>
    </w:p>
  </w:endnote>
  <w:endnote w:type="continuationSeparator" w:id="0">
    <w:p w:rsidR="00AC4F92" w:rsidRPr="00E20BBD" w:rsidRDefault="00AC4F92">
      <w:r w:rsidRPr="00E20B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BB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BB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B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F92" w:rsidRPr="00E20BBD" w:rsidRDefault="00AC4F92">
      <w:r w:rsidRPr="00E20BBD">
        <w:separator/>
      </w:r>
    </w:p>
  </w:footnote>
  <w:footnote w:type="continuationSeparator" w:id="0">
    <w:p w:rsidR="00AC4F92" w:rsidRPr="00E20BBD" w:rsidRDefault="00AC4F92">
      <w:r w:rsidRPr="00E20B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BB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BB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0B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SK"/>
    <w:docVar w:name="dvnumam" w:val="50"/>
    <w:docVar w:name="dvpe" w:val="756.000"/>
    <w:docVar w:name="dvrapporteur" w:val="Spravodajkyňa: "/>
    <w:docVar w:name="dvstar" w:val="*"/>
    <w:docVar w:name="dvtitre" w:val="Legislatívne uznesenie Európskeho parlamentu z xx. apríla 2024 o návrhu smernice Rady o transferovom oceňovaní(COM(2023)0529 – C9-0339/2023 – 2023/0322(CNS))"/>
  </w:docVars>
  <w:rsids>
    <w:rsidRoot w:val="00AC4F92"/>
    <w:rsid w:val="00002272"/>
    <w:rsid w:val="00064002"/>
    <w:rsid w:val="000677B9"/>
    <w:rsid w:val="000831BA"/>
    <w:rsid w:val="000A42CC"/>
    <w:rsid w:val="000E7DD9"/>
    <w:rsid w:val="0010095E"/>
    <w:rsid w:val="00125B37"/>
    <w:rsid w:val="00187494"/>
    <w:rsid w:val="001F32AE"/>
    <w:rsid w:val="001F4A72"/>
    <w:rsid w:val="00232501"/>
    <w:rsid w:val="002748E5"/>
    <w:rsid w:val="002767FF"/>
    <w:rsid w:val="002B18FE"/>
    <w:rsid w:val="002B5493"/>
    <w:rsid w:val="00343214"/>
    <w:rsid w:val="00361C00"/>
    <w:rsid w:val="00395FA1"/>
    <w:rsid w:val="003A31EC"/>
    <w:rsid w:val="003B159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A32"/>
    <w:rsid w:val="005C2568"/>
    <w:rsid w:val="006037C0"/>
    <w:rsid w:val="00657F34"/>
    <w:rsid w:val="006631B6"/>
    <w:rsid w:val="00680577"/>
    <w:rsid w:val="006F74FA"/>
    <w:rsid w:val="00731ADD"/>
    <w:rsid w:val="00734777"/>
    <w:rsid w:val="00747932"/>
    <w:rsid w:val="00751A4A"/>
    <w:rsid w:val="00756632"/>
    <w:rsid w:val="00762C74"/>
    <w:rsid w:val="00786EC0"/>
    <w:rsid w:val="007D1690"/>
    <w:rsid w:val="007E22AD"/>
    <w:rsid w:val="00817416"/>
    <w:rsid w:val="008320D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F9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BBD"/>
    <w:rsid w:val="00E365E1"/>
    <w:rsid w:val="00E820A4"/>
    <w:rsid w:val="00E921F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900E1"/>
  <w15:chartTrackingRefBased/>
  <w15:docId w15:val="{A965C689-908D-43EC-B484-CA660FA9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748E5"/>
    <w:pPr>
      <w:spacing w:before="480" w:after="240"/>
    </w:pPr>
  </w:style>
  <w:style w:type="paragraph" w:customStyle="1" w:styleId="Normal6a">
    <w:name w:val="Normal6a"/>
    <w:basedOn w:val="Normal"/>
    <w:rsid w:val="002748E5"/>
    <w:pPr>
      <w:spacing w:after="120"/>
    </w:pPr>
  </w:style>
  <w:style w:type="paragraph" w:customStyle="1" w:styleId="NormalBold">
    <w:name w:val="NormalBold"/>
    <w:basedOn w:val="Normal"/>
    <w:rsid w:val="002748E5"/>
    <w:rPr>
      <w:b/>
    </w:rPr>
  </w:style>
  <w:style w:type="paragraph" w:customStyle="1" w:styleId="NormalHanging12a">
    <w:name w:val="NormalHanging12a"/>
    <w:basedOn w:val="Normal"/>
    <w:rsid w:val="002748E5"/>
    <w:pPr>
      <w:spacing w:after="240"/>
      <w:ind w:left="567" w:hanging="567"/>
    </w:pPr>
  </w:style>
  <w:style w:type="paragraph" w:customStyle="1" w:styleId="AmColumnHeading">
    <w:name w:val="AmColumnHeading"/>
    <w:basedOn w:val="Normal"/>
    <w:rsid w:val="002748E5"/>
    <w:pPr>
      <w:spacing w:after="240"/>
      <w:jc w:val="center"/>
    </w:pPr>
    <w:rPr>
      <w:i/>
    </w:rPr>
  </w:style>
  <w:style w:type="paragraph" w:customStyle="1" w:styleId="AmNumberTabs">
    <w:name w:val="AmNumberTabs"/>
    <w:basedOn w:val="Normal"/>
    <w:link w:val="AmNumberTabsChar"/>
    <w:rsid w:val="002748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748E5"/>
    <w:pPr>
      <w:spacing w:before="240"/>
    </w:pPr>
    <w:rPr>
      <w:b/>
    </w:rPr>
  </w:style>
  <w:style w:type="character" w:styleId="Hyperlink">
    <w:name w:val="Hyperlink"/>
    <w:uiPriority w:val="99"/>
    <w:rsid w:val="002748E5"/>
    <w:rPr>
      <w:color w:val="0000FF"/>
      <w:u w:val="single"/>
    </w:rPr>
  </w:style>
  <w:style w:type="character" w:customStyle="1" w:styleId="AmNumberTabsChar">
    <w:name w:val="AmNumberTabs Char"/>
    <w:basedOn w:val="DefaultParagraphFont"/>
    <w:link w:val="AmNumberTabs"/>
    <w:rsid w:val="002748E5"/>
    <w:rPr>
      <w:b/>
      <w:sz w:val="24"/>
      <w:lang w:val="sk-SK"/>
    </w:rPr>
  </w:style>
  <w:style w:type="character" w:customStyle="1" w:styleId="NormalBold12bChar">
    <w:name w:val="NormalBold12b Char"/>
    <w:basedOn w:val="AmNumberTabsChar"/>
    <w:link w:val="NormalBold12b"/>
    <w:rsid w:val="002748E5"/>
    <w:rPr>
      <w:b/>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SK/TXT/?uri=CELEX:42006X0728(01)" TargetMode="External"/><Relationship Id="rId4" Type="http://schemas.openxmlformats.org/officeDocument/2006/relationships/settings" Target="settings.xml"/><Relationship Id="rId9" Type="http://schemas.openxmlformats.org/officeDocument/2006/relationships/hyperlink" Target="https://eur-lex.europa.eu/legal-content/SK/TXT/?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20784-1BA5-4ECF-97AA-573605C0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5901</Words>
  <Characters>36589</Characters>
  <Application>Microsoft Office Word</Application>
  <DocSecurity>0</DocSecurity>
  <Lines>717</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2024-04-10T14:57:00Z</dcterms:created>
  <dcterms:modified xsi:type="dcterms:W3CDTF">2024-04-10T14:57:00Z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A9-0066/2024</vt:lpwstr>
  </property>
  <property fmtid="{D5CDD505-2E9C-101B-9397-08002B2CF9AE}" pid="4" name="&lt;Type&gt;">
    <vt:lpwstr>RR</vt:lpwstr>
  </property>
</Properties>
</file>