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626" w:rsidTr="0010095E">
        <w:trPr>
          <w:trHeight w:hRule="exact" w:val="1418"/>
        </w:trPr>
        <w:tc>
          <w:tcPr>
            <w:tcW w:w="6804" w:type="dxa"/>
            <w:shd w:val="clear" w:color="auto" w:fill="auto"/>
            <w:vAlign w:val="center"/>
          </w:tcPr>
          <w:p w:rsidR="00751A4A" w:rsidRPr="007A4626" w:rsidRDefault="005462CC" w:rsidP="0010095E">
            <w:pPr>
              <w:pStyle w:val="EPName"/>
            </w:pPr>
            <w:r w:rsidRPr="007A4626">
              <w:t>Evropski parlament</w:t>
            </w:r>
          </w:p>
          <w:p w:rsidR="00751A4A" w:rsidRPr="007A4626" w:rsidRDefault="00817416" w:rsidP="00756632">
            <w:pPr>
              <w:pStyle w:val="EPTerm"/>
              <w:rPr>
                <w:rStyle w:val="HideTWBExt"/>
                <w:noProof w:val="0"/>
                <w:vanish w:val="0"/>
                <w:color w:val="auto"/>
              </w:rPr>
            </w:pPr>
            <w:r w:rsidRPr="007A4626">
              <w:t>2019-2024</w:t>
            </w:r>
          </w:p>
        </w:tc>
        <w:tc>
          <w:tcPr>
            <w:tcW w:w="2268" w:type="dxa"/>
            <w:shd w:val="clear" w:color="auto" w:fill="auto"/>
          </w:tcPr>
          <w:p w:rsidR="00751A4A" w:rsidRPr="007A4626" w:rsidRDefault="00187494" w:rsidP="0010095E">
            <w:pPr>
              <w:pStyle w:val="EPLogo"/>
            </w:pPr>
            <w:r w:rsidRPr="007A46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4626" w:rsidRDefault="00D058B8" w:rsidP="004C5D52">
      <w:pPr>
        <w:pStyle w:val="LineTop"/>
      </w:pPr>
    </w:p>
    <w:p w:rsidR="00680577" w:rsidRPr="007A4626" w:rsidRDefault="005462CC" w:rsidP="00680577">
      <w:pPr>
        <w:pStyle w:val="EPBodyTA1"/>
      </w:pPr>
      <w:r w:rsidRPr="007A4626">
        <w:t>SPREJETA BESEDILA</w:t>
      </w:r>
    </w:p>
    <w:p w:rsidR="00D058B8" w:rsidRPr="007A4626" w:rsidRDefault="00D058B8" w:rsidP="00D058B8">
      <w:pPr>
        <w:pStyle w:val="LineBottom"/>
      </w:pPr>
    </w:p>
    <w:p w:rsidR="005462CC" w:rsidRPr="007A4626" w:rsidRDefault="005462CC" w:rsidP="007A4626">
      <w:pPr>
        <w:pStyle w:val="ATHeading1"/>
      </w:pPr>
      <w:bookmarkStart w:id="0" w:name="TANumber"/>
      <w:r w:rsidRPr="007A4626">
        <w:t>P9_TA(2024)0</w:t>
      </w:r>
      <w:r w:rsidR="007A4626" w:rsidRPr="007A4626">
        <w:t>219</w:t>
      </w:r>
      <w:bookmarkEnd w:id="0"/>
    </w:p>
    <w:p w:rsidR="005462CC" w:rsidRPr="007A4626" w:rsidRDefault="005462CC" w:rsidP="005462CC">
      <w:pPr>
        <w:pStyle w:val="ATHeading2"/>
      </w:pPr>
      <w:bookmarkStart w:id="1" w:name="title"/>
      <w:r w:rsidRPr="007A4626">
        <w:t>Določanje transfernih cen</w:t>
      </w:r>
      <w:bookmarkEnd w:id="1"/>
    </w:p>
    <w:p w:rsidR="005462CC" w:rsidRPr="007A4626" w:rsidRDefault="005462CC" w:rsidP="005462CC">
      <w:pPr>
        <w:rPr>
          <w:i/>
          <w:vanish/>
        </w:rPr>
      </w:pPr>
      <w:r w:rsidRPr="007A4626">
        <w:rPr>
          <w:i/>
        </w:rPr>
        <w:fldChar w:fldCharType="begin"/>
      </w:r>
      <w:r w:rsidRPr="007A4626">
        <w:rPr>
          <w:i/>
        </w:rPr>
        <w:instrText xml:space="preserve"> TC"(</w:instrText>
      </w:r>
      <w:bookmarkStart w:id="2" w:name="DocNumber"/>
      <w:r w:rsidRPr="007A4626">
        <w:rPr>
          <w:i/>
        </w:rPr>
        <w:instrText>A9-0066/2024</w:instrText>
      </w:r>
      <w:bookmarkEnd w:id="2"/>
      <w:r w:rsidRPr="007A4626">
        <w:rPr>
          <w:i/>
        </w:rPr>
        <w:instrText xml:space="preserve"> - Poročevalka: Kira Marie Peter-Hansen)"\l3 \n&gt; \* MERGEFORMAT </w:instrText>
      </w:r>
      <w:r w:rsidRPr="007A4626">
        <w:rPr>
          <w:i/>
        </w:rPr>
        <w:fldChar w:fldCharType="end"/>
      </w:r>
    </w:p>
    <w:p w:rsidR="005462CC" w:rsidRPr="007A4626" w:rsidRDefault="005462CC" w:rsidP="005462CC">
      <w:pPr>
        <w:rPr>
          <w:vanish/>
        </w:rPr>
      </w:pPr>
      <w:bookmarkStart w:id="3" w:name="Commission"/>
      <w:r w:rsidRPr="007A4626">
        <w:rPr>
          <w:vanish/>
        </w:rPr>
        <w:t>Odbor za ekonomske in monetarne zadeve</w:t>
      </w:r>
      <w:bookmarkEnd w:id="3"/>
    </w:p>
    <w:p w:rsidR="005462CC" w:rsidRPr="007A4626" w:rsidRDefault="005462CC" w:rsidP="005462CC">
      <w:pPr>
        <w:rPr>
          <w:vanish/>
        </w:rPr>
      </w:pPr>
      <w:bookmarkStart w:id="4" w:name="PE"/>
      <w:r w:rsidRPr="007A4626">
        <w:rPr>
          <w:vanish/>
        </w:rPr>
        <w:t>PE756.000</w:t>
      </w:r>
      <w:bookmarkEnd w:id="4"/>
    </w:p>
    <w:p w:rsidR="005462CC" w:rsidRPr="007A4626" w:rsidRDefault="005462CC" w:rsidP="005462CC">
      <w:pPr>
        <w:pStyle w:val="ATHeading3"/>
      </w:pPr>
      <w:bookmarkStart w:id="5" w:name="Sujet"/>
      <w:r w:rsidRPr="007A4626">
        <w:t>Zakonodajna resolucija Evropskega parlamenta z dne 10. aprila 2024 o predlogu direktive Sveta o transfernih cenah</w:t>
      </w:r>
      <w:bookmarkEnd w:id="5"/>
      <w:r w:rsidRPr="007A4626">
        <w:t xml:space="preserve"> </w:t>
      </w:r>
      <w:bookmarkStart w:id="6" w:name="References"/>
      <w:r w:rsidRPr="007A4626">
        <w:t>(COM(2023)0529 – C9-0339/2023 – 2023/0322(CNS))</w:t>
      </w:r>
      <w:bookmarkEnd w:id="6"/>
    </w:p>
    <w:p w:rsidR="005462CC" w:rsidRPr="007A4626" w:rsidRDefault="005462CC" w:rsidP="005462CC"/>
    <w:p w:rsidR="00BE27FD" w:rsidRPr="007A4626" w:rsidRDefault="00BE27FD" w:rsidP="00BE27FD">
      <w:pPr>
        <w:pStyle w:val="NormalBold"/>
      </w:pPr>
      <w:bookmarkStart w:id="7" w:name="TextBodyBegin"/>
      <w:bookmarkEnd w:id="7"/>
      <w:r w:rsidRPr="007A4626">
        <w:t>(Posebni zakonodajni postopek – posvetovanje)</w:t>
      </w:r>
    </w:p>
    <w:p w:rsidR="00BE27FD" w:rsidRPr="007A4626" w:rsidRDefault="00BE27FD" w:rsidP="00BE27FD">
      <w:pPr>
        <w:pStyle w:val="EPComma"/>
      </w:pPr>
      <w:r w:rsidRPr="007A4626">
        <w:rPr>
          <w:i/>
          <w:iCs/>
        </w:rPr>
        <w:t>Evropski parlament</w:t>
      </w:r>
      <w:r w:rsidRPr="007A4626">
        <w:t>,</w:t>
      </w:r>
    </w:p>
    <w:p w:rsidR="00BE27FD" w:rsidRPr="007A4626" w:rsidRDefault="00BE27FD" w:rsidP="00BE27FD">
      <w:pPr>
        <w:pStyle w:val="NormalHanging12a"/>
      </w:pPr>
      <w:r w:rsidRPr="007A4626">
        <w:t>–</w:t>
      </w:r>
      <w:r w:rsidRPr="007A4626">
        <w:tab/>
        <w:t>ob upoštevanju predloga Komisije Svetu (COM(2023)0529),</w:t>
      </w:r>
    </w:p>
    <w:p w:rsidR="00BE27FD" w:rsidRPr="007A4626" w:rsidRDefault="00BE27FD" w:rsidP="00BE27FD">
      <w:pPr>
        <w:pStyle w:val="NormalHanging12a"/>
      </w:pPr>
      <w:r w:rsidRPr="007A4626">
        <w:t>–</w:t>
      </w:r>
      <w:r w:rsidRPr="007A4626">
        <w:tab/>
        <w:t>ob upoštevanju člena 115 Pogodbe o delovanju Evropske unije, na podlagi katerega se je Svet posvetoval s Parlamentom (C9-0339/2023),</w:t>
      </w:r>
    </w:p>
    <w:p w:rsidR="00BE27FD" w:rsidRPr="007A4626" w:rsidRDefault="00BE27FD" w:rsidP="00BE27FD">
      <w:pPr>
        <w:pStyle w:val="NormalHanging12a"/>
      </w:pPr>
      <w:r w:rsidRPr="007A4626">
        <w:t>–</w:t>
      </w:r>
      <w:r w:rsidRPr="007A4626">
        <w:tab/>
        <w:t>ob upoštevanju člena 82 Poslovnika,</w:t>
      </w:r>
    </w:p>
    <w:p w:rsidR="00BE27FD" w:rsidRPr="007A4626" w:rsidRDefault="00BE27FD" w:rsidP="00BE27FD">
      <w:pPr>
        <w:pStyle w:val="NormalHanging12a"/>
      </w:pPr>
      <w:r w:rsidRPr="007A4626">
        <w:t>–</w:t>
      </w:r>
      <w:r w:rsidRPr="007A4626">
        <w:tab/>
        <w:t>ob upoštevanju poročila Odbora za ekonomske in monetarne zadeve (A9-0066/2024),</w:t>
      </w:r>
    </w:p>
    <w:p w:rsidR="00BE27FD" w:rsidRPr="007A4626" w:rsidRDefault="00BE27FD" w:rsidP="00BE27FD">
      <w:pPr>
        <w:pStyle w:val="NormalHanging12a"/>
      </w:pPr>
      <w:r w:rsidRPr="007A4626">
        <w:t>1.</w:t>
      </w:r>
      <w:r w:rsidRPr="007A4626">
        <w:tab/>
        <w:t>odobri predlog Komisije, kakor je bil spremenjen;</w:t>
      </w:r>
    </w:p>
    <w:p w:rsidR="00BE27FD" w:rsidRPr="007A4626" w:rsidRDefault="00BE27FD" w:rsidP="00BE27FD">
      <w:pPr>
        <w:pStyle w:val="NormalHanging12a"/>
      </w:pPr>
      <w:r w:rsidRPr="007A4626">
        <w:t>2.</w:t>
      </w:r>
      <w:r w:rsidRPr="007A4626">
        <w:tab/>
        <w:t>poziva Komisijo, naj ustrezno spremeni svoj predlog na podlagi člena 293(2) Pogodbe o delovanju Evropske unije;</w:t>
      </w:r>
    </w:p>
    <w:p w:rsidR="00BE27FD" w:rsidRPr="007A4626" w:rsidRDefault="00BE27FD" w:rsidP="00BE27FD">
      <w:pPr>
        <w:pStyle w:val="NormalHanging12a"/>
      </w:pPr>
      <w:r w:rsidRPr="007A4626">
        <w:t>3.</w:t>
      </w:r>
      <w:r w:rsidRPr="007A4626">
        <w:tab/>
        <w:t>poziva Svet, naj ga obvesti, če namerava odstopiti od besedila, ki ga je odobril Parlament;</w:t>
      </w:r>
    </w:p>
    <w:p w:rsidR="00BE27FD" w:rsidRPr="007A4626" w:rsidRDefault="00BE27FD" w:rsidP="00BE27FD">
      <w:pPr>
        <w:pStyle w:val="NormalHanging12a"/>
      </w:pPr>
      <w:r w:rsidRPr="007A4626">
        <w:t>4.</w:t>
      </w:r>
      <w:r w:rsidRPr="007A4626">
        <w:tab/>
        <w:t>poziva Svet, naj se ponovno posvetuje z njim, če namerava bistveno spremeniti predlog Komisije;</w:t>
      </w:r>
    </w:p>
    <w:p w:rsidR="00BE27FD" w:rsidRPr="007A4626" w:rsidRDefault="00BE27FD" w:rsidP="006F0DF7">
      <w:pPr>
        <w:pStyle w:val="NormalHanging12a"/>
      </w:pPr>
      <w:r w:rsidRPr="007A4626">
        <w:t>5.</w:t>
      </w:r>
      <w:r w:rsidRPr="007A4626">
        <w:tab/>
        <w:t>naroči svoji predsednici, naj stališče Parlamenta posreduje Svetu</w:t>
      </w:r>
      <w:r w:rsidR="006F0DF7" w:rsidRPr="007A4626">
        <w:t>,</w:t>
      </w:r>
      <w:r w:rsidRPr="007A4626">
        <w:t xml:space="preserve"> Komisiji </w:t>
      </w:r>
      <w:r w:rsidR="006F0DF7" w:rsidRPr="007A4626">
        <w:t>in</w:t>
      </w:r>
      <w:r w:rsidRPr="007A4626">
        <w:t xml:space="preserve"> nacionalnim parlamentom.</w:t>
      </w:r>
    </w:p>
    <w:p w:rsidR="007A4626" w:rsidRPr="007A4626" w:rsidRDefault="007A4626">
      <w:pPr>
        <w:widowControl/>
        <w:rPr>
          <w:b/>
        </w:rPr>
      </w:pPr>
      <w:r w:rsidRPr="007A4626">
        <w:br w:type="page"/>
      </w:r>
    </w:p>
    <w:p w:rsidR="00BE27FD" w:rsidRPr="007A4626" w:rsidRDefault="007A4626" w:rsidP="00BE27FD">
      <w:pPr>
        <w:pStyle w:val="AmNumberTabs"/>
      </w:pPr>
      <w:r w:rsidRPr="007A4626">
        <w:lastRenderedPageBreak/>
        <w:t>Sprememba</w:t>
      </w:r>
      <w:r w:rsidR="00BE27FD" w:rsidRPr="007A4626">
        <w:tab/>
      </w:r>
      <w:r w:rsidR="00BE27FD" w:rsidRPr="007A4626">
        <w:tab/>
        <w:t>1</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(2a)</w:t>
            </w:r>
            <w:r w:rsidRPr="007A4626">
              <w:tab/>
            </w:r>
            <w:r w:rsidRPr="007A4626">
              <w:rPr>
                <w:b/>
                <w:i/>
              </w:rPr>
              <w:t>Erozija davčne osnove in preusmerjanje dobička sta strategiji davčnega načrtovanja, ki ju uporabljajo mednarodna podjetja, ki izkoriščajo vrzeli in neskladnosti v davčnih pravilih, da bi se izognila plačilu davkov.</w:t>
            </w:r>
            <w:r w:rsidRPr="007A4626">
              <w:t xml:space="preserve"> </w:t>
            </w:r>
            <w:r w:rsidRPr="007A4626">
              <w:rPr>
                <w:b/>
                <w:i/>
              </w:rPr>
              <w:t>Transferne cene so trenutno sicer potrebne, da se lahko določi, kje je izkazan dobiček, a se prav tako zlorabljajo za zmanjšanje davčnih obveznosti podjetij v državah z višjimi davčnimi stopnjami, zaradi česar prihaja do preusmerjanja dobička.</w:t>
            </w:r>
            <w:r w:rsidRPr="007A4626">
              <w:t xml:space="preserve"> </w:t>
            </w:r>
            <w:r w:rsidRPr="007A4626">
              <w:rPr>
                <w:b/>
                <w:i/>
              </w:rPr>
              <w:t>Države članice in davčni zavezanci bi morali načelo običajnih tržnih pogojev uporabljati tako, da bi bila davčnim zavezancem zagotovljena večja davčna gotovost, možnosti za preusmerjanje dobička pa hkrati čim bolj zmanjšane.</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2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spacing w:after="120"/>
            </w:pPr>
            <w:r w:rsidRPr="007A4626">
              <w:rPr>
                <w:b/>
                <w:i/>
              </w:rPr>
              <w:t>(2b)</w:t>
            </w:r>
            <w:r w:rsidRPr="007A4626">
              <w:tab/>
            </w:r>
            <w:r w:rsidRPr="007A4626">
              <w:rPr>
                <w:b/>
                <w:i/>
              </w:rPr>
              <w:t>Da bi se učinkovito spoprijeli z izogibanjem davkom in poskrbeli, da bodo mednarodne skupine podjetij efektivno obdavčena vsaj po minimalni stopnji, bi morala biti dolgoročna rešitev sistem dodelitev s formulo v korist vseh držav članic.</w:t>
            </w:r>
            <w:r w:rsidRPr="007A4626">
              <w:t xml:space="preserve"> </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(3)</w:t>
            </w:r>
            <w:r w:rsidRPr="007A4626">
              <w:tab/>
              <w:t xml:space="preserve">Kadar države članice načelo </w:t>
            </w:r>
            <w:r w:rsidRPr="007A4626">
              <w:lastRenderedPageBreak/>
              <w:t xml:space="preserve">običajnih tržnih pogojev </w:t>
            </w:r>
            <w:r w:rsidRPr="007A4626">
              <w:rPr>
                <w:b/>
                <w:i/>
              </w:rPr>
              <w:t xml:space="preserve">različno </w:t>
            </w:r>
            <w:r w:rsidRPr="007A4626">
              <w:t xml:space="preserve">uporabljajo ali razlagajo, ustvarjajo razmere, ki bi lahko škodovale notranjemu trgu. Nedoslednost veljavnih pravil o določanju transfernih cen bi lahko privedla ne le do dvojne obdavčitve, ampak bi lahko omogočila tudi preusmerjanje dobička in </w:t>
            </w:r>
            <w:r w:rsidRPr="007A4626">
              <w:rPr>
                <w:b/>
                <w:i/>
              </w:rPr>
              <w:t>izogibanje davkom</w:t>
            </w:r>
            <w:r w:rsidRPr="007A4626">
              <w:t xml:space="preserve">. </w:t>
            </w:r>
            <w:r w:rsidRPr="007A4626">
              <w:rPr>
                <w:b/>
                <w:i/>
              </w:rPr>
              <w:t>Takšna nedoslednost je resna davčna ovira</w:t>
            </w:r>
            <w:r w:rsidRPr="007A4626">
              <w:t xml:space="preserve"> za podjetja, ki poslujejo čezmejno, </w:t>
            </w:r>
            <w:r w:rsidRPr="007A4626">
              <w:rPr>
                <w:b/>
                <w:i/>
              </w:rPr>
              <w:t>povzroči</w:t>
            </w:r>
            <w:r w:rsidRPr="007A4626">
              <w:t xml:space="preserve"> lahko gospodarska izkrivljanja in neučinkovitosti ter negativno </w:t>
            </w:r>
            <w:r w:rsidRPr="007A4626">
              <w:rPr>
                <w:b/>
                <w:i/>
              </w:rPr>
              <w:t>vpliva</w:t>
            </w:r>
            <w:r w:rsidRPr="007A4626">
              <w:t xml:space="preserve"> na čezmejne naložbe in </w:t>
            </w:r>
            <w:r w:rsidRPr="007A4626">
              <w:rPr>
                <w:b/>
                <w:i/>
              </w:rPr>
              <w:t>rast</w:t>
            </w:r>
            <w:r w:rsidRPr="007A4626">
              <w:t>.</w:t>
            </w:r>
          </w:p>
        </w:tc>
        <w:tc>
          <w:tcPr>
            <w:tcW w:w="4876" w:type="dxa"/>
          </w:tcPr>
          <w:p w:rsidR="00BE27FD" w:rsidRPr="007A4626" w:rsidRDefault="00BE27FD" w:rsidP="00B8323B">
            <w:pPr>
              <w:pStyle w:val="Normal6a"/>
              <w:rPr>
                <w:szCs w:val="24"/>
              </w:rPr>
            </w:pPr>
            <w:r w:rsidRPr="007A4626">
              <w:lastRenderedPageBreak/>
              <w:t>(3)</w:t>
            </w:r>
            <w:r w:rsidRPr="007A4626">
              <w:tab/>
              <w:t xml:space="preserve">Kadar države članice načelo </w:t>
            </w:r>
            <w:r w:rsidRPr="007A4626">
              <w:lastRenderedPageBreak/>
              <w:t>običajnih tržnih pogojev uporabljajo ali razlagajo</w:t>
            </w:r>
            <w:r w:rsidRPr="007A4626">
              <w:rPr>
                <w:b/>
                <w:i/>
              </w:rPr>
              <w:t xml:space="preserve"> na zelo različen način</w:t>
            </w:r>
            <w:r w:rsidRPr="007A4626">
              <w:t>, ustvarjajo razmere, ki bi lahko škodovale notranjemu trgu</w:t>
            </w:r>
            <w:r w:rsidRPr="007A4626">
              <w:rPr>
                <w:b/>
                <w:i/>
              </w:rPr>
              <w:t xml:space="preserve"> ter privedle do nepotrebnih stroškov za podjetja v primeru sporov, pa tudi spodbudile škodljivo davčno konkurenco, privabile agresivne strukture za izogibanje davkom, privedle do nezakonite državne pomoči in zmanjšale prihodke držav članic</w:t>
            </w:r>
            <w:r w:rsidRPr="007A4626">
              <w:t>. Nedoslednost veljavnih pravil o določanju transfernih cen bi lahko privedla ne le do dvojne obdavčitve, ampak bi lahko omogočila tudi preusmerjanje dobička</w:t>
            </w:r>
            <w:r w:rsidRPr="007A4626">
              <w:rPr>
                <w:b/>
                <w:i/>
              </w:rPr>
              <w:t>, izogibanje davkom</w:t>
            </w:r>
            <w:r w:rsidRPr="007A4626">
              <w:t xml:space="preserve"> in </w:t>
            </w:r>
            <w:r w:rsidRPr="007A4626">
              <w:rPr>
                <w:b/>
                <w:i/>
              </w:rPr>
              <w:t>dvojno neobdavčitev.</w:t>
            </w:r>
            <w:r w:rsidRPr="007A4626">
              <w:t xml:space="preserve"> </w:t>
            </w:r>
            <w:r w:rsidRPr="007A4626">
              <w:rPr>
                <w:b/>
                <w:i/>
              </w:rPr>
              <w:t>Takšne velike nedoslednosti utegnejo resno ogroziti prihodke od davkov, davčno moralo in že tako omejene zmogljivosti davčnih uprav</w:t>
            </w:r>
            <w:r w:rsidRPr="007A4626">
              <w:t>.</w:t>
            </w:r>
            <w:r w:rsidRPr="007A4626">
              <w:rPr>
                <w:b/>
                <w:i/>
              </w:rPr>
              <w:t xml:space="preserve"> Takšne nedoslednosti nadalje vodijo do ovir</w:t>
            </w:r>
            <w:r w:rsidRPr="007A4626">
              <w:t xml:space="preserve"> za podjetja, </w:t>
            </w:r>
            <w:r w:rsidRPr="007A4626">
              <w:rPr>
                <w:b/>
                <w:i/>
              </w:rPr>
              <w:t xml:space="preserve">zlasti za MSP, </w:t>
            </w:r>
            <w:r w:rsidRPr="007A4626">
              <w:t xml:space="preserve">ki poslujejo čezmejno, </w:t>
            </w:r>
            <w:r w:rsidRPr="007A4626">
              <w:rPr>
                <w:b/>
                <w:i/>
              </w:rPr>
              <w:t>ter</w:t>
            </w:r>
            <w:r w:rsidRPr="007A4626">
              <w:t xml:space="preserve"> lahko </w:t>
            </w:r>
            <w:r w:rsidRPr="007A4626">
              <w:rPr>
                <w:b/>
                <w:i/>
              </w:rPr>
              <w:t xml:space="preserve">povzročijo </w:t>
            </w:r>
            <w:r w:rsidRPr="007A4626">
              <w:t xml:space="preserve">gospodarska izkrivljanja in neučinkovitosti ter negativno </w:t>
            </w:r>
            <w:r w:rsidRPr="007A4626">
              <w:rPr>
                <w:b/>
                <w:i/>
              </w:rPr>
              <w:t>vplivajo</w:t>
            </w:r>
            <w:r w:rsidRPr="007A4626">
              <w:t xml:space="preserve"> na čezmejne naložbe</w:t>
            </w:r>
            <w:r w:rsidRPr="007A4626">
              <w:rPr>
                <w:b/>
                <w:i/>
              </w:rPr>
              <w:t>.</w:t>
            </w:r>
            <w:r w:rsidRPr="007A4626">
              <w:t xml:space="preserve"> </w:t>
            </w:r>
            <w:r w:rsidRPr="007A4626">
              <w:rPr>
                <w:b/>
                <w:i/>
              </w:rPr>
              <w:t>Poleg tega bi morala Komisija zagotoviti, da ta direktiva ne bo povzročila neskladnosti z najnovejšimi smernicami OECD, vključno z zneskom A in zneskom B prvega stebra, katerih namen je poenostaviti obstoječa pravila o določanju transfernih cen.</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3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(3a)</w:t>
            </w:r>
            <w:r w:rsidRPr="007A4626">
              <w:rPr>
                <w:b/>
                <w:i/>
              </w:rPr>
              <w:tab/>
              <w:t>Bi pa morale davčne uprave upoštevati, da povezana podjetja morda dejansko težko točno določijo tržno ceno, če ni tržnih sil ali ko sprejemajo določeno poslovno strategijo.</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5</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3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(3b)</w:t>
            </w:r>
            <w:r w:rsidRPr="007A4626">
              <w:tab/>
            </w:r>
            <w:r w:rsidRPr="007A4626">
              <w:rPr>
                <w:b/>
                <w:i/>
              </w:rPr>
              <w:t>OECD je na začetku projekta za preprečevanje erozije davčne osnove in preusmerjanja dobička leta 2013 ob priznavanju metodoloških in podatkovnih omejitev ocenila, da bi lahko svetovne izgube prihodkov od davka od dohodkov pravnih oseb zaradi praks erozije davčne osnove in preusmerjanja dobička, vključno s prirejanjem pri določanju transfernih cen, znašale 100 do 240 milijard USD letno</w:t>
            </w:r>
            <w:r w:rsidRPr="007A4626">
              <w:rPr>
                <w:b/>
                <w:i/>
                <w:vertAlign w:val="superscript"/>
              </w:rPr>
              <w:t>1a</w:t>
            </w:r>
            <w:r w:rsidRPr="007A4626">
              <w:rPr>
                <w:b/>
                <w:i/>
              </w:rPr>
              <w:t>.</w:t>
            </w:r>
          </w:p>
        </w:tc>
      </w:tr>
      <w:tr w:rsidR="00BE27FD" w:rsidRPr="007A4626" w:rsidTr="00B8323B">
        <w:trPr>
          <w:jc w:val="center"/>
        </w:trPr>
        <w:tc>
          <w:tcPr>
            <w:tcW w:w="4876" w:type="dxa"/>
          </w:tcPr>
          <w:p w:rsidR="00BE27FD" w:rsidRPr="007A4626" w:rsidRDefault="00BE27FD" w:rsidP="00B8323B"/>
        </w:tc>
        <w:tc>
          <w:tcPr>
            <w:tcW w:w="4876" w:type="dxa"/>
          </w:tcPr>
          <w:p w:rsidR="00BE27FD" w:rsidRPr="007A4626" w:rsidRDefault="00BE27FD" w:rsidP="00B8323B">
            <w:pPr>
              <w:pStyle w:val="Normal6a"/>
            </w:pPr>
            <w:r w:rsidRPr="007A4626">
              <w:rPr>
                <w:b/>
                <w:i/>
              </w:rPr>
              <w:t>_________________</w:t>
            </w:r>
          </w:p>
        </w:tc>
      </w:tr>
      <w:tr w:rsidR="00BE27FD" w:rsidRPr="007A4626" w:rsidTr="00B8323B">
        <w:trPr>
          <w:jc w:val="center"/>
        </w:trPr>
        <w:tc>
          <w:tcPr>
            <w:tcW w:w="4876" w:type="dxa"/>
          </w:tcPr>
          <w:p w:rsidR="00BE27FD" w:rsidRPr="007A4626" w:rsidRDefault="00BE27FD" w:rsidP="00B8323B"/>
        </w:tc>
        <w:tc>
          <w:tcPr>
            <w:tcW w:w="4876" w:type="dxa"/>
          </w:tcPr>
          <w:p w:rsidR="00BE27FD" w:rsidRPr="007A4626" w:rsidRDefault="00BE27FD" w:rsidP="00B8323B">
            <w:pPr>
              <w:pStyle w:val="Normal6a"/>
            </w:pPr>
            <w:r w:rsidRPr="007A4626">
              <w:rPr>
                <w:b/>
                <w:i/>
                <w:vertAlign w:val="superscript"/>
              </w:rPr>
              <w:t>1a</w:t>
            </w:r>
            <w:r w:rsidRPr="007A4626">
              <w:t xml:space="preserve"> </w:t>
            </w:r>
            <w:r w:rsidRPr="007A4626">
              <w:rPr>
                <w:b/>
                <w:i/>
              </w:rPr>
              <w:t>https://www.oecd.org/tax/beps-project-explanatory-statement-9789264263437-en.htm</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6</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(4)</w:t>
            </w:r>
            <w:r w:rsidRPr="007A4626">
              <w:tab/>
              <w:t>Ta direktiva določa pravila</w:t>
            </w:r>
            <w:r w:rsidRPr="007A4626">
              <w:rPr>
                <w:b/>
                <w:i/>
              </w:rPr>
              <w:t xml:space="preserve"> za zagotovitev skupne uporabe načela</w:t>
            </w:r>
            <w:r w:rsidRPr="007A4626">
              <w:t xml:space="preserve"> običajnih tržnih pogojev po vsej Uniji, da bi se povečala davčna gotovost ter zmanjšali primeri dvojne obdavčitve in </w:t>
            </w:r>
            <w:r w:rsidRPr="007A4626">
              <w:rPr>
                <w:b/>
                <w:i/>
              </w:rPr>
              <w:t>dvojne neobdavčitve</w:t>
            </w:r>
            <w:r w:rsidRPr="007A4626">
              <w:t>.</w:t>
            </w:r>
          </w:p>
        </w:tc>
        <w:tc>
          <w:tcPr>
            <w:tcW w:w="4876" w:type="dxa"/>
          </w:tcPr>
          <w:p w:rsidR="00BE27FD" w:rsidRPr="007A4626" w:rsidRDefault="00BE27FD" w:rsidP="00B8323B">
            <w:pPr>
              <w:pStyle w:val="Normal6a"/>
            </w:pPr>
            <w:r w:rsidRPr="007A4626">
              <w:t>(4)</w:t>
            </w:r>
            <w:r w:rsidRPr="007A4626">
              <w:tab/>
              <w:t>Ta direktiva določa pravila</w:t>
            </w:r>
            <w:r w:rsidRPr="007A4626">
              <w:rPr>
                <w:b/>
                <w:i/>
              </w:rPr>
              <w:t>, da bi se načelo</w:t>
            </w:r>
            <w:r w:rsidRPr="007A4626">
              <w:t xml:space="preserve"> običajnih tržnih pogojev po vsej Uniji</w:t>
            </w:r>
            <w:r w:rsidRPr="007A4626">
              <w:rPr>
                <w:b/>
                <w:i/>
              </w:rPr>
              <w:t xml:space="preserve"> enotno uporabljalo</w:t>
            </w:r>
            <w:r w:rsidRPr="007A4626">
              <w:t xml:space="preserve">, da bi se povečala davčna gotovost ter zmanjšali primeri dvojne </w:t>
            </w:r>
            <w:r w:rsidRPr="007A4626">
              <w:rPr>
                <w:b/>
                <w:i/>
              </w:rPr>
              <w:t xml:space="preserve">neobdavčitve in dvojne </w:t>
            </w:r>
            <w:r w:rsidRPr="007A4626">
              <w:t>obdavčitve</w:t>
            </w:r>
            <w:r w:rsidRPr="007A4626">
              <w:rPr>
                <w:b/>
                <w:i/>
              </w:rPr>
              <w:t>, zmanjšali stroški izpolnjevanja davčnih obveznosti</w:t>
            </w:r>
            <w:r w:rsidRPr="007A4626">
              <w:t xml:space="preserve"> in </w:t>
            </w:r>
            <w:r w:rsidRPr="007A4626">
              <w:rPr>
                <w:b/>
                <w:i/>
              </w:rPr>
              <w:t>pravdnih postopkov, zlasti za davčne zavezance, ki poslujejo čezmejno v Uniji, ter preprečili davčne zlorabe</w:t>
            </w:r>
            <w:r w:rsidRPr="007A4626">
              <w: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7</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(6)</w:t>
            </w:r>
            <w:r w:rsidRPr="007A4626">
              <w:tab/>
              <w:t xml:space="preserve">Da se zmanjša dvojno obdavčevanje, bi morale imeti države članice vzpostavljene ustrezne mehanizme, ki bi jim omogočili, da izvedejo ustrezno </w:t>
            </w:r>
            <w:r w:rsidRPr="007A4626">
              <w:lastRenderedPageBreak/>
              <w:t>prilagoditev, kadar se izvede primarna prilagoditev v drugi državi članici ali jurisdikciji tretje države. Države članice bi morale zlasti imeti možnost, da izvedejo ustrezne prilagoditve, in takih prilagoditev ne bi smele odobravati samo v okviru postopkov medsebojnega dogovora, ampak tudi kot rezultat: (i) „hitrega“ postopka, ki se zaključi v 180 dneh, ne da bi bilo treba začeti postopek medsebojnega dogovora, če ni dvoma, da je primarna prilagoditev dobro utemeljena, ali (ii) skupnih revizij ali drugih oblik mednarodnega sodelovanja, kot so večstranski programi ocenjevanja tveganja, kot sta evropski pristop zaupanja in sodelovanja (ETACA) in program zagotavljanja mednarodne skladnosti (ICAP).</w:t>
            </w:r>
          </w:p>
        </w:tc>
        <w:tc>
          <w:tcPr>
            <w:tcW w:w="4876" w:type="dxa"/>
          </w:tcPr>
          <w:p w:rsidR="00BE27FD" w:rsidRPr="007A4626" w:rsidRDefault="00BE27FD" w:rsidP="00B8323B">
            <w:pPr>
              <w:pStyle w:val="Normal6a"/>
            </w:pPr>
            <w:r w:rsidRPr="007A4626">
              <w:lastRenderedPageBreak/>
              <w:t>(6)</w:t>
            </w:r>
            <w:r w:rsidRPr="007A4626">
              <w:tab/>
              <w:t xml:space="preserve">Da se zmanjša dvojno obdavčevanje, bi morale imeti države članice vzpostavljene ustrezne mehanizme, ki bi jim omogočili, da izvedejo ustrezno </w:t>
            </w:r>
            <w:r w:rsidRPr="007A4626">
              <w:lastRenderedPageBreak/>
              <w:t xml:space="preserve">prilagoditev, kadar se izvede primarna prilagoditev v drugi državi članici ali jurisdikciji tretje države. Države članice bi morale zlasti imeti možnost, da izvedejo ustrezne prilagoditve, in takih prilagoditev ne bi smele odobravati samo v okviru postopkov medsebojnega dogovora, ampak tudi kot rezultat: (i) „hitrega“ postopka, ki se zaključi v 180 dneh, ne da bi bilo treba začeti postopek medsebojnega dogovora, če ni dvoma, da je primarna prilagoditev dobro utemeljena, ali (ii) skupnih revizij ali drugih oblik mednarodnega sodelovanja, kot so večstranski programi ocenjevanja tveganja, kot sta evropski pristop zaupanja in sodelovanja (ETACA) in program zagotavljanja mednarodne skladnosti (ICAP). </w:t>
            </w:r>
            <w:r w:rsidRPr="007A4626">
              <w:rPr>
                <w:b/>
                <w:i/>
              </w:rPr>
              <w:t>V ta namen bi morale države članice uporabiti vse postopke in ureditve, določene v direktivi o upravnem sodelovanju, zlasti v njeni tretji in šesti reviziji, ki zajemata izmenjavo informacij v zvezi z vnaprejšnjimi cenovnimi sporazumi in izmenjavo informacij o čezmejnih aranžmajih, o katerih se poroča in o katerih poročajo posredniki ali zadevni davčni zavezanec.</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8</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6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(6a)</w:t>
            </w:r>
            <w:r w:rsidRPr="007A4626">
              <w:rPr>
                <w:b/>
                <w:i/>
              </w:rPr>
              <w:tab/>
              <w:t>Glede na to, da bi se lahko povečalo število pravdnih postopkov, se s to direktiva zahteva, da se uvedejo hitri mehanizmi, s katerimi bo mogoče obravnavati vse zahteve. Arbitražni sistem mora biti hiter, da bodo lahko doseženi dogovori in bo tako preprečeno, da bi prišlo do težav in sporov.</w:t>
            </w:r>
          </w:p>
        </w:tc>
      </w:tr>
    </w:tbl>
    <w:p w:rsidR="00BE27FD" w:rsidRPr="007A4626" w:rsidRDefault="00BE27FD" w:rsidP="00BE27FD"/>
    <w:p w:rsidR="00BE27FD" w:rsidRPr="007A4626" w:rsidRDefault="007A4626" w:rsidP="00BE27FD">
      <w:pPr>
        <w:pStyle w:val="AmNumberTabs"/>
        <w:keepNext/>
      </w:pPr>
      <w:r w:rsidRPr="007A4626">
        <w:lastRenderedPageBreak/>
        <w:t>Sprememba</w:t>
      </w:r>
      <w:r w:rsidR="00BE27FD" w:rsidRPr="007A4626">
        <w:tab/>
      </w:r>
      <w:r w:rsidR="00BE27FD" w:rsidRPr="007A4626">
        <w:tab/>
        <w:t>9</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6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(6b)</w:t>
            </w:r>
            <w:r w:rsidRPr="007A4626">
              <w:rPr>
                <w:b/>
                <w:i/>
              </w:rPr>
              <w:tab/>
              <w:t>Za čezmejno trgovino je bistvenega pomena, da obstajajo dostopni mehanizmi za reševanje sporov, da se zagotovi davčna gotovost in odpravi dvojno obdavčevanje davčnih zavezancev. Zadeve bodo lahko rešene hitreje in v krajših rokih, če se bodo bolj uporabljali postopki medsebojnega dogovora iz konvencije EU o arbitraži. V ta namen so države članice pozvane, naj dodelijo ustrezna sredstva, da bodo lahko spoštovani roki in da bodo lahko postopki medsebojnega dogovora postali učinkovito orodje za odpravo dvojnega obdavčevanja.</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10</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(7)</w:t>
            </w:r>
            <w:r w:rsidRPr="007A4626">
              <w:tab/>
              <w:t xml:space="preserve">Obstajajo lahko upravičeni razlogi, zakaj se ustrezna prilagoditev ne izvede ali je manjša od primarne prilagoditve. Države članice zlasti ne bi smele odobriti ustreznih prilagoditev, če: (i) se primarna prilagoditev ne šteje za skladno z načelom običajnih tržnih pogojev, (ii) primarna prilagoditev ne povzroči obdavčitve zneska dobička v drugi jurisdikciji, za katerega je bilo povezano podjetje v zadevni državi članici že obdavčeno, in če (iii) je vpletena jurisdikcija tretje države, s katero ni sklenjen noben davčni sporazum. Če primarne prilagoditve ni, lahko države članice izvedejo prilagoditev navzdol le, če: (i) je prilagoditev navzdol skladna z načelom običajnih tržnih pogojev, (ii) je znesek, enak prilagoditvi navzdol, vključen v dobiček povezanega podjetja v drugi jurisdikciji in tam obdavčen ter če (iii) je </w:t>
            </w:r>
            <w:r w:rsidRPr="007A4626">
              <w:lastRenderedPageBreak/>
              <w:t>bilo zadevni jurisdikciji poslano sporočilo o nameri, da se izvede prilagoditev navzdol. Cilj prejšnjih določb je zagotoviti, da: (i) lahko države članice ohranijo pravico, da ocenijo, ali je primarna prilagoditev skladna z načelom običajnih tržnih pogojev, in da (ii) ne gre niti za dvojno obdavčitev niti za dvojno neobdavčitev. Države članice ne bi smele ustvarjati situacij, v katerih bi prihajalo do dvojne neobdavčitve.</w:t>
            </w:r>
          </w:p>
        </w:tc>
        <w:tc>
          <w:tcPr>
            <w:tcW w:w="4876" w:type="dxa"/>
          </w:tcPr>
          <w:p w:rsidR="00BE27FD" w:rsidRPr="007A4626" w:rsidRDefault="00BE27FD" w:rsidP="006F0DF7">
            <w:pPr>
              <w:pStyle w:val="Normal6a"/>
              <w:rPr>
                <w:szCs w:val="24"/>
              </w:rPr>
            </w:pPr>
            <w:r w:rsidRPr="007A4626">
              <w:lastRenderedPageBreak/>
              <w:t>(7)</w:t>
            </w:r>
            <w:r w:rsidRPr="007A4626">
              <w:tab/>
              <w:t>Obstajajo lahko upravičeni razlogi, zakaj se ustrezna prilagoditev ne izvede ali je manjša od primarne prilagoditve. Države članice zlasti ne bi smele odobriti ustreznih prilagoditev, če: (i) se primarna prilagoditev ne šteje za skladno z načelom običajnih tržnih pogojev</w:t>
            </w:r>
            <w:r w:rsidR="006F0DF7" w:rsidRPr="007A4626">
              <w:t>;</w:t>
            </w:r>
            <w:r w:rsidRPr="007A4626">
              <w:t xml:space="preserve"> (ii) primarna prilagoditev ne povzroči obdavčitve zneska dobička v drugi jurisdikciji, za katerega je bilo povezano podjetje v zadevni državi članici že obdavčeno, in če (iii) je vpletena jurisdikcija tretje države, s katero ni sklenjen noben davčni sporazum. Če primarne prilagoditve ni, lahko države članice izvedejo prilagoditev navzdol le, če: (i) je prilagoditev navzdol skladna z načelom običajnih tržnih pogojev</w:t>
            </w:r>
            <w:r w:rsidRPr="007A4626">
              <w:rPr>
                <w:b/>
                <w:i/>
              </w:rPr>
              <w:t xml:space="preserve"> in ne privede do dvojne neobdavčitve</w:t>
            </w:r>
            <w:r w:rsidR="006F0DF7" w:rsidRPr="007A4626">
              <w:rPr>
                <w:b/>
                <w:i/>
              </w:rPr>
              <w:t>;</w:t>
            </w:r>
            <w:r w:rsidRPr="007A4626">
              <w:t xml:space="preserve"> (ii) je znesek, enak prilagoditvi navzdol, vključen v dobiček povezanega podjetja v drugi </w:t>
            </w:r>
            <w:r w:rsidRPr="007A4626">
              <w:lastRenderedPageBreak/>
              <w:t>jurisdikciji in tam obdavčen ter če (iii) je bilo zadevni jurisdikciji poslano sporočilo o nameri, da se izvede prilagoditev navzdol. Cilj prejšnjih določb je zagotoviti, da: (i) lahko države članice ohranijo pravico, da ocenijo, ali je primarna prilagoditev skladna z načelom običajnih tržnih pogojev, in da (ii) ne gre niti za dvojno obdavčitev niti za dvojno neobdavčitev. Države članice ne bi smele ustvarjati situacij, v katerih bi prihajalo do dvojne neobdavčitve.</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11</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(13)</w:t>
            </w:r>
            <w:r w:rsidRPr="007A4626">
              <w:tab/>
              <w:t xml:space="preserve">Da bi se čim bolj zmanjšalo število sporov in zagotovil </w:t>
            </w:r>
            <w:r w:rsidRPr="007A4626">
              <w:rPr>
                <w:b/>
                <w:i/>
              </w:rPr>
              <w:t>skupni</w:t>
            </w:r>
            <w:r w:rsidRPr="007A4626">
              <w:t xml:space="preserve"> pristop po vsej Uniji, ta direktiva nadalje določa, da se za davčnega zavezanca ne bi smela izvesti prilagoditev, kadar so njegovi rezultati v interkvartilnem razponu, razen če davčna uprava ali davčni zavezanec dokaže, da je specifična drugačna določitev položaja v razponu upravičena zaradi dejstev in okoliščin posameznega primera. Kadar so rezultati povezane transakcije zunaj razpona po načelu običajnih tržnih pogojev, bi se moralo od davčnih uprav zahtevati, da prilagodijo mediano vseh rezultatov, razen če davčni zavezanec ali davčna uprava dokaže, da katera koli druga točka v razponu v danem primeru določa zanesljivejšo primerljivo tržno ceno.</w:t>
            </w:r>
          </w:p>
        </w:tc>
        <w:tc>
          <w:tcPr>
            <w:tcW w:w="4876" w:type="dxa"/>
          </w:tcPr>
          <w:p w:rsidR="00BE27FD" w:rsidRPr="007A4626" w:rsidRDefault="00BE27FD" w:rsidP="00B8323B">
            <w:pPr>
              <w:pStyle w:val="Normal6a"/>
            </w:pPr>
            <w:r w:rsidRPr="007A4626">
              <w:t>(13)</w:t>
            </w:r>
            <w:r w:rsidRPr="007A4626">
              <w:tab/>
              <w:t xml:space="preserve">Da bi se čim bolj zmanjšalo število sporov in </w:t>
            </w:r>
            <w:r w:rsidRPr="007A4626">
              <w:rPr>
                <w:b/>
                <w:i/>
              </w:rPr>
              <w:t xml:space="preserve">zmanjšali povezani stroški za podjetja ter </w:t>
            </w:r>
            <w:r w:rsidRPr="007A4626">
              <w:t xml:space="preserve">zagotovil </w:t>
            </w:r>
            <w:r w:rsidRPr="007A4626">
              <w:rPr>
                <w:b/>
                <w:i/>
              </w:rPr>
              <w:t>skupen</w:t>
            </w:r>
            <w:r w:rsidRPr="007A4626">
              <w:t xml:space="preserve"> pristop po vsej Uniji, ta direktiva nadalje določa, da se za davčnega zavezanca ne bi smela izvesti prilagoditev, kadar so njegovi rezultati v interkvartilnem razponu, razen če davčna uprava ali davčni zavezanec dokaže, da je specifična drugačna določitev položaja v razponu upravičena zaradi dejstev in okoliščin posameznega primera. Kadar so rezultati povezane transakcije zunaj razpona po načelu običajnih tržnih pogojev, bi se moralo od davčnih uprav zahtevati, da prilagodijo mediano vseh rezultatov, razen če davčni zavezanec ali davčna uprava dokaže, da katera koli druga točka v razponu v danem primeru določa zanesljivejšo primerljivo tržno ceno.</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12</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(14)</w:t>
            </w:r>
            <w:r w:rsidRPr="007A4626">
              <w:tab/>
              <w:t xml:space="preserve">Da bi se zmanjšalo breme </w:t>
            </w:r>
            <w:r w:rsidRPr="007A4626">
              <w:lastRenderedPageBreak/>
              <w:t xml:space="preserve">izpolnjevanja obveznosti za davčne zavezance, ki v Uniji poslujejo čezmejno, bi bilo treba uvesti še skupni pristop k dokumentaciji </w:t>
            </w:r>
            <w:r w:rsidRPr="007A4626">
              <w:rPr>
                <w:b/>
                <w:i/>
              </w:rPr>
              <w:t>o določanju</w:t>
            </w:r>
            <w:r w:rsidRPr="007A4626">
              <w:t xml:space="preserve"> transfernih cen. S standardno predlogo, pravili o vsebini in jezikovnih ureditvah, časovnimi okviri in opredelitvijo, kateri davčni zavezanci bi morali biti vključeni v področje uporabe, bi se dosegli enostavnost in morebitni prihranki pri stroških ob upoštevanju poglavja V „Dokumentacija“ smernic OECD za določanje transfernih cen in Kodeksa ravnanja v zvezi z dokumentacijo za transferne cene za povezana podjetja v Evropski uniji</w:t>
            </w:r>
            <w:r w:rsidRPr="007A4626">
              <w:rPr>
                <w:vertAlign w:val="superscript"/>
              </w:rPr>
              <w:t>33</w:t>
            </w:r>
            <w:r w:rsidRPr="007A4626">
              <w:t>.</w:t>
            </w:r>
          </w:p>
        </w:tc>
        <w:tc>
          <w:tcPr>
            <w:tcW w:w="4876" w:type="dxa"/>
          </w:tcPr>
          <w:p w:rsidR="00BE27FD" w:rsidRPr="007A4626" w:rsidRDefault="00BE27FD" w:rsidP="00B8323B">
            <w:pPr>
              <w:pStyle w:val="Normal6a"/>
            </w:pPr>
            <w:r w:rsidRPr="007A4626">
              <w:lastRenderedPageBreak/>
              <w:t>(14)</w:t>
            </w:r>
            <w:r w:rsidRPr="007A4626">
              <w:tab/>
              <w:t xml:space="preserve">Da bi se zmanjšalo breme </w:t>
            </w:r>
            <w:r w:rsidRPr="007A4626">
              <w:lastRenderedPageBreak/>
              <w:t xml:space="preserve">izpolnjevanja obveznosti za davčne zavezance, ki v Uniji poslujejo čezmejno, </w:t>
            </w:r>
            <w:r w:rsidRPr="007A4626">
              <w:rPr>
                <w:b/>
                <w:i/>
              </w:rPr>
              <w:t xml:space="preserve">in da bi se spoprijeli s tveganjem izogibanja davkom, </w:t>
            </w:r>
            <w:r w:rsidRPr="007A4626">
              <w:t xml:space="preserve">bi bilo treba uvesti še skupni pristop k dokumentaciji </w:t>
            </w:r>
            <w:r w:rsidRPr="007A4626">
              <w:rPr>
                <w:b/>
                <w:i/>
              </w:rPr>
              <w:t>za določanje</w:t>
            </w:r>
            <w:r w:rsidRPr="007A4626">
              <w:t xml:space="preserve"> transfernih cen. S standardno predlogo, pravili o vsebini in jezikovnih ureditvah, časovnimi okviri in opredelitvijo, kateri davčni zavezanci bi morali biti vključeni v področje uporabe, bi se dosegli enostavnost in morebitni prihranki pri stroških ob upoštevanju poglavja V „Dokumentacija“ smernic OECD za določanje transfernih cen in Kodeksa ravnanja v zvezi z dokumentacijo za transferne cene za povezana podjetja v Evropski uniji</w:t>
            </w:r>
            <w:r w:rsidRPr="007A4626">
              <w:rPr>
                <w:vertAlign w:val="superscript"/>
              </w:rPr>
              <w:t>33</w:t>
            </w:r>
            <w:r w:rsidRPr="007A4626">
              <w:t xml:space="preserve">. </w:t>
            </w:r>
            <w:r w:rsidRPr="007A4626">
              <w:rPr>
                <w:b/>
                <w:i/>
              </w:rPr>
              <w:t>Da se davčnim upravam in podjetjem olajša uporaba te direktive, je poleg tega treba poskrbeti, da se ti izrazi na ravni Unije razlagajo na usklajen način. Zato bi morale države članice svoje davčne uprave pooblastiti, da učinkovito upravljajo prizadevanja za skupno dokumentacijo v zvezi s transfernimi cenami.</w:t>
            </w:r>
          </w:p>
        </w:tc>
      </w:tr>
      <w:tr w:rsidR="00BE27FD" w:rsidRPr="007A4626" w:rsidTr="00B8323B">
        <w:trPr>
          <w:jc w:val="center"/>
        </w:trPr>
        <w:tc>
          <w:tcPr>
            <w:tcW w:w="4876" w:type="dxa"/>
          </w:tcPr>
          <w:p w:rsidR="00BE27FD" w:rsidRPr="007A4626" w:rsidRDefault="00BE27FD" w:rsidP="00B8323B">
            <w:pPr>
              <w:pStyle w:val="Normal6a"/>
            </w:pPr>
            <w:r w:rsidRPr="007A4626">
              <w:rPr>
                <w:b/>
                <w:i/>
              </w:rPr>
              <w:lastRenderedPageBreak/>
              <w:t>_________________</w:t>
            </w:r>
          </w:p>
        </w:tc>
        <w:tc>
          <w:tcPr>
            <w:tcW w:w="4876" w:type="dxa"/>
          </w:tcPr>
          <w:p w:rsidR="00BE27FD" w:rsidRPr="007A4626" w:rsidRDefault="00BE27FD" w:rsidP="00B8323B">
            <w:pPr>
              <w:pStyle w:val="Normal6a"/>
            </w:pPr>
            <w:r w:rsidRPr="007A4626">
              <w:rPr>
                <w:b/>
                <w:i/>
              </w:rPr>
              <w:t>_________________</w:t>
            </w:r>
          </w:p>
        </w:tc>
      </w:tr>
      <w:tr w:rsidR="00BE27FD" w:rsidRPr="007A4626" w:rsidTr="00B8323B">
        <w:trPr>
          <w:jc w:val="center"/>
        </w:trPr>
        <w:tc>
          <w:tcPr>
            <w:tcW w:w="4876" w:type="dxa"/>
          </w:tcPr>
          <w:p w:rsidR="00BE27FD" w:rsidRPr="007A4626" w:rsidRDefault="00BE27FD" w:rsidP="00B8323B">
            <w:pPr>
              <w:pStyle w:val="Normal6a"/>
            </w:pPr>
            <w:r w:rsidRPr="007A4626">
              <w:rPr>
                <w:vertAlign w:val="superscript"/>
              </w:rPr>
              <w:t>33</w:t>
            </w:r>
            <w:r w:rsidRPr="007A4626">
              <w:t xml:space="preserve"> Resolucija Sveta in predstavnikov vlad držav članic, ki so se sestali v okviru Sveta z dne 27. junija 2006 o Kodeksu ravnanja v zvezi z dokumentacijo za transferne cene za povezana podjetja v Evropski uniji (EU TPD) (UL C 176, 2006, str. 1), </w:t>
            </w:r>
            <w:hyperlink r:id="rId9" w:history="1">
              <w:r w:rsidRPr="007A4626">
                <w:rPr>
                  <w:rStyle w:val="Hyperlink"/>
                  <w:color w:val="auto"/>
                </w:rPr>
                <w:t>https://eur-lex.europa.eu/legal-content/SL/TXT/?uri=CELEX:42006X0728(01)</w:t>
              </w:r>
            </w:hyperlink>
            <w:r w:rsidRPr="007A4626">
              <w:t>.</w:t>
            </w:r>
          </w:p>
        </w:tc>
        <w:tc>
          <w:tcPr>
            <w:tcW w:w="4876" w:type="dxa"/>
          </w:tcPr>
          <w:p w:rsidR="00BE27FD" w:rsidRPr="007A4626" w:rsidRDefault="00BE27FD" w:rsidP="00B8323B">
            <w:pPr>
              <w:pStyle w:val="Normal6a"/>
            </w:pPr>
            <w:r w:rsidRPr="007A4626">
              <w:rPr>
                <w:vertAlign w:val="superscript"/>
              </w:rPr>
              <w:t>33</w:t>
            </w:r>
            <w:r w:rsidRPr="007A4626">
              <w:t xml:space="preserve"> Resolucija Sveta in predstavnikov vlad držav članic, ki so se sestali v okviru Sveta z dne 27. junija 2006 o Kodeksu ravnanja v zvezi z dokumentacijo za transferne cene za povezana podjetja v Evropski uniji (EU TPD) (UL C 176, 2006, str. 1), </w:t>
            </w:r>
            <w:hyperlink r:id="rId10" w:history="1">
              <w:r w:rsidRPr="007A4626">
                <w:rPr>
                  <w:rStyle w:val="Hyperlink"/>
                  <w:color w:val="auto"/>
                </w:rPr>
                <w:t>https://eur-lex.europa.eu/legal-content/SL/TXT/?uri=CELEX:42006X0728(01)</w:t>
              </w:r>
            </w:hyperlink>
            <w:r w:rsidRPr="007A4626">
              <w:t>.</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13</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(16)</w:t>
            </w:r>
            <w:r w:rsidRPr="007A4626">
              <w:tab/>
              <w:t>Da bi se davčnim zavezancem zagotovila večja gotovost in zmanjšalo tveganje dvojne obdavčitve</w:t>
            </w:r>
            <w:r w:rsidRPr="007A4626">
              <w:rPr>
                <w:b/>
                <w:i/>
              </w:rPr>
              <w:t xml:space="preserve">, je v tej direktivi predvidena možnost, da se z izvedbenimi akti določijo nadaljnja </w:t>
            </w:r>
            <w:r w:rsidRPr="007A4626">
              <w:rPr>
                <w:b/>
                <w:i/>
              </w:rPr>
              <w:lastRenderedPageBreak/>
              <w:t>skupna zavezujoča pravila o določanju transfernih cen.</w:t>
            </w:r>
            <w:r w:rsidRPr="007A4626">
              <w:t xml:space="preserve"> </w:t>
            </w:r>
            <w:r w:rsidRPr="007A4626">
              <w:rPr>
                <w:b/>
                <w:i/>
              </w:rPr>
              <w:t>S temi izvedbeni akti bi moral biti davčnim zavezancem zagotovljen jasen pregled nad tem</w:t>
            </w:r>
            <w:r w:rsidRPr="007A4626">
              <w:t xml:space="preserve">, </w:t>
            </w:r>
            <w:r w:rsidRPr="007A4626">
              <w:rPr>
                <w:b/>
                <w:i/>
              </w:rPr>
              <w:t>kaj je za davčne organe v Uniji sprejemljivo uporabiti pri posameznih transakcijah</w:t>
            </w:r>
            <w:r w:rsidRPr="007A4626">
              <w:t xml:space="preserve">, </w:t>
            </w:r>
            <w:r w:rsidRPr="007A4626">
              <w:rPr>
                <w:b/>
                <w:i/>
              </w:rPr>
              <w:t>poleg tega pa bodo v njih opredeljeni tako imenovani varni pristani</w:t>
            </w:r>
            <w:r w:rsidRPr="007A4626">
              <w:t xml:space="preserve">, </w:t>
            </w:r>
            <w:r w:rsidRPr="007A4626">
              <w:rPr>
                <w:b/>
                <w:i/>
              </w:rPr>
              <w:t>ki zmanjšujejo breme izpolnjevanja obveznosti in število sporov.</w:t>
            </w:r>
            <w:r w:rsidRPr="007A4626">
              <w:t xml:space="preserve"> </w:t>
            </w:r>
            <w:r w:rsidRPr="007A4626">
              <w:rPr>
                <w:b/>
                <w:bCs/>
                <w:i/>
                <w:iCs/>
              </w:rPr>
              <w:t>Glede na morebitni učinek</w:t>
            </w:r>
            <w:r w:rsidRPr="007A4626">
              <w:t xml:space="preserve"> takih ukrepov na nacionalno izvršilno pristojnost v zvezi z neposredno obdavčitvijo, izvajanjem pravic do obdavčitve, dodeljenih v skladu z dvostranskimi ali večstranskimi davčnimi konvencijami, ki preprečujejo dvojno obdavčevanje ali dvojno neobdavčevanje, in glede na morebiten učinek na davčne osnove držav članic </w:t>
            </w:r>
            <w:r w:rsidRPr="007A4626">
              <w:rPr>
                <w:b/>
                <w:i/>
              </w:rPr>
              <w:t>bi bilo treba izvedbena pooblastila za sprejemanje sklepov na podlagi te direktive prenesti na Svet</w:t>
            </w:r>
            <w:r w:rsidRPr="007A4626">
              <w:t xml:space="preserve">, ki </w:t>
            </w:r>
            <w:r w:rsidRPr="007A4626">
              <w:rPr>
                <w:b/>
                <w:i/>
              </w:rPr>
              <w:t>ukrepa na predlog Komisije</w:t>
            </w:r>
            <w:r w:rsidRPr="007A4626">
              <w:t>.</w:t>
            </w:r>
          </w:p>
        </w:tc>
        <w:tc>
          <w:tcPr>
            <w:tcW w:w="4876" w:type="dxa"/>
          </w:tcPr>
          <w:p w:rsidR="00BE27FD" w:rsidRPr="007A4626" w:rsidRDefault="00BE27FD" w:rsidP="00B8323B">
            <w:pPr>
              <w:pStyle w:val="Normal6a"/>
              <w:rPr>
                <w:szCs w:val="24"/>
              </w:rPr>
            </w:pPr>
            <w:r w:rsidRPr="007A4626">
              <w:lastRenderedPageBreak/>
              <w:t>(16)</w:t>
            </w:r>
            <w:r w:rsidRPr="007A4626">
              <w:tab/>
              <w:t xml:space="preserve">Da bi se davčnim zavezancem zagotovila večja gotovost in zmanjšalo tveganje dvojne </w:t>
            </w:r>
            <w:r w:rsidRPr="007A4626">
              <w:rPr>
                <w:b/>
                <w:i/>
              </w:rPr>
              <w:t xml:space="preserve">neobdavčitve in dvojne </w:t>
            </w:r>
            <w:r w:rsidRPr="007A4626">
              <w:t>obdavčitve</w:t>
            </w:r>
            <w:r w:rsidRPr="007A4626">
              <w:rPr>
                <w:b/>
                <w:i/>
              </w:rPr>
              <w:t xml:space="preserve">, pa tudi ob upoštevanju morebitnega učinka </w:t>
            </w:r>
            <w:r w:rsidRPr="007A4626">
              <w:t xml:space="preserve">takih ukrepov na </w:t>
            </w:r>
            <w:r w:rsidRPr="007A4626">
              <w:lastRenderedPageBreak/>
              <w:t xml:space="preserve">nacionalno izvršilno pristojnost v zvezi z neposredno obdavčitvijo, izvajanjem pravic do obdavčitve, dodeljenih v skladu z dvostranskimi ali večstranskimi davčnimi konvencijami, ki preprečujejo dvojno obdavčevanje ali dvojno neobdavčevanje, in glede na morebiten učinek na davčne osnove držav članic </w:t>
            </w:r>
            <w:r w:rsidRPr="007A4626">
              <w:rPr>
                <w:b/>
                <w:i/>
              </w:rPr>
              <w:t>bi bilo treba na Komisijo prenesti pooblastilo, da v skladu s členom 290 Pogodbe o delovanju Evropske unije sprejme akte, da določi dodatna skupna zavezujoča pravila o določanju transfernih cen.</w:t>
            </w:r>
            <w:r w:rsidRPr="007A4626">
              <w:t xml:space="preserve"> </w:t>
            </w:r>
            <w:r w:rsidRPr="007A4626">
              <w:rPr>
                <w:b/>
                <w:i/>
              </w:rPr>
              <w:t>S temi delegiranimi akti bi moral biti davčnim zavezancem zagotovljen jasen pregled nad tem, kaj je za</w:t>
            </w:r>
            <w:r w:rsidRPr="007A4626">
              <w:t xml:space="preserve"> davčne </w:t>
            </w:r>
            <w:r w:rsidRPr="007A4626">
              <w:rPr>
                <w:b/>
                <w:i/>
              </w:rPr>
              <w:t>organe v Uniji sprejemljivo uporabiti pri posameznih transakcijah, poleg tega pa bodo v njih opredeljeni tako imenovani varni pristani</w:t>
            </w:r>
            <w:r w:rsidRPr="007A4626">
              <w:t xml:space="preserve">, ki </w:t>
            </w:r>
            <w:r w:rsidRPr="007A4626">
              <w:rPr>
                <w:b/>
                <w:i/>
              </w:rPr>
              <w:t>zmanjšujejo breme izpolnjevanja obveznosti in število sporov</w:t>
            </w:r>
            <w:r w:rsidRPr="007A4626">
              <w: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14</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(16a)</w:t>
            </w:r>
            <w:r w:rsidRPr="007A4626">
              <w:tab/>
            </w:r>
            <w:r w:rsidRPr="007A4626">
              <w:rPr>
                <w:b/>
                <w:i/>
              </w:rPr>
              <w:t>Ker je določanje transfernih cen proces, ki se razvija skozi čas, bo bistveno ves čas spremljati, ali je treba to direktivo prilagoditi, da bodo metodologije za določanje transfernih cen tako znotraj Unije kot na svetovni ravni enotne.</w:t>
            </w:r>
            <w:r w:rsidRPr="007A4626">
              <w:t xml:space="preserve"> </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15</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16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(16b)</w:t>
            </w:r>
            <w:r w:rsidRPr="007A4626">
              <w:tab/>
              <w:t xml:space="preserve"> </w:t>
            </w:r>
            <w:r w:rsidRPr="007A4626">
              <w:rPr>
                <w:b/>
                <w:i/>
              </w:rPr>
              <w:t xml:space="preserve">Skupni forum EU za transferne cene je ponudil praktične rešitve za težave, ki jih predstavljajo prakse transfernih cen v vseh državah članicah. S ponovno </w:t>
            </w:r>
            <w:r w:rsidRPr="007A4626">
              <w:rPr>
                <w:b/>
                <w:i/>
              </w:rPr>
              <w:lastRenderedPageBreak/>
              <w:t>vzpostavitvijo tega foruma z razširjenim mandatom bodo lahko nacionalni strokovnjaki iz držav članic skupaj s predstavniki poslovne skupnosti, akademskega sveta in civilne družbe pomagali Komisiji, kar lahko privede do sprejetja zakonodaje, s katero bo mogoče doseči zastavljeni cilj povečanja davčne gotovosti za podjetja v Uniji.</w:t>
            </w:r>
            <w:r w:rsidRPr="007A4626">
              <w:t xml:space="preserve"> </w:t>
            </w:r>
            <w:r w:rsidRPr="007A4626">
              <w:rPr>
                <w:b/>
                <w:i/>
              </w:rPr>
              <w:t>V procesu iskanja praktičnih rešitev skupno stališče davčnih zavezancev in davčnih organov pomeni celovitejše stališče.</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16</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(17)</w:t>
            </w:r>
            <w:r w:rsidRPr="007A4626">
              <w:tab/>
              <w:t>Komisija bi morala za oceno učinkovitosti novih pravil, določenih v tej direktivi, pripraviti oceno na podlagi informacij, ki jih predložijo države članice, in drugih razpoložljivih podatkov.</w:t>
            </w:r>
          </w:p>
        </w:tc>
        <w:tc>
          <w:tcPr>
            <w:tcW w:w="4876" w:type="dxa"/>
          </w:tcPr>
          <w:p w:rsidR="00BE27FD" w:rsidRPr="007A4626" w:rsidRDefault="00BE27FD" w:rsidP="00B8323B">
            <w:pPr>
              <w:pStyle w:val="Normal6a"/>
            </w:pPr>
            <w:r w:rsidRPr="007A4626">
              <w:t>(17)</w:t>
            </w:r>
            <w:r w:rsidRPr="007A4626">
              <w:tab/>
              <w:t xml:space="preserve">Komisija bi morala za oceno učinkovitosti </w:t>
            </w:r>
            <w:r w:rsidRPr="007A4626">
              <w:rPr>
                <w:b/>
                <w:i/>
              </w:rPr>
              <w:t xml:space="preserve">in učinka </w:t>
            </w:r>
            <w:r w:rsidRPr="007A4626">
              <w:t>novih pravil, določenih v tej direktivi, pripraviti oceno na podlagi informacij, ki jih predložijo države članice, in drugih razpoložljivih podatkov</w:t>
            </w:r>
            <w:r w:rsidRPr="007A4626">
              <w:rPr>
                <w:b/>
                <w:i/>
              </w:rPr>
              <w:t>, po potrebi pa tej oceni priložiti tudi zakonodajni predlog</w:t>
            </w:r>
            <w:r w:rsidRPr="007A4626">
              <w:t>.</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17</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Uvodna izjava 17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(17a)</w:t>
            </w:r>
            <w:r w:rsidRPr="007A4626">
              <w:rPr>
                <w:b/>
                <w:i/>
              </w:rPr>
              <w:tab/>
              <w:t>Komisija bi morala preučiti uporabo te direktive za mednarodne skupine podjetij, ki spadajo na področje uporabe predloga direktive Sveta o poslovanju v Evropi: okvir za obdavčitev dohodkov (BEFIT).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18</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lastRenderedPageBreak/>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(18)</w:t>
            </w:r>
            <w:r w:rsidRPr="007A4626">
              <w:tab/>
              <w:t>Informacije o davčnih določbah iz te direktive bi morale biti dostopne prek enotnega digitalnega vstopnega mesta v skladu z Uredbo (EU) 2018/1724</w:t>
            </w:r>
            <w:r w:rsidRPr="007A4626">
              <w:rPr>
                <w:vertAlign w:val="superscript"/>
              </w:rPr>
              <w:t>34</w:t>
            </w:r>
            <w:r w:rsidRPr="007A4626">
              <w:t>, da bi lahko podjetja neposredno uživala koristi notranjega trga brez nepotrebnega dodatnega upravnega bremena. Enotno digitalno vstopno mesto zagotavlja vse na enem mestu za čezmejne uporabnike za spletno zagotavljanje informacij, postopkov in storitev pomoči, pomembnih za delovanje notranjega trga.</w:t>
            </w:r>
          </w:p>
        </w:tc>
        <w:tc>
          <w:tcPr>
            <w:tcW w:w="4876" w:type="dxa"/>
          </w:tcPr>
          <w:p w:rsidR="00BE27FD" w:rsidRPr="007A4626" w:rsidRDefault="00BE27FD" w:rsidP="00B8323B">
            <w:pPr>
              <w:pStyle w:val="Normal6a"/>
            </w:pPr>
            <w:r w:rsidRPr="007A4626">
              <w:t>(18)</w:t>
            </w:r>
            <w:r w:rsidRPr="007A4626">
              <w:tab/>
              <w:t>Informacije o davčnih določbah iz te direktive bi morale biti dostopne prek enotnega digitalnega vstopnega mesta v skladu z Uredbo (EU) 2018/1724</w:t>
            </w:r>
            <w:r w:rsidRPr="007A4626">
              <w:rPr>
                <w:vertAlign w:val="superscript"/>
              </w:rPr>
              <w:t>34</w:t>
            </w:r>
            <w:r w:rsidRPr="007A4626">
              <w:t xml:space="preserve">, da bi lahko podjetja neposredno uživala koristi notranjega trga brez nepotrebnega dodatnega upravnega bremena. Enotno digitalno vstopno mesto zagotavlja vse na enem mestu za čezmejne uporabnike za spletno zagotavljanje informacij, postopkov in storitev pomoči, pomembnih za delovanje notranjega trga. </w:t>
            </w:r>
            <w:r w:rsidRPr="007A4626">
              <w:rPr>
                <w:b/>
                <w:i/>
              </w:rPr>
              <w:t>Ta točka vse na enem mestu bi morala biti intuitivna, zlahka dostopna in opremljena s potrebnimi orodji, da ne bi ustvarjala novih birokratskih ovir za podjetja.</w:t>
            </w:r>
            <w:r w:rsidRPr="007A4626">
              <w:t xml:space="preserve"> </w:t>
            </w:r>
            <w:r w:rsidRPr="007A4626">
              <w:rPr>
                <w:b/>
                <w:i/>
              </w:rPr>
              <w:t>Pozitivna izkušnja s točko vse na enem mestu na področju davka na dodano vrednost (DDV) je dober primer, kako mora biti taka točka zasnovana, da pravilno deluje.</w:t>
            </w:r>
          </w:p>
        </w:tc>
      </w:tr>
      <w:tr w:rsidR="00BE27FD" w:rsidRPr="007A4626" w:rsidTr="00B8323B">
        <w:trPr>
          <w:jc w:val="center"/>
        </w:trPr>
        <w:tc>
          <w:tcPr>
            <w:tcW w:w="4876" w:type="dxa"/>
          </w:tcPr>
          <w:p w:rsidR="00BE27FD" w:rsidRPr="007A4626" w:rsidRDefault="00BE27FD" w:rsidP="00B8323B">
            <w:pPr>
              <w:pStyle w:val="Normal6a"/>
            </w:pPr>
            <w:r w:rsidRPr="007A4626">
              <w:rPr>
                <w:b/>
                <w:i/>
              </w:rPr>
              <w:t>_________________</w:t>
            </w:r>
          </w:p>
        </w:tc>
        <w:tc>
          <w:tcPr>
            <w:tcW w:w="4876" w:type="dxa"/>
          </w:tcPr>
          <w:p w:rsidR="00BE27FD" w:rsidRPr="007A4626" w:rsidRDefault="00BE27FD" w:rsidP="00B8323B">
            <w:pPr>
              <w:pStyle w:val="Normal6a"/>
            </w:pPr>
            <w:r w:rsidRPr="007A4626">
              <w:rPr>
                <w:b/>
                <w:i/>
              </w:rPr>
              <w:t>_________________</w:t>
            </w:r>
          </w:p>
        </w:tc>
      </w:tr>
      <w:tr w:rsidR="00BE27FD" w:rsidRPr="007A4626" w:rsidTr="00B8323B">
        <w:trPr>
          <w:jc w:val="center"/>
        </w:trPr>
        <w:tc>
          <w:tcPr>
            <w:tcW w:w="4876" w:type="dxa"/>
          </w:tcPr>
          <w:p w:rsidR="00BE27FD" w:rsidRPr="007A4626" w:rsidRDefault="00BE27FD" w:rsidP="00B8323B">
            <w:pPr>
              <w:pStyle w:val="Normal6a"/>
            </w:pPr>
            <w:r w:rsidRPr="007A4626">
              <w:rPr>
                <w:vertAlign w:val="superscript"/>
              </w:rPr>
              <w:t>34</w:t>
            </w:r>
            <w:r w:rsidRPr="007A4626">
              <w:t xml:space="preserve"> Uredba (EU) 2018/1724 Evropskega parlamenta in Sveta z dne 2. oktobra 2018 o vzpostavitvi enotnega digitalnega vstopnega mesta za zagotavljanje dostopa do informacij, do postopkov ter do storitev za pomoč in reševanje težav ter o spremembi Uredbe (EU) št. 1024/2012 (UL L 295, 21.11.2018, str. 1).</w:t>
            </w:r>
          </w:p>
        </w:tc>
        <w:tc>
          <w:tcPr>
            <w:tcW w:w="4876" w:type="dxa"/>
          </w:tcPr>
          <w:p w:rsidR="00BE27FD" w:rsidRPr="007A4626" w:rsidRDefault="00BE27FD" w:rsidP="00B8323B">
            <w:pPr>
              <w:pStyle w:val="Normal6a"/>
            </w:pPr>
            <w:r w:rsidRPr="007A4626">
              <w:rPr>
                <w:vertAlign w:val="superscript"/>
              </w:rPr>
              <w:t>34</w:t>
            </w:r>
            <w:r w:rsidRPr="007A4626">
              <w:t xml:space="preserve"> Uredba (EU) 2018/1724 Evropskega parlamenta in Sveta z dne 2. oktobra 2018 o vzpostavitvi enotnega digitalnega vstopnega mesta za zagotavljanje dostopa do informacij, do postopkov ter do storitev za pomoč in reševanje težav ter o spremembi Uredbe (EU) št. 1024/2012 (UL L 295, 21.11.2018, str. 1).</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19</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(21)</w:t>
            </w:r>
            <w:r w:rsidRPr="007A4626">
              <w:tab/>
              <w:t>Da bi se zmanjšalo upravno breme za davčne zavezance, bi bilo treba na Komisijo prenesti pooblastilo</w:t>
            </w:r>
            <w:r w:rsidRPr="007A4626">
              <w:rPr>
                <w:b/>
                <w:i/>
              </w:rPr>
              <w:t xml:space="preserve"> za sprejemanje aktov</w:t>
            </w:r>
            <w:r w:rsidRPr="007A4626">
              <w:t xml:space="preserve"> skladu s členom 290 Pogodbe o delovanju Evropske unije v zvezi z dokumentacijo za določanje transfernih cen, in sicer z določitvijo skupnih predlog in jezikovnih zahtev ter opredelitvijo vrste davčnega zavezanca, ki </w:t>
            </w:r>
            <w:r w:rsidRPr="007A4626">
              <w:lastRenderedPageBreak/>
              <w:t xml:space="preserve">mora upoštevati te predloge, in časovnih okvirov, ki bodo zajeti. Zlasti je pomembno, da se Komisija pri svojem pripravljalnem delu ustrezno posvetuje, vključno na ravni strokovnjakov, in da se ta posvetovanja izvedejo v skladu z načeli, določenimi v Medinstitucionalnem sporazumu </w:t>
            </w:r>
            <w:r w:rsidRPr="007A4626">
              <w:rPr>
                <w:b/>
                <w:i/>
              </w:rPr>
              <w:t xml:space="preserve">o boljši pripravi zakonodaje </w:t>
            </w:r>
            <w:r w:rsidRPr="007A4626">
              <w:t>z dne 13. aprila 2016.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Pr>
          <w:p w:rsidR="00BE27FD" w:rsidRPr="007A4626" w:rsidRDefault="00BE27FD" w:rsidP="00B8323B">
            <w:pPr>
              <w:pStyle w:val="Normal6a"/>
            </w:pPr>
            <w:r w:rsidRPr="007A4626">
              <w:lastRenderedPageBreak/>
              <w:t>(21)</w:t>
            </w:r>
            <w:r w:rsidRPr="007A4626">
              <w:tab/>
              <w:t>Da bi se zmanjšalo upravno breme za davčne zavezance</w:t>
            </w:r>
            <w:r w:rsidRPr="007A4626">
              <w:rPr>
                <w:b/>
                <w:i/>
              </w:rPr>
              <w:t xml:space="preserve"> in tveganje izogibanja davkom</w:t>
            </w:r>
            <w:r w:rsidRPr="007A4626">
              <w:t>, bi bilo treba na Komisijo prenesti pooblastilo</w:t>
            </w:r>
            <w:r w:rsidRPr="007A4626">
              <w:rPr>
                <w:b/>
                <w:i/>
              </w:rPr>
              <w:t>, da v</w:t>
            </w:r>
            <w:r w:rsidRPr="007A4626">
              <w:t xml:space="preserve"> skladu s členom 290 Pogodbe o delovanju Evropske unije</w:t>
            </w:r>
            <w:r w:rsidRPr="007A4626">
              <w:rPr>
                <w:b/>
                <w:i/>
              </w:rPr>
              <w:t xml:space="preserve"> sprejme akte</w:t>
            </w:r>
            <w:r w:rsidRPr="007A4626">
              <w:t xml:space="preserve"> v zvezi z dokumentacijo za določanje transfernih cen, in sicer z določitvijo skupnih predlog in jezikovnih zahtev ter opredelitvijo vrste </w:t>
            </w:r>
            <w:r w:rsidRPr="007A4626">
              <w:lastRenderedPageBreak/>
              <w:t>davčnega zavezanca, ki mora upoštevati te predloge, in časovnih okvirov, ki bodo zajeti. Zlasti je pomembno, da se Komisija pri svojem pripravljalnem delu ustrezno posvetuje, vključno na ravni strokovnjakov, in da se ta posvetovanja izvedejo v skladu z načeli, določenimi v Medinstitucionalnem sporazumu z dne 13. aprila 2016</w:t>
            </w:r>
            <w:r w:rsidRPr="007A4626">
              <w:rPr>
                <w:b/>
                <w:i/>
              </w:rPr>
              <w:t xml:space="preserve"> o boljši pripravi zakonodaje</w:t>
            </w:r>
            <w:r w:rsidRPr="007A4626">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bl>
    <w:p w:rsidR="00BE27FD" w:rsidRPr="007A4626" w:rsidRDefault="00BE27FD" w:rsidP="00BE27FD"/>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20</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 xml:space="preserve">Ta direktiva določa pravila za uskladitev pravil držav članic o določanju transfernih cen in zagotovitev </w:t>
            </w:r>
            <w:r w:rsidRPr="007A4626">
              <w:rPr>
                <w:b/>
                <w:i/>
              </w:rPr>
              <w:t>skupne</w:t>
            </w:r>
            <w:r w:rsidRPr="007A4626">
              <w:t xml:space="preserve"> uporabe načela običajnih tržnih pogojev v Uniji.</w:t>
            </w:r>
          </w:p>
        </w:tc>
        <w:tc>
          <w:tcPr>
            <w:tcW w:w="4876" w:type="dxa"/>
          </w:tcPr>
          <w:p w:rsidR="00BE27FD" w:rsidRPr="007A4626" w:rsidRDefault="00BE27FD" w:rsidP="00B8323B">
            <w:pPr>
              <w:pStyle w:val="Normal6a"/>
              <w:rPr>
                <w:szCs w:val="24"/>
              </w:rPr>
            </w:pPr>
            <w:r w:rsidRPr="007A4626">
              <w:t xml:space="preserve">Ta direktiva določa pravila za uskladitev pravil držav članic o določanju transfernih cen in zagotovitev </w:t>
            </w:r>
            <w:r w:rsidRPr="007A4626">
              <w:rPr>
                <w:b/>
                <w:i/>
              </w:rPr>
              <w:t>enotne</w:t>
            </w:r>
            <w:r w:rsidRPr="007A4626">
              <w:t xml:space="preserve"> uporabe načela običajnih tržnih pogojev</w:t>
            </w:r>
            <w:r w:rsidRPr="007A4626">
              <w:rPr>
                <w:b/>
                <w:i/>
              </w:rPr>
              <w:t xml:space="preserve"> </w:t>
            </w:r>
            <w:r w:rsidRPr="007A4626">
              <w:t>v Uniji</w:t>
            </w:r>
            <w:r w:rsidRPr="007A4626">
              <w:rPr>
                <w:b/>
                <w:i/>
              </w:rPr>
              <w:t>, da bi lahko podjetja tako lažje ravnala skladno z njimi in da bi se hkrati zagotavljalo izvrševanje davčnih pravil</w:t>
            </w:r>
            <w:r w:rsidRPr="007A4626">
              <w:t xml:space="preserve"> </w:t>
            </w:r>
            <w:r w:rsidRPr="007A4626">
              <w:rPr>
                <w:b/>
                <w:bCs/>
                <w:i/>
                <w:iCs/>
              </w:rPr>
              <w:t>v Uniji</w:t>
            </w:r>
            <w:r w:rsidRPr="007A4626">
              <w: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21</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3 – odstavek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w:t>
            </w:r>
            <w:r w:rsidRPr="007A4626">
              <w:tab/>
              <w:t xml:space="preserve">„načelo običajnih tržnih pogojev“ pomeni mednarodni standard, ki določa, da morajo povezana podjetja med seboj poslovati tako, kot da bi bila neodvisne tretje osebe. Z drugimi besedami, transakcije med povezanima podjetjema bi morale odražati izid, ki bi bil dosežen, če </w:t>
            </w:r>
            <w:r w:rsidRPr="007A4626">
              <w:lastRenderedPageBreak/>
              <w:t>stranki ne bi bili povezani, tj. če bi bili stranki neodvisni druga od druge in bi izid (ceno ali marže) določale sile (odprtega) trga.</w:t>
            </w:r>
          </w:p>
        </w:tc>
        <w:tc>
          <w:tcPr>
            <w:tcW w:w="4876" w:type="dxa"/>
          </w:tcPr>
          <w:p w:rsidR="00BE27FD" w:rsidRPr="007A4626" w:rsidRDefault="00BE27FD" w:rsidP="00B8323B">
            <w:pPr>
              <w:pStyle w:val="Normal6a"/>
            </w:pPr>
            <w:r w:rsidRPr="007A4626">
              <w:lastRenderedPageBreak/>
              <w:t>(1)</w:t>
            </w:r>
            <w:r w:rsidRPr="007A4626">
              <w:tab/>
              <w:t>„načelo običajnih tržnih pogojev“ pomeni mednarodni standard</w:t>
            </w:r>
            <w:r w:rsidRPr="007A4626">
              <w:rPr>
                <w:b/>
                <w:i/>
              </w:rPr>
              <w:t xml:space="preserve"> v skladu s členom 9 vzorčne davčne konvencije OECD</w:t>
            </w:r>
            <w:r w:rsidRPr="007A4626">
              <w:t xml:space="preserve">, ki določa, da morajo povezana podjetja med seboj poslovati tako, kot da bi bila neodvisne tretje osebe. Z drugimi besedami, transakcije med povezanima </w:t>
            </w:r>
            <w:r w:rsidRPr="007A4626">
              <w:lastRenderedPageBreak/>
              <w:t>podjetjema bi morale odražati izid, ki bi bil dosežen, če stranki ne bi bili povezani, tj. če bi bili stranki neodvisni druga od druge in bi izid (ceno ali marže) določale sile (odprtega) trga.</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22</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3 – odstavek 1 – točka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(18)</w:t>
            </w:r>
            <w:r w:rsidRPr="007A4626">
              <w:tab/>
              <w:t>„smernice OECD za določanje transfernih cen“ pomenijo Smernice OECD za določanje transfernih cen za mednarodna podjetja in davčne uprave iz leta 2022, ki jih je potrdil Svet OECD v skladu s Priporočilom Sveta OECD o določanju transfernih cen med povezanimi podjetji [</w:t>
            </w:r>
            <w:r w:rsidRPr="007A4626">
              <w:rPr>
                <w:b/>
                <w:bCs/>
                <w:i/>
                <w:iCs/>
              </w:rPr>
              <w:t>C(95)126/Final</w:t>
            </w:r>
            <w:r w:rsidRPr="007A4626">
              <w:t xml:space="preserve">] in kakor so bile spremenjene 20. januarja 2022 in vključene v Prilogo I, ter vse </w:t>
            </w:r>
            <w:r w:rsidRPr="007A4626">
              <w:rPr>
                <w:b/>
                <w:bCs/>
                <w:i/>
                <w:iCs/>
              </w:rPr>
              <w:t>nadaljnje</w:t>
            </w:r>
            <w:r w:rsidRPr="007A4626">
              <w:t xml:space="preserve"> spremembe teh smernic OECD za določanje transfernih cen, ki jih </w:t>
            </w:r>
            <w:r w:rsidRPr="007A4626">
              <w:rPr>
                <w:b/>
                <w:i/>
              </w:rPr>
              <w:t>je Unija odobrila</w:t>
            </w:r>
            <w:r w:rsidRPr="007A4626">
              <w:t xml:space="preserve"> v okviru Odbora OECD za fiskalne zadeve </w:t>
            </w:r>
            <w:r w:rsidRPr="007A4626">
              <w:rPr>
                <w:b/>
                <w:i/>
              </w:rPr>
              <w:t>s sprejetjem stališča</w:t>
            </w:r>
            <w:r w:rsidRPr="007A4626">
              <w:t xml:space="preserve"> Unije v skladu s členom </w:t>
            </w:r>
            <w:r w:rsidRPr="007A4626">
              <w:rPr>
                <w:b/>
                <w:bCs/>
                <w:i/>
                <w:iCs/>
              </w:rPr>
              <w:t>218(9)</w:t>
            </w:r>
            <w:r w:rsidRPr="007A4626">
              <w:t xml:space="preserve"> PDEU;</w:t>
            </w:r>
          </w:p>
        </w:tc>
        <w:tc>
          <w:tcPr>
            <w:tcW w:w="4876" w:type="dxa"/>
          </w:tcPr>
          <w:p w:rsidR="00BE27FD" w:rsidRPr="007A4626" w:rsidRDefault="00BE27FD" w:rsidP="00B8323B">
            <w:pPr>
              <w:pStyle w:val="Normal6a"/>
              <w:rPr>
                <w:szCs w:val="24"/>
              </w:rPr>
            </w:pPr>
            <w:r w:rsidRPr="007A4626">
              <w:t>(18)</w:t>
            </w:r>
            <w:r w:rsidRPr="007A4626">
              <w:tab/>
              <w:t>„smernice OECD za določanje transfernih cen“ pomenijo Smernice OECD za določanje transfernih cen za mednarodna podjetja in davčne uprave iz leta 2022, ki jih je potrdil Svet OECD v skladu s priporočilom Sveta OECD o določanju transfernih cen med povezanimi podjetji [</w:t>
            </w:r>
            <w:r w:rsidRPr="007A4626">
              <w:rPr>
                <w:b/>
                <w:bCs/>
                <w:i/>
                <w:iCs/>
              </w:rPr>
              <w:t>C(95)126</w:t>
            </w:r>
            <w:r w:rsidRPr="007A4626">
              <w:t xml:space="preserve">] in kakor so bile spremenjene 20. januarja 2022 in vključene v Prilogo I, ter vse </w:t>
            </w:r>
            <w:r w:rsidRPr="007A4626">
              <w:rPr>
                <w:b/>
                <w:bCs/>
                <w:i/>
                <w:iCs/>
              </w:rPr>
              <w:t>naknadne</w:t>
            </w:r>
            <w:r w:rsidRPr="007A4626">
              <w:t xml:space="preserve"> spremembe teh smernic OECD za določanje transfernih cen, ki jih </w:t>
            </w:r>
            <w:r w:rsidRPr="007A4626">
              <w:rPr>
                <w:b/>
                <w:i/>
              </w:rPr>
              <w:t>odobrijo države članice</w:t>
            </w:r>
            <w:r w:rsidRPr="007A4626">
              <w:t xml:space="preserve"> v okviru Odbora OECD za fiskalne zadeve </w:t>
            </w:r>
            <w:r w:rsidRPr="007A4626">
              <w:rPr>
                <w:b/>
                <w:i/>
              </w:rPr>
              <w:t>ali pa jih odobri Unija, tako da sprejme stališče</w:t>
            </w:r>
            <w:r w:rsidRPr="007A4626">
              <w:t xml:space="preserve"> Unije v skladu s členom </w:t>
            </w:r>
            <w:r w:rsidRPr="007A4626">
              <w:rPr>
                <w:b/>
                <w:bCs/>
                <w:i/>
                <w:iCs/>
              </w:rPr>
              <w:t>218</w:t>
            </w:r>
            <w:r w:rsidRPr="007A4626">
              <w:t xml:space="preserve"> PDEU;</w:t>
            </w:r>
          </w:p>
        </w:tc>
      </w:tr>
    </w:tbl>
    <w:p w:rsidR="00BE27FD" w:rsidRPr="007A4626" w:rsidRDefault="00BE27FD" w:rsidP="00BE27FD"/>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23</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rPr>
          <w:rStyle w:val="HideTWBExt"/>
          <w:b w:val="0"/>
          <w:noProof w:val="0"/>
          <w:vanish w:val="0"/>
          <w:color w:val="auto"/>
        </w:rPr>
      </w:pPr>
      <w:r w:rsidRPr="007A4626">
        <w:t>Člen 3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szCs w:val="24"/>
              </w:rPr>
            </w:pPr>
            <w:r w:rsidRPr="007A4626">
              <w:rPr>
                <w:b/>
                <w:bCs/>
                <w:i/>
                <w:iCs/>
              </w:rPr>
              <w:t>Na Komisijo se prenese pooblastilo, da v skladu s členom 18 sprejme delegirane akte, da se upoštevajo vse naknadne spremembe smernic OECD za določanje transfernih cen, kot so opredeljene v točki 18 tega člena, ki jih odobrijo države članice v okviru Odbora OECD za fiskalne zadeve ali pa jih odobri Unija, tako da sprejme stališče Unije v skladu s členom 218 PDEU.</w:t>
            </w:r>
          </w:p>
        </w:tc>
      </w:tr>
    </w:tbl>
    <w:p w:rsidR="00BE27FD" w:rsidRPr="007A4626" w:rsidRDefault="007A4626" w:rsidP="00BE27FD">
      <w:pPr>
        <w:pStyle w:val="AmNumberTabs"/>
      </w:pPr>
      <w:r w:rsidRPr="007A4626">
        <w:t>Sprememba</w:t>
      </w:r>
      <w:r w:rsidR="00BE27FD" w:rsidRPr="007A4626">
        <w:tab/>
      </w:r>
      <w:r w:rsidR="00BE27FD" w:rsidRPr="007A4626">
        <w:tab/>
        <w:t>24</w:t>
      </w:r>
    </w:p>
    <w:p w:rsidR="00BE27FD" w:rsidRPr="007A4626" w:rsidRDefault="00BE27FD" w:rsidP="00BE27FD">
      <w:pPr>
        <w:pStyle w:val="NormalBold12b"/>
      </w:pPr>
      <w:r w:rsidRPr="007A4626">
        <w:lastRenderedPageBreak/>
        <w:t>Predlog direktive</w:t>
      </w:r>
    </w:p>
    <w:p w:rsidR="00BE27FD" w:rsidRPr="007A4626" w:rsidRDefault="00BE27FD" w:rsidP="00BE27FD">
      <w:pPr>
        <w:pStyle w:val="NormalBold"/>
      </w:pPr>
      <w:r w:rsidRPr="007A4626">
        <w:t>Člen 5 – odstavek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(a)</w:t>
            </w:r>
            <w:r w:rsidRPr="007A4626">
              <w:tab/>
              <w:t>oseba je udeležena pri upravljanju druge osebe tako, da je v položaju z znatnim vplivom na to drugo osebo;</w:t>
            </w:r>
          </w:p>
        </w:tc>
        <w:tc>
          <w:tcPr>
            <w:tcW w:w="4876" w:type="dxa"/>
          </w:tcPr>
          <w:p w:rsidR="00BE27FD" w:rsidRPr="007A4626" w:rsidRDefault="00BE27FD" w:rsidP="00B8323B">
            <w:pPr>
              <w:pStyle w:val="Normal6a"/>
            </w:pPr>
            <w:r w:rsidRPr="007A4626">
              <w:rPr>
                <w:i/>
              </w:rPr>
              <w:t>(Ne zadeva slovenske različice.)</w:t>
            </w:r>
            <w:r w:rsidRPr="007A4626">
              <w:tab/>
              <w:t xml:space="preserve"> </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25</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6 – odstavek 3 – točka a – točka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(i)</w:t>
            </w:r>
            <w:r w:rsidRPr="007A4626">
              <w:tab/>
              <w:t>navede vse dejanske in pravne okoliščine, potrebne za oceno primarne prilagoditve, izvedene v drugi jurisdikciji, v skladu z načelom običajnih tržnih pogojev;</w:t>
            </w:r>
          </w:p>
        </w:tc>
        <w:tc>
          <w:tcPr>
            <w:tcW w:w="4876" w:type="dxa"/>
          </w:tcPr>
          <w:p w:rsidR="00BE27FD" w:rsidRPr="007A4626" w:rsidRDefault="00BE27FD" w:rsidP="00B8323B">
            <w:pPr>
              <w:pStyle w:val="Normal6a"/>
            </w:pPr>
            <w:r w:rsidRPr="007A4626">
              <w:t>(i)</w:t>
            </w:r>
            <w:r w:rsidRPr="007A4626">
              <w:tab/>
              <w:t>navede vse dejanske in pravne okoliščine, potrebne za oceno primarne prilagoditve, izvedene v drugi jurisdikciji, v skladu z načelom običajnih tržnih pogojev</w:t>
            </w:r>
            <w:r w:rsidRPr="007A4626">
              <w:rPr>
                <w:b/>
                <w:i/>
              </w:rPr>
              <w:t>, vključno z ustrezno dokumentacijo za določanje transfernih cen, poslano državam članicam</w:t>
            </w:r>
            <w:r w:rsidRPr="007A4626">
              <w: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26</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6 – odstavek 3 – točka a – točka ii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rPr>
            </w:pPr>
            <w:r w:rsidRPr="007A4626">
              <w:rPr>
                <w:b/>
                <w:i/>
              </w:rPr>
              <w:t>(iia)</w:t>
            </w:r>
            <w:r w:rsidRPr="007A4626">
              <w:tab/>
            </w:r>
            <w:r w:rsidRPr="007A4626">
              <w:rPr>
                <w:b/>
                <w:i/>
              </w:rPr>
              <w:t>za vsako državo članico, ki jo zadeva prilagoditev, sporoči dejansko davčno stopnjo, izračunano v skladu z Direktivo Sveta (EU) 2022/2523</w:t>
            </w:r>
            <w:r w:rsidRPr="007A4626">
              <w:rPr>
                <w:b/>
                <w:i/>
                <w:vertAlign w:val="superscript"/>
              </w:rPr>
              <w:t>1a</w:t>
            </w:r>
            <w:r w:rsidRPr="007A4626">
              <w:rPr>
                <w:b/>
                <w:i/>
              </w:rPr>
              <w:t>;</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rPr>
            </w:pPr>
            <w:r w:rsidRPr="007A4626">
              <w:rPr>
                <w:b/>
                <w:i/>
              </w:rPr>
              <w:t>________________</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rPr>
            </w:pPr>
            <w:r w:rsidRPr="007A4626">
              <w:rPr>
                <w:b/>
                <w:i/>
                <w:vertAlign w:val="superscript"/>
              </w:rPr>
              <w:t>1a</w:t>
            </w:r>
            <w:r w:rsidRPr="007A4626">
              <w:rPr>
                <w:b/>
                <w:i/>
              </w:rPr>
              <w:t xml:space="preserve"> Direktiva Sveta (EU) 2022/2523 z dne 14. decembra 2022 o zagotavljanju globalne minimalne davčne stopnje za mednarodne skupine podjetij in velike domače skupine v Uniji (UL L 328, 22.12.2022, str. 1).</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27</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6 – odstavek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(b)</w:t>
            </w:r>
            <w:r w:rsidRPr="007A4626">
              <w:tab/>
              <w:t xml:space="preserve">Države članice zahtevo razglasijo za dopustno v </w:t>
            </w:r>
            <w:r w:rsidRPr="007A4626">
              <w:rPr>
                <w:b/>
                <w:i/>
              </w:rPr>
              <w:t>30</w:t>
            </w:r>
            <w:r w:rsidRPr="007A4626">
              <w:t xml:space="preserve"> dneh na podlagi uradnega obvestila davčnemu zavezancu, če so bile predložene vse informacije iz odstavka 3, točka (a). Države članice v istem časovnem okviru davčnega zavezanca uradno obvestijo o morebitnih manjkajočih potrebnih informacijah in mu za njihovo predložitev </w:t>
            </w:r>
            <w:r w:rsidRPr="007A4626">
              <w:rPr>
                <w:b/>
                <w:i/>
              </w:rPr>
              <w:t>odobrijo</w:t>
            </w:r>
            <w:r w:rsidRPr="007A4626">
              <w:t xml:space="preserve"> vsaj </w:t>
            </w:r>
            <w:r w:rsidRPr="007A4626">
              <w:rPr>
                <w:b/>
                <w:i/>
              </w:rPr>
              <w:t>30</w:t>
            </w:r>
            <w:r w:rsidRPr="007A4626">
              <w:t xml:space="preserve"> dni. Če davčni zavezanec zahtevanih informacij ne predloži v določenem roku, se</w:t>
            </w:r>
            <w:r w:rsidRPr="007A4626">
              <w:rPr>
                <w:b/>
                <w:i/>
              </w:rPr>
              <w:t xml:space="preserve"> lahko</w:t>
            </w:r>
            <w:r w:rsidRPr="007A4626">
              <w:t xml:space="preserve"> zahteva zavrže kot nedopustna.</w:t>
            </w:r>
          </w:p>
        </w:tc>
        <w:tc>
          <w:tcPr>
            <w:tcW w:w="4876" w:type="dxa"/>
          </w:tcPr>
          <w:p w:rsidR="00BE27FD" w:rsidRPr="007A4626" w:rsidRDefault="00BE27FD" w:rsidP="00B8323B">
            <w:pPr>
              <w:pStyle w:val="Normal6a"/>
            </w:pPr>
            <w:r w:rsidRPr="007A4626">
              <w:t>(b)</w:t>
            </w:r>
            <w:r w:rsidRPr="007A4626">
              <w:tab/>
              <w:t xml:space="preserve">Države članice zahtevo razglasijo za dopustno v </w:t>
            </w:r>
            <w:r w:rsidRPr="007A4626">
              <w:rPr>
                <w:b/>
                <w:i/>
              </w:rPr>
              <w:t>40</w:t>
            </w:r>
            <w:r w:rsidRPr="007A4626">
              <w:t xml:space="preserve"> dneh na podlagi uradnega obvestila davčnemu zavezancu, če so bile predložene vse informacije iz odstavka 3, točka (a). Države članice v istem časovnem okviru davčnega zavezanca uradno obvestijo o morebitnih manjkajočih potrebnih informacijah in mu za njihovo predložitev </w:t>
            </w:r>
            <w:r w:rsidRPr="007A4626">
              <w:rPr>
                <w:b/>
                <w:i/>
              </w:rPr>
              <w:t>dajo na voljo</w:t>
            </w:r>
            <w:r w:rsidRPr="007A4626">
              <w:t xml:space="preserve"> vsaj </w:t>
            </w:r>
            <w:r w:rsidRPr="007A4626">
              <w:rPr>
                <w:b/>
                <w:i/>
              </w:rPr>
              <w:t>40</w:t>
            </w:r>
            <w:r w:rsidRPr="007A4626">
              <w:t xml:space="preserve"> dni. Če davčni zavezanec zahtevanih informacij ne predloži v določenem roku, se zahteva zavrže kot nedopustna.</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28</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6 – odstavek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(c)</w:t>
            </w:r>
            <w:r w:rsidRPr="007A4626">
              <w:tab/>
              <w:t xml:space="preserve">Kadar dvojna obdavčitev izhaja iz primarne prilagoditve, izvedene v drugi državi članici, države članice zagotovijo, da se postopek zaključi v </w:t>
            </w:r>
            <w:r w:rsidRPr="007A4626">
              <w:rPr>
                <w:b/>
                <w:i/>
              </w:rPr>
              <w:t>180</w:t>
            </w:r>
            <w:r w:rsidRPr="007A4626">
              <w:t xml:space="preserve"> dneh od prejema zahteve davčnega zavezanca z aktom, ki vsebuje obrazložitev o sprejetju ali zavrnitvi.</w:t>
            </w:r>
          </w:p>
        </w:tc>
        <w:tc>
          <w:tcPr>
            <w:tcW w:w="4876" w:type="dxa"/>
          </w:tcPr>
          <w:p w:rsidR="00BE27FD" w:rsidRPr="007A4626" w:rsidRDefault="00BE27FD" w:rsidP="00B8323B">
            <w:pPr>
              <w:pStyle w:val="Normal6a"/>
            </w:pPr>
            <w:r w:rsidRPr="007A4626">
              <w:t>(c)</w:t>
            </w:r>
            <w:r w:rsidRPr="007A4626">
              <w:tab/>
              <w:t xml:space="preserve">Kadar dvojna obdavčitev izhaja iz primarne prilagoditve, izvedene v drugi državi članici, države članice zagotovijo, da se postopek zaključi v </w:t>
            </w:r>
            <w:r w:rsidRPr="007A4626">
              <w:rPr>
                <w:b/>
                <w:i/>
              </w:rPr>
              <w:t>200</w:t>
            </w:r>
            <w:r w:rsidRPr="007A4626">
              <w:t xml:space="preserve"> dneh od prejema zahteve davčnega zavezanca z aktom, ki vsebuje obrazložitev o sprejetju ali zavrnitvi. </w:t>
            </w:r>
            <w:r w:rsidRPr="007A4626">
              <w:rPr>
                <w:b/>
                <w:i/>
              </w:rPr>
              <w:t>Ta postopek se lahko enkrat podaljša za 100 dni, če se tako zadevni davčni zavezanec kot zadevne države članice strinjajo s takim podaljšanjem.</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29</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6 – odstavek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(d)</w:t>
            </w:r>
            <w:r w:rsidRPr="007A4626">
              <w:tab/>
              <w:t>V primeru sprejetja države članice davčnemu organu druge ustrezne jurisdikcije sporočijo, da priznavajo ustrezno prilagoditev.</w:t>
            </w:r>
          </w:p>
        </w:tc>
        <w:tc>
          <w:tcPr>
            <w:tcW w:w="4876" w:type="dxa"/>
          </w:tcPr>
          <w:p w:rsidR="00BE27FD" w:rsidRPr="007A4626" w:rsidRDefault="00BE27FD" w:rsidP="00B8323B">
            <w:pPr>
              <w:pStyle w:val="Normal6a"/>
            </w:pPr>
            <w:r w:rsidRPr="007A4626">
              <w:t>(d)</w:t>
            </w:r>
            <w:r w:rsidRPr="007A4626">
              <w:tab/>
              <w:t xml:space="preserve">V primeru sprejetja države članice davčnemu organu druge ustrezne jurisdikcije </w:t>
            </w:r>
            <w:r w:rsidRPr="007A4626">
              <w:rPr>
                <w:b/>
                <w:i/>
              </w:rPr>
              <w:t xml:space="preserve">takoj </w:t>
            </w:r>
            <w:r w:rsidRPr="007A4626">
              <w:t>sporočijo, da priznavajo ustrezno prilagoditev.</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30</w:t>
      </w:r>
    </w:p>
    <w:p w:rsidR="00BE27FD" w:rsidRPr="007A4626" w:rsidRDefault="00BE27FD" w:rsidP="00BE27FD">
      <w:pPr>
        <w:pStyle w:val="NormalBold12b"/>
      </w:pPr>
      <w:r w:rsidRPr="007A4626">
        <w:lastRenderedPageBreak/>
        <w:t>Predlog direktive</w:t>
      </w:r>
    </w:p>
    <w:p w:rsidR="00BE27FD" w:rsidRPr="007A4626" w:rsidRDefault="00BE27FD" w:rsidP="00BE27FD">
      <w:pPr>
        <w:pStyle w:val="NormalBold"/>
      </w:pPr>
      <w:r w:rsidRPr="007A4626">
        <w:t>Člen 6 – odstavek 3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3a.</w:t>
            </w:r>
            <w:r w:rsidRPr="007A4626">
              <w:tab/>
            </w:r>
            <w:r w:rsidRPr="007A4626">
              <w:rPr>
                <w:b/>
                <w:i/>
              </w:rPr>
              <w:t>Za namene odstavkov 1, 2 in 3 države članice uporabijo vse razpoložljive postopke in ureditve iz direktive o upravnem sodelovanju (DAC).</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31</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6 – odstavek 5 – točka a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(aa)</w:t>
            </w:r>
            <w:r w:rsidRPr="007A4626">
              <w:rPr>
                <w:b/>
                <w:i/>
              </w:rPr>
              <w:tab/>
              <w:t>prilagoditev navzdol ne privede do dvojne neobdavčitve, kar pomeni, da je prilagoditev navzdol vključena v obdavčljivi dobiček povezanega podjetja v drugi jurisdikciji;</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32</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11 – odstavek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(a)</w:t>
            </w:r>
            <w:r w:rsidRPr="007A4626">
              <w:tab/>
              <w:t>nobena od (morebitnih) razlik med primerjanimi transakcijami ali med podjetji, ki izvajajo te transakcije, ne bi mogla bistveno vplivati na ceno na odprtem trgu;</w:t>
            </w:r>
          </w:p>
        </w:tc>
        <w:tc>
          <w:tcPr>
            <w:tcW w:w="4876" w:type="dxa"/>
          </w:tcPr>
          <w:p w:rsidR="00BE27FD" w:rsidRPr="007A4626" w:rsidRDefault="00BE27FD" w:rsidP="00B8323B">
            <w:pPr>
              <w:pStyle w:val="Normal6a"/>
            </w:pPr>
            <w:r w:rsidRPr="007A4626">
              <w:t>(a)</w:t>
            </w:r>
            <w:r w:rsidRPr="007A4626">
              <w:tab/>
              <w:t xml:space="preserve">nobena od (morebitnih) razlik med primerjanimi transakcijami ali med podjetji, ki izvajajo te transakcije, ne bi mogla bistveno vplivati na ceno </w:t>
            </w:r>
            <w:r w:rsidRPr="007A4626">
              <w:rPr>
                <w:b/>
                <w:i/>
              </w:rPr>
              <w:t xml:space="preserve">ali maržo </w:t>
            </w:r>
            <w:r w:rsidRPr="007A4626">
              <w:t>na odprtem trgu;</w:t>
            </w:r>
          </w:p>
        </w:tc>
      </w:tr>
    </w:tbl>
    <w:p w:rsidR="00BE27FD" w:rsidRPr="007A4626" w:rsidRDefault="00BE27FD" w:rsidP="00BE27FD"/>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33</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14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2.</w:t>
            </w:r>
            <w:r w:rsidRPr="007A4626">
              <w:tab/>
            </w:r>
            <w:r w:rsidRPr="007A4626">
              <w:rPr>
                <w:b/>
                <w:i/>
              </w:rPr>
              <w:t>Svet lahko</w:t>
            </w:r>
            <w:r w:rsidRPr="007A4626">
              <w:t xml:space="preserve"> v skladu s smernicami OECD </w:t>
            </w:r>
            <w:r w:rsidRPr="007A4626">
              <w:rPr>
                <w:b/>
                <w:i/>
              </w:rPr>
              <w:t>za določanje transfernih cen</w:t>
            </w:r>
            <w:r w:rsidRPr="007A4626">
              <w:t xml:space="preserve"> določi dodatna pravila o tem, kako naj se načelo običajnih tržnih pogojev in druge določbe </w:t>
            </w:r>
            <w:r w:rsidRPr="007A4626">
              <w:lastRenderedPageBreak/>
              <w:t>iz poglavja II te direktive uporabljajo v specifičnih transakcijah, da se zagotovi večja davčna gotovost in zmanjša tveganje dvojnega obdavčenja</w:t>
            </w:r>
            <w:r w:rsidRPr="007A4626">
              <w:rPr>
                <w:b/>
                <w:i/>
              </w:rPr>
              <w:t>.</w:t>
            </w:r>
            <w:r w:rsidRPr="007A4626">
              <w:t xml:space="preserve"> </w:t>
            </w:r>
            <w:r w:rsidRPr="007A4626">
              <w:rPr>
                <w:b/>
                <w:i/>
              </w:rPr>
              <w:t>Te specifične transakcije ali posli so naslednji:</w:t>
            </w:r>
          </w:p>
        </w:tc>
        <w:tc>
          <w:tcPr>
            <w:tcW w:w="4876" w:type="dxa"/>
          </w:tcPr>
          <w:p w:rsidR="00BE27FD" w:rsidRPr="007A4626" w:rsidRDefault="00BE27FD" w:rsidP="00B8323B">
            <w:pPr>
              <w:pStyle w:val="Normal6a"/>
              <w:rPr>
                <w:szCs w:val="24"/>
              </w:rPr>
            </w:pPr>
            <w:r w:rsidRPr="007A4626">
              <w:lastRenderedPageBreak/>
              <w:t>2.</w:t>
            </w:r>
            <w:r w:rsidRPr="007A4626">
              <w:tab/>
            </w:r>
            <w:r w:rsidRPr="007A4626">
              <w:rPr>
                <w:b/>
                <w:i/>
              </w:rPr>
              <w:t>Na Komisijo se prenese pooblastilo, da</w:t>
            </w:r>
            <w:r w:rsidRPr="007A4626">
              <w:t xml:space="preserve"> v skladu s </w:t>
            </w:r>
            <w:r w:rsidRPr="007A4626">
              <w:rPr>
                <w:b/>
                <w:i/>
              </w:rPr>
              <w:t xml:space="preserve">členom 18 sprejme delegirane akte, da v skladu z najnovejšimi mednarodno priporočenimi </w:t>
            </w:r>
            <w:r w:rsidRPr="007A4626">
              <w:lastRenderedPageBreak/>
              <w:t xml:space="preserve">smernicami OECD </w:t>
            </w:r>
            <w:r w:rsidRPr="007A4626">
              <w:rPr>
                <w:b/>
                <w:i/>
              </w:rPr>
              <w:t>ali Združenih narodov</w:t>
            </w:r>
            <w:r w:rsidRPr="007A4626">
              <w:t xml:space="preserve"> določi dodatna pravila o tem, kako naj se načelo običajnih tržnih pogojev in druge določbe iz poglavja II te direktive uporabljajo v specifičnih transakcijah, da se zagotovi večja davčna gotovost in zmanjša tveganje dvojnega </w:t>
            </w:r>
            <w:r w:rsidRPr="007A4626">
              <w:rPr>
                <w:b/>
                <w:i/>
              </w:rPr>
              <w:t xml:space="preserve">neobdavčenja in dvojnega </w:t>
            </w:r>
            <w:r w:rsidRPr="007A4626">
              <w:t>obdavčenja</w:t>
            </w:r>
            <w:r w:rsidRPr="007A4626">
              <w:rPr>
                <w:b/>
                <w:i/>
              </w:rPr>
              <w:t xml:space="preserve"> ter zmanjša število davčnih sporov in davčnih zlorab.</w:t>
            </w:r>
          </w:p>
        </w:tc>
      </w:tr>
      <w:tr w:rsidR="00BE27FD" w:rsidRPr="007A4626" w:rsidTr="00B8323B">
        <w:trPr>
          <w:jc w:val="center"/>
        </w:trPr>
        <w:tc>
          <w:tcPr>
            <w:tcW w:w="4876" w:type="dxa"/>
          </w:tcPr>
          <w:p w:rsidR="00BE27FD" w:rsidRPr="007A4626" w:rsidRDefault="00BE27FD" w:rsidP="00B8323B">
            <w:pPr>
              <w:pStyle w:val="Normal6a"/>
            </w:pPr>
            <w:r w:rsidRPr="007A4626">
              <w:rPr>
                <w:b/>
                <w:i/>
              </w:rPr>
              <w:lastRenderedPageBreak/>
              <w:t>(a)</w:t>
            </w:r>
            <w:r w:rsidRPr="007A4626">
              <w:rPr>
                <w:b/>
                <w:i/>
              </w:rPr>
              <w:tab/>
              <w:t>prenos neopredmetenih sredstev ali pravic do neopredmetenih sredstev med povezanimi podjetji, vključno z neopredmetenimi sredstvi, ki jih je težko vrednotiti;</w:t>
            </w:r>
          </w:p>
        </w:tc>
        <w:tc>
          <w:tcPr>
            <w:tcW w:w="4876" w:type="dxa"/>
          </w:tcPr>
          <w:p w:rsidR="00BE27FD" w:rsidRPr="007A4626" w:rsidRDefault="00BE27FD" w:rsidP="00B8323B">
            <w:pPr>
              <w:pStyle w:val="Normal6a"/>
              <w:rPr>
                <w:szCs w:val="24"/>
              </w:rPr>
            </w:pPr>
          </w:p>
        </w:tc>
      </w:tr>
      <w:tr w:rsidR="00BE27FD" w:rsidRPr="007A4626" w:rsidTr="00B8323B">
        <w:trPr>
          <w:jc w:val="center"/>
        </w:trPr>
        <w:tc>
          <w:tcPr>
            <w:tcW w:w="4876" w:type="dxa"/>
          </w:tcPr>
          <w:p w:rsidR="00BE27FD" w:rsidRPr="007A4626" w:rsidRDefault="00BE27FD" w:rsidP="00B8323B">
            <w:pPr>
              <w:pStyle w:val="Normal6a"/>
              <w:rPr>
                <w:b/>
                <w:i/>
              </w:rPr>
            </w:pPr>
            <w:r w:rsidRPr="007A4626">
              <w:rPr>
                <w:b/>
                <w:i/>
              </w:rPr>
              <w:t>(b)</w:t>
            </w:r>
            <w:r w:rsidRPr="007A4626">
              <w:rPr>
                <w:b/>
                <w:i/>
              </w:rPr>
              <w:tab/>
              <w:t>opravljanje storitev med povezanimi podjetji, vključno z opravljanjem storitev trženja in distribucije;</w:t>
            </w:r>
          </w:p>
        </w:tc>
        <w:tc>
          <w:tcPr>
            <w:tcW w:w="4876" w:type="dxa"/>
          </w:tcPr>
          <w:p w:rsidR="00BE27FD" w:rsidRPr="007A4626" w:rsidRDefault="00BE27FD" w:rsidP="00B8323B">
            <w:pPr>
              <w:pStyle w:val="Normal6a"/>
              <w:rPr>
                <w:szCs w:val="24"/>
              </w:rPr>
            </w:pPr>
          </w:p>
        </w:tc>
      </w:tr>
      <w:tr w:rsidR="00BE27FD" w:rsidRPr="007A4626" w:rsidTr="00B8323B">
        <w:trPr>
          <w:jc w:val="center"/>
        </w:trPr>
        <w:tc>
          <w:tcPr>
            <w:tcW w:w="4876" w:type="dxa"/>
          </w:tcPr>
          <w:p w:rsidR="00BE27FD" w:rsidRPr="007A4626" w:rsidRDefault="00BE27FD" w:rsidP="00B8323B">
            <w:pPr>
              <w:pStyle w:val="Normal6a"/>
              <w:rPr>
                <w:b/>
                <w:i/>
              </w:rPr>
            </w:pPr>
            <w:r w:rsidRPr="007A4626">
              <w:rPr>
                <w:b/>
                <w:i/>
              </w:rPr>
              <w:t>(c)</w:t>
            </w:r>
            <w:r w:rsidRPr="007A4626">
              <w:rPr>
                <w:b/>
                <w:i/>
              </w:rPr>
              <w:tab/>
              <w:t>dogovori o delitvi stroškov med povezanimi podjetji;</w:t>
            </w:r>
          </w:p>
        </w:tc>
        <w:tc>
          <w:tcPr>
            <w:tcW w:w="4876" w:type="dxa"/>
          </w:tcPr>
          <w:p w:rsidR="00BE27FD" w:rsidRPr="007A4626" w:rsidRDefault="00BE27FD" w:rsidP="00B8323B">
            <w:pPr>
              <w:pStyle w:val="Normal6a"/>
              <w:rPr>
                <w:szCs w:val="24"/>
              </w:rPr>
            </w:pPr>
          </w:p>
        </w:tc>
      </w:tr>
      <w:tr w:rsidR="00BE27FD" w:rsidRPr="007A4626" w:rsidTr="00B8323B">
        <w:trPr>
          <w:jc w:val="center"/>
        </w:trPr>
        <w:tc>
          <w:tcPr>
            <w:tcW w:w="4876" w:type="dxa"/>
          </w:tcPr>
          <w:p w:rsidR="00BE27FD" w:rsidRPr="007A4626" w:rsidRDefault="00BE27FD" w:rsidP="00B8323B">
            <w:pPr>
              <w:pStyle w:val="Normal6a"/>
              <w:rPr>
                <w:b/>
                <w:i/>
              </w:rPr>
            </w:pPr>
            <w:r w:rsidRPr="007A4626">
              <w:rPr>
                <w:b/>
                <w:i/>
              </w:rPr>
              <w:t>(d)</w:t>
            </w:r>
            <w:r w:rsidRPr="007A4626">
              <w:rPr>
                <w:b/>
                <w:i/>
              </w:rPr>
              <w:tab/>
              <w:t>transakcije med povezanimi podjetji v okviru prestrukturiranja podjetij;</w:t>
            </w:r>
          </w:p>
        </w:tc>
        <w:tc>
          <w:tcPr>
            <w:tcW w:w="4876" w:type="dxa"/>
          </w:tcPr>
          <w:p w:rsidR="00BE27FD" w:rsidRPr="007A4626" w:rsidRDefault="00BE27FD" w:rsidP="00B8323B">
            <w:pPr>
              <w:pStyle w:val="Normal6a"/>
              <w:rPr>
                <w:szCs w:val="24"/>
              </w:rPr>
            </w:pPr>
          </w:p>
        </w:tc>
      </w:tr>
      <w:tr w:rsidR="00BE27FD" w:rsidRPr="007A4626" w:rsidTr="00B8323B">
        <w:trPr>
          <w:jc w:val="center"/>
        </w:trPr>
        <w:tc>
          <w:tcPr>
            <w:tcW w:w="4876" w:type="dxa"/>
          </w:tcPr>
          <w:p w:rsidR="00BE27FD" w:rsidRPr="007A4626" w:rsidRDefault="00BE27FD" w:rsidP="00B8323B">
            <w:pPr>
              <w:pStyle w:val="Normal6a"/>
              <w:rPr>
                <w:b/>
                <w:i/>
              </w:rPr>
            </w:pPr>
            <w:r w:rsidRPr="007A4626">
              <w:rPr>
                <w:b/>
                <w:i/>
              </w:rPr>
              <w:t>(e)</w:t>
            </w:r>
            <w:r w:rsidRPr="007A4626">
              <w:rPr>
                <w:b/>
                <w:i/>
              </w:rPr>
              <w:tab/>
              <w:t>finančne transakcije;</w:t>
            </w:r>
          </w:p>
        </w:tc>
        <w:tc>
          <w:tcPr>
            <w:tcW w:w="4876" w:type="dxa"/>
          </w:tcPr>
          <w:p w:rsidR="00BE27FD" w:rsidRPr="007A4626" w:rsidRDefault="00BE27FD" w:rsidP="00B8323B">
            <w:pPr>
              <w:pStyle w:val="Normal6a"/>
              <w:rPr>
                <w:szCs w:val="24"/>
              </w:rPr>
            </w:pPr>
          </w:p>
        </w:tc>
      </w:tr>
      <w:tr w:rsidR="00BE27FD" w:rsidRPr="007A4626" w:rsidTr="00B8323B">
        <w:trPr>
          <w:jc w:val="center"/>
        </w:trPr>
        <w:tc>
          <w:tcPr>
            <w:tcW w:w="4876" w:type="dxa"/>
          </w:tcPr>
          <w:p w:rsidR="00BE27FD" w:rsidRPr="007A4626" w:rsidRDefault="00BE27FD" w:rsidP="00B8323B">
            <w:pPr>
              <w:pStyle w:val="Normal6a"/>
              <w:rPr>
                <w:b/>
                <w:i/>
              </w:rPr>
            </w:pPr>
            <w:r w:rsidRPr="007A4626">
              <w:rPr>
                <w:b/>
                <w:i/>
              </w:rPr>
              <w:t>(f)</w:t>
            </w:r>
            <w:r w:rsidRPr="007A4626">
              <w:rPr>
                <w:b/>
                <w:i/>
              </w:rPr>
              <w:tab/>
              <w:t>poslovanje med sedežem in njegovimi stalnimi poslovnimi enotami.</w:t>
            </w:r>
          </w:p>
        </w:tc>
        <w:tc>
          <w:tcPr>
            <w:tcW w:w="4876" w:type="dxa"/>
          </w:tcPr>
          <w:p w:rsidR="00BE27FD" w:rsidRPr="007A4626" w:rsidRDefault="00BE27FD" w:rsidP="00B8323B">
            <w:pPr>
              <w:pStyle w:val="Normal6a"/>
              <w:rPr>
                <w:szCs w:val="24"/>
              </w:rPr>
            </w:pP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34</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14 – odstavek 2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2a.</w:t>
            </w:r>
            <w:r w:rsidRPr="007A4626">
              <w:rPr>
                <w:b/>
                <w:i/>
              </w:rPr>
              <w:tab/>
              <w:t>Komisija lahko v skladu s členom 18 sprejme delegirane akte, da določi dodatna pravila, kot je uvedba tako imenovanih varnih pristanov, da omogoči lažjo uporabo načela običajnih tržnih pogojev v Uniji, zagotovi večjo davčno gotovost in zmanjša tveganje dvojnega neobdavčenja in dvojnega obdavčevanja ter zmanjša število davčnih sporov in davčnih zlorab.</w:t>
            </w:r>
          </w:p>
        </w:tc>
      </w:tr>
    </w:tbl>
    <w:p w:rsidR="00BE27FD" w:rsidRPr="007A4626" w:rsidRDefault="00BE27FD" w:rsidP="00BE27FD"/>
    <w:p w:rsidR="00BE27FD" w:rsidRPr="007A4626" w:rsidRDefault="007A4626" w:rsidP="00BE27FD">
      <w:pPr>
        <w:pStyle w:val="AmNumberTabs"/>
        <w:keepNext/>
      </w:pPr>
      <w:r w:rsidRPr="007A4626">
        <w:lastRenderedPageBreak/>
        <w:t>Sprememba</w:t>
      </w:r>
      <w:r w:rsidR="00BE27FD" w:rsidRPr="007A4626">
        <w:tab/>
      </w:r>
      <w:r w:rsidR="00BE27FD" w:rsidRPr="007A4626">
        <w:tab/>
        <w:t>35</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14 – odstavek 2 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2b.</w:t>
            </w:r>
            <w:r w:rsidRPr="007A4626">
              <w:rPr>
                <w:b/>
                <w:i/>
              </w:rPr>
              <w:tab/>
              <w:t>Komisija lahko v skladu s členom 18 sprejme delegirani akt, s katerim določi pravila, da se v to direktivo vključi predlagani poenostavljeni pristop k skladnosti glede določanja transfernih cen za dejavnosti distribucije oziroma proizvodne dejavnosti iz Direktive Sveta XX/XX/EU o poslovanju v Evropi: okvir za obdavčitev dohodkov (BEFIT).</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36</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14 – odstavek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rPr>
                <w:b/>
                <w:i/>
              </w:rPr>
              <w:t>3.</w:t>
            </w:r>
            <w:r w:rsidRPr="007A4626">
              <w:tab/>
            </w:r>
            <w:r w:rsidRPr="007A4626">
              <w:rPr>
                <w:b/>
                <w:i/>
              </w:rPr>
              <w:t>Pravila iz odstavka 2 se sprejmejo z izvedbenimi akti Sveta na podlagi predloga Komisije.</w:t>
            </w:r>
          </w:p>
        </w:tc>
        <w:tc>
          <w:tcPr>
            <w:tcW w:w="4876" w:type="dxa"/>
          </w:tcPr>
          <w:p w:rsidR="00BE27FD" w:rsidRPr="007A4626" w:rsidRDefault="00BE27FD" w:rsidP="00B8323B">
            <w:pPr>
              <w:pStyle w:val="Normal6a"/>
              <w:rPr>
                <w:b/>
                <w:i/>
                <w:szCs w:val="24"/>
              </w:rPr>
            </w:pPr>
            <w:r w:rsidRPr="007A4626">
              <w:rPr>
                <w:b/>
                <w:i/>
              </w:rPr>
              <w:t>črtano</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37</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pPr>
            <w:r w:rsidRPr="007A4626">
              <w:rPr>
                <w:b/>
                <w:i/>
              </w:rPr>
              <w:t>Člen 14a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spacing w:after="120"/>
              <w:jc w:val="center"/>
              <w:rPr>
                <w:b/>
                <w:i/>
              </w:rPr>
            </w:pPr>
            <w:r w:rsidRPr="007A4626">
              <w:rPr>
                <w:b/>
                <w:i/>
              </w:rPr>
              <w:t>Ponovna vzpostavitev Skupnega foruma EU za transferne cene</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1.</w:t>
            </w:r>
            <w:r w:rsidRPr="007A4626">
              <w:tab/>
            </w:r>
            <w:r w:rsidRPr="007A4626">
              <w:rPr>
                <w:b/>
                <w:i/>
              </w:rPr>
              <w:t>Komisija vzpostavi Evropski forum za transferne cene (EFTP) in mu predseduje.</w:t>
            </w:r>
            <w:r w:rsidRPr="007A4626">
              <w:t xml:space="preserve"> </w:t>
            </w:r>
            <w:r w:rsidRPr="007A4626">
              <w:rPr>
                <w:b/>
                <w:i/>
              </w:rPr>
              <w:t>Ta forum svetuje in pomaga odboru v smislu člena 17, zlasti pri oceni, ali je treba to direktivo spremeniti, da bi bile metodologije določanja transfernih cen v Uniji in na svetovni ravni ves čas enotne, predvsem ob upoštevanju razvoja na ravni OECD ali OZN.</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2.</w:t>
            </w:r>
            <w:r w:rsidRPr="007A4626">
              <w:tab/>
            </w:r>
            <w:r w:rsidRPr="007A4626">
              <w:rPr>
                <w:b/>
                <w:i/>
              </w:rPr>
              <w:t>Forum sestavljajo predstavniki držav članic, uravnoteženo pa so v njem zastopani tudi davčni zavezanci, akademiki in civilna družba.</w:t>
            </w:r>
            <w:r w:rsidRPr="007A4626">
              <w:t xml:space="preserve"> </w:t>
            </w:r>
            <w:r w:rsidRPr="007A4626">
              <w:rPr>
                <w:b/>
                <w:i/>
              </w:rPr>
              <w:t>Evropski parlament v njem sodeluje kot opazovalec.</w:t>
            </w:r>
            <w:r w:rsidRPr="007A4626">
              <w:t xml:space="preserve"> </w:t>
            </w:r>
            <w:r w:rsidRPr="007A4626">
              <w:rPr>
                <w:b/>
                <w:i/>
              </w:rPr>
              <w:t>Pogoje za članstvo v njem določi odbor iz člena 17.</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38</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14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pPr>
            <w:r w:rsidRPr="007A4626">
              <w:rPr>
                <w:b/>
                <w:i/>
              </w:rPr>
              <w:t>Člen 14b</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rPr>
                <w:b/>
                <w:i/>
              </w:rPr>
            </w:pPr>
            <w:r w:rsidRPr="007A4626">
              <w:rPr>
                <w:b/>
                <w:i/>
              </w:rPr>
              <w:t>Razširitev pobude za evropski pristop, ki temelji na zaupanju in sodelovanju (ETACA)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1.</w:t>
            </w:r>
            <w:r w:rsidRPr="007A4626">
              <w:tab/>
            </w:r>
            <w:r w:rsidRPr="007A4626">
              <w:rPr>
                <w:b/>
                <w:i/>
              </w:rPr>
              <w:t>V sklopu evropskega pristopa, ki temelji na zaupanju in sodelovanju (ETACA), se med drugim na podlagi nekaterih tokov znotraj Unije pregleda, kako sodelujoče države članice določajo transferne cene, in ne le transakcije z nizko dodano vrednostjo, kot to trenutno velja.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2.</w:t>
            </w:r>
            <w:r w:rsidRPr="007A4626">
              <w:tab/>
            </w:r>
            <w:r w:rsidRPr="007A4626">
              <w:rPr>
                <w:b/>
                <w:i/>
              </w:rPr>
              <w:t>Države članice so pozvane, naj pristop ETACA povežejo z vnaprejšnjimi cenovnimi sporazumi, da bo pristop ETACA deloval kot hiter postopek za iskanje stabilnih rešitev, kadar se med postopkom pregleda ugotovi, da obstajajo težave.</w:t>
            </w:r>
          </w:p>
        </w:tc>
      </w:tr>
    </w:tbl>
    <w:p w:rsidR="00BE27FD" w:rsidRPr="007A4626" w:rsidRDefault="00BE27FD" w:rsidP="00BE27FD"/>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39</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15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w:t>
            </w:r>
            <w:r w:rsidRPr="007A4626">
              <w:tab/>
              <w:t xml:space="preserve">Komisija </w:t>
            </w:r>
            <w:r w:rsidRPr="007A4626">
              <w:rPr>
                <w:b/>
                <w:i/>
              </w:rPr>
              <w:t>vsakih pet let</w:t>
            </w:r>
            <w:r w:rsidRPr="007A4626">
              <w:t xml:space="preserve"> preuči in oceni uporabo te direktive </w:t>
            </w:r>
            <w:r w:rsidRPr="007A4626">
              <w:rPr>
                <w:b/>
                <w:i/>
              </w:rPr>
              <w:t>ter poročilo o njeni oceni predloži</w:t>
            </w:r>
            <w:r w:rsidRPr="007A4626">
              <w:t xml:space="preserve"> Evropskemu parlamentu in Svetu. Prvo poročilo se </w:t>
            </w:r>
            <w:r w:rsidRPr="007A4626">
              <w:lastRenderedPageBreak/>
              <w:t>predloži do 31. decembra </w:t>
            </w:r>
            <w:r w:rsidRPr="007A4626">
              <w:rPr>
                <w:b/>
                <w:i/>
              </w:rPr>
              <w:t>2031</w:t>
            </w:r>
            <w:r w:rsidRPr="007A4626">
              <w:t>.</w:t>
            </w:r>
          </w:p>
        </w:tc>
        <w:tc>
          <w:tcPr>
            <w:tcW w:w="4876" w:type="dxa"/>
          </w:tcPr>
          <w:p w:rsidR="00BE27FD" w:rsidRPr="007A4626" w:rsidRDefault="00BE27FD" w:rsidP="00B8323B">
            <w:pPr>
              <w:pStyle w:val="Normal6a"/>
              <w:rPr>
                <w:szCs w:val="24"/>
              </w:rPr>
            </w:pPr>
            <w:r w:rsidRPr="007A4626">
              <w:lastRenderedPageBreak/>
              <w:t>1.</w:t>
            </w:r>
            <w:r w:rsidRPr="007A4626">
              <w:tab/>
              <w:t xml:space="preserve">Komisija </w:t>
            </w:r>
            <w:r w:rsidRPr="007A4626">
              <w:rPr>
                <w:b/>
                <w:i/>
              </w:rPr>
              <w:t>vsaka tri leta</w:t>
            </w:r>
            <w:r w:rsidRPr="007A4626">
              <w:t xml:space="preserve"> preuči in oceni uporabo</w:t>
            </w:r>
            <w:r w:rsidRPr="007A4626">
              <w:rPr>
                <w:b/>
                <w:i/>
              </w:rPr>
              <w:t>, učinek in medsebojno delovanje</w:t>
            </w:r>
            <w:r w:rsidRPr="007A4626">
              <w:t xml:space="preserve"> te direktive </w:t>
            </w:r>
            <w:r w:rsidRPr="007A4626">
              <w:rPr>
                <w:b/>
                <w:i/>
              </w:rPr>
              <w:t>z najnovejšimi smernicami OECD ali OZN ter</w:t>
            </w:r>
            <w:r w:rsidRPr="007A4626">
              <w:t xml:space="preserve"> </w:t>
            </w:r>
            <w:r w:rsidRPr="007A4626">
              <w:lastRenderedPageBreak/>
              <w:t>Evropskemu parlamentu in Svetu</w:t>
            </w:r>
            <w:r w:rsidRPr="007A4626">
              <w:rPr>
                <w:b/>
                <w:i/>
              </w:rPr>
              <w:t xml:space="preserve"> predloži poročilo o oceni, ki mu po potrebi priloži zakonodajni predlog</w:t>
            </w:r>
            <w:r w:rsidRPr="007A4626">
              <w:t>. Prvo poročilo se predloži do 31. decembra </w:t>
            </w:r>
            <w:r w:rsidRPr="007A4626">
              <w:rPr>
                <w:b/>
                <w:i/>
              </w:rPr>
              <w:t>2029.</w:t>
            </w:r>
            <w:r w:rsidRPr="007A4626">
              <w:t xml:space="preserve"> </w:t>
            </w:r>
            <w:r w:rsidRPr="007A4626">
              <w:rPr>
                <w:b/>
                <w:i/>
              </w:rPr>
              <w:t>Komisija lahko odstopa od teh rokov, če se na ravni OECD ali OZN sprejmejo nove smernice o transfernih cenah</w:t>
            </w:r>
            <w:r w:rsidRPr="007A4626">
              <w:t>.</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40</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15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2.</w:t>
            </w:r>
            <w:r w:rsidRPr="007A4626">
              <w:tab/>
              <w:t>Države članice v skladu z odstavkom 3 Komisiji sporočijo informacije, ki so relevantne za oceno te direktive, z namenom izboljšanja uporabe načela običajnih tržnih pogojev, zmanjšanja dvojnega obdavčevanja ter boja proti davčnim zlorabam.</w:t>
            </w:r>
          </w:p>
        </w:tc>
        <w:tc>
          <w:tcPr>
            <w:tcW w:w="4876" w:type="dxa"/>
          </w:tcPr>
          <w:p w:rsidR="00BE27FD" w:rsidRPr="007A4626" w:rsidRDefault="00BE27FD" w:rsidP="00B8323B">
            <w:pPr>
              <w:pStyle w:val="Normal6a"/>
              <w:rPr>
                <w:szCs w:val="24"/>
              </w:rPr>
            </w:pPr>
            <w:r w:rsidRPr="007A4626">
              <w:t>2.</w:t>
            </w:r>
            <w:r w:rsidRPr="007A4626">
              <w:tab/>
              <w:t xml:space="preserve">Države članice v skladu z odstavkom 3 Komisiji sporočijo informacije, ki so relevantne za oceno te direktive, z namenom izboljšanja uporabe načela običajnih tržnih pogojev, zmanjšanja dvojnega </w:t>
            </w:r>
            <w:r w:rsidRPr="007A4626">
              <w:rPr>
                <w:b/>
                <w:i/>
              </w:rPr>
              <w:t xml:space="preserve">neobdavčevanja in dvojnega </w:t>
            </w:r>
            <w:r w:rsidRPr="007A4626">
              <w:t>obdavčevanja ter boja proti davčnim zlorabam</w:t>
            </w:r>
            <w:r w:rsidRPr="007A4626">
              <w:rPr>
                <w:b/>
                <w:i/>
              </w:rPr>
              <w:t xml:space="preserve"> in davčnim sporom</w:t>
            </w:r>
            <w:r w:rsidRPr="007A4626">
              <w:t>.</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41</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15 – odstavek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5.</w:t>
            </w:r>
            <w:r w:rsidRPr="007A4626">
              <w:tab/>
              <w:t xml:space="preserve">Informacije, ki jih država članica sporoči Komisiji v skladu z odstavkom 2, in vsa poročila ali dokumenti, ki jih pripravi Komisija s pomočjo teh informacij, se lahko pošljejo drugim državam članicam. Za informacije velja obveznost varovanja uradne skrivnosti, varovane pa morajo biti tako, kot so varovane podobne informacije </w:t>
            </w:r>
            <w:r w:rsidRPr="007A4626">
              <w:rPr>
                <w:b/>
                <w:i/>
              </w:rPr>
              <w:t>v</w:t>
            </w:r>
            <w:r w:rsidRPr="007A4626">
              <w:t xml:space="preserve"> nacionalnem pravu države članice, ki jih je prejela.</w:t>
            </w:r>
          </w:p>
        </w:tc>
        <w:tc>
          <w:tcPr>
            <w:tcW w:w="4876" w:type="dxa"/>
          </w:tcPr>
          <w:p w:rsidR="00BE27FD" w:rsidRPr="007A4626" w:rsidRDefault="00BE27FD" w:rsidP="00B8323B">
            <w:pPr>
              <w:pStyle w:val="Normal6a"/>
              <w:rPr>
                <w:szCs w:val="24"/>
              </w:rPr>
            </w:pPr>
            <w:r w:rsidRPr="007A4626">
              <w:t>5.</w:t>
            </w:r>
            <w:r w:rsidRPr="007A4626">
              <w:tab/>
              <w:t>Informacije, ki jih država članica sporoči Komisiji v skladu z odstavkom 2, in vsa poročila ali dokumenti, ki jih pripravi Komisija s pomočjo teh informacij, se lahko pošljejo drugim državam članicam</w:t>
            </w:r>
            <w:r w:rsidRPr="007A4626">
              <w:rPr>
                <w:b/>
                <w:i/>
              </w:rPr>
              <w:t xml:space="preserve"> in Evropskemu parlamentu</w:t>
            </w:r>
            <w:r w:rsidRPr="007A4626">
              <w:t xml:space="preserve">. Za informacije velja obveznost varovanja uradne skrivnosti, varovane pa morajo biti tako, kot so varovane podobne informacije </w:t>
            </w:r>
            <w:r w:rsidRPr="007A4626">
              <w:rPr>
                <w:b/>
                <w:i/>
              </w:rPr>
              <w:t>po</w:t>
            </w:r>
            <w:r w:rsidRPr="007A4626">
              <w:t xml:space="preserve"> nacionalnem pravu države članice, ki jih je prejela.</w:t>
            </w:r>
          </w:p>
        </w:tc>
      </w:tr>
    </w:tbl>
    <w:p w:rsidR="00BE27FD" w:rsidRPr="007A4626" w:rsidRDefault="00BE27FD" w:rsidP="00BE27FD"/>
    <w:p w:rsidR="00BE27FD" w:rsidRPr="007A4626" w:rsidRDefault="007A4626" w:rsidP="00BE27FD">
      <w:pPr>
        <w:pStyle w:val="AmNumberTabs"/>
        <w:keepNext/>
      </w:pPr>
      <w:r w:rsidRPr="007A4626">
        <w:lastRenderedPageBreak/>
        <w:t>Sprememba</w:t>
      </w:r>
      <w:r w:rsidR="00BE27FD" w:rsidRPr="007A4626">
        <w:tab/>
      </w:r>
      <w:r w:rsidR="00BE27FD" w:rsidRPr="007A4626">
        <w:tab/>
        <w:t>42</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16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2.</w:t>
            </w:r>
            <w:r w:rsidRPr="007A4626">
              <w:tab/>
              <w:t>Informacije, vključno z osebnimi podatki, ki se obdelujejo v skladu s to direktivo, se hranijo le toliko časa, kolikor je potrebno za doseganje namenov te direktive, v skladu z nacionalno zakonodajo o zastaranju, ki velja za posameznega upravljavca podatkov, v nobenem primeru pa ne dlje kot 10 let.</w:t>
            </w:r>
          </w:p>
        </w:tc>
        <w:tc>
          <w:tcPr>
            <w:tcW w:w="4876" w:type="dxa"/>
          </w:tcPr>
          <w:p w:rsidR="00BE27FD" w:rsidRPr="007A4626" w:rsidRDefault="00BE27FD" w:rsidP="00B8323B">
            <w:pPr>
              <w:pStyle w:val="Normal6a"/>
              <w:rPr>
                <w:szCs w:val="24"/>
              </w:rPr>
            </w:pPr>
            <w:r w:rsidRPr="007A4626">
              <w:t>2.</w:t>
            </w:r>
            <w:r w:rsidRPr="007A4626">
              <w:tab/>
              <w:t>Informacije, vključno z osebnimi podatki, ki se obdelujejo v skladu s to direktivo, se hranijo le toliko časa, kolikor je potrebno za doseganje namenov te direktive, v skladu z nacionalno zakonodajo o zastaranju, ki velja za posameznega upravljavca podatkov, v nobenem primeru pa ne dlje kot 10 let</w:t>
            </w:r>
            <w:r w:rsidRPr="007A4626">
              <w:rPr>
                <w:b/>
                <w:i/>
              </w:rPr>
              <w:t xml:space="preserve"> od takrat, ko se osebni podatki obdelajo za namene, navedene v tej direktivi</w:t>
            </w:r>
            <w:r w:rsidRPr="007A4626">
              <w:t>.</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43</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1.</w:t>
            </w:r>
            <w:r w:rsidRPr="007A4626">
              <w:tab/>
              <w:t xml:space="preserve">Pooblastilo za </w:t>
            </w:r>
            <w:r w:rsidRPr="007A4626">
              <w:rPr>
                <w:b/>
                <w:i/>
              </w:rPr>
              <w:t>sprejetje delegiranega akta</w:t>
            </w:r>
            <w:r w:rsidRPr="007A4626">
              <w:t xml:space="preserve"> iz člena</w:t>
            </w:r>
            <w:r w:rsidRPr="007A4626">
              <w:rPr>
                <w:b/>
                <w:i/>
              </w:rPr>
              <w:t> </w:t>
            </w:r>
            <w:r w:rsidRPr="007A4626">
              <w:t>13 se na Komisijo</w:t>
            </w:r>
            <w:r w:rsidRPr="007A4626">
              <w:rPr>
                <w:b/>
                <w:i/>
              </w:rPr>
              <w:t xml:space="preserve"> prenese</w:t>
            </w:r>
            <w:r w:rsidRPr="007A4626">
              <w:t xml:space="preserve"> pod pogoji, določenimi v tem členu.</w:t>
            </w:r>
          </w:p>
        </w:tc>
        <w:tc>
          <w:tcPr>
            <w:tcW w:w="4876" w:type="dxa"/>
          </w:tcPr>
          <w:p w:rsidR="00BE27FD" w:rsidRPr="007A4626" w:rsidRDefault="00BE27FD" w:rsidP="006F0DF7">
            <w:pPr>
              <w:pStyle w:val="Normal6a"/>
            </w:pPr>
            <w:r w:rsidRPr="007A4626">
              <w:t>1.</w:t>
            </w:r>
            <w:r w:rsidRPr="007A4626">
              <w:tab/>
              <w:t xml:space="preserve">Pooblastilo za </w:t>
            </w:r>
            <w:r w:rsidRPr="007A4626">
              <w:rPr>
                <w:b/>
                <w:i/>
              </w:rPr>
              <w:t>sprejemanje delegiranih aktov</w:t>
            </w:r>
            <w:r w:rsidRPr="007A4626">
              <w:t xml:space="preserve"> iz člena</w:t>
            </w:r>
            <w:r w:rsidRPr="007A4626">
              <w:rPr>
                <w:b/>
                <w:i/>
              </w:rPr>
              <w:t xml:space="preserve"> 3, drugi odstavek, člena </w:t>
            </w:r>
            <w:r w:rsidRPr="007A4626">
              <w:t xml:space="preserve">13 </w:t>
            </w:r>
            <w:r w:rsidRPr="007A4626">
              <w:rPr>
                <w:b/>
                <w:i/>
              </w:rPr>
              <w:t xml:space="preserve">ter člena 14(2), (2a) in (2b) </w:t>
            </w:r>
            <w:r w:rsidRPr="007A4626">
              <w:t>se</w:t>
            </w:r>
            <w:r w:rsidRPr="007A4626">
              <w:rPr>
                <w:b/>
                <w:i/>
              </w:rPr>
              <w:t xml:space="preserve"> prenese</w:t>
            </w:r>
            <w:r w:rsidRPr="007A4626">
              <w:t xml:space="preserve"> na Komisijo pod pogoji, določenimi v tem členu.</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44</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2.</w:t>
            </w:r>
            <w:r w:rsidRPr="007A4626">
              <w:tab/>
              <w:t>Prenos pooblastila iz člena 13 lahko kadar</w:t>
            </w:r>
            <w:r w:rsidRPr="007A4626">
              <w:rPr>
                <w:b/>
                <w:i/>
              </w:rPr>
              <w:t xml:space="preserve"> </w:t>
            </w:r>
            <w:r w:rsidRPr="007A4626">
              <w:t>koli prekliče Svet. S sklepom o preklicu preneha veljati prenos pooblastila iz navedenega sklepa. Sklep začne učinkovati dan po njegovi objavi v Uradnem listu Evropske unije ali na poznejši dan, ki je določen v navedenem sklepu. Sklep ne vpliva na veljavnost že veljavnega delegiranega akta.</w:t>
            </w:r>
          </w:p>
        </w:tc>
        <w:tc>
          <w:tcPr>
            <w:tcW w:w="4876" w:type="dxa"/>
          </w:tcPr>
          <w:p w:rsidR="00BE27FD" w:rsidRPr="007A4626" w:rsidRDefault="00BE27FD" w:rsidP="006F0DF7">
            <w:pPr>
              <w:pStyle w:val="Normal6a"/>
            </w:pPr>
            <w:r w:rsidRPr="007A4626">
              <w:t>2.</w:t>
            </w:r>
            <w:r w:rsidRPr="007A4626">
              <w:tab/>
              <w:t>Prenos pooblastila iz člena </w:t>
            </w:r>
            <w:r w:rsidRPr="007A4626">
              <w:rPr>
                <w:b/>
                <w:i/>
              </w:rPr>
              <w:t>3, drugi odstavek, člena </w:t>
            </w:r>
            <w:r w:rsidRPr="007A4626">
              <w:t xml:space="preserve">13 </w:t>
            </w:r>
            <w:r w:rsidRPr="007A4626">
              <w:rPr>
                <w:b/>
                <w:i/>
              </w:rPr>
              <w:t>ter člena 14(2), (2a) in (2b)</w:t>
            </w:r>
            <w:r w:rsidRPr="007A4626">
              <w:t xml:space="preserve"> lahko kadar</w:t>
            </w:r>
            <w:r w:rsidRPr="007A4626">
              <w:rPr>
                <w:b/>
                <w:i/>
              </w:rPr>
              <w:t> </w:t>
            </w:r>
            <w:r w:rsidRPr="007A4626">
              <w:t xml:space="preserve">koli prekliče Svet. S sklepom o preklicu preneha veljati prenos pooblastila iz navedenega sklepa. Sklep začne učinkovati dan po njegovi objavi v </w:t>
            </w:r>
            <w:r w:rsidRPr="007A4626">
              <w:rPr>
                <w:i/>
                <w:iCs/>
              </w:rPr>
              <w:t>Uradnem listu Evropske unije</w:t>
            </w:r>
            <w:r w:rsidRPr="007A4626">
              <w:t xml:space="preserve"> ali na poznejši dan, ki je določen v navedenem sklepu. Sklep ne vpliva na veljavnost že veljavnega delegiranega akta.</w:t>
            </w:r>
          </w:p>
        </w:tc>
      </w:tr>
    </w:tbl>
    <w:p w:rsidR="00BE27FD" w:rsidRPr="007A4626" w:rsidRDefault="00BE27FD" w:rsidP="00BE27FD"/>
    <w:p w:rsidR="00BE27FD" w:rsidRPr="007A4626" w:rsidRDefault="007A4626" w:rsidP="00BE27FD">
      <w:pPr>
        <w:pStyle w:val="AmNumberTabs"/>
      </w:pPr>
      <w:r w:rsidRPr="007A4626">
        <w:t>Sprememba</w:t>
      </w:r>
      <w:r w:rsidR="00BE27FD" w:rsidRPr="007A4626">
        <w:tab/>
      </w:r>
      <w:r w:rsidR="00BE27FD" w:rsidRPr="007A4626">
        <w:tab/>
        <w:t>45</w:t>
      </w:r>
    </w:p>
    <w:p w:rsidR="00BE27FD" w:rsidRPr="007A4626" w:rsidRDefault="00BE27FD" w:rsidP="00BE27FD">
      <w:pPr>
        <w:pStyle w:val="NormalBold12b"/>
      </w:pPr>
      <w:r w:rsidRPr="007A4626">
        <w:t>Predlog direktive</w:t>
      </w:r>
    </w:p>
    <w:p w:rsidR="00BE27FD" w:rsidRPr="007A4626" w:rsidRDefault="00BE27FD" w:rsidP="00BE27FD">
      <w:pPr>
        <w:pStyle w:val="NormalBold"/>
      </w:pPr>
      <w:r w:rsidRPr="007A4626">
        <w:t>Člen 18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3.</w:t>
            </w:r>
            <w:r w:rsidRPr="007A4626">
              <w:tab/>
              <w:t>Komisija se pred sprejetjem delegiranega akta posvetuje s strokovnjaki, ki jih imenujejo države članice, v skladu z načeli, določenimi v Medinstitucionalnem sporazumu o boljši pripravi zakonodaje z dne 13. aprila 2016.</w:t>
            </w:r>
          </w:p>
        </w:tc>
        <w:tc>
          <w:tcPr>
            <w:tcW w:w="4876" w:type="dxa"/>
          </w:tcPr>
          <w:p w:rsidR="00BE27FD" w:rsidRPr="007A4626" w:rsidRDefault="00BE27FD" w:rsidP="00B8323B">
            <w:pPr>
              <w:pStyle w:val="Normal6a"/>
            </w:pPr>
            <w:r w:rsidRPr="007A4626">
              <w:t>3.</w:t>
            </w:r>
            <w:r w:rsidRPr="007A4626">
              <w:tab/>
              <w:t xml:space="preserve">Komisija se pred sprejetjem delegiranega akta posvetuje s strokovnjaki, ki jih imenujejo države članice, v skladu z načeli, določenimi v Medinstitucionalnem sporazumu o boljši pripravi zakonodaje z dne 13. aprila 2016. </w:t>
            </w:r>
            <w:r w:rsidRPr="007A4626">
              <w:rPr>
                <w:b/>
                <w:i/>
              </w:rPr>
              <w:t>Evropski forum za transferne cene iz člena 14a deluje kot ustrezno strokovno telo.</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46</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19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b/>
                <w:i/>
                <w:szCs w:val="24"/>
              </w:rPr>
            </w:pPr>
            <w:r w:rsidRPr="007A4626">
              <w:rPr>
                <w:b/>
                <w:i/>
              </w:rPr>
              <w:t>Evropski parlament se lahko kot opazovalec udeležuje mednarodnih pogajanj o smernicah za določanje transfernih cen v sklopu ustreznih mednarodnih forumov.</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47</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19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rPr>
                <w:b/>
                <w:i/>
                <w:szCs w:val="24"/>
              </w:rPr>
            </w:pPr>
            <w:r w:rsidRPr="007A4626">
              <w:rPr>
                <w:b/>
                <w:i/>
              </w:rPr>
              <w:t>Člen 19a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rPr>
                <w:b/>
                <w:i/>
                <w:szCs w:val="24"/>
              </w:rPr>
            </w:pPr>
            <w:r w:rsidRPr="007A4626">
              <w:rPr>
                <w:b/>
                <w:i/>
              </w:rPr>
              <w:t>Preučitev</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rPr>
                <w:szCs w:val="24"/>
              </w:rPr>
            </w:pPr>
            <w:r w:rsidRPr="007A4626">
              <w:rPr>
                <w:b/>
                <w:i/>
              </w:rPr>
              <w:t>Komisija preuči uporabo te direktive za mednarodne skupine podjetij, ki spadajo na področje uporabe predloga direktive Sveta o poslovanju v Evropi: okvir za obdavčitev dohodkov (BEFIT), ko bo začela navedena direktiva veljati.</w:t>
            </w:r>
          </w:p>
        </w:tc>
      </w:tr>
    </w:tbl>
    <w:p w:rsidR="00BE27FD" w:rsidRPr="007A4626" w:rsidRDefault="007A4626" w:rsidP="00BE27FD">
      <w:pPr>
        <w:pStyle w:val="AmNumberTabs"/>
      </w:pPr>
      <w:r w:rsidRPr="007A4626">
        <w:t>Sprememba</w:t>
      </w:r>
      <w:r w:rsidR="00BE27FD" w:rsidRPr="007A4626">
        <w:tab/>
      </w:r>
      <w:r w:rsidR="00BE27FD" w:rsidRPr="007A4626">
        <w:tab/>
        <w:t>48</w:t>
      </w:r>
    </w:p>
    <w:p w:rsidR="00BE27FD" w:rsidRPr="007A4626" w:rsidRDefault="00BE27FD" w:rsidP="00BE27FD">
      <w:pPr>
        <w:pStyle w:val="NormalBold12b"/>
      </w:pPr>
      <w:r w:rsidRPr="007A4626">
        <w:lastRenderedPageBreak/>
        <w:t>Predlog direktive</w:t>
      </w:r>
    </w:p>
    <w:p w:rsidR="00BE27FD" w:rsidRPr="007A4626" w:rsidRDefault="00BE27FD" w:rsidP="00BE27FD">
      <w:pPr>
        <w:pStyle w:val="NormalBold"/>
      </w:pPr>
      <w:r w:rsidRPr="007A4626">
        <w:t>Člen 19 b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27FD" w:rsidRPr="007A4626" w:rsidTr="00B8323B">
        <w:trPr>
          <w:trHeight w:hRule="exact" w:val="240"/>
          <w:jc w:val="center"/>
        </w:trPr>
        <w:tc>
          <w:tcPr>
            <w:tcW w:w="9752" w:type="dxa"/>
            <w:gridSpan w:val="2"/>
          </w:tcPr>
          <w:p w:rsidR="00BE27FD" w:rsidRPr="007A4626" w:rsidRDefault="00BE27FD" w:rsidP="00B8323B"/>
        </w:tc>
      </w:tr>
      <w:tr w:rsidR="00BE27FD" w:rsidRPr="007A4626" w:rsidTr="00B8323B">
        <w:trPr>
          <w:trHeight w:val="240"/>
          <w:jc w:val="center"/>
        </w:trPr>
        <w:tc>
          <w:tcPr>
            <w:tcW w:w="4876" w:type="dxa"/>
          </w:tcPr>
          <w:p w:rsidR="00BE27FD" w:rsidRPr="007A4626" w:rsidRDefault="00BE27FD" w:rsidP="00B8323B">
            <w:pPr>
              <w:pStyle w:val="AmColumnHeading"/>
            </w:pPr>
            <w:r w:rsidRPr="007A4626">
              <w:t>Besedilo, ki ga predlaga Komisija</w:t>
            </w:r>
          </w:p>
        </w:tc>
        <w:tc>
          <w:tcPr>
            <w:tcW w:w="4876" w:type="dxa"/>
          </w:tcPr>
          <w:p w:rsidR="00BE27FD" w:rsidRPr="007A4626" w:rsidRDefault="007A4626" w:rsidP="00B8323B">
            <w:pPr>
              <w:pStyle w:val="AmColumnHeading"/>
            </w:pPr>
            <w:r w:rsidRPr="007A4626">
              <w:t>Sprememba</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pPr>
            <w:r w:rsidRPr="007A4626">
              <w:rPr>
                <w:b/>
                <w:i/>
              </w:rPr>
              <w:t>Člen 19b</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jc w:val="center"/>
            </w:pPr>
            <w:r w:rsidRPr="007A4626">
              <w:rPr>
                <w:b/>
                <w:i/>
              </w:rPr>
              <w:t>Sprememba Direktive 2011/16/EU</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A0340B">
            <w:pPr>
              <w:pStyle w:val="Normal6a"/>
            </w:pPr>
            <w:r w:rsidRPr="007A4626">
              <w:rPr>
                <w:b/>
                <w:i/>
              </w:rPr>
              <w:t>V Direktivi 2011/16/E</w:t>
            </w:r>
            <w:r w:rsidR="00A0340B">
              <w:rPr>
                <w:b/>
                <w:i/>
              </w:rPr>
              <w:t>U</w:t>
            </w:r>
            <w:bookmarkStart w:id="8" w:name="_GoBack"/>
            <w:bookmarkEnd w:id="8"/>
            <w:r w:rsidRPr="007A4626">
              <w:rPr>
                <w:b/>
                <w:i/>
              </w:rPr>
              <w:t xml:space="preserve"> se točka (i) člena 8a(6) nadomesti z naslednjim:</w:t>
            </w:r>
          </w:p>
        </w:tc>
      </w:tr>
      <w:tr w:rsidR="00BE27FD" w:rsidRPr="007A4626" w:rsidTr="00B8323B">
        <w:trPr>
          <w:jc w:val="center"/>
        </w:trPr>
        <w:tc>
          <w:tcPr>
            <w:tcW w:w="4876" w:type="dxa"/>
          </w:tcPr>
          <w:p w:rsidR="00BE27FD" w:rsidRPr="007A4626" w:rsidRDefault="00BE27FD" w:rsidP="00B8323B">
            <w:pPr>
              <w:pStyle w:val="Normal6a"/>
            </w:pPr>
          </w:p>
        </w:tc>
        <w:tc>
          <w:tcPr>
            <w:tcW w:w="4876" w:type="dxa"/>
          </w:tcPr>
          <w:p w:rsidR="00BE27FD" w:rsidRPr="007A4626" w:rsidRDefault="00BE27FD" w:rsidP="00B8323B">
            <w:pPr>
              <w:pStyle w:val="Normal6a"/>
            </w:pPr>
            <w:r w:rsidRPr="007A4626">
              <w:rPr>
                <w:b/>
                <w:i/>
              </w:rPr>
              <w:t>„(i)</w:t>
            </w:r>
            <w:r w:rsidRPr="007A4626">
              <w:rPr>
                <w:b/>
                <w:i/>
              </w:rPr>
              <w:tab/>
              <w:t>opredelitev metode, ki se uporablja za določanje transfernih cen, ali drugih metod in tehnik vrednotenja za oceno primerljive tržne cene, kot je opredeljena v členu 9 Direktive [2024/XX/XX o transfernih cenah], in razloge za uporabo take metode ali sámo transferno ceno v primeru vnaprejšnjega cenovnega sporazuma;“</w:t>
            </w:r>
          </w:p>
        </w:tc>
      </w:tr>
    </w:tbl>
    <w:p w:rsidR="00BE27FD" w:rsidRPr="007A4626" w:rsidRDefault="00BE27FD" w:rsidP="00BE27FD"/>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49</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Člen 20 – odstavek 1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 xml:space="preserve">Države članice sprejmejo in objavijo zakone in druge predpise, potrebne za uskladitev s to direktivo, najpozneje do </w:t>
            </w:r>
            <w:r w:rsidRPr="007A4626">
              <w:rPr>
                <w:b/>
                <w:bCs/>
                <w:i/>
                <w:iCs/>
              </w:rPr>
              <w:t>[</w:t>
            </w:r>
            <w:r w:rsidRPr="007A4626">
              <w:t>31. decembra </w:t>
            </w:r>
            <w:r w:rsidRPr="007A4626">
              <w:rPr>
                <w:b/>
                <w:i/>
              </w:rPr>
              <w:t>2025</w:t>
            </w:r>
            <w:r w:rsidRPr="007A4626">
              <w:rPr>
                <w:i/>
                <w:iCs/>
              </w:rPr>
              <w:t>]</w:t>
            </w:r>
            <w:r w:rsidRPr="007A4626">
              <w:t>. Komisiji takoj sporočijo besedilo teh predpisov.</w:t>
            </w:r>
          </w:p>
        </w:tc>
        <w:tc>
          <w:tcPr>
            <w:tcW w:w="4876" w:type="dxa"/>
          </w:tcPr>
          <w:p w:rsidR="00BE27FD" w:rsidRPr="007A4626" w:rsidRDefault="00BE27FD" w:rsidP="006F0DF7">
            <w:pPr>
              <w:pStyle w:val="Normal6a"/>
              <w:rPr>
                <w:szCs w:val="24"/>
              </w:rPr>
            </w:pPr>
            <w:r w:rsidRPr="007A4626">
              <w:t>Države članice sprejmejo in objavijo zakone in druge predpise, potrebne za uskladitev s to direktivo, najpozneje do 31. decembra </w:t>
            </w:r>
            <w:r w:rsidRPr="007A4626">
              <w:rPr>
                <w:b/>
                <w:i/>
              </w:rPr>
              <w:t>2024</w:t>
            </w:r>
            <w:r w:rsidRPr="007A4626">
              <w:t>. Komisiji takoj sporočijo besedilo teh predpisov.</w:t>
            </w:r>
          </w:p>
        </w:tc>
      </w:tr>
    </w:tbl>
    <w:p w:rsidR="00BE27FD" w:rsidRPr="007A4626" w:rsidRDefault="00BE27FD" w:rsidP="00BE27FD"/>
    <w:p w:rsidR="00BE27FD" w:rsidRPr="007A4626" w:rsidRDefault="007A4626" w:rsidP="00BE27FD">
      <w:pPr>
        <w:pStyle w:val="AmNumberTabs"/>
        <w:keepNext/>
      </w:pPr>
      <w:r w:rsidRPr="007A4626">
        <w:t>Sprememba</w:t>
      </w:r>
      <w:r w:rsidR="00BE27FD" w:rsidRPr="007A4626">
        <w:tab/>
      </w:r>
      <w:r w:rsidR="00BE27FD" w:rsidRPr="007A4626">
        <w:tab/>
        <w:t>50</w:t>
      </w:r>
    </w:p>
    <w:p w:rsidR="00BE27FD" w:rsidRPr="007A4626" w:rsidRDefault="00BE27FD" w:rsidP="00BE27FD">
      <w:pPr>
        <w:pStyle w:val="NormalBold12b"/>
        <w:keepNext/>
      </w:pPr>
      <w:r w:rsidRPr="007A4626">
        <w:t>Predlog direktive</w:t>
      </w:r>
    </w:p>
    <w:p w:rsidR="00BE27FD" w:rsidRPr="007A4626" w:rsidRDefault="00BE27FD" w:rsidP="00BE27FD">
      <w:pPr>
        <w:pStyle w:val="NormalBold"/>
        <w:keepNext/>
      </w:pPr>
      <w:r w:rsidRPr="007A4626">
        <w:t xml:space="preserve"> Člen 20 – odstavek 1 – pododstavek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27FD" w:rsidRPr="007A4626" w:rsidTr="00B8323B">
        <w:trPr>
          <w:jc w:val="center"/>
        </w:trPr>
        <w:tc>
          <w:tcPr>
            <w:tcW w:w="9752" w:type="dxa"/>
            <w:gridSpan w:val="2"/>
          </w:tcPr>
          <w:p w:rsidR="00BE27FD" w:rsidRPr="007A4626" w:rsidRDefault="00BE27FD" w:rsidP="00B8323B">
            <w:pPr>
              <w:keepNext/>
            </w:pPr>
          </w:p>
        </w:tc>
      </w:tr>
      <w:tr w:rsidR="00BE27FD" w:rsidRPr="007A4626" w:rsidTr="00B8323B">
        <w:trPr>
          <w:jc w:val="center"/>
        </w:trPr>
        <w:tc>
          <w:tcPr>
            <w:tcW w:w="4876" w:type="dxa"/>
          </w:tcPr>
          <w:p w:rsidR="00BE27FD" w:rsidRPr="007A4626" w:rsidRDefault="00BE27FD" w:rsidP="00B8323B">
            <w:pPr>
              <w:pStyle w:val="AmColumnHeading"/>
              <w:keepNext/>
            </w:pPr>
            <w:r w:rsidRPr="007A4626">
              <w:t>Besedilo, ki ga predlaga Komisija</w:t>
            </w:r>
          </w:p>
        </w:tc>
        <w:tc>
          <w:tcPr>
            <w:tcW w:w="4876" w:type="dxa"/>
          </w:tcPr>
          <w:p w:rsidR="00BE27FD" w:rsidRPr="007A4626" w:rsidRDefault="007A4626" w:rsidP="00B8323B">
            <w:pPr>
              <w:pStyle w:val="AmColumnHeading"/>
              <w:keepNext/>
            </w:pPr>
            <w:r w:rsidRPr="007A4626">
              <w:t>Sprememba</w:t>
            </w:r>
          </w:p>
        </w:tc>
      </w:tr>
      <w:tr w:rsidR="00BE27FD" w:rsidRPr="007A4626" w:rsidTr="00B8323B">
        <w:trPr>
          <w:jc w:val="center"/>
        </w:trPr>
        <w:tc>
          <w:tcPr>
            <w:tcW w:w="4876" w:type="dxa"/>
          </w:tcPr>
          <w:p w:rsidR="00BE27FD" w:rsidRPr="007A4626" w:rsidRDefault="00BE27FD" w:rsidP="00B8323B">
            <w:pPr>
              <w:pStyle w:val="Normal6a"/>
            </w:pPr>
            <w:r w:rsidRPr="007A4626">
              <w:t xml:space="preserve">Države članice te predpise uporabljajo od </w:t>
            </w:r>
            <w:r w:rsidRPr="007A4626">
              <w:rPr>
                <w:b/>
                <w:bCs/>
                <w:i/>
                <w:iCs/>
              </w:rPr>
              <w:t>[</w:t>
            </w:r>
            <w:r w:rsidRPr="007A4626">
              <w:t>1. januarja</w:t>
            </w:r>
            <w:r w:rsidRPr="007A4626">
              <w:rPr>
                <w:b/>
                <w:i/>
              </w:rPr>
              <w:t> 2026</w:t>
            </w:r>
            <w:r w:rsidRPr="007A4626">
              <w:rPr>
                <w:b/>
                <w:bCs/>
                <w:i/>
                <w:iCs/>
              </w:rPr>
              <w:t>]</w:t>
            </w:r>
            <w:r w:rsidRPr="007A4626">
              <w:t>.</w:t>
            </w:r>
          </w:p>
        </w:tc>
        <w:tc>
          <w:tcPr>
            <w:tcW w:w="4876" w:type="dxa"/>
          </w:tcPr>
          <w:p w:rsidR="00BE27FD" w:rsidRPr="007A4626" w:rsidRDefault="00BE27FD" w:rsidP="006F0DF7">
            <w:pPr>
              <w:pStyle w:val="Normal6a"/>
              <w:rPr>
                <w:szCs w:val="24"/>
              </w:rPr>
            </w:pPr>
            <w:r w:rsidRPr="007A4626">
              <w:t>Države članice te predpise uporabljajo od 1. januarja</w:t>
            </w:r>
            <w:r w:rsidRPr="007A4626">
              <w:rPr>
                <w:b/>
                <w:i/>
              </w:rPr>
              <w:t xml:space="preserve"> 2025</w:t>
            </w:r>
            <w:r w:rsidRPr="007A4626">
              <w:t>.</w:t>
            </w:r>
          </w:p>
        </w:tc>
      </w:tr>
    </w:tbl>
    <w:p w:rsidR="00BE27FD" w:rsidRPr="007A4626" w:rsidRDefault="00BE27FD" w:rsidP="00DE5430"/>
    <w:sectPr w:rsidR="00BE27FD" w:rsidRPr="007A4626" w:rsidSect="002F602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2CC" w:rsidRPr="002F602D" w:rsidRDefault="005462CC">
      <w:r w:rsidRPr="002F602D">
        <w:separator/>
      </w:r>
    </w:p>
  </w:endnote>
  <w:endnote w:type="continuationSeparator" w:id="0">
    <w:p w:rsidR="005462CC" w:rsidRPr="002F602D" w:rsidRDefault="005462CC">
      <w:r w:rsidRPr="002F60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2CC" w:rsidRPr="002F602D" w:rsidRDefault="005462CC">
      <w:r w:rsidRPr="002F602D">
        <w:separator/>
      </w:r>
    </w:p>
  </w:footnote>
  <w:footnote w:type="continuationSeparator" w:id="0">
    <w:p w:rsidR="005462CC" w:rsidRPr="002F602D" w:rsidRDefault="005462CC">
      <w:r w:rsidRPr="002F60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60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SL"/>
    <w:docVar w:name="dvnumam" w:val="50"/>
    <w:docVar w:name="dvpe" w:val="756.000"/>
    <w:docVar w:name="dvrapporteur" w:val="Poročevalka: "/>
    <w:docVar w:name="dvstar" w:val="*"/>
    <w:docVar w:name="dvtitre" w:val="Zakonodajna resolucija Evropskega parlamenta z dne 10. aprila 2024 o predlogu direktive Sveta o transfernih cenah(COM(2023)0529 – C9-0339/2023 – 2023/0322(CNS))"/>
  </w:docVars>
  <w:rsids>
    <w:rsidRoot w:val="005462CC"/>
    <w:rsid w:val="00002272"/>
    <w:rsid w:val="00064002"/>
    <w:rsid w:val="000677B9"/>
    <w:rsid w:val="000831BA"/>
    <w:rsid w:val="000A42CC"/>
    <w:rsid w:val="000E7DD9"/>
    <w:rsid w:val="0010095E"/>
    <w:rsid w:val="00125B37"/>
    <w:rsid w:val="00187494"/>
    <w:rsid w:val="001F32AE"/>
    <w:rsid w:val="002767FF"/>
    <w:rsid w:val="002B18FE"/>
    <w:rsid w:val="002B5493"/>
    <w:rsid w:val="002F602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2CC"/>
    <w:rsid w:val="00560270"/>
    <w:rsid w:val="005C2568"/>
    <w:rsid w:val="006037C0"/>
    <w:rsid w:val="006631B6"/>
    <w:rsid w:val="00680577"/>
    <w:rsid w:val="006F0DF7"/>
    <w:rsid w:val="006F74FA"/>
    <w:rsid w:val="00731ADD"/>
    <w:rsid w:val="00734777"/>
    <w:rsid w:val="00747932"/>
    <w:rsid w:val="00751A4A"/>
    <w:rsid w:val="00756632"/>
    <w:rsid w:val="00762C74"/>
    <w:rsid w:val="00786EC0"/>
    <w:rsid w:val="007A462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40B"/>
    <w:rsid w:val="00A1687D"/>
    <w:rsid w:val="00A43E52"/>
    <w:rsid w:val="00A4678D"/>
    <w:rsid w:val="00A778C7"/>
    <w:rsid w:val="00AB441E"/>
    <w:rsid w:val="00AB6293"/>
    <w:rsid w:val="00AE0928"/>
    <w:rsid w:val="00AF3B82"/>
    <w:rsid w:val="00B12E95"/>
    <w:rsid w:val="00B22876"/>
    <w:rsid w:val="00B558F0"/>
    <w:rsid w:val="00BD48FE"/>
    <w:rsid w:val="00BD7BD8"/>
    <w:rsid w:val="00BE27FD"/>
    <w:rsid w:val="00BE6ADC"/>
    <w:rsid w:val="00C05BFE"/>
    <w:rsid w:val="00C23CD4"/>
    <w:rsid w:val="00C61C0C"/>
    <w:rsid w:val="00C941CB"/>
    <w:rsid w:val="00CC2357"/>
    <w:rsid w:val="00CF071A"/>
    <w:rsid w:val="00D058B8"/>
    <w:rsid w:val="00D56C11"/>
    <w:rsid w:val="00D834A0"/>
    <w:rsid w:val="00D872DF"/>
    <w:rsid w:val="00D91E21"/>
    <w:rsid w:val="00DA7FCD"/>
    <w:rsid w:val="00DE543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55D4E"/>
  <w15:chartTrackingRefBased/>
  <w15:docId w15:val="{9DEB6105-7FE1-466A-9F76-D5045402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27FD"/>
    <w:pPr>
      <w:spacing w:before="480" w:after="240"/>
    </w:pPr>
  </w:style>
  <w:style w:type="paragraph" w:customStyle="1" w:styleId="Normal6a">
    <w:name w:val="Normal6a"/>
    <w:basedOn w:val="Normal"/>
    <w:rsid w:val="00BE27FD"/>
    <w:pPr>
      <w:spacing w:after="120"/>
    </w:pPr>
  </w:style>
  <w:style w:type="paragraph" w:customStyle="1" w:styleId="NormalBold">
    <w:name w:val="NormalBold"/>
    <w:basedOn w:val="Normal"/>
    <w:rsid w:val="00BE27FD"/>
    <w:rPr>
      <w:b/>
    </w:rPr>
  </w:style>
  <w:style w:type="paragraph" w:customStyle="1" w:styleId="NormalHanging12a">
    <w:name w:val="NormalHanging12a"/>
    <w:basedOn w:val="Normal"/>
    <w:rsid w:val="00BE27FD"/>
    <w:pPr>
      <w:spacing w:after="240"/>
      <w:ind w:left="567" w:hanging="567"/>
    </w:pPr>
  </w:style>
  <w:style w:type="paragraph" w:customStyle="1" w:styleId="AmColumnHeading">
    <w:name w:val="AmColumnHeading"/>
    <w:basedOn w:val="Normal"/>
    <w:rsid w:val="00BE27FD"/>
    <w:pPr>
      <w:spacing w:after="240"/>
      <w:jc w:val="center"/>
    </w:pPr>
    <w:rPr>
      <w:i/>
    </w:rPr>
  </w:style>
  <w:style w:type="paragraph" w:customStyle="1" w:styleId="AmNumberTabs">
    <w:name w:val="AmNumberTabs"/>
    <w:basedOn w:val="Normal"/>
    <w:link w:val="AmNumberTabsChar"/>
    <w:rsid w:val="00BE27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E27FD"/>
    <w:pPr>
      <w:spacing w:before="240"/>
    </w:pPr>
    <w:rPr>
      <w:b/>
    </w:rPr>
  </w:style>
  <w:style w:type="character" w:styleId="Hyperlink">
    <w:name w:val="Hyperlink"/>
    <w:uiPriority w:val="99"/>
    <w:rsid w:val="00BE27FD"/>
    <w:rPr>
      <w:color w:val="0000FF"/>
      <w:u w:val="single"/>
    </w:rPr>
  </w:style>
  <w:style w:type="character" w:customStyle="1" w:styleId="AmNumberTabsChar">
    <w:name w:val="AmNumberTabs Char"/>
    <w:basedOn w:val="DefaultParagraphFont"/>
    <w:link w:val="AmNumberTabs"/>
    <w:rsid w:val="00BE27FD"/>
    <w:rPr>
      <w:b/>
      <w:sz w:val="24"/>
      <w:lang w:val="sl-SI"/>
    </w:rPr>
  </w:style>
  <w:style w:type="character" w:customStyle="1" w:styleId="NormalBold12bChar">
    <w:name w:val="NormalBold12b Char"/>
    <w:basedOn w:val="AmNumberTabsChar"/>
    <w:link w:val="NormalBold12b"/>
    <w:rsid w:val="00BE27FD"/>
    <w:rPr>
      <w:b/>
      <w:sz w:val="24"/>
      <w:lang w:val="sl-SI"/>
    </w:rPr>
  </w:style>
  <w:style w:type="paragraph" w:styleId="BalloonText">
    <w:name w:val="Balloon Text"/>
    <w:basedOn w:val="Normal"/>
    <w:link w:val="BalloonTextChar"/>
    <w:rsid w:val="006F0DF7"/>
    <w:rPr>
      <w:rFonts w:ascii="Segoe UI" w:hAnsi="Segoe UI" w:cs="Segoe UI"/>
      <w:sz w:val="18"/>
      <w:szCs w:val="18"/>
    </w:rPr>
  </w:style>
  <w:style w:type="character" w:customStyle="1" w:styleId="BalloonTextChar">
    <w:name w:val="Balloon Text Char"/>
    <w:basedOn w:val="DefaultParagraphFont"/>
    <w:link w:val="BalloonText"/>
    <w:rsid w:val="006F0DF7"/>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SL/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SL/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03550-710B-4ED4-A597-9699ACDA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6322</Words>
  <Characters>36042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2</cp:revision>
  <cp:lastPrinted>2004-11-19T15:42:00Z</cp:lastPrinted>
  <dcterms:created xsi:type="dcterms:W3CDTF">2025-01-15T09:44:00Z</dcterms:created>
  <dcterms:modified xsi:type="dcterms:W3CDTF">2025-01-15T09:44:00Z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P9_TA(2024)0219_</vt:lpwstr>
  </property>
  <property fmtid="{D5CDD505-2E9C-101B-9397-08002B2CF9AE}" pid="4" name="&lt;Type&gt;">
    <vt:lpwstr>RR</vt:lpwstr>
  </property>
</Properties>
</file>