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110E" w:rsidTr="0010095E">
        <w:trPr>
          <w:trHeight w:hRule="exact" w:val="1418"/>
        </w:trPr>
        <w:tc>
          <w:tcPr>
            <w:tcW w:w="6804" w:type="dxa"/>
            <w:shd w:val="clear" w:color="auto" w:fill="auto"/>
            <w:vAlign w:val="center"/>
          </w:tcPr>
          <w:p w:rsidR="00751A4A" w:rsidRPr="00BE110E" w:rsidRDefault="00B156C8" w:rsidP="0010095E">
            <w:pPr>
              <w:pStyle w:val="EPName"/>
            </w:pPr>
            <w:r w:rsidRPr="00BE110E">
              <w:t>Европейски</w:t>
            </w:r>
            <w:r w:rsidR="006A4985" w:rsidRPr="00BE110E">
              <w:t xml:space="preserve"> парламент</w:t>
            </w:r>
          </w:p>
          <w:p w:rsidR="00751A4A" w:rsidRPr="00BE110E" w:rsidRDefault="00B156C8" w:rsidP="00756632">
            <w:pPr>
              <w:pStyle w:val="EPTerm"/>
              <w:rPr>
                <w:rStyle w:val="HideTWBExt"/>
                <w:noProof w:val="0"/>
                <w:vanish w:val="0"/>
                <w:color w:val="auto"/>
              </w:rPr>
            </w:pPr>
            <w:r>
              <w:t>2019 – </w:t>
            </w:r>
            <w:r w:rsidR="00817416" w:rsidRPr="00BE110E">
              <w:t>2024</w:t>
            </w:r>
          </w:p>
        </w:tc>
        <w:tc>
          <w:tcPr>
            <w:tcW w:w="2268" w:type="dxa"/>
            <w:shd w:val="clear" w:color="auto" w:fill="auto"/>
          </w:tcPr>
          <w:p w:rsidR="00751A4A" w:rsidRPr="00BE110E" w:rsidRDefault="00187494" w:rsidP="0010095E">
            <w:pPr>
              <w:pStyle w:val="EPLogo"/>
            </w:pPr>
            <w:r w:rsidRPr="00BE11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110E" w:rsidRDefault="00D058B8" w:rsidP="004C5D52">
      <w:pPr>
        <w:pStyle w:val="LineTop"/>
      </w:pPr>
    </w:p>
    <w:p w:rsidR="00680577" w:rsidRPr="00BE110E" w:rsidRDefault="006A4985" w:rsidP="00680577">
      <w:pPr>
        <w:pStyle w:val="EPBodyTA1"/>
      </w:pPr>
      <w:r w:rsidRPr="00BE110E">
        <w:t>ПРИЕТИ ТЕКСТОВЕ</w:t>
      </w:r>
    </w:p>
    <w:p w:rsidR="00D058B8" w:rsidRPr="00BE110E" w:rsidRDefault="00D058B8" w:rsidP="00D058B8">
      <w:pPr>
        <w:pStyle w:val="LineBottom"/>
      </w:pPr>
    </w:p>
    <w:p w:rsidR="006A4985" w:rsidRPr="00BE110E" w:rsidRDefault="006A4985" w:rsidP="00212312">
      <w:pPr>
        <w:pStyle w:val="ATHeading1"/>
      </w:pPr>
      <w:bookmarkStart w:id="0" w:name="TANumber"/>
      <w:r w:rsidRPr="00BE110E">
        <w:t>P9_TA(2024)</w:t>
      </w:r>
      <w:bookmarkEnd w:id="0"/>
      <w:r w:rsidR="00212312" w:rsidRPr="00BE110E">
        <w:t>0</w:t>
      </w:r>
      <w:r w:rsidR="00212312">
        <w:t>223</w:t>
      </w:r>
    </w:p>
    <w:p w:rsidR="006A4985" w:rsidRPr="00BE110E" w:rsidRDefault="006A4985" w:rsidP="006A4985">
      <w:pPr>
        <w:pStyle w:val="ATHeading2"/>
      </w:pPr>
      <w:bookmarkStart w:id="1" w:name="title"/>
      <w:r w:rsidRPr="00BE110E">
        <w:t>Обработката на тежкотоварни превозни средства на граничните контролно-пропускателни пунктове</w:t>
      </w:r>
      <w:bookmarkEnd w:id="1"/>
    </w:p>
    <w:p w:rsidR="006A4985" w:rsidRPr="00BE110E" w:rsidRDefault="006A4985" w:rsidP="006A4985">
      <w:pPr>
        <w:rPr>
          <w:i/>
          <w:vanish/>
        </w:rPr>
      </w:pPr>
      <w:r w:rsidRPr="00BE110E">
        <w:rPr>
          <w:i/>
        </w:rPr>
        <w:fldChar w:fldCharType="begin"/>
      </w:r>
      <w:r w:rsidRPr="00BE110E">
        <w:rPr>
          <w:i/>
        </w:rPr>
        <w:instrText xml:space="preserve"> TC"(</w:instrText>
      </w:r>
      <w:bookmarkStart w:id="2" w:name="DocNumber"/>
      <w:r w:rsidRPr="00BE110E">
        <w:rPr>
          <w:i/>
        </w:rPr>
        <w:instrText>B9-0201/2024</w:instrText>
      </w:r>
      <w:bookmarkEnd w:id="2"/>
      <w:r w:rsidRPr="00BE110E">
        <w:rPr>
          <w:i/>
        </w:rPr>
        <w:instrText xml:space="preserve">)"\l3 \n&gt; \* MERGEFORMAT </w:instrText>
      </w:r>
      <w:r w:rsidRPr="00BE110E">
        <w:rPr>
          <w:i/>
        </w:rPr>
        <w:fldChar w:fldCharType="end"/>
      </w:r>
    </w:p>
    <w:p w:rsidR="006A4985" w:rsidRPr="00BE110E" w:rsidRDefault="006A4985" w:rsidP="006A4985">
      <w:pPr>
        <w:rPr>
          <w:vanish/>
        </w:rPr>
      </w:pPr>
      <w:bookmarkStart w:id="3" w:name="PE"/>
      <w:r w:rsidRPr="00BE110E">
        <w:rPr>
          <w:vanish/>
        </w:rPr>
        <w:t>PE758.769</w:t>
      </w:r>
      <w:bookmarkEnd w:id="3"/>
    </w:p>
    <w:p w:rsidR="006A4985" w:rsidRPr="00BE110E" w:rsidRDefault="006A4985" w:rsidP="00B156C8">
      <w:pPr>
        <w:pStyle w:val="ATHeading3"/>
      </w:pPr>
      <w:bookmarkStart w:id="4" w:name="Sujet"/>
      <w:r w:rsidRPr="00BE110E">
        <w:t xml:space="preserve">Резолюция на Европейския парламент от </w:t>
      </w:r>
      <w:r w:rsidR="00066C8D">
        <w:t>10 април</w:t>
      </w:r>
      <w:r w:rsidR="00066C8D" w:rsidRPr="00BE110E">
        <w:t xml:space="preserve"> </w:t>
      </w:r>
      <w:r w:rsidRPr="00BE110E">
        <w:t>2024 г. относно обработката на тежкотоварни превозни средства на граничните контролно-пропускателни пунктове въз основа на петиция 0146/2023</w:t>
      </w:r>
      <w:bookmarkEnd w:id="4"/>
      <w:r w:rsidRPr="00BE110E">
        <w:t xml:space="preserve"> </w:t>
      </w:r>
      <w:bookmarkStart w:id="5" w:name="References"/>
      <w:r w:rsidRPr="00BE110E">
        <w:t>(2024/2540(RSP))</w:t>
      </w:r>
      <w:bookmarkEnd w:id="5"/>
    </w:p>
    <w:p w:rsidR="006E091C" w:rsidRPr="00BE110E" w:rsidRDefault="006E091C" w:rsidP="006E091C">
      <w:pPr>
        <w:pStyle w:val="EPComma"/>
      </w:pPr>
      <w:bookmarkStart w:id="6" w:name="TextBodyBegin"/>
      <w:bookmarkEnd w:id="6"/>
      <w:r w:rsidRPr="00BE110E">
        <w:rPr>
          <w:i/>
        </w:rPr>
        <w:t>Европейският парламент</w:t>
      </w:r>
      <w:r w:rsidRPr="00BE110E">
        <w:t>,</w:t>
      </w:r>
    </w:p>
    <w:p w:rsidR="006E091C" w:rsidRPr="00BE110E" w:rsidRDefault="006E091C" w:rsidP="006E091C">
      <w:pPr>
        <w:pStyle w:val="NormalHanging12a"/>
      </w:pPr>
      <w:r w:rsidRPr="00BE110E">
        <w:t>–</w:t>
      </w:r>
      <w:r w:rsidRPr="00BE110E">
        <w:tab/>
        <w:t>като взе предвид член 26, членове 28 – 37, член 67, параграфи 1 и 2 от Договора за функционирането на Европейския съюз (ДФЕС),</w:t>
      </w:r>
    </w:p>
    <w:p w:rsidR="006E091C" w:rsidRPr="00BE110E" w:rsidRDefault="006E091C" w:rsidP="006E091C">
      <w:pPr>
        <w:pStyle w:val="NormalHanging12a"/>
      </w:pPr>
      <w:r w:rsidRPr="00BE110E">
        <w:t>–</w:t>
      </w:r>
      <w:r w:rsidRPr="00BE110E">
        <w:tab/>
        <w:t>като взе предвид разискванията относно петиция № 0146/2023 по време на заседанието на комисията по петиции от 29 ноември 2023 г.,</w:t>
      </w:r>
    </w:p>
    <w:p w:rsidR="006E091C" w:rsidRPr="00BE110E" w:rsidRDefault="006E091C" w:rsidP="006E091C">
      <w:pPr>
        <w:pStyle w:val="NormalHanging12a"/>
        <w:rPr>
          <w:bCs/>
          <w:szCs w:val="24"/>
          <w:shd w:val="clear" w:color="auto" w:fill="FFFFFF"/>
        </w:rPr>
      </w:pPr>
      <w:r w:rsidRPr="00BE110E">
        <w:t>–</w:t>
      </w:r>
      <w:r w:rsidRPr="00BE110E">
        <w:tab/>
        <w:t xml:space="preserve">като взе предвид публичното изслушване на тема „Шенгенските граници – въпроси, повдигнати от вносителите на петиции“, проведено съвместно на </w:t>
      </w:r>
      <w:r w:rsidRPr="00BE110E">
        <w:rPr>
          <w:shd w:val="clear" w:color="auto" w:fill="FFFFFF"/>
        </w:rPr>
        <w:t>18 юли 2023 г. от комисията по петиции съвместно с комисията по граждански свободи, правосъдие и вътрешни работи,</w:t>
      </w:r>
    </w:p>
    <w:p w:rsidR="006E091C" w:rsidRPr="00BE110E" w:rsidRDefault="006E091C" w:rsidP="006E091C">
      <w:pPr>
        <w:pStyle w:val="NormalHanging12a"/>
      </w:pPr>
      <w:r w:rsidRPr="00BE110E">
        <w:t>–</w:t>
      </w:r>
      <w:r w:rsidRPr="00BE110E">
        <w:tab/>
        <w:t>като взе предвид съобщението на Комисията от 16 ноември 2022 г. озаглавено „Засилване на Шенгенското пространство чрез пълноценното участие на България, Румъния и Хърватия в пространството без контрол по</w:t>
      </w:r>
      <w:r w:rsidR="00296F00">
        <w:t xml:space="preserve"> вътрешните граници“ (COM(2022)</w:t>
      </w:r>
      <w:bookmarkStart w:id="7" w:name="_GoBack"/>
      <w:bookmarkEnd w:id="7"/>
      <w:r w:rsidRPr="00BE110E">
        <w:t>0636),</w:t>
      </w:r>
    </w:p>
    <w:p w:rsidR="006E091C" w:rsidRPr="00BE110E" w:rsidRDefault="006E091C" w:rsidP="006E091C">
      <w:pPr>
        <w:pStyle w:val="NormalHanging12a"/>
      </w:pPr>
      <w:r w:rsidRPr="00BE110E">
        <w:t>–</w:t>
      </w:r>
      <w:r w:rsidRPr="00BE110E">
        <w:tab/>
        <w:t>като взе предвид своите резолюции от 18 октомври 2022 г. относно присъединяването на Румъния и България към Шенгенското пространство</w:t>
      </w:r>
      <w:r w:rsidRPr="00BE110E">
        <w:rPr>
          <w:rStyle w:val="FootnoteReference"/>
          <w:color w:val="000000"/>
        </w:rPr>
        <w:footnoteReference w:id="1"/>
      </w:r>
      <w:r w:rsidRPr="00BE110E">
        <w:t xml:space="preserve"> и от 12 юли 2023 г. относно присъединяването към Шенгенското пространство</w:t>
      </w:r>
      <w:r w:rsidRPr="00BE110E">
        <w:rPr>
          <w:rStyle w:val="FootnoteReference"/>
          <w:color w:val="000000"/>
        </w:rPr>
        <w:footnoteReference w:id="2"/>
      </w:r>
      <w:r w:rsidRPr="00BE110E">
        <w:t>,</w:t>
      </w:r>
    </w:p>
    <w:p w:rsidR="006E091C" w:rsidRPr="00BE110E" w:rsidRDefault="006E091C" w:rsidP="006E091C">
      <w:pPr>
        <w:pStyle w:val="NormalHanging12a"/>
      </w:pPr>
      <w:r w:rsidRPr="00BE110E">
        <w:t>–</w:t>
      </w:r>
      <w:r w:rsidRPr="00BE110E">
        <w:tab/>
        <w:t>като взе предвид единодушното решение на Съвета от 30 декември 2023 г. да приветства Румъния и България в Шенгенското пространство, като се започне с премахването на контрола по въздушните и морските граници, считано от март 2024 г.,</w:t>
      </w:r>
    </w:p>
    <w:p w:rsidR="006E091C" w:rsidRPr="00BE110E" w:rsidRDefault="006E091C" w:rsidP="006E091C">
      <w:pPr>
        <w:pStyle w:val="NormalHanging12a"/>
      </w:pPr>
      <w:r w:rsidRPr="00BE110E">
        <w:t>–</w:t>
      </w:r>
      <w:r w:rsidRPr="00BE110E">
        <w:tab/>
        <w:t xml:space="preserve">като взе предвид своята резолюция от 25 ноември 2021 г. относно безопасността </w:t>
      </w:r>
      <w:r w:rsidRPr="00BE110E">
        <w:lastRenderedPageBreak/>
        <w:t>на местата за паркиране на камиони в ЕС</w:t>
      </w:r>
      <w:r w:rsidRPr="00BE110E">
        <w:rPr>
          <w:rStyle w:val="FootnoteReference"/>
          <w:color w:val="000000"/>
        </w:rPr>
        <w:footnoteReference w:id="3"/>
      </w:r>
      <w:r w:rsidRPr="00BE110E">
        <w:t>,</w:t>
      </w:r>
    </w:p>
    <w:p w:rsidR="006E091C" w:rsidRPr="00BE110E" w:rsidRDefault="006E091C" w:rsidP="006E091C">
      <w:pPr>
        <w:pStyle w:val="NormalHanging12a"/>
      </w:pPr>
      <w:r w:rsidRPr="00BE110E">
        <w:t>–</w:t>
      </w:r>
      <w:r w:rsidRPr="00BE110E">
        <w:tab/>
        <w:t>като взе предвид своята резолюция от 9 май 2023 г. относно Новата рамка на ЕС за градска мобилност</w:t>
      </w:r>
      <w:r w:rsidRPr="00BE110E">
        <w:rPr>
          <w:rStyle w:val="FootnoteReference"/>
          <w:color w:val="000000"/>
        </w:rPr>
        <w:footnoteReference w:id="4"/>
      </w:r>
      <w:r w:rsidRPr="00BE110E">
        <w:t>,</w:t>
      </w:r>
    </w:p>
    <w:p w:rsidR="006E091C" w:rsidRPr="00BE110E" w:rsidRDefault="006E091C" w:rsidP="006E091C">
      <w:pPr>
        <w:pStyle w:val="NormalHanging12a"/>
      </w:pPr>
      <w:r w:rsidRPr="00BE110E">
        <w:t>–</w:t>
      </w:r>
      <w:r w:rsidRPr="00BE110E">
        <w:tab/>
        <w:t>като взе предвид своята резолюция от 13 юни 2023 г. относно големи проекти за транспортна инфраструктура в ЕС – изпълнение на проектите, мониторинг и контрол на средствата от ЕС</w:t>
      </w:r>
      <w:r w:rsidRPr="00BE110E">
        <w:rPr>
          <w:rStyle w:val="FootnoteReference"/>
          <w:color w:val="000000"/>
        </w:rPr>
        <w:footnoteReference w:id="5"/>
      </w:r>
      <w:r w:rsidRPr="00BE110E">
        <w:t>,</w:t>
      </w:r>
    </w:p>
    <w:p w:rsidR="006E091C" w:rsidRPr="00BE110E" w:rsidRDefault="006E091C" w:rsidP="006E091C">
      <w:pPr>
        <w:pStyle w:val="NormalHanging12a"/>
      </w:pPr>
      <w:r w:rsidRPr="00BE110E">
        <w:t>–</w:t>
      </w:r>
      <w:r w:rsidRPr="00BE110E">
        <w:tab/>
        <w:t>като взе предвид предложението за регламент относно насоките на Съюза за развитието на трансевропейската транспортна мрежа, за изменение на регламенти (ЕС) 2021/1153 и (ЕС) № 913/2010 и за отмяна на Регламент (ЕС) 1315/2013 (COM(2021)0812),</w:t>
      </w:r>
    </w:p>
    <w:p w:rsidR="006E091C" w:rsidRPr="00BE110E" w:rsidRDefault="006E091C" w:rsidP="006E091C">
      <w:pPr>
        <w:pStyle w:val="NormalHanging12a"/>
      </w:pPr>
      <w:r w:rsidRPr="00BE110E">
        <w:t>–</w:t>
      </w:r>
      <w:r w:rsidRPr="00BE110E">
        <w:tab/>
        <w:t xml:space="preserve">като взе предвид член 227, параграф 2 от своя </w:t>
      </w:r>
      <w:r w:rsidR="00066C8D">
        <w:t>П</w:t>
      </w:r>
      <w:r w:rsidRPr="00BE110E">
        <w:t>равилник за дейността,</w:t>
      </w:r>
    </w:p>
    <w:p w:rsidR="006E091C" w:rsidRPr="00BE110E" w:rsidRDefault="006E091C" w:rsidP="006E091C">
      <w:pPr>
        <w:pStyle w:val="NormalHanging12a"/>
      </w:pPr>
      <w:r w:rsidRPr="00BE110E">
        <w:t>А.</w:t>
      </w:r>
      <w:r w:rsidRPr="00BE110E">
        <w:tab/>
        <w:t>като има предвид, че стотици товарни превозни средства се задържат всеки ден по вътрешните граници на ЕС, включително границите между държавите – членки на ЕС, които са част от Шенгенското пространство, и държавите – членки на ЕС, които не са част от Шенгенското пространство, където те са изправени пред изключително дълги периоди на изчакване и забавяния поради обработка и проверки; като има предвид, че настоящата европейска правна рамка не разглежда и не урежда конкретно максималното време, необходимо за обработката на стоки по границите;</w:t>
      </w:r>
    </w:p>
    <w:p w:rsidR="006E091C" w:rsidRPr="00BE110E" w:rsidRDefault="006E091C" w:rsidP="006E091C">
      <w:pPr>
        <w:pStyle w:val="NormalHanging12a"/>
      </w:pPr>
      <w:r w:rsidRPr="00BE110E">
        <w:t>Б.</w:t>
      </w:r>
      <w:r w:rsidRPr="00BE110E">
        <w:tab/>
        <w:t>като има предвид, че причините за тези опашки и забавяния по границите на държавите членки могат да бъдат отдадени на множество административни, оперативни, технически и свързани с безопасността фактори или на фактори за оперативна съвместимост, например недостатъчен оперативен и технически капацитет, недостиг на персонал, контролни бюра или мостови везни за товарни превозни средства, както и концентрация на множество институционални органи по границите и продължителни проверки на товарите; като има предвид, че член 22 от Кодекса на шенгенските граници</w:t>
      </w:r>
      <w:r w:rsidRPr="00BE110E">
        <w:rPr>
          <w:rStyle w:val="FootnoteReference"/>
          <w:color w:val="000000"/>
        </w:rPr>
        <w:footnoteReference w:id="6"/>
      </w:r>
      <w:r w:rsidRPr="00BE110E">
        <w:t xml:space="preserve"> утвърждава принципа на липса на проверки и контрол по вътрешните граници между държавите от Шенгенското пространство, в съответствие с принципа на свободно движение, посочен в член 26, параграф 2 от ДФЕС, като има предвид, че член 24 изрично гласи, че държавите членки трябва да премахнат всички пречки пред плавния трафик през пътните контролно-пропускателни пунктове по вътрешните граници;</w:t>
      </w:r>
    </w:p>
    <w:p w:rsidR="006E091C" w:rsidRPr="00BE110E" w:rsidRDefault="006E091C" w:rsidP="006E091C">
      <w:pPr>
        <w:pStyle w:val="NormalHanging12a"/>
      </w:pPr>
      <w:r w:rsidRPr="00BE110E">
        <w:t>В.</w:t>
      </w:r>
      <w:r w:rsidRPr="00BE110E">
        <w:tab/>
        <w:t xml:space="preserve">като има предвид, че натрупването на регистрирани в ЕС тежкотоварни превозни средства по границите може да се отрази неблагоприятно на здравето и условията на труд на водачите, пътната безопасност и дейността на предприятията за превоз на товари, както и да окаже отрицателно въздействие върху конкуренцията и функционирането на единния пазар на ЕС, както и да увеличи разходите на </w:t>
      </w:r>
      <w:r w:rsidRPr="00BE110E">
        <w:lastRenderedPageBreak/>
        <w:t>автомобилните превозвачи;</w:t>
      </w:r>
    </w:p>
    <w:p w:rsidR="006E091C" w:rsidRPr="00BE110E" w:rsidRDefault="006E091C" w:rsidP="006E091C">
      <w:pPr>
        <w:pStyle w:val="NormalHanging12a"/>
      </w:pPr>
      <w:r w:rsidRPr="00BE110E">
        <w:t>Г.</w:t>
      </w:r>
      <w:r w:rsidRPr="00BE110E">
        <w:tab/>
        <w:t>като има предвид, че България и Румъния все още очакват решение на Съвета относно датата за премахване на проверките по вътрешните сухопътни граници; като има предвид, че премахването на проверките и контрола по вътрешните сухопътни граници би оказало положително въздействие върху участието на Румъния и България в единния пазар на ЕС, би отстранило пречките пред мобилността, които водят до забавяне на стопанските дейности в резултат на прекъсване на разписанията за доставка на товари;</w:t>
      </w:r>
    </w:p>
    <w:p w:rsidR="006E091C" w:rsidRPr="00BE110E" w:rsidRDefault="006E091C" w:rsidP="006E091C">
      <w:pPr>
        <w:pStyle w:val="NormalHanging12a"/>
      </w:pPr>
      <w:r w:rsidRPr="00BE110E">
        <w:t>Д.</w:t>
      </w:r>
      <w:r w:rsidRPr="00BE110E">
        <w:tab/>
        <w:t>като има предвид, че закъсненията на товарните превозни средства на границите причиняват загуби от стотици милиони евро за европейските предприятия, особено в секторите на логистиката, туризма, хотелиерството и ресторантьорството; като има предвид, че рисковете, породени от тези ограничения, свързани с преминаването на границите, станаха особено очевидни по време на пандемията от COVID-19; като има предвид, че запазването на статуквото значително отслабва устойчивостта на ЕС спрямо други потенциални извънредни ситуации в областта на общественото здраве;</w:t>
      </w:r>
    </w:p>
    <w:p w:rsidR="006E091C" w:rsidRPr="00BE110E" w:rsidRDefault="006E091C" w:rsidP="006E091C">
      <w:pPr>
        <w:pStyle w:val="NormalHanging12a"/>
      </w:pPr>
      <w:r w:rsidRPr="00BE110E">
        <w:t>Е.</w:t>
      </w:r>
      <w:r w:rsidRPr="00BE110E">
        <w:tab/>
        <w:t>като има предвид, че дължината на опашките от товарни превозни средства по външните граници на ЕС с държавите от Западните Балкани е особено тревожна;</w:t>
      </w:r>
    </w:p>
    <w:p w:rsidR="006E091C" w:rsidRPr="00BE110E" w:rsidRDefault="006E091C" w:rsidP="006E091C">
      <w:pPr>
        <w:pStyle w:val="NormalHanging12a"/>
      </w:pPr>
      <w:r w:rsidRPr="00BE110E">
        <w:t>Ж.</w:t>
      </w:r>
      <w:r w:rsidRPr="00BE110E">
        <w:tab/>
        <w:t>като има предвид, че тези събития сериозно застрашават здравето и безопасността на професионалните водачи, компрометират техните условия на труд и подкопават качеството на работните места в професията, като същевременно допълнително допринасят за недостига на водачи на камиони в световен мащаб; като има предвид, че водачите на камиони във всички държави – членки на ЕС, често страдат от множество форми на хронични болки, например в долната част на гърба, в коленните и раменните стави; като има предвид, че в същото време честото произволно изискване за разтоварване и повторно товарене води до значителни допълнителни рискове за здравето, които често водят до наранявания, тъй като водачите на камиони може често да нямат физическа сила или подходящо оборудване, за да повдигнат съответните тежки предмети; като има предвид, че работодателите налагат на случаен принцип това задължение и отговорност на водачите на камиони без допълнително възнаграждение;</w:t>
      </w:r>
    </w:p>
    <w:p w:rsidR="006E091C" w:rsidRPr="00BE110E" w:rsidRDefault="006E091C" w:rsidP="006E091C">
      <w:pPr>
        <w:pStyle w:val="NormalHanging12a"/>
      </w:pPr>
      <w:r w:rsidRPr="00BE110E">
        <w:t>З.</w:t>
      </w:r>
      <w:r w:rsidRPr="00BE110E">
        <w:tab/>
        <w:t>като има предвид, че опашките от товарни превозни средства, чакащи по границите, засягат пряко здравето на европейските граждани, отразяват се отрицателно на качеството на въздуха, причиняват замърсяване на водата и шумово замърсяване и оказват неблагоприятно въздействие върху защитените зони по „Натура 2000“; като има предвид, че например в съобщението на Комисията от 16 май 2023 г. се подчертава, че годишно се отделят 46 000 тона CO</w:t>
      </w:r>
      <w:r w:rsidRPr="00BE110E">
        <w:rPr>
          <w:vertAlign w:val="subscript"/>
        </w:rPr>
        <w:t>2</w:t>
      </w:r>
      <w:r w:rsidRPr="00BE110E">
        <w:t xml:space="preserve"> поради продължаващия контрол по вътрешните граници за Румъния и България;</w:t>
      </w:r>
    </w:p>
    <w:p w:rsidR="006E091C" w:rsidRPr="00BE110E" w:rsidRDefault="006E091C" w:rsidP="006E091C">
      <w:pPr>
        <w:pStyle w:val="NormalHanging12a"/>
      </w:pPr>
      <w:r w:rsidRPr="00BE110E">
        <w:t>И.</w:t>
      </w:r>
      <w:r w:rsidRPr="00BE110E">
        <w:tab/>
        <w:t>като има предвид, че задръстванията с товарни превозни средства също влошават качеството на съществуващата инфраструктура, като същевременно възпрепятстват пътната безопасност и увеличават риска от пътнотранспортни произшествия;</w:t>
      </w:r>
    </w:p>
    <w:p w:rsidR="006E091C" w:rsidRPr="00BE110E" w:rsidRDefault="006E091C" w:rsidP="006E091C">
      <w:pPr>
        <w:pStyle w:val="NormalHanging12a"/>
      </w:pPr>
      <w:r w:rsidRPr="00BE110E">
        <w:t>Й.</w:t>
      </w:r>
      <w:r w:rsidRPr="00BE110E">
        <w:tab/>
        <w:t xml:space="preserve">като има предвид, че е необходимо увеличаване на публичното и частното </w:t>
      </w:r>
      <w:r w:rsidRPr="00BE110E">
        <w:lastRenderedPageBreak/>
        <w:t>финансиране на безопасни и сигурни зони за паркиране на камиони с цел да се позволи на водачите да ползват почивките си при пълна безопасност; като има предвид, че укрепването на инструментите за сигурност, например чрез разработване на специални мобилни приложения, би намалило риска водачите на камиони да станат жертви на престъпления;</w:t>
      </w:r>
    </w:p>
    <w:p w:rsidR="006E091C" w:rsidRPr="00BE110E" w:rsidRDefault="006E091C" w:rsidP="006E091C">
      <w:pPr>
        <w:pStyle w:val="NormalHanging12a"/>
      </w:pPr>
      <w:r w:rsidRPr="00BE110E">
        <w:t>1.</w:t>
      </w:r>
      <w:r w:rsidRPr="00BE110E">
        <w:tab/>
        <w:t>призовава Парламента, Съвета и Комисията да се съсредоточат върху конкретни мерки за гарантиране на гладко и ефикасно преминаване на границите за товарния транспорт при разработването на ключови политики на ЕС, например трансевропейската транспортна мрежа;</w:t>
      </w:r>
    </w:p>
    <w:p w:rsidR="006E091C" w:rsidRPr="00BE110E" w:rsidRDefault="006E091C" w:rsidP="006E091C">
      <w:pPr>
        <w:pStyle w:val="NormalHanging12a"/>
      </w:pPr>
      <w:r w:rsidRPr="00BE110E">
        <w:t>2.</w:t>
      </w:r>
      <w:r w:rsidRPr="00BE110E">
        <w:tab/>
        <w:t>призовава Комисията, след оценка на въздействието на темите, описани в настоящото предложение за резолюция, да предложи незабавни и обвързващи законодателни мерки за създаване на стандарт за целия ЕС от средно една минута за обработка на тежкотоварни превозни средства на граничните контролно-пропускателни пунктове в рамките на ЕС, така че да се гарантира плавност на вътрешните шенгенски и нешенгенски граници, като се даде възможност стоките и услугите да се движат бързо и ефикасно; подчертава, че подобна мярка значително би подобрила конкурентоспособността на сектора на автомобилния транспорт и би гарантирала гладкото му функциониране на единния пазар; подчертава, че продължаването на контрола по сухопътните граници вреди на икономическите интереси на всички държави членки;</w:t>
      </w:r>
    </w:p>
    <w:p w:rsidR="006E091C" w:rsidRPr="00BE110E" w:rsidRDefault="006E091C" w:rsidP="006E091C">
      <w:pPr>
        <w:pStyle w:val="NormalHanging12a"/>
      </w:pPr>
      <w:r w:rsidRPr="00BE110E">
        <w:t>3.</w:t>
      </w:r>
      <w:r w:rsidRPr="00BE110E">
        <w:tab/>
        <w:t>подчертава, че от 2011 г. насам Комисията отново заявява, че както Румъния, така и България са изпълнили всички официални критерии за присъединяването си към Шенгенското пространство; подчертава, че решението на Съвета от 30 декември 2023 г. за премахване на контрола по въздушните и морските граници на Румъния и България разглежда само частично въпроса за настоящото нарушаване на единния пазар; подчертава, че това решение не е в състояние да се справи с най-големия и най-неотложен проблем, а именно преминаването на сухопътните граници, където проверките остават в сила на сухопътната граница на Шенген, което възпрепятства безпроблемното преминаване на товарни превозни средства, автобуси, частни автомобили и влакове; отново изразява дългогодишната си позиция в подкрепа на пълното прилагане на достиженията на правото от Шенген по отношение на България и Румъния; настоятелно призовава белгийското председателство и всички членове на Съвета да приемат възможно най-бързо и не по-късно от средата на 2024 г. решение относно пълното прилагане на достиженията на правото от Шенген в Румъния и България;</w:t>
      </w:r>
    </w:p>
    <w:p w:rsidR="006E091C" w:rsidRPr="00BE110E" w:rsidRDefault="006E091C" w:rsidP="006E091C">
      <w:pPr>
        <w:pStyle w:val="NormalHanging12a"/>
      </w:pPr>
      <w:r w:rsidRPr="00BE110E">
        <w:t>4.</w:t>
      </w:r>
      <w:r w:rsidRPr="00BE110E">
        <w:tab/>
        <w:t>поради това изисква от Комисията да гарантира спазването и мониторинга на прилагането на предприетите мерки, включително чрез налагането на санкции; подчертава необходимостта от адекватно и достатъчно финансиране от ЕС и техническа подкрепа;</w:t>
      </w:r>
    </w:p>
    <w:p w:rsidR="006E091C" w:rsidRPr="00BE110E" w:rsidRDefault="006E091C" w:rsidP="006E091C">
      <w:pPr>
        <w:pStyle w:val="NormalHanging12a"/>
      </w:pPr>
      <w:r w:rsidRPr="00BE110E">
        <w:t>5.</w:t>
      </w:r>
      <w:r w:rsidRPr="00BE110E">
        <w:tab/>
        <w:t>призовава Комисията и държавите членки да направят така, че законодателство на ЕС да позволи на водачите на камиони да използват по-малки гранични пунктове, когато основните артерии са затворени за поддръжка на пътищата, за да се избегне зависимостта на водачите от произволни действия от страна на отделните държави, тъй като това е въпрос от общ интерес за ЕС;</w:t>
      </w:r>
    </w:p>
    <w:p w:rsidR="006E091C" w:rsidRPr="00BE110E" w:rsidRDefault="006E091C" w:rsidP="006E091C">
      <w:pPr>
        <w:pStyle w:val="NormalHanging12a"/>
      </w:pPr>
      <w:r w:rsidRPr="00BE110E">
        <w:t>6.</w:t>
      </w:r>
      <w:r w:rsidRPr="00BE110E">
        <w:tab/>
        <w:t xml:space="preserve">призовава Комисията, в сътрудничество с държавите членки и съответните </w:t>
      </w:r>
      <w:r w:rsidRPr="00BE110E">
        <w:lastRenderedPageBreak/>
        <w:t>заинтересовани страни, да предложи конкретни мерки за справяне с недостига на професионални водачи в ЕС чрез стимулиране на интереса сред младите хора чрез финансиране на специфично повторно обучение и квалификации и насърчаване на партньорствата между професионалните училища и транспортните дружества, включително със специална бюджетна подкрепа от ЕС;</w:t>
      </w:r>
    </w:p>
    <w:p w:rsidR="006E091C" w:rsidRPr="00BE110E" w:rsidRDefault="006E091C" w:rsidP="006E091C">
      <w:pPr>
        <w:pStyle w:val="NormalHanging12a"/>
      </w:pPr>
      <w:r w:rsidRPr="00BE110E">
        <w:t>7.</w:t>
      </w:r>
      <w:r w:rsidRPr="00BE110E">
        <w:tab/>
        <w:t>призовава държавите членки да увеличат още повече усилията си за засилване на трансграничното сътрудничество в областта на кражбите от товарни превозни средства;</w:t>
      </w:r>
    </w:p>
    <w:p w:rsidR="006E091C" w:rsidRPr="00BE110E" w:rsidRDefault="006E091C" w:rsidP="006E091C">
      <w:pPr>
        <w:pStyle w:val="NormalHanging12a"/>
      </w:pPr>
      <w:r w:rsidRPr="00BE110E">
        <w:t>8.</w:t>
      </w:r>
      <w:r w:rsidRPr="00BE110E">
        <w:tab/>
        <w:t>възлага на своя председател да предаде настоящата резолюция на Комисията, на Съвета и на съответните национални органи.</w:t>
      </w:r>
    </w:p>
    <w:p w:rsidR="006E091C" w:rsidRPr="00BE110E" w:rsidRDefault="006E091C" w:rsidP="006E091C"/>
    <w:sectPr w:rsidR="006E091C" w:rsidRPr="00BE110E" w:rsidSect="00BE11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985" w:rsidRPr="00BE110E" w:rsidRDefault="006A4985">
      <w:r w:rsidRPr="00BE110E">
        <w:separator/>
      </w:r>
    </w:p>
  </w:endnote>
  <w:endnote w:type="continuationSeparator" w:id="0">
    <w:p w:rsidR="006A4985" w:rsidRPr="00BE110E" w:rsidRDefault="006A4985">
      <w:r w:rsidRPr="00BE11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1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1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1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985" w:rsidRPr="00BE110E" w:rsidRDefault="006A4985">
      <w:r w:rsidRPr="00BE110E">
        <w:separator/>
      </w:r>
    </w:p>
  </w:footnote>
  <w:footnote w:type="continuationSeparator" w:id="0">
    <w:p w:rsidR="006A4985" w:rsidRPr="00BE110E" w:rsidRDefault="006A4985">
      <w:r w:rsidRPr="00BE110E">
        <w:continuationSeparator/>
      </w:r>
    </w:p>
  </w:footnote>
  <w:footnote w:id="1">
    <w:p w:rsidR="006E091C" w:rsidRPr="00BE110E" w:rsidRDefault="006E091C" w:rsidP="00BE110E">
      <w:pPr>
        <w:pStyle w:val="FootnoteText"/>
        <w:ind w:left="567" w:hanging="567"/>
        <w:rPr>
          <w:sz w:val="24"/>
          <w:lang w:val="bg-BG"/>
        </w:rPr>
      </w:pPr>
      <w:r w:rsidRPr="00BE110E">
        <w:rPr>
          <w:rStyle w:val="FootnoteReference"/>
          <w:sz w:val="24"/>
          <w:lang w:val="bg-BG"/>
        </w:rPr>
        <w:footnoteRef/>
      </w:r>
      <w:r w:rsidR="00BE110E" w:rsidRPr="00BE110E">
        <w:rPr>
          <w:sz w:val="24"/>
          <w:lang w:val="bg-BG"/>
        </w:rPr>
        <w:t xml:space="preserve"> </w:t>
      </w:r>
      <w:r w:rsidR="00BE110E" w:rsidRPr="00BE110E">
        <w:rPr>
          <w:sz w:val="24"/>
          <w:lang w:val="bg-BG"/>
        </w:rPr>
        <w:tab/>
      </w:r>
      <w:r w:rsidRPr="00BE110E">
        <w:rPr>
          <w:sz w:val="24"/>
          <w:lang w:val="bg-BG"/>
        </w:rPr>
        <w:t>OВ C 149, 28.4.2023 г., стр. 11.</w:t>
      </w:r>
    </w:p>
  </w:footnote>
  <w:footnote w:id="2">
    <w:p w:rsidR="006E091C" w:rsidRPr="00BE110E" w:rsidRDefault="006E091C" w:rsidP="00BE110E">
      <w:pPr>
        <w:pStyle w:val="FootnoteText"/>
        <w:ind w:left="567" w:hanging="567"/>
        <w:rPr>
          <w:sz w:val="24"/>
          <w:lang w:val="bg-BG"/>
        </w:rPr>
      </w:pPr>
      <w:r w:rsidRPr="00BE110E">
        <w:rPr>
          <w:rStyle w:val="FootnoteReference"/>
          <w:sz w:val="24"/>
          <w:lang w:val="bg-BG"/>
        </w:rPr>
        <w:footnoteRef/>
      </w:r>
      <w:r w:rsidR="00BE110E" w:rsidRPr="00BE110E">
        <w:rPr>
          <w:sz w:val="24"/>
          <w:lang w:val="bg-BG"/>
        </w:rPr>
        <w:t xml:space="preserve"> </w:t>
      </w:r>
      <w:r w:rsidR="00BE110E" w:rsidRPr="00BE110E">
        <w:rPr>
          <w:sz w:val="24"/>
          <w:lang w:val="bg-BG"/>
        </w:rPr>
        <w:tab/>
      </w:r>
      <w:r w:rsidRPr="00BE110E">
        <w:rPr>
          <w:sz w:val="24"/>
          <w:lang w:val="bg-BG"/>
        </w:rPr>
        <w:t>Приети текстове, P9_TA(2023)0278.</w:t>
      </w:r>
    </w:p>
  </w:footnote>
  <w:footnote w:id="3">
    <w:p w:rsidR="006E091C" w:rsidRPr="00BE110E" w:rsidRDefault="006E091C" w:rsidP="00BE110E">
      <w:pPr>
        <w:pStyle w:val="FootnoteText"/>
        <w:ind w:left="567" w:hanging="567"/>
        <w:rPr>
          <w:sz w:val="24"/>
          <w:lang w:val="bg-BG"/>
        </w:rPr>
      </w:pPr>
      <w:r w:rsidRPr="00BE110E">
        <w:rPr>
          <w:rStyle w:val="FootnoteReference"/>
          <w:sz w:val="24"/>
          <w:lang w:val="bg-BG"/>
        </w:rPr>
        <w:footnoteRef/>
      </w:r>
      <w:r w:rsidR="00BE110E" w:rsidRPr="00BE110E">
        <w:rPr>
          <w:sz w:val="24"/>
          <w:lang w:val="bg-BG"/>
        </w:rPr>
        <w:t xml:space="preserve"> </w:t>
      </w:r>
      <w:r w:rsidR="00BE110E" w:rsidRPr="00BE110E">
        <w:rPr>
          <w:sz w:val="24"/>
          <w:lang w:val="bg-BG"/>
        </w:rPr>
        <w:tab/>
      </w:r>
      <w:r w:rsidRPr="00BE110E">
        <w:rPr>
          <w:sz w:val="24"/>
          <w:lang w:val="bg-BG"/>
        </w:rPr>
        <w:t>ОВ C 224, 8.6.2022 г., стр. 95.</w:t>
      </w:r>
    </w:p>
  </w:footnote>
  <w:footnote w:id="4">
    <w:p w:rsidR="006E091C" w:rsidRPr="00BE110E" w:rsidRDefault="006E091C" w:rsidP="00BE110E">
      <w:pPr>
        <w:pStyle w:val="FootnoteText"/>
        <w:ind w:left="567" w:hanging="567"/>
        <w:rPr>
          <w:sz w:val="24"/>
          <w:lang w:val="bg-BG"/>
        </w:rPr>
      </w:pPr>
      <w:r w:rsidRPr="00BE110E">
        <w:rPr>
          <w:rStyle w:val="FootnoteReference"/>
          <w:sz w:val="24"/>
          <w:lang w:val="bg-BG"/>
        </w:rPr>
        <w:footnoteRef/>
      </w:r>
      <w:r w:rsidR="00BE110E" w:rsidRPr="00BE110E">
        <w:rPr>
          <w:sz w:val="24"/>
          <w:lang w:val="bg-BG"/>
        </w:rPr>
        <w:t xml:space="preserve"> </w:t>
      </w:r>
      <w:r w:rsidR="00BE110E" w:rsidRPr="00BE110E">
        <w:rPr>
          <w:sz w:val="24"/>
          <w:lang w:val="bg-BG"/>
        </w:rPr>
        <w:tab/>
      </w:r>
      <w:r w:rsidRPr="00BE110E">
        <w:rPr>
          <w:sz w:val="24"/>
          <w:lang w:val="bg-BG"/>
        </w:rPr>
        <w:t xml:space="preserve">OВ C, C/2023/1058, 15.12.2023 г., ELI: </w:t>
      </w:r>
      <w:r w:rsidR="00066C8D" w:rsidRPr="00D478C5">
        <w:rPr>
          <w:sz w:val="24"/>
          <w:lang w:val="en-GB"/>
        </w:rPr>
        <w:t>http://data.europa.eu/eli/C/2023/1058/oj</w:t>
      </w:r>
    </w:p>
  </w:footnote>
  <w:footnote w:id="5">
    <w:p w:rsidR="006E091C" w:rsidRPr="00BE110E" w:rsidRDefault="006E091C" w:rsidP="00BE110E">
      <w:pPr>
        <w:pStyle w:val="FootnoteText"/>
        <w:ind w:left="567" w:hanging="567"/>
        <w:rPr>
          <w:sz w:val="24"/>
          <w:lang w:val="bg-BG"/>
        </w:rPr>
      </w:pPr>
      <w:r w:rsidRPr="00BE110E">
        <w:rPr>
          <w:rStyle w:val="FootnoteReference"/>
          <w:sz w:val="24"/>
          <w:lang w:val="bg-BG"/>
        </w:rPr>
        <w:footnoteRef/>
      </w:r>
      <w:r w:rsidR="00BE110E" w:rsidRPr="00BE110E">
        <w:rPr>
          <w:sz w:val="24"/>
          <w:lang w:val="bg-BG"/>
        </w:rPr>
        <w:t xml:space="preserve"> </w:t>
      </w:r>
      <w:r w:rsidR="00BE110E" w:rsidRPr="00BE110E">
        <w:rPr>
          <w:sz w:val="24"/>
          <w:lang w:val="bg-BG"/>
        </w:rPr>
        <w:tab/>
      </w:r>
      <w:r w:rsidRPr="00BE110E">
        <w:rPr>
          <w:sz w:val="24"/>
          <w:lang w:val="bg-BG"/>
        </w:rPr>
        <w:t xml:space="preserve">ОВ C, C/2024/481, 23.1.2024 г., ELI: </w:t>
      </w:r>
      <w:r w:rsidR="00066C8D" w:rsidRPr="00D478C5">
        <w:rPr>
          <w:sz w:val="24"/>
          <w:lang w:val="en-GB"/>
        </w:rPr>
        <w:t>http://data.europa.eu/eli/C/2024/481/oj</w:t>
      </w:r>
    </w:p>
  </w:footnote>
  <w:footnote w:id="6">
    <w:p w:rsidR="006E091C" w:rsidRPr="00BE110E" w:rsidRDefault="006E091C" w:rsidP="00BE110E">
      <w:pPr>
        <w:pStyle w:val="FootnoteText"/>
        <w:ind w:left="567" w:hanging="567"/>
        <w:rPr>
          <w:sz w:val="24"/>
          <w:lang w:val="bg-BG"/>
        </w:rPr>
      </w:pPr>
      <w:r w:rsidRPr="00BE110E">
        <w:rPr>
          <w:rStyle w:val="FootnoteReference"/>
          <w:sz w:val="24"/>
          <w:lang w:val="bg-BG"/>
        </w:rPr>
        <w:footnoteRef/>
      </w:r>
      <w:r w:rsidR="00BE110E" w:rsidRPr="00BE110E">
        <w:rPr>
          <w:sz w:val="24"/>
          <w:lang w:val="bg-BG"/>
        </w:rPr>
        <w:t xml:space="preserve"> </w:t>
      </w:r>
      <w:r w:rsidR="00BE110E" w:rsidRPr="00BE110E">
        <w:rPr>
          <w:sz w:val="24"/>
          <w:lang w:val="bg-BG"/>
        </w:rPr>
        <w:tab/>
      </w:r>
      <w:r w:rsidRPr="00BE110E">
        <w:rPr>
          <w:sz w:val="24"/>
          <w:lang w:val="bg-BG"/>
        </w:rPr>
        <w:t xml:space="preserve">Регламент (ЕС) 2016/399 от 9 март 2016 г. относно Кодекс на Съюза за режима на движение на лица през границите (Кодекс на шенгенските граници) </w:t>
      </w:r>
      <w:r w:rsidR="00066C8D">
        <w:rPr>
          <w:sz w:val="24"/>
          <w:lang w:val="bg-BG"/>
        </w:rPr>
        <w:t>(</w:t>
      </w:r>
      <w:r w:rsidRPr="00BE110E">
        <w:rPr>
          <w:sz w:val="24"/>
          <w:lang w:val="bg-BG"/>
        </w:rPr>
        <w:t>ОВ L 77, 23.3.2016 г., стр. 1</w:t>
      </w:r>
      <w:r w:rsidR="00066C8D">
        <w:rPr>
          <w:sz w:val="24"/>
          <w:lang w:val="bg-BG"/>
        </w:rPr>
        <w:t>)</w:t>
      </w:r>
      <w:r w:rsidRPr="00BE110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1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1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11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BG"/>
    <w:docVar w:name="dvnumam" w:val="0"/>
    <w:docVar w:name="dvpe" w:val="758.769"/>
    <w:docVar w:name="dvtitre" w:val="Резолюция на Европейския парламент от ... 2024 г. относно обработката на тежкотоварни превозни средства на граничните контролно-пропускателни пунктове въз основа на петиция 0146/2023(2024/2540(RSP))"/>
  </w:docVars>
  <w:rsids>
    <w:rsidRoot w:val="006A4985"/>
    <w:rsid w:val="00002272"/>
    <w:rsid w:val="00064002"/>
    <w:rsid w:val="00066C8D"/>
    <w:rsid w:val="000677B9"/>
    <w:rsid w:val="000831BA"/>
    <w:rsid w:val="000A42CC"/>
    <w:rsid w:val="000E7DD9"/>
    <w:rsid w:val="0010095E"/>
    <w:rsid w:val="00125B37"/>
    <w:rsid w:val="00187494"/>
    <w:rsid w:val="001F32AE"/>
    <w:rsid w:val="00212312"/>
    <w:rsid w:val="002767FF"/>
    <w:rsid w:val="00296F0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4985"/>
    <w:rsid w:val="006E091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6C8"/>
    <w:rsid w:val="00B22876"/>
    <w:rsid w:val="00B558F0"/>
    <w:rsid w:val="00BD48FE"/>
    <w:rsid w:val="00BD7BD8"/>
    <w:rsid w:val="00BE110E"/>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54216"/>
  <w15:chartTrackingRefBased/>
  <w15:docId w15:val="{631ACA77-EA26-418D-BE53-9FD406DE5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091C"/>
    <w:pPr>
      <w:spacing w:before="480" w:after="240"/>
    </w:pPr>
  </w:style>
  <w:style w:type="paragraph" w:customStyle="1" w:styleId="NormalHanging12a">
    <w:name w:val="NormalHanging12a"/>
    <w:basedOn w:val="Normal"/>
    <w:uiPriority w:val="99"/>
    <w:rsid w:val="006E091C"/>
    <w:pPr>
      <w:spacing w:after="240"/>
      <w:ind w:left="567" w:hanging="567"/>
    </w:pPr>
  </w:style>
  <w:style w:type="paragraph" w:styleId="BalloonText">
    <w:name w:val="Balloon Text"/>
    <w:basedOn w:val="Normal"/>
    <w:link w:val="BalloonTextChar"/>
    <w:rsid w:val="00212312"/>
    <w:rPr>
      <w:rFonts w:ascii="Segoe UI" w:hAnsi="Segoe UI" w:cs="Segoe UI"/>
      <w:sz w:val="18"/>
      <w:szCs w:val="18"/>
    </w:rPr>
  </w:style>
  <w:style w:type="character" w:customStyle="1" w:styleId="BalloonTextChar">
    <w:name w:val="Balloon Text Char"/>
    <w:basedOn w:val="DefaultParagraphFont"/>
    <w:link w:val="BalloonText"/>
    <w:rsid w:val="00212312"/>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4E15E-1425-4967-85CB-550DD9BF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1472</Words>
  <Characters>9644</Characters>
  <Application>Microsoft Office Word</Application>
  <DocSecurity>0</DocSecurity>
  <Lines>401</Lines>
  <Paragraphs>427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2024-05-29T08:08:00Z</dcterms:created>
  <dcterms:modified xsi:type="dcterms:W3CDTF">2024-05-29T08:08:00Z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B9-0201/2024</vt:lpwstr>
  </property>
  <property fmtid="{D5CDD505-2E9C-101B-9397-08002B2CF9AE}" pid="4" name="&lt;Type&gt;">
    <vt:lpwstr>RR</vt:lpwstr>
  </property>
</Properties>
</file>