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4860" w:rsidTr="0010095E">
        <w:trPr>
          <w:trHeight w:hRule="exact" w:val="1418"/>
        </w:trPr>
        <w:tc>
          <w:tcPr>
            <w:tcW w:w="6804" w:type="dxa"/>
            <w:shd w:val="clear" w:color="auto" w:fill="auto"/>
            <w:vAlign w:val="center"/>
          </w:tcPr>
          <w:p w:rsidR="00751A4A" w:rsidRPr="007A4860" w:rsidRDefault="00FB59A8" w:rsidP="0010095E">
            <w:pPr>
              <w:pStyle w:val="EPName"/>
            </w:pPr>
            <w:r w:rsidRPr="007A4860">
              <w:t>Evropský parlament</w:t>
            </w:r>
          </w:p>
          <w:p w:rsidR="00751A4A" w:rsidRPr="007A4860" w:rsidRDefault="00817416" w:rsidP="00756632">
            <w:pPr>
              <w:pStyle w:val="EPTerm"/>
              <w:rPr>
                <w:rStyle w:val="HideTWBExt"/>
                <w:noProof w:val="0"/>
                <w:vanish w:val="0"/>
                <w:color w:val="auto"/>
              </w:rPr>
            </w:pPr>
            <w:r w:rsidRPr="007A4860">
              <w:t>2019-2024</w:t>
            </w:r>
          </w:p>
        </w:tc>
        <w:tc>
          <w:tcPr>
            <w:tcW w:w="2268" w:type="dxa"/>
            <w:shd w:val="clear" w:color="auto" w:fill="auto"/>
          </w:tcPr>
          <w:p w:rsidR="00751A4A" w:rsidRPr="007A4860" w:rsidRDefault="00187494" w:rsidP="0010095E">
            <w:pPr>
              <w:pStyle w:val="EPLogo"/>
            </w:pPr>
            <w:r w:rsidRPr="007A4860">
              <w:rPr>
                <w:noProof/>
                <w:lang w:eastAsia="cs-CZ"/>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A4860" w:rsidRDefault="00D058B8" w:rsidP="004C5D52">
      <w:pPr>
        <w:pStyle w:val="LineTop"/>
      </w:pPr>
    </w:p>
    <w:p w:rsidR="00680577" w:rsidRPr="007A4860" w:rsidRDefault="00FB59A8" w:rsidP="00680577">
      <w:pPr>
        <w:pStyle w:val="EPBodyTA1"/>
      </w:pPr>
      <w:r w:rsidRPr="007A4860">
        <w:t>PŘIJATÉ TEXTY</w:t>
      </w:r>
    </w:p>
    <w:p w:rsidR="00D058B8" w:rsidRPr="007A4860" w:rsidRDefault="00D058B8" w:rsidP="00D058B8">
      <w:pPr>
        <w:pStyle w:val="LineBottom"/>
      </w:pPr>
    </w:p>
    <w:p w:rsidR="00FB59A8" w:rsidRPr="007A4860" w:rsidRDefault="00FB59A8" w:rsidP="00FB59A8">
      <w:pPr>
        <w:pStyle w:val="ATHeading1"/>
      </w:pPr>
      <w:bookmarkStart w:id="0" w:name="TANumber"/>
      <w:r w:rsidRPr="007A4860">
        <w:t>P9_TA(2024)0</w:t>
      </w:r>
      <w:r w:rsidR="00D933AC">
        <w:t>223</w:t>
      </w:r>
      <w:bookmarkEnd w:id="0"/>
    </w:p>
    <w:p w:rsidR="00FB59A8" w:rsidRPr="007A4860" w:rsidRDefault="00FB59A8" w:rsidP="00FB59A8">
      <w:pPr>
        <w:pStyle w:val="ATHeading2"/>
      </w:pPr>
      <w:bookmarkStart w:id="1" w:name="title"/>
      <w:r w:rsidRPr="007A4860">
        <w:t>Odbavování těžkých nákladních vozidel na hraničních přechodech</w:t>
      </w:r>
      <w:bookmarkEnd w:id="1"/>
    </w:p>
    <w:p w:rsidR="00FB59A8" w:rsidRPr="007A4860" w:rsidRDefault="00FB59A8" w:rsidP="00FB59A8">
      <w:pPr>
        <w:rPr>
          <w:i/>
          <w:vanish/>
        </w:rPr>
      </w:pPr>
      <w:r w:rsidRPr="007A4860">
        <w:rPr>
          <w:i/>
        </w:rPr>
        <w:fldChar w:fldCharType="begin"/>
      </w:r>
      <w:r w:rsidRPr="007A4860">
        <w:rPr>
          <w:i/>
        </w:rPr>
        <w:instrText xml:space="preserve"> TC"(</w:instrText>
      </w:r>
      <w:bookmarkStart w:id="2" w:name="DocNumber"/>
      <w:r w:rsidRPr="007A4860">
        <w:rPr>
          <w:i/>
        </w:rPr>
        <w:instrText>B9-0201/2024</w:instrText>
      </w:r>
      <w:bookmarkEnd w:id="2"/>
      <w:r w:rsidRPr="007A4860">
        <w:rPr>
          <w:i/>
        </w:rPr>
        <w:instrText xml:space="preserve">)"\l3 \n&gt; \* MERGEFORMAT </w:instrText>
      </w:r>
      <w:r w:rsidRPr="007A4860">
        <w:rPr>
          <w:i/>
        </w:rPr>
        <w:fldChar w:fldCharType="end"/>
      </w:r>
    </w:p>
    <w:p w:rsidR="00FB59A8" w:rsidRPr="007A4860" w:rsidRDefault="00FB59A8" w:rsidP="00FB59A8">
      <w:pPr>
        <w:rPr>
          <w:vanish/>
        </w:rPr>
      </w:pPr>
      <w:bookmarkStart w:id="3" w:name="PE"/>
      <w:r w:rsidRPr="007A4860">
        <w:rPr>
          <w:vanish/>
        </w:rPr>
        <w:t>PE758.769</w:t>
      </w:r>
      <w:bookmarkEnd w:id="3"/>
    </w:p>
    <w:p w:rsidR="00FB59A8" w:rsidRPr="007A4860" w:rsidRDefault="00FB59A8" w:rsidP="00FB59A8">
      <w:pPr>
        <w:pStyle w:val="ATHeading3"/>
      </w:pPr>
      <w:bookmarkStart w:id="4" w:name="Sujet"/>
      <w:r w:rsidRPr="007A4860">
        <w:t>Usnesení Evropského parlamentu ze dne 10. dubna 2024 o odbavování těžkých nákladních vozidel na hraničních přechodech na základě petice č. 0146/2023</w:t>
      </w:r>
      <w:bookmarkEnd w:id="4"/>
      <w:r w:rsidRPr="007A4860">
        <w:t xml:space="preserve"> </w:t>
      </w:r>
      <w:bookmarkStart w:id="5" w:name="References"/>
      <w:r w:rsidRPr="007A4860">
        <w:t>(2024/2540(RSP))</w:t>
      </w:r>
      <w:bookmarkEnd w:id="5"/>
    </w:p>
    <w:p w:rsidR="00843BF9" w:rsidRPr="007A4860" w:rsidRDefault="00843BF9" w:rsidP="00843BF9">
      <w:pPr>
        <w:pStyle w:val="EPComma"/>
      </w:pPr>
      <w:bookmarkStart w:id="6" w:name="TextBodyBegin"/>
      <w:bookmarkEnd w:id="6"/>
      <w:r w:rsidRPr="007A4860">
        <w:rPr>
          <w:i/>
        </w:rPr>
        <w:t>Evropský parlament</w:t>
      </w:r>
      <w:r w:rsidRPr="007A4860">
        <w:t>,</w:t>
      </w:r>
    </w:p>
    <w:p w:rsidR="00843BF9" w:rsidRPr="007A4860" w:rsidRDefault="00843BF9" w:rsidP="00AD7EC9">
      <w:pPr>
        <w:pStyle w:val="NormalHanging12a"/>
      </w:pPr>
      <w:r w:rsidRPr="007A4860">
        <w:t>–</w:t>
      </w:r>
      <w:r w:rsidRPr="007A4860">
        <w:tab/>
        <w:t>s ohledem na články 26, 28 až 37, čl. 67 odst. 1 a 2 Smlouvy o fungování Evropské unie (</w:t>
      </w:r>
      <w:r w:rsidR="00AD7EC9">
        <w:t>dále jen „</w:t>
      </w:r>
      <w:r w:rsidRPr="007A4860">
        <w:t>S</w:t>
      </w:r>
      <w:r w:rsidR="00AD7EC9">
        <w:t xml:space="preserve">mlouva o fungování </w:t>
      </w:r>
      <w:r w:rsidRPr="007A4860">
        <w:t>EU</w:t>
      </w:r>
      <w:r w:rsidR="00AD7EC9">
        <w:t>“</w:t>
      </w:r>
      <w:r w:rsidRPr="007A4860">
        <w:t>),</w:t>
      </w:r>
    </w:p>
    <w:p w:rsidR="00843BF9" w:rsidRPr="007A4860" w:rsidRDefault="00843BF9" w:rsidP="00AD7EC9">
      <w:pPr>
        <w:pStyle w:val="NormalHanging12a"/>
      </w:pPr>
      <w:r w:rsidRPr="007A4860">
        <w:t>–</w:t>
      </w:r>
      <w:r w:rsidRPr="007A4860">
        <w:tab/>
        <w:t>s ohledem na projednávání petice č. 0146/2023 na schůzi Petičního výboru dne 29. listopadu 2023,</w:t>
      </w:r>
    </w:p>
    <w:p w:rsidR="00843BF9" w:rsidRPr="007A4860" w:rsidRDefault="00843BF9" w:rsidP="00AD7EC9">
      <w:pPr>
        <w:pStyle w:val="NormalHanging12a"/>
        <w:rPr>
          <w:bCs/>
          <w:szCs w:val="24"/>
          <w:shd w:val="clear" w:color="auto" w:fill="FFFFFF"/>
        </w:rPr>
      </w:pPr>
      <w:r w:rsidRPr="007A4860">
        <w:t>–</w:t>
      </w:r>
      <w:r w:rsidRPr="007A4860">
        <w:tab/>
        <w:t xml:space="preserve">s ohledem na veřejné slyšení na téma „Hranice </w:t>
      </w:r>
      <w:proofErr w:type="spellStart"/>
      <w:r w:rsidRPr="007A4860">
        <w:t>Schengenu</w:t>
      </w:r>
      <w:proofErr w:type="spellEnd"/>
      <w:r w:rsidRPr="007A4860">
        <w:t xml:space="preserve"> – otázky vznesené předkladateli petic“, které dne 18. července 2023 společně uspořádal Petiční výbor spolu s Výborem pro občanské svobody, spravedlnost a vnitřní věci,</w:t>
      </w:r>
    </w:p>
    <w:p w:rsidR="00843BF9" w:rsidRPr="007A4860" w:rsidRDefault="00843BF9" w:rsidP="00AD7EC9">
      <w:pPr>
        <w:pStyle w:val="NormalHanging12a"/>
      </w:pPr>
      <w:r w:rsidRPr="007A4860">
        <w:t>–</w:t>
      </w:r>
      <w:r w:rsidRPr="007A4860">
        <w:tab/>
        <w:t>s ohledem na sdělení Komise ze dne 16. listopadu 2022 nazvané „Posílení schengenského prostoru prostřednictvím plné účasti Bulharska, Rumunska a Chorvatska v prostoru bez kontrol na vnitřních hranicích“ (</w:t>
      </w:r>
      <w:proofErr w:type="gramStart"/>
      <w:r w:rsidRPr="007A4860">
        <w:t>COM(2022</w:t>
      </w:r>
      <w:proofErr w:type="gramEnd"/>
      <w:r w:rsidRPr="007A4860">
        <w:t>)0636),</w:t>
      </w:r>
    </w:p>
    <w:p w:rsidR="00843BF9" w:rsidRPr="007A4860" w:rsidRDefault="00843BF9" w:rsidP="00AD7EC9">
      <w:pPr>
        <w:pStyle w:val="NormalHanging12a"/>
      </w:pPr>
      <w:r w:rsidRPr="007A4860">
        <w:t>–</w:t>
      </w:r>
      <w:r w:rsidRPr="007A4860">
        <w:tab/>
        <w:t>s ohledem na svá usnesení o přistoupení Rumunska a Bulharska k schengenskému prostoru</w:t>
      </w:r>
      <w:r w:rsidRPr="007A4860">
        <w:rPr>
          <w:rStyle w:val="FootnoteReference"/>
          <w:color w:val="000000"/>
        </w:rPr>
        <w:footnoteReference w:id="1"/>
      </w:r>
      <w:r w:rsidRPr="007A4860">
        <w:t xml:space="preserve"> ze dne 18. října 2022 a o přistoupení k schengenskému prostoru</w:t>
      </w:r>
      <w:r w:rsidRPr="007A4860">
        <w:rPr>
          <w:rStyle w:val="FootnoteReference"/>
          <w:color w:val="000000"/>
        </w:rPr>
        <w:footnoteReference w:id="2"/>
      </w:r>
      <w:r w:rsidRPr="007A4860">
        <w:t xml:space="preserve"> ze dne 12. července 2023,</w:t>
      </w:r>
    </w:p>
    <w:p w:rsidR="00843BF9" w:rsidRPr="007A4860" w:rsidRDefault="00843BF9" w:rsidP="00AD7EC9">
      <w:pPr>
        <w:pStyle w:val="NormalHanging12a"/>
      </w:pPr>
      <w:r w:rsidRPr="007A4860">
        <w:t>–</w:t>
      </w:r>
      <w:r w:rsidRPr="007A4860">
        <w:tab/>
        <w:t xml:space="preserve">s ohledem na jednomyslné rozhodnutí Rady ze dne 30. prosince 2023 o přijetí Rumunska a Bulharska do schengenského prostoru, a to počínaje zrušením kontrol na vzdušných a námořních hranicích od března 2024, </w:t>
      </w:r>
    </w:p>
    <w:p w:rsidR="00843BF9" w:rsidRPr="007A4860" w:rsidRDefault="00843BF9" w:rsidP="00AD7EC9">
      <w:pPr>
        <w:pStyle w:val="NormalHanging12a"/>
      </w:pPr>
      <w:r w:rsidRPr="007A4860">
        <w:t>–</w:t>
      </w:r>
      <w:r w:rsidRPr="007A4860">
        <w:tab/>
        <w:t>s ohledem na své usnesení ze dne 25. listopadu 2021 o bezpečnosti parkovišť pro nákladní automobily v EU</w:t>
      </w:r>
      <w:r w:rsidRPr="007A4860">
        <w:rPr>
          <w:rStyle w:val="FootnoteReference"/>
          <w:color w:val="000000"/>
        </w:rPr>
        <w:footnoteReference w:id="3"/>
      </w:r>
      <w:r w:rsidRPr="007A4860">
        <w:t>,</w:t>
      </w:r>
    </w:p>
    <w:p w:rsidR="00843BF9" w:rsidRPr="007A4860" w:rsidRDefault="00843BF9" w:rsidP="00AD7EC9">
      <w:pPr>
        <w:pStyle w:val="NormalHanging12a"/>
      </w:pPr>
      <w:r w:rsidRPr="007A4860">
        <w:t>–</w:t>
      </w:r>
      <w:r w:rsidRPr="007A4860">
        <w:tab/>
        <w:t xml:space="preserve">s ohledem na své usnesení ze dne 9. května 2023 o novém rámci EU pro městskou </w:t>
      </w:r>
      <w:r w:rsidRPr="007A4860">
        <w:lastRenderedPageBreak/>
        <w:t>mobilitu</w:t>
      </w:r>
      <w:r w:rsidRPr="007A4860">
        <w:rPr>
          <w:rStyle w:val="FootnoteReference"/>
          <w:color w:val="000000"/>
        </w:rPr>
        <w:footnoteReference w:id="4"/>
      </w:r>
      <w:r w:rsidRPr="007A4860">
        <w:t>,</w:t>
      </w:r>
    </w:p>
    <w:p w:rsidR="00843BF9" w:rsidRPr="007A4860" w:rsidRDefault="00843BF9" w:rsidP="00AD7EC9">
      <w:pPr>
        <w:pStyle w:val="NormalHanging12a"/>
      </w:pPr>
      <w:r w:rsidRPr="007A4860">
        <w:t>–</w:t>
      </w:r>
      <w:r w:rsidRPr="007A4860">
        <w:tab/>
        <w:t>s ohledem na své usnesení ze dne 13. června 2023 o velkých projektech dopravní infrastruktury v EU – provádění projektů a monitorování a kontrola finančních prostředků EU</w:t>
      </w:r>
      <w:r w:rsidRPr="007A4860">
        <w:rPr>
          <w:rStyle w:val="FootnoteReference"/>
          <w:color w:val="000000"/>
        </w:rPr>
        <w:footnoteReference w:id="5"/>
      </w:r>
      <w:r w:rsidRPr="007A4860">
        <w:t>,</w:t>
      </w:r>
    </w:p>
    <w:p w:rsidR="00843BF9" w:rsidRPr="007A4860" w:rsidRDefault="00843BF9" w:rsidP="00AD7EC9">
      <w:pPr>
        <w:pStyle w:val="NormalHanging12a"/>
      </w:pPr>
      <w:r w:rsidRPr="007A4860">
        <w:t>–</w:t>
      </w:r>
      <w:r w:rsidRPr="007A4860">
        <w:tab/>
        <w:t>s ohledem na návrh nařízení o hlavních směrech Unie pro rozvoj transevropské dopravní sítě, o změně nařízení (EU) 2021/1153 a nařízení (EU) č. 913/2010 a o zrušení nařízení (EU) č. 1315/2013 (</w:t>
      </w:r>
      <w:proofErr w:type="gramStart"/>
      <w:r w:rsidRPr="007A4860">
        <w:t>COM(2021</w:t>
      </w:r>
      <w:proofErr w:type="gramEnd"/>
      <w:r w:rsidRPr="007A4860">
        <w:t>)0812),</w:t>
      </w:r>
    </w:p>
    <w:p w:rsidR="00843BF9" w:rsidRPr="007A4860" w:rsidRDefault="00843BF9" w:rsidP="00165278">
      <w:pPr>
        <w:spacing w:after="240"/>
        <w:ind w:left="567" w:hanging="567"/>
      </w:pPr>
      <w:r w:rsidRPr="007A4860">
        <w:t>–</w:t>
      </w:r>
      <w:r w:rsidRPr="007A4860">
        <w:tab/>
        <w:t>s ohledem na čl. 227 odst. 2 jednacího řádu,</w:t>
      </w:r>
    </w:p>
    <w:p w:rsidR="00843BF9" w:rsidRPr="007A4860" w:rsidRDefault="00843BF9" w:rsidP="00AD7EC9">
      <w:pPr>
        <w:pStyle w:val="NormalHanging12a"/>
      </w:pPr>
      <w:r w:rsidRPr="007A4860">
        <w:t>A.</w:t>
      </w:r>
      <w:r w:rsidRPr="007A4860">
        <w:tab/>
        <w:t>vzhledem k tomu, že na vnitřních hranicích EU, včetně hranic mezi členskými státy EU, které náleží do schengenského prostoru, a těmi, které se nachází mimo schengenský prostor, jsou denně zadržovány stovky nákladních vozidel, která se potýkají s extrémně dlouhými čekacími dobami a zpožděními v důsledku odbavení a kontrol; vzhledem k tomu, že současný evropský právní rámec výslovně neřeší ani neupravuje maximální dobu odbavení zboží na hranicích;</w:t>
      </w:r>
    </w:p>
    <w:p w:rsidR="00843BF9" w:rsidRPr="007A4860" w:rsidRDefault="00843BF9" w:rsidP="00AD7EC9">
      <w:pPr>
        <w:pStyle w:val="NormalHanging12a"/>
      </w:pPr>
      <w:r w:rsidRPr="007A4860">
        <w:t>B.</w:t>
      </w:r>
      <w:r w:rsidRPr="007A4860">
        <w:tab/>
        <w:t>vzhledem k tomu, že příčiny těchto front a zpoždění na hranicích členských států lze přičíst mnoha administrativním, provozním, bezpečnostním a technickým faktorům nebo faktorům interoperability, jako jsou nedostatečná provozní a technická kapacita, nedostatek personálu, kontrolních stanovišť, mostních vah pro nákladní vozidla, koncentrace mnoha institucionálních orgánů na hranicích a zdlouhavé kontroly nákladu; vzhledem k tomu, že článek 22 Schengenského hraničního kodexu</w:t>
      </w:r>
      <w:r w:rsidRPr="007A4860">
        <w:rPr>
          <w:rStyle w:val="FootnoteReference"/>
          <w:color w:val="000000"/>
        </w:rPr>
        <w:footnoteReference w:id="6"/>
      </w:r>
      <w:r w:rsidRPr="007A4860">
        <w:t xml:space="preserve"> zakotvuje zásadu zrušení kontrol na vnitřních hranicích mezi zeměmi schengenského prostoru v souladu se zásadou volného pohybu stanovenou v čl. 26 odst. 2 S</w:t>
      </w:r>
      <w:r w:rsidR="00AD7EC9">
        <w:t xml:space="preserve">mlouvy o fungování </w:t>
      </w:r>
      <w:r w:rsidRPr="007A4860">
        <w:t>EU, přičemž článek 24 výslovně stanoví, že členské státy odstraní veškeré překážky bránící plynulému provozu přes silniční hraniční přechody na vnitřních hranicích;</w:t>
      </w:r>
    </w:p>
    <w:p w:rsidR="00843BF9" w:rsidRPr="007A4860" w:rsidRDefault="00843BF9" w:rsidP="00AD7EC9">
      <w:pPr>
        <w:pStyle w:val="NormalHanging12a"/>
      </w:pPr>
      <w:r w:rsidRPr="007A4860">
        <w:t>C.</w:t>
      </w:r>
      <w:r w:rsidRPr="007A4860">
        <w:tab/>
        <w:t>vzhledem k tomu, že hromadění těžkých nákladních vozidel registrovaných v EU na hranicích může mít nepříznivý dopad na zdraví a pracovní podmínky řidičů, bezpečnost silničního provozu a fungování dopravních podniků, jakož i negativní dopad na hospodářskou soutěž a fungování jednotného trhu EU a zvýšení nákladů silničních dopravců;</w:t>
      </w:r>
    </w:p>
    <w:p w:rsidR="00843BF9" w:rsidRPr="007A4860" w:rsidRDefault="00843BF9" w:rsidP="00AD7EC9">
      <w:pPr>
        <w:pStyle w:val="NormalHanging12a"/>
      </w:pPr>
      <w:r w:rsidRPr="007A4860">
        <w:t>D.</w:t>
      </w:r>
      <w:r w:rsidRPr="007A4860">
        <w:tab/>
        <w:t>vzhledem k tomu, že Bulharsko a Rumunsko stále čekají na rozhodnutí Rady o datu zrušení kontrol na vnitřních pozemních hranicích, vzhledem k tomu, že zrušení kontrol na vnitřních pozemních hranicích by mělo pozitivní dopad na účast Rumunska a Bulharska na jednotném trhu EU a odstranilo by překážky mobility, které způsobují zpoždění podnikatelských činností v důsledku narušení harmonogramů dodávek zboží;</w:t>
      </w:r>
    </w:p>
    <w:p w:rsidR="00843BF9" w:rsidRPr="007A4860" w:rsidRDefault="00843BF9" w:rsidP="00AD7EC9">
      <w:pPr>
        <w:pStyle w:val="NormalHanging12a"/>
      </w:pPr>
      <w:r w:rsidRPr="007A4860">
        <w:t>E.</w:t>
      </w:r>
      <w:r w:rsidRPr="007A4860">
        <w:tab/>
        <w:t xml:space="preserve">vzhledem k tomu, že zpoždění nákladních vozidel na hranicích způsobuje evropským podnikům, zejména v odvětví logistiky, cestovního ruchu a pohostinství, ztráty ve výši stovek milionů eur; vzhledem k tomu, že rizika těchto omezení při překračování hranic se projevila zejména během pandemie COVID-19; vzhledem k tomu, že zachování </w:t>
      </w:r>
      <w:r w:rsidRPr="007A4860">
        <w:lastRenderedPageBreak/>
        <w:t>současného stavu značně oslabuje odolnost EU vůči dalším možným mimořádným situacím v oblasti veřejného zdraví;</w:t>
      </w:r>
    </w:p>
    <w:p w:rsidR="00843BF9" w:rsidRPr="007A4860" w:rsidRDefault="00843BF9" w:rsidP="00AD7EC9">
      <w:pPr>
        <w:pStyle w:val="NormalHanging12a"/>
      </w:pPr>
      <w:r w:rsidRPr="007A4860">
        <w:t>F.</w:t>
      </w:r>
      <w:r w:rsidRPr="007A4860">
        <w:tab/>
        <w:t>vzhledem k tomu, že délka front nákladních vozidel na vnějších hranicích EU se zeměmi západního Balkánu je obzvláště znepokojující;</w:t>
      </w:r>
    </w:p>
    <w:p w:rsidR="00843BF9" w:rsidRPr="007A4860" w:rsidRDefault="00843BF9" w:rsidP="00AD7EC9">
      <w:pPr>
        <w:pStyle w:val="NormalHanging12a"/>
      </w:pPr>
      <w:r w:rsidRPr="007A4860">
        <w:t>G.</w:t>
      </w:r>
      <w:r w:rsidRPr="007A4860">
        <w:tab/>
        <w:t>vzhledem k tomu, že tyto události vážně ohrožují zdraví a bezpečnost profesionálních řidičů, zhoršují jejich pracovní podmínky a kvalitu pracovních míst v tomto povolání a navíc přispívají k celosvětovému nedostatku řidičů nákladních vozidel; vzhledem k tomu, že řidiči nákladních vozidel ve všech členských státech EU často trpí různými formami chronické bolesti, jako jsou bolesti dolní části zad, kolen a ramen; vzhledem k tomu, že časté a svévolné požadavky na vykládání a překládání nákladu s sebou nesou další významná zdravotní rizika, která často vedou ke zraněním, protože řidiči nákladních vozidel často nemusí mít dostatečnou fyzickou sílu ani vhodné vybavení pro zvedání těžkých břemen; vzhledem k tomu, že zaměstnavatelé nahodile ukládají tuto povinnost a odpovědnost řidičům nákladních vozidel bez další odměny;</w:t>
      </w:r>
    </w:p>
    <w:p w:rsidR="00843BF9" w:rsidRPr="007A4860" w:rsidRDefault="00843BF9" w:rsidP="00AD7EC9">
      <w:pPr>
        <w:pStyle w:val="NormalHanging12a"/>
      </w:pPr>
      <w:r w:rsidRPr="007A4860">
        <w:t>H.</w:t>
      </w:r>
      <w:r w:rsidRPr="007A4860">
        <w:tab/>
        <w:t>vzhledem k tomu, že fronty nákladních vozidel čekajících na hranicích mají přímý vliv na zdraví evropských občanů, negativně ovlivňují kvalitu ovzduší a způsobují znečištění vody a hlukové znečištění, což má rovněž negativní vliv na lokality sítě Natura 2000; vzhledem k tomu, že například sdělení Komise ze dne 16. května 2023 zdůraznilo, že v důsledku přetrvávajících kontrol na vnitřních hranicích Rumunska a Bulharska se ročně vypustí 46 000 tun CO</w:t>
      </w:r>
      <w:r w:rsidRPr="007A4860">
        <w:rPr>
          <w:vertAlign w:val="subscript"/>
        </w:rPr>
        <w:t>2</w:t>
      </w:r>
      <w:r w:rsidRPr="007A4860">
        <w:t>;</w:t>
      </w:r>
    </w:p>
    <w:p w:rsidR="00843BF9" w:rsidRPr="007A4860" w:rsidRDefault="00843BF9" w:rsidP="00AD7EC9">
      <w:pPr>
        <w:pStyle w:val="NormalHanging12a"/>
      </w:pPr>
      <w:r w:rsidRPr="007A4860">
        <w:t>I.</w:t>
      </w:r>
      <w:r w:rsidRPr="007A4860">
        <w:tab/>
        <w:t>vzhledem k tomu, že přetížení nákladními vozidly rovněž poškozuje kvalitu stávající infrastruktury a zároveň snižuje bezpečnost silničního provozu a zvyšuje riziko dopravních nehod;</w:t>
      </w:r>
    </w:p>
    <w:p w:rsidR="00843BF9" w:rsidRPr="007A4860" w:rsidRDefault="00843BF9" w:rsidP="00AD7EC9">
      <w:pPr>
        <w:pStyle w:val="NormalHanging12a"/>
      </w:pPr>
      <w:r w:rsidRPr="007A4860">
        <w:t>J.</w:t>
      </w:r>
      <w:r w:rsidRPr="007A4860">
        <w:tab/>
        <w:t>vzhledem k tomu, že je třeba zvýšení veřejného a soukromého financování bezpečných a chráněných parkovišť pro nákladní automobily, aby se umožnilo řidičům využívat přestávky při plném zachování bezpečnosti; vzhledem k tomu, že posílení bezpečnostních nástrojů, například vytvořením specializovaných mobilních aplikací, by snížilo riziko, že se řidiči nákladních vozidel stanou obětí trestného činu;</w:t>
      </w:r>
    </w:p>
    <w:p w:rsidR="00843BF9" w:rsidRPr="007A4860" w:rsidRDefault="00843BF9" w:rsidP="00AD7EC9">
      <w:pPr>
        <w:pStyle w:val="NormalHanging12a"/>
      </w:pPr>
      <w:r w:rsidRPr="007A4860">
        <w:t>1.</w:t>
      </w:r>
      <w:r w:rsidRPr="007A4860">
        <w:tab/>
        <w:t>vyzývá Parlament, Radu a Komisi, aby se při vytváření klíčových politik EU, jako je transevropská dopravní síť, zaměřily na konkrétní opatření k zajištění hladkého a účinného překračování hranic pro nákladní dopravu;</w:t>
      </w:r>
    </w:p>
    <w:p w:rsidR="00843BF9" w:rsidRPr="007A4860" w:rsidRDefault="00843BF9" w:rsidP="00AD7EC9">
      <w:pPr>
        <w:pStyle w:val="NormalHanging12a"/>
      </w:pPr>
      <w:r w:rsidRPr="007A4860">
        <w:t>2.</w:t>
      </w:r>
      <w:r w:rsidRPr="007A4860">
        <w:tab/>
        <w:t xml:space="preserve">vyzývá Komisi, aby v návaznosti na posouzení dopadů témat popsaných v tomto návrhu usnesení navrhla okamžitá a závazná legislativní opatření, která by vytvořila celoevropskou normu pro průměrnou dobu odbavení těžkých nákladních vozidel na hraničních přechodech uvnitř EU v délce jedné minuty, aby byla zaručena plynulost na vnitřních hranicích </w:t>
      </w:r>
      <w:proofErr w:type="spellStart"/>
      <w:r w:rsidRPr="007A4860">
        <w:t>Schengenu</w:t>
      </w:r>
      <w:proofErr w:type="spellEnd"/>
      <w:r w:rsidRPr="007A4860">
        <w:t xml:space="preserve"> i hranicích mimo schengenský prostor a umožněn rychlý a účinný pohyb zboží a služeb; zdůrazňuje, že takové opatření by výrazně zlepšilo konkurenceschopnost odvětví silniční dopravy a zajistilo jeho hladké fungování na jednotném trhu; zdůrazňuje, že přetrvávající kontroly na pozemních hranicích poškozují ekonomické zájmy všech členských států;</w:t>
      </w:r>
    </w:p>
    <w:p w:rsidR="00843BF9" w:rsidRPr="007A4860" w:rsidRDefault="00843BF9" w:rsidP="00AD7EC9">
      <w:pPr>
        <w:pStyle w:val="NormalHanging12a"/>
      </w:pPr>
      <w:r w:rsidRPr="007A4860">
        <w:t>3.</w:t>
      </w:r>
      <w:r w:rsidRPr="007A4860">
        <w:tab/>
        <w:t xml:space="preserve">zdůrazňuje, že Komise od roku 2011 opakuje, že Rumunsko i Bulharsko splnily všechna formální kritéria pro vstup do schengenského prostoru; zdůrazňuje, že rozhodnutí Rady ze dne 30. prosince 2023 o zrušení kontrol na vzdušných a námořních </w:t>
      </w:r>
      <w:r w:rsidRPr="007A4860">
        <w:lastRenderedPageBreak/>
        <w:t xml:space="preserve">hranicích Rumunska a Bulharska řeší otázku současného narušení jednotného trhu pouze částečně; zdůrazňuje, že toto rozhodnutí neřeší největší a nejpalčivější problém, a to pozemní hraniční přechody, kde na pozemní hranici schengenského prostoru zůstávají kontroly, které brání bezproblémovému přejezdu nákladních vozidel, autobusů, osobních automobilů a vlaků; znovu opakuje svůj dlouhodobý postoj podporující plné uplatňování schengenského </w:t>
      </w:r>
      <w:proofErr w:type="spellStart"/>
      <w:r w:rsidRPr="007A4860">
        <w:rPr>
          <w:i/>
        </w:rPr>
        <w:t>acquis</w:t>
      </w:r>
      <w:proofErr w:type="spellEnd"/>
      <w:r w:rsidRPr="007A4860">
        <w:t xml:space="preserve"> na Bulharsko a Rumunsko; naléhavě vyzývá belgické předsednictví a všechny členy Rady, aby co nejdříve, nejpozději do poloviny roku 2024, přijali rozhodnutí o plném uplatňování schengenského </w:t>
      </w:r>
      <w:proofErr w:type="spellStart"/>
      <w:r w:rsidRPr="007A4860">
        <w:rPr>
          <w:i/>
        </w:rPr>
        <w:t>acquis</w:t>
      </w:r>
      <w:proofErr w:type="spellEnd"/>
      <w:r w:rsidRPr="007A4860">
        <w:t xml:space="preserve"> v Rumunsku a Bulharsku;</w:t>
      </w:r>
    </w:p>
    <w:p w:rsidR="00843BF9" w:rsidRPr="007A4860" w:rsidRDefault="00843BF9" w:rsidP="00AD7EC9">
      <w:pPr>
        <w:pStyle w:val="NormalHanging12a"/>
      </w:pPr>
      <w:r w:rsidRPr="007A4860">
        <w:t>4.</w:t>
      </w:r>
      <w:r w:rsidRPr="007A4860">
        <w:tab/>
        <w:t>žádá proto, aby Komise zaručila dodržování a kontrolu uplatňování přijatých opatření, a to i prostřednictvím ukládání sankcí; zdůrazňuje potřebu odpovídajícího a dostatečného financování a technické podpory ze strany EU;</w:t>
      </w:r>
    </w:p>
    <w:p w:rsidR="00843BF9" w:rsidRPr="007A4860" w:rsidRDefault="00843BF9" w:rsidP="00AD7EC9">
      <w:pPr>
        <w:pStyle w:val="NormalHanging12a"/>
      </w:pPr>
      <w:r w:rsidRPr="007A4860">
        <w:t>5.</w:t>
      </w:r>
      <w:r w:rsidRPr="007A4860">
        <w:tab/>
        <w:t>vyzývá Komisi a členské státy, aby právní předpisy EU umožnily řidičům nákladních vozidel využívat menší hraniční přechody, když jsou hlavní dopravní tepny uzavřeny kvůli údržbě silnic, aby řidiči nebyli závislí na svévolných opatřeních jednotlivých zemí, neboť se jedná o záležitost obecného zájmu EU;</w:t>
      </w:r>
    </w:p>
    <w:p w:rsidR="00843BF9" w:rsidRPr="007A4860" w:rsidRDefault="00843BF9" w:rsidP="00AD7EC9">
      <w:pPr>
        <w:pStyle w:val="NormalHanging12a"/>
      </w:pPr>
      <w:r w:rsidRPr="007A4860">
        <w:t>6.</w:t>
      </w:r>
      <w:r w:rsidRPr="007A4860">
        <w:tab/>
        <w:t>vyzývá Komisi, aby ve spolupráci s členskými státy a příslušnými zúčastněnými stranami navrhla konkrétní opatření k řešení nedostatku profesionálních řidičů v EU tím, že podnítí zájem mladých lidí financováním zvláštní odborné přípravy a kvalifikace a změny kvalifikace a podpoří partnerství mezi odbornými školami a dopravními společnostmi, a to i s využitím zvláštní podpory z rozpočtu EU;</w:t>
      </w:r>
    </w:p>
    <w:p w:rsidR="00843BF9" w:rsidRPr="007A4860" w:rsidRDefault="00843BF9" w:rsidP="00AD7EC9">
      <w:pPr>
        <w:pStyle w:val="NormalHanging12a"/>
      </w:pPr>
      <w:r w:rsidRPr="007A4860">
        <w:t>7.</w:t>
      </w:r>
      <w:r w:rsidRPr="007A4860">
        <w:tab/>
        <w:t>vyzývá členské státy, aby dále zintenzivnily své úsilí o posílení přeshraniční spolupráce v oblasti boje proti krádežím z nákladních vozidel;</w:t>
      </w:r>
    </w:p>
    <w:p w:rsidR="00843BF9" w:rsidRPr="007A4860" w:rsidRDefault="00843BF9" w:rsidP="00AD7EC9">
      <w:pPr>
        <w:pStyle w:val="NormalHanging12a"/>
      </w:pPr>
      <w:r w:rsidRPr="007A4860">
        <w:t>8.</w:t>
      </w:r>
      <w:r w:rsidRPr="007A4860">
        <w:tab/>
        <w:t>pověřuje svou předsedkyni, aby předala toto usnesení Komisi, Radě a příslušným vnitrostátním orgánům.</w:t>
      </w:r>
    </w:p>
    <w:sectPr w:rsidR="00843BF9" w:rsidRPr="007A4860" w:rsidSect="007A486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59A8" w:rsidRPr="007A4860" w:rsidRDefault="00FB59A8">
      <w:r w:rsidRPr="007A4860">
        <w:separator/>
      </w:r>
    </w:p>
  </w:endnote>
  <w:endnote w:type="continuationSeparator" w:id="0">
    <w:p w:rsidR="00FB59A8" w:rsidRPr="007A4860" w:rsidRDefault="00FB59A8">
      <w:r w:rsidRPr="007A48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486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486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486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59A8" w:rsidRPr="007A4860" w:rsidRDefault="00FB59A8">
      <w:r w:rsidRPr="007A4860">
        <w:separator/>
      </w:r>
    </w:p>
  </w:footnote>
  <w:footnote w:type="continuationSeparator" w:id="0">
    <w:p w:rsidR="00FB59A8" w:rsidRPr="007A4860" w:rsidRDefault="00FB59A8">
      <w:r w:rsidRPr="007A4860">
        <w:continuationSeparator/>
      </w:r>
    </w:p>
  </w:footnote>
  <w:footnote w:id="1">
    <w:p w:rsidR="00843BF9" w:rsidRPr="007A4860" w:rsidRDefault="00843BF9" w:rsidP="007A4860">
      <w:pPr>
        <w:pStyle w:val="FootnoteText"/>
        <w:ind w:left="567" w:hanging="567"/>
        <w:rPr>
          <w:sz w:val="24"/>
          <w:lang w:val="cs-CZ"/>
        </w:rPr>
      </w:pPr>
      <w:r w:rsidRPr="007A4860">
        <w:rPr>
          <w:rStyle w:val="FootnoteReference"/>
          <w:sz w:val="24"/>
          <w:lang w:val="cs-CZ"/>
        </w:rPr>
        <w:footnoteRef/>
      </w:r>
      <w:r w:rsidR="007A4860" w:rsidRPr="007A4860">
        <w:rPr>
          <w:sz w:val="24"/>
          <w:lang w:val="cs-CZ"/>
        </w:rPr>
        <w:t xml:space="preserve"> </w:t>
      </w:r>
      <w:r w:rsidR="007A4860" w:rsidRPr="007A4860">
        <w:rPr>
          <w:sz w:val="24"/>
          <w:lang w:val="cs-CZ"/>
        </w:rPr>
        <w:tab/>
      </w:r>
      <w:proofErr w:type="spellStart"/>
      <w:r w:rsidRPr="007A4860">
        <w:rPr>
          <w:sz w:val="24"/>
          <w:lang w:val="cs-CZ"/>
        </w:rPr>
        <w:t>Úř</w:t>
      </w:r>
      <w:proofErr w:type="spellEnd"/>
      <w:r w:rsidRPr="007A4860">
        <w:rPr>
          <w:sz w:val="24"/>
          <w:lang w:val="cs-CZ"/>
        </w:rPr>
        <w:t xml:space="preserve">. </w:t>
      </w:r>
      <w:proofErr w:type="spellStart"/>
      <w:proofErr w:type="gramStart"/>
      <w:r w:rsidRPr="007A4860">
        <w:rPr>
          <w:sz w:val="24"/>
          <w:lang w:val="cs-CZ"/>
        </w:rPr>
        <w:t>věst</w:t>
      </w:r>
      <w:proofErr w:type="spellEnd"/>
      <w:proofErr w:type="gramEnd"/>
      <w:r w:rsidRPr="007A4860">
        <w:rPr>
          <w:sz w:val="24"/>
          <w:lang w:val="cs-CZ"/>
        </w:rPr>
        <w:t xml:space="preserve">. C 149, </w:t>
      </w:r>
      <w:proofErr w:type="gramStart"/>
      <w:r w:rsidRPr="007A4860">
        <w:rPr>
          <w:sz w:val="24"/>
          <w:lang w:val="cs-CZ"/>
        </w:rPr>
        <w:t>28.4.2023</w:t>
      </w:r>
      <w:proofErr w:type="gramEnd"/>
      <w:r w:rsidRPr="007A4860">
        <w:rPr>
          <w:sz w:val="24"/>
          <w:lang w:val="cs-CZ"/>
        </w:rPr>
        <w:t>, s. 11.</w:t>
      </w:r>
    </w:p>
  </w:footnote>
  <w:footnote w:id="2">
    <w:p w:rsidR="00843BF9" w:rsidRPr="007A4860" w:rsidRDefault="00843BF9" w:rsidP="007A4860">
      <w:pPr>
        <w:pStyle w:val="FootnoteText"/>
        <w:ind w:left="567" w:hanging="567"/>
        <w:rPr>
          <w:sz w:val="24"/>
          <w:lang w:val="cs-CZ"/>
        </w:rPr>
      </w:pPr>
      <w:r w:rsidRPr="007A4860">
        <w:rPr>
          <w:rStyle w:val="FootnoteReference"/>
          <w:sz w:val="24"/>
          <w:lang w:val="cs-CZ"/>
        </w:rPr>
        <w:footnoteRef/>
      </w:r>
      <w:r w:rsidR="007A4860" w:rsidRPr="007A4860">
        <w:rPr>
          <w:sz w:val="24"/>
          <w:lang w:val="cs-CZ"/>
        </w:rPr>
        <w:t xml:space="preserve"> </w:t>
      </w:r>
      <w:r w:rsidR="007A4860" w:rsidRPr="007A4860">
        <w:rPr>
          <w:sz w:val="24"/>
          <w:lang w:val="cs-CZ"/>
        </w:rPr>
        <w:tab/>
      </w:r>
      <w:r w:rsidRPr="007A4860">
        <w:rPr>
          <w:sz w:val="24"/>
          <w:lang w:val="cs-CZ"/>
        </w:rPr>
        <w:t>Přijaté texty, P9_TA(2023)0278.</w:t>
      </w:r>
    </w:p>
  </w:footnote>
  <w:footnote w:id="3">
    <w:p w:rsidR="00843BF9" w:rsidRPr="007A4860" w:rsidRDefault="00843BF9" w:rsidP="007A4860">
      <w:pPr>
        <w:pStyle w:val="FootnoteText"/>
        <w:ind w:left="567" w:hanging="567"/>
        <w:rPr>
          <w:sz w:val="24"/>
          <w:lang w:val="cs-CZ"/>
        </w:rPr>
      </w:pPr>
      <w:r w:rsidRPr="007A4860">
        <w:rPr>
          <w:rStyle w:val="FootnoteReference"/>
          <w:sz w:val="24"/>
          <w:lang w:val="cs-CZ"/>
        </w:rPr>
        <w:footnoteRef/>
      </w:r>
      <w:r w:rsidR="007A4860" w:rsidRPr="007A4860">
        <w:rPr>
          <w:sz w:val="24"/>
          <w:lang w:val="cs-CZ"/>
        </w:rPr>
        <w:t xml:space="preserve"> </w:t>
      </w:r>
      <w:r w:rsidR="007A4860" w:rsidRPr="007A4860">
        <w:rPr>
          <w:sz w:val="24"/>
          <w:lang w:val="cs-CZ"/>
        </w:rPr>
        <w:tab/>
      </w:r>
      <w:proofErr w:type="spellStart"/>
      <w:r w:rsidR="00396AAA">
        <w:rPr>
          <w:sz w:val="24"/>
          <w:lang w:val="cs-CZ"/>
        </w:rPr>
        <w:t>Úř</w:t>
      </w:r>
      <w:proofErr w:type="spellEnd"/>
      <w:r w:rsidR="00396AAA">
        <w:rPr>
          <w:sz w:val="24"/>
          <w:lang w:val="cs-CZ"/>
        </w:rPr>
        <w:t xml:space="preserve">. </w:t>
      </w:r>
      <w:proofErr w:type="spellStart"/>
      <w:proofErr w:type="gramStart"/>
      <w:r w:rsidR="00396AAA">
        <w:rPr>
          <w:sz w:val="24"/>
          <w:lang w:val="cs-CZ"/>
        </w:rPr>
        <w:t>věst</w:t>
      </w:r>
      <w:proofErr w:type="spellEnd"/>
      <w:proofErr w:type="gramEnd"/>
      <w:r w:rsidR="00396AAA">
        <w:rPr>
          <w:sz w:val="24"/>
          <w:lang w:val="cs-CZ"/>
        </w:rPr>
        <w:t>. C</w:t>
      </w:r>
      <w:bookmarkStart w:id="7" w:name="_GoBack"/>
      <w:bookmarkEnd w:id="7"/>
      <w:r w:rsidRPr="007A4860">
        <w:rPr>
          <w:sz w:val="24"/>
          <w:lang w:val="cs-CZ"/>
        </w:rPr>
        <w:t xml:space="preserve"> 224, </w:t>
      </w:r>
      <w:proofErr w:type="gramStart"/>
      <w:r w:rsidRPr="007A4860">
        <w:rPr>
          <w:sz w:val="24"/>
          <w:lang w:val="cs-CZ"/>
        </w:rPr>
        <w:t>8.6.2022</w:t>
      </w:r>
      <w:proofErr w:type="gramEnd"/>
      <w:r w:rsidRPr="007A4860">
        <w:rPr>
          <w:sz w:val="24"/>
          <w:lang w:val="cs-CZ"/>
        </w:rPr>
        <w:t>, s. 95.</w:t>
      </w:r>
    </w:p>
  </w:footnote>
  <w:footnote w:id="4">
    <w:p w:rsidR="00843BF9" w:rsidRPr="007A4860" w:rsidRDefault="00843BF9" w:rsidP="007A4860">
      <w:pPr>
        <w:pStyle w:val="FootnoteText"/>
        <w:ind w:left="567" w:hanging="567"/>
        <w:rPr>
          <w:sz w:val="24"/>
          <w:lang w:val="cs-CZ"/>
        </w:rPr>
      </w:pPr>
      <w:r w:rsidRPr="007A4860">
        <w:rPr>
          <w:rStyle w:val="FootnoteReference"/>
          <w:sz w:val="24"/>
          <w:lang w:val="cs-CZ"/>
        </w:rPr>
        <w:footnoteRef/>
      </w:r>
      <w:r w:rsidR="007A4860" w:rsidRPr="007A4860">
        <w:rPr>
          <w:sz w:val="24"/>
          <w:lang w:val="cs-CZ"/>
        </w:rPr>
        <w:t xml:space="preserve"> </w:t>
      </w:r>
      <w:r w:rsidR="007A4860" w:rsidRPr="007A4860">
        <w:rPr>
          <w:sz w:val="24"/>
          <w:lang w:val="cs-CZ"/>
        </w:rPr>
        <w:tab/>
      </w:r>
      <w:proofErr w:type="spellStart"/>
      <w:r w:rsidRPr="007A4860">
        <w:rPr>
          <w:sz w:val="24"/>
          <w:lang w:val="cs-CZ"/>
        </w:rPr>
        <w:t>Úř</w:t>
      </w:r>
      <w:proofErr w:type="spellEnd"/>
      <w:r w:rsidRPr="007A4860">
        <w:rPr>
          <w:sz w:val="24"/>
          <w:lang w:val="cs-CZ"/>
        </w:rPr>
        <w:t xml:space="preserve">. </w:t>
      </w:r>
      <w:proofErr w:type="spellStart"/>
      <w:proofErr w:type="gramStart"/>
      <w:r w:rsidRPr="007A4860">
        <w:rPr>
          <w:sz w:val="24"/>
          <w:lang w:val="cs-CZ"/>
        </w:rPr>
        <w:t>věst</w:t>
      </w:r>
      <w:proofErr w:type="spellEnd"/>
      <w:proofErr w:type="gramEnd"/>
      <w:r w:rsidRPr="007A4860">
        <w:rPr>
          <w:sz w:val="24"/>
          <w:lang w:val="cs-CZ"/>
        </w:rPr>
        <w:t xml:space="preserve">. C, C/2023/1058, </w:t>
      </w:r>
      <w:proofErr w:type="gramStart"/>
      <w:r w:rsidRPr="007A4860">
        <w:rPr>
          <w:sz w:val="24"/>
          <w:lang w:val="cs-CZ"/>
        </w:rPr>
        <w:t>15.12.2023</w:t>
      </w:r>
      <w:proofErr w:type="gramEnd"/>
      <w:r w:rsidRPr="007A4860">
        <w:rPr>
          <w:sz w:val="24"/>
          <w:lang w:val="cs-CZ"/>
        </w:rPr>
        <w:t xml:space="preserve">, ELI: </w:t>
      </w:r>
      <w:hyperlink r:id="rId1" w:history="1">
        <w:r w:rsidRPr="00DB0F68">
          <w:rPr>
            <w:rStyle w:val="Hyperlink"/>
            <w:sz w:val="24"/>
            <w:lang w:val="cs-CZ"/>
          </w:rPr>
          <w:t>http://data.europa.eu/eli/C/2023/1058/oj</w:t>
        </w:r>
      </w:hyperlink>
      <w:r w:rsidRPr="007A4860">
        <w:rPr>
          <w:sz w:val="24"/>
          <w:lang w:val="cs-CZ"/>
        </w:rPr>
        <w:t>.</w:t>
      </w:r>
    </w:p>
  </w:footnote>
  <w:footnote w:id="5">
    <w:p w:rsidR="00843BF9" w:rsidRPr="007A4860" w:rsidRDefault="00843BF9" w:rsidP="007A4860">
      <w:pPr>
        <w:pStyle w:val="FootnoteText"/>
        <w:ind w:left="567" w:hanging="567"/>
        <w:rPr>
          <w:sz w:val="24"/>
          <w:lang w:val="cs-CZ"/>
        </w:rPr>
      </w:pPr>
      <w:r w:rsidRPr="007A4860">
        <w:rPr>
          <w:rStyle w:val="FootnoteReference"/>
          <w:sz w:val="24"/>
          <w:lang w:val="cs-CZ"/>
        </w:rPr>
        <w:footnoteRef/>
      </w:r>
      <w:r w:rsidR="007A4860" w:rsidRPr="007A4860">
        <w:rPr>
          <w:sz w:val="24"/>
          <w:lang w:val="cs-CZ"/>
        </w:rPr>
        <w:t xml:space="preserve"> </w:t>
      </w:r>
      <w:r w:rsidR="007A4860" w:rsidRPr="007A4860">
        <w:rPr>
          <w:sz w:val="24"/>
          <w:lang w:val="cs-CZ"/>
        </w:rPr>
        <w:tab/>
      </w:r>
      <w:proofErr w:type="spellStart"/>
      <w:r w:rsidRPr="007A4860">
        <w:rPr>
          <w:sz w:val="24"/>
          <w:lang w:val="cs-CZ"/>
        </w:rPr>
        <w:t>Úř</w:t>
      </w:r>
      <w:proofErr w:type="spellEnd"/>
      <w:r w:rsidRPr="007A4860">
        <w:rPr>
          <w:sz w:val="24"/>
          <w:lang w:val="cs-CZ"/>
        </w:rPr>
        <w:t xml:space="preserve">. </w:t>
      </w:r>
      <w:proofErr w:type="spellStart"/>
      <w:proofErr w:type="gramStart"/>
      <w:r w:rsidRPr="007A4860">
        <w:rPr>
          <w:sz w:val="24"/>
          <w:lang w:val="cs-CZ"/>
        </w:rPr>
        <w:t>věst</w:t>
      </w:r>
      <w:proofErr w:type="spellEnd"/>
      <w:proofErr w:type="gramEnd"/>
      <w:r w:rsidRPr="007A4860">
        <w:rPr>
          <w:sz w:val="24"/>
          <w:lang w:val="cs-CZ"/>
        </w:rPr>
        <w:t xml:space="preserve">. C, C/2024/481, </w:t>
      </w:r>
      <w:proofErr w:type="gramStart"/>
      <w:r w:rsidRPr="007A4860">
        <w:rPr>
          <w:sz w:val="24"/>
          <w:lang w:val="cs-CZ"/>
        </w:rPr>
        <w:t>23.01.2024</w:t>
      </w:r>
      <w:proofErr w:type="gramEnd"/>
      <w:r w:rsidRPr="007A4860">
        <w:rPr>
          <w:sz w:val="24"/>
          <w:lang w:val="cs-CZ"/>
        </w:rPr>
        <w:t xml:space="preserve">, ELI: </w:t>
      </w:r>
      <w:hyperlink r:id="rId2" w:history="1">
        <w:r w:rsidRPr="00DB0F68">
          <w:rPr>
            <w:rStyle w:val="Hyperlink"/>
            <w:sz w:val="24"/>
            <w:lang w:val="cs-CZ"/>
          </w:rPr>
          <w:t>http://data.europa.eu/eli/C/2024/481/oj</w:t>
        </w:r>
      </w:hyperlink>
      <w:r w:rsidRPr="007A4860">
        <w:rPr>
          <w:sz w:val="24"/>
          <w:lang w:val="cs-CZ"/>
        </w:rPr>
        <w:t>.</w:t>
      </w:r>
    </w:p>
  </w:footnote>
  <w:footnote w:id="6">
    <w:p w:rsidR="00843BF9" w:rsidRPr="007A4860" w:rsidRDefault="00843BF9" w:rsidP="007A4860">
      <w:pPr>
        <w:pStyle w:val="FootnoteText"/>
        <w:ind w:left="567" w:hanging="567"/>
        <w:rPr>
          <w:sz w:val="24"/>
          <w:lang w:val="cs-CZ"/>
        </w:rPr>
      </w:pPr>
      <w:r w:rsidRPr="007A4860">
        <w:rPr>
          <w:rStyle w:val="FootnoteReference"/>
          <w:sz w:val="24"/>
          <w:lang w:val="cs-CZ"/>
        </w:rPr>
        <w:footnoteRef/>
      </w:r>
      <w:r w:rsidR="007A4860" w:rsidRPr="007A4860">
        <w:rPr>
          <w:sz w:val="24"/>
          <w:lang w:val="cs-CZ"/>
        </w:rPr>
        <w:t xml:space="preserve"> </w:t>
      </w:r>
      <w:r w:rsidR="007A4860" w:rsidRPr="007A4860">
        <w:rPr>
          <w:sz w:val="24"/>
          <w:lang w:val="cs-CZ"/>
        </w:rPr>
        <w:tab/>
      </w:r>
      <w:r w:rsidRPr="007A4860">
        <w:rPr>
          <w:sz w:val="24"/>
          <w:lang w:val="cs-CZ"/>
        </w:rPr>
        <w:t>Nařízení (EU) 2016/399 ze dne 9. března 2016, kterým se stanoví kodex Unie o pravidlech upravujících přeshraniční pohyb osob (Schengenský hraniční kodex) (</w:t>
      </w:r>
      <w:proofErr w:type="spellStart"/>
      <w:r w:rsidRPr="007A4860">
        <w:rPr>
          <w:sz w:val="24"/>
          <w:lang w:val="cs-CZ"/>
        </w:rPr>
        <w:t>Úř</w:t>
      </w:r>
      <w:proofErr w:type="spellEnd"/>
      <w:r w:rsidRPr="007A4860">
        <w:rPr>
          <w:sz w:val="24"/>
          <w:lang w:val="cs-CZ"/>
        </w:rPr>
        <w:t xml:space="preserve">. </w:t>
      </w:r>
      <w:proofErr w:type="spellStart"/>
      <w:proofErr w:type="gramStart"/>
      <w:r w:rsidRPr="007A4860">
        <w:rPr>
          <w:sz w:val="24"/>
          <w:lang w:val="cs-CZ"/>
        </w:rPr>
        <w:t>věst</w:t>
      </w:r>
      <w:proofErr w:type="spellEnd"/>
      <w:proofErr w:type="gramEnd"/>
      <w:r w:rsidRPr="007A4860">
        <w:rPr>
          <w:sz w:val="24"/>
          <w:lang w:val="cs-CZ"/>
        </w:rPr>
        <w:t xml:space="preserve">. L 77, </w:t>
      </w:r>
      <w:proofErr w:type="gramStart"/>
      <w:r w:rsidRPr="007A4860">
        <w:rPr>
          <w:sz w:val="24"/>
          <w:lang w:val="cs-CZ"/>
        </w:rPr>
        <w:t>23.3.2016</w:t>
      </w:r>
      <w:proofErr w:type="gramEnd"/>
      <w:r w:rsidRPr="007A4860">
        <w:rPr>
          <w:sz w:val="24"/>
          <w:lang w:val="cs-CZ"/>
        </w:rPr>
        <w:t>,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486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486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486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1/2024"/>
    <w:docVar w:name="dvlangue" w:val="CS"/>
    <w:docVar w:name="dvnumam" w:val="0"/>
    <w:docVar w:name="dvpe" w:val="758.769"/>
    <w:docVar w:name="dvtitre" w:val="Usnesení Evropského parlamentu ze dne 10. dubna 2024 o odbavování těžkých nákladních vozidel na hraničních přechodech na základě petice č. 0146/2023(2024/2540(RSP))"/>
  </w:docVars>
  <w:rsids>
    <w:rsidRoot w:val="00FB59A8"/>
    <w:rsid w:val="00002272"/>
    <w:rsid w:val="00064002"/>
    <w:rsid w:val="000677B9"/>
    <w:rsid w:val="000831BA"/>
    <w:rsid w:val="000A42CC"/>
    <w:rsid w:val="000E7DD9"/>
    <w:rsid w:val="0010095E"/>
    <w:rsid w:val="00125B37"/>
    <w:rsid w:val="00165278"/>
    <w:rsid w:val="00187494"/>
    <w:rsid w:val="001F32AE"/>
    <w:rsid w:val="002767FF"/>
    <w:rsid w:val="002B18FE"/>
    <w:rsid w:val="002B5493"/>
    <w:rsid w:val="00343214"/>
    <w:rsid w:val="00361C00"/>
    <w:rsid w:val="00395FA1"/>
    <w:rsid w:val="00396AA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A4860"/>
    <w:rsid w:val="007D1690"/>
    <w:rsid w:val="007E22AD"/>
    <w:rsid w:val="00817416"/>
    <w:rsid w:val="00842779"/>
    <w:rsid w:val="00843BF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7EC9"/>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33AC"/>
    <w:rsid w:val="00DA7FCD"/>
    <w:rsid w:val="00DB0F68"/>
    <w:rsid w:val="00E365E1"/>
    <w:rsid w:val="00E820A4"/>
    <w:rsid w:val="00EB006A"/>
    <w:rsid w:val="00EB4772"/>
    <w:rsid w:val="00ED169E"/>
    <w:rsid w:val="00ED4235"/>
    <w:rsid w:val="00F04346"/>
    <w:rsid w:val="00F075DC"/>
    <w:rsid w:val="00F149E9"/>
    <w:rsid w:val="00F5134D"/>
    <w:rsid w:val="00F74202"/>
    <w:rsid w:val="00F87713"/>
    <w:rsid w:val="00FB4360"/>
    <w:rsid w:val="00FB59A8"/>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CE01D3"/>
  <w15:chartTrackingRefBased/>
  <w15:docId w15:val="{12A2F420-68DE-4EA1-8876-A7BAE2ECC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43BF9"/>
    <w:pPr>
      <w:spacing w:before="480" w:after="240"/>
    </w:pPr>
  </w:style>
  <w:style w:type="paragraph" w:customStyle="1" w:styleId="NormalHanging12a">
    <w:name w:val="NormalHanging12a"/>
    <w:basedOn w:val="Normal"/>
    <w:uiPriority w:val="99"/>
    <w:rsid w:val="00843BF9"/>
    <w:pPr>
      <w:spacing w:after="240"/>
      <w:ind w:left="567" w:hanging="567"/>
    </w:pPr>
  </w:style>
  <w:style w:type="paragraph" w:styleId="BalloonText">
    <w:name w:val="Balloon Text"/>
    <w:basedOn w:val="Normal"/>
    <w:link w:val="BalloonTextChar"/>
    <w:rsid w:val="00DB0F68"/>
    <w:rPr>
      <w:rFonts w:ascii="Segoe UI" w:hAnsi="Segoe UI" w:cs="Segoe UI"/>
      <w:sz w:val="18"/>
      <w:szCs w:val="18"/>
    </w:rPr>
  </w:style>
  <w:style w:type="character" w:customStyle="1" w:styleId="BalloonTextChar">
    <w:name w:val="Balloon Text Char"/>
    <w:basedOn w:val="DefaultParagraphFont"/>
    <w:link w:val="BalloonText"/>
    <w:rsid w:val="00DB0F68"/>
    <w:rPr>
      <w:rFonts w:ascii="Segoe UI" w:hAnsi="Segoe UI" w:cs="Segoe UI"/>
      <w:sz w:val="18"/>
      <w:szCs w:val="18"/>
      <w:lang w:val="cs-CZ"/>
    </w:rPr>
  </w:style>
  <w:style w:type="character" w:styleId="Hyperlink">
    <w:name w:val="Hyperlink"/>
    <w:basedOn w:val="DefaultParagraphFont"/>
    <w:rsid w:val="00DB0F6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481/oj" TargetMode="External"/><Relationship Id="rId1" Type="http://schemas.openxmlformats.org/officeDocument/2006/relationships/hyperlink" Target="http://data.europa.eu/eli/C/2023/10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3021D5-F393-4426-B8E9-90160D307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1355</Words>
  <Characters>8188</Characters>
  <Application>Microsoft Office Word</Application>
  <DocSecurity>0</DocSecurity>
  <Lines>115</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SOCHOROVA Lenka</cp:lastModifiedBy>
  <cp:revision>2</cp:revision>
  <cp:lastPrinted>2004-11-19T15:42:00Z</cp:lastPrinted>
  <dcterms:created xsi:type="dcterms:W3CDTF">2024-06-04T14:14:00Z</dcterms:created>
  <dcterms:modified xsi:type="dcterms:W3CDTF">2024-06-04T14:14:00Z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B9-0201/2024</vt:lpwstr>
  </property>
  <property fmtid="{D5CDD505-2E9C-101B-9397-08002B2CF9AE}" pid="4" name="&lt;Type&gt;">
    <vt:lpwstr>RR</vt:lpwstr>
  </property>
</Properties>
</file>