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16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16FD" w:rsidRDefault="00544E7E" w:rsidP="00486247">
            <w:pPr>
              <w:pStyle w:val="EPName"/>
              <w:widowControl/>
            </w:pPr>
            <w:r w:rsidRPr="007716FD">
              <w:t>Euroopan parlamentti</w:t>
            </w:r>
          </w:p>
          <w:p w:rsidR="00751A4A" w:rsidRPr="007716FD" w:rsidRDefault="00817416" w:rsidP="00486247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7716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716FD" w:rsidRDefault="00187494" w:rsidP="00486247">
            <w:pPr>
              <w:pStyle w:val="EPLogo"/>
              <w:widowControl/>
            </w:pPr>
            <w:r w:rsidRPr="007716F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16FD" w:rsidRDefault="00D058B8" w:rsidP="00486247">
      <w:pPr>
        <w:pStyle w:val="LineTop"/>
        <w:widowControl/>
      </w:pPr>
    </w:p>
    <w:p w:rsidR="00680577" w:rsidRPr="007716FD" w:rsidRDefault="00544E7E" w:rsidP="00486247">
      <w:pPr>
        <w:pStyle w:val="EPBodyTA1"/>
        <w:widowControl/>
      </w:pPr>
      <w:r w:rsidRPr="007716FD">
        <w:t>HYVÄKSYTYT TEKSTIT</w:t>
      </w:r>
    </w:p>
    <w:p w:rsidR="00D058B8" w:rsidRPr="007716FD" w:rsidRDefault="00D058B8" w:rsidP="00486247">
      <w:pPr>
        <w:pStyle w:val="LineBottom"/>
        <w:widowControl/>
      </w:pPr>
    </w:p>
    <w:p w:rsidR="00544E7E" w:rsidRPr="007716FD" w:rsidRDefault="00544E7E" w:rsidP="00486247">
      <w:pPr>
        <w:pStyle w:val="ATHeading1"/>
      </w:pPr>
      <w:bookmarkStart w:id="0" w:name="TANumber"/>
      <w:r w:rsidRPr="007716FD">
        <w:t>P9_</w:t>
      </w:r>
      <w:proofErr w:type="gramStart"/>
      <w:r w:rsidRPr="007716FD">
        <w:t>TA(</w:t>
      </w:r>
      <w:proofErr w:type="gramEnd"/>
      <w:r w:rsidRPr="007716FD">
        <w:t>2024)0</w:t>
      </w:r>
      <w:r w:rsidR="001B7C68">
        <w:t>223</w:t>
      </w:r>
      <w:bookmarkEnd w:id="0"/>
    </w:p>
    <w:p w:rsidR="00544E7E" w:rsidRPr="007716FD" w:rsidRDefault="00544E7E" w:rsidP="00486247">
      <w:pPr>
        <w:pStyle w:val="ATHeading2"/>
      </w:pPr>
      <w:bookmarkStart w:id="1" w:name="title"/>
      <w:r w:rsidRPr="007716FD">
        <w:t>Raskaiden tavarankuljetusajoneuvojen käsittely rajanylityspaikoilla</w:t>
      </w:r>
      <w:bookmarkEnd w:id="1"/>
    </w:p>
    <w:p w:rsidR="00544E7E" w:rsidRPr="007716FD" w:rsidRDefault="00544E7E" w:rsidP="00486247">
      <w:pPr>
        <w:widowControl/>
        <w:rPr>
          <w:i/>
          <w:vanish/>
        </w:rPr>
      </w:pPr>
      <w:r w:rsidRPr="007716FD">
        <w:rPr>
          <w:i/>
        </w:rPr>
        <w:fldChar w:fldCharType="begin"/>
      </w:r>
      <w:r w:rsidRPr="007716FD">
        <w:rPr>
          <w:i/>
        </w:rPr>
        <w:instrText xml:space="preserve"> TC"(</w:instrText>
      </w:r>
      <w:bookmarkStart w:id="2" w:name="DocNumber"/>
      <w:r w:rsidRPr="007716FD">
        <w:rPr>
          <w:i/>
        </w:rPr>
        <w:instrText>B9-0201/2024</w:instrText>
      </w:r>
      <w:bookmarkEnd w:id="2"/>
      <w:r w:rsidRPr="007716FD">
        <w:rPr>
          <w:i/>
        </w:rPr>
        <w:instrText xml:space="preserve">)"\l3 \n&gt; \* MERGEFORMAT </w:instrText>
      </w:r>
      <w:r w:rsidRPr="007716FD">
        <w:rPr>
          <w:i/>
        </w:rPr>
        <w:fldChar w:fldCharType="end"/>
      </w:r>
    </w:p>
    <w:p w:rsidR="00544E7E" w:rsidRPr="007716FD" w:rsidRDefault="00544E7E" w:rsidP="00486247">
      <w:pPr>
        <w:widowControl/>
        <w:rPr>
          <w:vanish/>
        </w:rPr>
      </w:pPr>
      <w:bookmarkStart w:id="3" w:name="PE"/>
      <w:r w:rsidRPr="007716FD">
        <w:rPr>
          <w:vanish/>
        </w:rPr>
        <w:t>PE758.769</w:t>
      </w:r>
      <w:bookmarkEnd w:id="3"/>
    </w:p>
    <w:p w:rsidR="00544E7E" w:rsidRPr="007716FD" w:rsidRDefault="00544E7E" w:rsidP="00486247">
      <w:pPr>
        <w:pStyle w:val="ATHeading3"/>
      </w:pPr>
      <w:bookmarkStart w:id="4" w:name="Sujet"/>
      <w:r w:rsidRPr="007716FD">
        <w:t>Euroopan parlamentin päätöslauselma 10. huhtikuuta 2024 raskaiden tavarankuljetusajoneuvojen käsittelystä rajan</w:t>
      </w:r>
      <w:r w:rsidR="00486247">
        <w:t>ylityspaikoilla vetoomuksen nro </w:t>
      </w:r>
      <w:r w:rsidRPr="007716FD">
        <w:t>0146/2023 pohjalta</w:t>
      </w:r>
      <w:bookmarkEnd w:id="4"/>
      <w:r w:rsidRPr="007716FD">
        <w:t xml:space="preserve"> </w:t>
      </w:r>
      <w:bookmarkStart w:id="5" w:name="References"/>
      <w:r w:rsidRPr="007716FD">
        <w:t>(2024/2540(RSP))</w:t>
      </w:r>
      <w:bookmarkEnd w:id="5"/>
    </w:p>
    <w:p w:rsidR="00B81D56" w:rsidRPr="007716FD" w:rsidRDefault="00B81D56" w:rsidP="00486247">
      <w:pPr>
        <w:pStyle w:val="EPComma"/>
        <w:widowControl/>
      </w:pPr>
      <w:bookmarkStart w:id="6" w:name="TextBodyBegin"/>
      <w:bookmarkEnd w:id="6"/>
      <w:r w:rsidRPr="007716FD">
        <w:rPr>
          <w:i/>
        </w:rPr>
        <w:t>Euroopan parlamentti</w:t>
      </w:r>
      <w:r w:rsidRPr="007716FD">
        <w:t>, joka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Euroopan unionin toiminnasta tehdyn sopimuksen (SEUT) 26 artiklan, 28–37 artiklan ja 67 artiklan 1 ja 2 kohdan,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vetoomuksen nro 0146/2023 käsittelyn vetoomusvaliokunnan 29. marraskuuta 2023 pidetyssä kokouksessa,</w:t>
      </w:r>
    </w:p>
    <w:p w:rsidR="00B81D56" w:rsidRPr="007716FD" w:rsidRDefault="00B81D56" w:rsidP="00486247">
      <w:pPr>
        <w:pStyle w:val="NormalHanging12a"/>
        <w:widowControl/>
        <w:rPr>
          <w:bCs/>
          <w:szCs w:val="24"/>
          <w:shd w:val="clear" w:color="auto" w:fill="FFFFFF"/>
        </w:rPr>
      </w:pPr>
      <w:r w:rsidRPr="007716FD">
        <w:t>–</w:t>
      </w:r>
      <w:r w:rsidRPr="007716FD">
        <w:tab/>
        <w:t>ottaa huomioon vetoomusvaliokunnan yhdessä kansalaisvapauksien sekä oikeus- ja sisäasioiden valiokunnan kanssa 18. heinäkuuta 2023 järjestämän julkisen kuulemisen aiheesta ”Schengen-alueen rajat – vetoomuksen esittäjien esiin nostamat seikat”,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komission 16. marraskuuta 2022 antaman tiedonannon aiheesta ”Schengen-alueen vahvistaminen mahdollistamalla Bulgarian, Romanian ja Kroatian täysi osallistuminen sisärajatarkastuksista vapautettuun alueeseen” (</w:t>
      </w:r>
      <w:proofErr w:type="gramStart"/>
      <w:r w:rsidRPr="007716FD">
        <w:t>COM(</w:t>
      </w:r>
      <w:proofErr w:type="gramEnd"/>
      <w:r w:rsidRPr="007716FD">
        <w:t>2022)0636),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18. lokakuuta 2022 antamansa päätöslauselman Romanian ja Bulgarian liittymisestä Schengen-alueeseen</w:t>
      </w:r>
      <w:r w:rsidRPr="007716FD">
        <w:rPr>
          <w:rStyle w:val="FootnoteReference"/>
          <w:color w:val="000000"/>
        </w:rPr>
        <w:footnoteReference w:id="1"/>
      </w:r>
      <w:r w:rsidRPr="007716FD">
        <w:t xml:space="preserve"> ja 12. heinäkuuta 2023 antamansa päätöslauselman Schengen-alueeseen liittymisestä</w:t>
      </w:r>
      <w:r w:rsidRPr="007716FD">
        <w:rPr>
          <w:rStyle w:val="FootnoteReference"/>
          <w:color w:val="000000"/>
        </w:rPr>
        <w:footnoteReference w:id="2"/>
      </w:r>
      <w:r w:rsidRPr="007716FD">
        <w:t>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neuvoston 30. joulukuuta 2023 tekemän yksimielisen päätöksen toivottaa Romania ja Bulgaria tervetulleiksi liittymään Schengen-alueeseen ja poistaa liittymisen aluksi tarkastukset ilma- ja merirajoilta maaliskuusta 2024 alkaen,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25. marraskuuta 2021 antamansa päätöslauselman kuorma-autojen pysäköintialueiden turvallisuudesta EU:ssa</w:t>
      </w:r>
      <w:r w:rsidRPr="007716FD">
        <w:rPr>
          <w:rStyle w:val="FootnoteReference"/>
          <w:color w:val="000000"/>
        </w:rPr>
        <w:footnoteReference w:id="3"/>
      </w:r>
      <w:r w:rsidRPr="007716FD">
        <w:t>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 xml:space="preserve">ottaa huomioon 9. toukokuuta 2023 antamansa päätöslauselman EU:n uudesta </w:t>
      </w:r>
      <w:r w:rsidRPr="007716FD">
        <w:lastRenderedPageBreak/>
        <w:t>kaupunkiliikenteen kehyksestä</w:t>
      </w:r>
      <w:r w:rsidRPr="007716FD">
        <w:rPr>
          <w:rStyle w:val="FootnoteReference"/>
          <w:color w:val="000000"/>
        </w:rPr>
        <w:footnoteReference w:id="4"/>
      </w:r>
      <w:r w:rsidRPr="007716FD">
        <w:t>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13. kesäkuuta 2023 antamansa päätöslauselman EU:n suurista liikenneinfrastruktuurihankkeista: hankkeiden täytäntöönpano ja EU:n varojen seuranta ja valvonta</w:t>
      </w:r>
      <w:r w:rsidRPr="007716FD">
        <w:rPr>
          <w:rStyle w:val="FootnoteReference"/>
          <w:color w:val="000000"/>
        </w:rPr>
        <w:footnoteReference w:id="5"/>
      </w:r>
      <w:r w:rsidRPr="007716FD">
        <w:t>,</w:t>
      </w:r>
    </w:p>
    <w:p w:rsidR="00B81D56" w:rsidRPr="007716FD" w:rsidRDefault="00B81D56" w:rsidP="00486247">
      <w:pPr>
        <w:pStyle w:val="NormalHanging12a"/>
        <w:keepNext/>
        <w:widowControl/>
      </w:pPr>
      <w:r w:rsidRPr="007716FD">
        <w:t>–</w:t>
      </w:r>
      <w:r w:rsidRPr="007716FD">
        <w:tab/>
        <w:t xml:space="preserve">ottaa huomioon ehdotuksen asetukseksi suuntaviivoista Euroopan laajuisen liikenneverkon kehittämiseksi, asetuksen (EU) </w:t>
      </w:r>
      <w:r w:rsidR="00486247">
        <w:t>2021/1153 ja asetuksen (EU) </w:t>
      </w:r>
      <w:proofErr w:type="gramStart"/>
      <w:r w:rsidR="00486247">
        <w:t>N:o</w:t>
      </w:r>
      <w:proofErr w:type="gramEnd"/>
      <w:r w:rsidR="00486247">
        <w:t> </w:t>
      </w:r>
      <w:r w:rsidRPr="007716FD">
        <w:t>913/2010 muuttamisesta sekä asetuksen (EU) N:o</w:t>
      </w:r>
      <w:r w:rsidR="00486247">
        <w:t xml:space="preserve"> 1315/2013 kumoamisesta (COM(20</w:t>
      </w:r>
      <w:r w:rsidRPr="007716FD">
        <w:t>2</w:t>
      </w:r>
      <w:r w:rsidR="00486247">
        <w:t>1</w:t>
      </w:r>
      <w:r w:rsidRPr="007716FD">
        <w:t>)0812),</w:t>
      </w:r>
    </w:p>
    <w:p w:rsidR="00B81D56" w:rsidRPr="007716FD" w:rsidRDefault="00B81D56" w:rsidP="00486247">
      <w:pPr>
        <w:pStyle w:val="NormalHanging12a"/>
        <w:widowControl/>
      </w:pPr>
      <w:r w:rsidRPr="007716FD">
        <w:t>–</w:t>
      </w:r>
      <w:r w:rsidRPr="007716FD">
        <w:tab/>
        <w:t>ottaa huomioon työjärjestyksen 227 artiklan 2 kohdan,</w:t>
      </w:r>
    </w:p>
    <w:p w:rsidR="00B81D56" w:rsidRPr="007716FD" w:rsidRDefault="00B81D56" w:rsidP="00486247">
      <w:pPr>
        <w:pStyle w:val="NormalHanging12a"/>
        <w:widowControl/>
      </w:pPr>
      <w:r w:rsidRPr="007716FD">
        <w:t>A.</w:t>
      </w:r>
      <w:r w:rsidRPr="007716FD">
        <w:tab/>
        <w:t>ottaa huomioon, että EU:n sisärajoilla, mukaan lukien Schengen-alueeseen kuuluvien ja kuulumattomien EU:n jäsenvaltioiden välisillä rajoilla, pysäytetään päivittäin satoja tavarankuljetusajoneuvoja ja että käsittelyn ja tarkastusten vuoksi odotusajat ja viivästykset rajoilla voivat olla erittäin pitkiä; ottaa huomioon, että EU:n nykyisessä oikeudellisessa kehyksessä ei käsitellä eikä säännellä erityisesti tavarankuljetusten käsittelyn enimmäisaikaa rajoilla;</w:t>
      </w:r>
    </w:p>
    <w:p w:rsidR="00B81D56" w:rsidRPr="007716FD" w:rsidRDefault="00B81D56" w:rsidP="00486247">
      <w:pPr>
        <w:pStyle w:val="NormalHanging12a"/>
        <w:widowControl/>
      </w:pPr>
      <w:r w:rsidRPr="007716FD">
        <w:t>B.</w:t>
      </w:r>
      <w:r w:rsidRPr="007716FD">
        <w:tab/>
        <w:t xml:space="preserve">ottaa huomioon, että näiden jäsenvaltioiden rajoilla esiintyvien jonojen ja viivästysten syyt voivat johtua useista hallinnollisista, toiminnallisista, turvallisuuteen liittyvistä, teknisistä tai </w:t>
      </w:r>
      <w:proofErr w:type="spellStart"/>
      <w:r w:rsidRPr="007716FD">
        <w:t>yhteentoimivuuteen</w:t>
      </w:r>
      <w:proofErr w:type="spellEnd"/>
      <w:r w:rsidRPr="007716FD">
        <w:t xml:space="preserve"> liittyvistä tekijöistä, kuten riittämättömistä toiminnallisesta ja teknisestä kapasiteetista, henkilöstövajeesta, tarkastuspisteiden ja tavarankuljetusajoneuvojen vaunuvaakojen vähyydestä, useiden institutionaalisten elinten keskittymisestä rajoille ja rahdin </w:t>
      </w:r>
      <w:proofErr w:type="spellStart"/>
      <w:r w:rsidRPr="007716FD">
        <w:t>aikaavievistä</w:t>
      </w:r>
      <w:proofErr w:type="spellEnd"/>
      <w:r w:rsidRPr="007716FD">
        <w:t xml:space="preserve"> tarkastuksista; ottaa huomioon, että Schengenin rajasäännöstön</w:t>
      </w:r>
      <w:r w:rsidRPr="007716FD">
        <w:rPr>
          <w:rStyle w:val="FootnoteReference"/>
          <w:color w:val="000000"/>
        </w:rPr>
        <w:footnoteReference w:id="6"/>
      </w:r>
      <w:r w:rsidRPr="007716FD">
        <w:t xml:space="preserve"> 22 artiklassa vahvistetaan periaate, jonka mukaan SEUT 26 artiklan 2 kohdassa vahvistetun vapaan liikkuvuuden periaatteen mukaisesti Schengen-maiden välisillä sisärajoilla ei tehdä tarkastuksia, ja ottaa huomioon, että säännöstön 24 artiklassa todetaan erityisesti, että jäsenvaltioiden on poistettava kaikki liikenteen sujuvuutta haittaavat esteet teiden rajanylityspaikoilta sisärajoilla;</w:t>
      </w:r>
    </w:p>
    <w:p w:rsidR="00B81D56" w:rsidRPr="007716FD" w:rsidRDefault="00B81D56" w:rsidP="00486247">
      <w:pPr>
        <w:pStyle w:val="NormalHanging12a"/>
        <w:widowControl/>
      </w:pPr>
      <w:r w:rsidRPr="007716FD">
        <w:t>C.</w:t>
      </w:r>
      <w:r w:rsidRPr="007716FD">
        <w:tab/>
        <w:t>ottaa huomioon, että EU:ssa rekisteröityjen raskaiden tavarankuljetusajoneuvojen seisominen rajoilla voi vaikuttaa haitallisesti kuljettajien terveyteen ja työoloihin, liikenneturvallisuuteen ja kuljetusyritysten toimintaan sekä haitata kilpailua ja EU:n sisämarkkinoiden toimintaa ja lisätä maanteiden tavaraliikenteen harjoittajien kustannuksia;</w:t>
      </w:r>
    </w:p>
    <w:p w:rsidR="00B81D56" w:rsidRPr="007716FD" w:rsidRDefault="00B81D56" w:rsidP="00486247">
      <w:pPr>
        <w:pStyle w:val="NormalHanging12a"/>
        <w:widowControl/>
      </w:pPr>
      <w:r w:rsidRPr="007716FD">
        <w:t>D.</w:t>
      </w:r>
      <w:r w:rsidRPr="007716FD">
        <w:tab/>
        <w:t>ottaa huomioon, että Bulgaria ja Romania odottavat edelleen neuvoston päätöstä siitä, minä päivänä tarkastukset poistetaan sisäisiltä maarajoilta; ottaa huomioon, että tarkastusten poistaminen sisäisiltä maarajoilta edistäisi Romanian ja Bulgarian osallistumista EU:n sisämarkkinoihin ja poistaisi liikkuvuuden esteitä, jotka viivästyttävät liiketoimintaa aiheuttamalla häiriöitä rahdin toimitusaikatauluihin;</w:t>
      </w:r>
    </w:p>
    <w:p w:rsidR="00B81D56" w:rsidRPr="007716FD" w:rsidRDefault="00B81D56" w:rsidP="00486247">
      <w:pPr>
        <w:pStyle w:val="NormalHanging12a"/>
        <w:widowControl/>
      </w:pPr>
      <w:r w:rsidRPr="007716FD">
        <w:t>E.</w:t>
      </w:r>
      <w:r w:rsidRPr="007716FD">
        <w:tab/>
        <w:t xml:space="preserve">ottaa huomioon, että rajoilla seisovat tavarankuljetusajoneuvot aiheuttavat satojen miljoonien eurojen tappiot eurooppalaisille yrityksille, erityisesti logistiikka-, matkailu-, majoitus- ja ravitsemisaloilla; ottaa huomioon, että covid-19-pandemia teki näihin </w:t>
      </w:r>
      <w:r w:rsidRPr="007716FD">
        <w:lastRenderedPageBreak/>
        <w:t>rajanylityksen rajoitteisiin liittyvät riskit erityisen näkyviksi; ottaa huomioon, että tilanteen säilyttäminen ennallaan heikentää huomattavasti EU:n kykyä se</w:t>
      </w:r>
      <w:bookmarkStart w:id="7" w:name="_GoBack"/>
      <w:bookmarkEnd w:id="7"/>
      <w:r w:rsidRPr="007716FD">
        <w:t>lviytyä muista mahdollisista kansanterveydellisistä hätätilanteista;</w:t>
      </w:r>
    </w:p>
    <w:p w:rsidR="00B81D56" w:rsidRPr="007716FD" w:rsidRDefault="00B81D56" w:rsidP="00486247">
      <w:pPr>
        <w:pStyle w:val="NormalHanging12a"/>
        <w:widowControl/>
      </w:pPr>
      <w:r w:rsidRPr="007716FD">
        <w:t>F.</w:t>
      </w:r>
      <w:r w:rsidRPr="007716FD">
        <w:tab/>
        <w:t>ottaa huomioon, että tavarankuljetusajoneuvojen jonojen pituus EU:n Länsi-Balkanin maiden vastaisilla ulkorajoilla on erityisen huolestuttava;</w:t>
      </w:r>
    </w:p>
    <w:p w:rsidR="00B81D56" w:rsidRPr="007716FD" w:rsidRDefault="00B81D56" w:rsidP="00486247">
      <w:pPr>
        <w:pStyle w:val="NormalHanging12a"/>
        <w:widowControl/>
      </w:pPr>
      <w:r w:rsidRPr="007716FD">
        <w:t>G.</w:t>
      </w:r>
      <w:r w:rsidRPr="007716FD">
        <w:tab/>
        <w:t xml:space="preserve">ottaa huomioon, että tällaiset tilanteet vaarantavat vakavasti ammattikuljettajien terveyden ja turvallisuuden, heikentävät heidän työolojaan ja alan työpaikkojen laatua ja pahentavat lisäksi maailmanlaajuista kuorma-autonkuljettajapulaa; ottaa huomioon, että monet kuorma-autonkuljettajat kaikissa EU:n jäsenvaltioissa kärsivät erityyppisistä kroonisista kivuista, kuten alaselkä-, polvi- ja hartiakivuista; ottaa huomioon, että usein toistuvat mielivaltaiset vaatimukset purkaa ja </w:t>
      </w:r>
      <w:proofErr w:type="spellStart"/>
      <w:r w:rsidRPr="007716FD">
        <w:t>uudelleenlastata</w:t>
      </w:r>
      <w:proofErr w:type="spellEnd"/>
      <w:r w:rsidRPr="007716FD">
        <w:t xml:space="preserve"> rahti aiheuttavat myös merkittäviä terveysriskejä, joista seuraa paljon loukkaantumisia, koska kuorma-autonkuljettajien fyysiset voimat eivät monesti riitä raskaiden kuormien nostamiseen eikä heillä ole siihen tarvittavia asianmukaisia laitteita; ottaa huomioon, että työnantajat velvoittavat kuorma-autonkuljettajat tähän tehtävään sattumanvaraisesti ja ilman lisäkorvausta;</w:t>
      </w:r>
    </w:p>
    <w:p w:rsidR="00B81D56" w:rsidRPr="007716FD" w:rsidRDefault="00B81D56" w:rsidP="00486247">
      <w:pPr>
        <w:pStyle w:val="NormalHanging12a"/>
        <w:widowControl/>
      </w:pPr>
      <w:r w:rsidRPr="007716FD">
        <w:t>H.</w:t>
      </w:r>
      <w:r w:rsidRPr="007716FD">
        <w:tab/>
        <w:t xml:space="preserve">ottaa huomioon, että rajoilla odottavien tavarankuljetusajoneuvojen jonot vaikuttavat suoraan Euroopan kansalaisten terveyteen, sillä ne heikentävät ilmanlaatua ja aiheuttavat vesien saastumista ja melua, mikä vaikuttaa kielteisesti myös Natura 2000 </w:t>
      </w:r>
      <w:r w:rsidRPr="007716FD">
        <w:noBreakHyphen/>
        <w:t>alueisiin; ottaa huomioon, että esimerkiksi 16. toukokuuta 2023 annetussa komission tiedonannossa korostettiin, että Romanian ja Bulgarian sisärajavalvonnan jatkuminen aiheuttaa vuosittain 46 000 tonnin hiilidioksidipäästöt;</w:t>
      </w:r>
    </w:p>
    <w:p w:rsidR="00B81D56" w:rsidRPr="007716FD" w:rsidRDefault="00B81D56" w:rsidP="00486247">
      <w:pPr>
        <w:pStyle w:val="NormalHanging12a"/>
        <w:widowControl/>
      </w:pPr>
      <w:r w:rsidRPr="007716FD">
        <w:t>I.</w:t>
      </w:r>
      <w:r w:rsidRPr="007716FD">
        <w:tab/>
        <w:t>ottaa huomioon, että tavarankuljetusajoneuvojen aiheuttamat ruuhkat vahingoittavat lisäksi nykyisen infrastruktuurin laatua samaan aikaan kun ne heikentävät liikenneturvallisuutta ja lisäävät liikenneonnettomuuksien riskiä;</w:t>
      </w:r>
    </w:p>
    <w:p w:rsidR="00B81D56" w:rsidRPr="007716FD" w:rsidRDefault="00B81D56" w:rsidP="00486247">
      <w:pPr>
        <w:pStyle w:val="NormalHanging12a"/>
        <w:widowControl/>
      </w:pPr>
      <w:r w:rsidRPr="007716FD">
        <w:t>J.</w:t>
      </w:r>
      <w:r w:rsidRPr="007716FD">
        <w:tab/>
        <w:t>ottaa huomioon, että kuorma-autoille tarkoitettujen turvallisten pysäköintialueiden julkisen ja yksityisen rahoituksen lisääminen antaisi kuljettajille mahdollisuuden pitää taukonsa täysin turvallisissa olosuhteissa; ottaa huomioon, että turvallisuustekijöiden parantaminen, esimerkiksi erityisten mobiilisovellusten kehittäminen, vähentäisi kuorma-autonkuljettajien riskiä joutua rikoksen uhreiksi;</w:t>
      </w:r>
    </w:p>
    <w:p w:rsidR="00B81D56" w:rsidRPr="007716FD" w:rsidRDefault="00B81D56" w:rsidP="00486247">
      <w:pPr>
        <w:pStyle w:val="NormalHanging12a"/>
        <w:widowControl/>
      </w:pPr>
      <w:r w:rsidRPr="007716FD">
        <w:t>1.</w:t>
      </w:r>
      <w:r w:rsidRPr="007716FD">
        <w:tab/>
        <w:t>kehottaa parlamenttia, neuvostoa ja komissiota keskittymään EU:n keskeisten politiikkojen, kuten Euroopan laajuisen liikenneverkon, kehittämisessä erityistoimenpiteisiin, joilla varmistetaan rahtiliikenteen sujuvat ja tehokkaat rajanylitykset;</w:t>
      </w:r>
    </w:p>
    <w:p w:rsidR="00B81D56" w:rsidRPr="007716FD" w:rsidRDefault="00B81D56" w:rsidP="00486247">
      <w:pPr>
        <w:pStyle w:val="NormalHanging12a"/>
        <w:widowControl/>
      </w:pPr>
      <w:r w:rsidRPr="007716FD">
        <w:t>2.</w:t>
      </w:r>
      <w:r w:rsidRPr="007716FD">
        <w:tab/>
        <w:t xml:space="preserve">kehottaa komissiota ehdottamaan tässä päätöslauselmaesityksessä kuvattujen aiheiden vaikutustenarvioinnin jälkeen välittömiä ja sitovia lainsäädäntötoimenpiteitä, joilla luodaan EU:n laajuinen standardi keskimäärin minuutin kestävistä raskaiden tavarankuljetusajoneuvojen käsittelyistä EU:n sisäisillä rajanylityspaikoilla, jotta voidaan taata sujuvat rajanylitykset Schengen-alueen </w:t>
      </w:r>
      <w:proofErr w:type="spellStart"/>
      <w:r w:rsidRPr="007716FD">
        <w:t>sisä</w:t>
      </w:r>
      <w:proofErr w:type="spellEnd"/>
      <w:r w:rsidRPr="007716FD">
        <w:t>- ja ulkorajoilla, jolloin tavarat ja palvelut voivat liikkua nopeasti ja tehokkaasti; korostaa, että tällaiset toimenpiteet parantaisivat merkittävästi tieliikennealan kilpailukykyä ja varmistaisivat sen sujuvan toiminnan sisämarkkinoilla; korostaa, että maarajatarkastusten jatkaminen vahingoittaa kaikkien jäsenvaltioiden taloudellisia etuja;</w:t>
      </w:r>
    </w:p>
    <w:p w:rsidR="00B81D56" w:rsidRPr="007716FD" w:rsidRDefault="00B81D56" w:rsidP="00486247">
      <w:pPr>
        <w:pStyle w:val="NormalHanging12a"/>
        <w:widowControl/>
      </w:pPr>
      <w:r w:rsidRPr="007716FD">
        <w:t>3.</w:t>
      </w:r>
      <w:r w:rsidRPr="007716FD">
        <w:tab/>
        <w:t xml:space="preserve">korostaa, että komissio on toistanut vuodesta 2011 lähtien, että sekä Romania että </w:t>
      </w:r>
      <w:r w:rsidRPr="007716FD">
        <w:lastRenderedPageBreak/>
        <w:t>Bulgaria täyttävät kaikki Schengen-alueeseen liittymistä koskevat muodolliset kriteerit; korostaa, että neuvoston 30. joulukuuta 2023 tekemällä päätöksellä poistaa tarkastukset Romanian ja Bulgarian ilma- ja merirajoilta puututaan vain osaan sisämarkkinoiden tämän hetkisestä vääristymästä; korostaa, että tällä päätöksellä ei puututa kaikkein suurimpaan ja kiireellisimpään ongelmaan eli maarajojen ylittämiseen, sillä tarkastuksia jatketaan edelleen Schengen-alueen maarajalla, mikä vähentää tavarankuljetusajoneuvojen, linja-autojen, henkilöautojen ja junien rajanylityksen sujuvuutta; toistaa pitkäaikaisen kantansa, jonka mukaan Schengenin säännöstöä tulisi soveltaa täysimääräisesti Bulgariassa ja Romaniassa; kehottaa puheenjohtajavaltio Belgiaa ja kaikkia neuvoston jäseniä tekemään mahdollisimman pian ja viimeistään vuoden 2024 puoliväliin mennessä päätöksen Schengenin säännöstön täysimääräisestä soveltamisesta Romaniassa ja Bulgariassa;</w:t>
      </w:r>
    </w:p>
    <w:p w:rsidR="00B81D56" w:rsidRPr="007716FD" w:rsidRDefault="00B81D56" w:rsidP="00486247">
      <w:pPr>
        <w:pStyle w:val="NormalHanging12a"/>
        <w:widowControl/>
      </w:pPr>
      <w:r w:rsidRPr="007716FD">
        <w:t>4.</w:t>
      </w:r>
      <w:r w:rsidRPr="007716FD">
        <w:tab/>
        <w:t xml:space="preserve">pyytää siksi komissiota takaamaan toteutettujen toimenpiteiden noudattamisen ja täytäntöönpanon seurannan, esimerkiksi määräämällä seuraamuksia; korostaa, että asianmukainen ja riittävä EU:n rahoitus ja tekninen tuki </w:t>
      </w:r>
      <w:proofErr w:type="gramStart"/>
      <w:r w:rsidRPr="007716FD">
        <w:t>on</w:t>
      </w:r>
      <w:proofErr w:type="gramEnd"/>
      <w:r w:rsidRPr="007716FD">
        <w:t xml:space="preserve"> tarpeen;</w:t>
      </w:r>
    </w:p>
    <w:p w:rsidR="00B81D56" w:rsidRPr="007716FD" w:rsidRDefault="00B81D56" w:rsidP="00486247">
      <w:pPr>
        <w:pStyle w:val="NormalHanging12a"/>
        <w:widowControl/>
      </w:pPr>
      <w:r w:rsidRPr="007716FD">
        <w:t>5.</w:t>
      </w:r>
      <w:r w:rsidRPr="007716FD">
        <w:tab/>
        <w:t>kehottaa komissiota ja jäsenvaltioita sallimaan EU:n lainsäädännössä kuorma</w:t>
      </w:r>
      <w:r w:rsidRPr="007716FD">
        <w:noBreakHyphen/>
        <w:t>autonkuljettajien käyttää pienempiä rajanylityspaikkoja tilanteissa, joissa pääväylät on suljettu tiestön kunnossapitoa varten, jotta vältetään kuljettajien joutuminen yksittäisten maiden mielivaltaisten toimien kohteiksi, koska tämä on EU:n yleisen edun mukaista;</w:t>
      </w:r>
    </w:p>
    <w:p w:rsidR="00B81D56" w:rsidRPr="007716FD" w:rsidRDefault="00B81D56" w:rsidP="00486247">
      <w:pPr>
        <w:pStyle w:val="NormalHanging12a"/>
        <w:widowControl/>
      </w:pPr>
      <w:r w:rsidRPr="007716FD">
        <w:t>6.</w:t>
      </w:r>
      <w:r w:rsidRPr="007716FD">
        <w:tab/>
        <w:t>kehottaa komissiota esittämään yhteistyössä jäsenvaltioiden ja asiaankuuluvien sidosryhmien kanssa konkreettisia toimia, joilla vähennetään EU:n ammattikuljettajapulaa lisäämällä nuorten kiinnostusta alaan rahoittamalla erityistä (uudelleen)koulutusta ja tutkintoja sekä lisäämällä ammatillisten oppilaitosten ja kuljetusyritysten välisiä kumppanuuksia, esimerkiksi EU:n erityisellä talousarviotuella;</w:t>
      </w:r>
    </w:p>
    <w:p w:rsidR="00B81D56" w:rsidRPr="007716FD" w:rsidRDefault="00B81D56" w:rsidP="00486247">
      <w:pPr>
        <w:pStyle w:val="NormalHanging12a"/>
        <w:widowControl/>
      </w:pPr>
      <w:r w:rsidRPr="007716FD">
        <w:t>7.</w:t>
      </w:r>
      <w:r w:rsidRPr="007716FD">
        <w:tab/>
        <w:t xml:space="preserve">kehottaa jäsenvaltioita lisäämään edelleen toimia, joilla vahvistetaan niiden </w:t>
      </w:r>
      <w:proofErr w:type="spellStart"/>
      <w:r w:rsidRPr="007716FD">
        <w:t>rajatylittävää</w:t>
      </w:r>
      <w:proofErr w:type="spellEnd"/>
      <w:r w:rsidRPr="007716FD">
        <w:t xml:space="preserve"> yhteistyötä tavarankuljetusajoneuvoihin kohdistuvien varkauksien torjunnassa;</w:t>
      </w:r>
    </w:p>
    <w:p w:rsidR="00E365E1" w:rsidRPr="007716FD" w:rsidRDefault="00B81D56" w:rsidP="00486247">
      <w:pPr>
        <w:pStyle w:val="NormalHanging12a"/>
        <w:widowControl/>
      </w:pPr>
      <w:r w:rsidRPr="007716FD">
        <w:t>8.</w:t>
      </w:r>
      <w:r w:rsidRPr="007716FD">
        <w:tab/>
        <w:t>kehottaa puhemiestä välittämään tämän päätöslauselman komissiolle, neuvostolle ja asianomaisille kansallisille viranomaisille.</w:t>
      </w:r>
      <w:bookmarkStart w:id="8" w:name="TextBodyEnd"/>
      <w:bookmarkEnd w:id="8"/>
    </w:p>
    <w:sectPr w:rsidR="00E365E1" w:rsidRPr="007716FD" w:rsidSect="007716F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E7E" w:rsidRPr="007716FD" w:rsidRDefault="00544E7E">
      <w:r w:rsidRPr="007716FD">
        <w:separator/>
      </w:r>
    </w:p>
  </w:endnote>
  <w:endnote w:type="continuationSeparator" w:id="0">
    <w:p w:rsidR="00544E7E" w:rsidRPr="007716FD" w:rsidRDefault="00544E7E">
      <w:r w:rsidRPr="007716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E7E" w:rsidRPr="007716FD" w:rsidRDefault="00544E7E">
      <w:r w:rsidRPr="007716FD">
        <w:separator/>
      </w:r>
    </w:p>
  </w:footnote>
  <w:footnote w:type="continuationSeparator" w:id="0">
    <w:p w:rsidR="00544E7E" w:rsidRPr="007716FD" w:rsidRDefault="00544E7E">
      <w:r w:rsidRPr="007716FD">
        <w:continuationSeparator/>
      </w:r>
    </w:p>
  </w:footnote>
  <w:footnote w:id="1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>EUVL C 149, 28.4.2023, s. 11.</w:t>
      </w:r>
    </w:p>
  </w:footnote>
  <w:footnote w:id="2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>Hyväksytyt tekstit, P9_</w:t>
      </w:r>
      <w:proofErr w:type="gramStart"/>
      <w:r w:rsidRPr="007716FD">
        <w:rPr>
          <w:sz w:val="24"/>
          <w:lang w:val="fi-FI"/>
        </w:rPr>
        <w:t>TA(</w:t>
      </w:r>
      <w:proofErr w:type="gramEnd"/>
      <w:r w:rsidRPr="007716FD">
        <w:rPr>
          <w:sz w:val="24"/>
          <w:lang w:val="fi-FI"/>
        </w:rPr>
        <w:t>2023)0278.</w:t>
      </w:r>
    </w:p>
  </w:footnote>
  <w:footnote w:id="3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>EUVL C 224, 8.6.2022, s. 95.</w:t>
      </w:r>
    </w:p>
  </w:footnote>
  <w:footnote w:id="4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>EUVL C, C/2023/1058, 15.12.2023, ELI: http://data.europa.eu/eli/C/2023/1058/oj</w:t>
      </w:r>
    </w:p>
  </w:footnote>
  <w:footnote w:id="5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>EUVL C, C/2024/481, 23.1.2024, ELI: http://data.europa.eu/eli/C/2024/481/oj</w:t>
      </w:r>
    </w:p>
  </w:footnote>
  <w:footnote w:id="6">
    <w:p w:rsidR="00B81D56" w:rsidRPr="007716FD" w:rsidRDefault="00B81D56" w:rsidP="007716FD">
      <w:pPr>
        <w:pStyle w:val="FootnoteText"/>
        <w:ind w:left="567" w:hanging="567"/>
        <w:rPr>
          <w:sz w:val="24"/>
          <w:lang w:val="fi-FI"/>
        </w:rPr>
      </w:pPr>
      <w:r w:rsidRPr="007716FD">
        <w:rPr>
          <w:rStyle w:val="FootnoteReference"/>
          <w:sz w:val="24"/>
          <w:lang w:val="fi-FI"/>
        </w:rPr>
        <w:footnoteRef/>
      </w:r>
      <w:r w:rsidR="007716FD" w:rsidRPr="007716FD">
        <w:rPr>
          <w:sz w:val="24"/>
          <w:lang w:val="fi-FI"/>
        </w:rPr>
        <w:t xml:space="preserve"> </w:t>
      </w:r>
      <w:r w:rsidR="007716FD" w:rsidRPr="007716FD">
        <w:rPr>
          <w:sz w:val="24"/>
          <w:lang w:val="fi-FI"/>
        </w:rPr>
        <w:tab/>
      </w:r>
      <w:r w:rsidRPr="007716FD">
        <w:rPr>
          <w:sz w:val="24"/>
          <w:lang w:val="fi-FI"/>
        </w:rPr>
        <w:t xml:space="preserve">Asetus (EU) 2016/399, annettu 9. maaliskuuta 2016, henkilöiden liikkumista rajojen yli koskevasta unionin säännöstöstä (Schengenin rajasäännöstö) </w:t>
      </w:r>
      <w:r w:rsidR="00C12B77">
        <w:rPr>
          <w:sz w:val="24"/>
          <w:lang w:val="fi-FI"/>
        </w:rPr>
        <w:t>(</w:t>
      </w:r>
      <w:r w:rsidRPr="007716FD">
        <w:rPr>
          <w:sz w:val="24"/>
          <w:lang w:val="fi-FI"/>
        </w:rPr>
        <w:t>EUVL L 77, 23.3.2016, s. 1</w:t>
      </w:r>
      <w:r w:rsidR="00C12B77">
        <w:rPr>
          <w:sz w:val="24"/>
          <w:lang w:val="fi-FI"/>
        </w:rPr>
        <w:t>)</w:t>
      </w:r>
      <w:r w:rsidRPr="007716FD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FI"/>
    <w:docVar w:name="dvnumam" w:val="0"/>
    <w:docVar w:name="dvpe" w:val="758.769"/>
    <w:docVar w:name="dvtitre" w:val="Euroopan parlamentin päätöslauselma 10. huhtikuuta 2024 raskaiden tavarankuljetusajoneuvojen käsittelystä rajanylityspaikoilla vetoomuksen nro 0146/2023 pohjalta(2024/2540(RSP))"/>
  </w:docVars>
  <w:rsids>
    <w:rsidRoot w:val="00544E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C6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247"/>
    <w:rsid w:val="004867E3"/>
    <w:rsid w:val="00494A28"/>
    <w:rsid w:val="004C0004"/>
    <w:rsid w:val="004C5D52"/>
    <w:rsid w:val="0050519A"/>
    <w:rsid w:val="005072A1"/>
    <w:rsid w:val="00514517"/>
    <w:rsid w:val="00544E7E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6F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D56"/>
    <w:rsid w:val="00BD48FE"/>
    <w:rsid w:val="00BD7BD8"/>
    <w:rsid w:val="00BE6ADC"/>
    <w:rsid w:val="00C05BFE"/>
    <w:rsid w:val="00C12B7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45143"/>
  <w15:chartTrackingRefBased/>
  <w15:docId w15:val="{C6B1F04F-3F41-44FA-B685-6CFC7600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1D56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B81D5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C12B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12B77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5247D-2634-4E39-BA7F-678297EE0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1040</Words>
  <Characters>9351</Characters>
  <Application>Microsoft Office Word</Application>
  <DocSecurity>0</DocSecurity>
  <Lines>77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COLLIANDER Vilja Alma Maria</cp:lastModifiedBy>
  <cp:revision>2</cp:revision>
  <cp:lastPrinted>2004-11-19T15:42:00Z</cp:lastPrinted>
  <dcterms:created xsi:type="dcterms:W3CDTF">2024-06-03T09:35:00Z</dcterms:created>
  <dcterms:modified xsi:type="dcterms:W3CDTF">2024-06-03T09:35:00Z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