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57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57DB" w:rsidRDefault="00536891" w:rsidP="0010095E">
            <w:pPr>
              <w:pStyle w:val="EPName"/>
            </w:pPr>
            <w:r w:rsidRPr="008D57DB">
              <w:t>Europski parlament</w:t>
            </w:r>
          </w:p>
          <w:p w:rsidR="00751A4A" w:rsidRPr="008D57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57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57DB" w:rsidRDefault="00187494" w:rsidP="0010095E">
            <w:pPr>
              <w:pStyle w:val="EPLogo"/>
            </w:pPr>
            <w:r w:rsidRPr="008D57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57DB" w:rsidRDefault="00D058B8" w:rsidP="004C5D52">
      <w:pPr>
        <w:pStyle w:val="LineTop"/>
      </w:pPr>
    </w:p>
    <w:p w:rsidR="00680577" w:rsidRPr="008D57DB" w:rsidRDefault="00536891" w:rsidP="00680577">
      <w:pPr>
        <w:pStyle w:val="EPBodyTA1"/>
      </w:pPr>
      <w:r w:rsidRPr="008D57DB">
        <w:t>USVOJENI TEKSTOVI</w:t>
      </w:r>
    </w:p>
    <w:p w:rsidR="00D058B8" w:rsidRPr="008D57DB" w:rsidRDefault="00D058B8" w:rsidP="00D058B8">
      <w:pPr>
        <w:pStyle w:val="LineBottom"/>
      </w:pPr>
    </w:p>
    <w:p w:rsidR="00536891" w:rsidRPr="008D57DB" w:rsidRDefault="00536891" w:rsidP="00536891">
      <w:pPr>
        <w:pStyle w:val="ATHeading1"/>
      </w:pPr>
      <w:bookmarkStart w:id="0" w:name="TANumber"/>
      <w:r w:rsidRPr="008D57DB">
        <w:t>P9_TA(2024)0</w:t>
      </w:r>
      <w:r w:rsidR="00751737">
        <w:t>223</w:t>
      </w:r>
      <w:bookmarkEnd w:id="0"/>
    </w:p>
    <w:p w:rsidR="00536891" w:rsidRPr="008D57DB" w:rsidRDefault="00536891" w:rsidP="00536891">
      <w:pPr>
        <w:pStyle w:val="ATHeading2"/>
      </w:pPr>
      <w:bookmarkStart w:id="1" w:name="title"/>
      <w:r w:rsidRPr="008D57DB">
        <w:t>Postupanje s teškim teretnim vozilima na graničnim prijelazima</w:t>
      </w:r>
      <w:bookmarkEnd w:id="1"/>
    </w:p>
    <w:p w:rsidR="00536891" w:rsidRPr="008D57DB" w:rsidRDefault="00536891" w:rsidP="00536891">
      <w:pPr>
        <w:rPr>
          <w:i/>
          <w:vanish/>
        </w:rPr>
      </w:pPr>
      <w:r w:rsidRPr="008D57DB">
        <w:rPr>
          <w:i/>
        </w:rPr>
        <w:fldChar w:fldCharType="begin"/>
      </w:r>
      <w:r w:rsidRPr="008D57DB">
        <w:rPr>
          <w:i/>
        </w:rPr>
        <w:instrText xml:space="preserve"> TC"(</w:instrText>
      </w:r>
      <w:bookmarkStart w:id="2" w:name="DocNumber"/>
      <w:r w:rsidRPr="008D57DB">
        <w:rPr>
          <w:i/>
        </w:rPr>
        <w:instrText>B9-0201/2024</w:instrText>
      </w:r>
      <w:bookmarkEnd w:id="2"/>
      <w:r w:rsidRPr="008D57DB">
        <w:rPr>
          <w:i/>
        </w:rPr>
        <w:instrText xml:space="preserve">)"\l3 \n&gt; \* MERGEFORMAT </w:instrText>
      </w:r>
      <w:r w:rsidRPr="008D57DB">
        <w:rPr>
          <w:i/>
        </w:rPr>
        <w:fldChar w:fldCharType="end"/>
      </w:r>
    </w:p>
    <w:p w:rsidR="00536891" w:rsidRPr="008D57DB" w:rsidRDefault="00536891" w:rsidP="00536891">
      <w:pPr>
        <w:rPr>
          <w:vanish/>
        </w:rPr>
      </w:pPr>
      <w:bookmarkStart w:id="3" w:name="PE"/>
      <w:r w:rsidRPr="008D57DB">
        <w:rPr>
          <w:vanish/>
        </w:rPr>
        <w:t>PE758.769</w:t>
      </w:r>
      <w:bookmarkEnd w:id="3"/>
    </w:p>
    <w:p w:rsidR="00536891" w:rsidRPr="008D57DB" w:rsidRDefault="00536891" w:rsidP="00536891">
      <w:pPr>
        <w:pStyle w:val="ATHeading3"/>
      </w:pPr>
      <w:bookmarkStart w:id="4" w:name="Sujet"/>
      <w:r w:rsidRPr="008D57DB">
        <w:t>Rezolu</w:t>
      </w:r>
      <w:r w:rsidR="008D57DB">
        <w:t>cija Europskog parlamenta od 10</w:t>
      </w:r>
      <w:r w:rsidRPr="008D57DB">
        <w:t xml:space="preserve">. </w:t>
      </w:r>
      <w:r w:rsidR="008D57DB">
        <w:t xml:space="preserve">travnja </w:t>
      </w:r>
      <w:r w:rsidRPr="008D57DB">
        <w:t>2024. o postupanju s teškim teretnim vozilima na graničnim prijelazima na temelju predstavke br. 0146/2023</w:t>
      </w:r>
      <w:bookmarkEnd w:id="4"/>
      <w:r w:rsidRPr="008D57DB">
        <w:t xml:space="preserve"> </w:t>
      </w:r>
      <w:bookmarkStart w:id="5" w:name="References"/>
      <w:r w:rsidRPr="008D57DB">
        <w:t>(2024/2540(RSP))</w:t>
      </w:r>
      <w:bookmarkEnd w:id="5"/>
    </w:p>
    <w:p w:rsidR="00AB1DE0" w:rsidRPr="008D57DB" w:rsidRDefault="00AB1DE0" w:rsidP="00AB1DE0">
      <w:pPr>
        <w:pStyle w:val="EPComma"/>
      </w:pPr>
      <w:bookmarkStart w:id="6" w:name="TextBodyBegin"/>
      <w:bookmarkEnd w:id="6"/>
      <w:r w:rsidRPr="008D57DB">
        <w:rPr>
          <w:i/>
        </w:rPr>
        <w:t>Europski parlament,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članke 26., 28. – 37. te članak 67. stavak 1. i 2. Ugovora u funkcioniranju Europske unije (UFEU),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rasprave o predstavci br. 0146/2023 na sjednici Odbora za predstavke održanoj 29. studenoga 2023.,</w:t>
      </w:r>
    </w:p>
    <w:p w:rsidR="00AB1DE0" w:rsidRPr="008D57DB" w:rsidRDefault="00AB1DE0" w:rsidP="00AB1DE0">
      <w:pPr>
        <w:pStyle w:val="NormalHanging12a"/>
        <w:rPr>
          <w:bCs/>
          <w:szCs w:val="24"/>
          <w:shd w:val="clear" w:color="auto" w:fill="FFFFFF"/>
        </w:rPr>
      </w:pPr>
      <w:r w:rsidRPr="008D57DB">
        <w:t>–</w:t>
      </w:r>
      <w:r w:rsidRPr="008D57DB">
        <w:tab/>
        <w:t>uzimajući u obzir javno saslušanje na temu „</w:t>
      </w:r>
      <w:proofErr w:type="spellStart"/>
      <w:r w:rsidRPr="008D57DB">
        <w:t>Schengenske</w:t>
      </w:r>
      <w:proofErr w:type="spellEnd"/>
      <w:r w:rsidRPr="008D57DB">
        <w:t xml:space="preserve"> granice – pitanja koja su postavili podnositelji predstavki” koje su </w:t>
      </w:r>
      <w:r w:rsidRPr="008D57DB">
        <w:rPr>
          <w:shd w:val="clear" w:color="auto" w:fill="FFFFFF"/>
        </w:rPr>
        <w:t>18. srpnja 2023. zajednički održali Odbor za predstavke i Odbor za građanske slobode, pravosuđe i unutarnje poslove,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 xml:space="preserve">uzimajući u obzir Komunikaciju Komisije od 16. studenoga 2022. o punoj primjeni </w:t>
      </w:r>
      <w:proofErr w:type="spellStart"/>
      <w:r w:rsidRPr="008D57DB">
        <w:t>schengenske</w:t>
      </w:r>
      <w:proofErr w:type="spellEnd"/>
      <w:r w:rsidRPr="008D57DB">
        <w:t xml:space="preserve"> pravne stečevine u Bugarskoj, Rumunjskoj i Hrvatskoj (COM(2022)0636),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 xml:space="preserve">uzimajući u obzir svoje rezolucije od 18. listopada 2022. o pristupanju Rumunjske i Bugarske </w:t>
      </w:r>
      <w:proofErr w:type="spellStart"/>
      <w:r w:rsidRPr="008D57DB">
        <w:t>schengenskom</w:t>
      </w:r>
      <w:proofErr w:type="spellEnd"/>
      <w:r w:rsidRPr="008D57DB">
        <w:t xml:space="preserve"> području</w:t>
      </w:r>
      <w:r w:rsidRPr="008D57DB">
        <w:rPr>
          <w:rStyle w:val="FootnoteReference"/>
          <w:color w:val="000000"/>
        </w:rPr>
        <w:footnoteReference w:id="1"/>
      </w:r>
      <w:r w:rsidRPr="008D57DB">
        <w:t xml:space="preserve"> i od 12. srpnja 2023. o pristupanju </w:t>
      </w:r>
      <w:proofErr w:type="spellStart"/>
      <w:r w:rsidRPr="008D57DB">
        <w:t>schengenskom</w:t>
      </w:r>
      <w:proofErr w:type="spellEnd"/>
      <w:r w:rsidRPr="008D57DB">
        <w:t xml:space="preserve"> području</w:t>
      </w:r>
      <w:r w:rsidRPr="008D57DB">
        <w:rPr>
          <w:rStyle w:val="FootnoteReference"/>
          <w:color w:val="000000"/>
        </w:rPr>
        <w:footnoteReference w:id="2"/>
      </w:r>
      <w:r w:rsidRPr="008D57DB">
        <w:t>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 xml:space="preserve">uzimajući u obzir jednoglasnu odluku Vijeća od 30. prosinca 2023. o prihvatu Rumunjske i Bugarske u </w:t>
      </w:r>
      <w:proofErr w:type="spellStart"/>
      <w:r w:rsidRPr="008D57DB">
        <w:t>schengensko</w:t>
      </w:r>
      <w:proofErr w:type="spellEnd"/>
      <w:r w:rsidRPr="008D57DB">
        <w:t xml:space="preserve"> područje, počevši od ukidanja kontrola na zračnim i morskim granicama od ožujka 2024.,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svoju Rezoluciju od 25. studenoga 2021. o sigurnosti parkirališta za kamione u EU-u</w:t>
      </w:r>
      <w:r w:rsidRPr="008D57DB">
        <w:rPr>
          <w:rStyle w:val="FootnoteReference"/>
          <w:color w:val="000000"/>
        </w:rPr>
        <w:footnoteReference w:id="3"/>
      </w:r>
      <w:r w:rsidRPr="008D57DB">
        <w:t>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 xml:space="preserve">uzimajući u obzir svoju Rezoluciju od 9. svibnja 2023. o novom okviru EU-a za </w:t>
      </w:r>
      <w:r w:rsidRPr="008D57DB">
        <w:lastRenderedPageBreak/>
        <w:t>gradsku mobilnost</w:t>
      </w:r>
      <w:r w:rsidRPr="008D57DB">
        <w:rPr>
          <w:rStyle w:val="FootnoteReference"/>
          <w:color w:val="000000"/>
        </w:rPr>
        <w:footnoteReference w:id="4"/>
      </w:r>
      <w:r w:rsidRPr="008D57DB">
        <w:t>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svoju Rezoluciju od 13. lipnja 2023. o velikim projektima prometne infrastrukture u EU-u – provedba projekata te nadzor i kontrola sredstava EU-a</w:t>
      </w:r>
      <w:r w:rsidRPr="008D57DB">
        <w:rPr>
          <w:rStyle w:val="FootnoteReference"/>
          <w:color w:val="000000"/>
        </w:rPr>
        <w:footnoteReference w:id="5"/>
      </w:r>
      <w:r w:rsidRPr="008D57DB">
        <w:t>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Prijedlog uredbe o smjernicama za razvoj transeuropske prometne mreže, izmjeni Uredbe (EU) 2021/1153 i Uredbe (EU) br. 913/2010 te sta</w:t>
      </w:r>
      <w:r w:rsidR="00E4352A">
        <w:t>vljanju izvan snage Uredbe (EU) br. </w:t>
      </w:r>
      <w:bookmarkStart w:id="7" w:name="_GoBack"/>
      <w:bookmarkEnd w:id="7"/>
      <w:r w:rsidRPr="008D57DB">
        <w:t>1315/2013 (COM(2021)0812),</w:t>
      </w:r>
    </w:p>
    <w:p w:rsidR="00AB1DE0" w:rsidRPr="008D57DB" w:rsidRDefault="00AB1DE0" w:rsidP="00AB1DE0">
      <w:pPr>
        <w:pStyle w:val="NormalHanging12a"/>
      </w:pPr>
      <w:r w:rsidRPr="008D57DB">
        <w:t>–</w:t>
      </w:r>
      <w:r w:rsidRPr="008D57DB">
        <w:tab/>
        <w:t>uzimajući u obzir članak 227. stavak 2. Poslovnika,</w:t>
      </w:r>
    </w:p>
    <w:p w:rsidR="00AB1DE0" w:rsidRPr="008D57DB" w:rsidRDefault="00AB1DE0" w:rsidP="00AB1DE0">
      <w:pPr>
        <w:pStyle w:val="NormalHanging12a"/>
      </w:pPr>
      <w:r w:rsidRPr="008D57DB">
        <w:t>A.</w:t>
      </w:r>
      <w:r w:rsidRPr="008D57DB">
        <w:tab/>
        <w:t xml:space="preserve">budući da se stotine teretnih vozila svakodnevno zadržavaju na unutarnjim granicama EU-a, uključujući granice između država članica EU-a koje su dio </w:t>
      </w:r>
      <w:proofErr w:type="spellStart"/>
      <w:r w:rsidRPr="008D57DB">
        <w:t>schengenskog</w:t>
      </w:r>
      <w:proofErr w:type="spellEnd"/>
      <w:r w:rsidRPr="008D57DB">
        <w:t xml:space="preserve"> područja i država članica EU-a koje nisu dio </w:t>
      </w:r>
      <w:proofErr w:type="spellStart"/>
      <w:r w:rsidRPr="008D57DB">
        <w:t>schengenskog</w:t>
      </w:r>
      <w:proofErr w:type="spellEnd"/>
      <w:r w:rsidRPr="008D57DB">
        <w:t xml:space="preserve"> područja, gdje se suočavaju s iznimno dugim čekanjima i kašnjenjima zbog obrade i provjera; budući da se trenutačnim europskim pravnim okvirom ne uređuje niti regulira maksimalno vrijeme za obradu robe na granicama;</w:t>
      </w:r>
    </w:p>
    <w:p w:rsidR="00AB1DE0" w:rsidRPr="008D57DB" w:rsidRDefault="00AB1DE0" w:rsidP="00AB1DE0">
      <w:pPr>
        <w:pStyle w:val="NormalHanging12a"/>
      </w:pPr>
      <w:r w:rsidRPr="008D57DB">
        <w:t>B.</w:t>
      </w:r>
      <w:r w:rsidRPr="008D57DB">
        <w:tab/>
        <w:t xml:space="preserve">budući da se razlozi za te redove i kašnjenja na granicama država članica mogu pripisati višestrukim administrativnim, operativnim, sigurnosnim i tehničkim faktorima ili faktorima </w:t>
      </w:r>
      <w:proofErr w:type="spellStart"/>
      <w:r w:rsidRPr="008D57DB">
        <w:t>interoperabilnosti</w:t>
      </w:r>
      <w:proofErr w:type="spellEnd"/>
      <w:r w:rsidRPr="008D57DB">
        <w:t xml:space="preserve">, kao što su nedovoljni operativni i tehnički kapaciteti, manjak osoblja, kontrolni pultovi ili </w:t>
      </w:r>
      <w:proofErr w:type="spellStart"/>
      <w:r w:rsidRPr="008D57DB">
        <w:t>mostne</w:t>
      </w:r>
      <w:proofErr w:type="spellEnd"/>
      <w:r w:rsidRPr="008D57DB">
        <w:t xml:space="preserve"> vage za teretna vozila, kao i koncentracija mnogih institucionalnih tijela na granicama i dugotrajne provjere tereta; budući da je člankom 22. Zakonika o </w:t>
      </w:r>
      <w:proofErr w:type="spellStart"/>
      <w:r w:rsidRPr="008D57DB">
        <w:t>schengenskim</w:t>
      </w:r>
      <w:proofErr w:type="spellEnd"/>
      <w:r w:rsidRPr="008D57DB">
        <w:t xml:space="preserve"> granicama</w:t>
      </w:r>
      <w:r w:rsidRPr="008D57DB">
        <w:rPr>
          <w:rStyle w:val="FootnoteReference"/>
          <w:color w:val="000000"/>
        </w:rPr>
        <w:footnoteReference w:id="6"/>
      </w:r>
      <w:r w:rsidRPr="008D57DB">
        <w:t xml:space="preserve"> utvrđeno načelo nepostojanja provjera i kontrola na unutarnjim granicama između zemalja </w:t>
      </w:r>
      <w:proofErr w:type="spellStart"/>
      <w:r w:rsidRPr="008D57DB">
        <w:t>schengenskog</w:t>
      </w:r>
      <w:proofErr w:type="spellEnd"/>
      <w:r w:rsidRPr="008D57DB">
        <w:t xml:space="preserve"> prostora, u skladu s načelom slobode kretanja utvrđenim u članku 26. stavku 2. UFEU-a, budući da se u članku 24. izričito navodi da države članice trebaju ukloniti sve prepreke neometanom protoku prometa cestovnim prijelazima na unutarnjim granicama;</w:t>
      </w:r>
    </w:p>
    <w:p w:rsidR="00AB1DE0" w:rsidRPr="008D57DB" w:rsidRDefault="00AB1DE0" w:rsidP="00AB1DE0">
      <w:pPr>
        <w:pStyle w:val="NormalHanging12a"/>
      </w:pPr>
      <w:r w:rsidRPr="008D57DB">
        <w:t>C.</w:t>
      </w:r>
      <w:r w:rsidRPr="008D57DB">
        <w:tab/>
        <w:t>budući da gomilanje teških teretnih vozila registriranih u EU-u na granicama može štetno utjecati na zdravlje i radne uvjete vozača, sigurnost na cestama i poslovanje poduzeća za prijevoz tereta te negativno utjecati na tržišno natjecanje i funkcioniranje jedinstvenog tržišta EU-a te povećati troškove cestovnih prijevoznika;</w:t>
      </w:r>
    </w:p>
    <w:p w:rsidR="00AB1DE0" w:rsidRPr="008D57DB" w:rsidRDefault="00AB1DE0" w:rsidP="00AB1DE0">
      <w:pPr>
        <w:pStyle w:val="NormalHanging12a"/>
      </w:pPr>
      <w:r w:rsidRPr="008D57DB">
        <w:t>D.</w:t>
      </w:r>
      <w:r w:rsidRPr="008D57DB">
        <w:tab/>
        <w:t>budući da Bugarska i Rumunjska još uvijek čekaju odluku Vijeća o datumu ukidanja kontrola na unutarnjim kopnenim granicama; budući da bi ukidanje provjera i kontrola na unutarnjim kopnenim granicama pozitivno utjecalo na sudjelovanje Rumunjske i Bugarske na jedinstvenom tržištu EU-a jer bi uklonilo prepreke mobilnosti koje uzrokuju kašnjenja u poslovnim aktivnostima zbog poremećaja u rasporedu isporuke tereta;</w:t>
      </w:r>
    </w:p>
    <w:p w:rsidR="00AB1DE0" w:rsidRPr="008D57DB" w:rsidRDefault="00AB1DE0" w:rsidP="00AB1DE0">
      <w:pPr>
        <w:pStyle w:val="NormalHanging12a"/>
      </w:pPr>
      <w:r w:rsidRPr="008D57DB">
        <w:t>E.</w:t>
      </w:r>
      <w:r w:rsidRPr="008D57DB">
        <w:tab/>
        <w:t xml:space="preserve">budući da teretna vozila zadržana na granicama uzrokuju gubitke od stotina milijuna eura za europska poduzeća, posebno u sektoru logistike, turizma i ugostiteljstva; budući da su rizici koje predstavljaju ta ograničenja prelaska granice postali posebno očiti tijekom </w:t>
      </w:r>
      <w:proofErr w:type="spellStart"/>
      <w:r w:rsidRPr="008D57DB">
        <w:t>pandemije</w:t>
      </w:r>
      <w:proofErr w:type="spellEnd"/>
      <w:r w:rsidRPr="008D57DB">
        <w:t xml:space="preserve"> bolesti COVID-19; budući da zadržavanje statusa quo znatno oslabljuje otpornost EU-a na druga potencijalna izvanredna stanja u području javnog </w:t>
      </w:r>
      <w:r w:rsidRPr="008D57DB">
        <w:lastRenderedPageBreak/>
        <w:t>zdravlja;</w:t>
      </w:r>
    </w:p>
    <w:p w:rsidR="00AB1DE0" w:rsidRPr="008D57DB" w:rsidRDefault="00AB1DE0" w:rsidP="00AB1DE0">
      <w:pPr>
        <w:pStyle w:val="NormalHanging12a"/>
      </w:pPr>
      <w:r w:rsidRPr="008D57DB">
        <w:t>F.</w:t>
      </w:r>
      <w:r w:rsidRPr="008D57DB">
        <w:tab/>
        <w:t>budući da je duljina čekanja teretnih vozila na vanjskim granicama EU-a sa zemljama zapadnog Balkana posebno zabrinjavajuća;</w:t>
      </w:r>
    </w:p>
    <w:p w:rsidR="00AB1DE0" w:rsidRPr="008D57DB" w:rsidRDefault="00AB1DE0" w:rsidP="00AB1DE0">
      <w:pPr>
        <w:pStyle w:val="NormalHanging12a"/>
      </w:pPr>
      <w:r w:rsidRPr="008D57DB">
        <w:t>G.</w:t>
      </w:r>
      <w:r w:rsidRPr="008D57DB">
        <w:tab/>
        <w:t>budući da ti događaji ozbiljno prijete zdravlju i sigurnosti profesionalnih vozača, ugrožavaju njihove radne uvjete i kvalitetu radnih mjesta u toj struci, a istodobno dodatno doprinose globalnom nedostatku vozača kamiona; budući da vozači kamiona u svim državama članicama EU-a često pate od višestrukih oblika kronične boli, kao što je bol u donjem dijelu leđa, koljenima i ramenima; budući da u isto vrijeme česti proizvoljni zahtjevi za istovarom i ponovnim utovarom dovode do značajnih dodatnih zdravstvenih rizika koji često rezultiraju ozljedama jer vozači kamiona u mnogim slučajevima možda nemaju fizičku snagu ili odgovarajuću opremu za podizanje teških predmeta; budući da poslodavci tu dužnost i odgovornost nasumično nameću vozačima kamiona bez dodatne naknade;</w:t>
      </w:r>
    </w:p>
    <w:p w:rsidR="00AB1DE0" w:rsidRPr="008D57DB" w:rsidRDefault="00AB1DE0" w:rsidP="00AB1DE0">
      <w:pPr>
        <w:pStyle w:val="NormalHanging12a"/>
      </w:pPr>
      <w:r w:rsidRPr="008D57DB">
        <w:t>H.</w:t>
      </w:r>
      <w:r w:rsidRPr="008D57DB">
        <w:tab/>
        <w:t>budući da redovi teretnih vozila koja čekaju na granicama izravno utječu na zdravlje europskih građana jer imaju štetan učinak na kvalitetu zraka i uzrokuju onečišćenje vode i onečišćenje bukom te negativno utječu na područja mreže Natura 2000; budući da je, na primjer, u Komunikaciji Komisije od 16. svibnja 2023. istaknuto da se godišnje ispušta 46 000 tona CO2 zbog postojanih kontrola na unutarnjim granicama s Rumunjskom i Bugarskom;</w:t>
      </w:r>
    </w:p>
    <w:p w:rsidR="00AB1DE0" w:rsidRPr="008D57DB" w:rsidRDefault="00AB1DE0" w:rsidP="00AB1DE0">
      <w:pPr>
        <w:pStyle w:val="NormalHanging12a"/>
      </w:pPr>
      <w:r w:rsidRPr="008D57DB">
        <w:t>I.</w:t>
      </w:r>
      <w:r w:rsidRPr="008D57DB">
        <w:tab/>
        <w:t>budući da prometne gužve koje uzrokuju teretna vozila također narušavaju kvalitetu postojeće infrastrukture te istodobno ugrožavaju sigurnost na cestama i povećavaju rizik od prometnih nesreća;</w:t>
      </w:r>
    </w:p>
    <w:p w:rsidR="00AB1DE0" w:rsidRPr="008D57DB" w:rsidRDefault="00AB1DE0" w:rsidP="00AB1DE0">
      <w:pPr>
        <w:pStyle w:val="NormalHanging12a"/>
      </w:pPr>
      <w:r w:rsidRPr="008D57DB">
        <w:t>J.</w:t>
      </w:r>
      <w:r w:rsidRPr="008D57DB">
        <w:tab/>
        <w:t>budući da je povećano javno i privatno financiranje sigurnih i zaštićenih parkirališta za kamione potrebno kako bi se vozačima omogućilo da svoju pauzu uzmu u potpuno sigurnom okruženju; budući da bi se jačanjem sigurnosnih alata, primjerice razvojem namjenskih mobilnih aplikacija, smanjio rizik od toga da vozači kamiona postanu žrtve kaznenih djela;</w:t>
      </w:r>
    </w:p>
    <w:p w:rsidR="00AB1DE0" w:rsidRPr="008D57DB" w:rsidRDefault="00AB1DE0" w:rsidP="00AB1DE0">
      <w:pPr>
        <w:pStyle w:val="NormalHanging12a"/>
      </w:pPr>
      <w:r w:rsidRPr="008D57DB">
        <w:t>1.</w:t>
      </w:r>
      <w:r w:rsidRPr="008D57DB">
        <w:tab/>
        <w:t>poziva Parlament, Vijeće i Komisiju da se pri razvoju ključnih politika EU-a, kao što je transeuropska prometna mreža, usredotoče na posebne mjere kako bi se zajamčio neometan i učinkovit prelazak granice za teretni promet;</w:t>
      </w:r>
    </w:p>
    <w:p w:rsidR="00AB1DE0" w:rsidRPr="008D57DB" w:rsidRDefault="00AB1DE0" w:rsidP="00AB1DE0">
      <w:pPr>
        <w:pStyle w:val="NormalHanging12a"/>
      </w:pPr>
      <w:r w:rsidRPr="008D57DB">
        <w:t>2.</w:t>
      </w:r>
      <w:r w:rsidRPr="008D57DB">
        <w:tab/>
        <w:t xml:space="preserve">poziva Komisiju da, nakon procjene učinka tema opisanih u ovom prijedlogu rezolucije, predloži hitne i obvezujuće zakonodavne mjere za uspostavljanje standarda na razini EU-a od prosječno jedne minute za postupanje s teškim teretnim vozilima na graničnim prijelazima unutar EU-a kako bi se zajamčila protočnost na granicama unutar </w:t>
      </w:r>
      <w:proofErr w:type="spellStart"/>
      <w:r w:rsidRPr="008D57DB">
        <w:t>schengenskog</w:t>
      </w:r>
      <w:proofErr w:type="spellEnd"/>
      <w:r w:rsidRPr="008D57DB">
        <w:t xml:space="preserve"> prostora i izvan njega, čime bi se omogućilo brzo i učinkovito kretanje robe i usluga; naglašava da bi se takvom mjerom znatno poboljšala konkurentnost sektora cestovnog prometa i osiguralo njegovo neometano funkcioniranje na jedinstvenom tržištu; naglašava da postojanost kontrola na kopnenim granicama šteti gospodarskim interesima svih država članica;</w:t>
      </w:r>
    </w:p>
    <w:p w:rsidR="00AB1DE0" w:rsidRPr="008D57DB" w:rsidRDefault="00AB1DE0" w:rsidP="00AB1DE0">
      <w:pPr>
        <w:pStyle w:val="NormalHanging12a"/>
      </w:pPr>
      <w:r w:rsidRPr="008D57DB">
        <w:t>3.</w:t>
      </w:r>
      <w:r w:rsidRPr="008D57DB">
        <w:tab/>
        <w:t xml:space="preserve">naglašava da Komisija od 2011. ponavlja da su i Rumunjska i Bugarska ispunile sve formalne kriterije za pristupanje </w:t>
      </w:r>
      <w:proofErr w:type="spellStart"/>
      <w:r w:rsidRPr="008D57DB">
        <w:t>schengenskom</w:t>
      </w:r>
      <w:proofErr w:type="spellEnd"/>
      <w:r w:rsidRPr="008D57DB">
        <w:t xml:space="preserve"> području; naglašava da se odlukom Vijeća od 30. prosinca 2023. o ukidanju kontrola na zračnim i morskim granicama Rumunjske i Bugarske samo djelomično rješava pitanje trenutačnog narušavanja </w:t>
      </w:r>
      <w:r w:rsidRPr="008D57DB">
        <w:lastRenderedPageBreak/>
        <w:t xml:space="preserve">jedinstvenog tržišta; naglašava da se tom odlukom ne rješava najveće i najvažnije pitanje, a to su kopneni granični prijelazi na kojima se na </w:t>
      </w:r>
      <w:proofErr w:type="spellStart"/>
      <w:r w:rsidRPr="008D57DB">
        <w:t>schengenskoj</w:t>
      </w:r>
      <w:proofErr w:type="spellEnd"/>
      <w:r w:rsidRPr="008D57DB">
        <w:t xml:space="preserve"> kopnenoj granici i dalje provode provjere, čime se otežava neometan prelazak teretnih vozila, autobusa, osobnih automobila i vlakova; ponavlja svoje dugogodišnje stajalište kojim podupire punu primjenu </w:t>
      </w:r>
      <w:proofErr w:type="spellStart"/>
      <w:r w:rsidRPr="008D57DB">
        <w:t>schengenske</w:t>
      </w:r>
      <w:proofErr w:type="spellEnd"/>
      <w:r w:rsidRPr="008D57DB">
        <w:t xml:space="preserve"> pravne stečevine na Bugarsku i Rumunjsku; potiče belgijsko predsjedništvo i sve članove Vijeća da što prije, a najkasnije do sredine 2024., donesu odluku o punoj primjeni </w:t>
      </w:r>
      <w:proofErr w:type="spellStart"/>
      <w:r w:rsidRPr="008D57DB">
        <w:t>schengenske</w:t>
      </w:r>
      <w:proofErr w:type="spellEnd"/>
      <w:r w:rsidRPr="008D57DB">
        <w:t xml:space="preserve"> pravne stečevine u Rumunjskoj i Bugarskoj;</w:t>
      </w:r>
    </w:p>
    <w:p w:rsidR="00AB1DE0" w:rsidRPr="008D57DB" w:rsidRDefault="00AB1DE0" w:rsidP="00AB1DE0">
      <w:pPr>
        <w:pStyle w:val="NormalHanging12a"/>
      </w:pPr>
      <w:r w:rsidRPr="008D57DB">
        <w:t>4.</w:t>
      </w:r>
      <w:r w:rsidRPr="008D57DB">
        <w:tab/>
        <w:t>stoga traži od Komisije da zajamči usklađenost i praćenje primjene poduzetih mjera, među ostalim izricanjem sankcija; ističe potrebu za odgovarajućim i dostatnim financijskim sredstvima i tehničkom potporom EU-a;</w:t>
      </w:r>
    </w:p>
    <w:p w:rsidR="00AB1DE0" w:rsidRPr="008D57DB" w:rsidRDefault="00AB1DE0" w:rsidP="00AB1DE0">
      <w:pPr>
        <w:pStyle w:val="NormalHanging12a"/>
      </w:pPr>
      <w:r w:rsidRPr="008D57DB">
        <w:t>5.</w:t>
      </w:r>
      <w:r w:rsidRPr="008D57DB">
        <w:tab/>
        <w:t>poziva Komisiju i države članice da zakonodavstvo EU-a omogući vozačima kamiona da koriste manje granične prijelaze kad su glavne arterije zatvorene zbog održavanja cesta kako bi se izbjegla ovisnost vozača o proizvoljnim radnjama pojedinih zemalja, a to je pitanje od općeg interesa EU-a;</w:t>
      </w:r>
    </w:p>
    <w:p w:rsidR="00AB1DE0" w:rsidRPr="008D57DB" w:rsidRDefault="00AB1DE0" w:rsidP="00AB1DE0">
      <w:pPr>
        <w:pStyle w:val="NormalHanging12a"/>
      </w:pPr>
      <w:r w:rsidRPr="008D57DB">
        <w:t>6.</w:t>
      </w:r>
      <w:r w:rsidRPr="008D57DB">
        <w:tab/>
        <w:t>poziva Komisiju da u suradnji s državama članicama i relevantnim dionicima predloži konkretne mjere za rješavanje problema nedostatka profesionalnih vozača u EU-u poticanjem interesa među mladima financiranjem posebnog (ponovnog) osposobljavanja i kvalifikacija te poticanjem partnerstava između strukovnih škola i prijevoznih poduzeća, uključujući posebnu proračunsku potporu EU-a;</w:t>
      </w:r>
    </w:p>
    <w:p w:rsidR="00AB1DE0" w:rsidRPr="008D57DB" w:rsidRDefault="00AB1DE0" w:rsidP="00AB1DE0">
      <w:pPr>
        <w:pStyle w:val="NormalHanging12a"/>
      </w:pPr>
      <w:r w:rsidRPr="008D57DB">
        <w:t>7.</w:t>
      </w:r>
      <w:r w:rsidRPr="008D57DB">
        <w:tab/>
        <w:t>poziva države članice da dodatno pojačaju napore za jačanje prekogranične suradnje u području krađe s teretnih vozila;</w:t>
      </w:r>
    </w:p>
    <w:p w:rsidR="00AB1DE0" w:rsidRPr="008D57DB" w:rsidRDefault="00AB1DE0" w:rsidP="008D57DB">
      <w:pPr>
        <w:ind w:left="567" w:hanging="567"/>
      </w:pPr>
      <w:r w:rsidRPr="008D57DB">
        <w:t>8.</w:t>
      </w:r>
      <w:r w:rsidRPr="008D57DB">
        <w:tab/>
        <w:t>nalaže svojoj predsjednici da ovu Rezoluciju proslijedi Komisiji, Vijeću i relevantnim nacionalnim tijelima.</w:t>
      </w:r>
    </w:p>
    <w:sectPr w:rsidR="00AB1DE0" w:rsidRPr="008D57DB" w:rsidSect="00D94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891" w:rsidRPr="00D944BD" w:rsidRDefault="00536891">
      <w:r w:rsidRPr="00D944BD">
        <w:separator/>
      </w:r>
    </w:p>
  </w:endnote>
  <w:endnote w:type="continuationSeparator" w:id="0">
    <w:p w:rsidR="00536891" w:rsidRPr="00D944BD" w:rsidRDefault="00536891">
      <w:r w:rsidRPr="00D94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891" w:rsidRPr="00D944BD" w:rsidRDefault="00536891">
      <w:r w:rsidRPr="00D944BD">
        <w:separator/>
      </w:r>
    </w:p>
  </w:footnote>
  <w:footnote w:type="continuationSeparator" w:id="0">
    <w:p w:rsidR="00536891" w:rsidRPr="00D944BD" w:rsidRDefault="00536891">
      <w:r w:rsidRPr="00D944BD">
        <w:continuationSeparator/>
      </w:r>
    </w:p>
  </w:footnote>
  <w:footnote w:id="1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>SL C 149, 28.4.2023., str. 11.</w:t>
      </w:r>
    </w:p>
  </w:footnote>
  <w:footnote w:id="2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>Usvojeni tekstovi, P9_TA(2023)0278.</w:t>
      </w:r>
    </w:p>
  </w:footnote>
  <w:footnote w:id="3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>SL C 224, 8.6.2022</w:t>
      </w:r>
      <w:r w:rsidR="008D57DB">
        <w:rPr>
          <w:sz w:val="24"/>
          <w:lang w:val="hr-HR"/>
        </w:rPr>
        <w:t>.</w:t>
      </w:r>
      <w:r w:rsidRPr="00D944BD">
        <w:rPr>
          <w:sz w:val="24"/>
          <w:lang w:val="hr-HR"/>
        </w:rPr>
        <w:t>, str. 95.</w:t>
      </w:r>
    </w:p>
  </w:footnote>
  <w:footnote w:id="4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>SL C, C/2023/1058, 15.12.2023., ELI: http://data.europa.eu/eli/C/2023/1058/oj.</w:t>
      </w:r>
    </w:p>
  </w:footnote>
  <w:footnote w:id="5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>SL C, C/2024/481, 23.1.2024., ELI: http://data.europa.eu/eli/C/2024/481/oj.</w:t>
      </w:r>
    </w:p>
  </w:footnote>
  <w:footnote w:id="6">
    <w:p w:rsidR="00AB1DE0" w:rsidRPr="00D944BD" w:rsidRDefault="00AB1DE0" w:rsidP="00D944BD">
      <w:pPr>
        <w:pStyle w:val="FootnoteText"/>
        <w:ind w:left="567" w:hanging="567"/>
        <w:rPr>
          <w:sz w:val="24"/>
          <w:lang w:val="hr-HR"/>
        </w:rPr>
      </w:pPr>
      <w:r w:rsidRPr="00D944BD">
        <w:rPr>
          <w:rStyle w:val="FootnoteReference"/>
          <w:sz w:val="24"/>
          <w:lang w:val="hr-HR"/>
        </w:rPr>
        <w:footnoteRef/>
      </w:r>
      <w:r w:rsidR="00D944BD" w:rsidRPr="00D944BD">
        <w:rPr>
          <w:sz w:val="24"/>
          <w:lang w:val="hr-HR"/>
        </w:rPr>
        <w:t xml:space="preserve"> </w:t>
      </w:r>
      <w:r w:rsidR="00D944BD" w:rsidRPr="00D944BD">
        <w:rPr>
          <w:sz w:val="24"/>
          <w:lang w:val="hr-HR"/>
        </w:rPr>
        <w:tab/>
      </w:r>
      <w:r w:rsidRPr="00D944BD">
        <w:rPr>
          <w:sz w:val="24"/>
          <w:lang w:val="hr-HR"/>
        </w:rPr>
        <w:t xml:space="preserve">Uredba (EU) 2016/399 od 9. ožujka 2016. o Zakoniku Unije o pravilima kojima se uređuje kretanje osoba preko granica (Zakonik o </w:t>
      </w:r>
      <w:proofErr w:type="spellStart"/>
      <w:r w:rsidRPr="00D944BD">
        <w:rPr>
          <w:sz w:val="24"/>
          <w:lang w:val="hr-HR"/>
        </w:rPr>
        <w:t>schengenskim</w:t>
      </w:r>
      <w:proofErr w:type="spellEnd"/>
      <w:r w:rsidRPr="00D944BD">
        <w:rPr>
          <w:sz w:val="24"/>
          <w:lang w:val="hr-HR"/>
        </w:rPr>
        <w:t xml:space="preserve"> granicama) </w:t>
      </w:r>
      <w:r w:rsidR="008D57DB">
        <w:rPr>
          <w:sz w:val="24"/>
          <w:lang w:val="hr-HR"/>
        </w:rPr>
        <w:t>(</w:t>
      </w:r>
      <w:r w:rsidRPr="00D944BD">
        <w:rPr>
          <w:sz w:val="24"/>
          <w:lang w:val="hr-HR"/>
        </w:rPr>
        <w:t>SL L 77, 23.3.2016., str. 1.</w:t>
      </w:r>
      <w:r w:rsidR="008D57DB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HR"/>
    <w:docVar w:name="dvnumam" w:val="0"/>
    <w:docVar w:name="dvpe" w:val="758.769"/>
    <w:docVar w:name="dvtitre" w:val="Rezolucija Europskog parlamenta od .... 2024. o postupanju s teškim teretnim vozilima na graničnim prijelazima na temelju predstavke br. 0146/2023(2024/2540(RSP))"/>
  </w:docVars>
  <w:rsids>
    <w:rsidRoot w:val="005368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891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737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7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DE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4BD"/>
    <w:rsid w:val="00DA7FCD"/>
    <w:rsid w:val="00E365E1"/>
    <w:rsid w:val="00E4352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A4181"/>
  <w15:chartTrackingRefBased/>
  <w15:docId w15:val="{9688F12E-4CED-4173-A42B-D67A4CE4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1DE0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AB1DE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E6AFF-1C4C-499E-8DFC-9795AD85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1316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2024-06-03T11:09:00Z</dcterms:created>
  <dcterms:modified xsi:type="dcterms:W3CDTF">2024-06-03T11:09:00Z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