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7D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7D3E" w:rsidRDefault="005A09D4" w:rsidP="0010095E">
            <w:pPr>
              <w:pStyle w:val="EPName"/>
            </w:pPr>
            <w:r w:rsidRPr="00297D3E">
              <w:t>Európai Parlament</w:t>
            </w:r>
          </w:p>
          <w:p w:rsidR="00751A4A" w:rsidRPr="00297D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7D3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97D3E" w:rsidRDefault="00187494" w:rsidP="0010095E">
            <w:pPr>
              <w:pStyle w:val="EPLogo"/>
            </w:pPr>
            <w:r w:rsidRPr="00297D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7D3E" w:rsidRDefault="00D058B8" w:rsidP="004C5D52">
      <w:pPr>
        <w:pStyle w:val="LineTop"/>
      </w:pPr>
    </w:p>
    <w:p w:rsidR="00680577" w:rsidRPr="00297D3E" w:rsidRDefault="005A09D4" w:rsidP="00680577">
      <w:pPr>
        <w:pStyle w:val="EPBodyTA1"/>
      </w:pPr>
      <w:r w:rsidRPr="00297D3E">
        <w:t>ELFOGADOTT SZÖVEGEK</w:t>
      </w:r>
    </w:p>
    <w:p w:rsidR="00D058B8" w:rsidRPr="00297D3E" w:rsidRDefault="00D058B8" w:rsidP="00D058B8">
      <w:pPr>
        <w:pStyle w:val="LineBottom"/>
      </w:pPr>
    </w:p>
    <w:p w:rsidR="005A09D4" w:rsidRPr="00274978" w:rsidRDefault="005A09D4" w:rsidP="005A09D4">
      <w:pPr>
        <w:pStyle w:val="ATHeading1"/>
      </w:pPr>
      <w:bookmarkStart w:id="0" w:name="TANumber"/>
      <w:r w:rsidRPr="00274978">
        <w:t>P9_</w:t>
      </w:r>
      <w:proofErr w:type="gramStart"/>
      <w:r w:rsidRPr="00274978">
        <w:t>TA(</w:t>
      </w:r>
      <w:proofErr w:type="gramEnd"/>
      <w:r w:rsidRPr="00274978">
        <w:t>2024)0</w:t>
      </w:r>
      <w:r w:rsidR="00274978" w:rsidRPr="00274978">
        <w:t>223</w:t>
      </w:r>
      <w:bookmarkEnd w:id="0"/>
    </w:p>
    <w:p w:rsidR="005A09D4" w:rsidRPr="00274978" w:rsidRDefault="001C2EFA" w:rsidP="005A09D4">
      <w:pPr>
        <w:pStyle w:val="ATHeading2"/>
      </w:pPr>
      <w:r w:rsidRPr="00274978">
        <w:t>A nehéz tehergépjárművek kezelése a határátkelőhelyen</w:t>
      </w:r>
    </w:p>
    <w:p w:rsidR="005A09D4" w:rsidRPr="00274978" w:rsidRDefault="005A09D4" w:rsidP="005A09D4">
      <w:pPr>
        <w:rPr>
          <w:i/>
          <w:vanish/>
        </w:rPr>
      </w:pPr>
      <w:r w:rsidRPr="00274978">
        <w:rPr>
          <w:i/>
        </w:rPr>
        <w:fldChar w:fldCharType="begin"/>
      </w:r>
      <w:r w:rsidRPr="00274978">
        <w:rPr>
          <w:i/>
        </w:rPr>
        <w:instrText xml:space="preserve"> TC"(</w:instrText>
      </w:r>
      <w:bookmarkStart w:id="1" w:name="DocNumber"/>
      <w:r w:rsidRPr="00274978">
        <w:rPr>
          <w:i/>
        </w:rPr>
        <w:instrText>B9-0201/2024</w:instrText>
      </w:r>
      <w:bookmarkEnd w:id="1"/>
      <w:r w:rsidRPr="00274978">
        <w:rPr>
          <w:i/>
        </w:rPr>
        <w:instrText xml:space="preserve">)"\l3 \n&gt; \* MERGEFORMAT </w:instrText>
      </w:r>
      <w:r w:rsidRPr="00274978">
        <w:rPr>
          <w:i/>
        </w:rPr>
        <w:fldChar w:fldCharType="end"/>
      </w:r>
    </w:p>
    <w:p w:rsidR="005A09D4" w:rsidRPr="00274978" w:rsidRDefault="005A09D4" w:rsidP="005A09D4">
      <w:pPr>
        <w:rPr>
          <w:vanish/>
        </w:rPr>
      </w:pPr>
      <w:bookmarkStart w:id="2" w:name="PE"/>
      <w:r w:rsidRPr="00274978">
        <w:rPr>
          <w:vanish/>
        </w:rPr>
        <w:t>PE758.769</w:t>
      </w:r>
      <w:bookmarkEnd w:id="2"/>
    </w:p>
    <w:p w:rsidR="005A09D4" w:rsidRPr="00274978" w:rsidRDefault="005A09D4" w:rsidP="005A09D4">
      <w:pPr>
        <w:pStyle w:val="ATHeading3"/>
      </w:pPr>
      <w:bookmarkStart w:id="3" w:name="Sujet"/>
      <w:r w:rsidRPr="00274978">
        <w:t xml:space="preserve">Az Európai Parlament 2024. </w:t>
      </w:r>
      <w:r w:rsidR="00546152" w:rsidRPr="00274978">
        <w:t>április 10</w:t>
      </w:r>
      <w:r w:rsidRPr="00274978">
        <w:t>-i állásfoglalása a nehéz</w:t>
      </w:r>
      <w:bookmarkStart w:id="4" w:name="_GoBack"/>
      <w:bookmarkEnd w:id="4"/>
      <w:r w:rsidRPr="00274978">
        <w:t xml:space="preserve"> tehergépjárművek határátkelőhelyeken történő kezeléséről a 0146/2023. számú </w:t>
      </w:r>
      <w:proofErr w:type="gramStart"/>
      <w:r w:rsidRPr="00274978">
        <w:t>petíció</w:t>
      </w:r>
      <w:proofErr w:type="gramEnd"/>
      <w:r w:rsidRPr="00274978">
        <w:t xml:space="preserve"> alapján</w:t>
      </w:r>
      <w:bookmarkEnd w:id="3"/>
      <w:r w:rsidRPr="00274978">
        <w:t xml:space="preserve"> </w:t>
      </w:r>
      <w:bookmarkStart w:id="5" w:name="References"/>
      <w:r w:rsidRPr="00274978">
        <w:t>(2024/2540(RSP))</w:t>
      </w:r>
      <w:bookmarkEnd w:id="5"/>
    </w:p>
    <w:p w:rsidR="00A70088" w:rsidRPr="00274978" w:rsidRDefault="00A70088" w:rsidP="00A70088">
      <w:pPr>
        <w:pStyle w:val="EPComma"/>
      </w:pPr>
      <w:bookmarkStart w:id="6" w:name="TextBodyBegin"/>
      <w:bookmarkEnd w:id="6"/>
      <w:r w:rsidRPr="00274978">
        <w:rPr>
          <w:i/>
        </w:rPr>
        <w:t>Az Európai Parlament,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az Európai Unió működéséről szóló szerződés (EUMSZ) 26</w:t>
      </w:r>
      <w:proofErr w:type="gramStart"/>
      <w:r w:rsidRPr="00274978">
        <w:t>.,</w:t>
      </w:r>
      <w:proofErr w:type="gramEnd"/>
      <w:r w:rsidRPr="00274978">
        <w:t xml:space="preserve"> 28–37. cikkére, valamint 67. cikkének (1) és (2) bekezdésére,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 xml:space="preserve">tekintettel a Petíciós Bizottság 2023. november 29-i ülésén a 0146/2023. számú </w:t>
      </w:r>
      <w:proofErr w:type="gramStart"/>
      <w:r w:rsidRPr="00274978">
        <w:t>petícióról</w:t>
      </w:r>
      <w:proofErr w:type="gramEnd"/>
      <w:r w:rsidRPr="00274978">
        <w:t xml:space="preserve"> folytatott vitára,</w:t>
      </w:r>
    </w:p>
    <w:p w:rsidR="00A70088" w:rsidRPr="00274978" w:rsidRDefault="00A70088" w:rsidP="00546152">
      <w:pPr>
        <w:pStyle w:val="NormalHanging12a"/>
        <w:widowControl/>
        <w:rPr>
          <w:bCs/>
          <w:szCs w:val="24"/>
          <w:shd w:val="clear" w:color="auto" w:fill="FFFFFF"/>
        </w:rPr>
      </w:pPr>
      <w:r w:rsidRPr="00274978">
        <w:t>–</w:t>
      </w:r>
      <w:r w:rsidRPr="00274978">
        <w:tab/>
        <w:t xml:space="preserve">tekintettel a „Schengeni határok – a </w:t>
      </w:r>
      <w:proofErr w:type="gramStart"/>
      <w:r w:rsidRPr="00274978">
        <w:t>petíciók</w:t>
      </w:r>
      <w:proofErr w:type="gramEnd"/>
      <w:r w:rsidRPr="00274978">
        <w:t xml:space="preserve"> benyújtói által felvetett kérdések” címmel a </w:t>
      </w:r>
      <w:r w:rsidRPr="00274978">
        <w:rPr>
          <w:shd w:val="clear" w:color="auto" w:fill="FFFFFF"/>
        </w:rPr>
        <w:t>Petíciós Bizottság és az Állampolgári Jogi, Bel- és Igazságügyi Bizottság által közösen tartott</w:t>
      </w:r>
      <w:r w:rsidR="00472C37" w:rsidRPr="00274978">
        <w:rPr>
          <w:shd w:val="clear" w:color="auto" w:fill="FFFFFF"/>
        </w:rPr>
        <w:t>,</w:t>
      </w:r>
      <w:r w:rsidRPr="00274978">
        <w:rPr>
          <w:shd w:val="clear" w:color="auto" w:fill="FFFFFF"/>
        </w:rPr>
        <w:t xml:space="preserve"> 2023. július 18-i</w:t>
      </w:r>
      <w:r w:rsidR="00472C37" w:rsidRPr="00274978">
        <w:rPr>
          <w:shd w:val="clear" w:color="auto" w:fill="FFFFFF"/>
        </w:rPr>
        <w:t xml:space="preserve"> </w:t>
      </w:r>
      <w:r w:rsidRPr="00274978">
        <w:t>nyilvános meghallgatásra,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a „Schengen megerősítése Bulgáriának, Romániának és Horvátországnak a belső határellenőrzések nélküli térségben való teljes körű részvételével” című, a Parlamenthez és a Tanácshoz intézett</w:t>
      </w:r>
      <w:r w:rsidR="00472C37" w:rsidRPr="00274978">
        <w:t>,</w:t>
      </w:r>
      <w:r w:rsidRPr="00274978">
        <w:t xml:space="preserve"> 2022. november 16-i bizottsági közleményre (</w:t>
      </w:r>
      <w:proofErr w:type="gramStart"/>
      <w:r w:rsidRPr="00274978">
        <w:t>COM(</w:t>
      </w:r>
      <w:proofErr w:type="gramEnd"/>
      <w:r w:rsidRPr="00274978">
        <w:t>2022)0636),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a Románia és Bulgária schengeni térséghez való csatlakozásáról</w:t>
      </w:r>
      <w:r w:rsidRPr="00274978">
        <w:rPr>
          <w:rStyle w:val="FootnoteReference"/>
          <w:color w:val="000000"/>
        </w:rPr>
        <w:footnoteReference w:id="1"/>
      </w:r>
      <w:r w:rsidRPr="00274978">
        <w:t xml:space="preserve"> szóló, 2022. október 18-i és 2023. július 12-i állásfoglalására</w:t>
      </w:r>
      <w:r w:rsidRPr="00274978">
        <w:rPr>
          <w:rStyle w:val="FootnoteReference"/>
          <w:color w:val="000000"/>
        </w:rPr>
        <w:footnoteReference w:id="2"/>
      </w:r>
      <w:r w:rsidRPr="00274978">
        <w:t>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a Tanács 2023. december 30-i egyhangú határozatára, amely szerint Romániát és Bulgáriát a befogadják a schengeni térségbe, és első lépésként 2024 márciusától megszüntetik a légi és tengeri határokon végzett ellenőrzéseket;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az EU-ban található tehergépjármű-parkolók biztonságáról szóló, 2021. november 25-i állásfoglalására</w:t>
      </w:r>
      <w:r w:rsidRPr="00274978">
        <w:rPr>
          <w:rStyle w:val="FootnoteReference"/>
          <w:color w:val="000000"/>
        </w:rPr>
        <w:footnoteReference w:id="3"/>
      </w:r>
      <w:r w:rsidRPr="00274978">
        <w:t>,</w:t>
      </w:r>
    </w:p>
    <w:p w:rsidR="00A70088" w:rsidRPr="00274978" w:rsidRDefault="00A70088" w:rsidP="00546152">
      <w:pPr>
        <w:pStyle w:val="NormalHanging12a"/>
        <w:widowControl/>
      </w:pPr>
      <w:r w:rsidRPr="00274978">
        <w:lastRenderedPageBreak/>
        <w:t>–</w:t>
      </w:r>
      <w:r w:rsidRPr="00274978">
        <w:tab/>
        <w:t>tekintettel a városi mobilitás új uniós keretrendszeréről szóló, 2023. május 9-i állásfoglalására</w:t>
      </w:r>
      <w:r w:rsidRPr="00274978">
        <w:rPr>
          <w:rStyle w:val="FootnoteReference"/>
          <w:color w:val="000000"/>
        </w:rPr>
        <w:footnoteReference w:id="4"/>
      </w:r>
      <w:r w:rsidRPr="00274978">
        <w:t>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„</w:t>
      </w:r>
      <w:proofErr w:type="gramStart"/>
      <w:r w:rsidRPr="00274978">
        <w:t>A</w:t>
      </w:r>
      <w:proofErr w:type="gramEnd"/>
      <w:r w:rsidRPr="00274978">
        <w:t xml:space="preserve"> nagy közlekedési infrastrukturális projektek az EU-ban – a projektek végrehajtása és az uniós források nyomon követése és ellenőrzése” című, 2023. június 13-i állásfoglalására</w:t>
      </w:r>
      <w:r w:rsidRPr="00274978">
        <w:rPr>
          <w:rStyle w:val="FootnoteReference"/>
          <w:color w:val="000000"/>
        </w:rPr>
        <w:footnoteReference w:id="5"/>
      </w:r>
      <w:r w:rsidRPr="00274978">
        <w:t>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a transzeurópai közlekedési hálózat fejlesztésére vonatkozó uniós iránymutatásokról, az (EU) 2021/1153 rendelet és a 913/2010/EU rendelet módosításáról, valamint az 1315/2013/EU rendelet hatályon kívül helyezéséről szóló rendeletre irányuló javaslatra (</w:t>
      </w:r>
      <w:proofErr w:type="gramStart"/>
      <w:r w:rsidRPr="00274978">
        <w:t>COM(</w:t>
      </w:r>
      <w:proofErr w:type="gramEnd"/>
      <w:r w:rsidRPr="00274978">
        <w:t>2021)0812),</w:t>
      </w:r>
    </w:p>
    <w:p w:rsidR="00A70088" w:rsidRPr="00274978" w:rsidRDefault="00A70088" w:rsidP="00546152">
      <w:pPr>
        <w:pStyle w:val="NormalHanging12a"/>
        <w:widowControl/>
      </w:pPr>
      <w:r w:rsidRPr="00274978">
        <w:t>–</w:t>
      </w:r>
      <w:r w:rsidRPr="00274978">
        <w:tab/>
        <w:t>tekintettel eljárási szabályzata 227. cikkének (2) bekezdésére,</w:t>
      </w:r>
    </w:p>
    <w:p w:rsidR="00A70088" w:rsidRPr="00274978" w:rsidRDefault="00A70088" w:rsidP="00546152">
      <w:pPr>
        <w:pStyle w:val="NormalHanging12a"/>
        <w:widowControl/>
      </w:pPr>
      <w:r w:rsidRPr="00274978">
        <w:t>A.</w:t>
      </w:r>
      <w:r w:rsidRPr="00274978">
        <w:tab/>
      </w:r>
      <w:proofErr w:type="gramStart"/>
      <w:r w:rsidRPr="00274978">
        <w:t>mivel</w:t>
      </w:r>
      <w:proofErr w:type="gramEnd"/>
      <w:r w:rsidRPr="00274978">
        <w:t xml:space="preserve"> naponta több száz tehergépjárművet állítanak meg az EU belső határain, köztük a schengeni térségbe tartozó és azon kívüli uniós tagállamok közötti határokon, ahol az ügyintézés és az ellenőrzések miatt rendkívül hosszú várakozási időkkel és késedelmekkel szembesülnek; mivel a jelenlegi európai jogi keret nem kezeli és szabályozza kifejezetten az árukkal kapcsolatos, határokon történő ügyintézés maximális időtartamát;</w:t>
      </w:r>
    </w:p>
    <w:p w:rsidR="00A70088" w:rsidRPr="00274978" w:rsidRDefault="00A70088" w:rsidP="00546152">
      <w:pPr>
        <w:pStyle w:val="NormalHanging12a"/>
        <w:widowControl/>
      </w:pPr>
      <w:proofErr w:type="gramStart"/>
      <w:r w:rsidRPr="00274978">
        <w:t>B.</w:t>
      </w:r>
      <w:r w:rsidRPr="00274978">
        <w:tab/>
        <w:t xml:space="preserve">mivel a tagállamok határain tapasztalható torlódások és késedelmek okai sokféle adminisztratív, működési, biztonsági, műszaki vagy </w:t>
      </w:r>
      <w:proofErr w:type="spellStart"/>
      <w:r w:rsidRPr="00274978">
        <w:t>interoperabilitási</w:t>
      </w:r>
      <w:proofErr w:type="spellEnd"/>
      <w:r w:rsidRPr="00274978">
        <w:t xml:space="preserve"> tényezőre – például az elégtelen működési és műszaki kapacitásra, a személyzet, az ellenőrzőpultok, a teherszállító járművekhez használt hídmérlegek hiányára, számos intézményi szerv határokon való koncentrációjára és a rakományok hosszadalmas, időigényes ellenőrzésére – vezethetők vissza; mivel a Schengeni határellenőrzési kódex</w:t>
      </w:r>
      <w:r w:rsidRPr="00274978">
        <w:rPr>
          <w:rStyle w:val="FootnoteReference"/>
          <w:color w:val="000000"/>
        </w:rPr>
        <w:footnoteReference w:id="6"/>
      </w:r>
      <w:r w:rsidRPr="00274978">
        <w:t xml:space="preserve"> 22. cikke az EUMSZ 26. cikkének (2) bekezdésében meghatározott szabad mozgás elvével összhangban rögzíti a schengeni</w:t>
      </w:r>
      <w:proofErr w:type="gramEnd"/>
      <w:r w:rsidRPr="00274978">
        <w:t xml:space="preserve"> </w:t>
      </w:r>
      <w:proofErr w:type="gramStart"/>
      <w:r w:rsidRPr="00274978">
        <w:t>országok</w:t>
      </w:r>
      <w:proofErr w:type="gramEnd"/>
      <w:r w:rsidRPr="00274978">
        <w:t xml:space="preserve"> közötti belső határokon történő ellenőrzések mellőzésének elvét, mivel a 24. cikk kifejezetten kimondja, hogy a tagállamoknak meg kell szüntetniük a közúti határátkelőhelyeken zajló zökkenőmentes forgalom valamennyi akadályát a belső határokon;</w:t>
      </w:r>
    </w:p>
    <w:p w:rsidR="00A70088" w:rsidRPr="00274978" w:rsidRDefault="00A70088" w:rsidP="00546152">
      <w:pPr>
        <w:pStyle w:val="NormalHanging12a"/>
        <w:widowControl/>
      </w:pPr>
      <w:r w:rsidRPr="00274978">
        <w:t>C.</w:t>
      </w:r>
      <w:r w:rsidRPr="00274978">
        <w:tab/>
        <w:t>mivel az Unióban nyilvántartásba vett nehéz tehergépjárművek határokon való feltorlódása káros hatással lehet a járművezetők egészségére és munkakörülményeire, a közúti közlekedésbiztonságra és az árufuvarozó vállalkozások működésére, káros hatást gyakorolhat a versenyre és az uniós egységes piac működésére, és növelheti a közúti fuvarozók költségeit;</w:t>
      </w:r>
    </w:p>
    <w:p w:rsidR="00A70088" w:rsidRPr="00274978" w:rsidRDefault="00A70088" w:rsidP="00546152">
      <w:pPr>
        <w:pStyle w:val="NormalHanging12a"/>
        <w:widowControl/>
      </w:pPr>
      <w:proofErr w:type="gramStart"/>
      <w:r w:rsidRPr="00274978">
        <w:t>D.</w:t>
      </w:r>
      <w:r w:rsidRPr="00274978">
        <w:tab/>
        <w:t xml:space="preserve">mivel Bulgária és Románia továbbra is a belső szárazföldi határokon történő ellenőrzések megszüntetésének időpontjáról szóló tanácsi határozat meghozatalára vár; mivel Bulgária és Románia továbbra is a belső szárazföldi határokon történő ellenőrzések megszüntetésének időpontjáról szóló tanácsi határozat meghozatalára vár, a belső szárazföldi határokon végzett határforgalom-ellenőrzés megszüntetése kedvező </w:t>
      </w:r>
      <w:r w:rsidRPr="00274978">
        <w:lastRenderedPageBreak/>
        <w:t>hatást gyakorolna Románia és Bulgária részvételére az EU egységes piacán, felszámolva a mobilitás akadályait, amelyek az áruszállítási menetrendek megzavarásával késedelmeket okoznak az üzleti</w:t>
      </w:r>
      <w:proofErr w:type="gramEnd"/>
      <w:r w:rsidRPr="00274978">
        <w:t xml:space="preserve"> </w:t>
      </w:r>
      <w:proofErr w:type="gramStart"/>
      <w:r w:rsidRPr="00274978">
        <w:t>tevékenységekben</w:t>
      </w:r>
      <w:proofErr w:type="gramEnd"/>
      <w:r w:rsidRPr="00274978">
        <w:t>;</w:t>
      </w:r>
    </w:p>
    <w:p w:rsidR="00A70088" w:rsidRPr="00274978" w:rsidRDefault="00A70088" w:rsidP="00546152">
      <w:pPr>
        <w:pStyle w:val="NormalHanging12a"/>
        <w:widowControl/>
      </w:pPr>
      <w:r w:rsidRPr="00274978">
        <w:t>E.</w:t>
      </w:r>
      <w:r w:rsidRPr="00274978">
        <w:tab/>
      </w:r>
      <w:proofErr w:type="gramStart"/>
      <w:r w:rsidRPr="00274978">
        <w:t>mivel</w:t>
      </w:r>
      <w:proofErr w:type="gramEnd"/>
      <w:r w:rsidRPr="00274978">
        <w:t xml:space="preserve"> a tehergépjárművek várakozási ideje a határokon több százmillió eurós veszteséget okoz az európai vállalkozásoknak, különösen a logisztikai, az idegenforgalmi és a vendéglátóipari ágazatban; mivel az ilyen határátlépési korlátozások jelentette kockázatok különösen nyilvánvalóvá váltak a Covid-19-világjárvány idején; mivel a status quo fenntartása jelentősen gyengíti az EU más lehetséges népegészségügyi szükséghelyzetekkel szembeni ellenálló képességét;</w:t>
      </w:r>
    </w:p>
    <w:p w:rsidR="00A70088" w:rsidRPr="00274978" w:rsidRDefault="00A70088" w:rsidP="00546152">
      <w:pPr>
        <w:pStyle w:val="NormalHanging12a"/>
        <w:widowControl/>
      </w:pPr>
      <w:r w:rsidRPr="00274978">
        <w:t>F.</w:t>
      </w:r>
      <w:r w:rsidRPr="00274978">
        <w:tab/>
      </w:r>
      <w:proofErr w:type="gramStart"/>
      <w:r w:rsidRPr="00274978">
        <w:t>mivel</w:t>
      </w:r>
      <w:proofErr w:type="gramEnd"/>
      <w:r w:rsidRPr="00274978">
        <w:t xml:space="preserve"> különös aggodalomra ad okot az EU nyugat-balkáni országokkal közös külső határain feltorlódott tehergépjárműsorok hosszúsága;</w:t>
      </w:r>
    </w:p>
    <w:p w:rsidR="00A70088" w:rsidRPr="00274978" w:rsidRDefault="00A70088" w:rsidP="00546152">
      <w:pPr>
        <w:pStyle w:val="NormalHanging12a"/>
        <w:widowControl/>
      </w:pPr>
      <w:r w:rsidRPr="00274978">
        <w:t>G.</w:t>
      </w:r>
      <w:r w:rsidRPr="00274978">
        <w:tab/>
      </w:r>
      <w:proofErr w:type="gramStart"/>
      <w:r w:rsidRPr="00274978">
        <w:t>mivel ezek az események súlyos kockázatot jelentenek a hivatásos járművezetők egészségére és biztonságára, veszélyeztetik munkakörülményeiket, aláássák a munkahelyek minőségét a szakmában, egyúttal pedig hozzájárulnak a globális tehergépjárművezető-hiányhoz; mivel a tehergépjármű-vezetők valamennyi uniós tagállamban gyakran a krónikus fájdalom többféle formájától, például derékfájdalomtól, térd- és vállfájdalomtól szenvednek; mivel ugyanakkor a rakomány kirakodásának és újbóli berakodásának gyakori önkényes előírása jelentős további egészségügyi kockázatokkal jár, amelyek sokszor sérülésekhez</w:t>
      </w:r>
      <w:proofErr w:type="gramEnd"/>
      <w:r w:rsidRPr="00274978">
        <w:t xml:space="preserve"> </w:t>
      </w:r>
      <w:proofErr w:type="gramStart"/>
      <w:r w:rsidRPr="00274978">
        <w:t>vezetnek</w:t>
      </w:r>
      <w:proofErr w:type="gramEnd"/>
      <w:r w:rsidRPr="00274978">
        <w:t>, mivel a tehergépjármű-vezetők sok esetben nem rendelkeznek a nehéz súlyok emeléséhez szükséges fizikai erővel vagy megfelelő felszereléssel; mivel a munkáltatók ezt a feladatot és kötelezettséget véletlenszerűen, további díjazás nélkül róják a tehergépjármű-vezetőkre;</w:t>
      </w:r>
    </w:p>
    <w:p w:rsidR="00A70088" w:rsidRPr="00274978" w:rsidRDefault="00A70088" w:rsidP="00546152">
      <w:pPr>
        <w:pStyle w:val="NormalHanging12a"/>
        <w:widowControl/>
      </w:pPr>
      <w:r w:rsidRPr="00274978">
        <w:t>H.</w:t>
      </w:r>
      <w:r w:rsidRPr="00274978">
        <w:tab/>
      </w:r>
      <w:proofErr w:type="gramStart"/>
      <w:r w:rsidRPr="00274978">
        <w:t>mivel</w:t>
      </w:r>
      <w:proofErr w:type="gramEnd"/>
      <w:r w:rsidRPr="00274978">
        <w:t xml:space="preserve"> a határokon várakozó tehergépjárműsorok közvetlenül is befolyásolják az európai polgárok egészségét, káros hatást gyakorolnak a levegőminőségre, valamint víz- és zajszennyezést okoznak, ami jelentősen károsítja a </w:t>
      </w:r>
      <w:proofErr w:type="spellStart"/>
      <w:r w:rsidRPr="00274978">
        <w:t>Natura</w:t>
      </w:r>
      <w:proofErr w:type="spellEnd"/>
      <w:r w:rsidRPr="00274978">
        <w:t xml:space="preserve"> 2000 területeket; mivel például a Bizottság 2023. május 16-i közleménye hangsúlyozta, hogy a Romániával és Bulgáriával közös belső határokon továbbra is fennálló határellenőrzések miatt évente 46 000 tonna szén-dioxid kerül kibocsátásra;</w:t>
      </w:r>
    </w:p>
    <w:p w:rsidR="00A70088" w:rsidRPr="00274978" w:rsidRDefault="00A70088" w:rsidP="00546152">
      <w:pPr>
        <w:pStyle w:val="NormalHanging12a"/>
        <w:widowControl/>
      </w:pPr>
      <w:r w:rsidRPr="00274978">
        <w:t>I.</w:t>
      </w:r>
      <w:r w:rsidRPr="00274978">
        <w:tab/>
        <w:t>mivel emellett a tehergépjármű-forgalom torlódása szintén rontja a meglévő infrastruktúra minőségét, egyúttal akadályozza a közúti közlekedésbiztonságot, és növeli a közúti balesetek kockázatát;</w:t>
      </w:r>
    </w:p>
    <w:p w:rsidR="00A70088" w:rsidRPr="00274978" w:rsidRDefault="00A70088" w:rsidP="00546152">
      <w:pPr>
        <w:pStyle w:val="NormalHanging12a"/>
        <w:widowControl/>
      </w:pPr>
      <w:r w:rsidRPr="00274978">
        <w:t>J.</w:t>
      </w:r>
      <w:r w:rsidRPr="00274978">
        <w:tab/>
      </w:r>
      <w:proofErr w:type="gramStart"/>
      <w:r w:rsidRPr="00274978">
        <w:t>mivel</w:t>
      </w:r>
      <w:proofErr w:type="gramEnd"/>
      <w:r w:rsidRPr="00274978">
        <w:t xml:space="preserve"> a biztonságos és védett tehergépjármű-parkolókra fordított köz- és magánfinanszírozás növelése lehetővé tenné, hogy a járművezetők teljes biztonságban töltsék </w:t>
      </w:r>
      <w:proofErr w:type="spellStart"/>
      <w:r w:rsidRPr="00274978">
        <w:t>pihenőidejüket</w:t>
      </w:r>
      <w:proofErr w:type="spellEnd"/>
      <w:r w:rsidRPr="00274978">
        <w:t>; mivel a biztonsági eszközök – például célzott mobilalkalmazások kifejlesztése révén történő – megerősítése csökkentené annak kockázatát, hogy a tehergépjármű-vezetők bűncselekmények áldozataivá váljanak;</w:t>
      </w:r>
    </w:p>
    <w:p w:rsidR="00A70088" w:rsidRPr="00274978" w:rsidRDefault="00A70088" w:rsidP="00546152">
      <w:pPr>
        <w:pStyle w:val="NormalHanging12a"/>
        <w:widowControl/>
      </w:pPr>
      <w:r w:rsidRPr="00274978">
        <w:t>1.</w:t>
      </w:r>
      <w:r w:rsidRPr="00274978">
        <w:tab/>
        <w:t xml:space="preserve">felhívja a Parlamentet, a Tanácsot és a Bizottságot, hogy a kulcsfontosságú uniós politikák, például a transzeurópai közlekedési hálózat kidolgozása során állítsák középpontba az árufuvarozás számára gördülékeny és hatékony határátlépést biztosító </w:t>
      </w:r>
      <w:proofErr w:type="gramStart"/>
      <w:r w:rsidRPr="00274978">
        <w:t>konkrét</w:t>
      </w:r>
      <w:proofErr w:type="gramEnd"/>
      <w:r w:rsidRPr="00274978">
        <w:t xml:space="preserve"> intézkedéseket;</w:t>
      </w:r>
    </w:p>
    <w:p w:rsidR="00A70088" w:rsidRPr="00274978" w:rsidRDefault="00A70088" w:rsidP="00546152">
      <w:pPr>
        <w:pStyle w:val="NormalHanging12a"/>
        <w:widowControl/>
      </w:pPr>
      <w:proofErr w:type="gramStart"/>
      <w:r w:rsidRPr="00274978">
        <w:t>2.</w:t>
      </w:r>
      <w:r w:rsidRPr="00274978">
        <w:tab/>
        <w:t xml:space="preserve">felhívja a Bizottságot, hogy az ezen állásfoglalásra irányuló indítványban bemutatott témák hatásvizsgálatát követően tegyen javaslatot azonnali és kötelező erejű jogalkotási intézkedésekre a nehéz tehergépjárművek EU-n belüli határátkelőhelyeken való, </w:t>
      </w:r>
      <w:r w:rsidRPr="00274978">
        <w:lastRenderedPageBreak/>
        <w:t>átlagosan egy percen belüli kezelésére vonatkozó, uniós szintű előírás létrehozása érdekében, biztosítva a gördülékeny forgalmat a schengeni és nem schengeni belső határokon, lehetővé téve az áruk és szolgáltatások gyors és hatékony mozgását; hangsúlyozza, hogy egy ilyen intézkedés jelentősen javítaná a közúti szállítási ágazat versenyképességét,</w:t>
      </w:r>
      <w:proofErr w:type="gramEnd"/>
      <w:r w:rsidRPr="00274978">
        <w:t xml:space="preserve"> </w:t>
      </w:r>
      <w:proofErr w:type="gramStart"/>
      <w:r w:rsidRPr="00274978">
        <w:t>és</w:t>
      </w:r>
      <w:proofErr w:type="gramEnd"/>
      <w:r w:rsidRPr="00274978">
        <w:t xml:space="preserve"> biztosítaná annak zökkenőmentes működését az egységes piacon; hangsúlyozza, hogy a szárazföldi határellenőrzések fennmaradása sérti valamennyi tagállam gazdasági érdekeit;</w:t>
      </w:r>
    </w:p>
    <w:p w:rsidR="00A70088" w:rsidRPr="00274978" w:rsidRDefault="00A70088" w:rsidP="00546152">
      <w:pPr>
        <w:pStyle w:val="NormalHanging12a"/>
        <w:widowControl/>
      </w:pPr>
      <w:proofErr w:type="gramStart"/>
      <w:r w:rsidRPr="00274978">
        <w:t>3.</w:t>
      </w:r>
      <w:r w:rsidRPr="00274978">
        <w:tab/>
        <w:t>kiemeli, hogy a Bizottság 2011 óta ismételten megállapítja, hogy mind Románia, mind Bulgária teljesítette a schengeni térséghez való csatlakozás minden hivatalos feltételét; hangsúlyozza, hogy a Bulgáriával és Romániával közös légi és tengeri határokon végzett belső határellenőrzések megszüntetéséről szóló, 2023. december 30-i tanácsi határozat csak részben orvosolja az egységes piac jelenlegi torzulásának problémáját; hangsúlyozza, hogy ez a határozat nem foglalkozik a legnagyobb és legsürgetőbb problémával, nevezetesen a szárazföldi határátkelőhelyekkel, ahol a schengeni szárazföldi határon</w:t>
      </w:r>
      <w:proofErr w:type="gramEnd"/>
      <w:r w:rsidRPr="00274978">
        <w:t xml:space="preserve"> </w:t>
      </w:r>
      <w:proofErr w:type="gramStart"/>
      <w:r w:rsidRPr="00274978">
        <w:t>végzett</w:t>
      </w:r>
      <w:proofErr w:type="gramEnd"/>
      <w:r w:rsidRPr="00274978">
        <w:t xml:space="preserve"> ellenőrzések továbbra is fennállnak, akadályozva a teherautók, autóbuszok, személygépkocsik és vonatok zökkenőmentes határátlépését; megismétli régóta képviselt álláspontját, miszerint támogatja a schengeni vívmányok teljes körű alkalmazását Bulgária és Románia tekintetében; sürgeti a belga elnökséget és a Tanács valamennyi tagját, hogy a lehető leghamarabb, de legkésőbb 2024 közepéig fogadjanak el határozatot a schengeni vívmányok Romániában és Bulgáriában történő teljes körű alkalmazásáról;</w:t>
      </w:r>
    </w:p>
    <w:p w:rsidR="00A70088" w:rsidRPr="00274978" w:rsidRDefault="00A70088" w:rsidP="00546152">
      <w:pPr>
        <w:pStyle w:val="NormalHanging12a"/>
        <w:widowControl/>
      </w:pPr>
      <w:r w:rsidRPr="00274978">
        <w:t>4.</w:t>
      </w:r>
      <w:r w:rsidRPr="00274978">
        <w:tab/>
        <w:t xml:space="preserve">ezért kéri, hogy a Bizottság – többek között büntetések kiszabása révén – </w:t>
      </w:r>
      <w:proofErr w:type="gramStart"/>
      <w:r w:rsidRPr="00274978">
        <w:t>garantálja</w:t>
      </w:r>
      <w:proofErr w:type="gramEnd"/>
      <w:r w:rsidRPr="00274978">
        <w:t xml:space="preserve"> a meghozott intézkedések alkalmazásának megfelelőségét és nyomon követését; hangsúlyozza a megfelelő és elégséges uniós finanszírozás és technikai támogatás szükségességét;</w:t>
      </w:r>
    </w:p>
    <w:p w:rsidR="00A70088" w:rsidRPr="00274978" w:rsidRDefault="00A70088" w:rsidP="00546152">
      <w:pPr>
        <w:pStyle w:val="NormalHanging12a"/>
        <w:widowControl/>
      </w:pPr>
      <w:r w:rsidRPr="00274978">
        <w:t>5.</w:t>
      </w:r>
      <w:r w:rsidRPr="00274978">
        <w:tab/>
        <w:t xml:space="preserve">felhívja a Bizottságot és a tagállamokat, hogy az uniós jogszabályok tegyék lehetővé a tehergépjármű-vezetők számára, hogy a fő közlekedési útvonalak útkarbantartás céljából történő lezárása esetén igénybe </w:t>
      </w:r>
      <w:proofErr w:type="spellStart"/>
      <w:r w:rsidRPr="00274978">
        <w:t>vehessék</w:t>
      </w:r>
      <w:proofErr w:type="spellEnd"/>
      <w:r w:rsidRPr="00274978">
        <w:t xml:space="preserve"> a kisebb határátkelőket annak elkerülése érdekében, hogy a járművezetők az egyes országok véletlenszerű intézkedéseitől függjenek, miután ez általános uniós érdekű kérdés;</w:t>
      </w:r>
    </w:p>
    <w:p w:rsidR="00A70088" w:rsidRPr="00274978" w:rsidRDefault="00A70088" w:rsidP="00546152">
      <w:pPr>
        <w:pStyle w:val="NormalHanging12a"/>
        <w:widowControl/>
      </w:pPr>
      <w:r w:rsidRPr="00274978">
        <w:t>6.</w:t>
      </w:r>
      <w:r w:rsidRPr="00274978">
        <w:tab/>
        <w:t xml:space="preserve">felhívja a Bizottságot, hogy a tagállamokkal és az érintett érdekelt felekkel együttműködve terjesszen elő </w:t>
      </w:r>
      <w:proofErr w:type="gramStart"/>
      <w:r w:rsidRPr="00274978">
        <w:t>konkrét</w:t>
      </w:r>
      <w:proofErr w:type="gramEnd"/>
      <w:r w:rsidRPr="00274978">
        <w:t xml:space="preserve"> intézkedéseket a hivatásos gépjárművezetők tekintetében az Unióban tapasztalható hiány kezelésére a fiatalok érdeklődésének felkeltése révén, célzott (át)képzések és képesítések finanszírozásával, valamint a szakiskolák és a közlekedési vállalatok közötti partnerségek – többek között külön uniós költségvetési támogatással megvalósuló – előmozdításával;</w:t>
      </w:r>
    </w:p>
    <w:p w:rsidR="00A70088" w:rsidRPr="00274978" w:rsidRDefault="00A70088" w:rsidP="00546152">
      <w:pPr>
        <w:pStyle w:val="NormalHanging12a"/>
        <w:widowControl/>
      </w:pPr>
      <w:r w:rsidRPr="00274978">
        <w:t>7.</w:t>
      </w:r>
      <w:r w:rsidRPr="00274978">
        <w:tab/>
        <w:t>felhívja a tagállamokat, hogy fokozzák a tehergépjárműveket érintő lopásokkal kapcsolatos, határokon átnyúló együttműködés megerősítésére irányuló erőfeszítéseiket;</w:t>
      </w:r>
    </w:p>
    <w:p w:rsidR="00A70088" w:rsidRPr="00297D3E" w:rsidRDefault="00A70088" w:rsidP="00546152">
      <w:pPr>
        <w:pStyle w:val="NormalHanging12a"/>
        <w:widowControl/>
      </w:pPr>
      <w:r w:rsidRPr="00274978">
        <w:t>8.</w:t>
      </w:r>
      <w:r w:rsidRPr="00274978">
        <w:tab/>
        <w:t>utasítja elnökét, hogy továbbítsa ezt az állásfoglalást a Bizottságnak, a Tanácsnak és az érintett nemzeti hatóságoknak.</w:t>
      </w:r>
    </w:p>
    <w:p w:rsidR="00E365E1" w:rsidRPr="00297D3E" w:rsidRDefault="00E365E1" w:rsidP="00546152">
      <w:pPr>
        <w:widowControl/>
        <w:spacing w:after="240"/>
        <w:ind w:left="567" w:hanging="567"/>
      </w:pPr>
      <w:bookmarkStart w:id="7" w:name="TextBodyEnd"/>
      <w:bookmarkEnd w:id="7"/>
    </w:p>
    <w:sectPr w:rsidR="00E365E1" w:rsidRPr="00297D3E" w:rsidSect="00297D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9D4" w:rsidRPr="00297D3E" w:rsidRDefault="005A09D4">
      <w:r w:rsidRPr="00297D3E">
        <w:separator/>
      </w:r>
    </w:p>
  </w:endnote>
  <w:endnote w:type="continuationSeparator" w:id="0">
    <w:p w:rsidR="005A09D4" w:rsidRPr="00297D3E" w:rsidRDefault="005A09D4">
      <w:r w:rsidRPr="00297D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7D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7D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7D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9D4" w:rsidRPr="00297D3E" w:rsidRDefault="005A09D4">
      <w:r w:rsidRPr="00297D3E">
        <w:separator/>
      </w:r>
    </w:p>
  </w:footnote>
  <w:footnote w:type="continuationSeparator" w:id="0">
    <w:p w:rsidR="005A09D4" w:rsidRPr="00297D3E" w:rsidRDefault="005A09D4">
      <w:r w:rsidRPr="00297D3E">
        <w:continuationSeparator/>
      </w:r>
    </w:p>
  </w:footnote>
  <w:footnote w:id="1">
    <w:p w:rsidR="00A70088" w:rsidRPr="00297D3E" w:rsidRDefault="00A70088" w:rsidP="00297D3E">
      <w:pPr>
        <w:pStyle w:val="FootnoteText"/>
        <w:ind w:left="567" w:hanging="567"/>
        <w:rPr>
          <w:sz w:val="24"/>
          <w:lang w:val="hu-HU"/>
        </w:rPr>
      </w:pPr>
      <w:r w:rsidRPr="00297D3E">
        <w:rPr>
          <w:rStyle w:val="FootnoteReference"/>
          <w:sz w:val="24"/>
          <w:lang w:val="hu-HU"/>
        </w:rPr>
        <w:footnoteRef/>
      </w:r>
      <w:r w:rsidR="00297D3E" w:rsidRPr="00297D3E">
        <w:rPr>
          <w:sz w:val="24"/>
          <w:lang w:val="hu-HU"/>
        </w:rPr>
        <w:t xml:space="preserve"> </w:t>
      </w:r>
      <w:r w:rsidR="00297D3E" w:rsidRPr="00297D3E">
        <w:rPr>
          <w:sz w:val="24"/>
          <w:lang w:val="hu-HU"/>
        </w:rPr>
        <w:tab/>
      </w:r>
      <w:r w:rsidRPr="00297D3E">
        <w:rPr>
          <w:sz w:val="24"/>
          <w:lang w:val="hu-HU"/>
        </w:rPr>
        <w:t>HL C 149., 2023.4.28</w:t>
      </w:r>
      <w:proofErr w:type="gramStart"/>
      <w:r w:rsidRPr="00297D3E">
        <w:rPr>
          <w:sz w:val="24"/>
          <w:lang w:val="hu-HU"/>
        </w:rPr>
        <w:t>.,</w:t>
      </w:r>
      <w:proofErr w:type="gramEnd"/>
      <w:r w:rsidRPr="00297D3E">
        <w:rPr>
          <w:sz w:val="24"/>
          <w:lang w:val="hu-HU"/>
        </w:rPr>
        <w:t xml:space="preserve"> 11. o.</w:t>
      </w:r>
    </w:p>
  </w:footnote>
  <w:footnote w:id="2">
    <w:p w:rsidR="00A70088" w:rsidRPr="00297D3E" w:rsidRDefault="00A70088" w:rsidP="00297D3E">
      <w:pPr>
        <w:pStyle w:val="FootnoteText"/>
        <w:ind w:left="567" w:hanging="567"/>
        <w:rPr>
          <w:sz w:val="24"/>
          <w:lang w:val="hu-HU"/>
        </w:rPr>
      </w:pPr>
      <w:r w:rsidRPr="00297D3E">
        <w:rPr>
          <w:rStyle w:val="FootnoteReference"/>
          <w:sz w:val="24"/>
          <w:lang w:val="hu-HU"/>
        </w:rPr>
        <w:footnoteRef/>
      </w:r>
      <w:r w:rsidR="00297D3E" w:rsidRPr="00297D3E">
        <w:rPr>
          <w:sz w:val="24"/>
          <w:lang w:val="hu-HU"/>
        </w:rPr>
        <w:t xml:space="preserve"> </w:t>
      </w:r>
      <w:r w:rsidR="00297D3E" w:rsidRPr="00297D3E">
        <w:rPr>
          <w:sz w:val="24"/>
          <w:lang w:val="hu-HU"/>
        </w:rPr>
        <w:tab/>
      </w:r>
      <w:r w:rsidRPr="00297D3E">
        <w:rPr>
          <w:sz w:val="24"/>
          <w:lang w:val="hu-HU"/>
        </w:rPr>
        <w:t>Elfogadott szövegek, P9_</w:t>
      </w:r>
      <w:proofErr w:type="gramStart"/>
      <w:r w:rsidRPr="00297D3E">
        <w:rPr>
          <w:sz w:val="24"/>
          <w:lang w:val="hu-HU"/>
        </w:rPr>
        <w:t>TA(</w:t>
      </w:r>
      <w:proofErr w:type="gramEnd"/>
      <w:r w:rsidRPr="00297D3E">
        <w:rPr>
          <w:sz w:val="24"/>
          <w:lang w:val="hu-HU"/>
        </w:rPr>
        <w:t>2023)0278.</w:t>
      </w:r>
    </w:p>
  </w:footnote>
  <w:footnote w:id="3">
    <w:p w:rsidR="00A70088" w:rsidRPr="00297D3E" w:rsidRDefault="00A70088" w:rsidP="00297D3E">
      <w:pPr>
        <w:pStyle w:val="FootnoteText"/>
        <w:ind w:left="567" w:hanging="567"/>
        <w:rPr>
          <w:sz w:val="24"/>
          <w:lang w:val="hu-HU"/>
        </w:rPr>
      </w:pPr>
      <w:r w:rsidRPr="00297D3E">
        <w:rPr>
          <w:rStyle w:val="FootnoteReference"/>
          <w:sz w:val="24"/>
          <w:lang w:val="hu-HU"/>
        </w:rPr>
        <w:footnoteRef/>
      </w:r>
      <w:r w:rsidR="00297D3E" w:rsidRPr="00297D3E">
        <w:rPr>
          <w:sz w:val="24"/>
          <w:lang w:val="hu-HU"/>
        </w:rPr>
        <w:t xml:space="preserve"> </w:t>
      </w:r>
      <w:r w:rsidR="00297D3E" w:rsidRPr="00297D3E">
        <w:rPr>
          <w:sz w:val="24"/>
          <w:lang w:val="hu-HU"/>
        </w:rPr>
        <w:tab/>
      </w:r>
      <w:r w:rsidRPr="00297D3E">
        <w:rPr>
          <w:sz w:val="24"/>
          <w:lang w:val="hu-HU"/>
        </w:rPr>
        <w:t>HL C 224., 2022.6.8</w:t>
      </w:r>
      <w:proofErr w:type="gramStart"/>
      <w:r w:rsidRPr="00297D3E">
        <w:rPr>
          <w:sz w:val="24"/>
          <w:lang w:val="hu-HU"/>
        </w:rPr>
        <w:t>.,</w:t>
      </w:r>
      <w:proofErr w:type="gramEnd"/>
      <w:r w:rsidRPr="00297D3E">
        <w:rPr>
          <w:sz w:val="24"/>
          <w:lang w:val="hu-HU"/>
        </w:rPr>
        <w:t xml:space="preserve"> 95. o.</w:t>
      </w:r>
    </w:p>
  </w:footnote>
  <w:footnote w:id="4">
    <w:p w:rsidR="00A70088" w:rsidRPr="00297D3E" w:rsidRDefault="00A70088" w:rsidP="00297D3E">
      <w:pPr>
        <w:pStyle w:val="FootnoteText"/>
        <w:ind w:left="567" w:hanging="567"/>
        <w:rPr>
          <w:sz w:val="24"/>
          <w:lang w:val="hu-HU"/>
        </w:rPr>
      </w:pPr>
      <w:r w:rsidRPr="00297D3E">
        <w:rPr>
          <w:rStyle w:val="FootnoteReference"/>
          <w:sz w:val="24"/>
          <w:lang w:val="hu-HU"/>
        </w:rPr>
        <w:footnoteRef/>
      </w:r>
      <w:r w:rsidR="00297D3E" w:rsidRPr="00297D3E">
        <w:rPr>
          <w:sz w:val="24"/>
          <w:lang w:val="hu-HU"/>
        </w:rPr>
        <w:t xml:space="preserve"> </w:t>
      </w:r>
      <w:r w:rsidR="00297D3E" w:rsidRPr="00297D3E">
        <w:rPr>
          <w:sz w:val="24"/>
          <w:lang w:val="hu-HU"/>
        </w:rPr>
        <w:tab/>
      </w:r>
      <w:r w:rsidRPr="00297D3E">
        <w:rPr>
          <w:sz w:val="24"/>
          <w:lang w:val="hu-HU"/>
        </w:rPr>
        <w:t>HL C, C/2023/1058., 2023.12.15</w:t>
      </w:r>
      <w:proofErr w:type="gramStart"/>
      <w:r w:rsidRPr="00297D3E">
        <w:rPr>
          <w:sz w:val="24"/>
          <w:lang w:val="hu-HU"/>
        </w:rPr>
        <w:t>.,</w:t>
      </w:r>
      <w:proofErr w:type="gramEnd"/>
      <w:r w:rsidRPr="00297D3E">
        <w:rPr>
          <w:sz w:val="24"/>
          <w:lang w:val="hu-HU"/>
        </w:rPr>
        <w:t xml:space="preserve"> ELI: </w:t>
      </w:r>
      <w:hyperlink r:id="rId1" w:history="1">
        <w:r w:rsidRPr="00546152">
          <w:rPr>
            <w:rStyle w:val="Hyperlink"/>
            <w:sz w:val="24"/>
            <w:lang w:val="hu-HU"/>
          </w:rPr>
          <w:t>https://eur-lex.europa.eu/legal-content/HU/TXT/?uri=CELEX:52023IP0130</w:t>
        </w:r>
      </w:hyperlink>
      <w:r w:rsidR="00472C37">
        <w:rPr>
          <w:sz w:val="24"/>
          <w:lang w:val="hu-HU"/>
        </w:rPr>
        <w:t>.</w:t>
      </w:r>
    </w:p>
  </w:footnote>
  <w:footnote w:id="5">
    <w:p w:rsidR="00A70088" w:rsidRPr="00297D3E" w:rsidRDefault="00A70088" w:rsidP="00297D3E">
      <w:pPr>
        <w:pStyle w:val="FootnoteText"/>
        <w:ind w:left="567" w:hanging="567"/>
        <w:rPr>
          <w:sz w:val="24"/>
          <w:lang w:val="hu-HU"/>
        </w:rPr>
      </w:pPr>
      <w:r w:rsidRPr="00297D3E">
        <w:rPr>
          <w:rStyle w:val="FootnoteReference"/>
          <w:sz w:val="24"/>
          <w:lang w:val="hu-HU"/>
        </w:rPr>
        <w:footnoteRef/>
      </w:r>
      <w:r w:rsidR="00297D3E" w:rsidRPr="00297D3E">
        <w:rPr>
          <w:sz w:val="24"/>
          <w:lang w:val="hu-HU"/>
        </w:rPr>
        <w:t xml:space="preserve"> </w:t>
      </w:r>
      <w:r w:rsidR="00297D3E" w:rsidRPr="00297D3E">
        <w:rPr>
          <w:sz w:val="24"/>
          <w:lang w:val="hu-HU"/>
        </w:rPr>
        <w:tab/>
      </w:r>
      <w:r w:rsidRPr="00297D3E">
        <w:rPr>
          <w:sz w:val="24"/>
          <w:lang w:val="hu-HU"/>
        </w:rPr>
        <w:t>HL C, C/2024/481., 2024.1.23</w:t>
      </w:r>
      <w:proofErr w:type="gramStart"/>
      <w:r w:rsidRPr="00297D3E">
        <w:rPr>
          <w:sz w:val="24"/>
          <w:lang w:val="hu-HU"/>
        </w:rPr>
        <w:t>.,</w:t>
      </w:r>
      <w:proofErr w:type="gramEnd"/>
      <w:r w:rsidRPr="00297D3E">
        <w:rPr>
          <w:sz w:val="24"/>
          <w:lang w:val="hu-HU"/>
        </w:rPr>
        <w:t xml:space="preserve"> ELI: </w:t>
      </w:r>
      <w:hyperlink r:id="rId2" w:history="1">
        <w:r w:rsidRPr="00546152">
          <w:rPr>
            <w:rStyle w:val="Hyperlink"/>
            <w:sz w:val="24"/>
            <w:lang w:val="hu-HU"/>
          </w:rPr>
          <w:t>https://eur-lex.europa.eu/legal-content/HU/TXT/HTML/?uri=OJ:C_202301058</w:t>
        </w:r>
      </w:hyperlink>
      <w:r w:rsidR="00472C37">
        <w:rPr>
          <w:sz w:val="24"/>
          <w:lang w:val="hu-HU"/>
        </w:rPr>
        <w:t>.</w:t>
      </w:r>
    </w:p>
  </w:footnote>
  <w:footnote w:id="6">
    <w:p w:rsidR="00A70088" w:rsidRPr="00297D3E" w:rsidRDefault="00A70088" w:rsidP="00297D3E">
      <w:pPr>
        <w:pStyle w:val="FootnoteText"/>
        <w:ind w:left="567" w:hanging="567"/>
        <w:rPr>
          <w:sz w:val="24"/>
          <w:lang w:val="hu-HU"/>
        </w:rPr>
      </w:pPr>
      <w:r w:rsidRPr="00297D3E">
        <w:rPr>
          <w:rStyle w:val="FootnoteReference"/>
          <w:sz w:val="24"/>
          <w:lang w:val="hu-HU"/>
        </w:rPr>
        <w:footnoteRef/>
      </w:r>
      <w:r w:rsidR="00297D3E" w:rsidRPr="00297D3E">
        <w:rPr>
          <w:sz w:val="24"/>
          <w:lang w:val="hu-HU"/>
        </w:rPr>
        <w:t xml:space="preserve"> </w:t>
      </w:r>
      <w:r w:rsidR="00297D3E" w:rsidRPr="00297D3E">
        <w:rPr>
          <w:sz w:val="24"/>
          <w:lang w:val="hu-HU"/>
        </w:rPr>
        <w:tab/>
      </w:r>
      <w:r w:rsidRPr="00297D3E">
        <w:rPr>
          <w:sz w:val="24"/>
          <w:lang w:val="hu-HU"/>
        </w:rPr>
        <w:t xml:space="preserve">Az Európai Parlament és a Tanács (EU) 2016/399 rendelete (2016. március 9.) a személyek határátlépésére irányadó szabályok uniós </w:t>
      </w:r>
      <w:proofErr w:type="gramStart"/>
      <w:r w:rsidRPr="00297D3E">
        <w:rPr>
          <w:sz w:val="24"/>
          <w:lang w:val="hu-HU"/>
        </w:rPr>
        <w:t>kódexéről</w:t>
      </w:r>
      <w:proofErr w:type="gramEnd"/>
      <w:r w:rsidRPr="00297D3E">
        <w:rPr>
          <w:sz w:val="24"/>
          <w:lang w:val="hu-HU"/>
        </w:rPr>
        <w:t xml:space="preserve"> (Schengeni határellenőrzési kódex) </w:t>
      </w:r>
      <w:r w:rsidR="00546152">
        <w:rPr>
          <w:sz w:val="24"/>
          <w:lang w:val="hu-HU"/>
        </w:rPr>
        <w:t>(</w:t>
      </w:r>
      <w:r w:rsidRPr="00297D3E">
        <w:rPr>
          <w:sz w:val="24"/>
          <w:lang w:val="hu-HU"/>
        </w:rPr>
        <w:t>HL L 77., 2016.3.23., 1. o.</w:t>
      </w:r>
      <w:r w:rsidR="00546152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7D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7D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7D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HU"/>
    <w:docVar w:name="dvnumam" w:val="0"/>
    <w:docVar w:name="dvpe" w:val="758.769"/>
    <w:docVar w:name="dvtitre" w:val="Az Európai Parlament 2024.  ...-i állásfoglalása a nehéz tehergépjárművek határátkelőhelyeken történő kezeléséről a 0146/2023. számú petíció alapján(2024/2540(RSP))"/>
  </w:docVars>
  <w:rsids>
    <w:rsidRoot w:val="005A09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51E"/>
    <w:rsid w:val="001C2EFA"/>
    <w:rsid w:val="001F32AE"/>
    <w:rsid w:val="00274978"/>
    <w:rsid w:val="002767FF"/>
    <w:rsid w:val="00297D3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C37"/>
    <w:rsid w:val="004867E3"/>
    <w:rsid w:val="00494A28"/>
    <w:rsid w:val="004C0004"/>
    <w:rsid w:val="004C5D52"/>
    <w:rsid w:val="0050519A"/>
    <w:rsid w:val="005072A1"/>
    <w:rsid w:val="00514517"/>
    <w:rsid w:val="00545827"/>
    <w:rsid w:val="00546152"/>
    <w:rsid w:val="00560270"/>
    <w:rsid w:val="005A09D4"/>
    <w:rsid w:val="005C2568"/>
    <w:rsid w:val="006037C0"/>
    <w:rsid w:val="006524D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08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4DD18"/>
  <w15:chartTrackingRefBased/>
  <w15:docId w15:val="{BF177CD9-8D24-4035-AD06-38312950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0088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A7008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46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6152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546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HU/TXT/HTML/?uri=OJ:C_202301058" TargetMode="External"/><Relationship Id="rId1" Type="http://schemas.openxmlformats.org/officeDocument/2006/relationships/hyperlink" Target="https://eur-lex.europa.eu/legal-content/HU/TXT/?uri=CELEX:52023IP0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947E7-0980-4E65-88B5-460FCF53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1254</Words>
  <Characters>9388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2024-04-10T17:47:00Z</dcterms:created>
  <dcterms:modified xsi:type="dcterms:W3CDTF">2024-04-10T17:47:00Z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