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ACA" w:rsidTr="0010095E">
        <w:trPr>
          <w:trHeight w:hRule="exact" w:val="1418"/>
        </w:trPr>
        <w:tc>
          <w:tcPr>
            <w:tcW w:w="6804" w:type="dxa"/>
            <w:shd w:val="clear" w:color="auto" w:fill="auto"/>
            <w:vAlign w:val="center"/>
          </w:tcPr>
          <w:p w:rsidR="00751A4A" w:rsidRPr="00E97ACA" w:rsidRDefault="00355029" w:rsidP="0010095E">
            <w:pPr>
              <w:pStyle w:val="EPName"/>
            </w:pPr>
            <w:r w:rsidRPr="00E97ACA">
              <w:t>Europos Parlamentas</w:t>
            </w:r>
          </w:p>
          <w:p w:rsidR="00751A4A" w:rsidRPr="00E97ACA" w:rsidRDefault="00817416" w:rsidP="00756632">
            <w:pPr>
              <w:pStyle w:val="EPTerm"/>
              <w:rPr>
                <w:rStyle w:val="HideTWBExt"/>
                <w:noProof w:val="0"/>
                <w:vanish w:val="0"/>
                <w:color w:val="auto"/>
              </w:rPr>
            </w:pPr>
            <w:r w:rsidRPr="00E97ACA">
              <w:t>2019-2024</w:t>
            </w:r>
          </w:p>
        </w:tc>
        <w:tc>
          <w:tcPr>
            <w:tcW w:w="2268" w:type="dxa"/>
            <w:shd w:val="clear" w:color="auto" w:fill="auto"/>
          </w:tcPr>
          <w:p w:rsidR="00751A4A" w:rsidRPr="00E97ACA" w:rsidRDefault="00187494" w:rsidP="0010095E">
            <w:pPr>
              <w:pStyle w:val="EPLogo"/>
            </w:pPr>
            <w:r w:rsidRPr="00E97ACA">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7ACA" w:rsidRDefault="00D058B8" w:rsidP="004C5D52">
      <w:pPr>
        <w:pStyle w:val="LineTop"/>
      </w:pPr>
    </w:p>
    <w:p w:rsidR="00680577" w:rsidRPr="00E97ACA" w:rsidRDefault="00355029" w:rsidP="00680577">
      <w:pPr>
        <w:pStyle w:val="EPBodyTA1"/>
      </w:pPr>
      <w:r w:rsidRPr="00E97ACA">
        <w:t>PRIIMTI TEKSTAI</w:t>
      </w:r>
    </w:p>
    <w:p w:rsidR="00D058B8" w:rsidRPr="00E97ACA" w:rsidRDefault="00D058B8" w:rsidP="00D058B8">
      <w:pPr>
        <w:pStyle w:val="LineBottom"/>
      </w:pPr>
    </w:p>
    <w:p w:rsidR="00355029" w:rsidRPr="00E97ACA" w:rsidRDefault="00355029" w:rsidP="00355029">
      <w:pPr>
        <w:pStyle w:val="ATHeading1"/>
      </w:pPr>
      <w:bookmarkStart w:id="0" w:name="TANumber"/>
      <w:r w:rsidRPr="00E97ACA">
        <w:t>P9_TA(2024)0</w:t>
      </w:r>
      <w:r w:rsidR="00CB4A53">
        <w:t>223</w:t>
      </w:r>
      <w:bookmarkEnd w:id="0"/>
    </w:p>
    <w:p w:rsidR="00355029" w:rsidRPr="00E97ACA" w:rsidRDefault="00544327" w:rsidP="00355029">
      <w:pPr>
        <w:pStyle w:val="ATHeading2"/>
      </w:pPr>
      <w:bookmarkStart w:id="1" w:name="title"/>
      <w:r w:rsidRPr="00DD1C52">
        <w:rPr>
          <w:bCs/>
        </w:rPr>
        <w:t>Sunkiųjų krovininių transporto priemonių tikrinimas sienos kirtimo punktuose</w:t>
      </w:r>
      <w:bookmarkEnd w:id="1"/>
    </w:p>
    <w:p w:rsidR="00355029" w:rsidRPr="00E97ACA" w:rsidRDefault="00355029" w:rsidP="00355029">
      <w:pPr>
        <w:rPr>
          <w:i/>
          <w:vanish/>
        </w:rPr>
      </w:pPr>
      <w:r w:rsidRPr="00E97ACA">
        <w:rPr>
          <w:i/>
        </w:rPr>
        <w:fldChar w:fldCharType="begin"/>
      </w:r>
      <w:r w:rsidRPr="00E97ACA">
        <w:rPr>
          <w:i/>
        </w:rPr>
        <w:instrText xml:space="preserve"> TC"(</w:instrText>
      </w:r>
      <w:bookmarkStart w:id="2" w:name="DocNumber"/>
      <w:r w:rsidRPr="00E97ACA">
        <w:rPr>
          <w:i/>
        </w:rPr>
        <w:instrText>B9-0201/2024</w:instrText>
      </w:r>
      <w:bookmarkEnd w:id="2"/>
      <w:r w:rsidRPr="00E97ACA">
        <w:rPr>
          <w:i/>
        </w:rPr>
        <w:instrText xml:space="preserve">)"\l3 \n&gt; \* MERGEFORMAT </w:instrText>
      </w:r>
      <w:r w:rsidRPr="00E97ACA">
        <w:rPr>
          <w:i/>
        </w:rPr>
        <w:fldChar w:fldCharType="end"/>
      </w:r>
    </w:p>
    <w:p w:rsidR="00355029" w:rsidRPr="00E97ACA" w:rsidRDefault="00355029" w:rsidP="00355029">
      <w:pPr>
        <w:rPr>
          <w:vanish/>
        </w:rPr>
      </w:pPr>
      <w:bookmarkStart w:id="3" w:name="PE"/>
      <w:r w:rsidRPr="00E97ACA">
        <w:rPr>
          <w:vanish/>
        </w:rPr>
        <w:t>PE758.769</w:t>
      </w:r>
      <w:bookmarkEnd w:id="3"/>
    </w:p>
    <w:p w:rsidR="00355029" w:rsidRPr="00E97ACA" w:rsidRDefault="00355029" w:rsidP="00DD1C52">
      <w:pPr>
        <w:pStyle w:val="ATHeading3"/>
      </w:pPr>
      <w:bookmarkStart w:id="4" w:name="Sujet"/>
      <w:r w:rsidRPr="00E97ACA">
        <w:t xml:space="preserve">2024 m. </w:t>
      </w:r>
      <w:r w:rsidR="001A3F9E" w:rsidRPr="00E97ACA">
        <w:t>balandžio</w:t>
      </w:r>
      <w:r w:rsidRPr="00E97ACA">
        <w:t xml:space="preserve"> 10 d. Europos Parlamento rezoliucija dėl sunkiųjų krovininių transporto priemonių tikrinimo sienos kirtimo punktuose, remiantis peticija Nr. 0146/2023</w:t>
      </w:r>
      <w:bookmarkEnd w:id="4"/>
      <w:r w:rsidRPr="00E97ACA">
        <w:t xml:space="preserve"> </w:t>
      </w:r>
      <w:bookmarkStart w:id="5" w:name="References"/>
      <w:r w:rsidRPr="00E97ACA">
        <w:t>(2024/2540(RSP))</w:t>
      </w:r>
      <w:bookmarkEnd w:id="5"/>
    </w:p>
    <w:p w:rsidR="00362559" w:rsidRPr="00E97ACA" w:rsidRDefault="00362559" w:rsidP="00362559">
      <w:pPr>
        <w:pStyle w:val="EPComma"/>
      </w:pPr>
      <w:bookmarkStart w:id="6" w:name="TextBodyBegin"/>
      <w:bookmarkEnd w:id="6"/>
      <w:r w:rsidRPr="00E97ACA">
        <w:rPr>
          <w:i/>
          <w:iCs/>
        </w:rPr>
        <w:t>Europos Parlamentas</w:t>
      </w:r>
      <w:r w:rsidRPr="00E97ACA">
        <w:t>,</w:t>
      </w:r>
    </w:p>
    <w:p w:rsidR="00362559" w:rsidRPr="00E97ACA" w:rsidRDefault="00362559" w:rsidP="00362559">
      <w:pPr>
        <w:pStyle w:val="NormalHanging12a"/>
      </w:pPr>
      <w:r w:rsidRPr="00E97ACA">
        <w:t>–</w:t>
      </w:r>
      <w:r w:rsidRPr="00E97ACA">
        <w:tab/>
        <w:t>atsižvelgdamas į Sutarties dėl Europos Sąjungos veikimo (SESV) 26, 28–37 straipsnius ir 67 straipsnio 1 ir 2 dalis,</w:t>
      </w:r>
    </w:p>
    <w:p w:rsidR="00362559" w:rsidRPr="00E97ACA" w:rsidRDefault="00362559" w:rsidP="00362559">
      <w:pPr>
        <w:pStyle w:val="NormalHanging12a"/>
      </w:pPr>
      <w:r w:rsidRPr="00E97ACA">
        <w:t>–</w:t>
      </w:r>
      <w:r w:rsidRPr="00E97ACA">
        <w:tab/>
        <w:t>atsižvelgdamas į 2023 m. lapkričio 29 d. Peticijų komiteto posėdyje vykusius svarstymus dėl peticijos Nr. 0146/2023,</w:t>
      </w:r>
    </w:p>
    <w:p w:rsidR="00362559" w:rsidRPr="00E97ACA" w:rsidRDefault="00362559" w:rsidP="00362559">
      <w:pPr>
        <w:pStyle w:val="NormalHanging12a"/>
        <w:rPr>
          <w:bCs/>
          <w:szCs w:val="24"/>
          <w:shd w:val="clear" w:color="auto" w:fill="FFFFFF"/>
        </w:rPr>
      </w:pPr>
      <w:r w:rsidRPr="00E97ACA">
        <w:t>–</w:t>
      </w:r>
      <w:r w:rsidRPr="00E97ACA">
        <w:tab/>
        <w:t xml:space="preserve">atsižvelgdamas į </w:t>
      </w:r>
      <w:r w:rsidRPr="00E97ACA">
        <w:rPr>
          <w:shd w:val="clear" w:color="auto" w:fill="FFFFFF"/>
        </w:rPr>
        <w:t>2023 m. liepos 18 d. Peticijų komiteto kartu su Piliečių laisvių, teisingumo ir vidaus reikalų komitetu</w:t>
      </w:r>
      <w:r w:rsidRPr="00E97ACA">
        <w:t xml:space="preserve"> surengtą viešąjį klausymą tema „Šengeno sienos. Peticijų pateikėjų iškelti klausimai“,</w:t>
      </w:r>
    </w:p>
    <w:p w:rsidR="00362559" w:rsidRPr="00E97ACA" w:rsidRDefault="00362559" w:rsidP="00362559">
      <w:pPr>
        <w:pStyle w:val="NormalHanging12a"/>
      </w:pPr>
      <w:r w:rsidRPr="00E97ACA">
        <w:t>–</w:t>
      </w:r>
      <w:r w:rsidRPr="00E97ACA">
        <w:tab/>
        <w:t>atsižvelgdamas į 2022 m. lapkričio 16 d. Komisijos komunikatą „Šengeno erdvės stiprinimas užtikrinant visapusišką Bulgarijos, Rumunijos ir Kroatijos dalyvavimą ir panaikinant vidaus sienų kontrolę“ (COM(2022)0636),</w:t>
      </w:r>
    </w:p>
    <w:p w:rsidR="00362559" w:rsidRPr="00E97ACA" w:rsidRDefault="00362559" w:rsidP="00362559">
      <w:pPr>
        <w:pStyle w:val="NormalHanging12a"/>
      </w:pPr>
      <w:r w:rsidRPr="00E97ACA">
        <w:t>–</w:t>
      </w:r>
      <w:r w:rsidRPr="00E97ACA">
        <w:tab/>
        <w:t>atsižvelgdamas į savo 2022 m. spalio 18 d. rezoliuciją dėl Rumunijos ir Bulgarijos prisijungimo prie Šengeno erdvės dabartinės padėties</w:t>
      </w:r>
      <w:r w:rsidRPr="00E97ACA">
        <w:rPr>
          <w:rStyle w:val="FootnoteReference"/>
          <w:color w:val="000000"/>
        </w:rPr>
        <w:footnoteReference w:id="1"/>
      </w:r>
      <w:r w:rsidRPr="00E97ACA">
        <w:t xml:space="preserve"> ir 2023 m. liepos 12 d. rezoliuciją dėl prisijungimo prie Šengeno erdvės</w:t>
      </w:r>
      <w:r w:rsidRPr="00E97ACA">
        <w:rPr>
          <w:rStyle w:val="FootnoteReference"/>
          <w:color w:val="000000"/>
        </w:rPr>
        <w:footnoteReference w:id="2"/>
      </w:r>
      <w:r w:rsidRPr="00E97ACA">
        <w:t>,</w:t>
      </w:r>
    </w:p>
    <w:p w:rsidR="00362559" w:rsidRPr="00E97ACA" w:rsidRDefault="00362559" w:rsidP="00362559">
      <w:pPr>
        <w:pStyle w:val="NormalHanging12a"/>
      </w:pPr>
      <w:r w:rsidRPr="00E97ACA">
        <w:t>–</w:t>
      </w:r>
      <w:r w:rsidRPr="00E97ACA">
        <w:tab/>
        <w:t>atsižvelgdamas į 2023 m. gruodžio 30 d. Tarybos vieningą sprendimą priimti Rumuniją ir Bulgariją į Šengeno erdvę, pirmasis žingsnis – nuo 2024 m. kovo mėn. naikinama kontrolė prie oro ir jūrų sienų</w:t>
      </w:r>
      <w:r w:rsidR="00D549A5">
        <w:t>,</w:t>
      </w:r>
    </w:p>
    <w:p w:rsidR="00362559" w:rsidRPr="00E97ACA" w:rsidRDefault="00362559" w:rsidP="00362559">
      <w:pPr>
        <w:pStyle w:val="NormalHanging12a"/>
      </w:pPr>
      <w:r w:rsidRPr="00E97ACA">
        <w:t>–</w:t>
      </w:r>
      <w:r w:rsidRPr="00E97ACA">
        <w:tab/>
        <w:t>atsižvelgdamas į savo 2021 m. lapkričio 25 d. rezoliuciją dėl sunkvežimių stovėjimo aikštelių saugumo ES</w:t>
      </w:r>
      <w:r w:rsidRPr="00E97ACA">
        <w:rPr>
          <w:rStyle w:val="FootnoteReference"/>
          <w:color w:val="000000"/>
        </w:rPr>
        <w:footnoteReference w:id="3"/>
      </w:r>
      <w:r w:rsidRPr="00E97ACA">
        <w:t>,</w:t>
      </w:r>
    </w:p>
    <w:p w:rsidR="00362559" w:rsidRPr="00E97ACA" w:rsidRDefault="00362559" w:rsidP="00362559">
      <w:pPr>
        <w:pStyle w:val="NormalHanging12a"/>
      </w:pPr>
      <w:r w:rsidRPr="00E97ACA">
        <w:t>–</w:t>
      </w:r>
      <w:r w:rsidRPr="00E97ACA">
        <w:tab/>
        <w:t xml:space="preserve">atsižvelgdamas į savo 2023 m. gegužės 9 d. rezoliuciją dėl naujos ES judumo mieste </w:t>
      </w:r>
      <w:r w:rsidRPr="00E97ACA">
        <w:lastRenderedPageBreak/>
        <w:t>sistemos</w:t>
      </w:r>
      <w:r w:rsidRPr="00E97ACA">
        <w:rPr>
          <w:rStyle w:val="FootnoteReference"/>
          <w:color w:val="000000"/>
        </w:rPr>
        <w:footnoteReference w:id="4"/>
      </w:r>
      <w:r w:rsidRPr="00E97ACA">
        <w:t>,</w:t>
      </w:r>
    </w:p>
    <w:p w:rsidR="00362559" w:rsidRPr="00E97ACA" w:rsidRDefault="00362559" w:rsidP="00362559">
      <w:pPr>
        <w:pStyle w:val="NormalHanging12a"/>
      </w:pPr>
      <w:r w:rsidRPr="00E97ACA">
        <w:t>–</w:t>
      </w:r>
      <w:r w:rsidRPr="00E97ACA">
        <w:tab/>
        <w:t>atsižvelgdamas į savo 2023 m. birželio 13 d. rezoliuciją dėl didelių transporto infrastruktūros projektų ES – projektų įgyvendinimas ir stebėsena bei ES lėšų kontrolė</w:t>
      </w:r>
      <w:r w:rsidRPr="00E97ACA">
        <w:rPr>
          <w:rStyle w:val="FootnoteReference"/>
          <w:color w:val="000000"/>
        </w:rPr>
        <w:footnoteReference w:id="5"/>
      </w:r>
      <w:r w:rsidRPr="00E97ACA">
        <w:t>,</w:t>
      </w:r>
    </w:p>
    <w:p w:rsidR="00362559" w:rsidRPr="00E97ACA" w:rsidRDefault="00362559" w:rsidP="00362559">
      <w:pPr>
        <w:pStyle w:val="NormalHanging12a"/>
      </w:pPr>
      <w:r w:rsidRPr="00E97ACA">
        <w:t>–</w:t>
      </w:r>
      <w:r w:rsidRPr="00E97ACA">
        <w:tab/>
        <w:t xml:space="preserve">atsižvelgdamas į pasiūlymą dėl reglamento dėl </w:t>
      </w:r>
      <w:proofErr w:type="spellStart"/>
      <w:r w:rsidRPr="00E97ACA">
        <w:t>transeuropinio</w:t>
      </w:r>
      <w:proofErr w:type="spellEnd"/>
      <w:r w:rsidRPr="00E97ACA">
        <w:t xml:space="preserve"> transporto tinklo plėtros gairių, kuriuo iš dalies keičiami reglamentai (ES) 2021/1153 ir (ES) Nr. 913/2010 ir panaikinamas Reglamentas (ES) Nr. 1315/2013 (COM(2021)0812),</w:t>
      </w:r>
    </w:p>
    <w:p w:rsidR="00362559" w:rsidRPr="00E97ACA" w:rsidRDefault="00362559" w:rsidP="00362559">
      <w:pPr>
        <w:pStyle w:val="NormalHanging12a"/>
      </w:pPr>
      <w:r w:rsidRPr="00E97ACA">
        <w:t>–</w:t>
      </w:r>
      <w:r w:rsidRPr="00E97ACA">
        <w:tab/>
        <w:t>atsižvelgdamas į Darbo tvarkos taisyklių 227 straipsnio 2 dalį,</w:t>
      </w:r>
    </w:p>
    <w:p w:rsidR="00362559" w:rsidRPr="00E97ACA" w:rsidRDefault="00362559" w:rsidP="00362559">
      <w:pPr>
        <w:pStyle w:val="NormalHanging12a"/>
      </w:pPr>
      <w:r w:rsidRPr="00E97ACA">
        <w:t>A.</w:t>
      </w:r>
      <w:r w:rsidRPr="00E97ACA">
        <w:tab/>
        <w:t>kadangi prie ES vidaus sienų, įskaitant sienas tarp Šengeno erdvės ir Šengeno erdvei nepriklausančių ES valstybių narių, kasdien sulaikomi šimtai krovininių transporto priemonių ir jos dėl procedūrų ir patikrinimų labai ilgai laukia ir vėluoja; kadangi dabartinėje Europos teisinėje sistemoje nėra konkrečiai išspręstas ir reglamentuotas ilgiausios prekių procedūrų pasienyje trukmės klausimas;</w:t>
      </w:r>
    </w:p>
    <w:p w:rsidR="00362559" w:rsidRPr="00E97ACA" w:rsidRDefault="00362559" w:rsidP="00362559">
      <w:pPr>
        <w:pStyle w:val="NormalHanging12a"/>
      </w:pPr>
      <w:r w:rsidRPr="00E97ACA">
        <w:t>B.</w:t>
      </w:r>
      <w:r w:rsidRPr="00E97ACA">
        <w:tab/>
        <w:t>kadangi šių eilių ir vėlavimų prie valstybių narių sienų priežastis galima paaiškinti įvairiais administraciniais, veiklos, saugos, techniniais ar sąveikumo veiksniais, tokiais kaip nepakankami veiklos ir techniniais pajėgumai, darbuotojų, kontrolės punktų ar krovininėms transporto priemonėms skirtų tiltinių svarstyklių trūkumas, taip pat daugelio institucinių įstaigų susitelkimas pasienyje ir ilgai trunkantys krovinių patikrinimai; kadangi Šengeno sienų kodekso</w:t>
      </w:r>
      <w:r w:rsidRPr="00E97ACA">
        <w:rPr>
          <w:rStyle w:val="FootnoteReference"/>
          <w:color w:val="000000"/>
        </w:rPr>
        <w:footnoteReference w:id="6"/>
      </w:r>
      <w:r w:rsidRPr="00E97ACA">
        <w:t xml:space="preserve"> 22 straipsnyje įtvirtintas principas, kad prie Šengeno šalių vidaus sienų neatliekami patikrinimai ir kontrolė, laikantis SESV 26 straipsnio 2 dalyje nustatyto laisvo judėjimo principo, ir kadangi 24 straipsnyje konkrečiai nurodyta, kad valstybės narės turi pašalinti visas kliūtis sklandžiam eismo srautui per vidaus sienų kirtimo punktus;</w:t>
      </w:r>
    </w:p>
    <w:p w:rsidR="00362559" w:rsidRPr="00E97ACA" w:rsidRDefault="00362559" w:rsidP="00362559">
      <w:pPr>
        <w:pStyle w:val="NormalHanging12a"/>
      </w:pPr>
      <w:r w:rsidRPr="00E97ACA">
        <w:t>C.</w:t>
      </w:r>
      <w:r w:rsidRPr="00E97ACA">
        <w:tab/>
        <w:t>kadangi ES registruotų sunkiųjų krovininių transporto priemonių santalka pasienyje gali turėti neigiamą poveikį vairuotojų sveikatai ir darbo sąlygoms, kelių eismo saugumui ir krovinių vežimo įmonių veiklai, daryti neigiamą poveikį konkurencijai ir ES bendrosios rinkos veikimui, taip pat padidinti vežėjų kelių transportu išlaidas;</w:t>
      </w:r>
    </w:p>
    <w:p w:rsidR="00362559" w:rsidRPr="00E97ACA" w:rsidRDefault="00362559" w:rsidP="00362559">
      <w:pPr>
        <w:pStyle w:val="NormalHanging12a"/>
      </w:pPr>
      <w:r w:rsidRPr="00E97ACA">
        <w:t>D.</w:t>
      </w:r>
      <w:r w:rsidRPr="00E97ACA">
        <w:tab/>
        <w:t>kadangi Bulgarija ir Rumunija vis dar laukia Tarybos sprendimo dėl patikrinimų prie vidaus sausumos sienų panaikinimo datos; kadangi patikrinimų ir kontrolės prie vidaus sausumos sienų panaikinimas turėtų teigiamą poveikį Rumunijos ir Bulgarijos dalyvavimui ES bendrojoje rinkoje: būtų pašalintos judumo kliūtys, dėl kurių vykdant verslo veiklą vėluojama, nes sutrikdomi krovinių pristatymo tvarkaraščiai;</w:t>
      </w:r>
    </w:p>
    <w:p w:rsidR="00362559" w:rsidRPr="00E97ACA" w:rsidRDefault="00362559" w:rsidP="00362559">
      <w:pPr>
        <w:pStyle w:val="NormalHanging12a"/>
      </w:pPr>
      <w:r w:rsidRPr="00E97ACA">
        <w:t>E.</w:t>
      </w:r>
      <w:r w:rsidRPr="00E97ACA">
        <w:tab/>
        <w:t>kadangi dėl krovininių transporto priemonių užlaikymo pasienyje Europos įmonės praranda šimtus milijonų eurų, ypač logistikos, turizmo ir apgyvendinimo bei maitinimo paslaugų sektoriuose; kadangi dėl šių sienų kirtimo kliūčių kylanti rizika tapo ypač akivaizdi COVID-19 pandemijos metu; kadangi nekeičiant dabartinės padėties labai mažėja ES atsparumas kitų gali</w:t>
      </w:r>
      <w:bookmarkStart w:id="7" w:name="_GoBack"/>
      <w:bookmarkEnd w:id="7"/>
      <w:r w:rsidRPr="00E97ACA">
        <w:t>mų ekstremaliųjų visuomenės sveikatos situacijų atveju;</w:t>
      </w:r>
    </w:p>
    <w:p w:rsidR="00362559" w:rsidRPr="00E97ACA" w:rsidRDefault="006B1A48" w:rsidP="00362559">
      <w:pPr>
        <w:pStyle w:val="NormalHanging12a"/>
      </w:pPr>
      <w:r>
        <w:t>F.</w:t>
      </w:r>
      <w:r w:rsidR="00362559" w:rsidRPr="00E97ACA">
        <w:tab/>
        <w:t xml:space="preserve">kadangi prie ES išorės sienų su Vakarų Balkanų šalimis susidarančių krovininių </w:t>
      </w:r>
      <w:r w:rsidR="00362559" w:rsidRPr="00E97ACA">
        <w:lastRenderedPageBreak/>
        <w:t>transporto priemonių eilių ilgis kelia ypač didelį susirūpinimą;</w:t>
      </w:r>
    </w:p>
    <w:p w:rsidR="00362559" w:rsidRPr="00E97ACA" w:rsidRDefault="00362559" w:rsidP="00362559">
      <w:pPr>
        <w:pStyle w:val="NormalHanging12a"/>
      </w:pPr>
      <w:r w:rsidRPr="00E97ACA">
        <w:t>G.</w:t>
      </w:r>
      <w:r w:rsidRPr="00E97ACA">
        <w:tab/>
        <w:t>kadangi šie reiškiniai kelia didelį pavojų šia profesija besiverčiančių vairuotojų sveikatai ir saugai, blogina jų darbo sąlygas ir kenkia profesijos darbo vietų kokybei, taip pat didina pasaulinį sunkvežimių vairuotojų trūkumą; kadangi sunkvežimių vairuotojai visose ES valstybėse narėse dažnai kenčia nuo įvairių formų lėtinio skausmo, pvz., apatinės nugaros dalies skausmų, kelio ir peties skausmų; kadangi tuo pat metu dažnai savavališkas reikalavimas iškrauti ir perkrauti krovinius kelia didelį papildomą pavojų sveikatai, dėl kurio dažnai patiriama sužalojimų, nes sunkvežimių vairuotojai dažnai gali neturėti fizinės jėgos ar tinkamos įrangos sunkiems kroviniams kelti; kadangi darbdaviai atsitiktine tvarka nustato šią pareigą ir atsakomybę sunkvežimių vairuotojams, už tai nemokėdami atlygio;</w:t>
      </w:r>
    </w:p>
    <w:p w:rsidR="00362559" w:rsidRPr="00E97ACA" w:rsidRDefault="00362559" w:rsidP="00362559">
      <w:pPr>
        <w:pStyle w:val="NormalHanging12a"/>
      </w:pPr>
      <w:r w:rsidRPr="00E97ACA">
        <w:t>H.</w:t>
      </w:r>
      <w:r w:rsidRPr="00E97ACA">
        <w:tab/>
        <w:t>kadangi prie sienų laukiančių krovininių transporto priemonių eilės daro tiesioginį poveikį Europos piliečių sveikatai, blogina oro kokybę ir sukelia vandens bei triukšmo taršą, o tai taip pat lemia neigiamą poveikį tinklo „Natura 2000“ teritorijoms; kadangi, pavyzdžiui, 2023 m. gegužės 16 d. Komisijos komunikate pabrėžiama, kad dėl nuolatinės Rumunijos ir Bulgarijos vidaus sienų kontrolės kasmet išmetama 46 000 tonų CO</w:t>
      </w:r>
      <w:r w:rsidRPr="00E97ACA">
        <w:rPr>
          <w:vertAlign w:val="subscript"/>
        </w:rPr>
        <w:t>2</w:t>
      </w:r>
      <w:r w:rsidRPr="00E97ACA">
        <w:t>;</w:t>
      </w:r>
    </w:p>
    <w:p w:rsidR="00362559" w:rsidRPr="00E97ACA" w:rsidRDefault="00362559" w:rsidP="00362559">
      <w:pPr>
        <w:pStyle w:val="NormalHanging12a"/>
      </w:pPr>
      <w:r w:rsidRPr="00E97ACA">
        <w:t>I.</w:t>
      </w:r>
      <w:r w:rsidRPr="00E97ACA">
        <w:tab/>
        <w:t>kadangi krovininių transporto priemonių grūstys taip pat blogina esamą infrastruktūros kokybę, kenkia kelių eismo saugumui ir didina eismo įvykių riziką;</w:t>
      </w:r>
    </w:p>
    <w:p w:rsidR="00362559" w:rsidRPr="00E97ACA" w:rsidRDefault="00362559" w:rsidP="00362559">
      <w:pPr>
        <w:pStyle w:val="NormalHanging12a"/>
      </w:pPr>
      <w:r w:rsidRPr="00E97ACA">
        <w:t>J.</w:t>
      </w:r>
      <w:r w:rsidRPr="00E97ACA">
        <w:tab/>
        <w:t>kadangi reikia padidinti viešąjį ir privatųjį saugių sunkvežimių stovėjimo aikštelių finansavimą, kad vairuotojai galėtų daryti pertraukas visiškai saugiai; kadangi saugumo priemonių stiprinimas, pvz., kuriant specialias mobiliąsias programėles, sumažintų riziką, kad sunkvežimių vairuotojai nukentės nuo nusikaltimų;</w:t>
      </w:r>
    </w:p>
    <w:p w:rsidR="00362559" w:rsidRPr="00E97ACA" w:rsidRDefault="00362559" w:rsidP="00362559">
      <w:pPr>
        <w:pStyle w:val="NormalHanging12a"/>
      </w:pPr>
      <w:r w:rsidRPr="00E97ACA">
        <w:t>1.</w:t>
      </w:r>
      <w:r w:rsidRPr="00E97ACA">
        <w:tab/>
        <w:t xml:space="preserve">ragina Parlamentą, Tarybą ir Komisiją rengiant pagrindines ES politikos priemones, pvz., dėl </w:t>
      </w:r>
      <w:proofErr w:type="spellStart"/>
      <w:r w:rsidRPr="00E97ACA">
        <w:t>transeuropinio</w:t>
      </w:r>
      <w:proofErr w:type="spellEnd"/>
      <w:r w:rsidRPr="00E97ACA">
        <w:t xml:space="preserve"> transporto tinklo, sutelkti dėmesį į konkrečias priemones, kuriomis būtų užtikrintas sklandus ir veiksmingas krovininio transporto sienos kirtimas;</w:t>
      </w:r>
    </w:p>
    <w:p w:rsidR="00362559" w:rsidRPr="00E97ACA" w:rsidRDefault="00362559" w:rsidP="00362559">
      <w:pPr>
        <w:pStyle w:val="NormalHanging12a"/>
      </w:pPr>
      <w:r w:rsidRPr="00E97ACA">
        <w:t>2.</w:t>
      </w:r>
      <w:r w:rsidRPr="00E97ACA">
        <w:tab/>
        <w:t>ragina Komisiją, atlikus poveikio vertinimą šiame pasiūlyme dėl rezoliucijos aprašytomis temomis, pasiūlyti neatidėliotinas ir privalomas teisėkūros priemones, kad būtų sukurtas visai ES taikomas vidutiniškai vienos minutės sunkiųjų krovininių transporto priemonių tikrinimui ES vidaus sienos kirtimo punktuose standartas, taip siekiant užtikrinti pralaidumą prie Šengeno erdvės vidaus sienų ir Šengeno erdvei nepriklausančių valstybių sienų, kad prekės ir paslaugos galėtų greitai ir veiksmingai judėti; pabrėžia, kad tokia priemonė labai padidintų kelių transporto sektoriaus konkurencingumą ir užtikrintų sklandų jo veikimą bendrojoje rinkoje; pabrėžia, kad nuolatinė sausumos sienų kontrolė kenkia visų valstybių narių ekonominiams interesams;</w:t>
      </w:r>
    </w:p>
    <w:p w:rsidR="00362559" w:rsidRPr="00E97ACA" w:rsidRDefault="00362559" w:rsidP="00362559">
      <w:pPr>
        <w:pStyle w:val="NormalHanging12a"/>
      </w:pPr>
      <w:r w:rsidRPr="00E97ACA">
        <w:t>3.</w:t>
      </w:r>
      <w:r w:rsidRPr="00E97ACA">
        <w:tab/>
        <w:t xml:space="preserve">pabrėžia, kad nuo 2011 m. Komisija kartoja, jog Rumunija ir Bulgarija įvykdė visus oficialius prisijungimo prie Šengeno erdvės kriterijus; pabrėžia, kad 2023 m. gruodžio 30 d. Tarybos sprendimu panaikinti kontrolę prie oro ir jūrų sienų Rumunijoje ir Bulgarijoje tik iš dalies sprendžiamas dabartinio bendrosios rinkos iškraipymo klausimas; pabrėžia, kad šiuo sprendimu nesprendžiamas svarbiausias ir aktualiausias klausimas, t. y. sausumos sienos kirtimo klausimas, kai patikrinimai tebevykdomi prie Šengeno sausumos sienos, trukdant sklandžiam krovininių transporto priemonių, autobusų, privačių automobilių ir traukinių srautui; pakartoja savo ilgalaikę poziciją, </w:t>
      </w:r>
      <w:r w:rsidRPr="00E97ACA">
        <w:lastRenderedPageBreak/>
        <w:t xml:space="preserve">kad remia visapusišką Šengeno </w:t>
      </w:r>
      <w:r w:rsidRPr="00E97ACA">
        <w:rPr>
          <w:i/>
          <w:iCs/>
        </w:rPr>
        <w:t>acquis</w:t>
      </w:r>
      <w:r w:rsidRPr="00E97ACA">
        <w:t xml:space="preserve"> taikymą Bulgarijai ir Rumunijai; ragina ES Tarybai pirmininkaujančią Belgiją ir visas Tarybos nares kuo greičiau ir ne vėliau kaip iki 2024 m. vidurio priimti sprendimą dėl visapusiško Šengeno </w:t>
      </w:r>
      <w:r w:rsidRPr="00E97ACA">
        <w:rPr>
          <w:i/>
          <w:iCs/>
        </w:rPr>
        <w:t>acquis</w:t>
      </w:r>
      <w:r w:rsidRPr="00E97ACA">
        <w:t xml:space="preserve"> taikymo Rumunijai ir Bulgarijai;</w:t>
      </w:r>
    </w:p>
    <w:p w:rsidR="00362559" w:rsidRPr="00E97ACA" w:rsidRDefault="00362559" w:rsidP="00362559">
      <w:pPr>
        <w:pStyle w:val="NormalHanging12a"/>
      </w:pPr>
      <w:r w:rsidRPr="00E97ACA">
        <w:t>4.</w:t>
      </w:r>
      <w:r w:rsidRPr="00E97ACA">
        <w:tab/>
        <w:t>todėl prašo Komisijos užtikrinti, kad būtų laikomasi taikomų priemonių ir kad būtų vykdoma jų taikymo stebėsena, be kita ko, skiriant sankcijas; pabrėžia, kad reikia tinkamo ir pakankamo ES finansavimo ir techninės paramos;</w:t>
      </w:r>
    </w:p>
    <w:p w:rsidR="00362559" w:rsidRPr="00E97ACA" w:rsidRDefault="00362559" w:rsidP="00362559">
      <w:pPr>
        <w:pStyle w:val="NormalHanging12a"/>
      </w:pPr>
      <w:r w:rsidRPr="00E97ACA">
        <w:t>5.</w:t>
      </w:r>
      <w:r w:rsidRPr="00E97ACA">
        <w:tab/>
        <w:t>ragina Komisiją ir valstybes nares priimti ES teisės aktus, pagal kuriuos sunkvežimių vairuotojai galėtų naudotis mažesniais sienos kirtimo punktais, kai pagrindinės arterijos yra uždarytos dėl kelių priežiūros, kad vairuotojai nebūtų priklausomi nuo savavališkų atskirų valstybių veiksmų, nes tai yra bendro ES intereso klausimas;</w:t>
      </w:r>
    </w:p>
    <w:p w:rsidR="00362559" w:rsidRPr="00E97ACA" w:rsidRDefault="00362559" w:rsidP="00362559">
      <w:pPr>
        <w:pStyle w:val="NormalHanging12a"/>
      </w:pPr>
      <w:r w:rsidRPr="00E97ACA">
        <w:t>6.</w:t>
      </w:r>
      <w:r w:rsidRPr="00E97ACA">
        <w:tab/>
        <w:t>ragina Komisiją, bendradarbiaujant su valstybėmis narėmis ir atitinkamais suinteresuotaisiais subjektais, pasiūlyti konkrečias priemones, kuriomis būtų sprendžiama profesionalių vairuotojų trūkumo ES problema, skatinant jaunimo susidomėjimą – finansuojant specialų mokymą (perkvalifikavimą) ir kvalifikacijas bei skatinant profesinių mokyklų ir transporto įmonių partnerystę, be kita ko, teikiant specialią ES biudžeto paramą;</w:t>
      </w:r>
    </w:p>
    <w:p w:rsidR="00362559" w:rsidRPr="00E97ACA" w:rsidRDefault="00362559" w:rsidP="00362559">
      <w:pPr>
        <w:pStyle w:val="NormalHanging12a"/>
      </w:pPr>
      <w:r w:rsidRPr="00E97ACA">
        <w:t>7.</w:t>
      </w:r>
      <w:r w:rsidRPr="00E97ACA">
        <w:tab/>
        <w:t>ragina valstybes nares dėti daugiau pastangų siekiant stiprinti tarpvalstybinį bendradarbiavimą vagysčių iš krovininių transporto priemonių klausimu;</w:t>
      </w:r>
    </w:p>
    <w:p w:rsidR="00E365E1" w:rsidRPr="00E97ACA" w:rsidRDefault="00362559" w:rsidP="00DD1C52">
      <w:pPr>
        <w:ind w:left="567" w:hanging="567"/>
      </w:pPr>
      <w:r w:rsidRPr="00E97ACA">
        <w:t>8.</w:t>
      </w:r>
      <w:r w:rsidRPr="00E97ACA">
        <w:tab/>
        <w:t>paveda Pirmininkei perduoti šią rezoliuciją Komisijai, Tarybai ir atitinkamoms nacionalinėms institucijoms.</w:t>
      </w:r>
      <w:bookmarkStart w:id="8" w:name="TextBodyEnd"/>
      <w:bookmarkEnd w:id="8"/>
    </w:p>
    <w:sectPr w:rsidR="00E365E1" w:rsidRPr="00E97ACA" w:rsidSect="00E97A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029" w:rsidRPr="00E97ACA" w:rsidRDefault="00355029">
      <w:r w:rsidRPr="00E97ACA">
        <w:separator/>
      </w:r>
    </w:p>
  </w:endnote>
  <w:endnote w:type="continuationSeparator" w:id="0">
    <w:p w:rsidR="00355029" w:rsidRPr="00E97ACA" w:rsidRDefault="00355029">
      <w:r w:rsidRPr="00E97A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A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A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A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029" w:rsidRPr="00E97ACA" w:rsidRDefault="00355029">
      <w:r w:rsidRPr="00E97ACA">
        <w:separator/>
      </w:r>
    </w:p>
  </w:footnote>
  <w:footnote w:type="continuationSeparator" w:id="0">
    <w:p w:rsidR="00355029" w:rsidRPr="00E97ACA" w:rsidRDefault="00355029">
      <w:r w:rsidRPr="00E97ACA">
        <w:continuationSeparator/>
      </w:r>
    </w:p>
  </w:footnote>
  <w:footnote w:id="1">
    <w:p w:rsidR="00362559" w:rsidRPr="00E97ACA" w:rsidRDefault="00362559" w:rsidP="00E97ACA">
      <w:pPr>
        <w:pStyle w:val="FootnoteText"/>
        <w:ind w:left="567" w:hanging="567"/>
        <w:rPr>
          <w:sz w:val="24"/>
          <w:lang w:val="lt-LT"/>
        </w:rPr>
      </w:pPr>
      <w:r w:rsidRPr="00E97ACA">
        <w:rPr>
          <w:rStyle w:val="FootnoteReference"/>
          <w:sz w:val="24"/>
          <w:lang w:val="lt-LT"/>
        </w:rPr>
        <w:footnoteRef/>
      </w:r>
      <w:r w:rsidR="00E97ACA" w:rsidRPr="00E97ACA">
        <w:rPr>
          <w:sz w:val="24"/>
          <w:lang w:val="lt-LT"/>
        </w:rPr>
        <w:t xml:space="preserve"> </w:t>
      </w:r>
      <w:r w:rsidR="00E97ACA" w:rsidRPr="00E97ACA">
        <w:rPr>
          <w:sz w:val="24"/>
          <w:lang w:val="lt-LT"/>
        </w:rPr>
        <w:tab/>
      </w:r>
      <w:r w:rsidRPr="00E97ACA">
        <w:rPr>
          <w:sz w:val="24"/>
          <w:lang w:val="lt-LT"/>
        </w:rPr>
        <w:t>OL C 149, 2023 4 28, p. 11.</w:t>
      </w:r>
    </w:p>
  </w:footnote>
  <w:footnote w:id="2">
    <w:p w:rsidR="00362559" w:rsidRPr="00E97ACA" w:rsidRDefault="00362559" w:rsidP="00E97ACA">
      <w:pPr>
        <w:pStyle w:val="FootnoteText"/>
        <w:ind w:left="567" w:hanging="567"/>
        <w:rPr>
          <w:sz w:val="24"/>
          <w:lang w:val="lt-LT"/>
        </w:rPr>
      </w:pPr>
      <w:r w:rsidRPr="00E97ACA">
        <w:rPr>
          <w:rStyle w:val="FootnoteReference"/>
          <w:sz w:val="24"/>
          <w:lang w:val="lt-LT"/>
        </w:rPr>
        <w:footnoteRef/>
      </w:r>
      <w:r w:rsidR="00E97ACA" w:rsidRPr="00E97ACA">
        <w:rPr>
          <w:sz w:val="24"/>
          <w:lang w:val="lt-LT"/>
        </w:rPr>
        <w:t xml:space="preserve"> </w:t>
      </w:r>
      <w:r w:rsidR="00E97ACA" w:rsidRPr="00E97ACA">
        <w:rPr>
          <w:sz w:val="24"/>
          <w:lang w:val="lt-LT"/>
        </w:rPr>
        <w:tab/>
      </w:r>
      <w:r w:rsidRPr="00E97ACA">
        <w:rPr>
          <w:sz w:val="24"/>
          <w:lang w:val="lt-LT"/>
        </w:rPr>
        <w:t>Priimti tekstai, P9_TA(2023)0278.</w:t>
      </w:r>
    </w:p>
  </w:footnote>
  <w:footnote w:id="3">
    <w:p w:rsidR="00362559" w:rsidRPr="00E97ACA" w:rsidRDefault="00362559" w:rsidP="00E97ACA">
      <w:pPr>
        <w:pStyle w:val="FootnoteText"/>
        <w:ind w:left="567" w:hanging="567"/>
        <w:rPr>
          <w:sz w:val="24"/>
          <w:lang w:val="lt-LT"/>
        </w:rPr>
      </w:pPr>
      <w:r w:rsidRPr="00E97ACA">
        <w:rPr>
          <w:rStyle w:val="FootnoteReference"/>
          <w:sz w:val="24"/>
          <w:lang w:val="lt-LT"/>
        </w:rPr>
        <w:footnoteRef/>
      </w:r>
      <w:r w:rsidR="00E97ACA" w:rsidRPr="00E97ACA">
        <w:rPr>
          <w:sz w:val="24"/>
          <w:lang w:val="lt-LT"/>
        </w:rPr>
        <w:t xml:space="preserve"> </w:t>
      </w:r>
      <w:r w:rsidR="00E97ACA" w:rsidRPr="00E97ACA">
        <w:rPr>
          <w:sz w:val="24"/>
          <w:lang w:val="lt-LT"/>
        </w:rPr>
        <w:tab/>
      </w:r>
      <w:r w:rsidRPr="00E97ACA">
        <w:rPr>
          <w:sz w:val="24"/>
          <w:lang w:val="lt-LT"/>
        </w:rPr>
        <w:t>OL C 224, 2022 6 8, p. 95.</w:t>
      </w:r>
    </w:p>
  </w:footnote>
  <w:footnote w:id="4">
    <w:p w:rsidR="00362559" w:rsidRPr="00E97ACA" w:rsidRDefault="00362559" w:rsidP="00E97ACA">
      <w:pPr>
        <w:pStyle w:val="FootnoteText"/>
        <w:ind w:left="567" w:hanging="567"/>
        <w:rPr>
          <w:sz w:val="24"/>
          <w:lang w:val="lt-LT"/>
        </w:rPr>
      </w:pPr>
      <w:r w:rsidRPr="00E97ACA">
        <w:rPr>
          <w:rStyle w:val="FootnoteReference"/>
          <w:sz w:val="24"/>
          <w:lang w:val="lt-LT"/>
        </w:rPr>
        <w:footnoteRef/>
      </w:r>
      <w:r w:rsidR="00E97ACA" w:rsidRPr="00E97ACA">
        <w:rPr>
          <w:sz w:val="24"/>
          <w:lang w:val="lt-LT"/>
        </w:rPr>
        <w:t xml:space="preserve"> </w:t>
      </w:r>
      <w:r w:rsidR="00E97ACA" w:rsidRPr="00E97ACA">
        <w:rPr>
          <w:sz w:val="24"/>
          <w:lang w:val="lt-LT"/>
        </w:rPr>
        <w:tab/>
      </w:r>
      <w:r w:rsidRPr="00E97ACA">
        <w:rPr>
          <w:sz w:val="24"/>
          <w:lang w:val="lt-LT"/>
        </w:rPr>
        <w:t>OL C, C/2023/1058, 2023 12 15, ELI: http://data.europa.eu/eli/C/2023/1058/oj.</w:t>
      </w:r>
    </w:p>
  </w:footnote>
  <w:footnote w:id="5">
    <w:p w:rsidR="00362559" w:rsidRPr="00E97ACA" w:rsidRDefault="00362559" w:rsidP="00E97ACA">
      <w:pPr>
        <w:pStyle w:val="FootnoteText"/>
        <w:ind w:left="567" w:hanging="567"/>
        <w:rPr>
          <w:sz w:val="24"/>
          <w:lang w:val="lt-LT"/>
        </w:rPr>
      </w:pPr>
      <w:r w:rsidRPr="00E97ACA">
        <w:rPr>
          <w:rStyle w:val="FootnoteReference"/>
          <w:sz w:val="24"/>
          <w:lang w:val="lt-LT"/>
        </w:rPr>
        <w:footnoteRef/>
      </w:r>
      <w:r w:rsidR="00E97ACA" w:rsidRPr="00E97ACA">
        <w:rPr>
          <w:sz w:val="24"/>
          <w:lang w:val="lt-LT"/>
        </w:rPr>
        <w:t xml:space="preserve"> </w:t>
      </w:r>
      <w:r w:rsidR="00E97ACA" w:rsidRPr="00E97ACA">
        <w:rPr>
          <w:sz w:val="24"/>
          <w:lang w:val="lt-LT"/>
        </w:rPr>
        <w:tab/>
      </w:r>
      <w:r w:rsidRPr="00E97ACA">
        <w:rPr>
          <w:sz w:val="24"/>
          <w:lang w:val="lt-LT"/>
        </w:rPr>
        <w:t>OL C, C/2024/481, 2024 1 23, ELI: http://data.europa.eu/eli/C/2024/481/oj.</w:t>
      </w:r>
    </w:p>
  </w:footnote>
  <w:footnote w:id="6">
    <w:p w:rsidR="00362559" w:rsidRPr="00E97ACA" w:rsidRDefault="00362559" w:rsidP="00E97ACA">
      <w:pPr>
        <w:pStyle w:val="FootnoteText"/>
        <w:ind w:left="567" w:hanging="567"/>
        <w:rPr>
          <w:sz w:val="24"/>
          <w:lang w:val="lt-LT"/>
        </w:rPr>
      </w:pPr>
      <w:r w:rsidRPr="00E97ACA">
        <w:rPr>
          <w:rStyle w:val="FootnoteReference"/>
          <w:sz w:val="24"/>
          <w:lang w:val="lt-LT"/>
        </w:rPr>
        <w:footnoteRef/>
      </w:r>
      <w:r w:rsidR="00E97ACA" w:rsidRPr="00E97ACA">
        <w:rPr>
          <w:sz w:val="24"/>
          <w:lang w:val="lt-LT"/>
        </w:rPr>
        <w:t xml:space="preserve"> </w:t>
      </w:r>
      <w:r w:rsidR="00E97ACA" w:rsidRPr="00E97ACA">
        <w:rPr>
          <w:sz w:val="24"/>
          <w:lang w:val="lt-LT"/>
        </w:rPr>
        <w:tab/>
      </w:r>
      <w:r w:rsidRPr="00E97ACA">
        <w:rPr>
          <w:sz w:val="24"/>
          <w:lang w:val="lt-LT"/>
        </w:rPr>
        <w:t xml:space="preserve">2016 m. kovo 9 d. Europos Parlamento ir Tarybos reglamentas (ES) 2016/399 dėl taisyklių, reglamentuojančių asmenų judėjimą per sienas, Sąjungos kodekso (Šengeno sienų kodeksas) </w:t>
      </w:r>
      <w:r w:rsidR="00D549A5">
        <w:rPr>
          <w:sz w:val="24"/>
          <w:lang w:val="lt-LT"/>
        </w:rPr>
        <w:t>(</w:t>
      </w:r>
      <w:r w:rsidRPr="00E97ACA">
        <w:rPr>
          <w:sz w:val="24"/>
          <w:lang w:val="lt-LT"/>
        </w:rPr>
        <w:t>OL L 77, 2016 3 23, p. 1</w:t>
      </w:r>
      <w:r w:rsidR="00D549A5">
        <w:rPr>
          <w:sz w:val="24"/>
          <w:lang w:val="lt-LT"/>
        </w:rPr>
        <w:t>)</w:t>
      </w:r>
      <w:r w:rsidRPr="00E97ACA">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A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A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A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LT"/>
    <w:docVar w:name="dvnumam" w:val="0"/>
    <w:docVar w:name="dvpe" w:val="758.769"/>
    <w:docVar w:name="dvtitre" w:val="2024 m. balandzio 10 d. Europos Parlamento rezoliucija dėl sunkiųjų krovininių transporto priemonių tikrinimo sienos kirtimo punktuose, remiantis peticija Nr. 0146/2023(2024/2540(RSP))"/>
  </w:docVars>
  <w:rsids>
    <w:rsidRoot w:val="00355029"/>
    <w:rsid w:val="00002272"/>
    <w:rsid w:val="00064002"/>
    <w:rsid w:val="000677B9"/>
    <w:rsid w:val="000831BA"/>
    <w:rsid w:val="000A42CC"/>
    <w:rsid w:val="000E7DD9"/>
    <w:rsid w:val="0010095E"/>
    <w:rsid w:val="00125B37"/>
    <w:rsid w:val="00187494"/>
    <w:rsid w:val="001A3F9E"/>
    <w:rsid w:val="001F32AE"/>
    <w:rsid w:val="002767FF"/>
    <w:rsid w:val="002B18FE"/>
    <w:rsid w:val="002B5493"/>
    <w:rsid w:val="00343214"/>
    <w:rsid w:val="00355029"/>
    <w:rsid w:val="00361C00"/>
    <w:rsid w:val="00362559"/>
    <w:rsid w:val="00395FA1"/>
    <w:rsid w:val="003E15D4"/>
    <w:rsid w:val="00411CCE"/>
    <w:rsid w:val="0041666E"/>
    <w:rsid w:val="00421060"/>
    <w:rsid w:val="00471C19"/>
    <w:rsid w:val="004867E3"/>
    <w:rsid w:val="00494A28"/>
    <w:rsid w:val="004C0004"/>
    <w:rsid w:val="004C5D52"/>
    <w:rsid w:val="0050519A"/>
    <w:rsid w:val="005072A1"/>
    <w:rsid w:val="00514517"/>
    <w:rsid w:val="00544327"/>
    <w:rsid w:val="00545827"/>
    <w:rsid w:val="00560270"/>
    <w:rsid w:val="005C2568"/>
    <w:rsid w:val="006037C0"/>
    <w:rsid w:val="006631B6"/>
    <w:rsid w:val="00680577"/>
    <w:rsid w:val="006B1A4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A53"/>
    <w:rsid w:val="00CC2357"/>
    <w:rsid w:val="00CF071A"/>
    <w:rsid w:val="00D058B8"/>
    <w:rsid w:val="00D549A5"/>
    <w:rsid w:val="00D56C11"/>
    <w:rsid w:val="00D834A0"/>
    <w:rsid w:val="00D872DF"/>
    <w:rsid w:val="00D91E21"/>
    <w:rsid w:val="00DA7FCD"/>
    <w:rsid w:val="00DD1C52"/>
    <w:rsid w:val="00E365E1"/>
    <w:rsid w:val="00E820A4"/>
    <w:rsid w:val="00E97AC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CFF02"/>
  <w15:chartTrackingRefBased/>
  <w15:docId w15:val="{3C13E2EC-7CA1-431D-B12E-27465071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2559"/>
    <w:pPr>
      <w:spacing w:before="480" w:after="240"/>
    </w:pPr>
  </w:style>
  <w:style w:type="paragraph" w:customStyle="1" w:styleId="NormalHanging12a">
    <w:name w:val="NormalHanging12a"/>
    <w:basedOn w:val="Normal"/>
    <w:uiPriority w:val="99"/>
    <w:rsid w:val="00362559"/>
    <w:pPr>
      <w:spacing w:after="240"/>
      <w:ind w:left="567" w:hanging="567"/>
    </w:pPr>
  </w:style>
  <w:style w:type="paragraph" w:styleId="BalloonText">
    <w:name w:val="Balloon Text"/>
    <w:basedOn w:val="Normal"/>
    <w:link w:val="BalloonTextChar"/>
    <w:rsid w:val="001A3F9E"/>
    <w:rPr>
      <w:rFonts w:ascii="Segoe UI" w:hAnsi="Segoe UI" w:cs="Segoe UI"/>
      <w:sz w:val="18"/>
      <w:szCs w:val="18"/>
    </w:rPr>
  </w:style>
  <w:style w:type="character" w:customStyle="1" w:styleId="BalloonTextChar">
    <w:name w:val="Balloon Text Char"/>
    <w:basedOn w:val="DefaultParagraphFont"/>
    <w:link w:val="BalloonText"/>
    <w:rsid w:val="001A3F9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C9D37-BDEC-41A8-BBE9-4229B8DAF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2024-06-05T11:37:00Z</dcterms:created>
  <dcterms:modified xsi:type="dcterms:W3CDTF">2024-06-05T11:37:00Z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B9-0201/2024</vt:lpwstr>
  </property>
  <property fmtid="{D5CDD505-2E9C-101B-9397-08002B2CF9AE}" pid="4" name="&lt;Type&gt;">
    <vt:lpwstr>RR</vt:lpwstr>
  </property>
</Properties>
</file>