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15E9" w:rsidTr="0010095E">
        <w:trPr>
          <w:trHeight w:hRule="exact" w:val="1418"/>
        </w:trPr>
        <w:tc>
          <w:tcPr>
            <w:tcW w:w="6804" w:type="dxa"/>
            <w:shd w:val="clear" w:color="auto" w:fill="auto"/>
            <w:vAlign w:val="center"/>
          </w:tcPr>
          <w:p w:rsidR="00751A4A" w:rsidRPr="004215E9" w:rsidRDefault="001E446E" w:rsidP="0010095E">
            <w:pPr>
              <w:pStyle w:val="EPName"/>
            </w:pPr>
            <w:bookmarkStart w:id="0" w:name="_GoBack"/>
            <w:bookmarkEnd w:id="0"/>
            <w:r w:rsidRPr="004215E9">
              <w:t>Eiropas Parlaments</w:t>
            </w:r>
          </w:p>
          <w:p w:rsidR="00751A4A" w:rsidRPr="004215E9" w:rsidRDefault="00817416" w:rsidP="00756632">
            <w:pPr>
              <w:pStyle w:val="EPTerm"/>
              <w:rPr>
                <w:rStyle w:val="HideTWBExt"/>
                <w:noProof w:val="0"/>
                <w:vanish w:val="0"/>
                <w:color w:val="auto"/>
              </w:rPr>
            </w:pPr>
            <w:r w:rsidRPr="004215E9">
              <w:t>2019-2024</w:t>
            </w:r>
          </w:p>
        </w:tc>
        <w:tc>
          <w:tcPr>
            <w:tcW w:w="2268" w:type="dxa"/>
            <w:shd w:val="clear" w:color="auto" w:fill="auto"/>
          </w:tcPr>
          <w:p w:rsidR="00751A4A" w:rsidRPr="004215E9" w:rsidRDefault="00187494" w:rsidP="0010095E">
            <w:pPr>
              <w:pStyle w:val="EPLogo"/>
            </w:pPr>
            <w:r w:rsidRPr="004215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15E9" w:rsidRDefault="00D058B8" w:rsidP="004C5D52">
      <w:pPr>
        <w:pStyle w:val="LineTop"/>
      </w:pPr>
    </w:p>
    <w:p w:rsidR="00680577" w:rsidRPr="004215E9" w:rsidRDefault="001E446E" w:rsidP="00680577">
      <w:pPr>
        <w:pStyle w:val="EPBodyTA1"/>
      </w:pPr>
      <w:r w:rsidRPr="004215E9">
        <w:t>PIEŅEMTIE TEKSTI</w:t>
      </w:r>
    </w:p>
    <w:p w:rsidR="00D058B8" w:rsidRPr="004215E9" w:rsidRDefault="00D058B8" w:rsidP="00D058B8">
      <w:pPr>
        <w:pStyle w:val="LineBottom"/>
      </w:pPr>
    </w:p>
    <w:p w:rsidR="001E446E" w:rsidRPr="004215E9" w:rsidRDefault="001E446E" w:rsidP="001E446E">
      <w:pPr>
        <w:pStyle w:val="ATHeading1"/>
      </w:pPr>
      <w:bookmarkStart w:id="1" w:name="TANumber"/>
      <w:r w:rsidRPr="004215E9">
        <w:t>P9_TA(2024)0</w:t>
      </w:r>
      <w:bookmarkEnd w:id="1"/>
      <w:r w:rsidR="004215E9" w:rsidRPr="004215E9">
        <w:t>223</w:t>
      </w:r>
    </w:p>
    <w:p w:rsidR="001E446E" w:rsidRPr="004215E9" w:rsidRDefault="000B5DF5" w:rsidP="001E446E">
      <w:pPr>
        <w:pStyle w:val="ATHeading2"/>
      </w:pPr>
      <w:r w:rsidRPr="004215E9">
        <w:t xml:space="preserve">Smago kravas transportlīdzekļu apkalpošana </w:t>
      </w:r>
      <w:proofErr w:type="spellStart"/>
      <w:r w:rsidRPr="004215E9">
        <w:t>robežšķērsošanas</w:t>
      </w:r>
      <w:proofErr w:type="spellEnd"/>
      <w:r w:rsidRPr="004215E9">
        <w:t xml:space="preserve"> punktos</w:t>
      </w:r>
    </w:p>
    <w:p w:rsidR="001E446E" w:rsidRPr="004215E9" w:rsidRDefault="001E446E" w:rsidP="001E446E">
      <w:pPr>
        <w:rPr>
          <w:i/>
          <w:vanish/>
        </w:rPr>
      </w:pPr>
      <w:r w:rsidRPr="004215E9">
        <w:rPr>
          <w:i/>
        </w:rPr>
        <w:fldChar w:fldCharType="begin"/>
      </w:r>
      <w:r w:rsidRPr="004215E9">
        <w:rPr>
          <w:i/>
        </w:rPr>
        <w:instrText xml:space="preserve"> TC"(</w:instrText>
      </w:r>
      <w:bookmarkStart w:id="2" w:name="DocNumber"/>
      <w:r w:rsidRPr="004215E9">
        <w:rPr>
          <w:i/>
        </w:rPr>
        <w:instrText>B9-0201/2024</w:instrText>
      </w:r>
      <w:bookmarkEnd w:id="2"/>
      <w:r w:rsidRPr="004215E9">
        <w:rPr>
          <w:i/>
        </w:rPr>
        <w:instrText xml:space="preserve">)"\l3 \n&gt; \* MERGEFORMAT </w:instrText>
      </w:r>
      <w:r w:rsidRPr="004215E9">
        <w:rPr>
          <w:i/>
        </w:rPr>
        <w:fldChar w:fldCharType="end"/>
      </w:r>
    </w:p>
    <w:p w:rsidR="001E446E" w:rsidRPr="004215E9" w:rsidRDefault="001E446E" w:rsidP="001E446E">
      <w:pPr>
        <w:rPr>
          <w:vanish/>
        </w:rPr>
      </w:pPr>
      <w:bookmarkStart w:id="3" w:name="PE"/>
      <w:r w:rsidRPr="004215E9">
        <w:rPr>
          <w:vanish/>
        </w:rPr>
        <w:t>PE758.769</w:t>
      </w:r>
      <w:bookmarkEnd w:id="3"/>
    </w:p>
    <w:p w:rsidR="004323D0" w:rsidRPr="004215E9" w:rsidRDefault="001E446E" w:rsidP="000B5DF5">
      <w:pPr>
        <w:pStyle w:val="ATHeading3"/>
      </w:pPr>
      <w:bookmarkStart w:id="4" w:name="Sujet"/>
      <w:r w:rsidRPr="004215E9">
        <w:t xml:space="preserve">Eiropas Parlamenta 2024. gada </w:t>
      </w:r>
      <w:r w:rsidR="000B5DF5" w:rsidRPr="004215E9">
        <w:t>10</w:t>
      </w:r>
      <w:r w:rsidRPr="004215E9">
        <w:t xml:space="preserve">. </w:t>
      </w:r>
      <w:r w:rsidR="000B5DF5" w:rsidRPr="004215E9">
        <w:t>aprīļa</w:t>
      </w:r>
      <w:r w:rsidRPr="004215E9">
        <w:t xml:space="preserve"> rezolūcija par smago kravas transportlīdzekļu apkalpošanu </w:t>
      </w:r>
      <w:proofErr w:type="spellStart"/>
      <w:r w:rsidRPr="004215E9">
        <w:t>robežšķērsošanas</w:t>
      </w:r>
      <w:proofErr w:type="spellEnd"/>
      <w:r w:rsidRPr="004215E9">
        <w:t xml:space="preserve"> punktos, pamatojoties uz lūgumrakstu Nr. 0146/2023</w:t>
      </w:r>
      <w:bookmarkEnd w:id="4"/>
      <w:r w:rsidRPr="004215E9">
        <w:t xml:space="preserve"> </w:t>
      </w:r>
      <w:bookmarkStart w:id="5" w:name="References"/>
      <w:r w:rsidRPr="004215E9">
        <w:t>(2024/2540(RSP))</w:t>
      </w:r>
      <w:bookmarkStart w:id="6" w:name="TextBodyBegin"/>
      <w:bookmarkEnd w:id="5"/>
      <w:bookmarkEnd w:id="6"/>
    </w:p>
    <w:p w:rsidR="004323D0" w:rsidRPr="004215E9" w:rsidRDefault="004323D0" w:rsidP="004323D0">
      <w:pPr>
        <w:pStyle w:val="EPComma"/>
      </w:pPr>
      <w:r w:rsidRPr="004215E9">
        <w:rPr>
          <w:i/>
        </w:rPr>
        <w:t>Eiropas Parlaments</w:t>
      </w:r>
      <w:r w:rsidRPr="004215E9">
        <w:t>,</w:t>
      </w:r>
    </w:p>
    <w:p w:rsidR="004323D0" w:rsidRPr="004215E9" w:rsidRDefault="004323D0" w:rsidP="004323D0">
      <w:pPr>
        <w:pStyle w:val="NormalHanging12a"/>
      </w:pPr>
      <w:r w:rsidRPr="004215E9">
        <w:t>–</w:t>
      </w:r>
      <w:r w:rsidRPr="004215E9">
        <w:tab/>
        <w:t>ņemot vērā Līguma par Eiropas Savienības darbību (LESD) 26. pantu, 28. līdz 37. pantu un 67. panta 1. un 2. punktu,</w:t>
      </w:r>
    </w:p>
    <w:p w:rsidR="004323D0" w:rsidRPr="004215E9" w:rsidRDefault="004323D0" w:rsidP="004323D0">
      <w:pPr>
        <w:pStyle w:val="NormalHanging12a"/>
      </w:pPr>
      <w:r w:rsidRPr="004215E9">
        <w:t>–</w:t>
      </w:r>
      <w:r w:rsidRPr="004215E9">
        <w:tab/>
        <w:t>ņemot vērā lūgumraksta Nr. 0146/2023 apspriešanu Lūgumrakstu komitejas 2023. gada 29. novembra sanāksmē,</w:t>
      </w:r>
    </w:p>
    <w:p w:rsidR="004323D0" w:rsidRPr="004215E9" w:rsidRDefault="004323D0" w:rsidP="004323D0">
      <w:pPr>
        <w:pStyle w:val="NormalHanging12a"/>
        <w:rPr>
          <w:bCs/>
          <w:szCs w:val="24"/>
          <w:shd w:val="clear" w:color="auto" w:fill="FFFFFF"/>
        </w:rPr>
      </w:pPr>
      <w:r w:rsidRPr="004215E9">
        <w:t>–</w:t>
      </w:r>
      <w:r w:rsidRPr="004215E9">
        <w:tab/>
        <w:t xml:space="preserve">ņemot vērā atklāto uzklausīšanu par tematu “Šengenas robežas — lūgumrakstu iesniedzēju izvirzītie jautājumi”, </w:t>
      </w:r>
      <w:r w:rsidRPr="004215E9">
        <w:rPr>
          <w:shd w:val="clear" w:color="auto" w:fill="FFFFFF"/>
        </w:rPr>
        <w:t xml:space="preserve">ko Lūgumrakstu komiteja sadarbībā ar Pilsoņu brīvību, tieslietu un </w:t>
      </w:r>
      <w:proofErr w:type="spellStart"/>
      <w:r w:rsidRPr="004215E9">
        <w:rPr>
          <w:shd w:val="clear" w:color="auto" w:fill="FFFFFF"/>
        </w:rPr>
        <w:t>iekšlietu</w:t>
      </w:r>
      <w:proofErr w:type="spellEnd"/>
      <w:r w:rsidRPr="004215E9">
        <w:rPr>
          <w:shd w:val="clear" w:color="auto" w:fill="FFFFFF"/>
        </w:rPr>
        <w:t xml:space="preserve"> komiteju kopīgi rīkoja 2023. gada 18. jūlijā,</w:t>
      </w:r>
    </w:p>
    <w:p w:rsidR="004323D0" w:rsidRPr="004215E9" w:rsidRDefault="004323D0" w:rsidP="004323D0">
      <w:pPr>
        <w:pStyle w:val="NormalHanging12a"/>
      </w:pPr>
      <w:r w:rsidRPr="004215E9">
        <w:t>–</w:t>
      </w:r>
      <w:r w:rsidRPr="004215E9">
        <w:tab/>
        <w:t>ņemot vērā Komisijas 2022. gada 16. novembra paziņojumu “Spēcīgāka Šengena: pilnīga Bulgārijas, Rumānijas un Horvātijas dalība zonā bez kontroles pie iekšējām robežām” (COM(2022)0636),</w:t>
      </w:r>
    </w:p>
    <w:p w:rsidR="004323D0" w:rsidRPr="004215E9" w:rsidRDefault="004323D0" w:rsidP="004323D0">
      <w:pPr>
        <w:pStyle w:val="NormalHanging12a"/>
      </w:pPr>
      <w:r w:rsidRPr="004215E9">
        <w:t>–</w:t>
      </w:r>
      <w:r w:rsidRPr="004215E9">
        <w:tab/>
        <w:t>ņemot vērā 2022. gada 18. oktobra rezolūciju par Rumānijas un Bulgārijas pievienošanos Šengenas zonai</w:t>
      </w:r>
      <w:r w:rsidRPr="004215E9">
        <w:rPr>
          <w:rStyle w:val="FootnoteReference"/>
          <w:color w:val="000000"/>
        </w:rPr>
        <w:footnoteReference w:id="1"/>
      </w:r>
      <w:r w:rsidRPr="004215E9">
        <w:t xml:space="preserve"> un 2023. gada 12. jūlija rezolūciju par pievienošanos Šengenas zonai</w:t>
      </w:r>
      <w:r w:rsidRPr="004215E9">
        <w:rPr>
          <w:rStyle w:val="FootnoteReference"/>
          <w:color w:val="000000"/>
        </w:rPr>
        <w:footnoteReference w:id="2"/>
      </w:r>
      <w:r w:rsidRPr="004215E9">
        <w:t>,</w:t>
      </w:r>
    </w:p>
    <w:p w:rsidR="004323D0" w:rsidRPr="004215E9" w:rsidRDefault="004323D0" w:rsidP="004323D0">
      <w:pPr>
        <w:pStyle w:val="NormalHanging12a"/>
      </w:pPr>
      <w:r w:rsidRPr="004215E9">
        <w:t>–</w:t>
      </w:r>
      <w:r w:rsidRPr="004215E9">
        <w:tab/>
        <w:t>ņemot vērā Padomes 2023. gada 30. decembra vienprātīgo lēmumu uzņemt Rumāniju un Bulgāriju Šengenas zonā, sākot ar kontroles atcelšanu pie gaisa un jūras robežām no 2024. gada marta,</w:t>
      </w:r>
    </w:p>
    <w:p w:rsidR="004323D0" w:rsidRPr="004215E9" w:rsidRDefault="004323D0" w:rsidP="004323D0">
      <w:pPr>
        <w:pStyle w:val="NormalHanging12a"/>
      </w:pPr>
      <w:r w:rsidRPr="004215E9">
        <w:t>–</w:t>
      </w:r>
      <w:r w:rsidRPr="004215E9">
        <w:tab/>
        <w:t>ņemot vērā 2021. gada 25. novembra rezolūciju par kravas autotransporta stāvvietu drošību Eiropas Savienībā</w:t>
      </w:r>
      <w:r w:rsidRPr="004215E9">
        <w:rPr>
          <w:rStyle w:val="FootnoteReference"/>
          <w:color w:val="000000"/>
        </w:rPr>
        <w:footnoteReference w:id="3"/>
      </w:r>
      <w:r w:rsidRPr="004215E9">
        <w:t>,</w:t>
      </w:r>
    </w:p>
    <w:p w:rsidR="004323D0" w:rsidRPr="004215E9" w:rsidRDefault="004323D0" w:rsidP="004323D0">
      <w:pPr>
        <w:pStyle w:val="NormalHanging12a"/>
      </w:pPr>
      <w:r w:rsidRPr="004215E9">
        <w:lastRenderedPageBreak/>
        <w:t>–</w:t>
      </w:r>
      <w:r w:rsidRPr="004215E9">
        <w:tab/>
        <w:t>ņemot vērā 2023. gada 9. maija rezolūciju par jauno ES pilsētu mobilitātes satvaru</w:t>
      </w:r>
      <w:r w:rsidRPr="004215E9">
        <w:rPr>
          <w:rStyle w:val="FootnoteReference"/>
          <w:color w:val="000000"/>
        </w:rPr>
        <w:footnoteReference w:id="4"/>
      </w:r>
      <w:r w:rsidRPr="004215E9">
        <w:t>,</w:t>
      </w:r>
    </w:p>
    <w:p w:rsidR="004323D0" w:rsidRPr="004215E9" w:rsidRDefault="004323D0" w:rsidP="004323D0">
      <w:pPr>
        <w:pStyle w:val="NormalHanging12a"/>
      </w:pPr>
      <w:r w:rsidRPr="004215E9">
        <w:t>–</w:t>
      </w:r>
      <w:r w:rsidRPr="004215E9">
        <w:tab/>
        <w:t>ņemot vērā 2023. gada 13. jūnija rezolūciju par lieliem transporta infrastruktūras projektiem ES — projektu īstenošana un ES līdzekļu uzraudzība un kontrole</w:t>
      </w:r>
      <w:r w:rsidRPr="004215E9">
        <w:rPr>
          <w:rStyle w:val="FootnoteReference"/>
          <w:color w:val="000000"/>
        </w:rPr>
        <w:footnoteReference w:id="5"/>
      </w:r>
      <w:r w:rsidRPr="004215E9">
        <w:t>,</w:t>
      </w:r>
    </w:p>
    <w:p w:rsidR="004323D0" w:rsidRPr="004215E9" w:rsidRDefault="004323D0" w:rsidP="004323D0">
      <w:pPr>
        <w:pStyle w:val="NormalHanging12a"/>
      </w:pPr>
      <w:r w:rsidRPr="004215E9">
        <w:t>–</w:t>
      </w:r>
      <w:r w:rsidRPr="004215E9">
        <w:tab/>
        <w:t>ņemot vērā priekšlikumu regulai par pamatnostādnēm Eiropas transporta tīkla attīstībai un ar ko groza Regulu (ES) 2021/1153 un Regulu (ES) Nr. 913/2010 un atceļ Regulu (ES) Nr. 1315/2013 (COM(2021)0812),</w:t>
      </w:r>
    </w:p>
    <w:p w:rsidR="004323D0" w:rsidRPr="004215E9" w:rsidRDefault="004323D0" w:rsidP="004323D0">
      <w:pPr>
        <w:pStyle w:val="NormalHanging12a"/>
      </w:pPr>
      <w:r w:rsidRPr="004215E9">
        <w:t>–</w:t>
      </w:r>
      <w:r w:rsidRPr="004215E9">
        <w:tab/>
        <w:t>ņemot vērā Reglamenta 227. panta 2. punktu,</w:t>
      </w:r>
    </w:p>
    <w:p w:rsidR="004323D0" w:rsidRPr="004215E9" w:rsidRDefault="004323D0" w:rsidP="004323D0">
      <w:pPr>
        <w:pStyle w:val="NormalHanging12a"/>
      </w:pPr>
      <w:r w:rsidRPr="004215E9">
        <w:t>A.</w:t>
      </w:r>
      <w:r w:rsidRPr="004215E9">
        <w:tab/>
        <w:t>tā kā pie ES iekšējām robežām katru dienu tiek apturēti simtiem kravas transportlīdzekļu, arī pie robežām starp Šengenas zonai piederošajām ES dalībvalstīm un ES dalībvalstīm, kas pie tās nepieder, un tur tie saskaras ar ārkārtīgi ilgu gaidīšanas laiku un kavēšanos apstrādes un pārbaužu dēļ; tā kā pašreizējā Eiropas tiesiskajā regulējumā nav konkrēti skatīts vai reglamentēts maksimālais laiks kravas apstrādei pie robežām;</w:t>
      </w:r>
    </w:p>
    <w:p w:rsidR="004323D0" w:rsidRPr="004215E9" w:rsidRDefault="004323D0" w:rsidP="004323D0">
      <w:pPr>
        <w:pStyle w:val="NormalHanging12a"/>
      </w:pPr>
      <w:r w:rsidRPr="004215E9">
        <w:t>B.</w:t>
      </w:r>
      <w:r w:rsidRPr="004215E9">
        <w:tab/>
        <w:t xml:space="preserve">tā kā šīs rindas un aizkavēšanos pie dalībvalstu robežām var skaidrot ar tādiem iemesliem kā dažādi administratīvi, operacionāli, drošības, tehniski vai </w:t>
      </w:r>
      <w:proofErr w:type="spellStart"/>
      <w:r w:rsidRPr="004215E9">
        <w:t>sadarbspējas</w:t>
      </w:r>
      <w:proofErr w:type="spellEnd"/>
      <w:r w:rsidRPr="004215E9">
        <w:t xml:space="preserve"> faktori, piemēram, nepietiekamas operacionālās un tehniskās spējas, personāla, kontroles dienestu un kravas transportlīdzekļu svēršanas tiltu trūkums, kā arī daudzu institucionālu struktūru koncentrācija pie robežām un kravu pārbaudes, kas prasa laiku; tā kā Šengenas Robežu kodeksa</w:t>
      </w:r>
      <w:r w:rsidRPr="004215E9">
        <w:rPr>
          <w:rStyle w:val="FootnoteReference"/>
          <w:color w:val="000000"/>
        </w:rPr>
        <w:footnoteReference w:id="6"/>
      </w:r>
      <w:r w:rsidRPr="004215E9">
        <w:t xml:space="preserve"> 22. pantā ir nostiprināts princips par pārbaužu un kontroles neveikšanu pie iekšējām robežām starp Šengenas valstīm saskaņā ar pārvietošanās brīvības principu, kas noteikts LESD 26. panta 2. punktā, un tā kā 24. pantā ir īpaši noteikts, ka dalībvalstīm jālikvidē visi šķēršļi, kas kavē netraucētu satiksmes plūsmu autoceļu </w:t>
      </w:r>
      <w:proofErr w:type="spellStart"/>
      <w:r w:rsidRPr="004215E9">
        <w:t>robežšķērsošanas</w:t>
      </w:r>
      <w:proofErr w:type="spellEnd"/>
      <w:r w:rsidRPr="004215E9">
        <w:t xml:space="preserve"> vietās pie iekšējām robežām;</w:t>
      </w:r>
    </w:p>
    <w:p w:rsidR="004323D0" w:rsidRPr="004215E9" w:rsidRDefault="004323D0" w:rsidP="004323D0">
      <w:pPr>
        <w:pStyle w:val="NormalHanging12a"/>
      </w:pPr>
      <w:r w:rsidRPr="004215E9">
        <w:t>C.</w:t>
      </w:r>
      <w:r w:rsidRPr="004215E9">
        <w:tab/>
        <w:t>tā kā ES reģistrētu smago kravas transportlīdzekļu uzkrāšanās pie robežām var negatīvi ietekmēt transportlīdzekļu vadītāju veselību un darba apstākļus, ceļu satiksmes drošību un autopārvadājumu uzņēmumu darbību, kā arī kaitēt konkurencei un ES vienotā tirgus darbībai un turklāt palielināt autopārvadātāju izmaksas;</w:t>
      </w:r>
    </w:p>
    <w:p w:rsidR="004323D0" w:rsidRPr="004215E9" w:rsidRDefault="004323D0" w:rsidP="004323D0">
      <w:pPr>
        <w:pStyle w:val="NormalHanging12a"/>
      </w:pPr>
      <w:r w:rsidRPr="004215E9">
        <w:t>D.</w:t>
      </w:r>
      <w:r w:rsidRPr="004215E9">
        <w:tab/>
        <w:t>tā kā Bulgārija un Rumānija joprojām gaida Padomes lēmumu par datumu pārbaužu atcelšanai pie iekšējām sauszemes robežām; tā kā pārbaužu un kontroles atcelšana pie iekšējām sauszemes robežām pozitīvi ietekmētu Rumānijas un Bulgārijas dalību ES vienotajā tirgū, likvidējot šķēršļus mobilitātei, kuri izraisa uzņēmējdarbības pasākumu kavējumus kravu piegādes grafiku traucējumu dēļ;</w:t>
      </w:r>
    </w:p>
    <w:p w:rsidR="004323D0" w:rsidRPr="004215E9" w:rsidRDefault="004323D0" w:rsidP="004323D0">
      <w:pPr>
        <w:pStyle w:val="NormalHanging12a"/>
      </w:pPr>
      <w:r w:rsidRPr="004215E9">
        <w:t>E.</w:t>
      </w:r>
      <w:r w:rsidRPr="004215E9">
        <w:tab/>
        <w:t xml:space="preserve">tā kā kravas transportlīdzekļu aizkavēšanās pie robežām rada simtiem miljonu </w:t>
      </w:r>
      <w:proofErr w:type="spellStart"/>
      <w:r w:rsidRPr="004215E9">
        <w:t>euro</w:t>
      </w:r>
      <w:proofErr w:type="spellEnd"/>
      <w:r w:rsidRPr="004215E9">
        <w:t xml:space="preserve"> zaudējumus Eiropas uzņēmumiem, jo īpaši loģistikas, tūrisma un viesmīlības nozarē; tā kā Covid-19 pandēmijas laikā šo </w:t>
      </w:r>
      <w:proofErr w:type="spellStart"/>
      <w:r w:rsidRPr="004215E9">
        <w:t>robežšķērsošanas</w:t>
      </w:r>
      <w:proofErr w:type="spellEnd"/>
      <w:r w:rsidRPr="004215E9">
        <w:t xml:space="preserve"> ierobežojumu radītie riski kļuva īpaši acīmredzami; tā kā </w:t>
      </w:r>
      <w:r w:rsidRPr="004215E9">
        <w:rPr>
          <w:i/>
        </w:rPr>
        <w:t xml:space="preserve">status </w:t>
      </w:r>
      <w:proofErr w:type="spellStart"/>
      <w:r w:rsidRPr="004215E9">
        <w:rPr>
          <w:i/>
        </w:rPr>
        <w:t>quo</w:t>
      </w:r>
      <w:proofErr w:type="spellEnd"/>
      <w:r w:rsidRPr="004215E9">
        <w:t xml:space="preserve"> saglabāšana ievērojami vājina ES noturību citu </w:t>
      </w:r>
      <w:r w:rsidRPr="004215E9">
        <w:lastRenderedPageBreak/>
        <w:t>iespējamu sabiedrības veselības ārkārtas situāciju gadījumā;</w:t>
      </w:r>
    </w:p>
    <w:p w:rsidR="004323D0" w:rsidRPr="004215E9" w:rsidRDefault="004323D0" w:rsidP="004323D0">
      <w:pPr>
        <w:pStyle w:val="NormalHanging12a"/>
      </w:pPr>
      <w:r w:rsidRPr="004215E9">
        <w:t>F.</w:t>
      </w:r>
      <w:r w:rsidRPr="004215E9">
        <w:tab/>
        <w:t xml:space="preserve">tā kā īpašas bažas rada garās kravas transportlīdzekļu rindas pie ES ārējām robežām ar </w:t>
      </w:r>
      <w:proofErr w:type="spellStart"/>
      <w:r w:rsidRPr="004215E9">
        <w:t>Rietumbalkānu</w:t>
      </w:r>
      <w:proofErr w:type="spellEnd"/>
      <w:r w:rsidRPr="004215E9">
        <w:t xml:space="preserve"> valstīm;</w:t>
      </w:r>
    </w:p>
    <w:p w:rsidR="004323D0" w:rsidRPr="004215E9" w:rsidRDefault="004323D0" w:rsidP="004323D0">
      <w:pPr>
        <w:pStyle w:val="NormalHanging12a"/>
      </w:pPr>
      <w:r w:rsidRPr="004215E9">
        <w:t>G.</w:t>
      </w:r>
      <w:r w:rsidRPr="004215E9">
        <w:tab/>
        <w:t>tā kā šī situācija būtiski apdraud profesionālo autovadītāju veselību un drošību, kaitē viņu darba apstākļiem un mazina darbvietu kvalitāti šajā profesijā, un turklāt veicina kravas automobiļu vadītāju trūkumu pasaulē; tā kā kravas automobiļu vadītāji visās ES dalībvalstīs bieži cieš no dažādu veidu hroniskām sāpēm, piemēram, muguras lejasdaļas sāpēm, ceļu un plecu sāpēm; tā kā biežā patvaļīgā prasība izkraut un pārkraut kravu līdztekus rada nozīmīgus papildu veselības apdraudējumus, kuru rezultātā nereti tiek gūtas traumas, jo kravas automobiļu vadītājiem bieži var trūkt fiziska spēka vai piemērota aprīkojuma attiecīgo lielu smagumu pacelšanai; tā kā darba devēji neselektīvi uzliek šo pienākumu un atbildību kravas automobiļu vadītājiem, neparedzot papildu atalgojumu;</w:t>
      </w:r>
    </w:p>
    <w:p w:rsidR="004323D0" w:rsidRPr="004215E9" w:rsidRDefault="004323D0" w:rsidP="004323D0">
      <w:pPr>
        <w:pStyle w:val="NormalHanging12a"/>
      </w:pPr>
      <w:r w:rsidRPr="004215E9">
        <w:t>H.</w:t>
      </w:r>
      <w:r w:rsidRPr="004215E9">
        <w:tab/>
        <w:t xml:space="preserve">tā kā pie robežām gaidošo kravas transportlīdzekļu rindas tieši ietekmē Eiropas iedzīvotāju veselību, negatīvi ietekmējot gaisa kvalitāti un izraisot ūdens un trokšņa piesārņojumu, kā arī nelabvēlīgi ietekmē </w:t>
      </w:r>
      <w:proofErr w:type="spellStart"/>
      <w:r w:rsidRPr="004215E9">
        <w:rPr>
          <w:i/>
        </w:rPr>
        <w:t>Natura</w:t>
      </w:r>
      <w:proofErr w:type="spellEnd"/>
      <w:r w:rsidRPr="004215E9">
        <w:rPr>
          <w:i/>
        </w:rPr>
        <w:t> 2000</w:t>
      </w:r>
      <w:r w:rsidRPr="004215E9">
        <w:t xml:space="preserve"> teritorijas; tā kā, piemēram, Komisijas 2023. gada 16. maija paziņojumā uzsvērts, ka pastāvīgā iekšējā robežkontrole attiecībā uz Rumāniju un Bulgāriju ir cēlonis 46 000 tonnu CO</w:t>
      </w:r>
      <w:r w:rsidRPr="004215E9">
        <w:rPr>
          <w:vertAlign w:val="subscript"/>
        </w:rPr>
        <w:t>2</w:t>
      </w:r>
      <w:r w:rsidRPr="004215E9">
        <w:t xml:space="preserve"> emisiju gadā;</w:t>
      </w:r>
    </w:p>
    <w:p w:rsidR="004323D0" w:rsidRPr="004215E9" w:rsidRDefault="004323D0" w:rsidP="004323D0">
      <w:pPr>
        <w:pStyle w:val="NormalHanging12a"/>
      </w:pPr>
      <w:r w:rsidRPr="004215E9">
        <w:t>I.</w:t>
      </w:r>
      <w:r w:rsidRPr="004215E9">
        <w:tab/>
        <w:t>tā kā kravas transportlīdzekļu sastrēgumi turklāt pasliktina pašreizējās infrastruktūras kvalitāti un vienlaikus ir kavēklis ceļu satiksmes drošībai un palielina ceļu satiksmes negadījumu risku;</w:t>
      </w:r>
    </w:p>
    <w:p w:rsidR="004323D0" w:rsidRPr="004215E9" w:rsidRDefault="004323D0" w:rsidP="004323D0">
      <w:pPr>
        <w:pStyle w:val="NormalHanging12a"/>
      </w:pPr>
      <w:r w:rsidRPr="004215E9">
        <w:t>J.</w:t>
      </w:r>
      <w:r w:rsidRPr="004215E9">
        <w:tab/>
        <w:t>tā kā ir vajadzīgs lielāks publiskais un privātais finansējums drošām un aizsargātām kravas automobiļu stāvvietām, lai transportlīdzekļu vadītāji varētu izmantot savus pārtraukumus pilnīgā drošībā; tā kā drošības instrumentu stiprināšana, piemēram, izstrādājot īpašas mobilās lietotnes, samazinātu risku kravas automobiļu vadītājiem kļūt par noziegumu upuriem,</w:t>
      </w:r>
    </w:p>
    <w:p w:rsidR="004323D0" w:rsidRPr="004215E9" w:rsidRDefault="004323D0" w:rsidP="004323D0">
      <w:pPr>
        <w:pStyle w:val="NormalHanging12a"/>
      </w:pPr>
      <w:r w:rsidRPr="004215E9">
        <w:t>1.</w:t>
      </w:r>
      <w:r w:rsidRPr="004215E9">
        <w:tab/>
        <w:t xml:space="preserve">prasa, lai Parlaments, Padome un Komisija, izstrādādami svarīgas ES </w:t>
      </w:r>
      <w:proofErr w:type="spellStart"/>
      <w:r w:rsidRPr="004215E9">
        <w:t>rīcībpolitikas</w:t>
      </w:r>
      <w:proofErr w:type="spellEnd"/>
      <w:r w:rsidRPr="004215E9">
        <w:t xml:space="preserve"> (piemēram, Eiropas transporta tīklu), pievērstos konkrētiem pasākumiem ar mērķi nodrošināt netraucētu un efektīvu </w:t>
      </w:r>
      <w:proofErr w:type="spellStart"/>
      <w:r w:rsidRPr="004215E9">
        <w:t>robežšķērsošanu</w:t>
      </w:r>
      <w:proofErr w:type="spellEnd"/>
      <w:r w:rsidRPr="004215E9">
        <w:t xml:space="preserve"> kravu pārvadājumiem;</w:t>
      </w:r>
    </w:p>
    <w:p w:rsidR="004323D0" w:rsidRPr="004215E9" w:rsidRDefault="004323D0" w:rsidP="004323D0">
      <w:pPr>
        <w:pStyle w:val="NormalHanging12a"/>
      </w:pPr>
      <w:r w:rsidRPr="004215E9">
        <w:t>2.</w:t>
      </w:r>
      <w:r w:rsidRPr="004215E9">
        <w:tab/>
        <w:t xml:space="preserve">aicina Komisiju pēc tam, kad veikts ietekmes novērtējums šajā rezolūcijas priekšlikumā aprakstīto jautājumu saistībā, ierosināt tūlītējus un saistošus likumdošanas pasākumus, lai izveidotu ES mēroga standartu vidēji vienas minūtes apmērā smago kravas transportlīdzekļu apstrādei ES iekšējās </w:t>
      </w:r>
      <w:proofErr w:type="spellStart"/>
      <w:r w:rsidRPr="004215E9">
        <w:t>robežšķērsošanas</w:t>
      </w:r>
      <w:proofErr w:type="spellEnd"/>
      <w:r w:rsidRPr="004215E9">
        <w:t xml:space="preserve"> vietās, lai tādējādi garantētu vienmērīgu plūsmu pie iekšējām robežām starp Šengenas zonu un tai nepiederošām valstīm, ļaujot ātri un efektīvi pārvietot preces un pakalpojumus; uzsver, ka šāds pasākums ievērojami uzlabotu autotransporta nozares konkurētspēju un nodrošinātu tās netraucētu darbību vienotajā tirgū; uzsver, ka sauszemes robežkontroles saglabāšana kaitē visu dalībvalstu ekonomiskajām interesēm;</w:t>
      </w:r>
    </w:p>
    <w:p w:rsidR="004323D0" w:rsidRPr="004215E9" w:rsidRDefault="004323D0" w:rsidP="004323D0">
      <w:pPr>
        <w:pStyle w:val="NormalHanging12a"/>
      </w:pPr>
      <w:r w:rsidRPr="004215E9">
        <w:t>3.</w:t>
      </w:r>
      <w:r w:rsidRPr="004215E9">
        <w:tab/>
        <w:t xml:space="preserve">uzsver, ka Komisija kopš 2011. gada ir atkārtoti norādījusi, ka gan Rumānija, gan Bulgārija ir izpildījušas visus oficiālos kritērijus, lai varētu pievienoties Šengenas zonai; uzsver, ka Padomes 2023. gada 30. decembra lēmumā atcelt gaisa un jūras robežu kontroli attiecībā uz Rumāniju un Bulgāriju tikai daļēji risināts pašreizējā vienotā tirgus izkropļojuma jautājums; uzsver, ka ar šo lēmumu nav atrisināts svarīgākais un </w:t>
      </w:r>
      <w:r w:rsidRPr="004215E9">
        <w:lastRenderedPageBreak/>
        <w:t>steidzamākais jautājums, proti, sauszemes robežas šķērsošana, kad joprojām tiek veiktas pārbaudes pie Šengenas zonas sauszemes robežām, tādējādi kavējot netraucētas šķērsošanas iespēju kravas transportlīdzekļiem, autobusiem, privātajiem automobiļiem un vilcieniem; atkārtoti pauž savu ilgi ieņemto nostāju, atbalstot Šengenas</w:t>
      </w:r>
      <w:r w:rsidRPr="004215E9">
        <w:rPr>
          <w:i/>
        </w:rPr>
        <w:t xml:space="preserve"> </w:t>
      </w:r>
      <w:proofErr w:type="spellStart"/>
      <w:r w:rsidRPr="004215E9">
        <w:rPr>
          <w:i/>
        </w:rPr>
        <w:t>acquis</w:t>
      </w:r>
      <w:proofErr w:type="spellEnd"/>
      <w:r w:rsidRPr="004215E9">
        <w:t xml:space="preserve"> pilnīgu piemērošanu Bulgārijai un Rumānijai; mudina prezidentvalsti Beļģiju un visus Padomes locekļus pēc iespējas ātrāk un ne vēlāk kā līdz 2024. gada vidum pieņemt lēmumu par Šengenas </w:t>
      </w:r>
      <w:proofErr w:type="spellStart"/>
      <w:r w:rsidRPr="004215E9">
        <w:rPr>
          <w:i/>
        </w:rPr>
        <w:t>acquis</w:t>
      </w:r>
      <w:proofErr w:type="spellEnd"/>
      <w:r w:rsidRPr="004215E9">
        <w:t xml:space="preserve"> pilnīgu piemērošanu Rumānijā un Bulgārijā;</w:t>
      </w:r>
    </w:p>
    <w:p w:rsidR="004323D0" w:rsidRPr="004215E9" w:rsidRDefault="004323D0" w:rsidP="004323D0">
      <w:pPr>
        <w:pStyle w:val="NormalHanging12a"/>
      </w:pPr>
      <w:r w:rsidRPr="004215E9">
        <w:t>4.</w:t>
      </w:r>
      <w:r w:rsidRPr="004215E9">
        <w:tab/>
        <w:t>tādēļ prasa, lai Komisija garantētu veikto pasākumu izpildi un uzraudzību, arī piemērojot sankcijas; uzsver, ka ir vajadzīgs pienācīgs un pietiekams ES finansējums un tehniskais atbalsts;</w:t>
      </w:r>
    </w:p>
    <w:p w:rsidR="004323D0" w:rsidRPr="004215E9" w:rsidRDefault="004323D0" w:rsidP="004323D0">
      <w:pPr>
        <w:pStyle w:val="NormalHanging12a"/>
      </w:pPr>
      <w:r w:rsidRPr="004215E9">
        <w:t>5.</w:t>
      </w:r>
      <w:r w:rsidRPr="004215E9">
        <w:tab/>
        <w:t xml:space="preserve">aicina Komisiju un dalībvalstis pieņemt ES tiesību aktus, kas kravas automobiļu vadītājiem ļautu izmantot mazākus </w:t>
      </w:r>
      <w:proofErr w:type="spellStart"/>
      <w:r w:rsidRPr="004215E9">
        <w:t>robežšķērsošanas</w:t>
      </w:r>
      <w:proofErr w:type="spellEnd"/>
      <w:r w:rsidRPr="004215E9">
        <w:t xml:space="preserve"> punktus, ja ceļu uzturēšanas dēļ ir slēgtas galvenās artērijas, lai novērstu to, ka autovadītāji ir atkarīgi no atsevišķu valstu patvaļīgas rīcības, ņemot vērā, ka tas ir ES vispārējo interešu jautājums;</w:t>
      </w:r>
    </w:p>
    <w:p w:rsidR="004323D0" w:rsidRPr="004215E9" w:rsidRDefault="004323D0" w:rsidP="004323D0">
      <w:pPr>
        <w:pStyle w:val="NormalHanging12a"/>
      </w:pPr>
      <w:r w:rsidRPr="004215E9">
        <w:t>6.</w:t>
      </w:r>
      <w:r w:rsidRPr="004215E9">
        <w:tab/>
        <w:t>aicina Komisiju sadarbībā ar dalībvalstīm un attiecīgajām ieinteresētajām personām ierosināt konkrētus pasākumus, lai novērstu profesionālo autovadītāju trūkumu Eiropas Savienībā, stimulējot jauniešu interesi, finansējot konkrētus apmācības, pārkvalificēšanās un kvalifikācijas pasākumus un veicinot partnerības starp arodskolām un transporta uzņēmumiem, arī ar īpašu ES budžeta atbalstu;</w:t>
      </w:r>
    </w:p>
    <w:p w:rsidR="004323D0" w:rsidRPr="004215E9" w:rsidRDefault="004323D0" w:rsidP="004323D0">
      <w:pPr>
        <w:pStyle w:val="NormalHanging12a"/>
      </w:pPr>
      <w:r w:rsidRPr="004215E9">
        <w:t>7.</w:t>
      </w:r>
      <w:r w:rsidRPr="004215E9">
        <w:tab/>
        <w:t>aicina dalībvalstis vēl aktīvāk censties pastiprināt pārrobežu sadarbību kravas transportlīdzekļu apzagšanas gadījumos;</w:t>
      </w:r>
    </w:p>
    <w:p w:rsidR="004323D0" w:rsidRPr="004215E9" w:rsidRDefault="004323D0" w:rsidP="004323D0">
      <w:pPr>
        <w:pStyle w:val="NormalHanging12a"/>
      </w:pPr>
      <w:r w:rsidRPr="004215E9">
        <w:t>8.</w:t>
      </w:r>
      <w:r w:rsidRPr="004215E9">
        <w:tab/>
        <w:t>uzdod priekšsēdētājai šo rezolūciju nosūtīt Komisijai, Padomei un attiecīgajām valstu iestādēm.</w:t>
      </w:r>
    </w:p>
    <w:p w:rsidR="00E365E1" w:rsidRPr="004215E9" w:rsidRDefault="00E365E1" w:rsidP="001E446E">
      <w:bookmarkStart w:id="7" w:name="TextBodyEnd"/>
      <w:bookmarkEnd w:id="7"/>
    </w:p>
    <w:sectPr w:rsidR="00E365E1" w:rsidRPr="004215E9" w:rsidSect="0060364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46E" w:rsidRPr="00603644" w:rsidRDefault="001E446E">
      <w:r w:rsidRPr="00603644">
        <w:separator/>
      </w:r>
    </w:p>
  </w:endnote>
  <w:endnote w:type="continuationSeparator" w:id="0">
    <w:p w:rsidR="001E446E" w:rsidRPr="00603644" w:rsidRDefault="001E446E">
      <w:r w:rsidRPr="006036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364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364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36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46E" w:rsidRPr="00603644" w:rsidRDefault="001E446E">
      <w:r w:rsidRPr="00603644">
        <w:separator/>
      </w:r>
    </w:p>
  </w:footnote>
  <w:footnote w:type="continuationSeparator" w:id="0">
    <w:p w:rsidR="001E446E" w:rsidRPr="00603644" w:rsidRDefault="001E446E">
      <w:r w:rsidRPr="00603644">
        <w:continuationSeparator/>
      </w:r>
    </w:p>
  </w:footnote>
  <w:footnote w:id="1">
    <w:p w:rsidR="004323D0" w:rsidRPr="00603644" w:rsidRDefault="004323D0" w:rsidP="00603644">
      <w:pPr>
        <w:pStyle w:val="FootnoteText"/>
        <w:ind w:left="567" w:hanging="567"/>
        <w:rPr>
          <w:sz w:val="24"/>
          <w:lang w:val="lv-LV"/>
        </w:rPr>
      </w:pPr>
      <w:r w:rsidRPr="00603644">
        <w:rPr>
          <w:rStyle w:val="FootnoteReference"/>
          <w:sz w:val="24"/>
          <w:lang w:val="lv-LV"/>
        </w:rPr>
        <w:footnoteRef/>
      </w:r>
      <w:r w:rsidR="00603644" w:rsidRPr="00603644">
        <w:rPr>
          <w:sz w:val="24"/>
          <w:lang w:val="lv-LV"/>
        </w:rPr>
        <w:t xml:space="preserve"> </w:t>
      </w:r>
      <w:r w:rsidR="00603644" w:rsidRPr="00603644">
        <w:rPr>
          <w:sz w:val="24"/>
          <w:lang w:val="lv-LV"/>
        </w:rPr>
        <w:tab/>
      </w:r>
      <w:r w:rsidRPr="00603644">
        <w:rPr>
          <w:sz w:val="24"/>
          <w:lang w:val="lv-LV"/>
        </w:rPr>
        <w:t>OV C 149, 28.4.2023., 11. lpp.</w:t>
      </w:r>
    </w:p>
  </w:footnote>
  <w:footnote w:id="2">
    <w:p w:rsidR="004323D0" w:rsidRPr="00603644" w:rsidRDefault="004323D0" w:rsidP="00603644">
      <w:pPr>
        <w:pStyle w:val="FootnoteText"/>
        <w:ind w:left="567" w:hanging="567"/>
        <w:rPr>
          <w:sz w:val="24"/>
          <w:lang w:val="lv-LV"/>
        </w:rPr>
      </w:pPr>
      <w:r w:rsidRPr="00603644">
        <w:rPr>
          <w:rStyle w:val="FootnoteReference"/>
          <w:sz w:val="24"/>
          <w:lang w:val="lv-LV"/>
        </w:rPr>
        <w:footnoteRef/>
      </w:r>
      <w:r w:rsidR="00603644" w:rsidRPr="00603644">
        <w:rPr>
          <w:sz w:val="24"/>
          <w:lang w:val="lv-LV"/>
        </w:rPr>
        <w:t xml:space="preserve"> </w:t>
      </w:r>
      <w:r w:rsidR="00603644" w:rsidRPr="00603644">
        <w:rPr>
          <w:sz w:val="24"/>
          <w:lang w:val="lv-LV"/>
        </w:rPr>
        <w:tab/>
      </w:r>
      <w:r w:rsidRPr="00603644">
        <w:rPr>
          <w:sz w:val="24"/>
          <w:lang w:val="lv-LV"/>
        </w:rPr>
        <w:t>Pieņemtie teksti, P9_TA(2023)0278.</w:t>
      </w:r>
    </w:p>
  </w:footnote>
  <w:footnote w:id="3">
    <w:p w:rsidR="004323D0" w:rsidRPr="00603644" w:rsidRDefault="004323D0" w:rsidP="00603644">
      <w:pPr>
        <w:pStyle w:val="FootnoteText"/>
        <w:ind w:left="567" w:hanging="567"/>
        <w:rPr>
          <w:sz w:val="24"/>
          <w:lang w:val="lv-LV"/>
        </w:rPr>
      </w:pPr>
      <w:r w:rsidRPr="00603644">
        <w:rPr>
          <w:rStyle w:val="FootnoteReference"/>
          <w:sz w:val="24"/>
          <w:lang w:val="lv-LV"/>
        </w:rPr>
        <w:footnoteRef/>
      </w:r>
      <w:r w:rsidR="00603644" w:rsidRPr="00603644">
        <w:rPr>
          <w:sz w:val="24"/>
          <w:lang w:val="lv-LV"/>
        </w:rPr>
        <w:t xml:space="preserve"> </w:t>
      </w:r>
      <w:r w:rsidR="00603644" w:rsidRPr="00603644">
        <w:rPr>
          <w:sz w:val="24"/>
          <w:lang w:val="lv-LV"/>
        </w:rPr>
        <w:tab/>
      </w:r>
      <w:r w:rsidRPr="00603644">
        <w:rPr>
          <w:sz w:val="24"/>
          <w:lang w:val="lv-LV"/>
        </w:rPr>
        <w:t>OV C 224, 8.6.2022., 95. lpp.</w:t>
      </w:r>
    </w:p>
  </w:footnote>
  <w:footnote w:id="4">
    <w:p w:rsidR="004323D0" w:rsidRPr="00603644" w:rsidRDefault="004323D0" w:rsidP="00603644">
      <w:pPr>
        <w:pStyle w:val="FootnoteText"/>
        <w:ind w:left="567" w:hanging="567"/>
        <w:rPr>
          <w:sz w:val="24"/>
          <w:lang w:val="lv-LV"/>
        </w:rPr>
      </w:pPr>
      <w:r w:rsidRPr="00603644">
        <w:rPr>
          <w:rStyle w:val="FootnoteReference"/>
          <w:sz w:val="24"/>
          <w:lang w:val="lv-LV"/>
        </w:rPr>
        <w:footnoteRef/>
      </w:r>
      <w:r w:rsidR="00603644" w:rsidRPr="00603644">
        <w:rPr>
          <w:sz w:val="24"/>
          <w:lang w:val="lv-LV"/>
        </w:rPr>
        <w:t xml:space="preserve"> </w:t>
      </w:r>
      <w:r w:rsidR="00603644" w:rsidRPr="00603644">
        <w:rPr>
          <w:sz w:val="24"/>
          <w:lang w:val="lv-LV"/>
        </w:rPr>
        <w:tab/>
      </w:r>
      <w:r w:rsidRPr="00603644">
        <w:rPr>
          <w:sz w:val="24"/>
          <w:lang w:val="lv-LV"/>
        </w:rPr>
        <w:t>OV C, C/2023/1058, 15.12.2023., ELI: https://eur-lex.europa.eu/eli/C/2023/1058/oj?locale=lv.</w:t>
      </w:r>
    </w:p>
  </w:footnote>
  <w:footnote w:id="5">
    <w:p w:rsidR="004323D0" w:rsidRPr="00603644" w:rsidRDefault="004323D0" w:rsidP="00603644">
      <w:pPr>
        <w:pStyle w:val="FootnoteText"/>
        <w:ind w:left="567" w:hanging="567"/>
        <w:rPr>
          <w:sz w:val="24"/>
          <w:lang w:val="lv-LV"/>
        </w:rPr>
      </w:pPr>
      <w:r w:rsidRPr="00603644">
        <w:rPr>
          <w:rStyle w:val="FootnoteReference"/>
          <w:sz w:val="24"/>
          <w:lang w:val="lv-LV"/>
        </w:rPr>
        <w:footnoteRef/>
      </w:r>
      <w:r w:rsidR="00603644" w:rsidRPr="00603644">
        <w:rPr>
          <w:sz w:val="24"/>
          <w:lang w:val="lv-LV"/>
        </w:rPr>
        <w:t xml:space="preserve"> </w:t>
      </w:r>
      <w:r w:rsidR="00603644" w:rsidRPr="00603644">
        <w:rPr>
          <w:sz w:val="24"/>
          <w:lang w:val="lv-LV"/>
        </w:rPr>
        <w:tab/>
      </w:r>
      <w:r w:rsidRPr="00603644">
        <w:rPr>
          <w:sz w:val="24"/>
          <w:lang w:val="lv-LV"/>
        </w:rPr>
        <w:t>OV C, C/2024/481, 23.01.2024., ELI: https://eur-lex.europa.eu/eli/C/2024/481/oj?locale=lv.</w:t>
      </w:r>
    </w:p>
  </w:footnote>
  <w:footnote w:id="6">
    <w:p w:rsidR="004323D0" w:rsidRPr="00603644" w:rsidRDefault="004323D0" w:rsidP="00603644">
      <w:pPr>
        <w:pStyle w:val="FootnoteText"/>
        <w:ind w:left="567" w:hanging="567"/>
        <w:rPr>
          <w:sz w:val="24"/>
          <w:lang w:val="lv-LV"/>
        </w:rPr>
      </w:pPr>
      <w:r w:rsidRPr="00603644">
        <w:rPr>
          <w:rStyle w:val="FootnoteReference"/>
          <w:sz w:val="24"/>
          <w:lang w:val="lv-LV"/>
        </w:rPr>
        <w:footnoteRef/>
      </w:r>
      <w:r w:rsidR="00603644" w:rsidRPr="00603644">
        <w:rPr>
          <w:sz w:val="24"/>
          <w:lang w:val="lv-LV"/>
        </w:rPr>
        <w:t xml:space="preserve"> </w:t>
      </w:r>
      <w:r w:rsidR="00603644" w:rsidRPr="00603644">
        <w:rPr>
          <w:sz w:val="24"/>
          <w:lang w:val="lv-LV"/>
        </w:rPr>
        <w:tab/>
      </w:r>
      <w:r w:rsidRPr="00603644">
        <w:rPr>
          <w:sz w:val="24"/>
          <w:lang w:val="lv-LV"/>
        </w:rPr>
        <w:t>Regula (ES) 2016/399 (2016. gada 9. </w:t>
      </w:r>
      <w:r w:rsidRPr="00603644">
        <w:rPr>
          <w:sz w:val="24"/>
          <w:lang w:val="lv-LV"/>
        </w:rPr>
        <w:t xml:space="preserve">marts) par Savienības Kodeksu par noteikumiem, kas reglamentē personu pārvietošanos pār robežām (Šengenas Robežu kodekss) </w:t>
      </w:r>
      <w:r w:rsidR="000B5DF5">
        <w:rPr>
          <w:sz w:val="24"/>
          <w:lang w:val="lv-LV"/>
        </w:rPr>
        <w:t>(</w:t>
      </w:r>
      <w:r w:rsidRPr="00603644">
        <w:rPr>
          <w:sz w:val="24"/>
          <w:lang w:val="lv-LV"/>
        </w:rPr>
        <w:t>OV L 77, 23.3.2016., 1. lpp.</w:t>
      </w:r>
      <w:r w:rsidR="000B5DF5">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36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36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36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1/2024"/>
    <w:docVar w:name="dvlangue" w:val="LV"/>
    <w:docVar w:name="dvnumam" w:val="0"/>
    <w:docVar w:name="dvpe" w:val="758.769"/>
    <w:docVar w:name="dvtitre" w:val="Eiropas Parlamenta 2024. gada XX. XXX  rezolūcija par smago kravas transportlīdzekļu apkalpošanu robežšķērsošanas punktos, pamatojoties uz lūgumrakstu Nr. 0146/2023(2024/2540(RSP))"/>
  </w:docVars>
  <w:rsids>
    <w:rsidRoot w:val="001E446E"/>
    <w:rsid w:val="00002272"/>
    <w:rsid w:val="00064002"/>
    <w:rsid w:val="000677B9"/>
    <w:rsid w:val="000831BA"/>
    <w:rsid w:val="000A42CC"/>
    <w:rsid w:val="000B5DF5"/>
    <w:rsid w:val="000E7DD9"/>
    <w:rsid w:val="0010095E"/>
    <w:rsid w:val="00125B37"/>
    <w:rsid w:val="00187494"/>
    <w:rsid w:val="001E446E"/>
    <w:rsid w:val="001F32AE"/>
    <w:rsid w:val="002767FF"/>
    <w:rsid w:val="002B18FE"/>
    <w:rsid w:val="002B5493"/>
    <w:rsid w:val="00343214"/>
    <w:rsid w:val="00361C00"/>
    <w:rsid w:val="00395FA1"/>
    <w:rsid w:val="003E15D4"/>
    <w:rsid w:val="00411CCE"/>
    <w:rsid w:val="0041666E"/>
    <w:rsid w:val="00421060"/>
    <w:rsid w:val="004215E9"/>
    <w:rsid w:val="004323D0"/>
    <w:rsid w:val="00471C19"/>
    <w:rsid w:val="004867E3"/>
    <w:rsid w:val="00494A28"/>
    <w:rsid w:val="004C0004"/>
    <w:rsid w:val="004C5D52"/>
    <w:rsid w:val="0050519A"/>
    <w:rsid w:val="005072A1"/>
    <w:rsid w:val="00514517"/>
    <w:rsid w:val="00545827"/>
    <w:rsid w:val="00560270"/>
    <w:rsid w:val="005C2568"/>
    <w:rsid w:val="0060364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14F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C61F8"/>
  <w15:chartTrackingRefBased/>
  <w15:docId w15:val="{08B7EA7C-A9E6-47A8-BA9F-400CB172F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323D0"/>
    <w:pPr>
      <w:spacing w:before="480" w:after="240"/>
    </w:pPr>
  </w:style>
  <w:style w:type="paragraph" w:customStyle="1" w:styleId="NormalBold">
    <w:name w:val="NormalBold"/>
    <w:basedOn w:val="Normal"/>
    <w:rsid w:val="004323D0"/>
    <w:rPr>
      <w:b/>
    </w:rPr>
  </w:style>
  <w:style w:type="paragraph" w:customStyle="1" w:styleId="NormalHanging12a">
    <w:name w:val="NormalHanging12a"/>
    <w:basedOn w:val="Normal"/>
    <w:uiPriority w:val="99"/>
    <w:rsid w:val="004323D0"/>
    <w:pPr>
      <w:spacing w:after="240"/>
      <w:ind w:left="567" w:hanging="567"/>
    </w:pPr>
  </w:style>
  <w:style w:type="paragraph" w:styleId="BalloonText">
    <w:name w:val="Balloon Text"/>
    <w:basedOn w:val="Normal"/>
    <w:link w:val="BalloonTextChar"/>
    <w:rsid w:val="000B5DF5"/>
    <w:rPr>
      <w:rFonts w:ascii="Segoe UI" w:hAnsi="Segoe UI" w:cs="Segoe UI"/>
      <w:sz w:val="18"/>
      <w:szCs w:val="18"/>
    </w:rPr>
  </w:style>
  <w:style w:type="character" w:customStyle="1" w:styleId="BalloonTextChar">
    <w:name w:val="Balloon Text Char"/>
    <w:basedOn w:val="DefaultParagraphFont"/>
    <w:link w:val="BalloonText"/>
    <w:rsid w:val="000B5DF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467DA-063A-4955-B07D-5C91B71D7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1210</Words>
  <Characters>8127</Characters>
  <Application>Microsoft Office Word</Application>
  <DocSecurity>0</DocSecurity>
  <Lines>162</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2024-04-10T16:49:00Z</dcterms:created>
  <dcterms:modified xsi:type="dcterms:W3CDTF">2024-04-10T16:49:00Z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B9-0201/2024</vt:lpwstr>
  </property>
  <property fmtid="{D5CDD505-2E9C-101B-9397-08002B2CF9AE}" pid="4" name="&lt;Type&gt;">
    <vt:lpwstr>RR</vt:lpwstr>
  </property>
</Properties>
</file>