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783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7783E" w:rsidRDefault="00581DB1" w:rsidP="0010095E">
            <w:pPr>
              <w:pStyle w:val="EPName"/>
            </w:pPr>
            <w:r w:rsidRPr="0027783E">
              <w:t>Parlament Ewropew</w:t>
            </w:r>
          </w:p>
          <w:p w:rsidR="00751A4A" w:rsidRPr="0027783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783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7783E" w:rsidRDefault="00187494" w:rsidP="0010095E">
            <w:pPr>
              <w:pStyle w:val="EPLogo"/>
            </w:pPr>
            <w:r w:rsidRPr="0027783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7783E" w:rsidRDefault="00D058B8" w:rsidP="004C5D52">
      <w:pPr>
        <w:pStyle w:val="LineTop"/>
      </w:pPr>
    </w:p>
    <w:p w:rsidR="00680577" w:rsidRPr="0027783E" w:rsidRDefault="00581DB1" w:rsidP="00680577">
      <w:pPr>
        <w:pStyle w:val="EPBodyTA1"/>
      </w:pPr>
      <w:r w:rsidRPr="0027783E">
        <w:t>TESTI ADOTTATI</w:t>
      </w:r>
    </w:p>
    <w:p w:rsidR="00D058B8" w:rsidRPr="0027783E" w:rsidRDefault="00D058B8" w:rsidP="00D058B8">
      <w:pPr>
        <w:pStyle w:val="LineBottom"/>
      </w:pPr>
    </w:p>
    <w:p w:rsidR="00581DB1" w:rsidRPr="0027783E" w:rsidRDefault="00581DB1" w:rsidP="00581DB1">
      <w:pPr>
        <w:pStyle w:val="ATHeading1"/>
      </w:pPr>
      <w:bookmarkStart w:id="0" w:name="TANumber"/>
      <w:r w:rsidRPr="0027783E">
        <w:t>P9_TA(2024)0</w:t>
      </w:r>
      <w:bookmarkEnd w:id="0"/>
      <w:r w:rsidR="0027783E">
        <w:t>223</w:t>
      </w:r>
    </w:p>
    <w:p w:rsidR="00581DB1" w:rsidRPr="0027783E" w:rsidRDefault="00581DB1" w:rsidP="00581DB1">
      <w:pPr>
        <w:pStyle w:val="ATHeading2"/>
      </w:pPr>
      <w:bookmarkStart w:id="1" w:name="title"/>
      <w:r w:rsidRPr="0027783E">
        <w:t>Il-ġestjoni ta' vetturi tqal tal-merkanzija fil-punti ta' qsim tal-fruntiera</w:t>
      </w:r>
      <w:bookmarkEnd w:id="1"/>
    </w:p>
    <w:p w:rsidR="00581DB1" w:rsidRPr="0027783E" w:rsidRDefault="00581DB1" w:rsidP="00581DB1">
      <w:pPr>
        <w:rPr>
          <w:i/>
          <w:vanish/>
        </w:rPr>
      </w:pPr>
      <w:r w:rsidRPr="0027783E">
        <w:rPr>
          <w:i/>
        </w:rPr>
        <w:fldChar w:fldCharType="begin"/>
      </w:r>
      <w:r w:rsidRPr="0027783E">
        <w:rPr>
          <w:i/>
        </w:rPr>
        <w:instrText xml:space="preserve"> TC"(</w:instrText>
      </w:r>
      <w:bookmarkStart w:id="2" w:name="DocNumber"/>
      <w:r w:rsidRPr="0027783E">
        <w:rPr>
          <w:i/>
        </w:rPr>
        <w:instrText>B9-0201/2024</w:instrText>
      </w:r>
      <w:bookmarkEnd w:id="2"/>
      <w:r w:rsidRPr="0027783E">
        <w:rPr>
          <w:i/>
        </w:rPr>
        <w:instrText xml:space="preserve">)"\l3 \n&gt; \* MERGEFORMAT </w:instrText>
      </w:r>
      <w:r w:rsidRPr="0027783E">
        <w:rPr>
          <w:i/>
        </w:rPr>
        <w:fldChar w:fldCharType="end"/>
      </w:r>
    </w:p>
    <w:p w:rsidR="00581DB1" w:rsidRPr="0027783E" w:rsidRDefault="00581DB1" w:rsidP="00581DB1">
      <w:pPr>
        <w:rPr>
          <w:vanish/>
        </w:rPr>
      </w:pPr>
      <w:bookmarkStart w:id="3" w:name="PE"/>
      <w:r w:rsidRPr="0027783E">
        <w:rPr>
          <w:vanish/>
        </w:rPr>
        <w:t>PE758.769</w:t>
      </w:r>
      <w:bookmarkEnd w:id="3"/>
    </w:p>
    <w:p w:rsidR="00581DB1" w:rsidRPr="0027783E" w:rsidRDefault="00581DB1" w:rsidP="00581DB1">
      <w:pPr>
        <w:pStyle w:val="ATHeading3"/>
      </w:pPr>
      <w:bookmarkStart w:id="4" w:name="Sujet"/>
      <w:r w:rsidRPr="0027783E">
        <w:t>Riżoluzzjoni tal-Parlament Ewropew tal-10 ta' April 2024 dwar il-ġestjoni ta’ vetturi tqal tal-merkanzija fil-punti ta’ qsim tal-fruntiera abbażi tal-Petizzjoni 0146/2023</w:t>
      </w:r>
      <w:bookmarkEnd w:id="4"/>
      <w:r w:rsidRPr="0027783E">
        <w:t xml:space="preserve"> </w:t>
      </w:r>
      <w:bookmarkStart w:id="5" w:name="References"/>
      <w:r w:rsidRPr="0027783E">
        <w:t>(2024/2540(RSP))</w:t>
      </w:r>
      <w:bookmarkEnd w:id="5"/>
    </w:p>
    <w:p w:rsidR="00FE3B4A" w:rsidRPr="0027783E" w:rsidRDefault="00FE3B4A" w:rsidP="00FE3B4A">
      <w:pPr>
        <w:pStyle w:val="EPComma"/>
      </w:pPr>
      <w:bookmarkStart w:id="6" w:name="TextBodyBegin"/>
      <w:bookmarkEnd w:id="6"/>
      <w:r w:rsidRPr="0027783E">
        <w:rPr>
          <w:i/>
        </w:rPr>
        <w:t>Il-Parlament Ewropew</w:t>
      </w:r>
      <w:r w:rsidRPr="0027783E">
        <w:t>,</w:t>
      </w:r>
    </w:p>
    <w:p w:rsidR="00FE3B4A" w:rsidRPr="0027783E" w:rsidRDefault="00FE3B4A" w:rsidP="00FE3B4A">
      <w:pPr>
        <w:pStyle w:val="NormalHanging12a"/>
      </w:pPr>
      <w:r w:rsidRPr="0027783E">
        <w:t>–</w:t>
      </w:r>
      <w:r w:rsidRPr="0027783E">
        <w:tab/>
        <w:t>wara li kkunsidra l-Artikoli 26, 28-37 u l-Artikolu 67(1) u (2) tat-Trattat dwar il-Funzjonament tal-Unjoni Ewropea (TFUE),</w:t>
      </w:r>
    </w:p>
    <w:p w:rsidR="00FE3B4A" w:rsidRPr="0027783E" w:rsidRDefault="00FE3B4A" w:rsidP="00FE3B4A">
      <w:pPr>
        <w:pStyle w:val="NormalHanging12a"/>
      </w:pPr>
      <w:r w:rsidRPr="0027783E">
        <w:t>–</w:t>
      </w:r>
      <w:r w:rsidRPr="0027783E">
        <w:tab/>
        <w:t>wara li kkunsidra d-deliberazzjonijiet dwar il-Petizzjoni 0146/2023 waqt il-laqgħa tal-Kumitat għall-Petizzjonijiet tad-29 ta’ Novembru 2023,</w:t>
      </w:r>
    </w:p>
    <w:p w:rsidR="00FE3B4A" w:rsidRPr="0027783E" w:rsidRDefault="00FE3B4A" w:rsidP="00FE3B4A">
      <w:pPr>
        <w:pStyle w:val="NormalHanging12a"/>
        <w:rPr>
          <w:bCs/>
          <w:szCs w:val="24"/>
          <w:shd w:val="clear" w:color="auto" w:fill="FFFFFF"/>
        </w:rPr>
      </w:pPr>
      <w:r w:rsidRPr="0027783E">
        <w:t>–</w:t>
      </w:r>
      <w:r w:rsidRPr="0027783E">
        <w:tab/>
        <w:t xml:space="preserve">wara li kkunsidra s-smigħ pubbliku dwar “Il-Fruntieri ta’ Schengen – kwistjonijiet imqajma mill-petizzjonanti” li sar b’mod konġunt </w:t>
      </w:r>
      <w:r w:rsidRPr="0027783E">
        <w:rPr>
          <w:shd w:val="clear" w:color="auto" w:fill="FFFFFF"/>
        </w:rPr>
        <w:t>fit-18 ta’ Lulju 2023 mill-Kumitat għall-Petizzjonijiet, f’assoċjazzjoni mal-Kumitat għal-Libertajiet Ċivili, il-Ġustizzja u l-Intern,</w:t>
      </w:r>
    </w:p>
    <w:p w:rsidR="00FE3B4A" w:rsidRPr="0027783E" w:rsidRDefault="00FE3B4A" w:rsidP="00FE3B4A">
      <w:pPr>
        <w:pStyle w:val="NormalHanging12a"/>
      </w:pPr>
      <w:r w:rsidRPr="0027783E">
        <w:t>–</w:t>
      </w:r>
      <w:r w:rsidRPr="0027783E">
        <w:tab/>
        <w:t>wara li kkunsidra l-komunikazzjoni tas-16 ta’ Novembru 2022 bit-titolu “Nagħmlu ż-Żona Schengen aktar b’saħħitha bis-sehem sħiħ tal-Bulgarija, ir-Rumanija u l-Kroazja fl-ispazju mingħajr kontrolli fil-fruntieri interni”, (COM(2022)0636),</w:t>
      </w:r>
    </w:p>
    <w:p w:rsidR="00FE3B4A" w:rsidRPr="0027783E" w:rsidRDefault="00FE3B4A" w:rsidP="00FE3B4A">
      <w:pPr>
        <w:pStyle w:val="NormalHanging12a"/>
      </w:pPr>
      <w:r w:rsidRPr="0027783E">
        <w:t>–</w:t>
      </w:r>
      <w:r w:rsidRPr="0027783E">
        <w:tab/>
        <w:t>wara li kkunsidra r-riżoluzzjonijiet tiegħu tat-18 ta’ Ottubru 2022 dwar l-adeżjoni tar-Rumanija u tal-Bulgarija maż-żona Schengen</w:t>
      </w:r>
      <w:r w:rsidRPr="0027783E">
        <w:rPr>
          <w:rStyle w:val="FootnoteReference"/>
          <w:color w:val="000000"/>
        </w:rPr>
        <w:footnoteReference w:id="1"/>
      </w:r>
      <w:r w:rsidRPr="0027783E">
        <w:t xml:space="preserve"> u tat-12 ta’ Lulju 2023 dwar l-adeżjoni maż-żona Schengen</w:t>
      </w:r>
      <w:r w:rsidRPr="0027783E">
        <w:rPr>
          <w:rStyle w:val="FootnoteReference"/>
          <w:color w:val="000000"/>
        </w:rPr>
        <w:footnoteReference w:id="2"/>
      </w:r>
      <w:r w:rsidRPr="0027783E">
        <w:t>,</w:t>
      </w:r>
    </w:p>
    <w:p w:rsidR="00FE3B4A" w:rsidRPr="0027783E" w:rsidRDefault="00FE3B4A" w:rsidP="00FE3B4A">
      <w:pPr>
        <w:pStyle w:val="NormalHanging12a"/>
      </w:pPr>
      <w:r w:rsidRPr="0027783E">
        <w:t>–</w:t>
      </w:r>
      <w:r w:rsidRPr="0027783E">
        <w:tab/>
        <w:t>wara li kkunsidra d-deċiżjoni unanima tal-Kunsill tat-30 ta’ Diċembru 2023 li jilqa’ lir-Rumanija u lill-Bulgarija fiż-żona Schengen, u dan jibda billi jitneħħew il-kontrolli fil-fruntieri tal-ajru u tal-baħar minn Marzu 2024;</w:t>
      </w:r>
    </w:p>
    <w:p w:rsidR="00FE3B4A" w:rsidRPr="0027783E" w:rsidRDefault="00FE3B4A" w:rsidP="00FE3B4A">
      <w:pPr>
        <w:pStyle w:val="NormalHanging12a"/>
      </w:pPr>
      <w:r w:rsidRPr="0027783E">
        <w:t>–</w:t>
      </w:r>
      <w:r w:rsidRPr="0027783E">
        <w:tab/>
        <w:t>wara li kkunsidra r-riżoluzzjoni tiegħu tal-25 ta’ Novembru 2021 dwar is-sikurezza tal-parkeġġi tat-trakkijiet fl-UE</w:t>
      </w:r>
      <w:r w:rsidRPr="0027783E">
        <w:rPr>
          <w:rStyle w:val="FootnoteReference"/>
          <w:color w:val="000000"/>
        </w:rPr>
        <w:footnoteReference w:id="3"/>
      </w:r>
      <w:r w:rsidRPr="0027783E">
        <w:t>,</w:t>
      </w:r>
    </w:p>
    <w:p w:rsidR="00FE3B4A" w:rsidRPr="0027783E" w:rsidRDefault="00FE3B4A" w:rsidP="00FE3B4A">
      <w:pPr>
        <w:pStyle w:val="NormalHanging12a"/>
      </w:pPr>
      <w:r w:rsidRPr="0027783E">
        <w:lastRenderedPageBreak/>
        <w:t>–</w:t>
      </w:r>
      <w:r w:rsidRPr="0027783E">
        <w:tab/>
        <w:t>wara li kkunsidra r-riżoluzzjoni tiegħu tad-9 ta’ Mejju 2023 dwar il-qafas il-ġdid tal-UE għall-mobilità urbana</w:t>
      </w:r>
      <w:r w:rsidRPr="0027783E">
        <w:rPr>
          <w:rStyle w:val="FootnoteReference"/>
          <w:color w:val="000000"/>
        </w:rPr>
        <w:footnoteReference w:id="4"/>
      </w:r>
      <w:r w:rsidRPr="0027783E">
        <w:t>,</w:t>
      </w:r>
    </w:p>
    <w:p w:rsidR="00FE3B4A" w:rsidRPr="0027783E" w:rsidRDefault="00FE3B4A" w:rsidP="00FE3B4A">
      <w:pPr>
        <w:pStyle w:val="NormalHanging12a"/>
      </w:pPr>
      <w:r w:rsidRPr="0027783E">
        <w:t>–</w:t>
      </w:r>
      <w:r w:rsidRPr="0027783E">
        <w:tab/>
        <w:t>wara li kkunsidra r-riżoluzzjoni tiegħu tat-13 ta’ Ġunju 2023 dwar proġetti kbar ta’ infrastruttura tat-trasport fl-UE – implimentazzjoni tal-proġetti u monitoraġġ u kontroll tal-fondi tal-UE</w:t>
      </w:r>
      <w:r w:rsidRPr="0027783E">
        <w:rPr>
          <w:rStyle w:val="FootnoteReference"/>
          <w:color w:val="000000"/>
        </w:rPr>
        <w:footnoteReference w:id="5"/>
      </w:r>
      <w:r w:rsidRPr="0027783E">
        <w:t>,</w:t>
      </w:r>
    </w:p>
    <w:p w:rsidR="00FE3B4A" w:rsidRPr="0027783E" w:rsidRDefault="00FE3B4A" w:rsidP="00FE3B4A">
      <w:pPr>
        <w:pStyle w:val="NormalHanging12a"/>
      </w:pPr>
      <w:r w:rsidRPr="0027783E">
        <w:t>–</w:t>
      </w:r>
      <w:r w:rsidRPr="0027783E">
        <w:tab/>
        <w:t>wara li kkunsidra l-proposta għal regolament dwar linji gwida għall-iżvilupp tan-network trans-Ewropew tat-trasport, li jemenda r-Regolament (UE) 2021/1153 u r-Regolament (UE) Nru 913/2010 u li jħassar ir-Regolament (UE) 1315/2013 (COM(2021)0812),</w:t>
      </w:r>
    </w:p>
    <w:p w:rsidR="00FE3B4A" w:rsidRPr="0027783E" w:rsidRDefault="00FE3B4A" w:rsidP="00FE3B4A">
      <w:pPr>
        <w:pStyle w:val="NormalHanging12a"/>
      </w:pPr>
      <w:r w:rsidRPr="0027783E">
        <w:t>–</w:t>
      </w:r>
      <w:r w:rsidRPr="0027783E">
        <w:tab/>
        <w:t>wara li kkunsidra l-Artikolu 227(2) tar-Regoli ta’ Proċedura tiegħu,</w:t>
      </w:r>
    </w:p>
    <w:p w:rsidR="00FE3B4A" w:rsidRPr="0027783E" w:rsidRDefault="00FE3B4A" w:rsidP="00FE3B4A">
      <w:pPr>
        <w:pStyle w:val="NormalHanging12a"/>
      </w:pPr>
      <w:r w:rsidRPr="0027783E">
        <w:t>A.</w:t>
      </w:r>
      <w:r w:rsidRPr="0027783E">
        <w:tab/>
        <w:t>billi mijiet ta’ vetturi tal-merkanzija jeħlu kuljum fil-fruntieri interni tal-UE, inklużi l-fruntieri bejn l-Istati Membri tal-UE ta’ Schengen u dawk mhux ta’ Schengen, fejn jiffaċċjaw ħinijiet estremament twal ta’ stennija u dewmien minħabba l-ipproċessar u l-kontrolli; billi l-qafas legali Ewropew attwali ma jindirizzax jew ma jirregolax b’mod speċifiku l-limitu ta’ żmien massimu meħud għall-ipproċessar tal-merkanzija fil-fruntieri;</w:t>
      </w:r>
    </w:p>
    <w:p w:rsidR="00FE3B4A" w:rsidRPr="0027783E" w:rsidRDefault="00FE3B4A" w:rsidP="00FE3B4A">
      <w:pPr>
        <w:pStyle w:val="NormalHanging12a"/>
      </w:pPr>
      <w:r w:rsidRPr="0027783E">
        <w:t>B.</w:t>
      </w:r>
      <w:r w:rsidRPr="0027783E">
        <w:tab/>
        <w:t>billi r-raġunijiet għal dawn il-kjuwijiet u d-dewmien fil-fruntieri tal-Istati Membri jistgħu jiġu attribwiti għal diversi fatturi amministrattivi, operazzjonali, ta’ sikurezza, tekniċi jew ta’ interoperabbiltà, bħal kapaċità operazzjonali u teknika insuffiċjenti, nuqqas ta’ persunal, uffiċċji ta’ kontroll jew ponderazzjonijiet għall-vetturi tal-merkanzija kif ukoll il-konċentrazzjoni ta’ ħafna korpi istituzzjonali fil-fruntieri u kontrolli fuq il-merkanzija li jieħdu ħafna ħin; billi l-Artikolu 22 tal-Kodiċi tal-Fruntieri ta’ Schengen</w:t>
      </w:r>
      <w:r w:rsidRPr="0027783E">
        <w:rPr>
          <w:rStyle w:val="FootnoteReference"/>
          <w:color w:val="000000"/>
        </w:rPr>
        <w:footnoteReference w:id="6"/>
      </w:r>
      <w:r w:rsidRPr="0027783E">
        <w:t xml:space="preserve"> jistabbilixxi l-prinċipju tan-nuqqas ta’ verifiki u kontrolli fil-fruntieri interni bejn il-pajjiżi ta’ Schengen, f’konformità mal-prinċipju tal-libertà ta’ moviment stabbilit fl-Artikolu 26(2) tat-TFUE, billi l-Artikolu 24 jiddikjara speċifikament li l-Istati Membri għandhom ineħħu l-ostakli kollha għall-fluss fluwidu tat-traffiku li jgħaddi minn punti ta’ qsim bit-toroq fil-fruntieri interni;</w:t>
      </w:r>
    </w:p>
    <w:p w:rsidR="00FE3B4A" w:rsidRPr="0027783E" w:rsidRDefault="00FE3B4A" w:rsidP="00FE3B4A">
      <w:pPr>
        <w:pStyle w:val="NormalHanging12a"/>
      </w:pPr>
      <w:r w:rsidRPr="0027783E">
        <w:t>C.</w:t>
      </w:r>
      <w:r w:rsidRPr="0027783E">
        <w:tab/>
        <w:t>billi l-akkumulazzjoni ta’ vetturi tqal tal-merkanzija rreġistrati fl-UE fil-fruntieri jista’ jkollha impatt detrimentali fuq is-saħħa u l-kundizzjonijiet tax-xogħol tax-xufiera, is-sikurezza fit-toroq u l-operat tan-negozji tat-trasport tal-merkanzija kif ukoll ikollha impatt negattiv fuq il-kompetizzjoni u l-funzjonament tas-suq uniku tal-UE, kif ukoll iżżid l-ispejjeż tat-trasportaturi tal-merkanzija bit-triq;</w:t>
      </w:r>
    </w:p>
    <w:p w:rsidR="00FE3B4A" w:rsidRPr="0027783E" w:rsidRDefault="00FE3B4A" w:rsidP="00FE3B4A">
      <w:pPr>
        <w:pStyle w:val="NormalHanging12a"/>
      </w:pPr>
      <w:r w:rsidRPr="0027783E">
        <w:t>D.</w:t>
      </w:r>
      <w:r w:rsidRPr="0027783E">
        <w:tab/>
        <w:t>billi l-Bulgarija u r-Rumanija għadhom qed jistennew deċiżjoni tal-Kunsill dwar id-data għat-tneħħija tal-kontrolli fil-fruntieri interni tal-art, billi t-tneħħija tal-verifiki u l-kontrolli fil-fruntieri interni tal-art ikollha impatt pożittiv fuq il-parteċipazzjoni tar-Rumanija u l-Bulgarija fis-suq uniku tal-UE, filwaqt li tneħħi l-ostakli għall-mobbiltà, li qed jikkawżaw dewmien fl-attivitajiet kummerċjali bħala riżultat ta’ interruzzjoni fl-iskedi tal-konsenja tal-merkanzija;</w:t>
      </w:r>
    </w:p>
    <w:p w:rsidR="00FE3B4A" w:rsidRPr="0027783E" w:rsidRDefault="00FE3B4A" w:rsidP="00FE3B4A">
      <w:pPr>
        <w:pStyle w:val="NormalHanging12a"/>
      </w:pPr>
      <w:r w:rsidRPr="0027783E">
        <w:lastRenderedPageBreak/>
        <w:t>E.</w:t>
      </w:r>
      <w:r w:rsidRPr="0027783E">
        <w:tab/>
        <w:t>billi d-dewmien tal-vetturi tal-merkanzija miżmuma fil-fruntieri jikkawżaw telf ta’ mijiet ta’ miljuni ta’ euro għan-negozji Ewropej, b’mod partikolari fis-setturi tal-loġistika, tat-turiżmu u tal-ospitalità; billi r-riskji maħluqa minn dawn ir-restrizzjonijiet ta’ qsim tal-fruntieri saru partikolarment evidenti matul il-pandemija tal-COVID-19; billi ż-żamma tal-istatus quo ddgħajjef b’mod konsiderevoli r-reżiljenza tal-UE fid-dawl ta’ emerġenzi potenzjali oħra tas-saħħa pubblika;</w:t>
      </w:r>
    </w:p>
    <w:p w:rsidR="00FE3B4A" w:rsidRPr="0027783E" w:rsidRDefault="00FE3B4A" w:rsidP="00FE3B4A">
      <w:pPr>
        <w:pStyle w:val="NormalHanging12a"/>
      </w:pPr>
      <w:r w:rsidRPr="0027783E">
        <w:t>F.</w:t>
      </w:r>
      <w:r w:rsidRPr="0027783E">
        <w:tab/>
        <w:t>billi t-tul tal-kjuwijiet tal-vetturi tal-merkanzija fil-fruntieri esterni tal-UE mal-pajjiżi tal-Balkani tal-Punent huwa partikolarment inkwetanti;</w:t>
      </w:r>
    </w:p>
    <w:p w:rsidR="00FE3B4A" w:rsidRPr="0027783E" w:rsidRDefault="00FE3B4A" w:rsidP="00FE3B4A">
      <w:pPr>
        <w:pStyle w:val="NormalHanging12a"/>
      </w:pPr>
      <w:r w:rsidRPr="0027783E">
        <w:t>G.</w:t>
      </w:r>
      <w:r w:rsidRPr="0027783E">
        <w:tab/>
        <w:t>billi dawn l-avvenimenti jipperikolaw serjament is-saħħa u s-sikurezza tas-sewwieqa professjonali, jikkompromettu l-kundizzjonijiet tax-xogħol tagħhom u jdgħajfu l-kwalità tal-impjiegi fil-professjoni, filwaqt li jikkontribwixxu wkoll għan-nuqqas globali ta’ sewwieqa tat-trakkijiet; billi s-sewwieqa tat-trakkijiet fl-Istati Membri kollha tal-UE spiss ibatu minn diversi forom ta’ uġigħ kroniku, bħal uġigħ lumbari u uġigħ fl-irkopop u l-ispalel; billi fl-istess ħin, ir-rekwiżit arbitrarju frekwenti li l-merkanzija tinħatt u titgħabba mill-ġdid jinvolvi riskji għas-saħħa addizzjonali u sinifikanti, li spiss iwasslu għal korrimenti peress li s-sewwieqa tat-trakkijiet spiss jista’ ma jkollhomx is-saħħa fiżika jew tagħmir xieraq biex jerfgħu l-piżijiet tqal involuti; billi l-impjegaturi jimponu b’mod aleatorju dan id-dmir u din ir-responsabbiltà fuq is-sewwieqa tat-trakkijiet, mingħajr remunerazzjoni addizzjonali;</w:t>
      </w:r>
    </w:p>
    <w:p w:rsidR="00FE3B4A" w:rsidRPr="0027783E" w:rsidRDefault="00FE3B4A" w:rsidP="00FE3B4A">
      <w:pPr>
        <w:pStyle w:val="NormalHanging12a"/>
      </w:pPr>
      <w:r w:rsidRPr="0027783E">
        <w:t>H.</w:t>
      </w:r>
      <w:r w:rsidRPr="0027783E">
        <w:tab/>
        <w:t>billi l-kjuwijiet tal-vetturi tal-merkanzija li qed jistennew fil-fruntieri jaffettwaw direttament is-saħħa taċ-ċittadini Ewropej, u jħallu impatt negattiv fuq il-kwalità tal-arja u jikkawżaw tniġġis tal-ilma u tal-istorbju, kif ukoll jaffettwaw b’mod negattiv is-siti ta’ Natura 2000; billi, pereżempju, il-komunikazzjoni tal-Kummissjoni tas-16 ta’ Mejju 2023 issottolinjat li 46 000 tunnellata ta’ CO</w:t>
      </w:r>
      <w:r w:rsidRPr="0027783E">
        <w:rPr>
          <w:vertAlign w:val="subscript"/>
        </w:rPr>
        <w:t>2</w:t>
      </w:r>
      <w:r w:rsidRPr="0027783E">
        <w:t xml:space="preserve"> jiġu emessi kull sena minħabba l-persistenza tal-kontrolli fil-fruntieri interni għar-Rumanija u l-Bulgarija;</w:t>
      </w:r>
    </w:p>
    <w:p w:rsidR="00FE3B4A" w:rsidRPr="0027783E" w:rsidRDefault="00FE3B4A" w:rsidP="00FE3B4A">
      <w:pPr>
        <w:pStyle w:val="NormalHanging12a"/>
      </w:pPr>
      <w:r w:rsidRPr="0027783E">
        <w:t>I.</w:t>
      </w:r>
      <w:r w:rsidRPr="0027783E">
        <w:tab/>
        <w:t>billi l-konġestjoni tal-vetturi tal-merkanzija tagħmel ħsara wkoll lill-kwalità tal-infrastruttura eżistenti, filwaqt li tfixkel is-sikurezza fit-toroq u żżid ir-riskju ta’ inċidenti fit-toroq;</w:t>
      </w:r>
    </w:p>
    <w:p w:rsidR="00FE3B4A" w:rsidRPr="0027783E" w:rsidRDefault="00FE3B4A" w:rsidP="00FE3B4A">
      <w:pPr>
        <w:pStyle w:val="NormalHanging12a"/>
      </w:pPr>
      <w:r w:rsidRPr="0027783E">
        <w:t>J.</w:t>
      </w:r>
      <w:r w:rsidRPr="0027783E">
        <w:tab/>
        <w:t>billi ż-żieda fil-finanzjament pubbliku u privat ta’ żoni ta’ parkeġġ sikuri u siguri għat-trakkijiet hija meħtieġa biex tippermetti lis-sewwieqa jieħdu l-pawżi tagħhom b’sikurezza sħiħa; billi t-tisħiħ tal-għodod tas-sigurtà, pereżempju bl-iżvilupp ta’ applikazzjonijiet mobbli ddedikati, inaqqas ir-riskju li s-sewwieqa tat-trakkijiet jisfaw vittmi tal-kriminalità;</w:t>
      </w:r>
    </w:p>
    <w:p w:rsidR="00FE3B4A" w:rsidRPr="0027783E" w:rsidRDefault="00FE3B4A" w:rsidP="00FE3B4A">
      <w:pPr>
        <w:pStyle w:val="NormalHanging12a"/>
      </w:pPr>
      <w:r w:rsidRPr="0027783E">
        <w:t>1.</w:t>
      </w:r>
      <w:r w:rsidRPr="0027783E">
        <w:tab/>
        <w:t>Jistieden lill-Parlament, lill-Kunsill u lill-Kummissjoni jiffukaw fuq miżuri speċifiċi biex jiżguraw qsim tal-fruntieri bla xkiel u effiċjenti għat-trasport tal-merkanzija meta jiżviluppaw politiki ewlenin tal-UE bħan-network trans-Ewropew tat-trasport;</w:t>
      </w:r>
    </w:p>
    <w:p w:rsidR="00FE3B4A" w:rsidRPr="0027783E" w:rsidRDefault="00FE3B4A" w:rsidP="00FE3B4A">
      <w:pPr>
        <w:pStyle w:val="NormalHanging12a"/>
      </w:pPr>
      <w:r w:rsidRPr="0027783E">
        <w:t>2.</w:t>
      </w:r>
      <w:r w:rsidRPr="0027783E">
        <w:tab/>
        <w:t xml:space="preserve">Jistieden lill-Kummissjoni, wara valutazzjoni tal-impatt dwar is-suġġetti deskritti f’din il-mozzjoni għal riżoluzzjoni, tipproponi miżuri leġiżlattivi immedjati u vinkolanti biex jinħoloq standard għall-UE kollha ta’ medja ta’ minuta waħda għall-ipproċessar ta’ vetturi ta’ merkanzija tqila fil-punti ta’ qsim tal-fruntieri intra-UE sabiex tiġi ggarantita l-fluwidità fil-fruntieri interni ta’ Schengen u mhux ta’ Schengen, u b’hekk l-oġġetti u s-servizzi jkunu jistgħu jiċċaqalqu malajr u b’mod effiċjenti; jisħaq li tali miżura ttejjeb b’mod sinifikanti l-kompetittività tas-settur tat-trasport bit-triq u tiżgura l-funzjonament bla xkiel tiegħu fis-suq uniku; jisħaq li l-persistenza tal-kontrolli fil-fruntieri tal-art </w:t>
      </w:r>
      <w:r w:rsidRPr="0027783E">
        <w:lastRenderedPageBreak/>
        <w:t>tagħmel ħsara lill-interessi ekonomiċi tal-Istati Membri kollha;</w:t>
      </w:r>
    </w:p>
    <w:p w:rsidR="00FE3B4A" w:rsidRPr="0027783E" w:rsidRDefault="00FE3B4A" w:rsidP="00FE3B4A">
      <w:pPr>
        <w:pStyle w:val="NormalHanging12a"/>
      </w:pPr>
      <w:r w:rsidRPr="0027783E">
        <w:t>3.</w:t>
      </w:r>
      <w:r w:rsidRPr="0027783E">
        <w:tab/>
        <w:t>Jenfasizza li l-Kummissjoni ilha ttenni mill-2011 li kemm ir-Rumanija kif ukoll il-Bulgarija ssodisfaw il-kriterji formali kollha għall-adeżjoni tagħhom maż-żona Schengen; jisħaq li d-deċiżjoni tal-Kunsill tat-30 ta’ Diċembru 2023 li jitneħħew il-kontrolli fil-fruntieri tal-ajru u marittimi għar-Rumanija u l-Bulgarija tindirizza biss parzjalment il-kwistjoni tad-distorsjoni attwali tas-suq uniku; jisħaq li din id-deċiżjoni ma jirnexxilhiex tindirizza l-akbar u l-aktar kwistjoni urġenti, jiġifieri l-qsim tal-fruntieri tal-art, fejn għad hemm fis-seħħ kontrolli fil-fruntiera tal-art ta’ Schengen, u din ixxekkel il-qsim mingħajr xkiel tal-vetturi tal-merkanzija, ix-xarabanks, il-karozzi privati u l-ferroviji; itenni l-pożizzjoni li ilu jħaddan b’appoġġ għall-applikazzjoni sħiħa tal-</w:t>
      </w:r>
      <w:r w:rsidRPr="0027783E">
        <w:rPr>
          <w:i/>
        </w:rPr>
        <w:t>acquis</w:t>
      </w:r>
      <w:r w:rsidRPr="0027783E">
        <w:t xml:space="preserve"> ta’ Schengen għall-Bulgarija u r-Rumanija; iħeġġeġ lill-Presidenza Belġjana u lill-Membri kollha tal-Kunsill jadottaw malajr kemm jista’ jkun, u sa mhux aktar tard minn nofs l-2024, deċiżjoni dwar l-applikazzjoni sħiħa tal-</w:t>
      </w:r>
      <w:r w:rsidRPr="0027783E">
        <w:rPr>
          <w:i/>
        </w:rPr>
        <w:t>acquis</w:t>
      </w:r>
      <w:r w:rsidRPr="0027783E">
        <w:t xml:space="preserve"> ta’ Schengen fir-Rumanija u fil-Bulgarija;</w:t>
      </w:r>
    </w:p>
    <w:p w:rsidR="00FE3B4A" w:rsidRPr="0027783E" w:rsidRDefault="00FE3B4A" w:rsidP="00FE3B4A">
      <w:pPr>
        <w:pStyle w:val="NormalHanging12a"/>
      </w:pPr>
      <w:r w:rsidRPr="0027783E">
        <w:t>4.</w:t>
      </w:r>
      <w:r w:rsidRPr="0027783E">
        <w:tab/>
        <w:t>Jitlob, għalhekk, li l-Kummissjoni tiggarantixxi l-konformità u l-monitoraġġ tal-applikazzjoni tal-miżuri meħuda, inkluż permezz tal-impożizzjoni ta’ penali; jissottolinja l-ħtieġa ta’ finanzjament u appoġġ tekniku adegwati u suffiċjenti tal-UE;</w:t>
      </w:r>
    </w:p>
    <w:p w:rsidR="00FE3B4A" w:rsidRPr="0027783E" w:rsidRDefault="00FE3B4A" w:rsidP="00FE3B4A">
      <w:pPr>
        <w:pStyle w:val="NormalHanging12a"/>
      </w:pPr>
      <w:r w:rsidRPr="0027783E">
        <w:t>5.</w:t>
      </w:r>
      <w:r w:rsidRPr="0027783E">
        <w:tab/>
        <w:t>Jistieden lill-Kummissjoni u lill-Istati Membri biex il-leġiżlazzjoni tal-UE tippermetti lis-sewwieqa tat-trakkijiet jużaw punti ta’ qsim iżgħar tal-fruntieri meta l-arterji ewlenin ikunu magħluqa għall-manutenzjoni tat-toroq, sabiex jiġu evitati sewwieqa li jiddependu fuq azzjonijiet arbitrarji minn pajjiżi individwali, peress li din hija kwistjoni ta’ interess ġenerali tal-UE;</w:t>
      </w:r>
    </w:p>
    <w:p w:rsidR="00FE3B4A" w:rsidRPr="0027783E" w:rsidRDefault="00FE3B4A" w:rsidP="00FE3B4A">
      <w:pPr>
        <w:pStyle w:val="NormalHanging12a"/>
      </w:pPr>
      <w:r w:rsidRPr="0027783E">
        <w:t>6.</w:t>
      </w:r>
      <w:r w:rsidRPr="0027783E">
        <w:tab/>
        <w:t>Jistieden lill-Kummissjoni, f’kooperazzjoni mal-Istati Membri u l-partijiet ikkonċernati rilevanti, tressaq miżuri konkreti biex tindirizza n-nuqqas ta’ sewwieqa professjonali fl-UE billi tistimula l-interess fost iż-żgħażagħ billi tiffinanzja taħriġ (mill-ġdid) u kwalifiki speċifiċi u trawwem sħubijiet bejn l-iskejjel vokazzjonali u l-kumpaniji tat-trasport, inkluż b’appoġġ baġitarju speċifiku tal-UE;</w:t>
      </w:r>
    </w:p>
    <w:p w:rsidR="00FE3B4A" w:rsidRPr="0027783E" w:rsidRDefault="00FE3B4A" w:rsidP="00FE3B4A">
      <w:pPr>
        <w:pStyle w:val="NormalHanging12a"/>
      </w:pPr>
      <w:r w:rsidRPr="0027783E">
        <w:t>7.</w:t>
      </w:r>
      <w:r w:rsidRPr="0027783E">
        <w:tab/>
        <w:t>Jistieden lill-Istati Membri jkomplu jżidu l-isforzi tagħhom biex isaħħu l-kooperazzjoni transfruntiera dwar is-serq minn vetturi tal-merkanzija;</w:t>
      </w:r>
    </w:p>
    <w:p w:rsidR="00E365E1" w:rsidRPr="005E2761" w:rsidRDefault="00FE3B4A" w:rsidP="00BE1707">
      <w:pPr>
        <w:ind w:left="567" w:hanging="567"/>
      </w:pPr>
      <w:r w:rsidRPr="0027783E">
        <w:t>8.</w:t>
      </w:r>
      <w:r w:rsidRPr="0027783E">
        <w:tab/>
        <w:t>Jagħti istruzzjonijiet lill-President tiegħu biex tgħaddi din ir-riżoluzzjoni lill-Kummissjoni, lill-Kunsill u lill-awtoritajiet nazzjonali rilevanti.</w:t>
      </w:r>
      <w:bookmarkStart w:id="8" w:name="TextBodyEnd"/>
      <w:bookmarkEnd w:id="8"/>
    </w:p>
    <w:sectPr w:rsidR="00E365E1" w:rsidRPr="005E2761" w:rsidSect="005E27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DB1" w:rsidRPr="005E2761" w:rsidRDefault="00581DB1">
      <w:r w:rsidRPr="005E2761">
        <w:separator/>
      </w:r>
    </w:p>
  </w:endnote>
  <w:endnote w:type="continuationSeparator" w:id="0">
    <w:p w:rsidR="00581DB1" w:rsidRPr="005E2761" w:rsidRDefault="00581DB1">
      <w:r w:rsidRPr="005E27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27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27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27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DB1" w:rsidRPr="005E2761" w:rsidRDefault="00581DB1">
      <w:r w:rsidRPr="005E2761">
        <w:separator/>
      </w:r>
    </w:p>
  </w:footnote>
  <w:footnote w:type="continuationSeparator" w:id="0">
    <w:p w:rsidR="00581DB1" w:rsidRPr="005E2761" w:rsidRDefault="00581DB1">
      <w:r w:rsidRPr="005E2761">
        <w:continuationSeparator/>
      </w:r>
    </w:p>
  </w:footnote>
  <w:footnote w:id="1">
    <w:p w:rsidR="00FE3B4A" w:rsidRPr="0027783E" w:rsidRDefault="00FE3B4A" w:rsidP="005E2761">
      <w:pPr>
        <w:pStyle w:val="FootnoteText"/>
        <w:ind w:left="567" w:hanging="567"/>
        <w:rPr>
          <w:sz w:val="24"/>
          <w:lang w:val="mt-MT"/>
        </w:rPr>
      </w:pPr>
      <w:r w:rsidRPr="0027783E">
        <w:rPr>
          <w:rStyle w:val="FootnoteReference"/>
          <w:sz w:val="24"/>
          <w:lang w:val="mt-MT"/>
        </w:rPr>
        <w:footnoteRef/>
      </w:r>
      <w:r w:rsidR="005E2761" w:rsidRPr="0027783E">
        <w:rPr>
          <w:sz w:val="24"/>
          <w:lang w:val="mt-MT"/>
        </w:rPr>
        <w:t xml:space="preserve"> </w:t>
      </w:r>
      <w:r w:rsidR="005E2761" w:rsidRPr="0027783E">
        <w:rPr>
          <w:sz w:val="24"/>
          <w:lang w:val="mt-MT"/>
        </w:rPr>
        <w:tab/>
      </w:r>
      <w:r w:rsidRPr="0027783E">
        <w:rPr>
          <w:sz w:val="24"/>
          <w:lang w:val="mt-MT"/>
        </w:rPr>
        <w:t>ĠU C 149, 28.4.2023, p. 11.</w:t>
      </w:r>
    </w:p>
  </w:footnote>
  <w:footnote w:id="2">
    <w:p w:rsidR="00FE3B4A" w:rsidRPr="0027783E" w:rsidRDefault="00FE3B4A" w:rsidP="005E2761">
      <w:pPr>
        <w:pStyle w:val="FootnoteText"/>
        <w:ind w:left="567" w:hanging="567"/>
        <w:rPr>
          <w:sz w:val="24"/>
          <w:lang w:val="mt-MT"/>
        </w:rPr>
      </w:pPr>
      <w:r w:rsidRPr="0027783E">
        <w:rPr>
          <w:rStyle w:val="FootnoteReference"/>
          <w:sz w:val="24"/>
          <w:lang w:val="mt-MT"/>
        </w:rPr>
        <w:footnoteRef/>
      </w:r>
      <w:r w:rsidR="005E2761" w:rsidRPr="0027783E">
        <w:rPr>
          <w:sz w:val="24"/>
          <w:lang w:val="mt-MT"/>
        </w:rPr>
        <w:t xml:space="preserve"> </w:t>
      </w:r>
      <w:r w:rsidR="005E2761" w:rsidRPr="0027783E">
        <w:rPr>
          <w:sz w:val="24"/>
          <w:lang w:val="mt-MT"/>
        </w:rPr>
        <w:tab/>
      </w:r>
      <w:r w:rsidRPr="0027783E">
        <w:rPr>
          <w:sz w:val="24"/>
          <w:lang w:val="mt-MT"/>
        </w:rPr>
        <w:t>Testi adottati, P9_TA(2023)0278.</w:t>
      </w:r>
    </w:p>
  </w:footnote>
  <w:footnote w:id="3">
    <w:p w:rsidR="00FE3B4A" w:rsidRPr="0027783E" w:rsidRDefault="00FE3B4A" w:rsidP="005E2761">
      <w:pPr>
        <w:pStyle w:val="FootnoteText"/>
        <w:ind w:left="567" w:hanging="567"/>
        <w:rPr>
          <w:sz w:val="24"/>
          <w:lang w:val="mt-MT"/>
        </w:rPr>
      </w:pPr>
      <w:r w:rsidRPr="0027783E">
        <w:rPr>
          <w:rStyle w:val="FootnoteReference"/>
          <w:sz w:val="24"/>
          <w:lang w:val="mt-MT"/>
        </w:rPr>
        <w:footnoteRef/>
      </w:r>
      <w:r w:rsidR="005E2761" w:rsidRPr="0027783E">
        <w:rPr>
          <w:sz w:val="24"/>
          <w:lang w:val="mt-MT"/>
        </w:rPr>
        <w:t xml:space="preserve"> </w:t>
      </w:r>
      <w:r w:rsidR="005E2761" w:rsidRPr="0027783E">
        <w:rPr>
          <w:sz w:val="24"/>
          <w:lang w:val="mt-MT"/>
        </w:rPr>
        <w:tab/>
      </w:r>
      <w:r w:rsidRPr="0027783E">
        <w:rPr>
          <w:sz w:val="24"/>
          <w:lang w:val="mt-MT"/>
        </w:rPr>
        <w:t>ĠU C 224, 8.6.2022, p. 95.</w:t>
      </w:r>
    </w:p>
  </w:footnote>
  <w:footnote w:id="4">
    <w:p w:rsidR="00FE3B4A" w:rsidRPr="0027783E" w:rsidRDefault="00FE3B4A" w:rsidP="005E2761">
      <w:pPr>
        <w:pStyle w:val="FootnoteText"/>
        <w:ind w:left="567" w:hanging="567"/>
        <w:rPr>
          <w:sz w:val="24"/>
          <w:lang w:val="mt-MT"/>
        </w:rPr>
      </w:pPr>
      <w:r w:rsidRPr="0027783E">
        <w:rPr>
          <w:rStyle w:val="FootnoteReference"/>
          <w:sz w:val="24"/>
          <w:lang w:val="mt-MT"/>
        </w:rPr>
        <w:footnoteRef/>
      </w:r>
      <w:r w:rsidR="005E2761" w:rsidRPr="0027783E">
        <w:rPr>
          <w:sz w:val="24"/>
          <w:lang w:val="mt-MT"/>
        </w:rPr>
        <w:t xml:space="preserve"> </w:t>
      </w:r>
      <w:r w:rsidR="005E2761" w:rsidRPr="0027783E">
        <w:rPr>
          <w:sz w:val="24"/>
          <w:lang w:val="mt-MT"/>
        </w:rPr>
        <w:tab/>
      </w:r>
      <w:r w:rsidRPr="0027783E">
        <w:rPr>
          <w:sz w:val="24"/>
          <w:lang w:val="mt-MT"/>
        </w:rPr>
        <w:t>ĠU C, C/2023/1058, 15.12.2023, ELI: http://data.europa.eu/eli/C/2023/1058/oj.</w:t>
      </w:r>
    </w:p>
  </w:footnote>
  <w:footnote w:id="5">
    <w:p w:rsidR="00FE3B4A" w:rsidRPr="0027783E" w:rsidRDefault="00FE3B4A" w:rsidP="005E2761">
      <w:pPr>
        <w:pStyle w:val="FootnoteText"/>
        <w:ind w:left="567" w:hanging="567"/>
        <w:rPr>
          <w:sz w:val="24"/>
          <w:lang w:val="mt-MT"/>
        </w:rPr>
      </w:pPr>
      <w:r w:rsidRPr="0027783E">
        <w:rPr>
          <w:rStyle w:val="FootnoteReference"/>
          <w:sz w:val="24"/>
          <w:lang w:val="mt-MT"/>
        </w:rPr>
        <w:footnoteRef/>
      </w:r>
      <w:r w:rsidR="005E2761" w:rsidRPr="0027783E">
        <w:rPr>
          <w:sz w:val="24"/>
          <w:lang w:val="mt-MT"/>
        </w:rPr>
        <w:t xml:space="preserve"> </w:t>
      </w:r>
      <w:r w:rsidR="005E2761" w:rsidRPr="0027783E">
        <w:rPr>
          <w:sz w:val="24"/>
          <w:lang w:val="mt-MT"/>
        </w:rPr>
        <w:tab/>
      </w:r>
      <w:r w:rsidRPr="0027783E">
        <w:rPr>
          <w:sz w:val="24"/>
          <w:lang w:val="mt-MT"/>
        </w:rPr>
        <w:t>ĠU C, C/2024/481, 23.01.2024, ELI: http://data.europa.eu/eli/C/2024/481/oj.</w:t>
      </w:r>
    </w:p>
  </w:footnote>
  <w:footnote w:id="6">
    <w:p w:rsidR="00FE3B4A" w:rsidRPr="005E2761" w:rsidRDefault="00FE3B4A" w:rsidP="005E2761">
      <w:pPr>
        <w:pStyle w:val="FootnoteText"/>
        <w:ind w:left="567" w:hanging="567"/>
        <w:rPr>
          <w:sz w:val="24"/>
          <w:lang w:val="mt-MT"/>
        </w:rPr>
      </w:pPr>
      <w:r w:rsidRPr="0027783E">
        <w:rPr>
          <w:rStyle w:val="FootnoteReference"/>
          <w:sz w:val="24"/>
          <w:lang w:val="mt-MT"/>
        </w:rPr>
        <w:footnoteRef/>
      </w:r>
      <w:r w:rsidR="005E2761" w:rsidRPr="0027783E">
        <w:rPr>
          <w:sz w:val="24"/>
          <w:lang w:val="mt-MT"/>
        </w:rPr>
        <w:t xml:space="preserve"> </w:t>
      </w:r>
      <w:r w:rsidR="005E2761" w:rsidRPr="0027783E">
        <w:rPr>
          <w:sz w:val="24"/>
          <w:lang w:val="mt-MT"/>
        </w:rPr>
        <w:tab/>
      </w:r>
      <w:r w:rsidRPr="0027783E">
        <w:rPr>
          <w:sz w:val="24"/>
          <w:lang w:val="mt-MT"/>
        </w:rPr>
        <w:t xml:space="preserve">Ir-Regolament </w:t>
      </w:r>
      <w:r w:rsidR="000923C1">
        <w:rPr>
          <w:sz w:val="24"/>
          <w:lang w:val="mt-MT"/>
        </w:rPr>
        <w:t xml:space="preserve">(UE) </w:t>
      </w:r>
      <w:bookmarkStart w:id="7" w:name="_GoBack"/>
      <w:bookmarkEnd w:id="7"/>
      <w:r w:rsidRPr="0027783E">
        <w:rPr>
          <w:sz w:val="24"/>
          <w:lang w:val="mt-MT"/>
        </w:rPr>
        <w:t>2016/399 tad-9 ta’ Marzu 2016 dwar Kodiċi tal-Unjoni dwar ir-regoli li jirregolaw il-moviment ta’ persuni min-naħa għall-oħra tal-fruntiera (Kodiċi tal-Fruntieri ta’ Schengen), ĠU L 77, 23.3.2016,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27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27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27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1/2024"/>
    <w:docVar w:name="dvlangue" w:val="MT"/>
    <w:docVar w:name="dvnumam" w:val="0"/>
    <w:docVar w:name="dvpe" w:val="758.769"/>
    <w:docVar w:name="dvtitre" w:val="Riżoluzzjoni tal-Parlament Ewropew tal-10 ta' April 2024 dwar il-ġestjoni ta’ vetturi tqal tal-merkanzija fil-punti ta’ qsim tal-fruntiera abbażi tal-Petizzjoni 0146/2023(2024/2540(RSP))"/>
  </w:docVars>
  <w:rsids>
    <w:rsidRoot w:val="00581DB1"/>
    <w:rsid w:val="00002272"/>
    <w:rsid w:val="00064002"/>
    <w:rsid w:val="000677B9"/>
    <w:rsid w:val="000831BA"/>
    <w:rsid w:val="000923C1"/>
    <w:rsid w:val="000A42CC"/>
    <w:rsid w:val="000E7DD9"/>
    <w:rsid w:val="0010095E"/>
    <w:rsid w:val="00125B37"/>
    <w:rsid w:val="00187494"/>
    <w:rsid w:val="001F32AE"/>
    <w:rsid w:val="002767FF"/>
    <w:rsid w:val="0027783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DB1"/>
    <w:rsid w:val="005C2568"/>
    <w:rsid w:val="005E2761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1707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01F081"/>
  <w15:chartTrackingRefBased/>
  <w15:docId w15:val="{B8B3483E-6CAB-47EF-BF6B-186A03167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E3B4A"/>
    <w:pPr>
      <w:spacing w:before="480" w:after="240"/>
    </w:pPr>
  </w:style>
  <w:style w:type="paragraph" w:customStyle="1" w:styleId="NormalHanging12a">
    <w:name w:val="NormalHanging12a"/>
    <w:basedOn w:val="Normal"/>
    <w:uiPriority w:val="99"/>
    <w:rsid w:val="00FE3B4A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F6DC5-660B-4E45-8DAF-DED6449C4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1255</Words>
  <Characters>9523</Characters>
  <Application>Microsoft Office Word</Application>
  <DocSecurity>0</DocSecurity>
  <Lines>79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2024-06-03T07:28:00Z</dcterms:created>
  <dcterms:modified xsi:type="dcterms:W3CDTF">2024-06-03T07:28:00Z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B9-0201/2024</vt:lpwstr>
  </property>
  <property fmtid="{D5CDD505-2E9C-101B-9397-08002B2CF9AE}" pid="4" name="&lt;Type&gt;">
    <vt:lpwstr>RR</vt:lpwstr>
  </property>
</Properties>
</file>