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668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668F" w:rsidRDefault="00A36F48" w:rsidP="0010095E">
            <w:pPr>
              <w:pStyle w:val="EPName"/>
            </w:pPr>
            <w:r w:rsidRPr="0026668F">
              <w:t>Parlament Europejski</w:t>
            </w:r>
          </w:p>
          <w:p w:rsidR="00751A4A" w:rsidRPr="0026668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668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6668F" w:rsidRDefault="00187494" w:rsidP="0010095E">
            <w:pPr>
              <w:pStyle w:val="EPLogo"/>
            </w:pPr>
            <w:r w:rsidRPr="0026668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668F" w:rsidRDefault="00D058B8" w:rsidP="004C5D52">
      <w:pPr>
        <w:pStyle w:val="LineTop"/>
      </w:pPr>
    </w:p>
    <w:p w:rsidR="00680577" w:rsidRPr="0026668F" w:rsidRDefault="00A36F48" w:rsidP="00680577">
      <w:pPr>
        <w:pStyle w:val="EPBodyTA1"/>
      </w:pPr>
      <w:r w:rsidRPr="0026668F">
        <w:t>TEKSTY PRZYJĘTE</w:t>
      </w:r>
    </w:p>
    <w:p w:rsidR="00D058B8" w:rsidRPr="0026668F" w:rsidRDefault="00D058B8" w:rsidP="00D058B8">
      <w:pPr>
        <w:pStyle w:val="LineBottom"/>
      </w:pPr>
    </w:p>
    <w:p w:rsidR="00A36F48" w:rsidRPr="0026668F" w:rsidRDefault="00A36F48" w:rsidP="00A36F48">
      <w:pPr>
        <w:pStyle w:val="ATHeading1"/>
      </w:pPr>
      <w:bookmarkStart w:id="0" w:name="TANumber"/>
      <w:r w:rsidRPr="0026668F">
        <w:t>P9_TA(2024)0</w:t>
      </w:r>
      <w:bookmarkEnd w:id="0"/>
      <w:r w:rsidR="00400651">
        <w:t>223</w:t>
      </w:r>
    </w:p>
    <w:p w:rsidR="00A36F48" w:rsidRPr="0026668F" w:rsidRDefault="00A36F48" w:rsidP="00A36F48">
      <w:pPr>
        <w:pStyle w:val="ATHeading2"/>
      </w:pPr>
      <w:bookmarkStart w:id="1" w:name="title"/>
      <w:r w:rsidRPr="0026668F">
        <w:t>Obsługa pojazdów ciężarowych na przejściach granicznych</w:t>
      </w:r>
      <w:bookmarkEnd w:id="1"/>
    </w:p>
    <w:p w:rsidR="00A36F48" w:rsidRPr="0026668F" w:rsidRDefault="00A36F48" w:rsidP="00A36F48">
      <w:pPr>
        <w:rPr>
          <w:i/>
          <w:vanish/>
        </w:rPr>
      </w:pPr>
      <w:r w:rsidRPr="0026668F">
        <w:rPr>
          <w:i/>
        </w:rPr>
        <w:fldChar w:fldCharType="begin"/>
      </w:r>
      <w:r w:rsidRPr="0026668F">
        <w:rPr>
          <w:i/>
        </w:rPr>
        <w:instrText xml:space="preserve"> TC"(</w:instrText>
      </w:r>
      <w:bookmarkStart w:id="2" w:name="DocNumber"/>
      <w:r w:rsidRPr="0026668F">
        <w:rPr>
          <w:i/>
        </w:rPr>
        <w:instrText>B</w:instrText>
      </w:r>
      <w:proofErr w:type="gramStart"/>
      <w:r w:rsidRPr="0026668F">
        <w:rPr>
          <w:i/>
        </w:rPr>
        <w:instrText>9-0201/2024</w:instrText>
      </w:r>
      <w:bookmarkEnd w:id="2"/>
      <w:r w:rsidRPr="0026668F">
        <w:rPr>
          <w:i/>
        </w:rPr>
        <w:instrText>)"\l</w:instrText>
      </w:r>
      <w:proofErr w:type="gramEnd"/>
      <w:r w:rsidRPr="0026668F">
        <w:rPr>
          <w:i/>
        </w:rPr>
        <w:instrText xml:space="preserve">3 \n&gt; \* MERGEFORMAT </w:instrText>
      </w:r>
      <w:r w:rsidRPr="0026668F">
        <w:rPr>
          <w:i/>
        </w:rPr>
        <w:fldChar w:fldCharType="end"/>
      </w:r>
    </w:p>
    <w:p w:rsidR="00A36F48" w:rsidRPr="0026668F" w:rsidRDefault="00A36F48" w:rsidP="00A36F48">
      <w:pPr>
        <w:rPr>
          <w:vanish/>
        </w:rPr>
      </w:pPr>
      <w:bookmarkStart w:id="3" w:name="PE"/>
      <w:r w:rsidRPr="0026668F">
        <w:rPr>
          <w:vanish/>
        </w:rPr>
        <w:t>PE758.769</w:t>
      </w:r>
      <w:bookmarkEnd w:id="3"/>
    </w:p>
    <w:p w:rsidR="00A36F48" w:rsidRPr="0026668F" w:rsidRDefault="00A36F48" w:rsidP="00A36F48">
      <w:pPr>
        <w:pStyle w:val="ATHeading3"/>
      </w:pPr>
      <w:bookmarkStart w:id="4" w:name="Sujet"/>
      <w:r w:rsidRPr="0026668F">
        <w:t xml:space="preserve">Rezolucja Parlamentu Europejskiego z dnia </w:t>
      </w:r>
      <w:r w:rsidR="00E64A5A">
        <w:t>10 kwietnia</w:t>
      </w:r>
      <w:r w:rsidRPr="0026668F">
        <w:t xml:space="preserve"> 2024 r. w sprawie obsługi pojazdów ciężarowych na przejściach granicznych na podstawie petycji nr 0146/2023</w:t>
      </w:r>
      <w:bookmarkEnd w:id="4"/>
      <w:r w:rsidRPr="0026668F">
        <w:t xml:space="preserve"> </w:t>
      </w:r>
      <w:bookmarkStart w:id="5" w:name="References"/>
      <w:r w:rsidRPr="0026668F">
        <w:t>(2024/2540(RSP))</w:t>
      </w:r>
      <w:bookmarkEnd w:id="5"/>
    </w:p>
    <w:p w:rsidR="00396A02" w:rsidRPr="0026668F" w:rsidRDefault="00396A02" w:rsidP="00396A02">
      <w:pPr>
        <w:pStyle w:val="EPComma"/>
      </w:pPr>
      <w:bookmarkStart w:id="6" w:name="TextBodyBegin"/>
      <w:bookmarkEnd w:id="6"/>
      <w:r w:rsidRPr="0026668F">
        <w:rPr>
          <w:i/>
        </w:rPr>
        <w:t>Parlament Europejski</w:t>
      </w:r>
      <w:r w:rsidRPr="0026668F">
        <w:t>,</w:t>
      </w:r>
      <w:bookmarkStart w:id="7" w:name="_GoBack"/>
      <w:bookmarkEnd w:id="7"/>
    </w:p>
    <w:p w:rsidR="00396A02" w:rsidRPr="0026668F" w:rsidRDefault="00396A02" w:rsidP="00396A02">
      <w:pPr>
        <w:pStyle w:val="NormalHanging12a"/>
      </w:pPr>
      <w:r w:rsidRPr="0026668F">
        <w:t>–</w:t>
      </w:r>
      <w:r w:rsidRPr="0026668F">
        <w:tab/>
        <w:t>uwzględniając art. 26, 28–37, art. 67 ust. 1 i 2 Traktatu o funkcjonowaniu Unii Europejskiej (TFUE),</w:t>
      </w:r>
    </w:p>
    <w:p w:rsidR="00396A02" w:rsidRPr="0026668F" w:rsidRDefault="00396A02" w:rsidP="00396A02">
      <w:pPr>
        <w:pStyle w:val="NormalHanging12a"/>
      </w:pPr>
      <w:r w:rsidRPr="0026668F">
        <w:t>–</w:t>
      </w:r>
      <w:r w:rsidRPr="0026668F">
        <w:tab/>
        <w:t>uwzględniając obrady dotyczące petycji nr 0146/2023, które toczyły się na posiedzeniu Komisji Petycji 29 listopada 2023 r.,</w:t>
      </w:r>
    </w:p>
    <w:p w:rsidR="00396A02" w:rsidRPr="0026668F" w:rsidRDefault="00396A02" w:rsidP="00396A02">
      <w:pPr>
        <w:pStyle w:val="NormalHanging12a"/>
        <w:rPr>
          <w:bCs/>
          <w:szCs w:val="24"/>
          <w:shd w:val="clear" w:color="auto" w:fill="FFFFFF"/>
        </w:rPr>
      </w:pPr>
      <w:r w:rsidRPr="0026668F">
        <w:t>–</w:t>
      </w:r>
      <w:r w:rsidRPr="0026668F">
        <w:tab/>
        <w:t xml:space="preserve">uwzględniając wysłuchanie publiczne pt. „Granice </w:t>
      </w:r>
      <w:proofErr w:type="spellStart"/>
      <w:r w:rsidRPr="0026668F">
        <w:t>Schengen</w:t>
      </w:r>
      <w:proofErr w:type="spellEnd"/>
      <w:r w:rsidRPr="0026668F">
        <w:t xml:space="preserve"> – kwestie poruszone przez składających petycje”, które </w:t>
      </w:r>
      <w:r w:rsidRPr="0026668F">
        <w:rPr>
          <w:shd w:val="clear" w:color="auto" w:fill="FFFFFF"/>
        </w:rPr>
        <w:t>18 lipca 2023 r. poprowadziły wspólnie Komisja Petycji wraz z Komisją Wolności Obywatelskich, Sprawiedliwości i Spraw Wewnętrznych,</w:t>
      </w:r>
    </w:p>
    <w:p w:rsidR="00396A02" w:rsidRPr="0026668F" w:rsidRDefault="00396A02" w:rsidP="00396A02">
      <w:pPr>
        <w:pStyle w:val="NormalHanging12a"/>
      </w:pPr>
      <w:r w:rsidRPr="0026668F">
        <w:t>–</w:t>
      </w:r>
      <w:r w:rsidRPr="0026668F">
        <w:tab/>
        <w:t xml:space="preserve">uwzględniając komunikat Komisji z 16 listopada 2022 r. pt.: „Wzmocnienie strefy </w:t>
      </w:r>
      <w:proofErr w:type="spellStart"/>
      <w:r w:rsidRPr="0026668F">
        <w:t>Schengen</w:t>
      </w:r>
      <w:proofErr w:type="spellEnd"/>
      <w:r w:rsidRPr="0026668F">
        <w:t xml:space="preserve"> dzięki pełnemu uczestnictwu Bułgarii, Rumunii i Chorwacji w obszarze bez kontroli na granicach wewnętrznych” (COM(2022)0636),</w:t>
      </w:r>
    </w:p>
    <w:p w:rsidR="00396A02" w:rsidRPr="0026668F" w:rsidRDefault="00396A02" w:rsidP="00396A02">
      <w:pPr>
        <w:pStyle w:val="NormalHanging12a"/>
      </w:pPr>
      <w:r w:rsidRPr="0026668F">
        <w:t>–</w:t>
      </w:r>
      <w:r w:rsidRPr="0026668F">
        <w:tab/>
        <w:t xml:space="preserve">uwzględniając swoje rezolucje z 18 października 2022 r. w sprawie przystąpienia Rumunii i Bułgarii do strefy </w:t>
      </w:r>
      <w:proofErr w:type="spellStart"/>
      <w:r w:rsidRPr="0026668F">
        <w:t>Schengen</w:t>
      </w:r>
      <w:proofErr w:type="spellEnd"/>
      <w:r w:rsidRPr="0026668F">
        <w:rPr>
          <w:rStyle w:val="FootnoteReference"/>
          <w:color w:val="000000"/>
        </w:rPr>
        <w:footnoteReference w:id="1"/>
      </w:r>
      <w:r w:rsidRPr="0026668F">
        <w:t xml:space="preserve"> oraz z 12 lipca 2023 r. w sprawie przystąpienia do strefy </w:t>
      </w:r>
      <w:proofErr w:type="spellStart"/>
      <w:r w:rsidRPr="0026668F">
        <w:t>Schengen</w:t>
      </w:r>
      <w:proofErr w:type="spellEnd"/>
      <w:r w:rsidRPr="0026668F">
        <w:rPr>
          <w:rStyle w:val="FootnoteReference"/>
          <w:color w:val="000000"/>
        </w:rPr>
        <w:footnoteReference w:id="2"/>
      </w:r>
      <w:r w:rsidRPr="0026668F">
        <w:t>,</w:t>
      </w:r>
    </w:p>
    <w:p w:rsidR="00396A02" w:rsidRPr="0026668F" w:rsidRDefault="00396A02" w:rsidP="00396A02">
      <w:pPr>
        <w:pStyle w:val="NormalHanging12a"/>
      </w:pPr>
      <w:r w:rsidRPr="0026668F">
        <w:t>–</w:t>
      </w:r>
      <w:r w:rsidRPr="0026668F">
        <w:tab/>
        <w:t xml:space="preserve">uwzględniając jednomyślną decyzję Rady z 30 grudnia 2023 r. o przyjęciu Rumunii i Bułgarii do strefy </w:t>
      </w:r>
      <w:proofErr w:type="spellStart"/>
      <w:r w:rsidRPr="0026668F">
        <w:t>Schengen</w:t>
      </w:r>
      <w:proofErr w:type="spellEnd"/>
      <w:r w:rsidRPr="0026668F">
        <w:t>, rozpoczynając od zniesienia kontroli na granicach powietrznych i morskich od marca 2024 r.;</w:t>
      </w:r>
    </w:p>
    <w:p w:rsidR="00396A02" w:rsidRPr="0026668F" w:rsidRDefault="00396A02" w:rsidP="00396A02">
      <w:pPr>
        <w:pStyle w:val="NormalHanging12a"/>
      </w:pPr>
      <w:r w:rsidRPr="0026668F">
        <w:t>–</w:t>
      </w:r>
      <w:r w:rsidRPr="0026668F">
        <w:tab/>
        <w:t>uwzględniając swoją rezolucję z 25 listopada 2021 r. w sprawie bezpieczeństwa parkingów dla samochodów ciężarowych w UE</w:t>
      </w:r>
      <w:r w:rsidRPr="0026668F">
        <w:rPr>
          <w:rStyle w:val="FootnoteReference"/>
          <w:color w:val="000000"/>
        </w:rPr>
        <w:footnoteReference w:id="3"/>
      </w:r>
      <w:r w:rsidRPr="0026668F">
        <w:t>,</w:t>
      </w:r>
    </w:p>
    <w:p w:rsidR="00396A02" w:rsidRPr="0026668F" w:rsidRDefault="00396A02" w:rsidP="00396A02">
      <w:pPr>
        <w:pStyle w:val="NormalHanging12a"/>
      </w:pPr>
      <w:r w:rsidRPr="0026668F">
        <w:t>–</w:t>
      </w:r>
      <w:r w:rsidRPr="0026668F">
        <w:tab/>
        <w:t xml:space="preserve">uwzględniając swoją rezolucję z 9 maja 2023 r. w sprawie nowych unijnych ram </w:t>
      </w:r>
      <w:r w:rsidRPr="0026668F">
        <w:lastRenderedPageBreak/>
        <w:t>mobilności miejskiej</w:t>
      </w:r>
      <w:r w:rsidRPr="0026668F">
        <w:rPr>
          <w:rStyle w:val="FootnoteReference"/>
          <w:color w:val="000000"/>
        </w:rPr>
        <w:footnoteReference w:id="4"/>
      </w:r>
      <w:r w:rsidRPr="0026668F">
        <w:t>,</w:t>
      </w:r>
    </w:p>
    <w:p w:rsidR="00396A02" w:rsidRPr="0026668F" w:rsidRDefault="00396A02" w:rsidP="00396A02">
      <w:pPr>
        <w:pStyle w:val="NormalHanging12a"/>
      </w:pPr>
      <w:r w:rsidRPr="0026668F">
        <w:t>–</w:t>
      </w:r>
      <w:r w:rsidRPr="0026668F">
        <w:tab/>
        <w:t>uwzględniając swoją rezolucję z 13 czerwca 2023 r. w sprawie dużych projektów dotyczących infrastruktury transportowej w UE – wdrażanie projektów oraz monitorowanie i kontrola finansowania unijnego</w:t>
      </w:r>
      <w:r w:rsidRPr="0026668F">
        <w:rPr>
          <w:rStyle w:val="FootnoteReference"/>
          <w:color w:val="000000"/>
        </w:rPr>
        <w:footnoteReference w:id="5"/>
      </w:r>
      <w:r w:rsidRPr="0026668F">
        <w:t>,</w:t>
      </w:r>
    </w:p>
    <w:p w:rsidR="00396A02" w:rsidRPr="0026668F" w:rsidRDefault="00396A02" w:rsidP="00396A02">
      <w:pPr>
        <w:pStyle w:val="NormalHanging12a"/>
      </w:pPr>
      <w:r w:rsidRPr="0026668F">
        <w:t>–</w:t>
      </w:r>
      <w:r w:rsidRPr="0026668F">
        <w:tab/>
        <w:t>uwzględniając wniosek dotyczący rozporządzenia w sprawie unijnych wytycznych dotyczących rozwoju transeuropejskiej sieci transportowej zmieniającego rozporządzenie (UE) 2021/1153 i rozporządzenie (UE) nr 913/2010 oraz uchylającego rozporządzenie (UE) nr 1315/2013 (COM(2021)0812),</w:t>
      </w:r>
    </w:p>
    <w:p w:rsidR="00396A02" w:rsidRPr="0026668F" w:rsidRDefault="00396A02" w:rsidP="00396A02">
      <w:pPr>
        <w:pStyle w:val="NormalHanging12a"/>
      </w:pPr>
      <w:r w:rsidRPr="0026668F">
        <w:t>–</w:t>
      </w:r>
      <w:r w:rsidRPr="0026668F">
        <w:tab/>
        <w:t>uwzględniając art. 227 ust. 2 Regulaminu,</w:t>
      </w:r>
    </w:p>
    <w:p w:rsidR="00396A02" w:rsidRPr="0026668F" w:rsidRDefault="00396A02" w:rsidP="00396A02">
      <w:pPr>
        <w:pStyle w:val="NormalHanging12a"/>
      </w:pPr>
      <w:r w:rsidRPr="0026668F">
        <w:t>A.</w:t>
      </w:r>
      <w:r w:rsidRPr="0026668F">
        <w:tab/>
      </w:r>
      <w:proofErr w:type="gramStart"/>
      <w:r w:rsidRPr="0026668F">
        <w:t>mając</w:t>
      </w:r>
      <w:proofErr w:type="gramEnd"/>
      <w:r w:rsidRPr="0026668F">
        <w:t xml:space="preserve"> na uwadze, że setki pojazdów ciężarowych są codziennie zatrzymywane na wewnętrznych granicach UE, w tym na granicach między państwami członkowskimi strefy </w:t>
      </w:r>
      <w:proofErr w:type="spellStart"/>
      <w:r w:rsidRPr="0026668F">
        <w:t>Schengen</w:t>
      </w:r>
      <w:proofErr w:type="spellEnd"/>
      <w:r w:rsidRPr="0026668F">
        <w:t xml:space="preserve"> a państwami członkowskimi UE spoza tej strefy, gdzie borykają się z bardzo długimi okresami oczekiwania i opóźnieniami wynikającymi z przetwarzania danych i kontroli; mając na uwadze, że obowiązujące europejskie ramy prawne nie przewidują ani nie regulują konkretnie maksymalnego terminu przetwarzania danych dotyczących towarów na granicach;</w:t>
      </w:r>
    </w:p>
    <w:p w:rsidR="00396A02" w:rsidRPr="0026668F" w:rsidRDefault="00396A02" w:rsidP="00396A02">
      <w:pPr>
        <w:pStyle w:val="NormalHanging12a"/>
      </w:pPr>
      <w:r w:rsidRPr="0026668F">
        <w:t>B.</w:t>
      </w:r>
      <w:r w:rsidRPr="0026668F">
        <w:tab/>
        <w:t xml:space="preserve">mając na uwadze, że przyczyny tych kolejek i opóźnień na granicach państw członkowskich można przypisać wielu czynnikom administracyjnym, operacyjnym, związanym z bezpieczeństwem, technicznym lub wynikającym z interoperacyjności, takim jak niewystarczające zdolności operacyjne i techniczne, niedobór personelu, punktów kontrolnych i wag pomostowych przeznaczonych dla pojazdów ciężarowych, a także koncentracja wielu organów instytucjonalnych na granicach i czasochłonne kontrole towarów; mając na uwadze, że art. 22 kodeksu granicznego </w:t>
      </w:r>
      <w:proofErr w:type="spellStart"/>
      <w:r w:rsidRPr="0026668F">
        <w:t>Schengen</w:t>
      </w:r>
      <w:proofErr w:type="spellEnd"/>
      <w:r w:rsidRPr="0026668F">
        <w:rPr>
          <w:rStyle w:val="FootnoteReference"/>
          <w:color w:val="000000"/>
        </w:rPr>
        <w:footnoteReference w:id="6"/>
      </w:r>
      <w:r w:rsidRPr="0026668F">
        <w:t xml:space="preserve"> ustanawia zasadę braku kontroli i odpraw na granicach wewnętrznych między państwami strefy </w:t>
      </w:r>
      <w:proofErr w:type="spellStart"/>
      <w:r w:rsidRPr="0026668F">
        <w:t>Schengen</w:t>
      </w:r>
      <w:proofErr w:type="spellEnd"/>
      <w:r w:rsidRPr="0026668F">
        <w:t xml:space="preserve">, zgodnie z zasadą swobody przepływu określoną w art. 26 ust. 2 TFUE; mając na uwadze, że art. 24 wyraźnie stanowi, iż państwa członkowskie usuwają </w:t>
      </w:r>
      <w:proofErr w:type="gramStart"/>
      <w:r w:rsidRPr="0026668F">
        <w:t>wszystkie</w:t>
      </w:r>
      <w:proofErr w:type="gramEnd"/>
      <w:r w:rsidRPr="0026668F">
        <w:t xml:space="preserve"> przeszkody w płynnym przepływie ruchu przez drogowe przejścia graniczne na granicach wewnętrznych;</w:t>
      </w:r>
    </w:p>
    <w:p w:rsidR="00396A02" w:rsidRPr="0026668F" w:rsidRDefault="00396A02" w:rsidP="00396A02">
      <w:pPr>
        <w:pStyle w:val="NormalHanging12a"/>
      </w:pPr>
      <w:r w:rsidRPr="0026668F">
        <w:t>C.</w:t>
      </w:r>
      <w:r w:rsidRPr="0026668F">
        <w:tab/>
      </w:r>
      <w:proofErr w:type="gramStart"/>
      <w:r w:rsidRPr="0026668F">
        <w:t>mając</w:t>
      </w:r>
      <w:proofErr w:type="gramEnd"/>
      <w:r w:rsidRPr="0026668F">
        <w:t xml:space="preserve"> na uwadze, że kumulacja pojazdów ciężarowych zarejestrowanych w UE na granicach może mieć szkodliwy wpływ na zdrowie i warunki pracy kierowców, bezpieczeństwo ruchu drogowego i działalność przedsiębiorstw przewozowych, a także wpływać negatywnie na konkurencję i funkcjonowanie jednolitego rynku UE oraz zwiększać koszty ponoszone przez przewoźników drogowych;</w:t>
      </w:r>
    </w:p>
    <w:p w:rsidR="00396A02" w:rsidRPr="0026668F" w:rsidRDefault="00396A02" w:rsidP="00396A02">
      <w:pPr>
        <w:pStyle w:val="NormalHanging12a"/>
      </w:pPr>
      <w:r w:rsidRPr="0026668F">
        <w:t>D.</w:t>
      </w:r>
      <w:r w:rsidRPr="0026668F">
        <w:tab/>
      </w:r>
      <w:proofErr w:type="gramStart"/>
      <w:r w:rsidRPr="0026668F">
        <w:t>mając</w:t>
      </w:r>
      <w:proofErr w:type="gramEnd"/>
      <w:r w:rsidRPr="0026668F">
        <w:t xml:space="preserve"> na uwadze, że Bułgaria i Rumunia nadal czekają na decyzję Rady w sprawie terminu zniesienia kontroli na wewnętrznych granicach lądowych; mając na uwadze, że zniesienie kontroli i odpraw na wewnętrznych granicach lądowych miałoby pozytywny wpływ na udział Rumunii i Bułgarii w jednolitym rynku UE, usuwając przeszkody dla mobilności, które powodują opóźnienia w działalności gospodarczej w wyniku zakłóceń w harmonogramach dostaw towarów;</w:t>
      </w:r>
    </w:p>
    <w:p w:rsidR="00396A02" w:rsidRPr="0026668F" w:rsidRDefault="00396A02" w:rsidP="00396A02">
      <w:pPr>
        <w:pStyle w:val="NormalHanging12a"/>
      </w:pPr>
      <w:r w:rsidRPr="0026668F">
        <w:t>E.</w:t>
      </w:r>
      <w:r w:rsidRPr="0026668F">
        <w:tab/>
      </w:r>
      <w:proofErr w:type="gramStart"/>
      <w:r w:rsidRPr="0026668F">
        <w:t>mając</w:t>
      </w:r>
      <w:proofErr w:type="gramEnd"/>
      <w:r w:rsidRPr="0026668F">
        <w:t xml:space="preserve"> na uwadze, że opóźnienia w przejeździe pojazdów ciężarowych przez granice powodują straty w wysokości setek milionów euro dla europejskich przedsiębiorstw, zwłaszcza w branżach logistyki, turystyki i w branży hotelarsko-gastronomicznej; mając na uwadze, że ryzyko, jakie stwarzają te ograniczenia w przekraczaniu granic, stało się szczególnie widoczne podczas pandemii COVID-19; mając na uwadze, że utrzymanie status quo znacznie osłabia odporność UE w obliczu innych potencjalnych zagrożeń zdrowia publicznego;</w:t>
      </w:r>
    </w:p>
    <w:p w:rsidR="00396A02" w:rsidRPr="0026668F" w:rsidRDefault="00396A02" w:rsidP="00396A02">
      <w:pPr>
        <w:pStyle w:val="NormalHanging12a"/>
      </w:pPr>
      <w:r w:rsidRPr="0026668F">
        <w:t>F.</w:t>
      </w:r>
      <w:r w:rsidRPr="0026668F">
        <w:tab/>
      </w:r>
      <w:proofErr w:type="gramStart"/>
      <w:r w:rsidRPr="0026668F">
        <w:t>mając</w:t>
      </w:r>
      <w:proofErr w:type="gramEnd"/>
      <w:r w:rsidRPr="0026668F">
        <w:t xml:space="preserve"> na uwadze, że długość kolejek pojazdów ciężarowych na zewnętrznych granicach UE z krajami Bałkanów Zachodnich jest szczególnie niepokojąca;</w:t>
      </w:r>
    </w:p>
    <w:p w:rsidR="00396A02" w:rsidRPr="0026668F" w:rsidRDefault="00396A02" w:rsidP="00396A02">
      <w:pPr>
        <w:pStyle w:val="NormalHanging12a"/>
      </w:pPr>
      <w:r w:rsidRPr="0026668F">
        <w:t>G.</w:t>
      </w:r>
      <w:r w:rsidRPr="0026668F">
        <w:tab/>
        <w:t xml:space="preserve">mając na uwadze, że taki stan rzeczy zagraża poważnie zdrowiu i bezpieczeństwu kierowców zawodowych, pogarszając ich warunki pracy i obniżając jakość miejsc pracy w tym zawodzie, a dodatkowo przyczynia się do globalnego niedoboru kierowców pojazdów ciężarowych; mając na uwadze, że kierowcy pojazdów ciężarowych we wszystkich państwach członkowskich UE często cierpią na liczne formy przewlekłego bólu, takie jak ból dolnej części pleców, ból kolan i barków; mając na uwadze, że jednocześnie częste arbitralne wymogi dotyczące rozładunku i ponownego załadunku towarów wiążą się ze znacznymi dodatkowymi zagrożeniami dla zdrowia i nierzadko prowadzą do obrażeń, ponieważ kierowcy pojazdów ciężarowych często mogą nie </w:t>
      </w:r>
      <w:proofErr w:type="gramStart"/>
      <w:r w:rsidRPr="0026668F">
        <w:t>mieć</w:t>
      </w:r>
      <w:proofErr w:type="gramEnd"/>
      <w:r w:rsidRPr="0026668F">
        <w:t xml:space="preserve"> siły fizycznej ani odpowiedniego sprzętu do podnoszenia dużych ciężarów; mając na uwadze, że pracodawcy bez zastanowienia nakładają ten obowiązek i odpowiedzialność na kierowców pojazdów ciężarowych bez dodatkowego wynagrodzenia;</w:t>
      </w:r>
    </w:p>
    <w:p w:rsidR="00396A02" w:rsidRPr="0026668F" w:rsidRDefault="00396A02" w:rsidP="00396A02">
      <w:pPr>
        <w:pStyle w:val="NormalHanging12a"/>
      </w:pPr>
      <w:r w:rsidRPr="0026668F">
        <w:t>H.</w:t>
      </w:r>
      <w:r w:rsidRPr="0026668F">
        <w:tab/>
      </w:r>
      <w:proofErr w:type="gramStart"/>
      <w:r w:rsidRPr="0026668F">
        <w:t>mając</w:t>
      </w:r>
      <w:proofErr w:type="gramEnd"/>
      <w:r w:rsidRPr="0026668F">
        <w:t xml:space="preserve"> na uwadze, że kolejki pojazdów ciężarowych oczekujących na granicach mają bezpośredni wpływ na zdrowie obywateli europejskich, wpływając negatywnie na jakość powietrza, powodując zanieczyszczenie wody i hałas, a także wpływając negatywnie na obszary Natura 2000; mając na uwadze, że na przykład w komunikacie Komisji z 16 maja 2023 r. podkreślono, że co roku emitowanych jest 46 000 ton CO</w:t>
      </w:r>
      <w:r w:rsidRPr="0026668F">
        <w:rPr>
          <w:vertAlign w:val="subscript"/>
        </w:rPr>
        <w:t>2</w:t>
      </w:r>
      <w:r w:rsidRPr="0026668F">
        <w:t xml:space="preserve"> z powodu utrzymywanych kontroli na granicach wewnętrznych w Rumunii i Bułgarii;</w:t>
      </w:r>
    </w:p>
    <w:p w:rsidR="00396A02" w:rsidRPr="0026668F" w:rsidRDefault="00396A02" w:rsidP="00396A02">
      <w:pPr>
        <w:pStyle w:val="NormalHanging12a"/>
      </w:pPr>
      <w:r w:rsidRPr="0026668F">
        <w:t>I.</w:t>
      </w:r>
      <w:r w:rsidRPr="0026668F">
        <w:tab/>
      </w:r>
      <w:proofErr w:type="gramStart"/>
      <w:r w:rsidRPr="0026668F">
        <w:t>mając</w:t>
      </w:r>
      <w:proofErr w:type="gramEnd"/>
      <w:r w:rsidRPr="0026668F">
        <w:t xml:space="preserve"> na uwadze, że zagęszczenie ruchu pojazdów ciężarowych obniża także jakość istniejącej infrastruktury, a jednocześnie ogranicza bezpieczeństwo ruchu drogowego i zwiększa ryzyko wypadków drogowych;</w:t>
      </w:r>
    </w:p>
    <w:p w:rsidR="00396A02" w:rsidRPr="0026668F" w:rsidRDefault="00396A02" w:rsidP="00396A02">
      <w:pPr>
        <w:pStyle w:val="NormalHanging12a"/>
      </w:pPr>
      <w:r w:rsidRPr="0026668F">
        <w:t>J.</w:t>
      </w:r>
      <w:r w:rsidRPr="0026668F">
        <w:tab/>
        <w:t>mając na uwadze, że niezbędne jest zwiększenie publicznego i prywatnego finansowania bezpiecznych i chronionych parkingów dla pojazdów ciężarowych, by umożliwić kierowcom w pełni bezpieczne przerwy; mając na uwadze, że wzmocnienie narzędzi bezpieczeństwa, na przykład poprzez opracowanie specjalnych aplikacji mobilnych, zmniejszyłoby ryzyko, że kierowcy pojazdów ciężarowych staną się ofiarami przestępstw;</w:t>
      </w:r>
    </w:p>
    <w:p w:rsidR="00396A02" w:rsidRPr="0026668F" w:rsidRDefault="00396A02" w:rsidP="00396A02">
      <w:pPr>
        <w:pStyle w:val="NormalHanging12a"/>
      </w:pPr>
      <w:r w:rsidRPr="0026668F">
        <w:t>1.</w:t>
      </w:r>
      <w:r w:rsidRPr="0026668F">
        <w:tab/>
      </w:r>
      <w:proofErr w:type="gramStart"/>
      <w:r w:rsidRPr="0026668F">
        <w:t>wzywa</w:t>
      </w:r>
      <w:proofErr w:type="gramEnd"/>
      <w:r w:rsidRPr="0026668F">
        <w:t xml:space="preserve"> Parlament, Radę i Komisję, aby podczas opracowywania kluczowych strategii politycznych UE, takich jak transeuropejska sieć transportowa, skupiły się na konkretnych środkach zapewniających sprawne i skuteczne przekraczanie granic w transporcie towarowym;</w:t>
      </w:r>
    </w:p>
    <w:p w:rsidR="00396A02" w:rsidRPr="0026668F" w:rsidRDefault="00396A02" w:rsidP="00396A02">
      <w:pPr>
        <w:pStyle w:val="NormalHanging12a"/>
      </w:pPr>
      <w:r w:rsidRPr="0026668F">
        <w:t>2.</w:t>
      </w:r>
      <w:r w:rsidRPr="0026668F">
        <w:tab/>
      </w:r>
      <w:proofErr w:type="gramStart"/>
      <w:r w:rsidRPr="0026668F">
        <w:t>wzywa</w:t>
      </w:r>
      <w:proofErr w:type="gramEnd"/>
      <w:r w:rsidRPr="0026668F">
        <w:t xml:space="preserve"> Komisję, aby po przeprowadzeniu oceny skutków dotyczącej zagadnień opisanych w niniejszym projekcie rezolucji zaproponowała natychmiastowe i wiążące środki ustawodawcze w celu stworzenia </w:t>
      </w:r>
      <w:proofErr w:type="spellStart"/>
      <w:r w:rsidRPr="0026668F">
        <w:t>ogólnounijnego</w:t>
      </w:r>
      <w:proofErr w:type="spellEnd"/>
      <w:r w:rsidRPr="0026668F">
        <w:t xml:space="preserve"> standardu przewidującego poświęcenie średnio jednej minuty na obsługę pojazdów ciężarowych na wewnątrzunijnych przejściach granicznych, aby zagwarantować płynność na wewnętrznych granicach strefy </w:t>
      </w:r>
      <w:proofErr w:type="spellStart"/>
      <w:r w:rsidRPr="0026668F">
        <w:t>Schengen</w:t>
      </w:r>
      <w:proofErr w:type="spellEnd"/>
      <w:r w:rsidRPr="0026668F">
        <w:t xml:space="preserve"> i poza nią, umożliwiając szybki i skuteczny przepływ towarów i usług; podkreśla, że taki środek poprawiłby znacznie konkurencyjność sektora transportu drogowego i zapewniłby jego sprawne funkcjonowanie na jednolitym rynku; podkreśla, że utrzymywanie kontroli na granicach lądowych szkodzi interesom gospodarczym wszystkich państw członkowskich;</w:t>
      </w:r>
    </w:p>
    <w:p w:rsidR="00396A02" w:rsidRPr="0026668F" w:rsidRDefault="00396A02" w:rsidP="00396A02">
      <w:pPr>
        <w:pStyle w:val="NormalHanging12a"/>
      </w:pPr>
      <w:r w:rsidRPr="0026668F">
        <w:t>3.</w:t>
      </w:r>
      <w:r w:rsidRPr="0026668F">
        <w:tab/>
      </w:r>
      <w:proofErr w:type="gramStart"/>
      <w:r w:rsidRPr="0026668F">
        <w:t>podkreśla</w:t>
      </w:r>
      <w:proofErr w:type="gramEnd"/>
      <w:r w:rsidRPr="0026668F">
        <w:t xml:space="preserve">, że od 2011 r. Komisja powtarza, iż zarówno Rumunia, jak i Bułgaria spełniły wszystkie formalne kryteria przystąpienia do strefy </w:t>
      </w:r>
      <w:proofErr w:type="spellStart"/>
      <w:r w:rsidRPr="0026668F">
        <w:t>Schengen</w:t>
      </w:r>
      <w:proofErr w:type="spellEnd"/>
      <w:r w:rsidRPr="0026668F">
        <w:t xml:space="preserve">; podkreśla, że decyzja Rady z 30 grudnia 2023 r. o zniesieniu kontroli na granicach powietrznych i morskich w Rumunii i Bułgarii jedynie częściowo rozwiązuje kwestię obecnego zakłócenia jednolitego rynku; podkreśla, że decyzja ta nie rozwiązuje największego i najpilniejszego problemu, a mianowicie lądowych przejść granicznych, gdzie kontrole są utrzymywane na lądowej granicy </w:t>
      </w:r>
      <w:proofErr w:type="spellStart"/>
      <w:r w:rsidRPr="0026668F">
        <w:t>Schengen</w:t>
      </w:r>
      <w:proofErr w:type="spellEnd"/>
      <w:r w:rsidRPr="0026668F">
        <w:t xml:space="preserve">, co utrudnia jej bezproblemowe przekraczanie przez pojazdy ciężarowe, autobusy, samochody prywatne i pociągi; przypomina, że od dawna opowiada się za poparciem pełnego stosowania dorobku </w:t>
      </w:r>
      <w:proofErr w:type="spellStart"/>
      <w:r w:rsidRPr="0026668F">
        <w:t>Schengen</w:t>
      </w:r>
      <w:proofErr w:type="spellEnd"/>
      <w:r w:rsidRPr="0026668F">
        <w:t xml:space="preserve"> w odniesieniu do Bułgarii i Rumunii; wzywa prezydencję belgijską i wszystkich członków Rady do jak najszybszego przyjęcia, nie później niż do połowy 2024 r., decyzji w sprawie pełnego stosowania dorobku </w:t>
      </w:r>
      <w:proofErr w:type="spellStart"/>
      <w:r w:rsidRPr="0026668F">
        <w:t>Schengen</w:t>
      </w:r>
      <w:proofErr w:type="spellEnd"/>
      <w:r w:rsidRPr="0026668F">
        <w:t xml:space="preserve"> w Rumunii i Bułgarii;</w:t>
      </w:r>
    </w:p>
    <w:p w:rsidR="00396A02" w:rsidRPr="0026668F" w:rsidRDefault="00396A02" w:rsidP="00396A02">
      <w:pPr>
        <w:pStyle w:val="NormalHanging12a"/>
      </w:pPr>
      <w:r w:rsidRPr="0026668F">
        <w:t>4.</w:t>
      </w:r>
      <w:r w:rsidRPr="0026668F">
        <w:tab/>
      </w:r>
      <w:proofErr w:type="gramStart"/>
      <w:r w:rsidRPr="0026668F">
        <w:t>zwraca</w:t>
      </w:r>
      <w:proofErr w:type="gramEnd"/>
      <w:r w:rsidRPr="0026668F">
        <w:t xml:space="preserve"> się zatem do Komisji, by zagwarantowała przestrzeganie i monitorowanie stosowania podjętych środków, w tym poprzez nakładanie kar; podkreśla, że potrzebne jest odpowiednie i wystarczające unijne finansowanie i wsparcie techniczne;</w:t>
      </w:r>
    </w:p>
    <w:p w:rsidR="00396A02" w:rsidRPr="0026668F" w:rsidRDefault="00396A02" w:rsidP="00396A02">
      <w:pPr>
        <w:pStyle w:val="NormalHanging12a"/>
      </w:pPr>
      <w:r w:rsidRPr="0026668F">
        <w:t>5.</w:t>
      </w:r>
      <w:r w:rsidRPr="0026668F">
        <w:tab/>
      </w:r>
      <w:proofErr w:type="gramStart"/>
      <w:r w:rsidRPr="0026668F">
        <w:t>apeluje</w:t>
      </w:r>
      <w:proofErr w:type="gramEnd"/>
      <w:r w:rsidRPr="0026668F">
        <w:t xml:space="preserve"> do Komisji i państw członkowskich, aby prawodawstwo UE zezwalało kierowcom pojazdów ciężarowych na korzystanie z mniejszych przejść granicznych, gdy główne drogi są zamknięte z powodu prac konserwacyjnych, aby uniknąć sytuacji, w której kierowcy będą uzależnieni od arbitralnych działań poszczególnych krajów, jest to bowiem kwestia leżąca w ogólnym interesie UE;</w:t>
      </w:r>
    </w:p>
    <w:p w:rsidR="00396A02" w:rsidRPr="0026668F" w:rsidRDefault="00396A02" w:rsidP="00396A02">
      <w:pPr>
        <w:pStyle w:val="NormalHanging12a"/>
      </w:pPr>
      <w:r w:rsidRPr="0026668F">
        <w:t>6.</w:t>
      </w:r>
      <w:r w:rsidRPr="0026668F">
        <w:tab/>
      </w:r>
      <w:proofErr w:type="gramStart"/>
      <w:r w:rsidRPr="0026668F">
        <w:t>wzywa</w:t>
      </w:r>
      <w:proofErr w:type="gramEnd"/>
      <w:r w:rsidRPr="0026668F">
        <w:t xml:space="preserve"> Komisję, aby we współpracy z państwami członkowskimi i odpowiednimi zainteresowanymi stronami przedstawiła konkretne środki, których celem jest rozwiązanie problemu niedoboru kierowców zawodowych w UE poprzez pobudzanie zainteresowania młodych ludzi w drodze finansowania specjalnych szkoleń i przekwalifikowania oraz zdobywania kwalifikacji oraz wspierania partnerstw między szkołami zawodowymi a przedsiębiorstwami transportowymi, w tym dzięki specjalnemu wsparciu budżetowemu UE;</w:t>
      </w:r>
    </w:p>
    <w:p w:rsidR="00396A02" w:rsidRPr="0026668F" w:rsidRDefault="00396A02" w:rsidP="00396A02">
      <w:pPr>
        <w:pStyle w:val="NormalHanging12a"/>
      </w:pPr>
      <w:r w:rsidRPr="0026668F">
        <w:t>7.</w:t>
      </w:r>
      <w:r w:rsidRPr="0026668F">
        <w:tab/>
      </w:r>
      <w:proofErr w:type="gramStart"/>
      <w:r w:rsidRPr="0026668F">
        <w:t>wzywa</w:t>
      </w:r>
      <w:proofErr w:type="gramEnd"/>
      <w:r w:rsidRPr="0026668F">
        <w:t xml:space="preserve"> państwa członkowskie do dalszych wzmożonych wysiłków na rzecz wzmocnienia współpracy transgranicznej w ściganiu przestępstw kradzieży towarów z pojazdów ciężarowych;</w:t>
      </w:r>
    </w:p>
    <w:p w:rsidR="00396A02" w:rsidRPr="0026668F" w:rsidRDefault="00396A02" w:rsidP="00396A02">
      <w:pPr>
        <w:pStyle w:val="NormalHanging12a"/>
      </w:pPr>
      <w:r w:rsidRPr="0026668F">
        <w:t>8.</w:t>
      </w:r>
      <w:r w:rsidRPr="0026668F">
        <w:tab/>
      </w:r>
      <w:proofErr w:type="gramStart"/>
      <w:r w:rsidRPr="0026668F">
        <w:t>zobowiązuje</w:t>
      </w:r>
      <w:proofErr w:type="gramEnd"/>
      <w:r w:rsidRPr="0026668F">
        <w:t xml:space="preserve"> swoją przewodniczącą do przekazania niniejszej rezolucji Komisji, Radzie i właściwym organom krajowym.</w:t>
      </w:r>
    </w:p>
    <w:sectPr w:rsidR="00396A02" w:rsidRPr="0026668F" w:rsidSect="002666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F48" w:rsidRPr="0026668F" w:rsidRDefault="00A36F48">
      <w:r w:rsidRPr="0026668F">
        <w:separator/>
      </w:r>
    </w:p>
  </w:endnote>
  <w:endnote w:type="continuationSeparator" w:id="0">
    <w:p w:rsidR="00A36F48" w:rsidRPr="0026668F" w:rsidRDefault="00A36F48">
      <w:r w:rsidRPr="002666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66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66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66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F48" w:rsidRPr="0026668F" w:rsidRDefault="00A36F48">
      <w:r w:rsidRPr="0026668F">
        <w:separator/>
      </w:r>
    </w:p>
  </w:footnote>
  <w:footnote w:type="continuationSeparator" w:id="0">
    <w:p w:rsidR="00A36F48" w:rsidRPr="0026668F" w:rsidRDefault="00A36F48">
      <w:r w:rsidRPr="0026668F">
        <w:continuationSeparator/>
      </w:r>
    </w:p>
  </w:footnote>
  <w:footnote w:id="1">
    <w:p w:rsidR="00396A02" w:rsidRPr="0026668F" w:rsidRDefault="00396A02" w:rsidP="0026668F">
      <w:pPr>
        <w:pStyle w:val="FootnoteText"/>
        <w:ind w:left="567" w:hanging="567"/>
        <w:rPr>
          <w:sz w:val="24"/>
          <w:lang w:val="pl-PL"/>
        </w:rPr>
      </w:pPr>
      <w:r w:rsidRPr="0026668F">
        <w:rPr>
          <w:rStyle w:val="FootnoteReference"/>
          <w:sz w:val="24"/>
          <w:lang w:val="pl-PL"/>
        </w:rPr>
        <w:footnoteRef/>
      </w:r>
      <w:r w:rsidR="0026668F" w:rsidRPr="0026668F">
        <w:rPr>
          <w:sz w:val="24"/>
          <w:lang w:val="pl-PL"/>
        </w:rPr>
        <w:t xml:space="preserve"> </w:t>
      </w:r>
      <w:r w:rsidR="0026668F" w:rsidRPr="0026668F">
        <w:rPr>
          <w:sz w:val="24"/>
          <w:lang w:val="pl-PL"/>
        </w:rPr>
        <w:tab/>
      </w:r>
      <w:r w:rsidRPr="0026668F">
        <w:rPr>
          <w:sz w:val="24"/>
          <w:lang w:val="pl-PL"/>
        </w:rPr>
        <w:t xml:space="preserve">Dz.U. C 149 z 28.4.2023, </w:t>
      </w:r>
      <w:proofErr w:type="gramStart"/>
      <w:r w:rsidRPr="0026668F">
        <w:rPr>
          <w:sz w:val="24"/>
          <w:lang w:val="pl-PL"/>
        </w:rPr>
        <w:t>s</w:t>
      </w:r>
      <w:proofErr w:type="gramEnd"/>
      <w:r w:rsidRPr="0026668F">
        <w:rPr>
          <w:sz w:val="24"/>
          <w:lang w:val="pl-PL"/>
        </w:rPr>
        <w:t>. 11.</w:t>
      </w:r>
    </w:p>
  </w:footnote>
  <w:footnote w:id="2">
    <w:p w:rsidR="00396A02" w:rsidRPr="0026668F" w:rsidRDefault="00396A02" w:rsidP="0026668F">
      <w:pPr>
        <w:pStyle w:val="FootnoteText"/>
        <w:ind w:left="567" w:hanging="567"/>
        <w:rPr>
          <w:sz w:val="24"/>
          <w:lang w:val="pl-PL"/>
        </w:rPr>
      </w:pPr>
      <w:r w:rsidRPr="0026668F">
        <w:rPr>
          <w:rStyle w:val="FootnoteReference"/>
          <w:sz w:val="24"/>
          <w:lang w:val="pl-PL"/>
        </w:rPr>
        <w:footnoteRef/>
      </w:r>
      <w:r w:rsidR="0026668F" w:rsidRPr="0026668F">
        <w:rPr>
          <w:sz w:val="24"/>
          <w:lang w:val="pl-PL"/>
        </w:rPr>
        <w:t xml:space="preserve"> </w:t>
      </w:r>
      <w:r w:rsidR="0026668F" w:rsidRPr="0026668F">
        <w:rPr>
          <w:sz w:val="24"/>
          <w:lang w:val="pl-PL"/>
        </w:rPr>
        <w:tab/>
      </w:r>
      <w:r w:rsidRPr="0026668F">
        <w:rPr>
          <w:sz w:val="24"/>
          <w:lang w:val="pl-PL"/>
        </w:rPr>
        <w:t>Teksty przyjęte, P9_TA(2023)0278.</w:t>
      </w:r>
    </w:p>
  </w:footnote>
  <w:footnote w:id="3">
    <w:p w:rsidR="00396A02" w:rsidRPr="0026668F" w:rsidRDefault="00396A02" w:rsidP="0026668F">
      <w:pPr>
        <w:pStyle w:val="FootnoteText"/>
        <w:ind w:left="567" w:hanging="567"/>
        <w:rPr>
          <w:sz w:val="24"/>
          <w:lang w:val="pl-PL"/>
        </w:rPr>
      </w:pPr>
      <w:r w:rsidRPr="0026668F">
        <w:rPr>
          <w:rStyle w:val="FootnoteReference"/>
          <w:sz w:val="24"/>
          <w:lang w:val="pl-PL"/>
        </w:rPr>
        <w:footnoteRef/>
      </w:r>
      <w:r w:rsidR="0026668F" w:rsidRPr="0026668F">
        <w:rPr>
          <w:sz w:val="24"/>
          <w:lang w:val="pl-PL"/>
        </w:rPr>
        <w:t xml:space="preserve"> </w:t>
      </w:r>
      <w:r w:rsidR="0026668F" w:rsidRPr="0026668F">
        <w:rPr>
          <w:sz w:val="24"/>
          <w:lang w:val="pl-PL"/>
        </w:rPr>
        <w:tab/>
      </w:r>
      <w:r w:rsidRPr="0026668F">
        <w:rPr>
          <w:sz w:val="24"/>
          <w:lang w:val="pl-PL"/>
        </w:rPr>
        <w:t xml:space="preserve">Dz.U. C 224 z 8.6.2022, </w:t>
      </w:r>
      <w:proofErr w:type="gramStart"/>
      <w:r w:rsidRPr="0026668F">
        <w:rPr>
          <w:sz w:val="24"/>
          <w:lang w:val="pl-PL"/>
        </w:rPr>
        <w:t>s</w:t>
      </w:r>
      <w:proofErr w:type="gramEnd"/>
      <w:r w:rsidRPr="0026668F">
        <w:rPr>
          <w:sz w:val="24"/>
          <w:lang w:val="pl-PL"/>
        </w:rPr>
        <w:t>. 95.</w:t>
      </w:r>
    </w:p>
  </w:footnote>
  <w:footnote w:id="4">
    <w:p w:rsidR="00396A02" w:rsidRPr="0026668F" w:rsidRDefault="00396A02" w:rsidP="0026668F">
      <w:pPr>
        <w:pStyle w:val="FootnoteText"/>
        <w:ind w:left="567" w:hanging="567"/>
        <w:rPr>
          <w:sz w:val="24"/>
          <w:lang w:val="pl-PL"/>
        </w:rPr>
      </w:pPr>
      <w:r w:rsidRPr="0026668F">
        <w:rPr>
          <w:rStyle w:val="FootnoteReference"/>
          <w:sz w:val="24"/>
          <w:lang w:val="pl-PL"/>
        </w:rPr>
        <w:footnoteRef/>
      </w:r>
      <w:r w:rsidR="0026668F" w:rsidRPr="0026668F">
        <w:rPr>
          <w:sz w:val="24"/>
          <w:lang w:val="pl-PL"/>
        </w:rPr>
        <w:t xml:space="preserve"> </w:t>
      </w:r>
      <w:r w:rsidR="0026668F" w:rsidRPr="0026668F">
        <w:rPr>
          <w:sz w:val="24"/>
          <w:lang w:val="pl-PL"/>
        </w:rPr>
        <w:tab/>
      </w:r>
      <w:r w:rsidRPr="0026668F">
        <w:rPr>
          <w:sz w:val="24"/>
          <w:lang w:val="pl-PL"/>
        </w:rPr>
        <w:t>Dz.U. C, C/2023/1058 z 15.12.2023, ELI: http</w:t>
      </w:r>
      <w:proofErr w:type="gramStart"/>
      <w:r w:rsidRPr="0026668F">
        <w:rPr>
          <w:sz w:val="24"/>
          <w:lang w:val="pl-PL"/>
        </w:rPr>
        <w:t>://data</w:t>
      </w:r>
      <w:proofErr w:type="gramEnd"/>
      <w:r w:rsidRPr="0026668F">
        <w:rPr>
          <w:sz w:val="24"/>
          <w:lang w:val="pl-PL"/>
        </w:rPr>
        <w:t>.</w:t>
      </w:r>
      <w:proofErr w:type="gramStart"/>
      <w:r w:rsidRPr="0026668F">
        <w:rPr>
          <w:sz w:val="24"/>
          <w:lang w:val="pl-PL"/>
        </w:rPr>
        <w:t>europa</w:t>
      </w:r>
      <w:proofErr w:type="gramEnd"/>
      <w:r w:rsidRPr="0026668F">
        <w:rPr>
          <w:sz w:val="24"/>
          <w:lang w:val="pl-PL"/>
        </w:rPr>
        <w:t>.</w:t>
      </w:r>
      <w:proofErr w:type="gramStart"/>
      <w:r w:rsidRPr="0026668F">
        <w:rPr>
          <w:sz w:val="24"/>
          <w:lang w:val="pl-PL"/>
        </w:rPr>
        <w:t>eu</w:t>
      </w:r>
      <w:proofErr w:type="gramEnd"/>
      <w:r w:rsidRPr="0026668F">
        <w:rPr>
          <w:sz w:val="24"/>
          <w:lang w:val="pl-PL"/>
        </w:rPr>
        <w:t>/eli/C/2023/1058/oj.</w:t>
      </w:r>
    </w:p>
  </w:footnote>
  <w:footnote w:id="5">
    <w:p w:rsidR="00396A02" w:rsidRPr="0026668F" w:rsidRDefault="00396A02" w:rsidP="0026668F">
      <w:pPr>
        <w:pStyle w:val="FootnoteText"/>
        <w:ind w:left="567" w:hanging="567"/>
        <w:rPr>
          <w:sz w:val="24"/>
          <w:lang w:val="pl-PL"/>
        </w:rPr>
      </w:pPr>
      <w:r w:rsidRPr="0026668F">
        <w:rPr>
          <w:rStyle w:val="FootnoteReference"/>
          <w:sz w:val="24"/>
          <w:lang w:val="pl-PL"/>
        </w:rPr>
        <w:footnoteRef/>
      </w:r>
      <w:r w:rsidR="0026668F" w:rsidRPr="0026668F">
        <w:rPr>
          <w:sz w:val="24"/>
          <w:lang w:val="pl-PL"/>
        </w:rPr>
        <w:t xml:space="preserve"> </w:t>
      </w:r>
      <w:r w:rsidR="0026668F" w:rsidRPr="0026668F">
        <w:rPr>
          <w:sz w:val="24"/>
          <w:lang w:val="pl-PL"/>
        </w:rPr>
        <w:tab/>
      </w:r>
      <w:r w:rsidRPr="0026668F">
        <w:rPr>
          <w:sz w:val="24"/>
          <w:lang w:val="pl-PL"/>
        </w:rPr>
        <w:t>Dz.U. C, C/2024/481 z 23.1.2024, ELI: http</w:t>
      </w:r>
      <w:proofErr w:type="gramStart"/>
      <w:r w:rsidRPr="0026668F">
        <w:rPr>
          <w:sz w:val="24"/>
          <w:lang w:val="pl-PL"/>
        </w:rPr>
        <w:t>://data</w:t>
      </w:r>
      <w:proofErr w:type="gramEnd"/>
      <w:r w:rsidRPr="0026668F">
        <w:rPr>
          <w:sz w:val="24"/>
          <w:lang w:val="pl-PL"/>
        </w:rPr>
        <w:t>.</w:t>
      </w:r>
      <w:proofErr w:type="gramStart"/>
      <w:r w:rsidRPr="0026668F">
        <w:rPr>
          <w:sz w:val="24"/>
          <w:lang w:val="pl-PL"/>
        </w:rPr>
        <w:t>europa</w:t>
      </w:r>
      <w:proofErr w:type="gramEnd"/>
      <w:r w:rsidRPr="0026668F">
        <w:rPr>
          <w:sz w:val="24"/>
          <w:lang w:val="pl-PL"/>
        </w:rPr>
        <w:t>.</w:t>
      </w:r>
      <w:proofErr w:type="gramStart"/>
      <w:r w:rsidRPr="0026668F">
        <w:rPr>
          <w:sz w:val="24"/>
          <w:lang w:val="pl-PL"/>
        </w:rPr>
        <w:t>eu</w:t>
      </w:r>
      <w:proofErr w:type="gramEnd"/>
      <w:r w:rsidRPr="0026668F">
        <w:rPr>
          <w:sz w:val="24"/>
          <w:lang w:val="pl-PL"/>
        </w:rPr>
        <w:t>/eli/C/2024/481/oj.</w:t>
      </w:r>
    </w:p>
  </w:footnote>
  <w:footnote w:id="6">
    <w:p w:rsidR="00396A02" w:rsidRPr="0026668F" w:rsidRDefault="00396A02" w:rsidP="0026668F">
      <w:pPr>
        <w:pStyle w:val="FootnoteText"/>
        <w:ind w:left="567" w:hanging="567"/>
        <w:rPr>
          <w:sz w:val="24"/>
          <w:lang w:val="pl-PL"/>
        </w:rPr>
      </w:pPr>
      <w:r w:rsidRPr="0026668F">
        <w:rPr>
          <w:rStyle w:val="FootnoteReference"/>
          <w:sz w:val="24"/>
          <w:lang w:val="pl-PL"/>
        </w:rPr>
        <w:footnoteRef/>
      </w:r>
      <w:r w:rsidR="0026668F" w:rsidRPr="0026668F">
        <w:rPr>
          <w:sz w:val="24"/>
          <w:lang w:val="pl-PL"/>
        </w:rPr>
        <w:t xml:space="preserve"> </w:t>
      </w:r>
      <w:r w:rsidR="0026668F" w:rsidRPr="0026668F">
        <w:rPr>
          <w:sz w:val="24"/>
          <w:lang w:val="pl-PL"/>
        </w:rPr>
        <w:tab/>
      </w:r>
      <w:r w:rsidRPr="0026668F">
        <w:rPr>
          <w:sz w:val="24"/>
          <w:lang w:val="pl-PL"/>
        </w:rPr>
        <w:t>Rozporządzenie (UE) 2016/399 z dnia 9 marca 2016 r. w sprawie unijnego kodeksu zasad regulujących przepływ osób przez granice (kode</w:t>
      </w:r>
      <w:r w:rsidR="00E64A5A">
        <w:rPr>
          <w:sz w:val="24"/>
          <w:lang w:val="pl-PL"/>
        </w:rPr>
        <w:t xml:space="preserve">ks graniczny </w:t>
      </w:r>
      <w:proofErr w:type="spellStart"/>
      <w:r w:rsidR="00E64A5A">
        <w:rPr>
          <w:sz w:val="24"/>
          <w:lang w:val="pl-PL"/>
        </w:rPr>
        <w:t>Schengen</w:t>
      </w:r>
      <w:proofErr w:type="spellEnd"/>
      <w:r w:rsidR="00E64A5A">
        <w:rPr>
          <w:sz w:val="24"/>
          <w:lang w:val="pl-PL"/>
        </w:rPr>
        <w:t>)</w:t>
      </w:r>
      <w:r w:rsidRPr="0026668F">
        <w:rPr>
          <w:sz w:val="24"/>
          <w:lang w:val="pl-PL"/>
        </w:rPr>
        <w:t xml:space="preserve"> </w:t>
      </w:r>
      <w:r w:rsidR="00E64A5A">
        <w:rPr>
          <w:sz w:val="24"/>
          <w:lang w:val="pl-PL"/>
        </w:rPr>
        <w:t>(</w:t>
      </w:r>
      <w:r w:rsidRPr="0026668F">
        <w:rPr>
          <w:sz w:val="24"/>
          <w:lang w:val="pl-PL"/>
        </w:rPr>
        <w:t xml:space="preserve">Dz.U. L 77 z 23.3.2016, </w:t>
      </w:r>
      <w:proofErr w:type="gramStart"/>
      <w:r w:rsidRPr="0026668F">
        <w:rPr>
          <w:sz w:val="24"/>
          <w:lang w:val="pl-PL"/>
        </w:rPr>
        <w:t>s</w:t>
      </w:r>
      <w:proofErr w:type="gramEnd"/>
      <w:r w:rsidRPr="0026668F">
        <w:rPr>
          <w:sz w:val="24"/>
          <w:lang w:val="pl-PL"/>
        </w:rPr>
        <w:t>. 1</w:t>
      </w:r>
      <w:r w:rsidR="00E64A5A">
        <w:rPr>
          <w:sz w:val="24"/>
          <w:lang w:val="pl-PL"/>
        </w:rPr>
        <w:t>)</w:t>
      </w:r>
      <w:r w:rsidRPr="0026668F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66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66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66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1/2024"/>
    <w:docVar w:name="dvlangue" w:val="PL"/>
    <w:docVar w:name="dvnumam" w:val="0"/>
    <w:docVar w:name="dvpe" w:val="758.769"/>
    <w:docVar w:name="dvtitre" w:val="Rezolucja Parlamentu Europejskiego z dnia  2024 r. w sprawie obsługi pojazdów ciężarowych na przejściach granicznych na podstawie petycji nr 0146/2023(2024/2540(RSP))"/>
  </w:docVars>
  <w:rsids>
    <w:rsidRoot w:val="00A36F4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668F"/>
    <w:rsid w:val="002767FF"/>
    <w:rsid w:val="002B18FE"/>
    <w:rsid w:val="002B5493"/>
    <w:rsid w:val="00343214"/>
    <w:rsid w:val="00361C00"/>
    <w:rsid w:val="00395FA1"/>
    <w:rsid w:val="00396A02"/>
    <w:rsid w:val="003E15D4"/>
    <w:rsid w:val="0040065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F4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4A5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6D6CCE"/>
  <w15:chartTrackingRefBased/>
  <w15:docId w15:val="{4029DFDC-77DF-4DC3-99F9-12AA930F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96A02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396A0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50DB8-D73C-44C6-9E95-691872F11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1371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3</cp:revision>
  <cp:lastPrinted>2004-11-19T15:42:00Z</cp:lastPrinted>
  <dcterms:created xsi:type="dcterms:W3CDTF">2024-04-10T11:34:00Z</dcterms:created>
  <dcterms:modified xsi:type="dcterms:W3CDTF">2024-04-10T20:48:00Z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B9-0201/2024</vt:lpwstr>
  </property>
  <property fmtid="{D5CDD505-2E9C-101B-9397-08002B2CF9AE}" pid="4" name="&lt;Type&gt;">
    <vt:lpwstr>RR</vt:lpwstr>
  </property>
</Properties>
</file>