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5524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5524A" w:rsidRDefault="00635535" w:rsidP="0010095E">
            <w:pPr>
              <w:pStyle w:val="EPName"/>
            </w:pPr>
            <w:r w:rsidRPr="0075524A">
              <w:t>Parlamento Europeu</w:t>
            </w:r>
          </w:p>
          <w:p w:rsidR="00751A4A" w:rsidRPr="0075524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524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5524A" w:rsidRDefault="00187494" w:rsidP="0010095E">
            <w:pPr>
              <w:pStyle w:val="EPLogo"/>
            </w:pPr>
            <w:r w:rsidRPr="0075524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5524A" w:rsidRDefault="00D058B8" w:rsidP="004C5D52">
      <w:pPr>
        <w:pStyle w:val="LineTop"/>
      </w:pPr>
    </w:p>
    <w:p w:rsidR="00680577" w:rsidRPr="0075524A" w:rsidRDefault="00635535" w:rsidP="00680577">
      <w:pPr>
        <w:pStyle w:val="EPBodyTA1"/>
      </w:pPr>
      <w:r w:rsidRPr="0075524A">
        <w:t>TEXTOS APROVADOS</w:t>
      </w:r>
    </w:p>
    <w:p w:rsidR="00D058B8" w:rsidRPr="0075524A" w:rsidRDefault="00D058B8" w:rsidP="00D058B8">
      <w:pPr>
        <w:pStyle w:val="LineBottom"/>
      </w:pPr>
    </w:p>
    <w:p w:rsidR="00635535" w:rsidRPr="0075524A" w:rsidRDefault="00635535" w:rsidP="00635535">
      <w:pPr>
        <w:pStyle w:val="ATHeading1"/>
      </w:pPr>
      <w:bookmarkStart w:id="0" w:name="TANumber"/>
      <w:r w:rsidRPr="0075524A">
        <w:t>P9_</w:t>
      </w:r>
      <w:proofErr w:type="gramStart"/>
      <w:r w:rsidRPr="0075524A">
        <w:t>TA(</w:t>
      </w:r>
      <w:proofErr w:type="gramEnd"/>
      <w:r w:rsidRPr="0075524A">
        <w:t>2024)</w:t>
      </w:r>
      <w:bookmarkEnd w:id="0"/>
      <w:r w:rsidR="0075524A" w:rsidRPr="0075524A">
        <w:t>0</w:t>
      </w:r>
      <w:r w:rsidR="0075524A" w:rsidRPr="0075524A">
        <w:t>223</w:t>
      </w:r>
    </w:p>
    <w:p w:rsidR="00635535" w:rsidRPr="0075524A" w:rsidRDefault="00635535" w:rsidP="00635535">
      <w:pPr>
        <w:pStyle w:val="ATHeading2"/>
      </w:pPr>
      <w:bookmarkStart w:id="1" w:name="title"/>
      <w:r w:rsidRPr="0075524A">
        <w:t>Tratamento de veículos pesados de mercadorias nos pontos de passagem de fronteira</w:t>
      </w:r>
      <w:bookmarkEnd w:id="1"/>
    </w:p>
    <w:p w:rsidR="00635535" w:rsidRPr="0075524A" w:rsidRDefault="00635535" w:rsidP="00635535">
      <w:pPr>
        <w:rPr>
          <w:i/>
          <w:vanish/>
        </w:rPr>
      </w:pPr>
      <w:r w:rsidRPr="0075524A">
        <w:rPr>
          <w:i/>
        </w:rPr>
        <w:fldChar w:fldCharType="begin"/>
      </w:r>
      <w:r w:rsidRPr="0075524A">
        <w:rPr>
          <w:i/>
        </w:rPr>
        <w:instrText xml:space="preserve"> TC"(</w:instrText>
      </w:r>
      <w:bookmarkStart w:id="2" w:name="DocNumber"/>
      <w:r w:rsidRPr="0075524A">
        <w:rPr>
          <w:i/>
        </w:rPr>
        <w:instrText>B9-0201/2024</w:instrText>
      </w:r>
      <w:bookmarkEnd w:id="2"/>
      <w:r w:rsidRPr="0075524A">
        <w:rPr>
          <w:i/>
        </w:rPr>
        <w:instrText xml:space="preserve">)"\l3 \n&gt; \* MERGEFORMAT </w:instrText>
      </w:r>
      <w:r w:rsidRPr="0075524A">
        <w:rPr>
          <w:i/>
        </w:rPr>
        <w:fldChar w:fldCharType="end"/>
      </w:r>
    </w:p>
    <w:p w:rsidR="00635535" w:rsidRPr="0075524A" w:rsidRDefault="00635535" w:rsidP="00635535">
      <w:pPr>
        <w:rPr>
          <w:vanish/>
        </w:rPr>
      </w:pPr>
      <w:bookmarkStart w:id="3" w:name="PE"/>
      <w:r w:rsidRPr="0075524A">
        <w:rPr>
          <w:vanish/>
        </w:rPr>
        <w:t>PE758.769</w:t>
      </w:r>
      <w:bookmarkEnd w:id="3"/>
    </w:p>
    <w:p w:rsidR="00635535" w:rsidRPr="0075524A" w:rsidRDefault="00635535" w:rsidP="00635535">
      <w:pPr>
        <w:pStyle w:val="ATHeading3"/>
      </w:pPr>
      <w:bookmarkStart w:id="4" w:name="Sujet"/>
      <w:r w:rsidRPr="0075524A">
        <w:t xml:space="preserve">Resolução do Parlamento Europeu, de </w:t>
      </w:r>
      <w:r w:rsidR="00DE2DD5" w:rsidRPr="0075524A">
        <w:t xml:space="preserve">10 </w:t>
      </w:r>
      <w:r w:rsidRPr="0075524A">
        <w:t xml:space="preserve">de </w:t>
      </w:r>
      <w:r w:rsidR="00DE2DD5" w:rsidRPr="0075524A">
        <w:t xml:space="preserve">abril </w:t>
      </w:r>
      <w:r w:rsidRPr="0075524A">
        <w:t>de 2024, sobre o tratamento de veículos pesados de mercadorias nos pontos de passagem de fronteira, com base na Petição n.º 0146/2023</w:t>
      </w:r>
      <w:bookmarkEnd w:id="4"/>
      <w:r w:rsidRPr="0075524A">
        <w:t xml:space="preserve"> </w:t>
      </w:r>
      <w:bookmarkStart w:id="5" w:name="References"/>
      <w:r w:rsidRPr="0075524A">
        <w:t>(2024/2540(RSP))</w:t>
      </w:r>
      <w:bookmarkEnd w:id="5"/>
    </w:p>
    <w:p w:rsidR="00F57345" w:rsidRPr="0075524A" w:rsidRDefault="00F57345" w:rsidP="00F57345">
      <w:pPr>
        <w:pStyle w:val="EPComma"/>
      </w:pPr>
      <w:bookmarkStart w:id="6" w:name="TextBodyBegin"/>
      <w:bookmarkEnd w:id="6"/>
      <w:r w:rsidRPr="0075524A">
        <w:rPr>
          <w:i/>
        </w:rPr>
        <w:t>O Parlamento Europeu,</w:t>
      </w:r>
      <w:bookmarkStart w:id="7" w:name="_GoBack"/>
      <w:bookmarkEnd w:id="7"/>
    </w:p>
    <w:p w:rsidR="00F57345" w:rsidRPr="0075524A" w:rsidRDefault="00F57345" w:rsidP="00F57345">
      <w:pPr>
        <w:pStyle w:val="NormalHanging12a"/>
      </w:pPr>
      <w:r w:rsidRPr="0075524A">
        <w:t>–</w:t>
      </w:r>
      <w:r w:rsidRPr="0075524A">
        <w:tab/>
        <w:t xml:space="preserve">Tendo em conta o artigo 26.º, os artigos 28.º a 37.º e o artigo 67.º, </w:t>
      </w:r>
      <w:proofErr w:type="spellStart"/>
      <w:proofErr w:type="gramStart"/>
      <w:r w:rsidRPr="0075524A">
        <w:t>n.</w:t>
      </w:r>
      <w:r w:rsidRPr="0075524A">
        <w:rPr>
          <w:vertAlign w:val="superscript"/>
        </w:rPr>
        <w:t>os</w:t>
      </w:r>
      <w:proofErr w:type="spellEnd"/>
      <w:proofErr w:type="gramEnd"/>
      <w:r w:rsidRPr="0075524A">
        <w:t xml:space="preserve"> 1 e 2, do Tratado sobre o Funcionamento da União Europeia (TFUE),</w:t>
      </w:r>
    </w:p>
    <w:p w:rsidR="00F57345" w:rsidRPr="0075524A" w:rsidRDefault="00F57345" w:rsidP="00F57345">
      <w:pPr>
        <w:pStyle w:val="NormalHanging12a"/>
      </w:pPr>
      <w:r w:rsidRPr="0075524A">
        <w:t>–</w:t>
      </w:r>
      <w:r w:rsidRPr="0075524A">
        <w:tab/>
        <w:t xml:space="preserve">Tendo em conta as deliberações da Comissão das Petições sobre a </w:t>
      </w:r>
      <w:r w:rsidR="000442F8" w:rsidRPr="0075524A">
        <w:t xml:space="preserve">Petição </w:t>
      </w:r>
      <w:r w:rsidRPr="0075524A">
        <w:t>n.º 0146/2023, na sua reunião de 29 de novembro de 2023,</w:t>
      </w:r>
    </w:p>
    <w:p w:rsidR="00F57345" w:rsidRPr="0075524A" w:rsidRDefault="00F57345" w:rsidP="00F57345">
      <w:pPr>
        <w:pStyle w:val="NormalHanging12a"/>
        <w:rPr>
          <w:bCs/>
          <w:szCs w:val="24"/>
          <w:shd w:val="clear" w:color="auto" w:fill="FFFFFF"/>
        </w:rPr>
      </w:pPr>
      <w:r w:rsidRPr="0075524A">
        <w:t>–</w:t>
      </w:r>
      <w:r w:rsidRPr="0075524A">
        <w:tab/>
        <w:t xml:space="preserve">Tendo em conta a audição pública intitulada «Fronteiras Schengen – questões levantadas pelos peticionários», realizada conjuntamente, em </w:t>
      </w:r>
      <w:r w:rsidRPr="0075524A">
        <w:rPr>
          <w:shd w:val="clear" w:color="auto" w:fill="FFFFFF"/>
        </w:rPr>
        <w:t>18 de julho de 2023, pela Comissão das Petições, em associação com a Comissão das Liberdades Cívicas, da Justiça e dos Assuntos Internos,</w:t>
      </w:r>
    </w:p>
    <w:p w:rsidR="00F57345" w:rsidRPr="0075524A" w:rsidRDefault="00F57345" w:rsidP="00F57345">
      <w:pPr>
        <w:pStyle w:val="NormalHanging12a"/>
      </w:pPr>
      <w:r w:rsidRPr="0075524A">
        <w:t>–</w:t>
      </w:r>
      <w:r w:rsidRPr="0075524A">
        <w:tab/>
        <w:t>Tendo em conta a Comunicação da Comissão, de 16 de novembro de 2022, intitulada «Reforçar Schengen com a plena participação da Bulgária, da Roménia e da Croácia no espaço sem controlos nas fronteiras internas» (</w:t>
      </w:r>
      <w:proofErr w:type="gramStart"/>
      <w:r w:rsidRPr="0075524A">
        <w:t>COM(</w:t>
      </w:r>
      <w:proofErr w:type="gramEnd"/>
      <w:r w:rsidRPr="0075524A">
        <w:t>2022)0636),</w:t>
      </w:r>
    </w:p>
    <w:p w:rsidR="00F57345" w:rsidRPr="0075524A" w:rsidRDefault="00F57345" w:rsidP="00F57345">
      <w:pPr>
        <w:pStyle w:val="NormalHanging12a"/>
      </w:pPr>
      <w:r w:rsidRPr="0075524A">
        <w:t>–</w:t>
      </w:r>
      <w:r w:rsidRPr="0075524A">
        <w:tab/>
        <w:t>Tendo em conta as suas resoluções, de 18 de outubro de 2022, sobre a adesão da Roménia e da Bulgária ao espaço Schengen</w:t>
      </w:r>
      <w:r w:rsidRPr="0075524A">
        <w:rPr>
          <w:rStyle w:val="FootnoteReference"/>
          <w:color w:val="000000"/>
        </w:rPr>
        <w:footnoteReference w:id="1"/>
      </w:r>
      <w:r w:rsidRPr="0075524A">
        <w:t xml:space="preserve"> e, de 12 de julho de 2023, sobre a adesão ao espaço Schengen</w:t>
      </w:r>
      <w:r w:rsidRPr="0075524A">
        <w:rPr>
          <w:rStyle w:val="FootnoteReference"/>
          <w:color w:val="000000"/>
        </w:rPr>
        <w:footnoteReference w:id="2"/>
      </w:r>
      <w:r w:rsidRPr="0075524A">
        <w:t>,</w:t>
      </w:r>
    </w:p>
    <w:p w:rsidR="00F57345" w:rsidRPr="0075524A" w:rsidRDefault="00F57345" w:rsidP="00F57345">
      <w:pPr>
        <w:pStyle w:val="NormalHanging12a"/>
      </w:pPr>
      <w:r w:rsidRPr="0075524A">
        <w:t>–</w:t>
      </w:r>
      <w:r w:rsidRPr="0075524A">
        <w:tab/>
        <w:t>Tendo em conta a decisão unânime do Conselho, de 30 de dezembro de 2023, de acolher a Roménia e a Bulgária no espaço Schengen, começando pela supressão dos controlos nas fronteiras aéreas e marítimas, a partir de março de 2024,</w:t>
      </w:r>
    </w:p>
    <w:p w:rsidR="00F57345" w:rsidRPr="0075524A" w:rsidRDefault="00F57345" w:rsidP="00F57345">
      <w:pPr>
        <w:pStyle w:val="NormalHanging12a"/>
      </w:pPr>
      <w:r w:rsidRPr="0075524A">
        <w:t>–</w:t>
      </w:r>
      <w:r w:rsidRPr="0075524A">
        <w:tab/>
        <w:t xml:space="preserve">Tendo em conta a sua Resolução, de 25 de novembro de 2021, sobre a segurança das </w:t>
      </w:r>
      <w:r w:rsidRPr="0075524A">
        <w:lastRenderedPageBreak/>
        <w:t>áreas de estacionamento para camiões na UE</w:t>
      </w:r>
      <w:r w:rsidRPr="0075524A">
        <w:rPr>
          <w:rStyle w:val="FootnoteReference"/>
          <w:color w:val="000000"/>
        </w:rPr>
        <w:footnoteReference w:id="3"/>
      </w:r>
      <w:r w:rsidRPr="0075524A">
        <w:t>,</w:t>
      </w:r>
    </w:p>
    <w:p w:rsidR="00F57345" w:rsidRPr="0075524A" w:rsidRDefault="00F57345" w:rsidP="00F57345">
      <w:pPr>
        <w:pStyle w:val="NormalHanging12a"/>
      </w:pPr>
      <w:r w:rsidRPr="0075524A">
        <w:t>–</w:t>
      </w:r>
      <w:r w:rsidRPr="0075524A">
        <w:tab/>
        <w:t>Tendo em conta a sua Resolução, de 9 de maio de 2023, sobre o novo quadro da UE para a mobilidade urbana</w:t>
      </w:r>
      <w:r w:rsidRPr="0075524A">
        <w:rPr>
          <w:rStyle w:val="FootnoteReference"/>
          <w:color w:val="000000"/>
        </w:rPr>
        <w:footnoteReference w:id="4"/>
      </w:r>
      <w:r w:rsidRPr="0075524A">
        <w:t>,</w:t>
      </w:r>
    </w:p>
    <w:p w:rsidR="00F57345" w:rsidRPr="0075524A" w:rsidRDefault="00F57345" w:rsidP="00F57345">
      <w:pPr>
        <w:pStyle w:val="NormalHanging12a"/>
      </w:pPr>
      <w:r w:rsidRPr="0075524A">
        <w:t>–</w:t>
      </w:r>
      <w:r w:rsidRPr="0075524A">
        <w:tab/>
        <w:t>Tendo em conta a sua Resolução, de 13 de junho de 2023, sobre grandes projetos de infraestruturas de transportes na UE: execução dos projetos e acompanhamento e controlo dos fundos da UE</w:t>
      </w:r>
      <w:r w:rsidRPr="0075524A">
        <w:rPr>
          <w:rStyle w:val="FootnoteReference"/>
          <w:color w:val="000000"/>
        </w:rPr>
        <w:footnoteReference w:id="5"/>
      </w:r>
      <w:r w:rsidRPr="0075524A">
        <w:t>,</w:t>
      </w:r>
    </w:p>
    <w:p w:rsidR="00F57345" w:rsidRPr="0075524A" w:rsidRDefault="00F57345" w:rsidP="00F57345">
      <w:pPr>
        <w:pStyle w:val="NormalHanging12a"/>
      </w:pPr>
      <w:r w:rsidRPr="0075524A">
        <w:t>–</w:t>
      </w:r>
      <w:r w:rsidRPr="0075524A">
        <w:tab/>
        <w:t>Tendo em conta a proposta de regulamento relativo às orientações da União para o desenvolvimento da rede transeuropeia de transportes, que altera o Regulamento (UE) 2021/1153 e o Regulamento (UE) n.º 913/2010 e revoga o Regulamento (UE) n.º 1315/2013 (</w:t>
      </w:r>
      <w:proofErr w:type="gramStart"/>
      <w:r w:rsidRPr="0075524A">
        <w:t>COM(</w:t>
      </w:r>
      <w:proofErr w:type="gramEnd"/>
      <w:r w:rsidRPr="0075524A">
        <w:t>2021)0812),</w:t>
      </w:r>
    </w:p>
    <w:p w:rsidR="00F57345" w:rsidRPr="0075524A" w:rsidRDefault="00F57345" w:rsidP="00F57345">
      <w:pPr>
        <w:pStyle w:val="NormalHanging12a"/>
      </w:pPr>
      <w:r w:rsidRPr="0075524A">
        <w:t>–</w:t>
      </w:r>
      <w:r w:rsidRPr="0075524A">
        <w:tab/>
        <w:t>Tendo em conta o artigo 227.º, n.º 2, do seu Regimento,</w:t>
      </w:r>
    </w:p>
    <w:p w:rsidR="00F57345" w:rsidRPr="0075524A" w:rsidRDefault="00F57345" w:rsidP="00F57345">
      <w:pPr>
        <w:pStyle w:val="NormalHanging12a"/>
      </w:pPr>
      <w:r w:rsidRPr="0075524A">
        <w:t>A.</w:t>
      </w:r>
      <w:r w:rsidRPr="0075524A">
        <w:tab/>
        <w:t>Considerando que centenas de veículos de mercadorias são retidos diariamente nas fronteiras internas da UE, incluindo as fronteiras entre os Estados-Membros que pertencem ao espaço Schengen e os que não pertencem, onde enfrentam tempos de espera extremamente longos e atrasos, devido ao tratamento e aos controlos</w:t>
      </w:r>
      <w:r w:rsidR="00DE2DD5" w:rsidRPr="0075524A">
        <w:t>; considerando que</w:t>
      </w:r>
      <w:r w:rsidRPr="0075524A">
        <w:t xml:space="preserve"> o atual quadro jurídico europeu não aborda, nem regula especificamente a duração máxima do tratamento de mercadorias nas fronteiras;</w:t>
      </w:r>
    </w:p>
    <w:p w:rsidR="00F57345" w:rsidRPr="0075524A" w:rsidRDefault="00F57345" w:rsidP="00F57345">
      <w:pPr>
        <w:pStyle w:val="NormalHanging12a"/>
      </w:pPr>
      <w:r w:rsidRPr="0075524A">
        <w:t>B.</w:t>
      </w:r>
      <w:r w:rsidRPr="0075524A">
        <w:tab/>
        <w:t>Considerando que as razões para estas filas de espera e atrasos nas fronteiras dos Estados-Membros podem ser atribuídas a múltiplos fatores administrativos, operacionais, de segurança, técnicos ou de interoperabilidade, como a insuficiente capacidade operacional e técnica, a escassez de pessoal, de balcões de controlo ou de pontes-básculas para veículos de mercadorias, bem como a concentração de muitos organismos institucionais nas fronteiras e os controlos demorados da mercadoria</w:t>
      </w:r>
      <w:r w:rsidR="00DE2DD5" w:rsidRPr="0075524A">
        <w:t>; considerando que</w:t>
      </w:r>
      <w:r w:rsidRPr="0075524A">
        <w:t xml:space="preserve"> o artigo 22.º do Código das Fronteiras Schengen</w:t>
      </w:r>
      <w:r w:rsidRPr="0075524A">
        <w:rPr>
          <w:rStyle w:val="FootnoteReference"/>
          <w:color w:val="000000"/>
        </w:rPr>
        <w:footnoteReference w:id="6"/>
      </w:r>
      <w:r w:rsidRPr="0075524A">
        <w:t xml:space="preserve"> consagra o princípio da ausência de controlos nas fronteiras internas entre os países Schengen, em conformidade com o princípio da livre circulação, definido no artigo 26.º, n.º 2, do TFUE, e que o artigo 24.º estabelece especificamente que os Estados-Membros devem eliminar todos os obstáculos à fluidez do tráfego através dos pontos de passagem rodoviários nas fronteiras internas;</w:t>
      </w:r>
    </w:p>
    <w:p w:rsidR="00F57345" w:rsidRPr="0075524A" w:rsidRDefault="00F57345" w:rsidP="00F57345">
      <w:pPr>
        <w:pStyle w:val="NormalHanging12a"/>
      </w:pPr>
      <w:proofErr w:type="gramStart"/>
      <w:r w:rsidRPr="0075524A">
        <w:t>C.</w:t>
      </w:r>
      <w:r w:rsidRPr="0075524A">
        <w:tab/>
        <w:t>Considerando</w:t>
      </w:r>
      <w:proofErr w:type="gramEnd"/>
      <w:r w:rsidRPr="0075524A">
        <w:t xml:space="preserve"> que a acumulação nas fronteiras de veículos pesados de mercadorias matriculados na UE pode ter um impacto negativo na saúde e nas condições de trabalho dos condutores, na segurança rodoviária e no funcionamento das empresas de transporte de mercadorias, bem como na concorrência e no funcionamento do mercado único da UE, o que acarreta um aumento dos custos dos transportadores rodoviários de mercadorias;</w:t>
      </w:r>
    </w:p>
    <w:p w:rsidR="00F57345" w:rsidRPr="0075524A" w:rsidRDefault="00F57345" w:rsidP="00F57345">
      <w:pPr>
        <w:pStyle w:val="NormalHanging12a"/>
      </w:pPr>
      <w:r w:rsidRPr="0075524A">
        <w:t>D.</w:t>
      </w:r>
      <w:r w:rsidRPr="0075524A">
        <w:tab/>
        <w:t xml:space="preserve">Considerando que a Bulgária e a Roménia continuam à espera de uma decisão do Conselho sobre a data de supressão dos controlos nas fronteiras terrestres internas, que a </w:t>
      </w:r>
      <w:r w:rsidRPr="0075524A">
        <w:lastRenderedPageBreak/>
        <w:t>supressão das verificações e dos controlos nas fronteiras terrestres internas teria um impacto positivo na participação da Roménia e da Bulgária no mercado único da UE, eliminando os obstáculos à mobilidade, que estão a causar atrasos nas atividades empresariais, em consequência da perturbação nos horários de entrega das mercadorias;</w:t>
      </w:r>
    </w:p>
    <w:p w:rsidR="00F57345" w:rsidRPr="0075524A" w:rsidRDefault="00F57345" w:rsidP="00F57345">
      <w:pPr>
        <w:pStyle w:val="NormalHanging12a"/>
      </w:pPr>
      <w:r w:rsidRPr="0075524A">
        <w:t>E.</w:t>
      </w:r>
      <w:r w:rsidRPr="0075524A">
        <w:tab/>
        <w:t>Considerando que os atrasos infligidos aos veículos de mercadorias nas fronteiras provocam perdas de centenas de milhões de euros para as empresas europeias, nomeadamente nos setores da logística, do turismo e da hotelaria</w:t>
      </w:r>
      <w:r w:rsidR="00DE2DD5" w:rsidRPr="0075524A">
        <w:t>; considerando que</w:t>
      </w:r>
      <w:r w:rsidRPr="0075524A">
        <w:t xml:space="preserve"> os riscos associados a estas restrições na passagem das fronteiras se tornaram particularmente evidentes durante a pandemia de COVID-19</w:t>
      </w:r>
      <w:r w:rsidR="00DE2DD5" w:rsidRPr="0075524A">
        <w:t>; considerando que</w:t>
      </w:r>
      <w:r w:rsidRPr="0075524A">
        <w:t xml:space="preserve"> a manutenção do </w:t>
      </w:r>
      <w:proofErr w:type="spellStart"/>
      <w:r w:rsidRPr="0075524A">
        <w:t>statu</w:t>
      </w:r>
      <w:proofErr w:type="spellEnd"/>
      <w:r w:rsidRPr="0075524A">
        <w:t xml:space="preserve"> quo enfraquece consideravelmente a resiliência da UE face a outras potenciais emergências de saúde pública;</w:t>
      </w:r>
    </w:p>
    <w:p w:rsidR="00F57345" w:rsidRPr="0075524A" w:rsidRDefault="00F57345" w:rsidP="00F57345">
      <w:pPr>
        <w:pStyle w:val="NormalHanging12a"/>
      </w:pPr>
      <w:proofErr w:type="gramStart"/>
      <w:r w:rsidRPr="0075524A">
        <w:t>F.</w:t>
      </w:r>
      <w:r w:rsidRPr="0075524A">
        <w:tab/>
        <w:t>Considerando</w:t>
      </w:r>
      <w:proofErr w:type="gramEnd"/>
      <w:r w:rsidRPr="0075524A">
        <w:t xml:space="preserve"> que a extensão das filas de veículos de mercadorias nas fronteiras externas da UE com os países dos Balcãs Ocidentais é particularmente preocupante;</w:t>
      </w:r>
    </w:p>
    <w:p w:rsidR="00F57345" w:rsidRPr="0075524A" w:rsidRDefault="00F57345" w:rsidP="00F57345">
      <w:pPr>
        <w:pStyle w:val="NormalHanging12a"/>
      </w:pPr>
      <w:r w:rsidRPr="0075524A">
        <w:t>G.</w:t>
      </w:r>
      <w:r w:rsidRPr="0075524A">
        <w:tab/>
        <w:t>Considerando que estes acontecimentos põem gravemente em perigo a saúde e a segurança dos condutores profissionais, comprometem as suas condições de trabalho e deterioram a qualidade dos empregos na profissão, contribuindo, além disso, para a escassez mundial de camionistas</w:t>
      </w:r>
      <w:r w:rsidR="00DE2DD5" w:rsidRPr="0075524A">
        <w:t>; considerando que</w:t>
      </w:r>
      <w:r w:rsidRPr="0075524A">
        <w:t xml:space="preserve"> os camionistas, em todos os Estados-Membros da UE, sofrem frequentemente de múltiplas formas de dor crónica, como dores lombares, nos joelhos e nos ombros</w:t>
      </w:r>
      <w:r w:rsidR="00DE2DD5" w:rsidRPr="0075524A">
        <w:t>; considerando que</w:t>
      </w:r>
      <w:r w:rsidRPr="0075524A">
        <w:t>, ao mesmo tempo, a frequente exigência arbitrária de descarregar e recarregar mercadorias acarreta riscos adicionais significativos para a saúde, provocando frequentemente lesões, já que os camionistas podem, muitas vezes, não dispor da força física necessária ou de equipamento adequado para levantar os pesos pesados em causa</w:t>
      </w:r>
      <w:r w:rsidR="00DE2DD5" w:rsidRPr="0075524A">
        <w:t>; considerando que</w:t>
      </w:r>
      <w:r w:rsidRPr="0075524A">
        <w:t xml:space="preserve"> os empregadores impõem aleatoriamente este dever e responsabilidade aos camionistas, sem que lhes seja concedida qualquer remuneração adicional;</w:t>
      </w:r>
    </w:p>
    <w:p w:rsidR="00F57345" w:rsidRPr="0075524A" w:rsidRDefault="00F57345" w:rsidP="00F57345">
      <w:pPr>
        <w:pStyle w:val="NormalHanging12a"/>
      </w:pPr>
      <w:proofErr w:type="gramStart"/>
      <w:r w:rsidRPr="0075524A">
        <w:t>H.</w:t>
      </w:r>
      <w:r w:rsidRPr="0075524A">
        <w:tab/>
        <w:t>Considerando</w:t>
      </w:r>
      <w:proofErr w:type="gramEnd"/>
      <w:r w:rsidRPr="0075524A">
        <w:t xml:space="preserve"> que as filas de veículos de mercadorias nas fronteiras afetam diretamente a saúde dos cidadãos europeus, tendo um impacto negativo na qualidade do ar e causando poluição sonora e da água, além de deteriorar os sítios Natura 2000</w:t>
      </w:r>
      <w:r w:rsidR="00DE2DD5" w:rsidRPr="0075524A">
        <w:t>; considerando que</w:t>
      </w:r>
      <w:r w:rsidRPr="0075524A">
        <w:t>, por exemplo, a comunicação da Comissão de 16 de maio de 2023 sublinhou que são emitidas anualmente 46 000 toneladas de CO</w:t>
      </w:r>
      <w:r w:rsidRPr="0075524A">
        <w:rPr>
          <w:vertAlign w:val="subscript"/>
        </w:rPr>
        <w:t>2</w:t>
      </w:r>
      <w:r w:rsidRPr="0075524A">
        <w:t>, decorrentes da persistência dos controlos nas fronteiras internas para a Roménia e a Bulgária;</w:t>
      </w:r>
    </w:p>
    <w:p w:rsidR="00F57345" w:rsidRPr="0075524A" w:rsidRDefault="00F57345" w:rsidP="00F57345">
      <w:pPr>
        <w:pStyle w:val="NormalHanging12a"/>
      </w:pPr>
      <w:proofErr w:type="gramStart"/>
      <w:r w:rsidRPr="0075524A">
        <w:t>I.</w:t>
      </w:r>
      <w:r w:rsidRPr="0075524A">
        <w:tab/>
        <w:t>Considerando</w:t>
      </w:r>
      <w:proofErr w:type="gramEnd"/>
      <w:r w:rsidRPr="0075524A">
        <w:t xml:space="preserve"> que o congestionamento dos veículos de mercadorias também degrada a qualidade das infraestruturas existentes, criando ao mesmo tempo obstáculos à segurança rodoviária e aumentando o risco de acidentes rodoviários;</w:t>
      </w:r>
    </w:p>
    <w:p w:rsidR="00F57345" w:rsidRPr="0075524A" w:rsidRDefault="00F57345" w:rsidP="00F57345">
      <w:pPr>
        <w:pStyle w:val="NormalHanging12a"/>
      </w:pPr>
      <w:proofErr w:type="gramStart"/>
      <w:r w:rsidRPr="0075524A">
        <w:t>J.</w:t>
      </w:r>
      <w:r w:rsidRPr="0075524A">
        <w:tab/>
        <w:t>Considerando</w:t>
      </w:r>
      <w:proofErr w:type="gramEnd"/>
      <w:r w:rsidRPr="0075524A">
        <w:t xml:space="preserve"> que o aumento do financiamento público e privado de zonas de estacionamento seguras e protegidas para camiões é necessário para permitir aos condutores fazerem pausas em total segurança</w:t>
      </w:r>
      <w:r w:rsidR="00DE2DD5" w:rsidRPr="0075524A">
        <w:t>; considerando que</w:t>
      </w:r>
      <w:r w:rsidRPr="0075524A">
        <w:t xml:space="preserve"> o reforço de instrumentos de segurança, por exemplo através do desenvolvimento de aplicações móveis específicas, reduziria o risco de os camionistas serem vítimas de crimes;</w:t>
      </w:r>
    </w:p>
    <w:p w:rsidR="00F57345" w:rsidRPr="0075524A" w:rsidRDefault="00F57345" w:rsidP="00F57345">
      <w:pPr>
        <w:pStyle w:val="NormalHanging12a"/>
      </w:pPr>
      <w:r w:rsidRPr="0075524A">
        <w:t>1.</w:t>
      </w:r>
      <w:r w:rsidRPr="0075524A">
        <w:tab/>
        <w:t>Insta o Parlamento, o Conselho e a Comissão a centrarem-se em medidas específicas para assegurar uma passagem de fronteiras fluida e eficaz para o transporte de mercadorias, aquando do desenvolvimento de políticas-chave da UE, como é o caso da rede transeuropeia de transportes;</w:t>
      </w:r>
    </w:p>
    <w:p w:rsidR="00F57345" w:rsidRPr="0075524A" w:rsidRDefault="00F57345" w:rsidP="00F57345">
      <w:pPr>
        <w:pStyle w:val="NormalHanging12a"/>
      </w:pPr>
      <w:r w:rsidRPr="0075524A">
        <w:lastRenderedPageBreak/>
        <w:t>2.</w:t>
      </w:r>
      <w:r w:rsidRPr="0075524A">
        <w:tab/>
        <w:t xml:space="preserve">Solicita à Comissão que, na sequência de uma avaliação de impacto sobre os temas descritos na presente proposta de resolução, proponha medidas legislativas imediatas e vinculativas para criar uma norma à escala da UE de um minuto, em média, para o tratamento de veículos pesados de mercadorias nos pontos de passagem fronteiriços </w:t>
      </w:r>
      <w:proofErr w:type="spellStart"/>
      <w:r w:rsidRPr="0075524A">
        <w:t>intra-UE</w:t>
      </w:r>
      <w:proofErr w:type="spellEnd"/>
      <w:r w:rsidRPr="0075524A">
        <w:t>, a fim de garantir a fluidez nas fronteiras internas Schengen e não Schengen, permitindo a circulação rápida e eficiente de bens e serviços; salienta que tal medida melhoraria significativamente a competitividade do setor dos transportes rodoviários e asseguraria o seu bom funcionamento no mercado único; frisa que a persistência dos controlos nas fronteiras terrestres prejudica os interesses económicos de todos os Estados-Membros;</w:t>
      </w:r>
    </w:p>
    <w:p w:rsidR="00F57345" w:rsidRPr="0075524A" w:rsidRDefault="00F57345" w:rsidP="00F57345">
      <w:pPr>
        <w:pStyle w:val="NormalHanging12a"/>
      </w:pPr>
      <w:r w:rsidRPr="0075524A">
        <w:t>3.</w:t>
      </w:r>
      <w:r w:rsidRPr="0075524A">
        <w:tab/>
        <w:t>Salienta que a Comissão tem vindo a reiterar, desde 2011, que tanto a Roménia como a Bulgária cumpriram todos os critérios formais para a sua adesão ao espaço Schengen; frisa que a decisão do Conselho, de 30 de dezembro de 2023, de suprimir os controlos nas fronteiras aéreas e marítimas na Roménia e na Bulgária dá resposta, apenas parcialmente, à questão da atual distorção do mercado único; sublinha que esta decisão é insuficiente para resolver a questão mais importante e mais premente, designadamente a passagem das fronteiras terrestres, onde persistem os controlos na fronteira terrestre do espaço Schengen, dificultando a passagem fluida de veículos de mercadorias, autocarros, automóveis particulares e comboios; reitera a sua posição, de longa data, de apoio à plena aplicação do acervo de Schengen à Bulgária e à Roménia; exorta a Presidência belga e todos os membros do Conselho a adotarem o mais rapidamente possível, e o mais tardar até meados de 2024, uma decisão sobre a plena aplicação do acervo de Schengen na Roménia e na Bulgária;</w:t>
      </w:r>
    </w:p>
    <w:p w:rsidR="00F57345" w:rsidRPr="0075524A" w:rsidRDefault="00F57345" w:rsidP="00F57345">
      <w:pPr>
        <w:pStyle w:val="NormalHanging12a"/>
      </w:pPr>
      <w:proofErr w:type="gramStart"/>
      <w:r w:rsidRPr="0075524A">
        <w:t>4.</w:t>
      </w:r>
      <w:r w:rsidRPr="0075524A">
        <w:tab/>
        <w:t>Solicita</w:t>
      </w:r>
      <w:proofErr w:type="gramEnd"/>
      <w:r w:rsidRPr="0075524A">
        <w:t>, por conseguinte, que a Comissão garanta o cumprimento e o controlo da aplicação das medidas tomadas, inclusivamente através da imposição de sanções; sublinha a necessidade de financiamento e apoio técnico adequados e suficientes por parte da União;</w:t>
      </w:r>
    </w:p>
    <w:p w:rsidR="00F57345" w:rsidRPr="0075524A" w:rsidRDefault="00F57345" w:rsidP="00F57345">
      <w:pPr>
        <w:pStyle w:val="NormalHanging12a"/>
      </w:pPr>
      <w:r w:rsidRPr="0075524A">
        <w:t>5.</w:t>
      </w:r>
      <w:r w:rsidRPr="0075524A">
        <w:tab/>
        <w:t>Apela à Comissão e aos Estados-Membros para que a legislação da UE permita aos camionistas utilizarem passagens de fronteira de menor dimensão, quando as principais artérias forem encerradas para obras de manutenção das estradas, a fim de evitar que os condutores fiquem dependentes de ações arbitrárias de cada país, uma vez que se trata de uma questão de interesse geral para a UE;</w:t>
      </w:r>
    </w:p>
    <w:p w:rsidR="00F57345" w:rsidRPr="0075524A" w:rsidRDefault="00F57345" w:rsidP="00F57345">
      <w:pPr>
        <w:pStyle w:val="NormalHanging12a"/>
      </w:pPr>
      <w:r w:rsidRPr="0075524A">
        <w:t>6.</w:t>
      </w:r>
      <w:r w:rsidRPr="0075524A">
        <w:tab/>
        <w:t>Convida a Comissão, em cooperação com os Estados-Membros e as partes interessadas pertinentes, a apresentar medidas concretas para fazer face à escassez de condutores profissionais na UE, estimulando o interesse dos jovens através do financiamento de formações, requalificações e qualificações específicas, bem como através da promoção de parcerias entre escolas profissionais e empresas de transportes, nomeadamente com apoio orçamental específico da UE;</w:t>
      </w:r>
    </w:p>
    <w:p w:rsidR="00F57345" w:rsidRPr="0075524A" w:rsidRDefault="00F57345" w:rsidP="00F57345">
      <w:pPr>
        <w:pStyle w:val="NormalHanging12a"/>
      </w:pPr>
      <w:proofErr w:type="gramStart"/>
      <w:r w:rsidRPr="0075524A">
        <w:t>7.</w:t>
      </w:r>
      <w:r w:rsidRPr="0075524A">
        <w:tab/>
        <w:t>Insta</w:t>
      </w:r>
      <w:proofErr w:type="gramEnd"/>
      <w:r w:rsidRPr="0075524A">
        <w:t xml:space="preserve"> os Estados-Membros a continuarem a redobrar os seus esforços para reforçar a cooperação transfronteiriça em matéria de furto de mercadoria deste tipo de veículos;</w:t>
      </w:r>
    </w:p>
    <w:p w:rsidR="00E365E1" w:rsidRPr="0075524A" w:rsidRDefault="00F57345" w:rsidP="00A35686">
      <w:pPr>
        <w:pStyle w:val="NormalHanging12a"/>
      </w:pPr>
      <w:proofErr w:type="gramStart"/>
      <w:r w:rsidRPr="0075524A">
        <w:t>8.</w:t>
      </w:r>
      <w:r w:rsidRPr="0075524A">
        <w:tab/>
        <w:t>Encarrega</w:t>
      </w:r>
      <w:proofErr w:type="gramEnd"/>
      <w:r w:rsidRPr="0075524A">
        <w:t xml:space="preserve"> a sua Presidente de transmitir a presente resolução à Comissão, ao Conselho e às autoridades nacionais pertinentes.</w:t>
      </w:r>
    </w:p>
    <w:sectPr w:rsidR="00E365E1" w:rsidRPr="0075524A" w:rsidSect="009055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535" w:rsidRPr="009055CE" w:rsidRDefault="00635535">
      <w:r w:rsidRPr="009055CE">
        <w:separator/>
      </w:r>
    </w:p>
  </w:endnote>
  <w:endnote w:type="continuationSeparator" w:id="0">
    <w:p w:rsidR="00635535" w:rsidRPr="009055CE" w:rsidRDefault="00635535">
      <w:r w:rsidRPr="009055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55C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55C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55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535" w:rsidRPr="009055CE" w:rsidRDefault="00635535">
      <w:r w:rsidRPr="009055CE">
        <w:separator/>
      </w:r>
    </w:p>
  </w:footnote>
  <w:footnote w:type="continuationSeparator" w:id="0">
    <w:p w:rsidR="00635535" w:rsidRPr="009055CE" w:rsidRDefault="00635535">
      <w:r w:rsidRPr="009055CE">
        <w:continuationSeparator/>
      </w:r>
    </w:p>
  </w:footnote>
  <w:footnote w:id="1">
    <w:p w:rsidR="00F57345" w:rsidRPr="009055CE" w:rsidRDefault="00F57345" w:rsidP="009055CE">
      <w:pPr>
        <w:pStyle w:val="FootnoteText"/>
        <w:ind w:left="567" w:hanging="567"/>
        <w:rPr>
          <w:sz w:val="24"/>
          <w:lang w:val="pt-PT"/>
        </w:rPr>
      </w:pPr>
      <w:r w:rsidRPr="009055CE">
        <w:rPr>
          <w:rStyle w:val="FootnoteReference"/>
          <w:sz w:val="24"/>
          <w:lang w:val="pt-PT"/>
        </w:rPr>
        <w:footnoteRef/>
      </w:r>
      <w:r w:rsidR="009055CE" w:rsidRPr="009055CE">
        <w:rPr>
          <w:sz w:val="24"/>
          <w:lang w:val="pt-PT"/>
        </w:rPr>
        <w:t xml:space="preserve"> </w:t>
      </w:r>
      <w:r w:rsidR="009055CE" w:rsidRPr="009055CE">
        <w:rPr>
          <w:sz w:val="24"/>
          <w:lang w:val="pt-PT"/>
        </w:rPr>
        <w:tab/>
      </w:r>
      <w:r w:rsidRPr="009055CE">
        <w:rPr>
          <w:sz w:val="24"/>
          <w:lang w:val="pt-PT"/>
        </w:rPr>
        <w:t>JO C 149 de 28.4.2023, p. 11.</w:t>
      </w:r>
    </w:p>
  </w:footnote>
  <w:footnote w:id="2">
    <w:p w:rsidR="00F57345" w:rsidRPr="009055CE" w:rsidRDefault="00F57345" w:rsidP="009055CE">
      <w:pPr>
        <w:pStyle w:val="FootnoteText"/>
        <w:ind w:left="567" w:hanging="567"/>
        <w:rPr>
          <w:sz w:val="24"/>
          <w:lang w:val="pt-PT"/>
        </w:rPr>
      </w:pPr>
      <w:r w:rsidRPr="009055CE">
        <w:rPr>
          <w:rStyle w:val="FootnoteReference"/>
          <w:sz w:val="24"/>
          <w:lang w:val="pt-PT"/>
        </w:rPr>
        <w:footnoteRef/>
      </w:r>
      <w:r w:rsidR="009055CE" w:rsidRPr="009055CE">
        <w:rPr>
          <w:sz w:val="24"/>
          <w:lang w:val="pt-PT"/>
        </w:rPr>
        <w:t xml:space="preserve"> </w:t>
      </w:r>
      <w:r w:rsidR="009055CE" w:rsidRPr="009055CE">
        <w:rPr>
          <w:sz w:val="24"/>
          <w:lang w:val="pt-PT"/>
        </w:rPr>
        <w:tab/>
      </w:r>
      <w:r w:rsidRPr="009055CE">
        <w:rPr>
          <w:sz w:val="24"/>
          <w:lang w:val="pt-PT"/>
        </w:rPr>
        <w:t>Textos Aprovados, P9_</w:t>
      </w:r>
      <w:proofErr w:type="gramStart"/>
      <w:r w:rsidRPr="009055CE">
        <w:rPr>
          <w:sz w:val="24"/>
          <w:lang w:val="pt-PT"/>
        </w:rPr>
        <w:t>TA(</w:t>
      </w:r>
      <w:proofErr w:type="gramEnd"/>
      <w:r w:rsidRPr="009055CE">
        <w:rPr>
          <w:sz w:val="24"/>
          <w:lang w:val="pt-PT"/>
        </w:rPr>
        <w:t>2023)0278.</w:t>
      </w:r>
    </w:p>
  </w:footnote>
  <w:footnote w:id="3">
    <w:p w:rsidR="00F57345" w:rsidRPr="009055CE" w:rsidRDefault="00F57345" w:rsidP="009055CE">
      <w:pPr>
        <w:pStyle w:val="FootnoteText"/>
        <w:ind w:left="567" w:hanging="567"/>
        <w:rPr>
          <w:sz w:val="24"/>
          <w:lang w:val="pt-PT"/>
        </w:rPr>
      </w:pPr>
      <w:r w:rsidRPr="009055CE">
        <w:rPr>
          <w:rStyle w:val="FootnoteReference"/>
          <w:sz w:val="24"/>
          <w:lang w:val="pt-PT"/>
        </w:rPr>
        <w:footnoteRef/>
      </w:r>
      <w:r w:rsidR="009055CE" w:rsidRPr="009055CE">
        <w:rPr>
          <w:sz w:val="24"/>
          <w:lang w:val="pt-PT"/>
        </w:rPr>
        <w:t xml:space="preserve"> </w:t>
      </w:r>
      <w:r w:rsidR="009055CE" w:rsidRPr="009055CE">
        <w:rPr>
          <w:sz w:val="24"/>
          <w:lang w:val="pt-PT"/>
        </w:rPr>
        <w:tab/>
      </w:r>
      <w:r w:rsidRPr="009055CE">
        <w:rPr>
          <w:sz w:val="24"/>
          <w:lang w:val="pt-PT"/>
        </w:rPr>
        <w:t>JO C 224 de 8.6.2022, p. 95.</w:t>
      </w:r>
    </w:p>
  </w:footnote>
  <w:footnote w:id="4">
    <w:p w:rsidR="00F57345" w:rsidRPr="0075524A" w:rsidRDefault="00F57345" w:rsidP="009055CE">
      <w:pPr>
        <w:pStyle w:val="FootnoteText"/>
        <w:ind w:left="567" w:hanging="567"/>
        <w:rPr>
          <w:sz w:val="24"/>
          <w:lang w:val="fi-FI"/>
        </w:rPr>
      </w:pPr>
      <w:r w:rsidRPr="009055CE">
        <w:rPr>
          <w:rStyle w:val="FootnoteReference"/>
          <w:sz w:val="24"/>
          <w:lang w:val="pt-PT"/>
        </w:rPr>
        <w:footnoteRef/>
      </w:r>
      <w:r w:rsidR="009055CE" w:rsidRPr="0075524A">
        <w:rPr>
          <w:sz w:val="24"/>
          <w:lang w:val="fi-FI"/>
        </w:rPr>
        <w:t xml:space="preserve"> </w:t>
      </w:r>
      <w:r w:rsidR="009055CE" w:rsidRPr="0075524A">
        <w:rPr>
          <w:sz w:val="24"/>
          <w:lang w:val="fi-FI"/>
        </w:rPr>
        <w:tab/>
      </w:r>
      <w:r w:rsidRPr="0075524A">
        <w:rPr>
          <w:sz w:val="24"/>
          <w:lang w:val="fi-FI"/>
        </w:rPr>
        <w:t xml:space="preserve">JO C, C/2023/1058, 15.12.2023, ELI: </w:t>
      </w:r>
      <w:hyperlink r:id="rId1" w:history="1">
        <w:r w:rsidR="00DE2DD5" w:rsidRPr="0075524A">
          <w:rPr>
            <w:rStyle w:val="Hyperlink"/>
            <w:sz w:val="24"/>
            <w:lang w:val="fi-FI"/>
          </w:rPr>
          <w:t>http://data.europa.eu/eli/C/2023/1058/oj</w:t>
        </w:r>
      </w:hyperlink>
      <w:r w:rsidRPr="0075524A">
        <w:rPr>
          <w:sz w:val="24"/>
          <w:lang w:val="fi-FI"/>
        </w:rPr>
        <w:t>.</w:t>
      </w:r>
    </w:p>
  </w:footnote>
  <w:footnote w:id="5">
    <w:p w:rsidR="00F57345" w:rsidRPr="0075524A" w:rsidRDefault="00F57345" w:rsidP="009055CE">
      <w:pPr>
        <w:pStyle w:val="FootnoteText"/>
        <w:ind w:left="567" w:hanging="567"/>
        <w:rPr>
          <w:sz w:val="24"/>
          <w:lang w:val="fi-FI"/>
        </w:rPr>
      </w:pPr>
      <w:r w:rsidRPr="009055CE">
        <w:rPr>
          <w:rStyle w:val="FootnoteReference"/>
          <w:sz w:val="24"/>
          <w:lang w:val="pt-PT"/>
        </w:rPr>
        <w:footnoteRef/>
      </w:r>
      <w:r w:rsidR="009055CE" w:rsidRPr="0075524A">
        <w:rPr>
          <w:sz w:val="24"/>
          <w:lang w:val="fi-FI"/>
        </w:rPr>
        <w:t xml:space="preserve"> </w:t>
      </w:r>
      <w:r w:rsidR="009055CE" w:rsidRPr="0075524A">
        <w:rPr>
          <w:sz w:val="24"/>
          <w:lang w:val="fi-FI"/>
        </w:rPr>
        <w:tab/>
      </w:r>
      <w:r w:rsidRPr="0075524A">
        <w:rPr>
          <w:sz w:val="24"/>
          <w:lang w:val="fi-FI"/>
        </w:rPr>
        <w:t xml:space="preserve">JO C, C/2024/481, 23.01.2024, ELI: </w:t>
      </w:r>
      <w:hyperlink r:id="rId2" w:history="1">
        <w:r w:rsidR="00DE2DD5" w:rsidRPr="0075524A">
          <w:rPr>
            <w:rStyle w:val="Hyperlink"/>
            <w:sz w:val="24"/>
            <w:lang w:val="fi-FI"/>
          </w:rPr>
          <w:t>http://data.europa.eu/eli/C/2024/481/oj</w:t>
        </w:r>
      </w:hyperlink>
      <w:r w:rsidRPr="0075524A">
        <w:rPr>
          <w:sz w:val="24"/>
          <w:lang w:val="fi-FI"/>
        </w:rPr>
        <w:t>.</w:t>
      </w:r>
    </w:p>
  </w:footnote>
  <w:footnote w:id="6">
    <w:p w:rsidR="00F57345" w:rsidRPr="009055CE" w:rsidRDefault="00F57345" w:rsidP="009055CE">
      <w:pPr>
        <w:pStyle w:val="FootnoteText"/>
        <w:ind w:left="567" w:hanging="567"/>
        <w:rPr>
          <w:sz w:val="24"/>
          <w:lang w:val="pt-PT"/>
        </w:rPr>
      </w:pPr>
      <w:r w:rsidRPr="009055CE">
        <w:rPr>
          <w:rStyle w:val="FootnoteReference"/>
          <w:sz w:val="24"/>
          <w:lang w:val="pt-PT"/>
        </w:rPr>
        <w:footnoteRef/>
      </w:r>
      <w:r w:rsidR="009055CE" w:rsidRPr="009055CE">
        <w:rPr>
          <w:sz w:val="24"/>
          <w:lang w:val="pt-PT"/>
        </w:rPr>
        <w:t xml:space="preserve"> </w:t>
      </w:r>
      <w:r w:rsidR="009055CE" w:rsidRPr="009055CE">
        <w:rPr>
          <w:sz w:val="24"/>
          <w:lang w:val="pt-PT"/>
        </w:rPr>
        <w:tab/>
      </w:r>
      <w:r w:rsidRPr="009055CE">
        <w:rPr>
          <w:sz w:val="24"/>
          <w:lang w:val="pt-PT"/>
        </w:rPr>
        <w:t xml:space="preserve">Regulamento (UE) 2016/399, de 9 de março de 2016, que estabelece o código da União relativo ao regime de passagem de pessoas nas fronteiras (Código das Fronteiras Schengen) </w:t>
      </w:r>
      <w:r w:rsidR="00DE2DD5">
        <w:rPr>
          <w:sz w:val="24"/>
          <w:lang w:val="pt-PT"/>
        </w:rPr>
        <w:t>(</w:t>
      </w:r>
      <w:r w:rsidRPr="009055CE">
        <w:rPr>
          <w:sz w:val="24"/>
          <w:lang w:val="pt-PT"/>
        </w:rPr>
        <w:t>JO L 77 de 23.3.2016, p. 1</w:t>
      </w:r>
      <w:r w:rsidR="00DE2DD5">
        <w:rPr>
          <w:sz w:val="24"/>
          <w:lang w:val="pt-PT"/>
        </w:rPr>
        <w:t>)</w:t>
      </w:r>
      <w:r w:rsidRPr="009055CE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55C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55C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55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01/2024"/>
    <w:docVar w:name="dvlangue" w:val="PT"/>
    <w:docVar w:name="dvnumam" w:val="0"/>
    <w:docVar w:name="dvpe" w:val="758.769"/>
    <w:docVar w:name="dvtitre" w:val="Resolução do Parlamento Europeu, de ... de ... de 2024,_x000d__x000a_ sobre o tratamento de veículos pesados de mercadorias nos pontos de passagem de fronteira, com base na Petição n.º 0146/2023(2024/2540(RSP))"/>
  </w:docVars>
  <w:rsids>
    <w:rsidRoot w:val="00635535"/>
    <w:rsid w:val="00002272"/>
    <w:rsid w:val="000442F8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35535"/>
    <w:rsid w:val="006631B6"/>
    <w:rsid w:val="00680577"/>
    <w:rsid w:val="006F74FA"/>
    <w:rsid w:val="00731ADD"/>
    <w:rsid w:val="00734777"/>
    <w:rsid w:val="00747932"/>
    <w:rsid w:val="00751A4A"/>
    <w:rsid w:val="007552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55CE"/>
    <w:rsid w:val="00930C23"/>
    <w:rsid w:val="0093193B"/>
    <w:rsid w:val="009509D8"/>
    <w:rsid w:val="00950B64"/>
    <w:rsid w:val="00981893"/>
    <w:rsid w:val="00A1687D"/>
    <w:rsid w:val="00A35686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2DD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7345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09B6BA"/>
  <w15:chartTrackingRefBased/>
  <w15:docId w15:val="{081E4151-5505-4199-A3DC-CE304C434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57345"/>
    <w:pPr>
      <w:spacing w:before="480" w:after="240"/>
    </w:pPr>
  </w:style>
  <w:style w:type="paragraph" w:customStyle="1" w:styleId="NormalHanging12a">
    <w:name w:val="NormalHanging12a"/>
    <w:basedOn w:val="Normal"/>
    <w:uiPriority w:val="99"/>
    <w:rsid w:val="00F57345"/>
    <w:pPr>
      <w:spacing w:after="240"/>
      <w:ind w:left="567" w:hanging="567"/>
    </w:pPr>
  </w:style>
  <w:style w:type="character" w:styleId="Hyperlink">
    <w:name w:val="Hyperlink"/>
    <w:basedOn w:val="DefaultParagraphFont"/>
    <w:rsid w:val="00DE2DD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DE2DD5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7552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5524A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4/481/oj" TargetMode="External"/><Relationship Id="rId1" Type="http://schemas.openxmlformats.org/officeDocument/2006/relationships/hyperlink" Target="http://data.europa.eu/eli/C/2023/105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F378E9-0D26-472E-96AD-CE5973795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1676</Words>
  <Characters>9322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2024-04-10T14:50:00Z</dcterms:created>
  <dcterms:modified xsi:type="dcterms:W3CDTF">2024-04-10T14:50:00Z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B9-0201/2024</vt:lpwstr>
  </property>
  <property fmtid="{D5CDD505-2E9C-101B-9397-08002B2CF9AE}" pid="4" name="&lt;Type&gt;">
    <vt:lpwstr>RR</vt:lpwstr>
  </property>
</Properties>
</file>