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71E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171EC" w:rsidRDefault="00D92B79" w:rsidP="0010095E">
            <w:pPr>
              <w:pStyle w:val="EPName"/>
            </w:pPr>
            <w:r w:rsidRPr="008171EC">
              <w:t>Európsky parlament</w:t>
            </w:r>
          </w:p>
          <w:p w:rsidR="00751A4A" w:rsidRPr="008171E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71E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171EC" w:rsidRDefault="00187494" w:rsidP="0010095E">
            <w:pPr>
              <w:pStyle w:val="EPLogo"/>
            </w:pPr>
            <w:r w:rsidRPr="008171E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171EC" w:rsidRDefault="00D058B8" w:rsidP="004C5D52">
      <w:pPr>
        <w:pStyle w:val="LineTop"/>
      </w:pPr>
    </w:p>
    <w:p w:rsidR="00680577" w:rsidRPr="008171EC" w:rsidRDefault="00D92B79" w:rsidP="00680577">
      <w:pPr>
        <w:pStyle w:val="EPBodyTA1"/>
      </w:pPr>
      <w:r w:rsidRPr="008171EC">
        <w:t>PRIJATÉ TEXTY</w:t>
      </w:r>
    </w:p>
    <w:p w:rsidR="00D058B8" w:rsidRPr="008171EC" w:rsidRDefault="00D058B8" w:rsidP="00D058B8">
      <w:pPr>
        <w:pStyle w:val="LineBottom"/>
      </w:pPr>
    </w:p>
    <w:p w:rsidR="00D92B79" w:rsidRPr="008171EC" w:rsidRDefault="00D92B79" w:rsidP="00D92B79">
      <w:pPr>
        <w:pStyle w:val="ATHeading1"/>
      </w:pPr>
      <w:bookmarkStart w:id="0" w:name="TANumber"/>
      <w:r w:rsidRPr="008171EC">
        <w:t>P9_TA(2024)0</w:t>
      </w:r>
      <w:r w:rsidR="008171EC" w:rsidRPr="008171EC">
        <w:t>223</w:t>
      </w:r>
      <w:bookmarkEnd w:id="0"/>
    </w:p>
    <w:p w:rsidR="00D92B79" w:rsidRPr="008171EC" w:rsidRDefault="00D92B79" w:rsidP="00D92B79">
      <w:pPr>
        <w:pStyle w:val="ATHeading2"/>
      </w:pPr>
      <w:bookmarkStart w:id="1" w:name="title"/>
      <w:r w:rsidRPr="008171EC">
        <w:t>Odbavenie ťažkých nákladných vozidiel na hraničných priechodoch</w:t>
      </w:r>
      <w:bookmarkEnd w:id="1"/>
    </w:p>
    <w:p w:rsidR="00D92B79" w:rsidRPr="008171EC" w:rsidRDefault="00D92B79" w:rsidP="00D92B79">
      <w:pPr>
        <w:rPr>
          <w:i/>
          <w:vanish/>
        </w:rPr>
      </w:pPr>
      <w:r w:rsidRPr="008171EC">
        <w:rPr>
          <w:i/>
        </w:rPr>
        <w:fldChar w:fldCharType="begin"/>
      </w:r>
      <w:r w:rsidRPr="008171EC">
        <w:rPr>
          <w:i/>
        </w:rPr>
        <w:instrText xml:space="preserve"> TC"(</w:instrText>
      </w:r>
      <w:bookmarkStart w:id="2" w:name="DocNumber"/>
      <w:r w:rsidRPr="008171EC">
        <w:rPr>
          <w:i/>
        </w:rPr>
        <w:instrText>B9-0201/2024</w:instrText>
      </w:r>
      <w:bookmarkEnd w:id="2"/>
      <w:r w:rsidRPr="008171EC">
        <w:rPr>
          <w:i/>
        </w:rPr>
        <w:instrText xml:space="preserve">)"\l3 \n&gt; \* MERGEFORMAT </w:instrText>
      </w:r>
      <w:r w:rsidRPr="008171EC">
        <w:rPr>
          <w:i/>
        </w:rPr>
        <w:fldChar w:fldCharType="end"/>
      </w:r>
    </w:p>
    <w:p w:rsidR="00D92B79" w:rsidRPr="008171EC" w:rsidRDefault="00D92B79" w:rsidP="00D92B79">
      <w:pPr>
        <w:rPr>
          <w:vanish/>
        </w:rPr>
      </w:pPr>
      <w:bookmarkStart w:id="3" w:name="PE"/>
      <w:r w:rsidRPr="008171EC">
        <w:rPr>
          <w:vanish/>
        </w:rPr>
        <w:t>PE758.769</w:t>
      </w:r>
      <w:bookmarkEnd w:id="3"/>
    </w:p>
    <w:p w:rsidR="00D92B79" w:rsidRPr="008171EC" w:rsidRDefault="00D92B79" w:rsidP="00D92B79">
      <w:pPr>
        <w:pStyle w:val="ATHeading3"/>
      </w:pPr>
      <w:bookmarkStart w:id="4" w:name="Sujet"/>
      <w:r w:rsidRPr="008171EC">
        <w:t>Uznesenie Európskeho parlamentu z</w:t>
      </w:r>
      <w:r w:rsidR="00CB0B94" w:rsidRPr="008171EC">
        <w:t> 10</w:t>
      </w:r>
      <w:r w:rsidRPr="008171EC">
        <w:t>. apríla 2024 o odbavení ťažkých nákladných vozidiel na hraničných priechodoch na základe petície č. 0146/2023</w:t>
      </w:r>
      <w:bookmarkEnd w:id="4"/>
      <w:r w:rsidRPr="008171EC">
        <w:t xml:space="preserve"> </w:t>
      </w:r>
      <w:bookmarkStart w:id="5" w:name="References"/>
      <w:r w:rsidRPr="008171EC">
        <w:t>(2024/2540(RSP))</w:t>
      </w:r>
      <w:bookmarkEnd w:id="5"/>
    </w:p>
    <w:p w:rsidR="00971B00" w:rsidRPr="008171EC" w:rsidRDefault="00971B00" w:rsidP="00971B00">
      <w:pPr>
        <w:pStyle w:val="EPComma"/>
      </w:pPr>
      <w:bookmarkStart w:id="6" w:name="TextBodyBegin"/>
      <w:bookmarkEnd w:id="6"/>
      <w:r w:rsidRPr="008171EC">
        <w:rPr>
          <w:i/>
        </w:rPr>
        <w:t>Európsky parlament,</w:t>
      </w:r>
    </w:p>
    <w:p w:rsidR="00971B00" w:rsidRPr="008171EC" w:rsidRDefault="00971B00" w:rsidP="00971B00">
      <w:pPr>
        <w:pStyle w:val="NormalHanging12a"/>
      </w:pPr>
      <w:r w:rsidRPr="008171EC">
        <w:t>–</w:t>
      </w:r>
      <w:r w:rsidRPr="008171EC">
        <w:tab/>
        <w:t>so zreteľom na článok 26, články 28 až 37 a článok 67 ods. 1 a 2 Zmluvy o fungovaní Európskej únie (ZFEÚ),</w:t>
      </w:r>
    </w:p>
    <w:p w:rsidR="00971B00" w:rsidRPr="008171EC" w:rsidRDefault="00971B00" w:rsidP="00971B00">
      <w:pPr>
        <w:pStyle w:val="NormalHanging12a"/>
      </w:pPr>
      <w:r w:rsidRPr="008171EC">
        <w:t>–</w:t>
      </w:r>
      <w:r w:rsidRPr="008171EC">
        <w:tab/>
        <w:t>so zreteľom na rokovania o petícii č. 0146/2023 počas schôdze Výboru pre petície 29. novembra 2023,</w:t>
      </w:r>
    </w:p>
    <w:p w:rsidR="00971B00" w:rsidRPr="008171EC" w:rsidRDefault="00971B00" w:rsidP="00971B00">
      <w:pPr>
        <w:pStyle w:val="NormalHanging12a"/>
        <w:rPr>
          <w:bCs/>
          <w:szCs w:val="24"/>
          <w:shd w:val="clear" w:color="auto" w:fill="FFFFFF"/>
        </w:rPr>
      </w:pPr>
      <w:r w:rsidRPr="008171EC">
        <w:t>–</w:t>
      </w:r>
      <w:r w:rsidRPr="008171EC">
        <w:tab/>
        <w:t xml:space="preserve">so zreteľom na spoločné verejné vypočutie na tému Schengenské hranice – otázky, na ktoré upozornili predkladatelia petícií, ktoré </w:t>
      </w:r>
      <w:r w:rsidRPr="008171EC">
        <w:rPr>
          <w:shd w:val="clear" w:color="auto" w:fill="FFFFFF"/>
        </w:rPr>
        <w:t>18. júla 2023 usporiadal Výbor pre petície v spolupráci s Výborom pre občianske slobody, spravodlivosť a vnútorné veci,</w:t>
      </w:r>
    </w:p>
    <w:p w:rsidR="00971B00" w:rsidRPr="008171EC" w:rsidRDefault="00971B00" w:rsidP="00971B00">
      <w:pPr>
        <w:pStyle w:val="NormalHanging12a"/>
      </w:pPr>
      <w:r w:rsidRPr="008171EC">
        <w:t>–</w:t>
      </w:r>
      <w:r w:rsidRPr="008171EC">
        <w:tab/>
        <w:t xml:space="preserve">so zreteľom na oznámenie Komisie zo 16. novembra 2022 s názvom Silnejší </w:t>
      </w:r>
      <w:proofErr w:type="spellStart"/>
      <w:r w:rsidRPr="008171EC">
        <w:t>Schengen</w:t>
      </w:r>
      <w:proofErr w:type="spellEnd"/>
      <w:r w:rsidRPr="008171EC">
        <w:t xml:space="preserve"> prostredníctvom plnej účasti Bulharska, Rumunska a Chorvátska na priestore bez kontrol na vnútorných hraniciach (COM(2022)0636),</w:t>
      </w:r>
    </w:p>
    <w:p w:rsidR="00971B00" w:rsidRPr="008171EC" w:rsidRDefault="00971B00" w:rsidP="00971B00">
      <w:pPr>
        <w:pStyle w:val="NormalHanging12a"/>
      </w:pPr>
      <w:r w:rsidRPr="008171EC">
        <w:t>–</w:t>
      </w:r>
      <w:r w:rsidRPr="008171EC">
        <w:tab/>
        <w:t>so zreteľom na svoje uznesenie o pristúpení Rumunska a Bulharska k schengenskému priestoru</w:t>
      </w:r>
      <w:r w:rsidR="0029345E">
        <w:t xml:space="preserve"> z 18. októbra 2022</w:t>
      </w:r>
      <w:r w:rsidRPr="008171EC">
        <w:rPr>
          <w:rStyle w:val="FootnoteReference"/>
          <w:color w:val="000000"/>
        </w:rPr>
        <w:footnoteReference w:id="1"/>
      </w:r>
      <w:r w:rsidRPr="008171EC">
        <w:t xml:space="preserve"> a uznesenie o pristúpení k schengenskému priestoru</w:t>
      </w:r>
      <w:r w:rsidR="0029345E">
        <w:t xml:space="preserve"> z 12. júla 2023</w:t>
      </w:r>
      <w:r w:rsidRPr="008171EC">
        <w:rPr>
          <w:rStyle w:val="FootnoteReference"/>
          <w:color w:val="000000"/>
        </w:rPr>
        <w:footnoteReference w:id="2"/>
      </w:r>
      <w:r w:rsidRPr="008171EC">
        <w:t>,</w:t>
      </w:r>
    </w:p>
    <w:p w:rsidR="00971B00" w:rsidRPr="008171EC" w:rsidRDefault="00971B00" w:rsidP="00971B00">
      <w:pPr>
        <w:pStyle w:val="NormalHanging12a"/>
      </w:pPr>
      <w:r w:rsidRPr="008171EC">
        <w:t>–</w:t>
      </w:r>
      <w:r w:rsidRPr="008171EC">
        <w:tab/>
        <w:t>so zreteľom na jednomyseľné rozhodnutie Rady z 30. decembra 2023 prijať Rumunsko a Bulharsko do schengenského priestoru, počnúc zrušením kontrol na vzdušných a námorných hraniciach od marca 2024;</w:t>
      </w:r>
    </w:p>
    <w:p w:rsidR="00971B00" w:rsidRPr="008171EC" w:rsidRDefault="00971B00" w:rsidP="00971B00">
      <w:pPr>
        <w:pStyle w:val="NormalHanging12a"/>
      </w:pPr>
      <w:r w:rsidRPr="008171EC">
        <w:t>–</w:t>
      </w:r>
      <w:r w:rsidRPr="008171EC">
        <w:tab/>
        <w:t>so zreteľom na svoje uznesenie z 25. novembra 2021 o bezpečnosti parkovacích miest pre nákladné vozidlá v EÚ</w:t>
      </w:r>
      <w:r w:rsidRPr="008171EC">
        <w:rPr>
          <w:rStyle w:val="FootnoteReference"/>
          <w:color w:val="000000"/>
        </w:rPr>
        <w:footnoteReference w:id="3"/>
      </w:r>
      <w:r w:rsidRPr="008171EC">
        <w:t>,</w:t>
      </w:r>
    </w:p>
    <w:p w:rsidR="00971B00" w:rsidRPr="008171EC" w:rsidRDefault="00971B00" w:rsidP="00971B00">
      <w:pPr>
        <w:pStyle w:val="NormalHanging12a"/>
      </w:pPr>
      <w:r w:rsidRPr="008171EC">
        <w:t>–</w:t>
      </w:r>
      <w:r w:rsidRPr="008171EC">
        <w:tab/>
        <w:t xml:space="preserve">so zreteľom na svoje uznesenie z 9. mája 2023 o novom rámci EÚ pre mestskú </w:t>
      </w:r>
      <w:r w:rsidRPr="008171EC">
        <w:lastRenderedPageBreak/>
        <w:t>mobilitu</w:t>
      </w:r>
      <w:r w:rsidRPr="008171EC">
        <w:rPr>
          <w:rStyle w:val="FootnoteReference"/>
          <w:color w:val="000000"/>
        </w:rPr>
        <w:footnoteReference w:id="4"/>
      </w:r>
      <w:r w:rsidRPr="008171EC">
        <w:t>,</w:t>
      </w:r>
    </w:p>
    <w:p w:rsidR="00971B00" w:rsidRPr="008171EC" w:rsidRDefault="00971B00" w:rsidP="00971B00">
      <w:pPr>
        <w:pStyle w:val="NormalHanging12a"/>
      </w:pPr>
      <w:r w:rsidRPr="008171EC">
        <w:t>–</w:t>
      </w:r>
      <w:r w:rsidRPr="008171EC">
        <w:tab/>
        <w:t>so zreteľom na uznesenie Európskeho parlamentu z 13. júna 2023 o veľkých projektoch dopravnej infraštruktúry v EÚ – vykonávanie projektov a monitorovanie a kontrola finančných prostriedkov EÚ</w:t>
      </w:r>
      <w:r w:rsidRPr="008171EC">
        <w:rPr>
          <w:rStyle w:val="FootnoteReference"/>
          <w:color w:val="000000"/>
        </w:rPr>
        <w:footnoteReference w:id="5"/>
      </w:r>
      <w:r w:rsidRPr="008171EC">
        <w:t>,</w:t>
      </w:r>
    </w:p>
    <w:p w:rsidR="00971B00" w:rsidRPr="008171EC" w:rsidRDefault="00971B00" w:rsidP="00971B00">
      <w:pPr>
        <w:pStyle w:val="NormalHanging12a"/>
      </w:pPr>
      <w:r w:rsidRPr="008171EC">
        <w:t>–</w:t>
      </w:r>
      <w:r w:rsidRPr="008171EC">
        <w:tab/>
        <w:t xml:space="preserve">so zreteľom na návrh nariadenia o usmerneniach pre rozvoj </w:t>
      </w:r>
      <w:proofErr w:type="spellStart"/>
      <w:r w:rsidRPr="008171EC">
        <w:t>transeurópskej</w:t>
      </w:r>
      <w:proofErr w:type="spellEnd"/>
      <w:r w:rsidRPr="008171EC">
        <w:t xml:space="preserve"> dopravnej siete, ktorým sa mení nariadenie (EÚ) 2021/1153 a nariadenie (EÚ) č. 913/2010 a zrušuje nariadenie (EÚ) č. 1315/2013 (COM(2021)0812),</w:t>
      </w:r>
    </w:p>
    <w:p w:rsidR="00971B00" w:rsidRPr="008171EC" w:rsidRDefault="00971B00" w:rsidP="00971B00">
      <w:pPr>
        <w:pStyle w:val="NormalHanging12a"/>
      </w:pPr>
      <w:r w:rsidRPr="008171EC">
        <w:t>–</w:t>
      </w:r>
      <w:r w:rsidRPr="008171EC">
        <w:tab/>
        <w:t>so zreteľom na článok 227 ods. 2 rokovacieho poriadku,</w:t>
      </w:r>
    </w:p>
    <w:p w:rsidR="00971B00" w:rsidRPr="008171EC" w:rsidRDefault="00971B00" w:rsidP="00971B00">
      <w:pPr>
        <w:pStyle w:val="NormalHanging12a"/>
      </w:pPr>
      <w:r w:rsidRPr="008171EC">
        <w:t>A.</w:t>
      </w:r>
      <w:r w:rsidRPr="008171EC">
        <w:tab/>
        <w:t>keďže stovky nákladných vozidiel čakajú každý deň na vnútorných hraniciach EÚ vrátane hraníc medzi členskými štátmi v schengenskom priestore a členskými štátmi mimo schengenského priestoru, kde čelia mimoriadne dlhým čakacím časom a oneskoreniam v dôsledku odbavovania a kontrol; keďže v súčasnom európskom právnom rámci sa osobitne neriešia a neupravujú maximálne lehoty na odbavenie tovaru na hraniciach;</w:t>
      </w:r>
    </w:p>
    <w:p w:rsidR="00971B00" w:rsidRPr="008171EC" w:rsidRDefault="00971B00" w:rsidP="00971B00">
      <w:pPr>
        <w:pStyle w:val="NormalHanging12a"/>
      </w:pPr>
      <w:r w:rsidRPr="008171EC">
        <w:t>B.</w:t>
      </w:r>
      <w:r w:rsidRPr="008171EC">
        <w:tab/>
        <w:t xml:space="preserve">keďže toto čakanie a oneskorenia na hraniciach členských štátov môžu spôsobovať viaceré administratívne, prevádzkové, bezpečnostné a technické faktory alebo faktory súvisiace s </w:t>
      </w:r>
      <w:proofErr w:type="spellStart"/>
      <w:r w:rsidRPr="008171EC">
        <w:t>interoperabilitou</w:t>
      </w:r>
      <w:proofErr w:type="spellEnd"/>
      <w:r w:rsidRPr="008171EC">
        <w:t>, ako sú nedostatočné prevádzkové a technické kapacity, nedostatok zamestnancov, kontrolných pultov, mostových váh pre nákladné vozidlá, ako aj koncentrácia mnohých inštitucionálnych orgánov na hraniciach a zdĺhavé kontroly nákladu; keďže v článku 22 Kódexu schengenských hraníc</w:t>
      </w:r>
      <w:r w:rsidRPr="008171EC">
        <w:rPr>
          <w:rStyle w:val="FootnoteReference"/>
          <w:color w:val="000000"/>
        </w:rPr>
        <w:footnoteReference w:id="6"/>
      </w:r>
      <w:r w:rsidRPr="008171EC">
        <w:t xml:space="preserve"> je zakotvená zásada absencie kontrol na vnútorných hraniciach medzi krajinami schengenského priestoru v súlade so zásadou voľného pohybu stanovenou v článku 26 ods. 2 ZFEÚ, zatiaľ čo v článku 24 sa výslovne stanovuje, že členské štáty majú odstrániť všetky prekážky plynulej premávky na cestných priechodoch na vnútorných hraniciach;</w:t>
      </w:r>
    </w:p>
    <w:p w:rsidR="00971B00" w:rsidRPr="008171EC" w:rsidRDefault="00971B00" w:rsidP="00971B00">
      <w:pPr>
        <w:pStyle w:val="NormalHanging12a"/>
      </w:pPr>
      <w:r w:rsidRPr="008171EC">
        <w:t>C.</w:t>
      </w:r>
      <w:r w:rsidRPr="008171EC">
        <w:tab/>
        <w:t>keďže hromadenie nákladných vozidiel registrovaných v EÚ na hraniciach môže mať škodlivý vplyv na zdravie a pracovné podmienky vodičov, bezpečnosť cestnej premávky a prevádzku podnikov pôsobiacich v odvetví nákladnej cestnej dopravy, ako aj negatívny vplyv na hospodársku súťaž a fungovanie jednotného trhu EÚ a môže viesť aj k zvýšeniu nákladov prepravcov;</w:t>
      </w:r>
    </w:p>
    <w:p w:rsidR="00971B00" w:rsidRPr="008171EC" w:rsidRDefault="00971B00" w:rsidP="00971B00">
      <w:pPr>
        <w:pStyle w:val="NormalHanging12a"/>
      </w:pPr>
      <w:r w:rsidRPr="008171EC">
        <w:t>D.</w:t>
      </w:r>
      <w:r w:rsidRPr="008171EC">
        <w:tab/>
        <w:t>so zreteľom na to, že Bulharsko a Rumunsko stále čakajú na rozhodnutie Rady o dátume odstránenia kontrol na vnútorných pozemných hraniciach, keďže zrušenie kontrol na vnútorných pozemných hraniciach by malo pozitívny vplyv na účasť Rumunska a Bulharska na jednotnom trhu EÚ, pričom by sa odstránili prekážky mobility, ktoré v dôsledku narušenia harmonogramov dodávok tovaru spôsobujú oneskorenia obchodných činností;</w:t>
      </w:r>
    </w:p>
    <w:p w:rsidR="00971B00" w:rsidRPr="008171EC" w:rsidRDefault="00971B00" w:rsidP="00971B00">
      <w:pPr>
        <w:pStyle w:val="NormalHanging12a"/>
      </w:pPr>
      <w:r w:rsidRPr="008171EC">
        <w:t>E.</w:t>
      </w:r>
      <w:r w:rsidRPr="008171EC">
        <w:tab/>
        <w:t xml:space="preserve">keďže oneskorenia nákladných vozidiel na hraniciach znamenajú pre európske podniky stratu stoviek miliónov eur, najmä v odvetviach logistiky, cestovného ruchu a ubytovacích a pohostinských služieb; keďže riziká, ktoré predstavujú tieto obmedzenia </w:t>
      </w:r>
      <w:r w:rsidRPr="008171EC">
        <w:lastRenderedPageBreak/>
        <w:t>prekračovania hraníc sa prejavili najmä počas pandémie COVID-19; keďže udržiavanie súčasného stavu výrazne oslabuje odolnosť EÚ voči iným potenciálnym núdzovým situáciám v oblasti verejného zdravia;</w:t>
      </w:r>
    </w:p>
    <w:p w:rsidR="00971B00" w:rsidRPr="008171EC" w:rsidRDefault="00971B00" w:rsidP="00971B00">
      <w:pPr>
        <w:pStyle w:val="NormalHanging12a"/>
      </w:pPr>
      <w:r w:rsidRPr="008171EC">
        <w:t>F.</w:t>
      </w:r>
      <w:r w:rsidRPr="008171EC">
        <w:tab/>
        <w:t>keďže dĺžka radov nákladných vozidiel na vonkajších hraniciach EÚ s krajinami západného Balkánu je obzvlášť znepokojivá;</w:t>
      </w:r>
    </w:p>
    <w:p w:rsidR="00971B00" w:rsidRPr="008171EC" w:rsidRDefault="00971B00" w:rsidP="00971B00">
      <w:pPr>
        <w:pStyle w:val="NormalHanging12a"/>
      </w:pPr>
      <w:r w:rsidRPr="008171EC">
        <w:t>G.</w:t>
      </w:r>
      <w:r w:rsidRPr="008171EC">
        <w:tab/>
        <w:t>keďže tieto udalosti vážne ohrozujú zdravie a bezpečnosť profesionálnych vodičov, narúšajú ich pracovné podmienky a oslabujú kvalitu pracovných miest v tejto profesii, pričom okrem toho prispievajú ku globálnemu nedostatku vodičov nákladných vozidiel; keďže vodiči nákladných vozidiel vo všetkých členských štátoch EÚ často trpia mnohými formami chronickej bolesti, ako je bolesť krížov, kolien či ramien; keďže častá svojvoľná požiadavka, aby vodiči tovar vyložili a opäť naložili, so sebou zároveň prináša ďalšie zdravotné riziká, pretože vodiči nákladných vozidiel často nie sú dostatočne fyzick</w:t>
      </w:r>
      <w:r w:rsidR="00CB0B94" w:rsidRPr="008171EC">
        <w:t>y</w:t>
      </w:r>
      <w:r w:rsidRPr="008171EC">
        <w:t xml:space="preserve"> silní alebo nemajú vhodné vybavenie na zdvíhanie ťažkého nákladu; keďže zamestnávatelia ukladajú túto povinnosť vodičom náhodne a bez dodatočnej odmeny;</w:t>
      </w:r>
    </w:p>
    <w:p w:rsidR="00971B00" w:rsidRPr="008171EC" w:rsidRDefault="00971B00" w:rsidP="00971B00">
      <w:pPr>
        <w:pStyle w:val="NormalHanging12a"/>
      </w:pPr>
      <w:r w:rsidRPr="008171EC">
        <w:t>H.</w:t>
      </w:r>
      <w:r w:rsidRPr="008171EC">
        <w:tab/>
        <w:t>keďže rady nákladných vozidiel čakajúcich na hraniciach priamo vplývajú na zdravie európskych občanov, pričom negatívne ovplyvňujú kvalitu ovzdušia, spôsobujú znečistenie vody a negatívne ovplyvňujú lokality Natura 2000; keďže napríklad v oznámení Komisie zo 16. mája 2023 sa zdôraznilo, že v dôsledku pretrvávajúcich kontrol na vnútorných hraniciach s Rumunskom a Bulharskom sa každoročne uvoľňuje 46 000 ton CO</w:t>
      </w:r>
      <w:r w:rsidRPr="008171EC">
        <w:rPr>
          <w:vertAlign w:val="subscript"/>
        </w:rPr>
        <w:t>2</w:t>
      </w:r>
      <w:r w:rsidRPr="008171EC">
        <w:t>;</w:t>
      </w:r>
    </w:p>
    <w:p w:rsidR="00971B00" w:rsidRPr="008171EC" w:rsidRDefault="00971B00" w:rsidP="00971B00">
      <w:pPr>
        <w:pStyle w:val="NormalHanging12a"/>
      </w:pPr>
      <w:r w:rsidRPr="008171EC">
        <w:t>I.</w:t>
      </w:r>
      <w:r w:rsidRPr="008171EC">
        <w:tab/>
        <w:t>keďže preťaženie ciest nákladnými vozidlami zhoršuje aj kvalitu existujúcej infraštruktúry a zároveň narúša bezpečnosť cestnej premávky a zvyšuje riziko dopravných nehôd;</w:t>
      </w:r>
    </w:p>
    <w:p w:rsidR="00971B00" w:rsidRPr="008171EC" w:rsidRDefault="00971B00" w:rsidP="00971B00">
      <w:pPr>
        <w:pStyle w:val="NormalHanging12a"/>
      </w:pPr>
      <w:r w:rsidRPr="008171EC">
        <w:t>J.</w:t>
      </w:r>
      <w:r w:rsidRPr="008171EC">
        <w:tab/>
        <w:t>keďže je potreb</w:t>
      </w:r>
      <w:r w:rsidR="00CB0B94" w:rsidRPr="008171EC">
        <w:t>n</w:t>
      </w:r>
      <w:r w:rsidRPr="008171EC">
        <w:t>é zvýšiť verejné a súkromné financovanie bezpečných parkovísk pre nákladné vozidlá, čo vodičom umožní robiť si prestávky celkom bezpečne; keďže posilnením nástrojov bezpečnosti, napríklad vyvinutím osobitných mobilných aplikácií, by sa znížilo riziko toho, že sa vodiči stanú obeťami trestného činu;</w:t>
      </w:r>
    </w:p>
    <w:p w:rsidR="00971B00" w:rsidRPr="008171EC" w:rsidRDefault="00971B00" w:rsidP="00971B00">
      <w:pPr>
        <w:pStyle w:val="NormalHanging12a"/>
      </w:pPr>
      <w:r w:rsidRPr="008171EC">
        <w:t>1.</w:t>
      </w:r>
      <w:r w:rsidRPr="008171EC">
        <w:tab/>
        <w:t xml:space="preserve">vyzýva Parlament, Radu a Komisiu, aby sa pri vypracúvaní kľúčových politík EÚ, ako je </w:t>
      </w:r>
      <w:proofErr w:type="spellStart"/>
      <w:r w:rsidRPr="008171EC">
        <w:t>transeurópska</w:t>
      </w:r>
      <w:proofErr w:type="spellEnd"/>
      <w:r w:rsidRPr="008171EC">
        <w:t xml:space="preserve"> dopravná sieť, zamerali na konkrétne opatrenia s cieľom zabezpečiť pre nákladnú dopravu plynulý a efektívny prechod cez hranice;</w:t>
      </w:r>
    </w:p>
    <w:p w:rsidR="00971B00" w:rsidRPr="008171EC" w:rsidRDefault="00971B00" w:rsidP="00971B00">
      <w:pPr>
        <w:pStyle w:val="NormalHanging12a"/>
      </w:pPr>
      <w:r w:rsidRPr="008171EC">
        <w:t>2.</w:t>
      </w:r>
      <w:r w:rsidRPr="008171EC">
        <w:tab/>
        <w:t>vyzýva Komisiu, aby v nadväznosti na posúdenie vplyvu v súvislosti s témami opísanými v návrhu uznesenia navrhla okamžité a záväzné legislatívne opatrenia s cieľom vytvoriť celoeurópsku normu, podľa ktorej by sa na odbavenie nákladných vozidiel na hraničných priechodoch v rámci EÚ stanovila v priemere jedna minúta, aby sa zaručila plynulosť na vnútorných hraniciach schengenského priestoru, ako aj hraniciach s krajinami mimo schengenského priestoru, čím sa umožní rýchly a efektívny pohyb tovaru a služieb; zdôrazňuje, že takéto opatrenie by výrazne zlepšilo konkurencieschopnosť odvetvia cestnej dopravy a zabezpečilo by jeho hladké fungovanie na jednotnom trhu; zdôrazňuje, že pretrvávajúce kontroly na pozemných hraniciach poškodzujú ekonomické záujmy všetkých členských štátov;</w:t>
      </w:r>
    </w:p>
    <w:p w:rsidR="00971B00" w:rsidRPr="008171EC" w:rsidRDefault="00971B00" w:rsidP="00971B00">
      <w:pPr>
        <w:pStyle w:val="NormalHanging12a"/>
      </w:pPr>
      <w:r w:rsidRPr="008171EC">
        <w:t>3.</w:t>
      </w:r>
      <w:r w:rsidRPr="008171EC">
        <w:tab/>
        <w:t xml:space="preserve">zdôrazňuje, že Komisia od roku 2011 opakuje, že Rumunsko aj Bulharsko splnili všetky formálne kritériá na pristúpenie k schengenskému priestoru; zdôrazňuje, že rozhodnutie </w:t>
      </w:r>
      <w:r w:rsidRPr="008171EC">
        <w:lastRenderedPageBreak/>
        <w:t xml:space="preserve">Rady z 30. decembra 2023 zrušiť kontroly na vzdušných a námorných hraniciach s Rumunskom a Bulharskom len čiastočne rieši problém súčasného narušenia jednotného trhu; zdôrazňuje, že toto rozhodnutie nerieši najväčší a najnaliehavejší problém, a to pozemné hraničné priechody, kde sa aj naďalej vykonávajú kontroly na pozemných hraniciach schengenského priestoru, čo narúša plynulý prechod nákladných vozidiel, autobusov, súkromných automobilov a vlakov; pripomína svoju dlhodobú pozíciu, ktorou je podpora plného uplatňovania schengenského </w:t>
      </w:r>
      <w:proofErr w:type="spellStart"/>
      <w:r w:rsidRPr="008171EC">
        <w:rPr>
          <w:i/>
        </w:rPr>
        <w:t>acquis</w:t>
      </w:r>
      <w:proofErr w:type="spellEnd"/>
      <w:r w:rsidRPr="008171EC">
        <w:t xml:space="preserve"> v Rumunsku a Bulharsku; naliehavo vyzýva belgické predsedníctvo a všetkých členov Rady, aby čo najskôr a najneskôr do polovice roka 2024 prijali rozhodnutie o plnom uplatňovaní schengenského </w:t>
      </w:r>
      <w:proofErr w:type="spellStart"/>
      <w:r w:rsidRPr="008171EC">
        <w:rPr>
          <w:i/>
        </w:rPr>
        <w:t>acquis</w:t>
      </w:r>
      <w:proofErr w:type="spellEnd"/>
      <w:r w:rsidRPr="008171EC">
        <w:t xml:space="preserve"> v Rumunsku a Bulharsku;</w:t>
      </w:r>
    </w:p>
    <w:p w:rsidR="00971B00" w:rsidRPr="008171EC" w:rsidRDefault="00971B00" w:rsidP="00971B00">
      <w:pPr>
        <w:pStyle w:val="NormalHanging12a"/>
      </w:pPr>
      <w:r w:rsidRPr="008171EC">
        <w:t>4.</w:t>
      </w:r>
      <w:r w:rsidRPr="008171EC">
        <w:tab/>
        <w:t>žiada preto Komisiu, aby zaručila dodržiavanie a monitorovanie uplatňovania prijatých opatrení, a to aj prostredníctvom ukladania sankcií; zdôrazňuje potrebu primeraného a dostatočného financovania a technickej podpory EÚ;</w:t>
      </w:r>
    </w:p>
    <w:p w:rsidR="00971B00" w:rsidRPr="008171EC" w:rsidRDefault="00971B00" w:rsidP="00971B00">
      <w:pPr>
        <w:pStyle w:val="NormalHanging12a"/>
      </w:pPr>
      <w:r w:rsidRPr="008171EC">
        <w:t>5.</w:t>
      </w:r>
      <w:r w:rsidRPr="008171EC">
        <w:tab/>
        <w:t>vyzýva Komisiu a členské štáty, aby právnymi predpismi EÚ umožnili vodičom nákladných vozidiel používať menšie hraničné priechody, keď sú hlavné tepny uzavreté z dôvodu údržby ciest, s cieľom zabrániť tomu, aby sa vodiči museli riadiť svojvoľnými opatreniami jednotlivých krajín, keďže ide o záležitosť vo všeobecnom záujme EÚ;</w:t>
      </w:r>
    </w:p>
    <w:p w:rsidR="00971B00" w:rsidRPr="008171EC" w:rsidRDefault="00971B00" w:rsidP="00971B00">
      <w:pPr>
        <w:pStyle w:val="NormalHanging12a"/>
      </w:pPr>
      <w:r w:rsidRPr="008171EC">
        <w:t>6.</w:t>
      </w:r>
      <w:r w:rsidRPr="008171EC">
        <w:tab/>
        <w:t>vyzýva Komisiu, aby v spolupráci s členskými štátmi a príslušnými zainteresovanými stranami predložila konkrétne opatrenia na riešenie nedostatku profesionálnych vodičov v EÚ, a to stimulovaním záujmu mladých ľudí financovaním osobitnej odbornej prípravy či rekvalifikácie a kvalifikácií a podporou partnerstiev medzi odbornými školami a dopravnými spoločnosťami, a to aj prostredníctvom osobitnej rozpočtovej podpory EÚ;</w:t>
      </w:r>
    </w:p>
    <w:p w:rsidR="00971B00" w:rsidRPr="008171EC" w:rsidRDefault="00971B00" w:rsidP="00971B00">
      <w:pPr>
        <w:pStyle w:val="NormalHanging12a"/>
      </w:pPr>
      <w:r w:rsidRPr="008171EC">
        <w:t>7.</w:t>
      </w:r>
      <w:r w:rsidRPr="008171EC">
        <w:tab/>
        <w:t>vyzýva členské štáty, aby ďalej zintenzívnili svoje úsilie o posilnenie cezhraničnej spolupráce v prípadoch krádeží z nákladných vozidiel;</w:t>
      </w:r>
    </w:p>
    <w:p w:rsidR="00971B00" w:rsidRPr="008171EC" w:rsidRDefault="00971B00" w:rsidP="00971B00">
      <w:pPr>
        <w:pStyle w:val="NormalHanging12a"/>
      </w:pPr>
      <w:r w:rsidRPr="008171EC">
        <w:t>8.</w:t>
      </w:r>
      <w:r w:rsidRPr="008171EC">
        <w:tab/>
        <w:t>poveruje svoju predsedníčku, aby postúpila toto uznesenie Komisii, Rade a príslušným vnútroštátnym orgánom.</w:t>
      </w:r>
    </w:p>
    <w:sectPr w:rsidR="00971B00" w:rsidRPr="008171EC" w:rsidSect="000A68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B79" w:rsidRPr="000A6840" w:rsidRDefault="00D92B79">
      <w:r w:rsidRPr="000A6840">
        <w:separator/>
      </w:r>
    </w:p>
  </w:endnote>
  <w:endnote w:type="continuationSeparator" w:id="0">
    <w:p w:rsidR="00D92B79" w:rsidRPr="000A6840" w:rsidRDefault="00D92B79">
      <w:r w:rsidRPr="000A68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68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68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68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B79" w:rsidRPr="000A6840" w:rsidRDefault="00D92B79">
      <w:r w:rsidRPr="000A6840">
        <w:separator/>
      </w:r>
    </w:p>
  </w:footnote>
  <w:footnote w:type="continuationSeparator" w:id="0">
    <w:p w:rsidR="00D92B79" w:rsidRPr="000A6840" w:rsidRDefault="00D92B79">
      <w:r w:rsidRPr="000A6840">
        <w:continuationSeparator/>
      </w:r>
    </w:p>
  </w:footnote>
  <w:footnote w:id="1">
    <w:p w:rsidR="00971B00" w:rsidRPr="000A6840" w:rsidRDefault="00971B00" w:rsidP="000A6840">
      <w:pPr>
        <w:pStyle w:val="FootnoteText"/>
        <w:ind w:left="567" w:hanging="567"/>
        <w:rPr>
          <w:sz w:val="24"/>
          <w:lang w:val="sk-SK"/>
        </w:rPr>
      </w:pPr>
      <w:r w:rsidRPr="000A6840">
        <w:rPr>
          <w:rStyle w:val="FootnoteReference"/>
          <w:sz w:val="24"/>
          <w:lang w:val="sk-SK"/>
        </w:rPr>
        <w:footnoteRef/>
      </w:r>
      <w:r w:rsidR="000A6840" w:rsidRPr="000A6840">
        <w:rPr>
          <w:sz w:val="24"/>
          <w:lang w:val="sk-SK"/>
        </w:rPr>
        <w:t xml:space="preserve"> </w:t>
      </w:r>
      <w:r w:rsidR="000A6840" w:rsidRPr="000A6840">
        <w:rPr>
          <w:sz w:val="24"/>
          <w:lang w:val="sk-SK"/>
        </w:rPr>
        <w:tab/>
      </w:r>
      <w:r w:rsidRPr="000A6840">
        <w:rPr>
          <w:sz w:val="24"/>
          <w:lang w:val="sk-SK"/>
        </w:rPr>
        <w:t>Ú. v. EÚ C 149, 28.4.2023, s. 11.</w:t>
      </w:r>
    </w:p>
  </w:footnote>
  <w:footnote w:id="2">
    <w:p w:rsidR="00971B00" w:rsidRPr="000A6840" w:rsidRDefault="00971B00" w:rsidP="000A6840">
      <w:pPr>
        <w:pStyle w:val="FootnoteText"/>
        <w:ind w:left="567" w:hanging="567"/>
        <w:rPr>
          <w:sz w:val="24"/>
          <w:lang w:val="sk-SK"/>
        </w:rPr>
      </w:pPr>
      <w:r w:rsidRPr="000A6840">
        <w:rPr>
          <w:rStyle w:val="FootnoteReference"/>
          <w:sz w:val="24"/>
          <w:lang w:val="sk-SK"/>
        </w:rPr>
        <w:footnoteRef/>
      </w:r>
      <w:r w:rsidR="000A6840" w:rsidRPr="000A6840">
        <w:rPr>
          <w:sz w:val="24"/>
          <w:lang w:val="sk-SK"/>
        </w:rPr>
        <w:t xml:space="preserve"> </w:t>
      </w:r>
      <w:r w:rsidR="000A6840" w:rsidRPr="000A6840">
        <w:rPr>
          <w:sz w:val="24"/>
          <w:lang w:val="sk-SK"/>
        </w:rPr>
        <w:tab/>
      </w:r>
      <w:r w:rsidRPr="000A6840">
        <w:rPr>
          <w:sz w:val="24"/>
          <w:lang w:val="sk-SK"/>
        </w:rPr>
        <w:t>Prijaté texty, P9_TA(2023)0278.</w:t>
      </w:r>
    </w:p>
  </w:footnote>
  <w:footnote w:id="3">
    <w:p w:rsidR="00971B00" w:rsidRPr="000A6840" w:rsidRDefault="00971B00" w:rsidP="000A6840">
      <w:pPr>
        <w:pStyle w:val="FootnoteText"/>
        <w:ind w:left="567" w:hanging="567"/>
        <w:rPr>
          <w:sz w:val="24"/>
          <w:lang w:val="sk-SK"/>
        </w:rPr>
      </w:pPr>
      <w:r w:rsidRPr="000A6840">
        <w:rPr>
          <w:rStyle w:val="FootnoteReference"/>
          <w:sz w:val="24"/>
          <w:lang w:val="sk-SK"/>
        </w:rPr>
        <w:footnoteRef/>
      </w:r>
      <w:r w:rsidR="000A6840" w:rsidRPr="000A6840">
        <w:rPr>
          <w:sz w:val="24"/>
          <w:lang w:val="sk-SK"/>
        </w:rPr>
        <w:t xml:space="preserve"> </w:t>
      </w:r>
      <w:r w:rsidR="000A6840" w:rsidRPr="000A6840">
        <w:rPr>
          <w:sz w:val="24"/>
          <w:lang w:val="sk-SK"/>
        </w:rPr>
        <w:tab/>
      </w:r>
      <w:r w:rsidRPr="000A6840">
        <w:rPr>
          <w:sz w:val="24"/>
          <w:lang w:val="sk-SK"/>
        </w:rPr>
        <w:t>Ú. v. EÚ C 224, 8.6.2022, s. 95.</w:t>
      </w:r>
    </w:p>
  </w:footnote>
  <w:footnote w:id="4">
    <w:p w:rsidR="00971B00" w:rsidRPr="000A6840" w:rsidRDefault="00971B00" w:rsidP="000A6840">
      <w:pPr>
        <w:pStyle w:val="FootnoteText"/>
        <w:ind w:left="567" w:hanging="567"/>
        <w:rPr>
          <w:sz w:val="24"/>
          <w:lang w:val="sk-SK"/>
        </w:rPr>
      </w:pPr>
      <w:r w:rsidRPr="000A6840">
        <w:rPr>
          <w:rStyle w:val="FootnoteReference"/>
          <w:sz w:val="24"/>
          <w:lang w:val="sk-SK"/>
        </w:rPr>
        <w:footnoteRef/>
      </w:r>
      <w:r w:rsidR="000A6840" w:rsidRPr="000A6840">
        <w:rPr>
          <w:sz w:val="24"/>
          <w:lang w:val="sk-SK"/>
        </w:rPr>
        <w:t xml:space="preserve"> </w:t>
      </w:r>
      <w:r w:rsidR="000A6840" w:rsidRPr="000A6840">
        <w:rPr>
          <w:sz w:val="24"/>
          <w:lang w:val="sk-SK"/>
        </w:rPr>
        <w:tab/>
      </w:r>
      <w:r w:rsidRPr="000A6840">
        <w:rPr>
          <w:sz w:val="24"/>
          <w:lang w:val="sk-SK"/>
        </w:rPr>
        <w:t>Ú. v. EÚ C, C/2023/1058, 15.12.2023, ELI: http://data.europa.eu/eli/C/2023/1058/oj.</w:t>
      </w:r>
    </w:p>
  </w:footnote>
  <w:footnote w:id="5">
    <w:p w:rsidR="00971B00" w:rsidRPr="000A6840" w:rsidRDefault="00971B00" w:rsidP="000A6840">
      <w:pPr>
        <w:pStyle w:val="FootnoteText"/>
        <w:ind w:left="567" w:hanging="567"/>
        <w:rPr>
          <w:sz w:val="24"/>
          <w:lang w:val="sk-SK"/>
        </w:rPr>
      </w:pPr>
      <w:r w:rsidRPr="000A6840">
        <w:rPr>
          <w:rStyle w:val="FootnoteReference"/>
          <w:sz w:val="24"/>
          <w:lang w:val="sk-SK"/>
        </w:rPr>
        <w:footnoteRef/>
      </w:r>
      <w:r w:rsidR="000A6840" w:rsidRPr="000A6840">
        <w:rPr>
          <w:sz w:val="24"/>
          <w:lang w:val="sk-SK"/>
        </w:rPr>
        <w:t xml:space="preserve"> </w:t>
      </w:r>
      <w:r w:rsidR="000A6840" w:rsidRPr="000A6840">
        <w:rPr>
          <w:sz w:val="24"/>
          <w:lang w:val="sk-SK"/>
        </w:rPr>
        <w:tab/>
      </w:r>
      <w:r w:rsidRPr="000A6840">
        <w:rPr>
          <w:sz w:val="24"/>
          <w:lang w:val="sk-SK"/>
        </w:rPr>
        <w:t>Ú. v. EÚ C, C/2024/481, 23.1.2024, ELI: http://data.europa.eu/eli/C/2024/481/oj.</w:t>
      </w:r>
    </w:p>
  </w:footnote>
  <w:footnote w:id="6">
    <w:p w:rsidR="00971B00" w:rsidRPr="000A6840" w:rsidRDefault="00971B00" w:rsidP="000A6840">
      <w:pPr>
        <w:pStyle w:val="FootnoteText"/>
        <w:ind w:left="567" w:hanging="567"/>
        <w:rPr>
          <w:sz w:val="24"/>
          <w:lang w:val="sk-SK"/>
        </w:rPr>
      </w:pPr>
      <w:r w:rsidRPr="000A6840">
        <w:rPr>
          <w:rStyle w:val="FootnoteReference"/>
          <w:sz w:val="24"/>
          <w:lang w:val="sk-SK"/>
        </w:rPr>
        <w:footnoteRef/>
      </w:r>
      <w:r w:rsidR="000A6840" w:rsidRPr="000A6840">
        <w:rPr>
          <w:sz w:val="24"/>
          <w:lang w:val="sk-SK"/>
        </w:rPr>
        <w:t xml:space="preserve"> </w:t>
      </w:r>
      <w:r w:rsidR="000A6840" w:rsidRPr="000A6840">
        <w:rPr>
          <w:sz w:val="24"/>
          <w:lang w:val="sk-SK"/>
        </w:rPr>
        <w:tab/>
      </w:r>
      <w:r w:rsidRPr="000A6840">
        <w:rPr>
          <w:sz w:val="24"/>
          <w:lang w:val="sk-SK"/>
        </w:rPr>
        <w:t xml:space="preserve">Nariadenie (EÚ) 2016/399 z 9. marca 2016, ktorým sa ustanovuje kódex Únie o pravidlách upravujúcich pohyb osôb cez hranice (Kódex schengenských hraníc) (Ú. v. </w:t>
      </w:r>
      <w:r w:rsidRPr="000A6840">
        <w:rPr>
          <w:sz w:val="24"/>
          <w:lang w:val="sk-SK"/>
        </w:rPr>
        <w:t xml:space="preserve">EÚ L 77, 23.3.2016, </w:t>
      </w:r>
      <w:r w:rsidR="0029345E">
        <w:rPr>
          <w:sz w:val="24"/>
          <w:lang w:val="sk-SK"/>
        </w:rPr>
        <w:t>s</w:t>
      </w:r>
      <w:bookmarkStart w:id="7" w:name="_GoBack"/>
      <w:bookmarkEnd w:id="7"/>
      <w:r w:rsidRPr="000A6840">
        <w:rPr>
          <w:sz w:val="24"/>
          <w:lang w:val="sk-SK"/>
        </w:rPr>
        <w:t>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68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68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68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1/2024"/>
    <w:docVar w:name="dvlangue" w:val="SK"/>
    <w:docVar w:name="dvnumam" w:val="0"/>
    <w:docVar w:name="dvpe" w:val="758.769"/>
    <w:docVar w:name="dvtitre" w:val="Uznesenie Európskeho parlamentu z xx. apríla 2024 o odbavení ťažkých nákladných vozidiel na hraničných priechodoch na základe petície č. 0146/2023(2024/2540(RSP))"/>
  </w:docVars>
  <w:rsids>
    <w:rsidRoot w:val="00D92B79"/>
    <w:rsid w:val="00002272"/>
    <w:rsid w:val="00064002"/>
    <w:rsid w:val="000677B9"/>
    <w:rsid w:val="000831BA"/>
    <w:rsid w:val="000A42CC"/>
    <w:rsid w:val="000A6840"/>
    <w:rsid w:val="000E7DD9"/>
    <w:rsid w:val="0010095E"/>
    <w:rsid w:val="00125B37"/>
    <w:rsid w:val="00187494"/>
    <w:rsid w:val="001B3213"/>
    <w:rsid w:val="001F32AE"/>
    <w:rsid w:val="002767FF"/>
    <w:rsid w:val="0029345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33D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1E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B00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7D8"/>
    <w:rsid w:val="00C941CB"/>
    <w:rsid w:val="00CB0B94"/>
    <w:rsid w:val="00CC2357"/>
    <w:rsid w:val="00CF071A"/>
    <w:rsid w:val="00D058B8"/>
    <w:rsid w:val="00D56C11"/>
    <w:rsid w:val="00D834A0"/>
    <w:rsid w:val="00D872DF"/>
    <w:rsid w:val="00D91E21"/>
    <w:rsid w:val="00D92B79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28476A"/>
  <w15:chartTrackingRefBased/>
  <w15:docId w15:val="{C84634EE-7D47-466A-A848-AEA2C1084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71B00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971B0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D6014-4204-4FD7-8125-2D7D6E5F6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1301</Words>
  <Characters>8235</Characters>
  <Application>Microsoft Office Word</Application>
  <DocSecurity>0</DocSecurity>
  <Lines>164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2024-06-07T09:08:00Z</dcterms:created>
  <dcterms:modified xsi:type="dcterms:W3CDTF">2024-06-07T09:08:00Z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B9-0201/2024</vt:lpwstr>
  </property>
  <property fmtid="{D5CDD505-2E9C-101B-9397-08002B2CF9AE}" pid="4" name="&lt;Type&gt;">
    <vt:lpwstr>RR</vt:lpwstr>
  </property>
</Properties>
</file>