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738B7" w:rsidTr="0010095E">
        <w:trPr>
          <w:trHeight w:hRule="exact" w:val="1418"/>
        </w:trPr>
        <w:tc>
          <w:tcPr>
            <w:tcW w:w="6804" w:type="dxa"/>
            <w:shd w:val="clear" w:color="auto" w:fill="auto"/>
            <w:vAlign w:val="center"/>
          </w:tcPr>
          <w:p w:rsidR="00751A4A" w:rsidRPr="00B738B7" w:rsidRDefault="00C027E2" w:rsidP="0010095E">
            <w:pPr>
              <w:pStyle w:val="EPName"/>
            </w:pPr>
            <w:r w:rsidRPr="00B738B7">
              <w:t>Europaparlamentet</w:t>
            </w:r>
          </w:p>
          <w:p w:rsidR="00751A4A" w:rsidRPr="00B738B7" w:rsidRDefault="00817416" w:rsidP="00756632">
            <w:pPr>
              <w:pStyle w:val="EPTerm"/>
              <w:rPr>
                <w:rStyle w:val="HideTWBExt"/>
                <w:noProof w:val="0"/>
                <w:vanish w:val="0"/>
                <w:color w:val="auto"/>
              </w:rPr>
            </w:pPr>
            <w:r w:rsidRPr="00B738B7">
              <w:t>2019-2024</w:t>
            </w:r>
          </w:p>
        </w:tc>
        <w:tc>
          <w:tcPr>
            <w:tcW w:w="2268" w:type="dxa"/>
            <w:shd w:val="clear" w:color="auto" w:fill="auto"/>
          </w:tcPr>
          <w:p w:rsidR="00751A4A" w:rsidRPr="00B738B7" w:rsidRDefault="00187494" w:rsidP="0010095E">
            <w:pPr>
              <w:pStyle w:val="EPLogo"/>
            </w:pPr>
            <w:r w:rsidRPr="00B738B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738B7" w:rsidRDefault="00D058B8" w:rsidP="004C5D52">
      <w:pPr>
        <w:pStyle w:val="LineTop"/>
      </w:pPr>
    </w:p>
    <w:p w:rsidR="00680577" w:rsidRPr="00B738B7" w:rsidRDefault="00C027E2" w:rsidP="00680577">
      <w:pPr>
        <w:pStyle w:val="EPBodyTA1"/>
      </w:pPr>
      <w:r w:rsidRPr="00B738B7">
        <w:t>ANTAGNA TEXTER</w:t>
      </w:r>
    </w:p>
    <w:p w:rsidR="00D058B8" w:rsidRPr="00B738B7" w:rsidRDefault="00D058B8" w:rsidP="00D058B8">
      <w:pPr>
        <w:pStyle w:val="LineBottom"/>
      </w:pPr>
    </w:p>
    <w:p w:rsidR="00C027E2" w:rsidRPr="00B738B7" w:rsidRDefault="00C027E2" w:rsidP="00C027E2">
      <w:pPr>
        <w:pStyle w:val="ATHeading1"/>
      </w:pPr>
      <w:bookmarkStart w:id="0" w:name="TANumber"/>
      <w:r w:rsidRPr="00B738B7">
        <w:t>P9_TA(2024)</w:t>
      </w:r>
      <w:bookmarkEnd w:id="0"/>
      <w:r w:rsidR="00B738B7" w:rsidRPr="00B738B7">
        <w:t>0</w:t>
      </w:r>
      <w:r w:rsidR="00B738B7" w:rsidRPr="00B738B7">
        <w:t>223</w:t>
      </w:r>
    </w:p>
    <w:p w:rsidR="00C027E2" w:rsidRPr="00B738B7" w:rsidRDefault="00C027E2" w:rsidP="00C027E2">
      <w:pPr>
        <w:pStyle w:val="ATHeading2"/>
      </w:pPr>
      <w:bookmarkStart w:id="1" w:name="title"/>
      <w:r w:rsidRPr="00B738B7">
        <w:t>Expediering av tunga lastbilar vid gränsövergångsställen</w:t>
      </w:r>
      <w:bookmarkEnd w:id="1"/>
    </w:p>
    <w:p w:rsidR="00C027E2" w:rsidRPr="00B738B7" w:rsidRDefault="00C027E2" w:rsidP="00C027E2">
      <w:pPr>
        <w:rPr>
          <w:i/>
          <w:vanish/>
        </w:rPr>
      </w:pPr>
      <w:r w:rsidRPr="00B738B7">
        <w:rPr>
          <w:i/>
        </w:rPr>
        <w:fldChar w:fldCharType="begin"/>
      </w:r>
      <w:r w:rsidRPr="00B738B7">
        <w:rPr>
          <w:i/>
        </w:rPr>
        <w:instrText xml:space="preserve"> TC"(</w:instrText>
      </w:r>
      <w:bookmarkStart w:id="2" w:name="DocNumber"/>
      <w:r w:rsidRPr="00B738B7">
        <w:rPr>
          <w:i/>
        </w:rPr>
        <w:instrText>B9-0201/2024</w:instrText>
      </w:r>
      <w:bookmarkEnd w:id="2"/>
      <w:r w:rsidRPr="00B738B7">
        <w:rPr>
          <w:i/>
        </w:rPr>
        <w:instrText xml:space="preserve">)"\l3 \n&gt; \* MERGEFORMAT </w:instrText>
      </w:r>
      <w:r w:rsidRPr="00B738B7">
        <w:rPr>
          <w:i/>
        </w:rPr>
        <w:fldChar w:fldCharType="end"/>
      </w:r>
    </w:p>
    <w:p w:rsidR="00C027E2" w:rsidRPr="00B738B7" w:rsidRDefault="00C027E2" w:rsidP="00C027E2">
      <w:pPr>
        <w:rPr>
          <w:vanish/>
        </w:rPr>
      </w:pPr>
      <w:bookmarkStart w:id="3" w:name="PE"/>
      <w:r w:rsidRPr="00B738B7">
        <w:rPr>
          <w:vanish/>
        </w:rPr>
        <w:t>PE758.769</w:t>
      </w:r>
      <w:bookmarkEnd w:id="3"/>
    </w:p>
    <w:p w:rsidR="00C027E2" w:rsidRPr="00B738B7" w:rsidRDefault="00C027E2" w:rsidP="00C027E2">
      <w:pPr>
        <w:pStyle w:val="ATHeading3"/>
      </w:pPr>
      <w:bookmarkStart w:id="4" w:name="Sujet"/>
      <w:r w:rsidRPr="00B738B7">
        <w:t xml:space="preserve">Europaparlamentets resolution av den </w:t>
      </w:r>
      <w:r w:rsidR="00A05E7D" w:rsidRPr="00B738B7">
        <w:t>10</w:t>
      </w:r>
      <w:r w:rsidRPr="00B738B7">
        <w:t xml:space="preserve"> </w:t>
      </w:r>
      <w:r w:rsidR="00A05E7D" w:rsidRPr="00B738B7">
        <w:t>april</w:t>
      </w:r>
      <w:r w:rsidRPr="00B738B7">
        <w:t xml:space="preserve"> 2024 om expediering av tunga lastbilar vid gränsövergångsställen på gru</w:t>
      </w:r>
      <w:bookmarkStart w:id="5" w:name="_GoBack"/>
      <w:bookmarkEnd w:id="5"/>
      <w:r w:rsidRPr="00B738B7">
        <w:t>ndval av framställning nr 0146/2023</w:t>
      </w:r>
      <w:bookmarkEnd w:id="4"/>
      <w:r w:rsidRPr="00B738B7">
        <w:t xml:space="preserve"> </w:t>
      </w:r>
      <w:bookmarkStart w:id="6" w:name="References"/>
      <w:r w:rsidRPr="00B738B7">
        <w:t>(2024/2540(RSP))</w:t>
      </w:r>
      <w:bookmarkEnd w:id="6"/>
    </w:p>
    <w:p w:rsidR="0040485E" w:rsidRPr="00B738B7" w:rsidRDefault="0040485E" w:rsidP="0040485E">
      <w:pPr>
        <w:pStyle w:val="EPComma"/>
        <w:widowControl/>
      </w:pPr>
      <w:bookmarkStart w:id="7" w:name="TextBodyBegin"/>
      <w:bookmarkEnd w:id="7"/>
      <w:r w:rsidRPr="00B738B7">
        <w:rPr>
          <w:i/>
        </w:rPr>
        <w:t>Europaparlamentet utfärdar denna resolution</w:t>
      </w:r>
    </w:p>
    <w:p w:rsidR="0040485E" w:rsidRPr="00B738B7" w:rsidRDefault="0040485E" w:rsidP="0040485E">
      <w:pPr>
        <w:pStyle w:val="NormalHanging12a"/>
        <w:widowControl/>
      </w:pPr>
      <w:r w:rsidRPr="00B738B7">
        <w:t>–</w:t>
      </w:r>
      <w:r w:rsidRPr="00B738B7">
        <w:tab/>
        <w:t>med beaktande av artiklarna 26, 28–37, 67.1 och 67.2 i fördraget om Europeiska unionens funktionssätt (EUF-fördraget),</w:t>
      </w:r>
    </w:p>
    <w:p w:rsidR="0040485E" w:rsidRPr="00B738B7" w:rsidRDefault="0040485E" w:rsidP="0040485E">
      <w:pPr>
        <w:pStyle w:val="NormalHanging12a"/>
        <w:widowControl/>
      </w:pPr>
      <w:r w:rsidRPr="00B738B7">
        <w:t>–</w:t>
      </w:r>
      <w:r w:rsidRPr="00B738B7">
        <w:tab/>
        <w:t>med beaktande av de överläggningar om framställning nr 0146/2023 som fördes vid sammanträdet i utskottet för framställningar den 29 november 2023,</w:t>
      </w:r>
    </w:p>
    <w:p w:rsidR="0040485E" w:rsidRPr="00B738B7" w:rsidRDefault="0040485E" w:rsidP="0040485E">
      <w:pPr>
        <w:pStyle w:val="NormalHanging12a"/>
        <w:widowControl/>
        <w:rPr>
          <w:bCs/>
          <w:szCs w:val="24"/>
          <w:shd w:val="clear" w:color="auto" w:fill="FFFFFF"/>
        </w:rPr>
      </w:pPr>
      <w:r w:rsidRPr="00B738B7">
        <w:t>–</w:t>
      </w:r>
      <w:r w:rsidRPr="00B738B7">
        <w:tab/>
        <w:t xml:space="preserve">med beaktande av den offentliga utfrågningen om Schengengränserna – frågor som tagits upp av framställarna, som hölls den </w:t>
      </w:r>
      <w:r w:rsidRPr="00B738B7">
        <w:rPr>
          <w:shd w:val="clear" w:color="auto" w:fill="FFFFFF"/>
        </w:rPr>
        <w:t>18 juli 2023 av utskottet för framställningar tillsammans med utskottet för medborgerliga fri- och rättigheter samt rättsliga och inrikes frågor</w:t>
      </w:r>
      <w:r w:rsidRPr="00B738B7">
        <w:t>,</w:t>
      </w:r>
    </w:p>
    <w:p w:rsidR="0040485E" w:rsidRPr="00B738B7" w:rsidRDefault="0040485E" w:rsidP="0040485E">
      <w:pPr>
        <w:pStyle w:val="NormalHanging12a"/>
        <w:widowControl/>
      </w:pPr>
      <w:r w:rsidRPr="00B738B7">
        <w:t>–</w:t>
      </w:r>
      <w:r w:rsidRPr="00B738B7">
        <w:tab/>
        <w:t xml:space="preserve">med beaktande av kommissionens meddelande av den 16 november 2022 </w:t>
      </w:r>
      <w:r w:rsidRPr="00B738B7">
        <w:rPr>
          <w:i/>
        </w:rPr>
        <w:t>Ett starkare Schengen genom att Bulgarien, Rumänien och Kroatien fullt ut deltar i området utan inre gränskontroller</w:t>
      </w:r>
      <w:r w:rsidRPr="00B738B7">
        <w:t xml:space="preserve"> (COM(2022)0636),</w:t>
      </w:r>
    </w:p>
    <w:p w:rsidR="0040485E" w:rsidRPr="00B738B7" w:rsidRDefault="0040485E" w:rsidP="0040485E">
      <w:pPr>
        <w:pStyle w:val="NormalHanging12a"/>
        <w:widowControl/>
      </w:pPr>
      <w:r w:rsidRPr="00B738B7">
        <w:t>–</w:t>
      </w:r>
      <w:r w:rsidRPr="00B738B7">
        <w:tab/>
        <w:t>med beaktande av sina resolutioner av den 18 oktober 2022 om Rumäniens och Bulgariens anslutning till Schengenområdet</w:t>
      </w:r>
      <w:r w:rsidRPr="00B738B7">
        <w:rPr>
          <w:rStyle w:val="FootnoteReference"/>
          <w:color w:val="000000"/>
        </w:rPr>
        <w:footnoteReference w:id="1"/>
      </w:r>
      <w:r w:rsidRPr="00B738B7">
        <w:t xml:space="preserve"> och av den 12 juli 2023 om anslutning till Schengenområdet</w:t>
      </w:r>
      <w:r w:rsidRPr="00B738B7">
        <w:rPr>
          <w:rStyle w:val="FootnoteReference"/>
          <w:color w:val="000000"/>
        </w:rPr>
        <w:footnoteReference w:id="2"/>
      </w:r>
      <w:r w:rsidRPr="00B738B7">
        <w:t>,</w:t>
      </w:r>
    </w:p>
    <w:p w:rsidR="0040485E" w:rsidRPr="00B738B7" w:rsidRDefault="0040485E" w:rsidP="0040485E">
      <w:pPr>
        <w:pStyle w:val="NormalHanging12a"/>
        <w:widowControl/>
      </w:pPr>
      <w:r w:rsidRPr="00B738B7">
        <w:t>–</w:t>
      </w:r>
      <w:r w:rsidRPr="00B738B7">
        <w:tab/>
        <w:t>med beaktande av rådets enhälliga beslut av den 30 december 2023 att välkomna Rumänien och Bulgarien till Schengenområdet, vilket börjar med avskaffandet av kontrollerna vid luft- och sjögränserna från och med mars 2024,</w:t>
      </w:r>
    </w:p>
    <w:p w:rsidR="0040485E" w:rsidRPr="00B738B7" w:rsidRDefault="0040485E" w:rsidP="0040485E">
      <w:pPr>
        <w:pStyle w:val="NormalHanging12a"/>
        <w:widowControl/>
      </w:pPr>
      <w:r w:rsidRPr="00B738B7">
        <w:t>–</w:t>
      </w:r>
      <w:r w:rsidRPr="00B738B7">
        <w:tab/>
        <w:t>med beaktande av sin resolution av den 25 november 2021 om säkerheten på lastbilsparkeringar i EU</w:t>
      </w:r>
      <w:r w:rsidRPr="00B738B7">
        <w:rPr>
          <w:rStyle w:val="FootnoteReference"/>
          <w:color w:val="000000"/>
        </w:rPr>
        <w:footnoteReference w:id="3"/>
      </w:r>
      <w:r w:rsidRPr="00B738B7">
        <w:t>,</w:t>
      </w:r>
    </w:p>
    <w:p w:rsidR="0040485E" w:rsidRPr="00B738B7" w:rsidRDefault="0040485E" w:rsidP="0040485E">
      <w:pPr>
        <w:pStyle w:val="NormalHanging12a"/>
        <w:widowControl/>
      </w:pPr>
      <w:r w:rsidRPr="00B738B7">
        <w:lastRenderedPageBreak/>
        <w:t>–</w:t>
      </w:r>
      <w:r w:rsidRPr="00B738B7">
        <w:tab/>
        <w:t>med beaktande av sin resolution av den 9 maj 2023 om EU:s nya ram för mobilitet i städer</w:t>
      </w:r>
      <w:r w:rsidRPr="00B738B7">
        <w:rPr>
          <w:rStyle w:val="FootnoteReference"/>
          <w:color w:val="000000"/>
        </w:rPr>
        <w:footnoteReference w:id="4"/>
      </w:r>
      <w:r w:rsidRPr="00B738B7">
        <w:t>,</w:t>
      </w:r>
    </w:p>
    <w:p w:rsidR="0040485E" w:rsidRPr="00B738B7" w:rsidRDefault="0040485E" w:rsidP="0040485E">
      <w:pPr>
        <w:pStyle w:val="NormalHanging12a"/>
        <w:widowControl/>
      </w:pPr>
      <w:r w:rsidRPr="00B738B7">
        <w:t>–</w:t>
      </w:r>
      <w:r w:rsidRPr="00B738B7">
        <w:tab/>
        <w:t>med beaktande av sin resolution av den 13 juni 2023 om stora transportinfrastrukturprojekt i EU – genomförande av projekt och övervakning och kontroll av EU-medel</w:t>
      </w:r>
      <w:r w:rsidRPr="00B738B7">
        <w:rPr>
          <w:rStyle w:val="FootnoteReference"/>
          <w:color w:val="000000"/>
        </w:rPr>
        <w:footnoteReference w:id="5"/>
      </w:r>
      <w:r w:rsidRPr="00B738B7">
        <w:t>,</w:t>
      </w:r>
    </w:p>
    <w:p w:rsidR="0040485E" w:rsidRPr="00B738B7" w:rsidRDefault="0040485E" w:rsidP="0040485E">
      <w:pPr>
        <w:pStyle w:val="NormalHanging12a"/>
        <w:widowControl/>
      </w:pPr>
      <w:r w:rsidRPr="00B738B7">
        <w:t>–</w:t>
      </w:r>
      <w:r w:rsidRPr="00B738B7">
        <w:tab/>
        <w:t>med beaktande av förslaget till förordning om unionens riktlinjer för utbyggnad av det transeuropeiska transportnätet, om ändring av förordning (EU) 2021/1153 och förordning (EU) nr 913/2010 och om upphävande av förordning (EU) nr 1315/2013 (COM(2021)0812),</w:t>
      </w:r>
    </w:p>
    <w:p w:rsidR="0040485E" w:rsidRPr="00B738B7" w:rsidRDefault="0040485E" w:rsidP="0040485E">
      <w:pPr>
        <w:pStyle w:val="NormalHanging12a"/>
        <w:widowControl/>
      </w:pPr>
      <w:r w:rsidRPr="00B738B7">
        <w:t>–</w:t>
      </w:r>
      <w:r w:rsidRPr="00B738B7">
        <w:tab/>
        <w:t>med beaktande av artikel 227.2 i arbetsordningen, och av följande skäl:</w:t>
      </w:r>
    </w:p>
    <w:p w:rsidR="0040485E" w:rsidRPr="00B738B7" w:rsidRDefault="0040485E" w:rsidP="0040485E">
      <w:pPr>
        <w:pStyle w:val="NormalHanging12a"/>
        <w:widowControl/>
      </w:pPr>
      <w:r w:rsidRPr="00B738B7">
        <w:t>A.</w:t>
      </w:r>
      <w:r w:rsidRPr="00B738B7">
        <w:tab/>
        <w:t>Hundratals lastbilar stannas varje dag vid EU:s inre gränser, inklusive gränserna mellan Schengenmedlemsstater och EU-medlemsstater utanför Schengenområdet, där de måste räkna med extremt långa väntetider och förseningar på grund av hantering och kontroller. Den nuvarande europeiska rättsliga ramen är inte specifikt inriktad på och reglerar inte den maximala tiden för godshantering vid gränserna.</w:t>
      </w:r>
    </w:p>
    <w:p w:rsidR="0040485E" w:rsidRPr="00B738B7" w:rsidRDefault="0040485E" w:rsidP="0040485E">
      <w:pPr>
        <w:pStyle w:val="NormalHanging12a"/>
        <w:widowControl/>
      </w:pPr>
      <w:r w:rsidRPr="00B738B7">
        <w:t>B.</w:t>
      </w:r>
      <w:r w:rsidRPr="00B738B7">
        <w:tab/>
        <w:t>Orsakerna till dessa köer och förseningar vid medlemsstaternas gränser kan tillskrivas flera faktorer som rör administration, drift, säkerhet, teknik eller driftskompatibilitet, såsom otillräcklig operativ och teknisk kapacitet, brist på personal, kontrollstationer eller fordonsvågar för lastbilar, koncentrationen av många institutionella organ vid gränserna och utdragna tidskrävande kontroller av gods. I artikel 22 i kodexen om Schengengränserna</w:t>
      </w:r>
      <w:r w:rsidRPr="00B738B7">
        <w:rPr>
          <w:rStyle w:val="FootnoteReference"/>
          <w:color w:val="000000"/>
        </w:rPr>
        <w:footnoteReference w:id="6"/>
      </w:r>
      <w:r w:rsidRPr="00B738B7">
        <w:t xml:space="preserve"> fastställs principen om avsaknad av kontroller vid de inre gränserna mellan Schengenländerna, i linje med principen om fri rörlighet i artikel 26.2 i EUF-fördraget. I artikel 24 anges uttryckligen att medlemsstaterna ska undanröja alla hinder för ett smidigt trafikflöde genom gränsövergångsställen vid de inre gränserna.</w:t>
      </w:r>
    </w:p>
    <w:p w:rsidR="0040485E" w:rsidRPr="00B738B7" w:rsidRDefault="0040485E" w:rsidP="0040485E">
      <w:pPr>
        <w:pStyle w:val="NormalHanging12a"/>
        <w:widowControl/>
      </w:pPr>
      <w:r w:rsidRPr="00B738B7">
        <w:t>C.</w:t>
      </w:r>
      <w:r w:rsidRPr="00B738B7">
        <w:tab/>
        <w:t>Anhopningen av EU-registrerade tunga lastbilar vid gränserna kan ha en negativ inverkan på förarnas hälsa och arbetsvillkor, trafiksäkerheten och transportföretagens verksamhet, negativt påverka konkurrensen och möjligheten för EU:s inre marknad att fungera väl samt öka vägtransportföretagens kostnader.</w:t>
      </w:r>
    </w:p>
    <w:p w:rsidR="0040485E" w:rsidRPr="00B738B7" w:rsidRDefault="0040485E" w:rsidP="0040485E">
      <w:pPr>
        <w:pStyle w:val="NormalHanging12a"/>
        <w:widowControl/>
      </w:pPr>
      <w:r w:rsidRPr="00B738B7">
        <w:t>D.</w:t>
      </w:r>
      <w:r w:rsidRPr="00B738B7">
        <w:tab/>
        <w:t>Bulgarien och Rumänien väntar fortfarande på ett rådsbeslut om datumet för avskaffande av kontroller vid de inre landgränserna. Avskaffandet av kontroller vid de inre landgränserna skulle ha en positiv inverkan på Rumäniens och Bulgariens deltagande i EU:s inre marknad och undanröja hinder för rörlighet, som orsakar förseningar i affärsverksamheten till följd av störningar i godstransporterna.</w:t>
      </w:r>
    </w:p>
    <w:p w:rsidR="0040485E" w:rsidRPr="00B738B7" w:rsidRDefault="0040485E" w:rsidP="0040485E">
      <w:pPr>
        <w:pStyle w:val="NormalHanging12a"/>
        <w:widowControl/>
      </w:pPr>
      <w:r w:rsidRPr="00B738B7">
        <w:t>E.</w:t>
      </w:r>
      <w:r w:rsidRPr="00B738B7">
        <w:tab/>
        <w:t xml:space="preserve">Lastbilar som försenas vid gränserna orsakar förluster på hundratals miljoner euro för europeiska företag, särskilt inom logistik-, turism- och hotell- och restaurangbranschen. De risker som dessa hinder vid gränsövergångarna innebär blev särskilt uppenbara </w:t>
      </w:r>
      <w:r w:rsidRPr="00B738B7">
        <w:lastRenderedPageBreak/>
        <w:t>under covid-19-pandemin. Att upprätthålla status quo försvagar avsevärt EU:s motståndskraft mot andra potentiella hot mot folkhälsan.</w:t>
      </w:r>
    </w:p>
    <w:p w:rsidR="0040485E" w:rsidRPr="00B738B7" w:rsidRDefault="0040485E" w:rsidP="0040485E">
      <w:pPr>
        <w:pStyle w:val="NormalHanging12a"/>
        <w:widowControl/>
      </w:pPr>
      <w:r w:rsidRPr="00B738B7">
        <w:t>F.</w:t>
      </w:r>
      <w:r w:rsidRPr="00B738B7">
        <w:tab/>
        <w:t>Längden på lastbilsköerna vid EU:s yttre gränser mot länderna på västra Balkan är särskilt oroande.</w:t>
      </w:r>
    </w:p>
    <w:p w:rsidR="0040485E" w:rsidRPr="00B738B7" w:rsidRDefault="0040485E" w:rsidP="0040485E">
      <w:pPr>
        <w:pStyle w:val="NormalHanging12a"/>
        <w:widowControl/>
      </w:pPr>
      <w:r w:rsidRPr="00B738B7">
        <w:t>G.</w:t>
      </w:r>
      <w:r w:rsidRPr="00B738B7">
        <w:tab/>
        <w:t>Dessa händelser äventyrar allvarligt yrkesförarnas hälsa och säkerhet, sätter deras arbetsvillkor på spel och undergräver kvaliteten på jobben inom yrket, samtidigt som de bidrar till den övergripande bristen på lastbilschaufförer. Lastbilschaufförer i alla EU:s medlemsstater lider ofta av flera olika former av kronisk smärta, såsom smärtor i ländrygg, knän och axlar. Samtidigt medför det frekventa godtyckliga kravet att lasta av och lasta om gods betydande ytterligare hälsorisker, vilket ofta leder till skador eftersom lastbilschaufförer ofta kanske inte har vare sig den fysiska styrka eller den utrustning som krävs för de tunga lyft det rör sig om. Lastbilschaufförer åläggs slumpmässigt denna skyldighet och detta ansvar av arbetsgivarna, utan ytterligare ersättning.</w:t>
      </w:r>
    </w:p>
    <w:p w:rsidR="0040485E" w:rsidRPr="00B738B7" w:rsidRDefault="0040485E" w:rsidP="0040485E">
      <w:pPr>
        <w:pStyle w:val="NormalHanging12a"/>
        <w:widowControl/>
      </w:pPr>
      <w:r w:rsidRPr="00B738B7">
        <w:t>H.</w:t>
      </w:r>
      <w:r w:rsidRPr="00B738B7">
        <w:tab/>
        <w:t>Köerna av lastbilar som väntar vid gränserna påverkar direkt de europeiska medborgarnas hälsa, inverkar negativt på luftkvaliteten, orsakar vatten- och bullerföroreningar samt inverkar negativt på Natura 2000-områden. I kommissionens meddelande av den 16 maj 2023 betonades till exempel att 46 000 ton koldioxid släpps ut årligen på grund av de fortsatta kontrollerna vid de inre gränserna i Rumänien och Bulgarien.</w:t>
      </w:r>
    </w:p>
    <w:p w:rsidR="0040485E" w:rsidRPr="00B738B7" w:rsidRDefault="0040485E" w:rsidP="0040485E">
      <w:pPr>
        <w:pStyle w:val="NormalHanging12a"/>
        <w:widowControl/>
      </w:pPr>
      <w:r w:rsidRPr="00B738B7">
        <w:t>I.</w:t>
      </w:r>
      <w:r w:rsidRPr="00B738B7">
        <w:tab/>
        <w:t>Trafikstockningar med lastbilar försämrar också kvaliteten på den befintliga infrastrukturen, försämrar trafiksäkerheten och ökar risken för trafikolyckor.</w:t>
      </w:r>
    </w:p>
    <w:p w:rsidR="0040485E" w:rsidRPr="00B738B7" w:rsidRDefault="0040485E" w:rsidP="0040485E">
      <w:pPr>
        <w:pStyle w:val="NormalHanging12a"/>
        <w:widowControl/>
      </w:pPr>
      <w:r w:rsidRPr="00B738B7">
        <w:t>J.</w:t>
      </w:r>
      <w:r w:rsidRPr="00B738B7">
        <w:tab/>
        <w:t>Det behövs ökad offentlig och privat finansiering av säkra och skyddade lastbilsparkeringar för att förarna ska kunna ta sina raster under helt säkra förhållanden. Stärkta säkerhetsverktyg, till exempel genom utvecklingen av särskilda mobilapplikationer, skulle minska risken för att lastbilschaufförer utsätts för brott.</w:t>
      </w:r>
    </w:p>
    <w:p w:rsidR="0040485E" w:rsidRPr="00B738B7" w:rsidRDefault="0040485E" w:rsidP="0040485E">
      <w:pPr>
        <w:pStyle w:val="NormalHanging12a"/>
        <w:widowControl/>
      </w:pPr>
      <w:r w:rsidRPr="00B738B7">
        <w:t>1.</w:t>
      </w:r>
      <w:r w:rsidRPr="00B738B7">
        <w:tab/>
        <w:t>Europaparlamentet uppmanar parlamentet, rådet och kommissionen att fokusera på särskilda åtgärder för att säkerställa smidiga och effektiva gränspassager för godstransporter vid utarbetandet av viktig EU-politik, såsom det transeuropeiska transportnätet.</w:t>
      </w:r>
    </w:p>
    <w:p w:rsidR="0040485E" w:rsidRPr="00B738B7" w:rsidRDefault="0040485E" w:rsidP="0040485E">
      <w:pPr>
        <w:pStyle w:val="NormalHanging12a"/>
        <w:widowControl/>
      </w:pPr>
      <w:r w:rsidRPr="00B738B7">
        <w:t>2.</w:t>
      </w:r>
      <w:r w:rsidRPr="00B738B7">
        <w:tab/>
        <w:t>Europaparlamentet uppmanar kommissionen att, efter en konsekvensbedömning av de frågor som beskrivs i detta resolutionsförslag, föreslå omedelbara och bindande lagstiftningsåtgärder för att skapa en EU-omfattande standard på ett genomsnitt på en minut för hantering av tunga lastbilar vid gränsövergångsställen inom EU, i syfte att garantera smidighet vid gränserna mellan Schengenstater och icke-Schengenstater och göra det möjligt för varor och tjänster att röra sig snabbt och effektivt. Parlamentet betonar att en sådan åtgärd avsevärt skulle förbättra vägtransportsektorns konkurrenskraft och säkerställa att den fungerar smidigt på den inre marknaden. Parlamentet betonar att fortsatta kontroller vid landgränserna skadar alla medlemsstaters ekonomiska intressen.</w:t>
      </w:r>
    </w:p>
    <w:p w:rsidR="0040485E" w:rsidRPr="00B738B7" w:rsidRDefault="0040485E" w:rsidP="0040485E">
      <w:pPr>
        <w:pStyle w:val="NormalHanging12a"/>
        <w:widowControl/>
      </w:pPr>
      <w:r w:rsidRPr="00B738B7">
        <w:t>3.</w:t>
      </w:r>
      <w:r w:rsidRPr="00B738B7">
        <w:tab/>
        <w:t xml:space="preserve">Europaparlamentet betonar att kommissionen sedan 2011 har upprepat att både Rumänien och Bulgarien har uppfyllt alla formella kriterier för anslutning till Schengenområdet. Parlamentet betonar att rådets beslut av den 30 december 2023 om </w:t>
      </w:r>
      <w:r w:rsidRPr="00B738B7">
        <w:lastRenderedPageBreak/>
        <w:t>att avskaffa luft- och sjögränskontrollerna mot Rumänien och Bulgarien endast delvis löser frågan om den nuvarande snedvridningen av den inre marknaden. Parlamentet betonar att detta beslut inte löser den största och mest akuta frågan, nämligen landgränsövergångar, där kontroller kvarstår vid Schengenområdets landgräns, vilket hindrar lastbilar, bussar, personbilar och tåg från att smidigt passera. Parlamentet upprepar sin långvariga ståndpunkt till stöd för en fullständig tillämpning av Schengenregelverket i Bulgarien och Rumänien. Parlamentet uppmanar med kraft det belgiska ordförandeskapet och alla rådsmedlemmar att så snart som möjligt och senast i mitten av 2024 anta ett beslut om fullständig tillämpning av Schengenregelverket i Rumänien och Bulgarien.</w:t>
      </w:r>
    </w:p>
    <w:p w:rsidR="0040485E" w:rsidRPr="00B738B7" w:rsidRDefault="0040485E" w:rsidP="0040485E">
      <w:pPr>
        <w:pStyle w:val="NormalHanging12a"/>
        <w:widowControl/>
      </w:pPr>
      <w:r w:rsidRPr="00B738B7">
        <w:t>4.</w:t>
      </w:r>
      <w:r w:rsidRPr="00B738B7">
        <w:tab/>
        <w:t>Europaparlamentet begär därför att kommissionen garanterar efterlevnaden och övervakningen av tillämpningen av de åtgärder som vidtagits, bland annat genom åläggande av sanktioner. Parlamentet understryker att det behövs EU-finansiering och tekniskt stöd av lämpligt slag och i tillräcklig omfattning.</w:t>
      </w:r>
    </w:p>
    <w:p w:rsidR="0040485E" w:rsidRPr="00B738B7" w:rsidRDefault="0040485E" w:rsidP="0040485E">
      <w:pPr>
        <w:pStyle w:val="NormalHanging12a"/>
        <w:widowControl/>
      </w:pPr>
      <w:r w:rsidRPr="00B738B7">
        <w:t>5.</w:t>
      </w:r>
      <w:r w:rsidRPr="00B738B7">
        <w:tab/>
        <w:t>Europaparlamentet uppmanar kommissionen och medlemsstaterna att se till att EU</w:t>
      </w:r>
      <w:r w:rsidRPr="00B738B7">
        <w:noBreakHyphen/>
        <w:t>lagstiftningen gör det möjligt för lastbilschaufförer att använda mindre gränsövergångar när huvudvägarna är stängda för vägunderhåll, så att förarna inte är beroende av godtyckliga åtgärder från enskilda länders sida, eftersom detta är en fråga av allmänt intresse för EU.</w:t>
      </w:r>
    </w:p>
    <w:p w:rsidR="0040485E" w:rsidRPr="00B738B7" w:rsidRDefault="0040485E" w:rsidP="0040485E">
      <w:pPr>
        <w:pStyle w:val="NormalHanging12a"/>
        <w:widowControl/>
      </w:pPr>
      <w:r w:rsidRPr="00B738B7">
        <w:t>6.</w:t>
      </w:r>
      <w:r w:rsidRPr="00B738B7">
        <w:tab/>
        <w:t>Europaparlamentet uppmanar kommissionen att i samarbete med medlemsstaterna och berörda parter lägga fram konkreta åtgärder för att ta itu med bristen på yrkesförare i EU genom att stimulera ungdomars intresse genom att finansiera särskild omskolning och utbildning och kvalifikationer och främja partnerskap mellan yrkesskolor och transportföretag, bland annat med särskilt budgetstöd från EU.</w:t>
      </w:r>
    </w:p>
    <w:p w:rsidR="0040485E" w:rsidRPr="00B738B7" w:rsidRDefault="0040485E" w:rsidP="0040485E">
      <w:pPr>
        <w:pStyle w:val="NormalHanging12a"/>
        <w:widowControl/>
      </w:pPr>
      <w:r w:rsidRPr="00B738B7">
        <w:t>7.</w:t>
      </w:r>
      <w:r w:rsidRPr="00B738B7">
        <w:tab/>
        <w:t>Europaparlamentet uppmanar medlemsstaterna att ytterligare öka sina insatser för att stärka det gränsöverskridande samarbetet om stöld från lastbilar.</w:t>
      </w:r>
    </w:p>
    <w:p w:rsidR="0040485E" w:rsidRPr="000156A2" w:rsidRDefault="0040485E" w:rsidP="0040485E">
      <w:pPr>
        <w:pStyle w:val="NormalHanging12a"/>
        <w:widowControl/>
      </w:pPr>
      <w:r w:rsidRPr="00B738B7">
        <w:t>8.</w:t>
      </w:r>
      <w:r w:rsidRPr="00B738B7">
        <w:tab/>
        <w:t>Europaparlamentet uppdrar åt talmannen att översända denna resolution till kommissionen, rådet och berörda nationella myndigheter.</w:t>
      </w:r>
    </w:p>
    <w:p w:rsidR="0040485E" w:rsidRPr="000156A2" w:rsidRDefault="0040485E" w:rsidP="0040485E">
      <w:pPr>
        <w:pStyle w:val="NormalHanging12a"/>
        <w:widowControl/>
      </w:pPr>
    </w:p>
    <w:p w:rsidR="0040485E" w:rsidRPr="000156A2" w:rsidRDefault="0040485E" w:rsidP="0040485E"/>
    <w:p w:rsidR="00E365E1" w:rsidRPr="000156A2" w:rsidRDefault="00E365E1" w:rsidP="00C027E2">
      <w:bookmarkStart w:id="8" w:name="TextBodyEnd"/>
      <w:bookmarkEnd w:id="8"/>
    </w:p>
    <w:sectPr w:rsidR="00E365E1" w:rsidRPr="000156A2" w:rsidSect="000156A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27E2" w:rsidRPr="000156A2" w:rsidRDefault="00C027E2">
      <w:r w:rsidRPr="000156A2">
        <w:separator/>
      </w:r>
    </w:p>
  </w:endnote>
  <w:endnote w:type="continuationSeparator" w:id="0">
    <w:p w:rsidR="00C027E2" w:rsidRPr="000156A2" w:rsidRDefault="00C027E2">
      <w:r w:rsidRPr="000156A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156A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156A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156A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27E2" w:rsidRPr="000156A2" w:rsidRDefault="00C027E2">
      <w:r w:rsidRPr="000156A2">
        <w:separator/>
      </w:r>
    </w:p>
  </w:footnote>
  <w:footnote w:type="continuationSeparator" w:id="0">
    <w:p w:rsidR="00C027E2" w:rsidRPr="000156A2" w:rsidRDefault="00C027E2">
      <w:r w:rsidRPr="000156A2">
        <w:continuationSeparator/>
      </w:r>
    </w:p>
  </w:footnote>
  <w:footnote w:id="1">
    <w:p w:rsidR="0040485E" w:rsidRPr="00B738B7" w:rsidRDefault="0040485E" w:rsidP="000156A2">
      <w:pPr>
        <w:pStyle w:val="FootnoteText"/>
        <w:ind w:left="567" w:hanging="567"/>
        <w:rPr>
          <w:sz w:val="24"/>
          <w:lang w:val="sv-SE"/>
        </w:rPr>
      </w:pPr>
      <w:r w:rsidRPr="00B738B7">
        <w:rPr>
          <w:rStyle w:val="FootnoteReference"/>
          <w:sz w:val="24"/>
          <w:lang w:val="sv-SE"/>
        </w:rPr>
        <w:footnoteRef/>
      </w:r>
      <w:r w:rsidR="000156A2" w:rsidRPr="00B738B7">
        <w:rPr>
          <w:sz w:val="24"/>
          <w:lang w:val="sv-SE"/>
        </w:rPr>
        <w:t xml:space="preserve"> </w:t>
      </w:r>
      <w:r w:rsidR="000156A2" w:rsidRPr="00B738B7">
        <w:rPr>
          <w:sz w:val="24"/>
          <w:lang w:val="sv-SE"/>
        </w:rPr>
        <w:tab/>
      </w:r>
      <w:r w:rsidRPr="00B738B7">
        <w:rPr>
          <w:sz w:val="24"/>
          <w:lang w:val="sv-SE"/>
        </w:rPr>
        <w:t>EUT C 149, 28.4.2023, s. 11.</w:t>
      </w:r>
    </w:p>
  </w:footnote>
  <w:footnote w:id="2">
    <w:p w:rsidR="0040485E" w:rsidRPr="00B738B7" w:rsidRDefault="0040485E" w:rsidP="000156A2">
      <w:pPr>
        <w:pStyle w:val="FootnoteText"/>
        <w:ind w:left="567" w:hanging="567"/>
        <w:rPr>
          <w:sz w:val="24"/>
          <w:lang w:val="sv-SE"/>
        </w:rPr>
      </w:pPr>
      <w:r w:rsidRPr="00B738B7">
        <w:rPr>
          <w:rStyle w:val="FootnoteReference"/>
          <w:sz w:val="24"/>
          <w:lang w:val="sv-SE"/>
        </w:rPr>
        <w:footnoteRef/>
      </w:r>
      <w:r w:rsidR="000156A2" w:rsidRPr="00B738B7">
        <w:rPr>
          <w:sz w:val="24"/>
          <w:lang w:val="sv-SE"/>
        </w:rPr>
        <w:t xml:space="preserve"> </w:t>
      </w:r>
      <w:r w:rsidR="000156A2" w:rsidRPr="00B738B7">
        <w:rPr>
          <w:sz w:val="24"/>
          <w:lang w:val="sv-SE"/>
        </w:rPr>
        <w:tab/>
      </w:r>
      <w:r w:rsidRPr="00B738B7">
        <w:rPr>
          <w:sz w:val="24"/>
          <w:lang w:val="sv-SE"/>
        </w:rPr>
        <w:t>Antagna texter, P9_TA(2023)0278.</w:t>
      </w:r>
    </w:p>
  </w:footnote>
  <w:footnote w:id="3">
    <w:p w:rsidR="0040485E" w:rsidRPr="00B738B7" w:rsidRDefault="0040485E" w:rsidP="000156A2">
      <w:pPr>
        <w:pStyle w:val="FootnoteText"/>
        <w:ind w:left="567" w:hanging="567"/>
        <w:rPr>
          <w:sz w:val="24"/>
          <w:lang w:val="fi-FI"/>
        </w:rPr>
      </w:pPr>
      <w:r w:rsidRPr="00B738B7">
        <w:rPr>
          <w:rStyle w:val="FootnoteReference"/>
          <w:sz w:val="24"/>
          <w:lang w:val="sv-SE"/>
        </w:rPr>
        <w:footnoteRef/>
      </w:r>
      <w:r w:rsidR="000156A2" w:rsidRPr="00B738B7">
        <w:rPr>
          <w:sz w:val="24"/>
          <w:lang w:val="fi-FI"/>
        </w:rPr>
        <w:t xml:space="preserve"> </w:t>
      </w:r>
      <w:r w:rsidR="000156A2" w:rsidRPr="00B738B7">
        <w:rPr>
          <w:sz w:val="24"/>
          <w:lang w:val="fi-FI"/>
        </w:rPr>
        <w:tab/>
      </w:r>
      <w:r w:rsidRPr="00B738B7">
        <w:rPr>
          <w:sz w:val="24"/>
          <w:lang w:val="fi-FI"/>
        </w:rPr>
        <w:t>EUT C 224, 8.6.2022, s. 95.</w:t>
      </w:r>
    </w:p>
  </w:footnote>
  <w:footnote w:id="4">
    <w:p w:rsidR="0040485E" w:rsidRPr="00B738B7" w:rsidRDefault="0040485E" w:rsidP="000156A2">
      <w:pPr>
        <w:pStyle w:val="FootnoteText"/>
        <w:ind w:left="567" w:hanging="567"/>
        <w:rPr>
          <w:sz w:val="24"/>
          <w:lang w:val="fi-FI"/>
        </w:rPr>
      </w:pPr>
      <w:r w:rsidRPr="00B738B7">
        <w:rPr>
          <w:rStyle w:val="FootnoteReference"/>
          <w:sz w:val="24"/>
          <w:lang w:val="sv-SE"/>
        </w:rPr>
        <w:footnoteRef/>
      </w:r>
      <w:r w:rsidR="000156A2" w:rsidRPr="00B738B7">
        <w:rPr>
          <w:sz w:val="24"/>
          <w:lang w:val="fi-FI"/>
        </w:rPr>
        <w:t xml:space="preserve"> </w:t>
      </w:r>
      <w:r w:rsidR="000156A2" w:rsidRPr="00B738B7">
        <w:rPr>
          <w:sz w:val="24"/>
          <w:lang w:val="fi-FI"/>
        </w:rPr>
        <w:tab/>
      </w:r>
      <w:r w:rsidRPr="00B738B7">
        <w:rPr>
          <w:sz w:val="24"/>
          <w:lang w:val="fi-FI"/>
        </w:rPr>
        <w:t xml:space="preserve">EUT C, C/2023/1058, 15.12.2023, ELI: </w:t>
      </w:r>
      <w:hyperlink r:id="rId1" w:history="1">
        <w:r w:rsidRPr="00B738B7">
          <w:rPr>
            <w:rStyle w:val="Hyperlink"/>
            <w:color w:val="auto"/>
            <w:sz w:val="24"/>
            <w:lang w:val="fi-FI"/>
          </w:rPr>
          <w:t>https://eur-lex.europa.eu/eli/C/2023/1058/oj?locale=sv</w:t>
        </w:r>
      </w:hyperlink>
      <w:r w:rsidRPr="00B738B7">
        <w:rPr>
          <w:sz w:val="24"/>
          <w:lang w:val="fi-FI"/>
        </w:rPr>
        <w:t>.</w:t>
      </w:r>
    </w:p>
  </w:footnote>
  <w:footnote w:id="5">
    <w:p w:rsidR="0040485E" w:rsidRPr="00B738B7" w:rsidRDefault="0040485E" w:rsidP="000156A2">
      <w:pPr>
        <w:pStyle w:val="FootnoteText"/>
        <w:ind w:left="567" w:hanging="567"/>
        <w:rPr>
          <w:sz w:val="24"/>
          <w:lang w:val="fi-FI"/>
        </w:rPr>
      </w:pPr>
      <w:r w:rsidRPr="00B738B7">
        <w:rPr>
          <w:rStyle w:val="FootnoteReference"/>
          <w:sz w:val="24"/>
          <w:lang w:val="sv-SE"/>
        </w:rPr>
        <w:footnoteRef/>
      </w:r>
      <w:r w:rsidR="000156A2" w:rsidRPr="00B738B7">
        <w:rPr>
          <w:sz w:val="24"/>
          <w:lang w:val="fi-FI"/>
        </w:rPr>
        <w:t xml:space="preserve"> </w:t>
      </w:r>
      <w:r w:rsidR="000156A2" w:rsidRPr="00B738B7">
        <w:rPr>
          <w:sz w:val="24"/>
          <w:lang w:val="fi-FI"/>
        </w:rPr>
        <w:tab/>
      </w:r>
      <w:r w:rsidRPr="00B738B7">
        <w:rPr>
          <w:sz w:val="24"/>
          <w:lang w:val="fi-FI"/>
        </w:rPr>
        <w:t xml:space="preserve">EUT C, C/2024/481, 23.01.2024, ELI: </w:t>
      </w:r>
      <w:hyperlink r:id="rId2" w:history="1">
        <w:r w:rsidRPr="00B738B7">
          <w:rPr>
            <w:rStyle w:val="Hyperlink"/>
            <w:color w:val="auto"/>
            <w:sz w:val="24"/>
            <w:lang w:val="fi-FI"/>
          </w:rPr>
          <w:t>https://eur-lex.europa.eu/eli/C/2024/481/oj?locale=sv</w:t>
        </w:r>
      </w:hyperlink>
      <w:r w:rsidRPr="00B738B7">
        <w:rPr>
          <w:sz w:val="24"/>
          <w:lang w:val="fi-FI"/>
        </w:rPr>
        <w:t>.</w:t>
      </w:r>
    </w:p>
  </w:footnote>
  <w:footnote w:id="6">
    <w:p w:rsidR="0040485E" w:rsidRPr="00A05E7D" w:rsidRDefault="0040485E" w:rsidP="000156A2">
      <w:pPr>
        <w:pStyle w:val="FootnoteText"/>
        <w:ind w:left="567" w:hanging="567"/>
        <w:rPr>
          <w:sz w:val="24"/>
          <w:lang w:val="sv-SE"/>
        </w:rPr>
      </w:pPr>
      <w:r w:rsidRPr="00B738B7">
        <w:rPr>
          <w:rStyle w:val="FootnoteReference"/>
          <w:sz w:val="24"/>
          <w:lang w:val="sv-SE"/>
        </w:rPr>
        <w:footnoteRef/>
      </w:r>
      <w:r w:rsidR="000156A2" w:rsidRPr="00B738B7">
        <w:rPr>
          <w:sz w:val="24"/>
          <w:lang w:val="sv-SE"/>
        </w:rPr>
        <w:t xml:space="preserve"> </w:t>
      </w:r>
      <w:r w:rsidR="000156A2" w:rsidRPr="00B738B7">
        <w:rPr>
          <w:sz w:val="24"/>
          <w:lang w:val="sv-SE"/>
        </w:rPr>
        <w:tab/>
      </w:r>
      <w:r w:rsidRPr="00B738B7">
        <w:rPr>
          <w:sz w:val="24"/>
          <w:lang w:val="sv-SE"/>
        </w:rPr>
        <w:t>Europaparlamentets och rådets förordning (EU) 2016/399 av den 9 mars 2016 om en unionskodex om gränspassage för personer (kodex om Schengengränserna) (EUT L 77, 23.3.2016, s.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156A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156A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156A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01/2024"/>
    <w:docVar w:name="dvlangue" w:val="SV"/>
    <w:docVar w:name="dvnumam" w:val="0"/>
    <w:docVar w:name="dvpe" w:val="758.769"/>
    <w:docVar w:name="dvtitre" w:val="Europaparlamentets resolution av den xx xx 2024 om expediering av tunga lastbilar vid gränsövergångsställen på grundval av framställning nr 0146/2023(2024/2540(RSP))"/>
  </w:docVars>
  <w:rsids>
    <w:rsidRoot w:val="00C027E2"/>
    <w:rsid w:val="00002272"/>
    <w:rsid w:val="000156A2"/>
    <w:rsid w:val="00064002"/>
    <w:rsid w:val="000677B9"/>
    <w:rsid w:val="000831BA"/>
    <w:rsid w:val="000A42CC"/>
    <w:rsid w:val="000E7DD9"/>
    <w:rsid w:val="0010095E"/>
    <w:rsid w:val="00125B37"/>
    <w:rsid w:val="00187494"/>
    <w:rsid w:val="001C4D83"/>
    <w:rsid w:val="001F32AE"/>
    <w:rsid w:val="002767FF"/>
    <w:rsid w:val="002B18FE"/>
    <w:rsid w:val="002B5493"/>
    <w:rsid w:val="00336BAD"/>
    <w:rsid w:val="00343214"/>
    <w:rsid w:val="00361C00"/>
    <w:rsid w:val="00395FA1"/>
    <w:rsid w:val="003E15D4"/>
    <w:rsid w:val="0040485E"/>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05E7D"/>
    <w:rsid w:val="00A1687D"/>
    <w:rsid w:val="00A43E52"/>
    <w:rsid w:val="00A4678D"/>
    <w:rsid w:val="00A778C7"/>
    <w:rsid w:val="00AB441E"/>
    <w:rsid w:val="00AB6293"/>
    <w:rsid w:val="00AE0928"/>
    <w:rsid w:val="00AF3B82"/>
    <w:rsid w:val="00B12E95"/>
    <w:rsid w:val="00B22876"/>
    <w:rsid w:val="00B558F0"/>
    <w:rsid w:val="00B738B7"/>
    <w:rsid w:val="00BD48FE"/>
    <w:rsid w:val="00BD7BD8"/>
    <w:rsid w:val="00BE6ADC"/>
    <w:rsid w:val="00C027E2"/>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977E32"/>
  <w15:chartTrackingRefBased/>
  <w15:docId w15:val="{FED14DE6-BD91-4691-B9DF-360C4F1F8D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0485E"/>
    <w:pPr>
      <w:spacing w:before="480" w:after="240"/>
    </w:pPr>
  </w:style>
  <w:style w:type="paragraph" w:customStyle="1" w:styleId="NormalHanging12a">
    <w:name w:val="NormalHanging12a"/>
    <w:basedOn w:val="Normal"/>
    <w:uiPriority w:val="99"/>
    <w:rsid w:val="0040485E"/>
    <w:pPr>
      <w:spacing w:after="240"/>
      <w:ind w:left="567" w:hanging="567"/>
    </w:pPr>
  </w:style>
  <w:style w:type="character" w:styleId="Hyperlink">
    <w:name w:val="Hyperlink"/>
    <w:basedOn w:val="DefaultParagraphFont"/>
    <w:rsid w:val="00A05E7D"/>
    <w:rPr>
      <w:color w:val="0563C1" w:themeColor="hyperlink"/>
      <w:u w:val="single"/>
    </w:rPr>
  </w:style>
  <w:style w:type="character" w:styleId="FollowedHyperlink">
    <w:name w:val="FollowedHyperlink"/>
    <w:basedOn w:val="DefaultParagraphFont"/>
    <w:rsid w:val="00A05E7D"/>
    <w:rPr>
      <w:color w:val="954F72" w:themeColor="followedHyperlink"/>
      <w:u w:val="single"/>
    </w:rPr>
  </w:style>
  <w:style w:type="paragraph" w:styleId="BalloonText">
    <w:name w:val="Balloon Text"/>
    <w:basedOn w:val="Normal"/>
    <w:link w:val="BalloonTextChar"/>
    <w:rsid w:val="00336BAD"/>
    <w:rPr>
      <w:rFonts w:ascii="Segoe UI" w:hAnsi="Segoe UI" w:cs="Segoe UI"/>
      <w:sz w:val="18"/>
      <w:szCs w:val="18"/>
    </w:rPr>
  </w:style>
  <w:style w:type="character" w:customStyle="1" w:styleId="BalloonTextChar">
    <w:name w:val="Balloon Text Char"/>
    <w:basedOn w:val="DefaultParagraphFont"/>
    <w:link w:val="BalloonText"/>
    <w:rsid w:val="00336BAD"/>
    <w:rPr>
      <w:rFonts w:ascii="Segoe UI" w:hAnsi="Segoe UI" w:cs="Segoe UI"/>
      <w:sz w:val="18"/>
      <w:szCs w:val="18"/>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eur-lex.europa.eu/eli/C/2024/481/oj?locale=sv" TargetMode="External"/><Relationship Id="rId1" Type="http://schemas.openxmlformats.org/officeDocument/2006/relationships/hyperlink" Target="https://eur-lex.europa.eu/eli/C/2023/1058/oj?locale=s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2AA09C-15AD-4A01-904C-CB39D06CB8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1298</Words>
  <Characters>8396</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HODNE Catherine</cp:lastModifiedBy>
  <cp:revision>2</cp:revision>
  <cp:lastPrinted>2004-11-19T15:42:00Z</cp:lastPrinted>
  <dcterms:created xsi:type="dcterms:W3CDTF">2024-04-10T20:09:00Z</dcterms:created>
  <dcterms:modified xsi:type="dcterms:W3CDTF">2024-04-10T20:09:00Z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B9-0201/2024</vt:lpwstr>
  </property>
  <property fmtid="{D5CDD505-2E9C-101B-9397-08002B2CF9AE}" pid="4" name="&lt;Type&gt;">
    <vt:lpwstr>RR</vt:lpwstr>
  </property>
</Properties>
</file>