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5FE" w14:paraId="34BE8DCB" w14:textId="77777777" w:rsidTr="0010095E">
        <w:trPr>
          <w:trHeight w:hRule="exact" w:val="1418"/>
        </w:trPr>
        <w:tc>
          <w:tcPr>
            <w:tcW w:w="6804" w:type="dxa"/>
            <w:shd w:val="clear" w:color="auto" w:fill="auto"/>
            <w:vAlign w:val="center"/>
          </w:tcPr>
          <w:p w14:paraId="0F97AF1F" w14:textId="77777777" w:rsidR="00751A4A" w:rsidRPr="006955FE" w:rsidRDefault="00036180" w:rsidP="0010095E">
            <w:pPr>
              <w:pStyle w:val="EPName"/>
            </w:pPr>
            <w:bookmarkStart w:id="0" w:name="_GoBack"/>
            <w:bookmarkEnd w:id="0"/>
            <w:r w:rsidRPr="006955FE">
              <w:t>Europa-Parlamentet</w:t>
            </w:r>
          </w:p>
          <w:p w14:paraId="4925FD32" w14:textId="77777777" w:rsidR="00751A4A" w:rsidRPr="006955FE" w:rsidRDefault="00817416" w:rsidP="00756632">
            <w:pPr>
              <w:pStyle w:val="EPTerm"/>
              <w:rPr>
                <w:rStyle w:val="HideTWBExt"/>
                <w:noProof w:val="0"/>
                <w:vanish w:val="0"/>
                <w:color w:val="auto"/>
              </w:rPr>
            </w:pPr>
            <w:r w:rsidRPr="006955FE">
              <w:t>2019-2024</w:t>
            </w:r>
          </w:p>
        </w:tc>
        <w:tc>
          <w:tcPr>
            <w:tcW w:w="2268" w:type="dxa"/>
            <w:shd w:val="clear" w:color="auto" w:fill="auto"/>
          </w:tcPr>
          <w:p w14:paraId="516F4533" w14:textId="77777777" w:rsidR="00751A4A" w:rsidRPr="006955FE" w:rsidRDefault="00187494" w:rsidP="0010095E">
            <w:pPr>
              <w:pStyle w:val="EPLogo"/>
            </w:pPr>
            <w:r w:rsidRPr="006955FE">
              <w:rPr>
                <w:noProof/>
                <w:lang w:eastAsia="da-DK"/>
              </w:rPr>
              <w:drawing>
                <wp:inline distT="0" distB="0" distL="0" distR="0" wp14:anchorId="1C46A907" wp14:editId="5DCF40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527D8A" w14:textId="77777777" w:rsidR="00D058B8" w:rsidRPr="006955FE" w:rsidRDefault="00D058B8" w:rsidP="004C5D52">
      <w:pPr>
        <w:pStyle w:val="LineTop"/>
      </w:pPr>
    </w:p>
    <w:p w14:paraId="30A6D3FA" w14:textId="77777777" w:rsidR="00680577" w:rsidRPr="006955FE" w:rsidRDefault="00036180" w:rsidP="00680577">
      <w:pPr>
        <w:pStyle w:val="EPBodyTA1"/>
      </w:pPr>
      <w:r w:rsidRPr="006955FE">
        <w:t>VEDTAGNE TEKSTER</w:t>
      </w:r>
    </w:p>
    <w:p w14:paraId="0B1EE42E" w14:textId="77777777" w:rsidR="00D058B8" w:rsidRPr="006955FE" w:rsidRDefault="00D058B8" w:rsidP="00D058B8">
      <w:pPr>
        <w:pStyle w:val="LineBottom"/>
      </w:pPr>
    </w:p>
    <w:p w14:paraId="3B2481B1" w14:textId="606345F6" w:rsidR="00036180" w:rsidRPr="006955FE" w:rsidRDefault="00036180" w:rsidP="00036180">
      <w:pPr>
        <w:pStyle w:val="ATHeading1"/>
      </w:pPr>
      <w:bookmarkStart w:id="1" w:name="TANumber"/>
      <w:r w:rsidRPr="006955FE">
        <w:t>P9_TA(2024)0</w:t>
      </w:r>
      <w:bookmarkEnd w:id="1"/>
      <w:r w:rsidR="00037565">
        <w:t>224</w:t>
      </w:r>
    </w:p>
    <w:p w14:paraId="029039FF" w14:textId="77777777" w:rsidR="00036180" w:rsidRPr="006955FE" w:rsidRDefault="00036180" w:rsidP="00036180">
      <w:pPr>
        <w:pStyle w:val="ATHeading2"/>
      </w:pPr>
      <w:bookmarkStart w:id="2" w:name="title"/>
      <w:r w:rsidRPr="006955FE">
        <w:t>Anmodning om ophævelse af Gunnar Becks immunitet</w:t>
      </w:r>
      <w:bookmarkEnd w:id="2"/>
    </w:p>
    <w:p w14:paraId="720DA52E" w14:textId="77777777" w:rsidR="00036180" w:rsidRPr="006955FE" w:rsidRDefault="00036180" w:rsidP="00036180">
      <w:pPr>
        <w:rPr>
          <w:i/>
          <w:vanish/>
        </w:rPr>
      </w:pPr>
      <w:r w:rsidRPr="006955FE">
        <w:rPr>
          <w:i/>
        </w:rPr>
        <w:fldChar w:fldCharType="begin"/>
      </w:r>
      <w:r w:rsidRPr="006955FE">
        <w:rPr>
          <w:i/>
        </w:rPr>
        <w:instrText xml:space="preserve"> TC"(</w:instrText>
      </w:r>
      <w:bookmarkStart w:id="3" w:name="DocNumber"/>
      <w:r w:rsidRPr="006955FE">
        <w:rPr>
          <w:i/>
        </w:rPr>
        <w:instrText>A9-0170/2024</w:instrText>
      </w:r>
      <w:bookmarkEnd w:id="3"/>
      <w:r w:rsidRPr="006955FE">
        <w:rPr>
          <w:i/>
        </w:rPr>
        <w:instrText xml:space="preserve"> - Ordfører: Ibán García Del Blanco)"\l3 \n&gt; \* MERGEFORMAT </w:instrText>
      </w:r>
      <w:r w:rsidRPr="006955FE">
        <w:rPr>
          <w:i/>
        </w:rPr>
        <w:fldChar w:fldCharType="end"/>
      </w:r>
    </w:p>
    <w:p w14:paraId="1086C2BD" w14:textId="77777777" w:rsidR="00036180" w:rsidRPr="006955FE" w:rsidRDefault="00036180" w:rsidP="00036180">
      <w:pPr>
        <w:rPr>
          <w:vanish/>
        </w:rPr>
      </w:pPr>
      <w:bookmarkStart w:id="4" w:name="Commission"/>
      <w:r w:rsidRPr="006955FE">
        <w:rPr>
          <w:vanish/>
        </w:rPr>
        <w:t>Retsudvalget</w:t>
      </w:r>
      <w:bookmarkEnd w:id="4"/>
    </w:p>
    <w:p w14:paraId="1CE97BCB" w14:textId="77777777" w:rsidR="00036180" w:rsidRPr="006955FE" w:rsidRDefault="00036180" w:rsidP="00036180">
      <w:pPr>
        <w:rPr>
          <w:vanish/>
        </w:rPr>
      </w:pPr>
      <w:bookmarkStart w:id="5" w:name="PE"/>
      <w:r w:rsidRPr="006955FE">
        <w:rPr>
          <w:vanish/>
        </w:rPr>
        <w:t>PE758.183</w:t>
      </w:r>
      <w:bookmarkEnd w:id="5"/>
    </w:p>
    <w:p w14:paraId="443ED7E3" w14:textId="5B7FDFBB" w:rsidR="00036180" w:rsidRPr="006955FE" w:rsidRDefault="00036180" w:rsidP="00036180">
      <w:pPr>
        <w:pStyle w:val="ATHeading3"/>
      </w:pPr>
      <w:bookmarkStart w:id="6" w:name="Sujet"/>
      <w:r w:rsidRPr="006955FE">
        <w:t xml:space="preserve">Europa-Parlamentets afgørelse af </w:t>
      </w:r>
      <w:r w:rsidR="0076068C">
        <w:t>11. april</w:t>
      </w:r>
      <w:r w:rsidRPr="006955FE">
        <w:t xml:space="preserve"> 2024 om anmodning om ophævelse af Gunnar Becks immunitet</w:t>
      </w:r>
      <w:bookmarkEnd w:id="6"/>
      <w:r w:rsidRPr="006955FE">
        <w:t xml:space="preserve"> </w:t>
      </w:r>
      <w:bookmarkStart w:id="7" w:name="References"/>
      <w:r w:rsidRPr="006955FE">
        <w:t>(2023/2192(IMM))</w:t>
      </w:r>
      <w:bookmarkEnd w:id="7"/>
    </w:p>
    <w:p w14:paraId="39ED01B2" w14:textId="77777777" w:rsidR="00974C27" w:rsidRPr="006955FE" w:rsidRDefault="00974C27" w:rsidP="00974C27">
      <w:pPr>
        <w:pStyle w:val="EPComma"/>
      </w:pPr>
      <w:bookmarkStart w:id="8" w:name="TextBodyBegin"/>
      <w:bookmarkEnd w:id="8"/>
      <w:r w:rsidRPr="006955FE">
        <w:rPr>
          <w:i/>
          <w:iCs/>
        </w:rPr>
        <w:t>Europa-Parlamentet,</w:t>
      </w:r>
    </w:p>
    <w:p w14:paraId="5466E886" w14:textId="77777777" w:rsidR="00974C27" w:rsidRPr="006955FE" w:rsidRDefault="00974C27" w:rsidP="00974C27">
      <w:pPr>
        <w:pStyle w:val="NormalHanging12a"/>
      </w:pPr>
      <w:r w:rsidRPr="006955FE">
        <w:t>–</w:t>
      </w:r>
      <w:r w:rsidRPr="006955FE">
        <w:tab/>
        <w:t>der henviser til anmodning om ophævelse af Gunnar Becks immunitet fra anklagemyndigheden i Düsseldorf, som er fremsendt ved skrivelse af 25. juli 2023 af det tyske forbundsjustits- og forbrugerbeskyttelsesministerium i forbindelse med en undersøgelsesprocedure på grund af mistanke om en strafbar lovovertrædelse, og hvorom der blev givet meddelelse på plenarmødet den 11. september 2023,</w:t>
      </w:r>
    </w:p>
    <w:p w14:paraId="0AF334E0" w14:textId="77777777" w:rsidR="00974C27" w:rsidRPr="006955FE" w:rsidRDefault="00974C27" w:rsidP="00974C27">
      <w:pPr>
        <w:pStyle w:val="NormalHanging12a"/>
      </w:pPr>
      <w:r w:rsidRPr="006955FE">
        <w:t>–</w:t>
      </w:r>
      <w:r w:rsidRPr="006955FE">
        <w:tab/>
        <w:t xml:space="preserve">der har hørt Gunnar Beck, jf. forretningsordenens artikel 9, stk. 6, </w:t>
      </w:r>
    </w:p>
    <w:p w14:paraId="2F4020D6" w14:textId="77777777" w:rsidR="00974C27" w:rsidRPr="006955FE" w:rsidRDefault="00974C27" w:rsidP="00974C27">
      <w:pPr>
        <w:pStyle w:val="NormalHanging12a"/>
      </w:pPr>
      <w:r w:rsidRPr="006955FE">
        <w:t>–</w:t>
      </w:r>
      <w:r w:rsidRPr="006955FE">
        <w:tab/>
        <w:t>der henviser til artikel 8 og 9 i protokol nr. 7 vedrørende Den Europæiske Unions privilegier og immuniteter samt artikel 6, stk. 2, i akten af 20. september 1976 om almindelige direkte valg af medlemmerne af Europa-Parlamentet,</w:t>
      </w:r>
    </w:p>
    <w:p w14:paraId="4A3872B4" w14:textId="77777777" w:rsidR="00974C27" w:rsidRPr="006955FE" w:rsidRDefault="00974C27" w:rsidP="00974C27">
      <w:pPr>
        <w:pStyle w:val="NormalHanging12a"/>
      </w:pPr>
      <w:r w:rsidRPr="006955FE">
        <w:t>–</w:t>
      </w:r>
      <w:r w:rsidRPr="006955FE">
        <w:tab/>
        <w:t>der henviser til de domme, som Den Europæiske Unions Domstol har afsagt den 21. oktober 2008, 19. marts 2010, 6. september 2011, 17. januar 2013 og 19. december 2019</w:t>
      </w:r>
      <w:r w:rsidRPr="006955FE">
        <w:rPr>
          <w:rStyle w:val="FootnoteReference"/>
        </w:rPr>
        <w:footnoteReference w:id="1"/>
      </w:r>
      <w:r w:rsidRPr="006955FE">
        <w:t>,</w:t>
      </w:r>
    </w:p>
    <w:p w14:paraId="72954FBC" w14:textId="77777777" w:rsidR="00974C27" w:rsidRPr="006955FE" w:rsidRDefault="00974C27" w:rsidP="00974C27">
      <w:pPr>
        <w:pStyle w:val="NormalHanging12a"/>
      </w:pPr>
      <w:r w:rsidRPr="006955FE">
        <w:t>–</w:t>
      </w:r>
      <w:r w:rsidRPr="006955FE">
        <w:tab/>
        <w:t>der henviser til § 46, stk. 2, 3 og 4, i Forbundsrepublikken Tysklands grundlov og punkt 192b i "Richtlinien für das Strafverfahren und das Bußgeldverfahren" (retningslinjer for straffe- og bødesager),</w:t>
      </w:r>
    </w:p>
    <w:p w14:paraId="6520D229" w14:textId="77777777" w:rsidR="00974C27" w:rsidRPr="006955FE" w:rsidRDefault="00974C27" w:rsidP="00974C27">
      <w:pPr>
        <w:pStyle w:val="NormalHanging12a"/>
      </w:pPr>
      <w:r w:rsidRPr="006955FE">
        <w:t>–</w:t>
      </w:r>
      <w:r w:rsidRPr="006955FE">
        <w:tab/>
        <w:t>der henviser til forretningsordenens artikel 5, stk. 2, artikel 6, stk. 1, og artikel 9,</w:t>
      </w:r>
    </w:p>
    <w:p w14:paraId="372B5A45" w14:textId="77777777" w:rsidR="00974C27" w:rsidRPr="006955FE" w:rsidRDefault="00974C27" w:rsidP="00974C27">
      <w:pPr>
        <w:pStyle w:val="NormalHanging12a"/>
      </w:pPr>
      <w:r w:rsidRPr="006955FE">
        <w:lastRenderedPageBreak/>
        <w:t>–</w:t>
      </w:r>
      <w:r w:rsidRPr="006955FE">
        <w:tab/>
        <w:t>der henviser til betænkning fra Retsudvalget (A9</w:t>
      </w:r>
      <w:r w:rsidRPr="006955FE">
        <w:noBreakHyphen/>
        <w:t>0170/2024),</w:t>
      </w:r>
    </w:p>
    <w:p w14:paraId="1532C7B6" w14:textId="77777777" w:rsidR="00974C27" w:rsidRPr="006955FE" w:rsidRDefault="00974C27" w:rsidP="00974C27">
      <w:pPr>
        <w:pStyle w:val="NormalHanging12a"/>
      </w:pPr>
      <w:r w:rsidRPr="006955FE">
        <w:t>A.</w:t>
      </w:r>
      <w:r w:rsidRPr="006955FE">
        <w:tab/>
        <w:t>der henviser til, at statsadvokaten i Düsseldorf har anmodet om ophævelse af immuniteten for Gunnar Beck, medlem af Europa-Parlamentet valgt for Tyskland, med henblik på en indledende procedure for tyveri af varer af ringe værdi kombineret med forsætlig legemsbeskadigelse og modstand mod retshåndhævelsespersonale i henhold til § 242, stk. 1, § 248a, § 223, stk. 1, § 230, stk. 1, første afsnit, § 113, stk. 1, og § 53 i den tyske straffelov;</w:t>
      </w:r>
    </w:p>
    <w:p w14:paraId="58243EE6" w14:textId="77777777" w:rsidR="00974C27" w:rsidRPr="006955FE" w:rsidRDefault="00974C27" w:rsidP="00974C27">
      <w:pPr>
        <w:pStyle w:val="NormalHanging12a"/>
      </w:pPr>
      <w:r w:rsidRPr="006955FE">
        <w:t>B.</w:t>
      </w:r>
      <w:r w:rsidRPr="006955FE">
        <w:tab/>
        <w:t>der henviser til, at Gunnar Beck den 29. oktober 2022 i et stormagasin i Neuss (Tyskland) angiveligt tog nogle testprodukter, som var udstillet med henblik på, at kunder kunne prøve dem, og angiveligt med henblik på at tage dem med uden at betale for dem; der henviser til, at der er foretaget anmeldelse for butikstyveri; der henviser til, at Gunnar Beck angiveligt forsøgte at forlade stedet, og at butiksdetektiver tilbageholdt ham; der henviser til, at retshåndhævelsespersonale efterfølgende greb ind på stedet, og at Gunnar Beck angiveligt ikke efterkom deres anmodning om ikke at modsætte sig;</w:t>
      </w:r>
    </w:p>
    <w:p w14:paraId="018DD6B9" w14:textId="77777777" w:rsidR="00974C27" w:rsidRPr="006955FE" w:rsidRDefault="00974C27" w:rsidP="00974C27">
      <w:pPr>
        <w:pStyle w:val="NormalHanging12a"/>
      </w:pPr>
      <w:r w:rsidRPr="006955FE">
        <w:t>C.</w:t>
      </w:r>
      <w:r w:rsidRPr="006955FE">
        <w:tab/>
        <w:t>der henviser til, at de formodede lovovertrædelser ikke vedrører meningstilkendegivelser eller stemmeafgivelser under udøvelsen af hvervet som medlem af Europa-Parlamentet som omhandlet i artikel 8 i protokol nr. 7 vedrørende Den Europæiske Unions privilegier og immuniteter;</w:t>
      </w:r>
    </w:p>
    <w:p w14:paraId="39733087" w14:textId="77777777" w:rsidR="00974C27" w:rsidRPr="006955FE" w:rsidRDefault="00974C27" w:rsidP="00974C27">
      <w:pPr>
        <w:pStyle w:val="NormalHanging12a"/>
      </w:pPr>
      <w:r w:rsidRPr="006955FE">
        <w:t>D.</w:t>
      </w:r>
      <w:r w:rsidRPr="006955FE">
        <w:tab/>
        <w:t>der henviser til, at Europa-Parlamentets medlemmer i henhold til artikel 9 i protokol nr. 7 vedrørende Den Europæiske Unions privilegier og immuniteter på deres eget lands område nyder de immuniteter, der tilstås medlemmerne af deres lands lovgivende forsamling;</w:t>
      </w:r>
    </w:p>
    <w:p w14:paraId="1319832A" w14:textId="77777777" w:rsidR="00974C27" w:rsidRPr="006955FE" w:rsidRDefault="00974C27" w:rsidP="00974C27">
      <w:pPr>
        <w:pStyle w:val="NormalHanging12a"/>
      </w:pPr>
      <w:r w:rsidRPr="006955FE">
        <w:t>E.</w:t>
      </w:r>
      <w:r w:rsidRPr="006955FE">
        <w:tab/>
        <w:t>der henviser til, at § 46, stk. 2, 3 og 4, i Forbundsrepublikken Tysklands grundlov lyder således:</w:t>
      </w:r>
    </w:p>
    <w:p w14:paraId="54C99236" w14:textId="77777777" w:rsidR="00974C27" w:rsidRPr="006955FE" w:rsidRDefault="00974C27" w:rsidP="00974C27">
      <w:pPr>
        <w:pStyle w:val="NormalHanging12a"/>
        <w:ind w:left="720" w:firstLine="0"/>
      </w:pPr>
      <w:r w:rsidRPr="006955FE">
        <w:t xml:space="preserve">"2. Et medlem af Forbundsdagen kan ikke uden dennes samtykke drages til ansvar for en strafbar handling eller fængsles, medmindre han er grebet på fersk gerning eller i løbet af den følgende dag. </w:t>
      </w:r>
    </w:p>
    <w:p w14:paraId="53FB050C" w14:textId="77777777" w:rsidR="00974C27" w:rsidRPr="006955FE" w:rsidRDefault="00974C27" w:rsidP="00974C27">
      <w:pPr>
        <w:pStyle w:val="NormalHanging12a"/>
        <w:ind w:left="720" w:firstLine="0"/>
      </w:pPr>
      <w:r w:rsidRPr="006955FE">
        <w:t>3. Forbundsdagens samtykke udkræves endvidere ved enhver anden begrænsning i et medlems personlige frihed eller til indledning af en procedure mod et medlem i henhold til artikel 18.</w:t>
      </w:r>
    </w:p>
    <w:p w14:paraId="5FFD789F" w14:textId="77777777" w:rsidR="00974C27" w:rsidRPr="006955FE" w:rsidRDefault="00974C27" w:rsidP="00974C27">
      <w:pPr>
        <w:pStyle w:val="NormalHanging12a"/>
        <w:ind w:left="720" w:firstLine="0"/>
      </w:pPr>
      <w:r w:rsidRPr="006955FE">
        <w:t>4. Enhver strafforfølgning og enhver procedure i henhold til artikel 18 mod et medlem af Forbundsdagen, fængsling af enhver art og enhver anden begrænsning i hans personlige frihed skal på Forbundsdagens begæring udsættes.";</w:t>
      </w:r>
    </w:p>
    <w:p w14:paraId="1A094EBF" w14:textId="77777777" w:rsidR="00974C27" w:rsidRPr="006955FE" w:rsidRDefault="00974C27" w:rsidP="00974C27">
      <w:pPr>
        <w:pStyle w:val="NormalHanging12a"/>
      </w:pPr>
      <w:r w:rsidRPr="006955FE">
        <w:t>F.</w:t>
      </w:r>
      <w:r w:rsidRPr="006955FE">
        <w:tab/>
        <w:t xml:space="preserve">der henviser til punkt 192b i </w:t>
      </w:r>
      <w:r w:rsidRPr="006955FE">
        <w:rPr>
          <w:i/>
        </w:rPr>
        <w:t>"Richtlinien für das Strafverfahren und das Bußgeldverfahren"</w:t>
      </w:r>
      <w:r w:rsidRPr="006955FE">
        <w:t xml:space="preserve"> (retningslinjer for straffe- og bødesager), som regulerer ophævelse af immuniteten for et medlem af Europa-Parlamentet og navnlig i stk. 1 bestemmer følgende:</w:t>
      </w:r>
    </w:p>
    <w:p w14:paraId="721EA6D6" w14:textId="77777777" w:rsidR="00974C27" w:rsidRPr="006955FE" w:rsidRDefault="00974C27" w:rsidP="00974C27">
      <w:pPr>
        <w:pStyle w:val="NormalHanging12a"/>
        <w:ind w:left="720" w:firstLine="0"/>
      </w:pPr>
      <w:r w:rsidRPr="0076068C">
        <w:rPr>
          <w:lang w:val="de-DE"/>
        </w:rPr>
        <w:t xml:space="preserve">"(1) </w:t>
      </w:r>
      <w:r w:rsidRPr="0076068C">
        <w:rPr>
          <w:i/>
          <w:lang w:val="de-DE"/>
        </w:rPr>
        <w:t>Einem Mitglied des Europäischen Parlaments aus der Bundesrepublik Deutschland steht die einem Abgeordneten des Deutschen Bundestages zuerkannte Immunität zu</w:t>
      </w:r>
      <w:r w:rsidRPr="0076068C">
        <w:rPr>
          <w:lang w:val="de-DE"/>
        </w:rPr>
        <w:t xml:space="preserve">. </w:t>
      </w:r>
      <w:r w:rsidRPr="006955FE">
        <w:t>(...)" (Et medlem af Europa-Parlamentet fra Forbundsrepublikken Tyskland har ret til den immunitet, der indrømmes et medlem af den tyske Forbundsdag)</w:t>
      </w:r>
    </w:p>
    <w:p w14:paraId="1CF35B74" w14:textId="77777777" w:rsidR="00974C27" w:rsidRPr="006955FE" w:rsidRDefault="00974C27" w:rsidP="00974C27">
      <w:pPr>
        <w:pStyle w:val="NormalHanging12a"/>
        <w:rPr>
          <w:szCs w:val="24"/>
        </w:rPr>
      </w:pPr>
      <w:r w:rsidRPr="006955FE">
        <w:lastRenderedPageBreak/>
        <w:t>G.</w:t>
      </w:r>
      <w:r w:rsidRPr="006955FE">
        <w:tab/>
        <w:t>der henviser til, at Parlamentet på den ene side ikke kan sidestilles med en domstol, og at medlemmet på den anden side i forbindelse med en procedure om ophævelse af immunitet ikke kan betragtes som en "anklaget"</w:t>
      </w:r>
      <w:r w:rsidRPr="006955FE">
        <w:rPr>
          <w:vertAlign w:val="superscript"/>
        </w:rPr>
        <w:footnoteReference w:id="2"/>
      </w:r>
      <w:r w:rsidRPr="006955FE">
        <w:t>;</w:t>
      </w:r>
    </w:p>
    <w:p w14:paraId="3F08206C" w14:textId="77777777" w:rsidR="00974C27" w:rsidRPr="006955FE" w:rsidRDefault="00974C27" w:rsidP="00974C27">
      <w:pPr>
        <w:pStyle w:val="NormalHanging12a"/>
      </w:pPr>
      <w:r w:rsidRPr="006955FE">
        <w:t>H.</w:t>
      </w:r>
      <w:r w:rsidRPr="006955FE">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35D09A50" w14:textId="77777777" w:rsidR="00974C27" w:rsidRPr="006955FE" w:rsidRDefault="00974C27" w:rsidP="00974C27">
      <w:pPr>
        <w:pStyle w:val="EPComma"/>
        <w:widowControl/>
        <w:spacing w:before="360"/>
        <w:ind w:left="567" w:hanging="567"/>
      </w:pPr>
      <w:r w:rsidRPr="006955FE">
        <w:t>I.</w:t>
      </w:r>
      <w:r w:rsidRPr="006955FE">
        <w:tab/>
        <w:t>der henviser til, at Parlamentet i den foreliggende sag ikke har fundet noget bevis på fumus persecutionis, dvs. faktiske omstændigheder, der tyder på, at den pågældende retsforfølgning er blevet indledt med det formål at skade medlemmets og dermed Europa-Parlamentets politiske virksomhed;</w:t>
      </w:r>
    </w:p>
    <w:p w14:paraId="1EBCC90E" w14:textId="77777777" w:rsidR="00974C27" w:rsidRPr="006955FE" w:rsidRDefault="00974C27" w:rsidP="00974C27">
      <w:pPr>
        <w:pStyle w:val="NormalHanging12a"/>
      </w:pPr>
      <w:r w:rsidRPr="006955FE">
        <w:t>1.</w:t>
      </w:r>
      <w:r w:rsidRPr="006955FE">
        <w:tab/>
        <w:t>vedtager at ophæve Gunnar Becks immunitet;</w:t>
      </w:r>
    </w:p>
    <w:p w14:paraId="4B79D755" w14:textId="447A9B71" w:rsidR="00E365E1" w:rsidRPr="006955FE" w:rsidRDefault="00974C27" w:rsidP="0076068C">
      <w:pPr>
        <w:pStyle w:val="NormalHanging12a"/>
      </w:pPr>
      <w:r w:rsidRPr="006955FE">
        <w:t>2.</w:t>
      </w:r>
      <w:r w:rsidRPr="006955FE">
        <w:tab/>
        <w:t xml:space="preserve">pålægger sin formand straks at sende denne afgørelse og det kompetente udvalgs betænkning til </w:t>
      </w:r>
      <w:r w:rsidR="00F219D2" w:rsidRPr="00F219D2">
        <w:t>Forbundsrepublikken Tyskland</w:t>
      </w:r>
      <w:r w:rsidR="00F219D2">
        <w:t xml:space="preserve">s </w:t>
      </w:r>
      <w:r w:rsidRPr="006955FE">
        <w:t>kompetente myndighed og Gunnar Beck.</w:t>
      </w:r>
      <w:bookmarkStart w:id="9" w:name="TextBodyEnd"/>
      <w:bookmarkEnd w:id="9"/>
    </w:p>
    <w:sectPr w:rsidR="00E365E1" w:rsidRPr="006955FE" w:rsidSect="006955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10FD2" w14:textId="77777777" w:rsidR="00036180" w:rsidRPr="006955FE" w:rsidRDefault="00036180">
      <w:r w:rsidRPr="006955FE">
        <w:separator/>
      </w:r>
    </w:p>
  </w:endnote>
  <w:endnote w:type="continuationSeparator" w:id="0">
    <w:p w14:paraId="4787BE5C" w14:textId="77777777" w:rsidR="00036180" w:rsidRPr="006955FE" w:rsidRDefault="00036180">
      <w:r w:rsidRPr="006955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5DF07" w14:textId="77777777" w:rsidR="00064002" w:rsidRPr="006955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7F9DC" w14:textId="77777777" w:rsidR="00064002" w:rsidRPr="006955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00C1E" w14:textId="77777777" w:rsidR="00064002" w:rsidRPr="006955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07C60" w14:textId="77777777" w:rsidR="00036180" w:rsidRPr="006955FE" w:rsidRDefault="00036180">
      <w:r w:rsidRPr="006955FE">
        <w:separator/>
      </w:r>
    </w:p>
  </w:footnote>
  <w:footnote w:type="continuationSeparator" w:id="0">
    <w:p w14:paraId="67913154" w14:textId="77777777" w:rsidR="00036180" w:rsidRPr="006955FE" w:rsidRDefault="00036180">
      <w:r w:rsidRPr="006955FE">
        <w:continuationSeparator/>
      </w:r>
    </w:p>
  </w:footnote>
  <w:footnote w:id="1">
    <w:p w14:paraId="21BC72BD" w14:textId="77777777" w:rsidR="00974C27" w:rsidRPr="006955FE" w:rsidRDefault="00974C27" w:rsidP="006955FE">
      <w:pPr>
        <w:pStyle w:val="FootnoteText"/>
        <w:ind w:left="567" w:hanging="567"/>
        <w:rPr>
          <w:sz w:val="24"/>
          <w:lang w:val="da-DK"/>
        </w:rPr>
      </w:pPr>
      <w:r w:rsidRPr="006955FE">
        <w:rPr>
          <w:rStyle w:val="FootnoteReference"/>
          <w:sz w:val="24"/>
          <w:lang w:val="da-DK"/>
        </w:rPr>
        <w:footnoteRef/>
      </w:r>
      <w:r w:rsidR="006955FE" w:rsidRPr="006955FE">
        <w:rPr>
          <w:sz w:val="24"/>
          <w:lang w:val="da-DK"/>
        </w:rPr>
        <w:t xml:space="preserve"> </w:t>
      </w:r>
      <w:r w:rsidR="006955FE" w:rsidRPr="006955FE">
        <w:rPr>
          <w:sz w:val="24"/>
          <w:lang w:val="da-DK"/>
        </w:rPr>
        <w:tab/>
      </w:r>
      <w:r w:rsidRPr="006955FE">
        <w:rPr>
          <w:sz w:val="24"/>
          <w:lang w:val="da-DK"/>
        </w:rPr>
        <w:t>Domstolens dom af 21. oktober 2008, Marra mod De Gregorio og Clemente, C-200/07 og C-201/07, ECLI:EU:C:2008:579; Rettens dom af 19. marts 2010, Gollnisch mod Parlamentet, T-42/06, ECLI:EU:T:2010:102; Domstolens dom af 6. september 2011, Patriciello, C-163/10, ECLI:EU:C:2011:543; Rettens dom af 17. januar 2013, Gollnisch mod Parlamentet, T-346/11 og T-347/11, ECLI:EU:T:2013:23; Domstolens dom af 19. december 2019, Junqueras Vies, C-502/19, ECLI:EU:C:2019:1115.</w:t>
      </w:r>
    </w:p>
  </w:footnote>
  <w:footnote w:id="2">
    <w:p w14:paraId="558A8F88" w14:textId="77777777" w:rsidR="00974C27" w:rsidRPr="006955FE" w:rsidRDefault="00974C27" w:rsidP="006955FE">
      <w:pPr>
        <w:pStyle w:val="FootnoteText"/>
        <w:ind w:left="567" w:hanging="567"/>
        <w:rPr>
          <w:sz w:val="24"/>
          <w:lang w:val="da-DK"/>
        </w:rPr>
      </w:pPr>
      <w:r w:rsidRPr="006955FE">
        <w:rPr>
          <w:rStyle w:val="FootnoteReference"/>
          <w:sz w:val="24"/>
          <w:lang w:val="da-DK"/>
        </w:rPr>
        <w:footnoteRef/>
      </w:r>
      <w:r w:rsidR="006955FE" w:rsidRPr="006955FE">
        <w:rPr>
          <w:sz w:val="24"/>
          <w:lang w:val="da-DK"/>
        </w:rPr>
        <w:t xml:space="preserve"> </w:t>
      </w:r>
      <w:r w:rsidR="006955FE" w:rsidRPr="006955FE">
        <w:rPr>
          <w:sz w:val="24"/>
          <w:lang w:val="da-DK"/>
        </w:rPr>
        <w:tab/>
      </w:r>
      <w:r w:rsidRPr="006955FE">
        <w:rPr>
          <w:sz w:val="24"/>
          <w:lang w:val="da-DK"/>
        </w:rPr>
        <w:t>Rettens dom af 30. april 2019, Briois mod Parlamentet, T-214/18, 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25E0A" w14:textId="77777777" w:rsidR="00064002" w:rsidRPr="006955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71692" w14:textId="77777777" w:rsidR="00064002" w:rsidRPr="006955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6A07" w14:textId="77777777" w:rsidR="00064002" w:rsidRPr="006955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DA"/>
    <w:docVar w:name="dvnumam" w:val="0"/>
    <w:docVar w:name="dvpe" w:val="758.183"/>
    <w:docVar w:name="dvrapporteur" w:val="Ordfører: "/>
    <w:docVar w:name="dvtitre" w:val="Europa-Parlamentets afgørelse af xx.xx 2024 om anmodning om ophævelse af Gunnar Becks immunitet(2023/2192(IMM))"/>
  </w:docVars>
  <w:rsids>
    <w:rsidRoot w:val="00036180"/>
    <w:rsid w:val="00002272"/>
    <w:rsid w:val="00036180"/>
    <w:rsid w:val="0003756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55FE"/>
    <w:rsid w:val="006F74FA"/>
    <w:rsid w:val="00731ADD"/>
    <w:rsid w:val="00734777"/>
    <w:rsid w:val="00747932"/>
    <w:rsid w:val="00751A4A"/>
    <w:rsid w:val="00756632"/>
    <w:rsid w:val="0076068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C2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9D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EC62"/>
  <w15:chartTrackingRefBased/>
  <w15:docId w15:val="{EACBB922-0252-43E9-8BDC-66AE61FD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74C27"/>
    <w:pPr>
      <w:spacing w:after="240"/>
      <w:ind w:left="567" w:hanging="567"/>
    </w:pPr>
  </w:style>
  <w:style w:type="paragraph" w:customStyle="1" w:styleId="EPComma">
    <w:name w:val="EPComma"/>
    <w:basedOn w:val="Normal"/>
    <w:rsid w:val="00974C27"/>
    <w:pPr>
      <w:spacing w:before="480" w:after="240"/>
    </w:pPr>
  </w:style>
  <w:style w:type="character" w:styleId="CommentReference">
    <w:name w:val="annotation reference"/>
    <w:basedOn w:val="DefaultParagraphFont"/>
    <w:rsid w:val="00F219D2"/>
    <w:rPr>
      <w:sz w:val="16"/>
      <w:szCs w:val="16"/>
    </w:rPr>
  </w:style>
  <w:style w:type="paragraph" w:styleId="CommentText">
    <w:name w:val="annotation text"/>
    <w:basedOn w:val="Normal"/>
    <w:link w:val="CommentTextChar"/>
    <w:rsid w:val="00F219D2"/>
    <w:rPr>
      <w:sz w:val="20"/>
    </w:rPr>
  </w:style>
  <w:style w:type="character" w:customStyle="1" w:styleId="CommentTextChar">
    <w:name w:val="Comment Text Char"/>
    <w:basedOn w:val="DefaultParagraphFont"/>
    <w:link w:val="CommentText"/>
    <w:rsid w:val="00F219D2"/>
    <w:rPr>
      <w:lang w:val="da-DK"/>
    </w:rPr>
  </w:style>
  <w:style w:type="paragraph" w:styleId="CommentSubject">
    <w:name w:val="annotation subject"/>
    <w:basedOn w:val="CommentText"/>
    <w:next w:val="CommentText"/>
    <w:link w:val="CommentSubjectChar"/>
    <w:rsid w:val="00F219D2"/>
    <w:rPr>
      <w:b/>
      <w:bCs/>
    </w:rPr>
  </w:style>
  <w:style w:type="character" w:customStyle="1" w:styleId="CommentSubjectChar">
    <w:name w:val="Comment Subject Char"/>
    <w:basedOn w:val="CommentTextChar"/>
    <w:link w:val="CommentSubject"/>
    <w:rsid w:val="00F219D2"/>
    <w:rPr>
      <w:b/>
      <w:bCs/>
      <w:lang w:val="da-DK"/>
    </w:rPr>
  </w:style>
  <w:style w:type="paragraph" w:styleId="BalloonText">
    <w:name w:val="Balloon Text"/>
    <w:basedOn w:val="Normal"/>
    <w:link w:val="BalloonTextChar"/>
    <w:rsid w:val="00F219D2"/>
    <w:rPr>
      <w:rFonts w:ascii="Segoe UI" w:hAnsi="Segoe UI" w:cs="Segoe UI"/>
      <w:sz w:val="18"/>
      <w:szCs w:val="18"/>
    </w:rPr>
  </w:style>
  <w:style w:type="character" w:customStyle="1" w:styleId="BalloonTextChar">
    <w:name w:val="Balloon Text Char"/>
    <w:basedOn w:val="DefaultParagraphFont"/>
    <w:link w:val="BalloonText"/>
    <w:rsid w:val="00F219D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61AB9-B73C-4737-A1D1-543AC732A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795</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2024-04-11T10:00:00Z</dcterms:created>
  <dcterms:modified xsi:type="dcterms:W3CDTF">2024-04-11T10:00:00Z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A9-0170/2024</vt:lpwstr>
  </property>
  <property fmtid="{D5CDD505-2E9C-101B-9397-08002B2CF9AE}" pid="4" name="&lt;Type&gt;">
    <vt:lpwstr>RR</vt:lpwstr>
  </property>
</Properties>
</file>