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7E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7E62" w:rsidRDefault="00176821" w:rsidP="0010095E">
            <w:pPr>
              <w:pStyle w:val="EPName"/>
            </w:pPr>
            <w:bookmarkStart w:id="0" w:name="_GoBack"/>
            <w:bookmarkEnd w:id="0"/>
            <w:r w:rsidRPr="00B67E62">
              <w:t>Parlamento europeo</w:t>
            </w:r>
          </w:p>
          <w:p w:rsidR="00751A4A" w:rsidRPr="00B67E6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7E6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67E62" w:rsidRDefault="00187494" w:rsidP="0010095E">
            <w:pPr>
              <w:pStyle w:val="EPLogo"/>
            </w:pPr>
            <w:r w:rsidRPr="00B67E6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7E62" w:rsidRDefault="00D058B8" w:rsidP="004C5D52">
      <w:pPr>
        <w:pStyle w:val="LineTop"/>
      </w:pPr>
    </w:p>
    <w:p w:rsidR="00680577" w:rsidRPr="00B67E62" w:rsidRDefault="00176821" w:rsidP="00680577">
      <w:pPr>
        <w:pStyle w:val="EPBodyTA1"/>
      </w:pPr>
      <w:r w:rsidRPr="00B67E62">
        <w:t>TESTI APPROVATI</w:t>
      </w:r>
    </w:p>
    <w:p w:rsidR="00D058B8" w:rsidRPr="00B67E62" w:rsidRDefault="00D058B8" w:rsidP="00D058B8">
      <w:pPr>
        <w:pStyle w:val="LineBottom"/>
      </w:pPr>
    </w:p>
    <w:p w:rsidR="00176821" w:rsidRPr="00B67E62" w:rsidRDefault="00176821" w:rsidP="00176821">
      <w:pPr>
        <w:pStyle w:val="ATHeading1"/>
      </w:pPr>
      <w:bookmarkStart w:id="1" w:name="TANumber"/>
      <w:r w:rsidRPr="00B67E62">
        <w:t>P9_</w:t>
      </w:r>
      <w:proofErr w:type="gramStart"/>
      <w:r w:rsidRPr="00B67E62">
        <w:t>TA(</w:t>
      </w:r>
      <w:proofErr w:type="gramEnd"/>
      <w:r w:rsidRPr="00B67E62">
        <w:t>2024)0</w:t>
      </w:r>
      <w:r w:rsidR="00B67E62" w:rsidRPr="00B67E62">
        <w:t>224</w:t>
      </w:r>
      <w:bookmarkEnd w:id="1"/>
    </w:p>
    <w:p w:rsidR="00176821" w:rsidRPr="00B67E62" w:rsidRDefault="00176821" w:rsidP="00176821">
      <w:pPr>
        <w:pStyle w:val="ATHeading2"/>
      </w:pPr>
      <w:bookmarkStart w:id="2" w:name="title"/>
      <w:r w:rsidRPr="00B67E62">
        <w:t xml:space="preserve">Richiesta di revoca dell'immunità di </w:t>
      </w:r>
      <w:proofErr w:type="spellStart"/>
      <w:r w:rsidRPr="00B67E62">
        <w:t>Gunnar</w:t>
      </w:r>
      <w:proofErr w:type="spellEnd"/>
      <w:r w:rsidRPr="00B67E62">
        <w:t xml:space="preserve"> Beck</w:t>
      </w:r>
      <w:bookmarkEnd w:id="2"/>
    </w:p>
    <w:p w:rsidR="00176821" w:rsidRPr="00B67E62" w:rsidRDefault="00176821" w:rsidP="00176821">
      <w:pPr>
        <w:rPr>
          <w:i/>
          <w:vanish/>
        </w:rPr>
      </w:pPr>
      <w:r w:rsidRPr="00B67E62">
        <w:rPr>
          <w:i/>
        </w:rPr>
        <w:fldChar w:fldCharType="begin"/>
      </w:r>
      <w:r w:rsidRPr="00B67E62">
        <w:rPr>
          <w:i/>
        </w:rPr>
        <w:instrText xml:space="preserve"> TC"(</w:instrText>
      </w:r>
      <w:bookmarkStart w:id="3" w:name="DocNumber"/>
      <w:r w:rsidRPr="00B67E62">
        <w:rPr>
          <w:i/>
        </w:rPr>
        <w:instrText>A9-0170/2024</w:instrText>
      </w:r>
      <w:bookmarkEnd w:id="3"/>
      <w:r w:rsidRPr="00B67E62">
        <w:rPr>
          <w:i/>
        </w:rPr>
        <w:instrText xml:space="preserve"> - Relatore: </w:instrText>
      </w:r>
      <w:proofErr w:type="spellStart"/>
      <w:r w:rsidRPr="00B67E62">
        <w:rPr>
          <w:i/>
        </w:rPr>
        <w:instrText>Ibán</w:instrText>
      </w:r>
      <w:proofErr w:type="spellEnd"/>
      <w:r w:rsidRPr="00B67E62">
        <w:rPr>
          <w:i/>
        </w:rPr>
        <w:instrText xml:space="preserve"> García Del </w:instrText>
      </w:r>
      <w:proofErr w:type="spellStart"/>
      <w:r w:rsidRPr="00B67E62">
        <w:rPr>
          <w:i/>
        </w:rPr>
        <w:instrText>Blanco</w:instrText>
      </w:r>
      <w:proofErr w:type="spellEnd"/>
      <w:r w:rsidRPr="00B67E62">
        <w:rPr>
          <w:i/>
        </w:rPr>
        <w:instrText xml:space="preserve">)"\l3 \n&gt; \* MERGEFORMAT </w:instrText>
      </w:r>
      <w:r w:rsidRPr="00B67E62">
        <w:rPr>
          <w:i/>
        </w:rPr>
        <w:fldChar w:fldCharType="end"/>
      </w:r>
    </w:p>
    <w:p w:rsidR="00176821" w:rsidRPr="00B67E62" w:rsidRDefault="00176821" w:rsidP="00176821">
      <w:pPr>
        <w:rPr>
          <w:vanish/>
        </w:rPr>
      </w:pPr>
      <w:bookmarkStart w:id="4" w:name="Commission"/>
      <w:r w:rsidRPr="00B67E62">
        <w:rPr>
          <w:vanish/>
        </w:rPr>
        <w:t>Commissione giuridica</w:t>
      </w:r>
      <w:bookmarkEnd w:id="4"/>
    </w:p>
    <w:p w:rsidR="00176821" w:rsidRPr="00B67E62" w:rsidRDefault="00176821" w:rsidP="00176821">
      <w:pPr>
        <w:rPr>
          <w:vanish/>
        </w:rPr>
      </w:pPr>
      <w:bookmarkStart w:id="5" w:name="PE"/>
      <w:r w:rsidRPr="00B67E62">
        <w:rPr>
          <w:vanish/>
        </w:rPr>
        <w:t>PE758.183</w:t>
      </w:r>
      <w:bookmarkEnd w:id="5"/>
    </w:p>
    <w:p w:rsidR="00176821" w:rsidRPr="00B67E62" w:rsidRDefault="00176821" w:rsidP="00176821">
      <w:pPr>
        <w:pStyle w:val="ATHeading3"/>
      </w:pPr>
      <w:bookmarkStart w:id="6" w:name="Sujet"/>
      <w:r w:rsidRPr="00B67E62">
        <w:t xml:space="preserve">Decisione del Parlamento europeo dell'11 aprile 2024 sulla richiesta di revoca dell'immunità di </w:t>
      </w:r>
      <w:proofErr w:type="spellStart"/>
      <w:r w:rsidRPr="00B67E62">
        <w:t>Gunnar</w:t>
      </w:r>
      <w:proofErr w:type="spellEnd"/>
      <w:r w:rsidRPr="00B67E62">
        <w:t xml:space="preserve"> Beck</w:t>
      </w:r>
      <w:bookmarkEnd w:id="6"/>
      <w:r w:rsidRPr="00B67E62">
        <w:t xml:space="preserve"> </w:t>
      </w:r>
      <w:bookmarkStart w:id="7" w:name="References"/>
      <w:r w:rsidRPr="00B67E62">
        <w:t>(2023/2192(IMM))</w:t>
      </w:r>
      <w:bookmarkEnd w:id="7"/>
    </w:p>
    <w:p w:rsidR="0055355A" w:rsidRPr="00B67E62" w:rsidRDefault="0055355A" w:rsidP="0055355A">
      <w:pPr>
        <w:pStyle w:val="EPComma"/>
      </w:pPr>
      <w:bookmarkStart w:id="8" w:name="TextBodyBegin"/>
      <w:bookmarkEnd w:id="8"/>
      <w:r w:rsidRPr="00B67E62">
        <w:rPr>
          <w:i/>
          <w:iCs/>
        </w:rPr>
        <w:t>Il Parlamento europeo</w:t>
      </w:r>
      <w:r w:rsidRPr="00B67E62">
        <w:t>,</w:t>
      </w:r>
    </w:p>
    <w:p w:rsidR="0055355A" w:rsidRPr="00B67E62" w:rsidRDefault="0055355A" w:rsidP="0055355A">
      <w:pPr>
        <w:pStyle w:val="NormalHanging12a"/>
      </w:pPr>
      <w:r w:rsidRPr="00B67E62">
        <w:t>–</w:t>
      </w:r>
      <w:r w:rsidRPr="00B67E62">
        <w:tab/>
        <w:t xml:space="preserve">vista la richiesta del Procuratore generale di Düsseldorf di revocare l'immunità di </w:t>
      </w:r>
      <w:proofErr w:type="spellStart"/>
      <w:r w:rsidRPr="00B67E62">
        <w:t>Gunnar</w:t>
      </w:r>
      <w:proofErr w:type="spellEnd"/>
      <w:r w:rsidRPr="00B67E62">
        <w:t xml:space="preserve"> Beck, trasmessa con lettera in data 25 luglio 2023 dal ministero federale tedesco della Giustizia e della tutela dei consumatori, in relazione a un'indagine preliminare su presunti reati, e comunicata in Aula l'11 settembre 2023,</w:t>
      </w:r>
    </w:p>
    <w:p w:rsidR="0055355A" w:rsidRPr="00B67E62" w:rsidRDefault="0055355A" w:rsidP="0055355A">
      <w:pPr>
        <w:pStyle w:val="NormalHanging12a"/>
      </w:pPr>
      <w:r w:rsidRPr="00B67E62">
        <w:t>–</w:t>
      </w:r>
      <w:r w:rsidRPr="00B67E62">
        <w:tab/>
        <w:t xml:space="preserve">avendo ascoltato </w:t>
      </w:r>
      <w:proofErr w:type="spellStart"/>
      <w:r w:rsidRPr="00B67E62">
        <w:t>Gunnar</w:t>
      </w:r>
      <w:proofErr w:type="spellEnd"/>
      <w:r w:rsidRPr="00B67E62">
        <w:t xml:space="preserve"> Beck, a norma dell'articolo 9, paragrafo 6, del suo regolamento, </w:t>
      </w:r>
    </w:p>
    <w:p w:rsidR="0055355A" w:rsidRPr="00B67E62" w:rsidRDefault="0055355A" w:rsidP="0055355A">
      <w:pPr>
        <w:pStyle w:val="NormalHanging12a"/>
      </w:pPr>
      <w:r w:rsidRPr="00B67E62">
        <w:t>–</w:t>
      </w:r>
      <w:r w:rsidRPr="00B67E62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55355A" w:rsidRPr="00B67E62" w:rsidRDefault="0055355A" w:rsidP="0055355A">
      <w:pPr>
        <w:pStyle w:val="NormalHanging12a"/>
      </w:pPr>
      <w:r w:rsidRPr="00B67E62">
        <w:t>–</w:t>
      </w:r>
      <w:r w:rsidRPr="00B67E62">
        <w:tab/>
        <w:t>viste le sentenze pronunciate dalla Corte di giustizia dell'Unione europea il 21 ottobre 2008, 19 marzo 2010, 6 settembre 2011, 17 gennaio 2013 e 19 dicembre 2019</w:t>
      </w:r>
      <w:r w:rsidRPr="00B67E62">
        <w:rPr>
          <w:rStyle w:val="FootnoteReference"/>
        </w:rPr>
        <w:footnoteReference w:id="1"/>
      </w:r>
      <w:r w:rsidRPr="00B67E62">
        <w:t>,</w:t>
      </w:r>
    </w:p>
    <w:p w:rsidR="0055355A" w:rsidRPr="00B67E62" w:rsidRDefault="0055355A" w:rsidP="0055355A">
      <w:pPr>
        <w:pStyle w:val="NormalHanging12a"/>
      </w:pPr>
      <w:r w:rsidRPr="00B67E62">
        <w:t>–</w:t>
      </w:r>
      <w:r w:rsidRPr="00B67E62">
        <w:tab/>
        <w:t>visti il paragrafo 46, commi 2, 3 e 4 della Legge fondamentale della Repubblica federale di Germania e il paragrafo 192b delle linee guida per il procedimento penale e per il procedimento per infrazione amministrativa,</w:t>
      </w:r>
    </w:p>
    <w:p w:rsidR="0055355A" w:rsidRPr="00B67E62" w:rsidRDefault="0055355A" w:rsidP="0055355A">
      <w:pPr>
        <w:pStyle w:val="NormalHanging12a"/>
      </w:pPr>
      <w:r w:rsidRPr="00B67E62">
        <w:t>–</w:t>
      </w:r>
      <w:r w:rsidRPr="00B67E62">
        <w:tab/>
        <w:t>visti l'articolo 5, paragrafo 2, l'articolo 6, paragrafo 1, e l'articolo 9 del suo regolamento,</w:t>
      </w:r>
    </w:p>
    <w:p w:rsidR="0055355A" w:rsidRPr="00B67E62" w:rsidRDefault="0055355A" w:rsidP="0055355A">
      <w:pPr>
        <w:pStyle w:val="NormalHanging12a"/>
      </w:pPr>
      <w:r w:rsidRPr="00B67E62">
        <w:lastRenderedPageBreak/>
        <w:t>–</w:t>
      </w:r>
      <w:r w:rsidRPr="00B67E62">
        <w:tab/>
        <w:t>vista la relazione della commissione giuridica (A9</w:t>
      </w:r>
      <w:r w:rsidRPr="00B67E62">
        <w:noBreakHyphen/>
        <w:t>0170/2024),</w:t>
      </w:r>
    </w:p>
    <w:p w:rsidR="0055355A" w:rsidRPr="00B67E62" w:rsidRDefault="0055355A" w:rsidP="0055355A">
      <w:pPr>
        <w:pStyle w:val="NormalHanging12a"/>
      </w:pPr>
      <w:r w:rsidRPr="00B67E62">
        <w:t>A.</w:t>
      </w:r>
      <w:r w:rsidRPr="00B67E62">
        <w:tab/>
        <w:t xml:space="preserve">considerando che il Procuratore generale di Düsseldorf ha chiesto la revoca dell'immunità di </w:t>
      </w:r>
      <w:proofErr w:type="spellStart"/>
      <w:r w:rsidRPr="00B67E62">
        <w:t>Gunnar</w:t>
      </w:r>
      <w:proofErr w:type="spellEnd"/>
      <w:r w:rsidRPr="00B67E62">
        <w:t xml:space="preserve"> Beck, deputato al Parlamento europeo eletto </w:t>
      </w:r>
      <w:r w:rsidR="003800BD" w:rsidRPr="00B67E62">
        <w:t>in</w:t>
      </w:r>
      <w:r w:rsidRPr="00B67E62">
        <w:t xml:space="preserve"> Germania, al fine di avviare un procedimento preliminare per furto di beni di scarso valore associato a lesioni personali dolose e resistenza ai funzionari delle autorità di contrasto, ai sensi delle sezioni 242(1), 248a, 223(1), 230(1), frase 1, 113(1) e 53 del Codice penale tedesco;</w:t>
      </w:r>
    </w:p>
    <w:p w:rsidR="0055355A" w:rsidRPr="00B67E62" w:rsidRDefault="0055355A" w:rsidP="0055355A">
      <w:pPr>
        <w:pStyle w:val="NormalHanging12a"/>
      </w:pPr>
      <w:r w:rsidRPr="00B67E62">
        <w:t>B.</w:t>
      </w:r>
      <w:r w:rsidRPr="00B67E62">
        <w:tab/>
        <w:t xml:space="preserve">considerando che, il 29 ottobre 2022, in un grande magazzino a Neuss (Germania), </w:t>
      </w:r>
      <w:proofErr w:type="spellStart"/>
      <w:r w:rsidRPr="00B67E62">
        <w:t>Gunnar</w:t>
      </w:r>
      <w:proofErr w:type="spellEnd"/>
      <w:r w:rsidRPr="00B67E62">
        <w:t xml:space="preserve"> Beck avrebbe preso alcuni prodotti tester esposti per essere testati dai clienti, presumibilmente con l'intenzione di portarli via senza pagarli; che è stato segnalato un reato di taccheggio; che </w:t>
      </w:r>
      <w:proofErr w:type="spellStart"/>
      <w:r w:rsidRPr="00B67E62">
        <w:t>Gunnar</w:t>
      </w:r>
      <w:proofErr w:type="spellEnd"/>
      <w:r w:rsidRPr="00B67E62">
        <w:t xml:space="preserve"> Beck avrebbe tentato di lasciare i locali e che gli agenti del negozio lo avrebbero fermato; che, successivamente, i funzionari delle autorità di contrasto sono intervenuti sulla scena e che, presumibilmente, </w:t>
      </w:r>
      <w:proofErr w:type="spellStart"/>
      <w:r w:rsidRPr="00B67E62">
        <w:t>Gunnar</w:t>
      </w:r>
      <w:proofErr w:type="spellEnd"/>
      <w:r w:rsidRPr="00B67E62">
        <w:t xml:space="preserve"> Beck non ha ottemperato alle loro richieste di non opporre resistenza;</w:t>
      </w:r>
    </w:p>
    <w:p w:rsidR="0055355A" w:rsidRPr="00B67E62" w:rsidRDefault="0055355A" w:rsidP="0055355A">
      <w:pPr>
        <w:pStyle w:val="NormalHanging12a"/>
      </w:pPr>
      <w:r w:rsidRPr="00B67E62">
        <w:t>C.</w:t>
      </w:r>
      <w:r w:rsidRPr="00B67E62">
        <w:tab/>
        <w:t>considerando che i presunti reati non riguardano opinioni o voti espressi nell'esercizio delle funzioni di deputato al Parlamento europeo ai sensi dell'articolo 8 del protocollo n. 7 sui privilegi e sulle immunità dell'Unione europea;</w:t>
      </w:r>
    </w:p>
    <w:p w:rsidR="0055355A" w:rsidRPr="00B67E62" w:rsidRDefault="0055355A" w:rsidP="0055355A">
      <w:pPr>
        <w:pStyle w:val="NormalHanging12a"/>
      </w:pPr>
      <w:r w:rsidRPr="00B67E62">
        <w:t>D.</w:t>
      </w:r>
      <w:r w:rsidRPr="00B67E62">
        <w:tab/>
        <w:t>considerando che l'articolo 9 del protocollo n. 7 sui privilegi e sulle immunità dell'Unione europea stabilisce che i membri del Parlamento europeo beneficiano, sul territorio nazionale, delle immunità riconosciute ai membri del parlamento del loro paese;</w:t>
      </w:r>
    </w:p>
    <w:p w:rsidR="0055355A" w:rsidRPr="00B67E62" w:rsidRDefault="0055355A" w:rsidP="0055355A">
      <w:pPr>
        <w:pStyle w:val="NormalHanging12a"/>
      </w:pPr>
      <w:r w:rsidRPr="00B67E62">
        <w:t>E.</w:t>
      </w:r>
      <w:r w:rsidRPr="00B67E62">
        <w:tab/>
        <w:t>considerando che il paragrafo 46, commi 2, 3 e 4 della Legge fondamentale della Repubblica federale di Germania dispone quanto segue:</w:t>
      </w:r>
    </w:p>
    <w:p w:rsidR="0055355A" w:rsidRPr="00B67E62" w:rsidRDefault="0055355A" w:rsidP="0055355A">
      <w:pPr>
        <w:pStyle w:val="NormalHanging12a"/>
        <w:ind w:left="720" w:firstLine="0"/>
      </w:pPr>
      <w:r w:rsidRPr="00B67E62">
        <w:t xml:space="preserve">"(2) Un deputato non può essere chiamato a rispondere o essere arrestato per un reato punibile senza l'autorizzazione del </w:t>
      </w:r>
      <w:proofErr w:type="spellStart"/>
      <w:r w:rsidRPr="00B67E62">
        <w:t>Bundestag</w:t>
      </w:r>
      <w:proofErr w:type="spellEnd"/>
      <w:r w:rsidRPr="00B67E62">
        <w:t xml:space="preserve"> a meno che non sia stato arrestato in flagrante delitto o nel corso del giorno successivo alla commissione di tale reato. </w:t>
      </w:r>
    </w:p>
    <w:p w:rsidR="0055355A" w:rsidRPr="00B67E62" w:rsidRDefault="0055355A" w:rsidP="0055355A">
      <w:pPr>
        <w:pStyle w:val="NormalHanging12a"/>
        <w:ind w:left="720" w:firstLine="0"/>
      </w:pPr>
      <w:r w:rsidRPr="00B67E62">
        <w:t xml:space="preserve">(3) L'autorizzazione del </w:t>
      </w:r>
      <w:proofErr w:type="spellStart"/>
      <w:r w:rsidRPr="00B67E62">
        <w:t>Bundestag</w:t>
      </w:r>
      <w:proofErr w:type="spellEnd"/>
      <w:r w:rsidRPr="00B67E62">
        <w:t xml:space="preserve"> è inoltre necessaria per qualsiasi altra restrizione della libertà personale di un deputato o per avviare un procedimento contro un deputato ai sensi dell'articolo 18.</w:t>
      </w:r>
    </w:p>
    <w:p w:rsidR="0055355A" w:rsidRPr="00B67E62" w:rsidRDefault="0055355A" w:rsidP="0055355A">
      <w:pPr>
        <w:pStyle w:val="NormalHanging12a"/>
        <w:ind w:left="720" w:firstLine="0"/>
      </w:pPr>
      <w:r w:rsidRPr="00B67E62">
        <w:t xml:space="preserve">(4) Qualsiasi procedimento penale e qualsiasi procedimento ai sensi dell'articolo 18 contro un deputato, qualsiasi arresto e qualsiasi altra restrizione della sua libertà personale devono essere sospesi su richiesta del </w:t>
      </w:r>
      <w:proofErr w:type="spellStart"/>
      <w:r w:rsidRPr="00B67E62">
        <w:t>Bundestag</w:t>
      </w:r>
      <w:proofErr w:type="spellEnd"/>
      <w:r w:rsidRPr="00B67E62">
        <w:t>.";</w:t>
      </w:r>
    </w:p>
    <w:p w:rsidR="0055355A" w:rsidRPr="00B67E62" w:rsidRDefault="0055355A" w:rsidP="0055355A">
      <w:pPr>
        <w:pStyle w:val="NormalHanging12a"/>
      </w:pPr>
      <w:r w:rsidRPr="00B67E62">
        <w:t>F.</w:t>
      </w:r>
      <w:r w:rsidRPr="00B67E62">
        <w:tab/>
        <w:t xml:space="preserve">considerando che il paragrafo 192b delle </w:t>
      </w:r>
      <w:proofErr w:type="spellStart"/>
      <w:r w:rsidRPr="00B67E62">
        <w:rPr>
          <w:i/>
        </w:rPr>
        <w:t>Richtlinien</w:t>
      </w:r>
      <w:proofErr w:type="spellEnd"/>
      <w:r w:rsidRPr="00B67E62">
        <w:rPr>
          <w:i/>
        </w:rPr>
        <w:t xml:space="preserve"> </w:t>
      </w:r>
      <w:proofErr w:type="spellStart"/>
      <w:r w:rsidRPr="00B67E62">
        <w:rPr>
          <w:i/>
        </w:rPr>
        <w:t>für</w:t>
      </w:r>
      <w:proofErr w:type="spellEnd"/>
      <w:r w:rsidRPr="00B67E62">
        <w:rPr>
          <w:i/>
        </w:rPr>
        <w:t xml:space="preserve"> </w:t>
      </w:r>
      <w:proofErr w:type="spellStart"/>
      <w:r w:rsidRPr="00B67E62">
        <w:rPr>
          <w:i/>
        </w:rPr>
        <w:t>das</w:t>
      </w:r>
      <w:proofErr w:type="spellEnd"/>
      <w:r w:rsidRPr="00B67E62">
        <w:rPr>
          <w:i/>
        </w:rPr>
        <w:t xml:space="preserve"> </w:t>
      </w:r>
      <w:proofErr w:type="spellStart"/>
      <w:r w:rsidRPr="00B67E62">
        <w:rPr>
          <w:i/>
        </w:rPr>
        <w:t>Strafverfahren</w:t>
      </w:r>
      <w:proofErr w:type="spellEnd"/>
      <w:r w:rsidRPr="00B67E62">
        <w:rPr>
          <w:i/>
        </w:rPr>
        <w:t xml:space="preserve"> und </w:t>
      </w:r>
      <w:proofErr w:type="spellStart"/>
      <w:r w:rsidRPr="00B67E62">
        <w:rPr>
          <w:i/>
        </w:rPr>
        <w:t>das</w:t>
      </w:r>
      <w:proofErr w:type="spellEnd"/>
      <w:r w:rsidRPr="00B67E62">
        <w:rPr>
          <w:i/>
        </w:rPr>
        <w:t xml:space="preserve"> </w:t>
      </w:r>
      <w:proofErr w:type="spellStart"/>
      <w:r w:rsidRPr="00B67E62">
        <w:rPr>
          <w:i/>
        </w:rPr>
        <w:t>Bußgeldverfahren</w:t>
      </w:r>
      <w:proofErr w:type="spellEnd"/>
      <w:r w:rsidRPr="00B67E62">
        <w:t xml:space="preserve"> (linee guida per il procedimento penale e per il procedimento per infrazione amministrativa) disciplina la revoca dell'immunità di un deputato al Parlamento europeo e che, in particolare, il comma 1 dispone quanto segue:</w:t>
      </w:r>
    </w:p>
    <w:p w:rsidR="0055355A" w:rsidRPr="00B67E62" w:rsidRDefault="0055355A" w:rsidP="0055355A">
      <w:pPr>
        <w:pStyle w:val="NormalHanging12a"/>
        <w:ind w:left="720" w:firstLine="0"/>
      </w:pPr>
      <w:r w:rsidRPr="00B67E62">
        <w:rPr>
          <w:lang w:val="de-DE"/>
        </w:rPr>
        <w:t xml:space="preserve">"(1) </w:t>
      </w:r>
      <w:r w:rsidRPr="00B67E62">
        <w:rPr>
          <w:i/>
          <w:lang w:val="de-DE"/>
        </w:rPr>
        <w:t>Einem Mitglied des Europäischen Parlaments aus der Bundesrepublik Deutschland steht die einem Abgeordneten des Deutschen Bundestages zuerkannte Immunität zu</w:t>
      </w:r>
      <w:r w:rsidRPr="00B67E62">
        <w:rPr>
          <w:lang w:val="de-DE"/>
        </w:rPr>
        <w:t xml:space="preserve">. </w:t>
      </w:r>
      <w:r w:rsidRPr="00B67E62">
        <w:t xml:space="preserve">(...)" (Un deputato al Parlamento europeo della Repubblica federale di Germania ha diritto all'immunità concessa a un deputato del </w:t>
      </w:r>
      <w:proofErr w:type="spellStart"/>
      <w:r w:rsidRPr="00B67E62">
        <w:t>Bundestag</w:t>
      </w:r>
      <w:proofErr w:type="spellEnd"/>
      <w:r w:rsidRPr="00B67E62">
        <w:t xml:space="preserve"> tedesco);</w:t>
      </w:r>
    </w:p>
    <w:p w:rsidR="0055355A" w:rsidRPr="00B67E62" w:rsidRDefault="0055355A" w:rsidP="0055355A">
      <w:pPr>
        <w:pStyle w:val="NormalHanging12a"/>
        <w:rPr>
          <w:szCs w:val="24"/>
        </w:rPr>
      </w:pPr>
      <w:r w:rsidRPr="00B67E62">
        <w:t>G.</w:t>
      </w:r>
      <w:r w:rsidRPr="00B67E62">
        <w:tab/>
        <w:t xml:space="preserve">considerando, da un lato, che il Parlamento non può essere assimilato a un tribunale e, </w:t>
      </w:r>
      <w:r w:rsidRPr="00B67E62">
        <w:lastRenderedPageBreak/>
        <w:t>dall'altro, che il deputato non dovrebbe, nel contesto di una procedura di revoca dell'immunità, essere considerato un "accusato"</w:t>
      </w:r>
      <w:r w:rsidRPr="00B67E62">
        <w:rPr>
          <w:vertAlign w:val="superscript"/>
        </w:rPr>
        <w:footnoteReference w:id="2"/>
      </w:r>
      <w:r w:rsidRPr="00B67E62">
        <w:t>;</w:t>
      </w:r>
    </w:p>
    <w:p w:rsidR="0055355A" w:rsidRPr="00B67E62" w:rsidRDefault="0055355A" w:rsidP="0055355A">
      <w:pPr>
        <w:pStyle w:val="NormalHanging12a"/>
      </w:pPr>
      <w:r w:rsidRPr="00B67E62">
        <w:t>H.</w:t>
      </w:r>
      <w:r w:rsidRPr="00B67E62">
        <w:tab/>
        <w:t>considerando che l'immunità parlamentare è intesa a proteggere il Parlamento e i deputati che lo compongono da procedimenti penali relativi ad attività svolte nell'esercizio del mandato parlamentare, che non possono essere disgiunte da tale mandato;</w:t>
      </w:r>
    </w:p>
    <w:p w:rsidR="0055355A" w:rsidRPr="00B67E62" w:rsidRDefault="0055355A" w:rsidP="0055355A">
      <w:pPr>
        <w:pStyle w:val="EPComma"/>
        <w:widowControl/>
        <w:spacing w:before="360"/>
        <w:ind w:left="567" w:hanging="567"/>
      </w:pPr>
      <w:r w:rsidRPr="00B67E62">
        <w:t>I.</w:t>
      </w:r>
      <w:r w:rsidRPr="00B67E62">
        <w:tab/>
        <w:t xml:space="preserve">considerando che, nel caso di specie, il Parlamento non ha riscontrato alcuna prova di </w:t>
      </w:r>
      <w:proofErr w:type="spellStart"/>
      <w:r w:rsidRPr="00B67E62">
        <w:rPr>
          <w:i/>
        </w:rPr>
        <w:t>fumus</w:t>
      </w:r>
      <w:proofErr w:type="spellEnd"/>
      <w:r w:rsidRPr="00B67E62">
        <w:rPr>
          <w:i/>
        </w:rPr>
        <w:t xml:space="preserve"> </w:t>
      </w:r>
      <w:proofErr w:type="spellStart"/>
      <w:r w:rsidRPr="00B67E62">
        <w:rPr>
          <w:i/>
        </w:rPr>
        <w:t>persecutionis</w:t>
      </w:r>
      <w:proofErr w:type="spellEnd"/>
      <w:r w:rsidRPr="00B67E62">
        <w:t>, vale a dire elementi effettivi dai quali si evinca che l'intento alla base del procedimento giudiziario potrebbe essere quello di danneggiare l'attività politica del deputato e di conseguenza il Parlamento europeo;</w:t>
      </w:r>
    </w:p>
    <w:p w:rsidR="0055355A" w:rsidRPr="00B67E62" w:rsidRDefault="0055355A" w:rsidP="0055355A">
      <w:pPr>
        <w:pStyle w:val="NormalHanging12a"/>
      </w:pPr>
      <w:r w:rsidRPr="00B67E62">
        <w:t>1.</w:t>
      </w:r>
      <w:r w:rsidRPr="00B67E62">
        <w:tab/>
        <w:t xml:space="preserve">decide di revocare l'immunità di </w:t>
      </w:r>
      <w:proofErr w:type="spellStart"/>
      <w:r w:rsidRPr="00B67E62">
        <w:t>Gunnar</w:t>
      </w:r>
      <w:proofErr w:type="spellEnd"/>
      <w:r w:rsidRPr="00B67E62">
        <w:t xml:space="preserve"> Beck;</w:t>
      </w:r>
    </w:p>
    <w:p w:rsidR="0055355A" w:rsidRPr="00B67E62" w:rsidRDefault="0055355A" w:rsidP="0055355A">
      <w:pPr>
        <w:pStyle w:val="NormalHanging12a"/>
      </w:pPr>
      <w:r w:rsidRPr="00B67E62">
        <w:t>2.</w:t>
      </w:r>
      <w:r w:rsidRPr="00B67E62">
        <w:tab/>
        <w:t>incarica la sua Presidente di trasmettere immediatamente la presente decisione e la relazione della sua commissione competente all</w:t>
      </w:r>
      <w:r w:rsidR="004544A3" w:rsidRPr="00B67E62">
        <w:t>e autorità competenti della Repubblica federale di Germania</w:t>
      </w:r>
      <w:r w:rsidRPr="00B67E62">
        <w:t xml:space="preserve"> e a </w:t>
      </w:r>
      <w:proofErr w:type="spellStart"/>
      <w:r w:rsidRPr="00B67E62">
        <w:t>Gunnar</w:t>
      </w:r>
      <w:proofErr w:type="spellEnd"/>
      <w:r w:rsidRPr="00B67E62">
        <w:t xml:space="preserve"> Beck.</w:t>
      </w:r>
    </w:p>
    <w:p w:rsidR="0055355A" w:rsidRPr="00B67E62" w:rsidRDefault="0055355A" w:rsidP="0055355A"/>
    <w:sectPr w:rsidR="0055355A" w:rsidRPr="00B67E62" w:rsidSect="003C69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821" w:rsidRPr="003C6978" w:rsidRDefault="00176821">
      <w:r w:rsidRPr="003C6978">
        <w:separator/>
      </w:r>
    </w:p>
  </w:endnote>
  <w:endnote w:type="continuationSeparator" w:id="0">
    <w:p w:rsidR="00176821" w:rsidRPr="003C6978" w:rsidRDefault="00176821">
      <w:r w:rsidRPr="003C69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9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9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9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821" w:rsidRPr="003C6978" w:rsidRDefault="00176821">
      <w:r w:rsidRPr="003C6978">
        <w:separator/>
      </w:r>
    </w:p>
  </w:footnote>
  <w:footnote w:type="continuationSeparator" w:id="0">
    <w:p w:rsidR="00176821" w:rsidRPr="003C6978" w:rsidRDefault="00176821">
      <w:r w:rsidRPr="003C6978">
        <w:continuationSeparator/>
      </w:r>
    </w:p>
  </w:footnote>
  <w:footnote w:id="1">
    <w:p w:rsidR="0055355A" w:rsidRPr="003C6978" w:rsidRDefault="0055355A" w:rsidP="003C6978">
      <w:pPr>
        <w:pStyle w:val="FootnoteText"/>
        <w:ind w:left="567" w:hanging="567"/>
        <w:rPr>
          <w:sz w:val="24"/>
          <w:lang w:val="it-IT"/>
        </w:rPr>
      </w:pPr>
      <w:r w:rsidRPr="003C6978">
        <w:rPr>
          <w:rStyle w:val="FootnoteReference"/>
          <w:sz w:val="24"/>
          <w:lang w:val="it-IT"/>
        </w:rPr>
        <w:footnoteRef/>
      </w:r>
      <w:r w:rsidR="003C6978" w:rsidRPr="003C6978">
        <w:rPr>
          <w:sz w:val="24"/>
          <w:lang w:val="it-IT"/>
        </w:rPr>
        <w:t xml:space="preserve"> </w:t>
      </w:r>
      <w:r w:rsidR="003C6978" w:rsidRPr="003C6978">
        <w:rPr>
          <w:sz w:val="24"/>
          <w:lang w:val="it-IT"/>
        </w:rPr>
        <w:tab/>
      </w:r>
      <w:r w:rsidRPr="003C6978">
        <w:rPr>
          <w:sz w:val="24"/>
          <w:lang w:val="it-IT"/>
        </w:rPr>
        <w:t xml:space="preserve">Sentenza della Corte di giustizia del 21 ottobre 2008, </w:t>
      </w:r>
      <w:r w:rsidRPr="003C6978">
        <w:rPr>
          <w:i/>
          <w:iCs/>
          <w:sz w:val="24"/>
          <w:lang w:val="it-IT"/>
        </w:rPr>
        <w:t>Marra/De Gregorio e Clemente</w:t>
      </w:r>
      <w:r w:rsidRPr="003C6978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3C6978">
        <w:rPr>
          <w:i/>
          <w:iCs/>
          <w:sz w:val="24"/>
          <w:lang w:val="it-IT"/>
        </w:rPr>
        <w:t>Gollnisch</w:t>
      </w:r>
      <w:proofErr w:type="spellEnd"/>
      <w:r w:rsidRPr="003C6978">
        <w:rPr>
          <w:i/>
          <w:iCs/>
          <w:sz w:val="24"/>
          <w:lang w:val="it-IT"/>
        </w:rPr>
        <w:t>/Parlamento</w:t>
      </w:r>
      <w:r w:rsidRPr="003C6978">
        <w:rPr>
          <w:sz w:val="24"/>
          <w:lang w:val="it-IT"/>
        </w:rPr>
        <w:t xml:space="preserve">, T-42/06, ECLI:EU:T:2010:102; sentenza della Corte di giustizia del 6 settembre 2011, </w:t>
      </w:r>
      <w:r w:rsidRPr="003C6978">
        <w:rPr>
          <w:i/>
          <w:sz w:val="24"/>
          <w:lang w:val="it-IT"/>
        </w:rPr>
        <w:t>Patriciello</w:t>
      </w:r>
      <w:r w:rsidRPr="003C6978">
        <w:rPr>
          <w:sz w:val="24"/>
          <w:lang w:val="it-IT"/>
        </w:rPr>
        <w:t xml:space="preserve">, C-163/10, ECLI:EU:C:2011:543; sentenza del Tribunale del 17 gennaio 2013, </w:t>
      </w:r>
      <w:proofErr w:type="spellStart"/>
      <w:r w:rsidRPr="003C6978">
        <w:rPr>
          <w:i/>
          <w:sz w:val="24"/>
          <w:lang w:val="it-IT"/>
        </w:rPr>
        <w:t>Gollnisch</w:t>
      </w:r>
      <w:proofErr w:type="spellEnd"/>
      <w:r w:rsidRPr="003C6978">
        <w:rPr>
          <w:sz w:val="24"/>
          <w:lang w:val="it-IT"/>
        </w:rPr>
        <w:t>/</w:t>
      </w:r>
      <w:r w:rsidRPr="003C6978">
        <w:rPr>
          <w:i/>
          <w:sz w:val="24"/>
          <w:lang w:val="it-IT"/>
        </w:rPr>
        <w:t>Parlamento</w:t>
      </w:r>
      <w:r w:rsidRPr="003C6978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3C6978">
        <w:rPr>
          <w:i/>
          <w:iCs/>
          <w:sz w:val="24"/>
          <w:lang w:val="it-IT"/>
        </w:rPr>
        <w:t>Junqueras</w:t>
      </w:r>
      <w:proofErr w:type="spellEnd"/>
      <w:r w:rsidRPr="003C6978">
        <w:rPr>
          <w:i/>
          <w:iCs/>
          <w:sz w:val="24"/>
          <w:lang w:val="it-IT"/>
        </w:rPr>
        <w:t xml:space="preserve"> </w:t>
      </w:r>
      <w:proofErr w:type="spellStart"/>
      <w:r w:rsidRPr="003C6978">
        <w:rPr>
          <w:i/>
          <w:iCs/>
          <w:sz w:val="24"/>
          <w:lang w:val="it-IT"/>
        </w:rPr>
        <w:t>Vies</w:t>
      </w:r>
      <w:proofErr w:type="spellEnd"/>
      <w:r w:rsidRPr="003C6978">
        <w:rPr>
          <w:sz w:val="24"/>
          <w:lang w:val="it-IT"/>
        </w:rPr>
        <w:t>, C-502/19, ECLI:EU:C:2019:1115.</w:t>
      </w:r>
    </w:p>
  </w:footnote>
  <w:footnote w:id="2">
    <w:p w:rsidR="0055355A" w:rsidRPr="003C6978" w:rsidRDefault="0055355A" w:rsidP="003C6978">
      <w:pPr>
        <w:pStyle w:val="FootnoteText"/>
        <w:ind w:left="567" w:hanging="567"/>
        <w:rPr>
          <w:sz w:val="24"/>
          <w:lang w:val="it-IT"/>
        </w:rPr>
      </w:pPr>
      <w:r w:rsidRPr="003C6978">
        <w:rPr>
          <w:rStyle w:val="FootnoteReference"/>
          <w:sz w:val="24"/>
          <w:lang w:val="it-IT"/>
        </w:rPr>
        <w:footnoteRef/>
      </w:r>
      <w:r w:rsidR="003C6978" w:rsidRPr="003C6978">
        <w:rPr>
          <w:sz w:val="24"/>
          <w:lang w:val="it-IT"/>
        </w:rPr>
        <w:t xml:space="preserve"> </w:t>
      </w:r>
      <w:r w:rsidR="003C6978" w:rsidRPr="003C6978">
        <w:rPr>
          <w:sz w:val="24"/>
          <w:lang w:val="it-IT"/>
        </w:rPr>
        <w:tab/>
      </w:r>
      <w:r w:rsidRPr="003C6978">
        <w:rPr>
          <w:sz w:val="24"/>
          <w:lang w:val="it-IT"/>
        </w:rPr>
        <w:t xml:space="preserve">Sentenza del Tribunale del 30 aprile 2019, </w:t>
      </w:r>
      <w:proofErr w:type="spellStart"/>
      <w:r w:rsidRPr="003C6978">
        <w:rPr>
          <w:i/>
          <w:sz w:val="24"/>
          <w:lang w:val="it-IT"/>
        </w:rPr>
        <w:t>Briois</w:t>
      </w:r>
      <w:proofErr w:type="spellEnd"/>
      <w:r w:rsidRPr="003C6978">
        <w:rPr>
          <w:sz w:val="24"/>
          <w:lang w:val="it-IT"/>
        </w:rPr>
        <w:t>/</w:t>
      </w:r>
      <w:r w:rsidRPr="003C6978">
        <w:rPr>
          <w:i/>
          <w:sz w:val="24"/>
          <w:lang w:val="it-IT"/>
        </w:rPr>
        <w:t>Parlamento</w:t>
      </w:r>
      <w:r w:rsidRPr="003C6978">
        <w:rPr>
          <w:sz w:val="24"/>
          <w:lang w:val="it-IT"/>
        </w:rPr>
        <w:t>, T-214/18, ECLI:</w:t>
      </w:r>
      <w:proofErr w:type="gramStart"/>
      <w:r w:rsidRPr="003C6978">
        <w:rPr>
          <w:sz w:val="24"/>
          <w:lang w:val="it-IT"/>
        </w:rPr>
        <w:t>EU:T</w:t>
      </w:r>
      <w:proofErr w:type="gramEnd"/>
      <w:r w:rsidRPr="003C6978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9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9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9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IT"/>
    <w:docVar w:name="dvnumam" w:val="0"/>
    <w:docVar w:name="dvpe" w:val="758.183"/>
    <w:docVar w:name="dvrapporteur" w:val="Relatore: "/>
    <w:docVar w:name="dvtitre" w:val="Decisione del Parlamento europeo dell'11 aprile 2024 sulla richiesta di revoca dell'immunità di Gunnar Beck(2023/2192(IMM))"/>
  </w:docVars>
  <w:rsids>
    <w:rsidRoot w:val="00176821"/>
    <w:rsid w:val="00002272"/>
    <w:rsid w:val="00064002"/>
    <w:rsid w:val="000677B9"/>
    <w:rsid w:val="000831BA"/>
    <w:rsid w:val="000A42CC"/>
    <w:rsid w:val="000E7DD9"/>
    <w:rsid w:val="0010095E"/>
    <w:rsid w:val="00125B37"/>
    <w:rsid w:val="00176821"/>
    <w:rsid w:val="00187494"/>
    <w:rsid w:val="001F32AE"/>
    <w:rsid w:val="002767FF"/>
    <w:rsid w:val="002B18FE"/>
    <w:rsid w:val="002B5493"/>
    <w:rsid w:val="00343214"/>
    <w:rsid w:val="00361C00"/>
    <w:rsid w:val="003800BD"/>
    <w:rsid w:val="00395FA1"/>
    <w:rsid w:val="003C6978"/>
    <w:rsid w:val="003E15D4"/>
    <w:rsid w:val="00411CCE"/>
    <w:rsid w:val="0041666E"/>
    <w:rsid w:val="00421060"/>
    <w:rsid w:val="004544A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55A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E6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F12E8"/>
  <w15:chartTrackingRefBased/>
  <w15:docId w15:val="{ED92653C-58B0-4937-B97A-71C23B3D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1768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6821"/>
    <w:rPr>
      <w:rFonts w:ascii="Segoe UI" w:hAnsi="Segoe UI" w:cs="Segoe UI"/>
      <w:sz w:val="18"/>
      <w:szCs w:val="18"/>
      <w:lang w:val="it-IT"/>
    </w:rPr>
  </w:style>
  <w:style w:type="paragraph" w:customStyle="1" w:styleId="NormalHanging12a">
    <w:name w:val="NormalHanging12a"/>
    <w:basedOn w:val="Normal"/>
    <w:rsid w:val="0055355A"/>
    <w:pPr>
      <w:spacing w:after="240"/>
      <w:ind w:left="567" w:hanging="567"/>
    </w:pPr>
  </w:style>
  <w:style w:type="paragraph" w:customStyle="1" w:styleId="EPComma">
    <w:name w:val="EPComma"/>
    <w:basedOn w:val="Normal"/>
    <w:rsid w:val="0055355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CD254-F2C7-41E0-92D2-AD469121A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811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2</cp:revision>
  <cp:lastPrinted>2004-11-19T15:42:00Z</cp:lastPrinted>
  <dcterms:created xsi:type="dcterms:W3CDTF">2024-04-11T13:36:00Z</dcterms:created>
  <dcterms:modified xsi:type="dcterms:W3CDTF">2024-04-11T13:36:00Z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