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300B" w:rsidTr="0010095E">
        <w:trPr>
          <w:trHeight w:hRule="exact" w:val="1418"/>
        </w:trPr>
        <w:tc>
          <w:tcPr>
            <w:tcW w:w="6804" w:type="dxa"/>
            <w:shd w:val="clear" w:color="auto" w:fill="auto"/>
            <w:vAlign w:val="center"/>
          </w:tcPr>
          <w:p w:rsidR="00751A4A" w:rsidRPr="0009300B" w:rsidRDefault="008759F2" w:rsidP="0010095E">
            <w:pPr>
              <w:pStyle w:val="EPName"/>
            </w:pPr>
            <w:r w:rsidRPr="0009300B">
              <w:t>Europos Parlamentas</w:t>
            </w:r>
          </w:p>
          <w:p w:rsidR="00751A4A" w:rsidRPr="0009300B" w:rsidRDefault="00817416" w:rsidP="00756632">
            <w:pPr>
              <w:pStyle w:val="EPTerm"/>
              <w:rPr>
                <w:rStyle w:val="HideTWBExt"/>
                <w:noProof w:val="0"/>
                <w:vanish w:val="0"/>
                <w:color w:val="auto"/>
              </w:rPr>
            </w:pPr>
            <w:r w:rsidRPr="0009300B">
              <w:t>2019-2024</w:t>
            </w:r>
          </w:p>
        </w:tc>
        <w:tc>
          <w:tcPr>
            <w:tcW w:w="2268" w:type="dxa"/>
            <w:shd w:val="clear" w:color="auto" w:fill="auto"/>
          </w:tcPr>
          <w:p w:rsidR="00751A4A" w:rsidRPr="0009300B" w:rsidRDefault="00187494" w:rsidP="0010095E">
            <w:pPr>
              <w:pStyle w:val="EPLogo"/>
            </w:pPr>
            <w:r w:rsidRPr="0009300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300B" w:rsidRDefault="00D058B8" w:rsidP="004C5D52">
      <w:pPr>
        <w:pStyle w:val="LineTop"/>
      </w:pPr>
    </w:p>
    <w:p w:rsidR="00680577" w:rsidRPr="0009300B" w:rsidRDefault="008759F2" w:rsidP="00680577">
      <w:pPr>
        <w:pStyle w:val="EPBodyTA1"/>
      </w:pPr>
      <w:r w:rsidRPr="0009300B">
        <w:t>PRIIMTI TEKSTAI</w:t>
      </w:r>
    </w:p>
    <w:p w:rsidR="00D058B8" w:rsidRPr="0009300B" w:rsidRDefault="00D058B8" w:rsidP="00D058B8">
      <w:pPr>
        <w:pStyle w:val="LineBottom"/>
      </w:pPr>
    </w:p>
    <w:p w:rsidR="008759F2" w:rsidRPr="0009300B" w:rsidRDefault="008759F2" w:rsidP="008759F2">
      <w:pPr>
        <w:pStyle w:val="ATHeading1"/>
      </w:pPr>
      <w:bookmarkStart w:id="0" w:name="TANumber"/>
      <w:r w:rsidRPr="0009300B">
        <w:t>P9_TA(2024)0</w:t>
      </w:r>
      <w:r w:rsidR="004E02A8">
        <w:t>224</w:t>
      </w:r>
      <w:bookmarkEnd w:id="0"/>
    </w:p>
    <w:p w:rsidR="008759F2" w:rsidRPr="0009300B" w:rsidRDefault="008759F2" w:rsidP="008759F2">
      <w:pPr>
        <w:pStyle w:val="ATHeading2"/>
      </w:pPr>
      <w:bookmarkStart w:id="1" w:name="title"/>
      <w:r w:rsidRPr="0009300B">
        <w:t>Prašymas atšaukti Gunnaro Becko (Gunnar Beck) imunitetą</w:t>
      </w:r>
      <w:bookmarkEnd w:id="1"/>
    </w:p>
    <w:p w:rsidR="008759F2" w:rsidRPr="0009300B" w:rsidRDefault="008759F2" w:rsidP="008759F2">
      <w:pPr>
        <w:rPr>
          <w:i/>
          <w:vanish/>
        </w:rPr>
      </w:pPr>
      <w:r w:rsidRPr="0009300B">
        <w:rPr>
          <w:i/>
        </w:rPr>
        <w:fldChar w:fldCharType="begin"/>
      </w:r>
      <w:r w:rsidRPr="0009300B">
        <w:rPr>
          <w:i/>
        </w:rPr>
        <w:instrText xml:space="preserve"> TC"(</w:instrText>
      </w:r>
      <w:bookmarkStart w:id="2" w:name="DocNumber"/>
      <w:r w:rsidRPr="0009300B">
        <w:rPr>
          <w:i/>
        </w:rPr>
        <w:instrText>A9-0170/2024</w:instrText>
      </w:r>
      <w:bookmarkEnd w:id="2"/>
      <w:r w:rsidRPr="0009300B">
        <w:rPr>
          <w:i/>
        </w:rPr>
        <w:instrText xml:space="preserve"> - Pranešėjas: Ibán García Del Blanco)"\l3 \n&gt; \* MERGEFORMAT </w:instrText>
      </w:r>
      <w:r w:rsidRPr="0009300B">
        <w:rPr>
          <w:i/>
        </w:rPr>
        <w:fldChar w:fldCharType="end"/>
      </w:r>
    </w:p>
    <w:p w:rsidR="008759F2" w:rsidRPr="0009300B" w:rsidRDefault="008759F2" w:rsidP="008759F2">
      <w:pPr>
        <w:rPr>
          <w:vanish/>
        </w:rPr>
      </w:pPr>
      <w:bookmarkStart w:id="3" w:name="Commission"/>
      <w:r w:rsidRPr="0009300B">
        <w:rPr>
          <w:vanish/>
        </w:rPr>
        <w:t>Teisės reikalų komitetas</w:t>
      </w:r>
      <w:bookmarkEnd w:id="3"/>
    </w:p>
    <w:p w:rsidR="008759F2" w:rsidRPr="0009300B" w:rsidRDefault="008759F2" w:rsidP="008759F2">
      <w:pPr>
        <w:rPr>
          <w:vanish/>
        </w:rPr>
      </w:pPr>
      <w:bookmarkStart w:id="4" w:name="PE"/>
      <w:r w:rsidRPr="0009300B">
        <w:rPr>
          <w:vanish/>
        </w:rPr>
        <w:t>PE758.183</w:t>
      </w:r>
      <w:bookmarkEnd w:id="4"/>
    </w:p>
    <w:p w:rsidR="008759F2" w:rsidRPr="0009300B" w:rsidRDefault="004B3F2B" w:rsidP="0013361F">
      <w:pPr>
        <w:pStyle w:val="ATHeading3"/>
      </w:pPr>
      <w:bookmarkStart w:id="5" w:name="Sujet"/>
      <w:r>
        <w:t xml:space="preserve">2024 m. balandžio 11 d. </w:t>
      </w:r>
      <w:r w:rsidR="008759F2" w:rsidRPr="0009300B">
        <w:t>Europos Parlamento sprendimas dėl prašymo atšaukti Gunnaro Becko (Gunnar Beck) imunitetą</w:t>
      </w:r>
      <w:bookmarkEnd w:id="5"/>
      <w:r w:rsidR="008759F2" w:rsidRPr="0009300B">
        <w:t xml:space="preserve"> </w:t>
      </w:r>
      <w:bookmarkStart w:id="6" w:name="References"/>
      <w:r w:rsidR="008759F2" w:rsidRPr="0009300B">
        <w:t>(2023/2192(IMM))</w:t>
      </w:r>
      <w:bookmarkEnd w:id="6"/>
    </w:p>
    <w:p w:rsidR="000574C1" w:rsidRPr="0009300B" w:rsidRDefault="000574C1" w:rsidP="000574C1">
      <w:pPr>
        <w:pStyle w:val="EPComma"/>
      </w:pPr>
      <w:bookmarkStart w:id="7" w:name="TextBodyBegin"/>
      <w:bookmarkEnd w:id="7"/>
      <w:r w:rsidRPr="0009300B">
        <w:rPr>
          <w:i/>
        </w:rPr>
        <w:t>Europos Parlamentas</w:t>
      </w:r>
      <w:r w:rsidRPr="0009300B">
        <w:t>,</w:t>
      </w:r>
    </w:p>
    <w:p w:rsidR="000574C1" w:rsidRPr="0009300B" w:rsidRDefault="000574C1" w:rsidP="000574C1">
      <w:pPr>
        <w:pStyle w:val="NormalHanging12a"/>
      </w:pPr>
      <w:r w:rsidRPr="0009300B">
        <w:t>–</w:t>
      </w:r>
      <w:r w:rsidRPr="0009300B">
        <w:tab/>
        <w:t xml:space="preserve">atsižvelgdamas į Vokietijos federalinės teisingumo ir vartotojų apsaugos ministerijos 2023 m. liepos 25 d. </w:t>
      </w:r>
      <w:r w:rsidR="004B3F2B">
        <w:t>laišku</w:t>
      </w:r>
      <w:r w:rsidR="004B3F2B" w:rsidRPr="0009300B">
        <w:t xml:space="preserve"> </w:t>
      </w:r>
      <w:r w:rsidRPr="0009300B">
        <w:t xml:space="preserve">perduotą Diuseldorfo vyriausiojo prokuroro prašymą atšaukti Gunnaro Becko imunitetą ryšium su įtariamų nusikalstamų veikų ikiteisminiu tyrimu, </w:t>
      </w:r>
      <w:r w:rsidR="004B3F2B">
        <w:t>kuris buvo paskelbtas</w:t>
      </w:r>
      <w:r w:rsidRPr="0009300B">
        <w:t xml:space="preserve"> 2023 m. rugsėjo 11 d. plenariniame posėdyje,</w:t>
      </w:r>
    </w:p>
    <w:p w:rsidR="000574C1" w:rsidRPr="0009300B" w:rsidRDefault="000574C1" w:rsidP="000574C1">
      <w:pPr>
        <w:pStyle w:val="NormalHanging12a"/>
      </w:pPr>
      <w:r w:rsidRPr="0009300B">
        <w:t>–</w:t>
      </w:r>
      <w:r w:rsidRPr="0009300B">
        <w:tab/>
        <w:t xml:space="preserve">išklausęs Gunnaro Becko paaiškinimų, kaip nurodyta Darbo tvarkos taisyklių 9 straipsnio 6 dalyje, </w:t>
      </w:r>
    </w:p>
    <w:p w:rsidR="000574C1" w:rsidRPr="0009300B" w:rsidRDefault="000574C1" w:rsidP="000574C1">
      <w:pPr>
        <w:pStyle w:val="NormalHanging12a"/>
      </w:pPr>
      <w:r w:rsidRPr="0009300B">
        <w:t>–</w:t>
      </w:r>
      <w:r w:rsidRPr="0009300B">
        <w:tab/>
        <w:t>atsižvelgdamas į Protokolo Nr.</w:t>
      </w:r>
      <w:bookmarkStart w:id="8" w:name="_GoBack"/>
      <w:bookmarkEnd w:id="8"/>
      <w:r w:rsidRPr="0009300B">
        <w:t xml:space="preserve"> 7 dėl Europos Sąjungos privilegijų ir imunitetų 8 ir 9 straipsnius ir į 1976 m. rugsėjo 20 d. Akto dėl Europos Parlamento narių rinkimų remiantis tiesiogine visuotine rinkimų teise 6 straipsnio 2 dalį,</w:t>
      </w:r>
    </w:p>
    <w:p w:rsidR="000574C1" w:rsidRPr="0009300B" w:rsidRDefault="000574C1" w:rsidP="000574C1">
      <w:pPr>
        <w:pStyle w:val="NormalHanging12a"/>
      </w:pPr>
      <w:r w:rsidRPr="0009300B">
        <w:t>–</w:t>
      </w:r>
      <w:r w:rsidRPr="0009300B">
        <w:tab/>
        <w:t>atsižvelgdamas į Europos Sąjungos Teisingumo Teismo 2008 m. spalio 21 d., 2010 m. kovo 19 d., 2011 m. rugsėjo 6 d., 2013 m. sausio 17 d. ir 2019 m. gruodžio 19 d. sprendimus</w:t>
      </w:r>
      <w:r w:rsidRPr="0009300B">
        <w:rPr>
          <w:rStyle w:val="FootnoteReference"/>
        </w:rPr>
        <w:footnoteReference w:id="1"/>
      </w:r>
      <w:r w:rsidRPr="0009300B">
        <w:t>,</w:t>
      </w:r>
    </w:p>
    <w:p w:rsidR="000574C1" w:rsidRPr="0009300B" w:rsidRDefault="000574C1" w:rsidP="000574C1">
      <w:pPr>
        <w:pStyle w:val="NormalHanging12a"/>
      </w:pPr>
      <w:r w:rsidRPr="0009300B">
        <w:t>–</w:t>
      </w:r>
      <w:r w:rsidRPr="0009300B">
        <w:tab/>
        <w:t>atsižvelgdamas į Vokietijos Federacinės Respublikos Pagrindinio Įstatymo 46 straipsnio 2, 3 ir 4 dalis ir Baudžiamojo proceso ir administracinių nusižengimų teisenos gairių (</w:t>
      </w:r>
      <w:r w:rsidRPr="0009300B">
        <w:rPr>
          <w:i/>
        </w:rPr>
        <w:t>Richtlinien für das Strafverfahren und das Bußgeldverfahren</w:t>
      </w:r>
      <w:r w:rsidRPr="0009300B">
        <w:t>) 192b straipsnį,</w:t>
      </w:r>
    </w:p>
    <w:p w:rsidR="000574C1" w:rsidRPr="0009300B" w:rsidRDefault="000574C1" w:rsidP="000574C1">
      <w:pPr>
        <w:pStyle w:val="NormalHanging12a"/>
      </w:pPr>
      <w:r w:rsidRPr="0009300B">
        <w:t>–</w:t>
      </w:r>
      <w:r w:rsidRPr="0009300B">
        <w:tab/>
        <w:t xml:space="preserve">atsižvelgdamas į Darbo tvarkos taisyklių 5 straipsnio 2 dalį, 6 straipsnio 1 dalį ir 9 </w:t>
      </w:r>
      <w:r w:rsidRPr="0009300B">
        <w:lastRenderedPageBreak/>
        <w:t>straipsnį,</w:t>
      </w:r>
    </w:p>
    <w:p w:rsidR="000574C1" w:rsidRPr="0009300B" w:rsidRDefault="000574C1" w:rsidP="000574C1">
      <w:pPr>
        <w:pStyle w:val="NormalHanging12a"/>
      </w:pPr>
      <w:r w:rsidRPr="0009300B">
        <w:t>–</w:t>
      </w:r>
      <w:r w:rsidRPr="0009300B">
        <w:tab/>
        <w:t>atsižvelgdamas į Teisės reikalų komiteto pranešimą (A9-0170/2024),</w:t>
      </w:r>
    </w:p>
    <w:p w:rsidR="000574C1" w:rsidRPr="0009300B" w:rsidRDefault="000574C1" w:rsidP="000574C1">
      <w:pPr>
        <w:pStyle w:val="NormalHanging12a"/>
      </w:pPr>
      <w:r w:rsidRPr="0009300B">
        <w:t>A.</w:t>
      </w:r>
      <w:r w:rsidRPr="0009300B">
        <w:tab/>
        <w:t>kadangi Diuseldorfo vyriausiasis prokuroras, vadovaudamasis Vokietijos baudžiamojo kodekso 242 straipsnio 1 dalimi, 248a straipsniu, 223 straipsnio 1 dalimi, 230 straipsnio 1 dalies pirmu sakiniu, 113 straipsnio 1 dalimi ir 53 straipsniu, paprašė atšaukti Vokietijoje išrinkto Europos Parlamento nario Gunnaro Becko imunitetą, kad būtų galima pradėti ikiteisminį tyrimą dėl nedidelės vertės turto vagystės kartu su tyčiniu kūno sužalojimu ir pasipriešinimu teisėsaugos pareigūnams;</w:t>
      </w:r>
    </w:p>
    <w:p w:rsidR="000574C1" w:rsidRPr="0009300B" w:rsidRDefault="000574C1" w:rsidP="000574C1">
      <w:pPr>
        <w:pStyle w:val="NormalHanging12a"/>
        <w:widowControl/>
      </w:pPr>
      <w:r w:rsidRPr="0009300B">
        <w:t>B.</w:t>
      </w:r>
      <w:r w:rsidRPr="0009300B">
        <w:tab/>
        <w:t>kadangi 2022 m. spalio 29 d. Noiso miesto (Vokietija) universalinėje parduotuvėje Gunnar Beck galimai paėmė keletą klientams išmėginti skirtų demonstruojamų gaminių pavyzdžių, galimai siekdamas juos išsinešti nesusimokėjus; kadangi buvo pranešta apie vagystę iš parduotuvės; kadangi Gunnarui Beckui galimai mėginant išeiti iš patalpų jį sulaikė parduotuvės apsaugos darbuotojai; kadangi vėliau į įvykio vietą buvo iškviesti teisėsaugos pareigūnai ir Gunnar Beck galimai nevykdė jų nurodymų nesipriešinti;</w:t>
      </w:r>
    </w:p>
    <w:p w:rsidR="000574C1" w:rsidRPr="0009300B" w:rsidRDefault="000574C1" w:rsidP="000574C1">
      <w:pPr>
        <w:pStyle w:val="NormalHanging12a"/>
      </w:pPr>
      <w:r w:rsidRPr="0009300B">
        <w:t>C.</w:t>
      </w:r>
      <w:r w:rsidRPr="0009300B">
        <w:tab/>
        <w:t>kadangi, atsižvelgiant į tai, nusikalstamos veikos, kuriomis jis įtariamas, nėra susijusios su einant Europos Parlamento nario pareigas pareikšta nuomone ar balsavimu, kaip numatyta Protokolo Nr. 7 dėl Europos Sąjungos privilegijų ir imunitetų 8 straipsnyje;</w:t>
      </w:r>
    </w:p>
    <w:p w:rsidR="000574C1" w:rsidRPr="0009300B" w:rsidRDefault="000574C1" w:rsidP="000574C1">
      <w:pPr>
        <w:pStyle w:val="NormalHanging12a"/>
      </w:pPr>
      <w:r w:rsidRPr="0009300B">
        <w:t>D.</w:t>
      </w:r>
      <w:r w:rsidRPr="0009300B">
        <w:tab/>
        <w:t>kadangi Protokolo Nr. 7 dėl Europos Sąjungos privilegijų ir imunitetų 9 straipsnyje nustatyta, kad Europos Parlamento nariai savo valstybės narės teritorijoje naudojasi imunitetais, kurie toje valstybėje narėje yra suteikiami parlamento nariams;</w:t>
      </w:r>
    </w:p>
    <w:p w:rsidR="000574C1" w:rsidRPr="0009300B" w:rsidRDefault="000574C1" w:rsidP="000574C1">
      <w:pPr>
        <w:pStyle w:val="NormalHanging12a"/>
      </w:pPr>
      <w:r w:rsidRPr="0009300B">
        <w:t>E.</w:t>
      </w:r>
      <w:r w:rsidRPr="0009300B">
        <w:tab/>
        <w:t>kadangi Vokietijos Federacinės Respublikos Pagrindinio Įstatymo 46 straipsnio 2, 3 ir 4 dalyse nurodyta:</w:t>
      </w:r>
    </w:p>
    <w:p w:rsidR="000574C1" w:rsidRPr="0009300B" w:rsidRDefault="000574C1" w:rsidP="000574C1">
      <w:pPr>
        <w:pStyle w:val="NormalHanging12a"/>
        <w:ind w:left="720" w:firstLine="0"/>
      </w:pPr>
      <w:r w:rsidRPr="0009300B">
        <w:t xml:space="preserve">„(2) Bundestago narys be Bundestago sutikimo negali būti traukiamas atsakomybėn ar suimamas dėl baudžiamosios veikos, išskyrus atvejus, kai jis užtinkamas bedarantis nusikaltimą arba suimamas kitą dieną po nusikalstamos veikos įvykdymo. </w:t>
      </w:r>
    </w:p>
    <w:p w:rsidR="000574C1" w:rsidRPr="0009300B" w:rsidRDefault="000574C1" w:rsidP="000574C1">
      <w:pPr>
        <w:pStyle w:val="NormalHanging12a"/>
        <w:ind w:left="720" w:firstLine="0"/>
      </w:pPr>
      <w:r w:rsidRPr="0009300B">
        <w:t>(3) Bundestago sutikimas taip pat būtinas norint apriboti Bundestago nario asmens laisvę arba iškelti bylą remiantis 18 straipsnio nuostatomis.</w:t>
      </w:r>
    </w:p>
    <w:p w:rsidR="000574C1" w:rsidRPr="0009300B" w:rsidRDefault="000574C1" w:rsidP="000574C1">
      <w:pPr>
        <w:pStyle w:val="NormalHanging12a"/>
        <w:ind w:left="720" w:firstLine="0"/>
      </w:pPr>
      <w:r w:rsidRPr="0009300B">
        <w:t>(4) Bundestago reikalavimu bet kokia baudžiamoji byla arba remiantis 18 straipsnio nuostatomis iškelta byla prieš Bundestago narį turi būti nutraukta, o suėmimas ir asmens laisvės apribojimas atšaukti.“;</w:t>
      </w:r>
    </w:p>
    <w:p w:rsidR="000574C1" w:rsidRPr="0009300B" w:rsidRDefault="000574C1" w:rsidP="000574C1">
      <w:pPr>
        <w:pStyle w:val="NormalHanging12a"/>
      </w:pPr>
      <w:r w:rsidRPr="0009300B">
        <w:t>F.</w:t>
      </w:r>
      <w:r w:rsidRPr="0009300B">
        <w:tab/>
        <w:t>kadangi Baudžiamojo proceso ir administracinių nusižengimų teisenos gairių 192b straipsnis reglamentuoja Europos Parlamento nario imuniteto atšaukimą ir kadangi visų pirma jo 1 dalyje numatyta:</w:t>
      </w:r>
    </w:p>
    <w:p w:rsidR="000574C1" w:rsidRPr="0009300B" w:rsidRDefault="000574C1" w:rsidP="000574C1">
      <w:pPr>
        <w:pStyle w:val="NormalHanging12a"/>
        <w:ind w:left="720" w:firstLine="0"/>
      </w:pPr>
      <w:r w:rsidRPr="0009300B">
        <w:t xml:space="preserve">„(1) </w:t>
      </w:r>
      <w:r w:rsidRPr="0009300B">
        <w:rPr>
          <w:i/>
        </w:rPr>
        <w:t>Einem Mitglied des Europäischen Parlaments aus der Bundesrepublik Deutschland steht die einem Abgeordneten des Deutschen Bundestages zuerkannte Immunität zu</w:t>
      </w:r>
      <w:r w:rsidRPr="0009300B">
        <w:t>. [...]“ [Vokietijos Federacinėje Respublikoje išrinktas Europos Parlamento narys naudojasi imunitetu, kuris suteikiamas Vokietijos Bundestago nariui.];</w:t>
      </w:r>
    </w:p>
    <w:p w:rsidR="000574C1" w:rsidRPr="0009300B" w:rsidRDefault="000574C1" w:rsidP="000574C1">
      <w:pPr>
        <w:pStyle w:val="NormalHanging12a"/>
        <w:rPr>
          <w:szCs w:val="24"/>
        </w:rPr>
      </w:pPr>
      <w:r w:rsidRPr="0009300B">
        <w:t>G.</w:t>
      </w:r>
      <w:r w:rsidRPr="0009300B">
        <w:tab/>
        <w:t xml:space="preserve">kadangi, pirma, Parlamentas negali būti prilyginamas teismui ir, antra, vykstant </w:t>
      </w:r>
      <w:r w:rsidRPr="0009300B">
        <w:lastRenderedPageBreak/>
        <w:t>imuniteto atšaukimo procedūrai Parlamento narys negali būti laikomas „kaltinamuoju“</w:t>
      </w:r>
      <w:r w:rsidRPr="0009300B">
        <w:rPr>
          <w:vertAlign w:val="superscript"/>
        </w:rPr>
        <w:footnoteReference w:id="2"/>
      </w:r>
      <w:r w:rsidRPr="0009300B">
        <w:t>;</w:t>
      </w:r>
    </w:p>
    <w:p w:rsidR="000574C1" w:rsidRPr="0009300B" w:rsidRDefault="000574C1" w:rsidP="000574C1">
      <w:pPr>
        <w:pStyle w:val="NormalHanging12a"/>
      </w:pPr>
      <w:r w:rsidRPr="0009300B">
        <w:t>H.</w:t>
      </w:r>
      <w:r w:rsidRPr="0009300B">
        <w:tab/>
        <w:t>kadangi Parlamento nario imuniteto paskirtis – apsaugoti Parlamentą ir jo narius nuo patraukimo atsakomybėn už veiksmus, kurie yra padaryti vykdant Parlamento nario įgaliojimus ir kurių negalima atskirti nuo tų įgaliojimų;</w:t>
      </w:r>
    </w:p>
    <w:p w:rsidR="000574C1" w:rsidRPr="0009300B" w:rsidRDefault="000574C1" w:rsidP="000574C1">
      <w:pPr>
        <w:pStyle w:val="EPComma"/>
        <w:widowControl/>
        <w:spacing w:before="360"/>
        <w:ind w:left="567" w:hanging="567"/>
      </w:pPr>
      <w:r w:rsidRPr="0009300B">
        <w:t>I.</w:t>
      </w:r>
      <w:r w:rsidRPr="0009300B">
        <w:tab/>
        <w:t xml:space="preserve">kadangi šiuo atveju Parlamentas nerado </w:t>
      </w:r>
      <w:r w:rsidRPr="0009300B">
        <w:rPr>
          <w:i/>
        </w:rPr>
        <w:t>fumus persecutionis</w:t>
      </w:r>
      <w:r w:rsidRPr="0009300B">
        <w:t xml:space="preserve"> įrodymų, t. y. faktinių elementų, liudijančių, jog teismo procesą ketinama inicijuoti siekiant pakenkti Parlamento nario ir, savo ruožtu, Europos Parlamento politinei veiklai;</w:t>
      </w:r>
    </w:p>
    <w:p w:rsidR="000574C1" w:rsidRPr="0009300B" w:rsidRDefault="000574C1" w:rsidP="000574C1">
      <w:pPr>
        <w:pStyle w:val="NormalHanging12a"/>
      </w:pPr>
      <w:r w:rsidRPr="0009300B">
        <w:t>1.</w:t>
      </w:r>
      <w:r w:rsidRPr="0009300B">
        <w:tab/>
        <w:t>nusprendžia atšaukti Gunnaro Becko imunitetą;</w:t>
      </w:r>
    </w:p>
    <w:p w:rsidR="000574C1" w:rsidRPr="0009300B" w:rsidRDefault="000574C1" w:rsidP="000574C1">
      <w:pPr>
        <w:pStyle w:val="NormalHanging12a"/>
      </w:pPr>
      <w:r w:rsidRPr="0009300B">
        <w:t>2.</w:t>
      </w:r>
      <w:r w:rsidRPr="0009300B">
        <w:tab/>
        <w:t>paveda Pirmininkei nedelsiant perduoti šį sprendimą ir atsakingo komiteto pranešimą Vokietijos</w:t>
      </w:r>
      <w:r w:rsidR="004B3F2B">
        <w:t xml:space="preserve"> Federacinės Respublikos</w:t>
      </w:r>
      <w:r w:rsidRPr="0009300B">
        <w:t xml:space="preserve"> kompetenting</w:t>
      </w:r>
      <w:r w:rsidR="004B3F2B">
        <w:t>ai</w:t>
      </w:r>
      <w:r w:rsidRPr="0009300B">
        <w:t xml:space="preserve"> institucij</w:t>
      </w:r>
      <w:r w:rsidR="004B3F2B">
        <w:t>ai</w:t>
      </w:r>
      <w:r w:rsidRPr="0009300B">
        <w:t>s ir Gunnarui Beckui.</w:t>
      </w:r>
    </w:p>
    <w:p w:rsidR="000574C1" w:rsidRPr="0009300B" w:rsidRDefault="000574C1" w:rsidP="000574C1"/>
    <w:p w:rsidR="00E365E1" w:rsidRPr="0009300B" w:rsidRDefault="00E365E1" w:rsidP="008759F2">
      <w:bookmarkStart w:id="9" w:name="TextBodyEnd"/>
      <w:bookmarkEnd w:id="9"/>
    </w:p>
    <w:sectPr w:rsidR="00E365E1" w:rsidRPr="0009300B" w:rsidSect="000930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9F2" w:rsidRPr="0009300B" w:rsidRDefault="008759F2">
      <w:r w:rsidRPr="0009300B">
        <w:separator/>
      </w:r>
    </w:p>
  </w:endnote>
  <w:endnote w:type="continuationSeparator" w:id="0">
    <w:p w:rsidR="008759F2" w:rsidRPr="0009300B" w:rsidRDefault="008759F2">
      <w:r w:rsidRPr="000930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0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0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0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9F2" w:rsidRPr="0009300B" w:rsidRDefault="008759F2">
      <w:r w:rsidRPr="0009300B">
        <w:separator/>
      </w:r>
    </w:p>
  </w:footnote>
  <w:footnote w:type="continuationSeparator" w:id="0">
    <w:p w:rsidR="008759F2" w:rsidRPr="0009300B" w:rsidRDefault="008759F2">
      <w:r w:rsidRPr="0009300B">
        <w:continuationSeparator/>
      </w:r>
    </w:p>
  </w:footnote>
  <w:footnote w:id="1">
    <w:p w:rsidR="000574C1" w:rsidRPr="0009300B" w:rsidRDefault="000574C1" w:rsidP="0009300B">
      <w:pPr>
        <w:pStyle w:val="FootnoteText"/>
        <w:ind w:left="567" w:hanging="567"/>
        <w:rPr>
          <w:sz w:val="24"/>
          <w:lang w:val="lt-LT"/>
        </w:rPr>
      </w:pPr>
      <w:r w:rsidRPr="0009300B">
        <w:rPr>
          <w:rStyle w:val="FootnoteReference"/>
          <w:sz w:val="24"/>
          <w:lang w:val="lt-LT"/>
        </w:rPr>
        <w:footnoteRef/>
      </w:r>
      <w:r w:rsidR="0009300B" w:rsidRPr="0009300B">
        <w:rPr>
          <w:sz w:val="24"/>
          <w:lang w:val="lt-LT"/>
        </w:rPr>
        <w:t xml:space="preserve"> </w:t>
      </w:r>
      <w:r w:rsidR="0009300B" w:rsidRPr="0009300B">
        <w:rPr>
          <w:sz w:val="24"/>
          <w:lang w:val="lt-LT"/>
        </w:rPr>
        <w:tab/>
      </w:r>
      <w:r w:rsidRPr="0009300B">
        <w:rPr>
          <w:sz w:val="24"/>
          <w:lang w:val="lt-LT"/>
        </w:rPr>
        <w:t xml:space="preserve">2008 m. spalio 21 d. Teisingumo Teismo sprendimas </w:t>
      </w:r>
      <w:r w:rsidRPr="0009300B">
        <w:rPr>
          <w:i/>
          <w:sz w:val="24"/>
          <w:lang w:val="lt-LT"/>
        </w:rPr>
        <w:t>Marra</w:t>
      </w:r>
      <w:r w:rsidRPr="0009300B">
        <w:rPr>
          <w:sz w:val="24"/>
          <w:lang w:val="lt-LT"/>
        </w:rPr>
        <w:t xml:space="preserve"> / </w:t>
      </w:r>
      <w:r w:rsidRPr="0009300B">
        <w:rPr>
          <w:i/>
          <w:sz w:val="24"/>
          <w:lang w:val="lt-LT"/>
        </w:rPr>
        <w:t>De Gregorio ir Clemente</w:t>
      </w:r>
      <w:r w:rsidRPr="0009300B">
        <w:rPr>
          <w:sz w:val="24"/>
          <w:lang w:val="lt-LT"/>
        </w:rPr>
        <w:t>, C-200/07 ir C</w:t>
      </w:r>
      <w:r w:rsidRPr="0009300B">
        <w:rPr>
          <w:sz w:val="24"/>
          <w:lang w:val="lt-LT"/>
        </w:rPr>
        <w:noBreakHyphen/>
        <w:t xml:space="preserve">201/07, ECLI:EU:C:2008:579; 2010 m. kovo 19 d. Bendrojo Teismo sprendimas </w:t>
      </w:r>
      <w:r w:rsidRPr="0009300B">
        <w:rPr>
          <w:i/>
          <w:sz w:val="24"/>
          <w:lang w:val="lt-LT"/>
        </w:rPr>
        <w:t>Gollnisch</w:t>
      </w:r>
      <w:r w:rsidRPr="0009300B">
        <w:rPr>
          <w:sz w:val="24"/>
          <w:lang w:val="lt-LT"/>
        </w:rPr>
        <w:t xml:space="preserve"> / </w:t>
      </w:r>
      <w:r w:rsidRPr="0009300B">
        <w:rPr>
          <w:i/>
          <w:sz w:val="24"/>
          <w:lang w:val="lt-LT"/>
        </w:rPr>
        <w:t>Parlamentas</w:t>
      </w:r>
      <w:r w:rsidRPr="0009300B">
        <w:rPr>
          <w:sz w:val="24"/>
          <w:lang w:val="lt-LT"/>
        </w:rPr>
        <w:t>, T</w:t>
      </w:r>
      <w:r w:rsidRPr="0009300B">
        <w:rPr>
          <w:sz w:val="24"/>
          <w:lang w:val="lt-LT"/>
        </w:rPr>
        <w:noBreakHyphen/>
        <w:t xml:space="preserve">42/06, ECLI:EU:T:2010:102; 2011 m. rugsėjo 6 d. Teisingumo Teismo sprendimas </w:t>
      </w:r>
      <w:r w:rsidRPr="0009300B">
        <w:rPr>
          <w:i/>
          <w:sz w:val="24"/>
          <w:lang w:val="lt-LT"/>
        </w:rPr>
        <w:t>Patriciello</w:t>
      </w:r>
      <w:r w:rsidRPr="0009300B">
        <w:rPr>
          <w:sz w:val="24"/>
          <w:lang w:val="lt-LT"/>
        </w:rPr>
        <w:t xml:space="preserve">, C-163/10, ECLI:EU:C:2011:543; 2013 m. sausio 17 d. Bendrojo Teismo sprendimas </w:t>
      </w:r>
      <w:r w:rsidRPr="0009300B">
        <w:rPr>
          <w:i/>
          <w:sz w:val="24"/>
          <w:lang w:val="lt-LT"/>
        </w:rPr>
        <w:t>Gollnisch</w:t>
      </w:r>
      <w:r w:rsidRPr="0009300B">
        <w:rPr>
          <w:sz w:val="24"/>
          <w:lang w:val="lt-LT"/>
        </w:rPr>
        <w:t xml:space="preserve"> / </w:t>
      </w:r>
      <w:r w:rsidRPr="0009300B">
        <w:rPr>
          <w:i/>
          <w:sz w:val="24"/>
          <w:lang w:val="lt-LT"/>
        </w:rPr>
        <w:t>Parlamentas</w:t>
      </w:r>
      <w:r w:rsidRPr="0009300B">
        <w:rPr>
          <w:sz w:val="24"/>
          <w:lang w:val="lt-LT"/>
        </w:rPr>
        <w:t xml:space="preserve">, T-346/11 ir T-347/11, ECLI:EU:T:2013:23; 2019 m. gruodžio 19 d. Teisingumo Teismo sprendimas </w:t>
      </w:r>
      <w:r w:rsidRPr="0009300B">
        <w:rPr>
          <w:i/>
          <w:sz w:val="24"/>
          <w:lang w:val="lt-LT"/>
        </w:rPr>
        <w:t>Junqueras Vies</w:t>
      </w:r>
      <w:r w:rsidRPr="0009300B">
        <w:rPr>
          <w:sz w:val="24"/>
          <w:lang w:val="lt-LT"/>
        </w:rPr>
        <w:t>, C</w:t>
      </w:r>
      <w:r w:rsidRPr="0009300B">
        <w:rPr>
          <w:sz w:val="24"/>
          <w:lang w:val="lt-LT"/>
        </w:rPr>
        <w:noBreakHyphen/>
        <w:t>502/19, ECLI:EU:C:2019:1115.</w:t>
      </w:r>
    </w:p>
  </w:footnote>
  <w:footnote w:id="2">
    <w:p w:rsidR="000574C1" w:rsidRPr="0009300B" w:rsidRDefault="000574C1" w:rsidP="0009300B">
      <w:pPr>
        <w:pStyle w:val="FootnoteText"/>
        <w:ind w:left="567" w:hanging="567"/>
        <w:rPr>
          <w:sz w:val="24"/>
          <w:lang w:val="lt-LT"/>
        </w:rPr>
      </w:pPr>
      <w:r w:rsidRPr="0009300B">
        <w:rPr>
          <w:rStyle w:val="FootnoteReference"/>
          <w:sz w:val="24"/>
          <w:lang w:val="lt-LT"/>
        </w:rPr>
        <w:footnoteRef/>
      </w:r>
      <w:r w:rsidR="0009300B" w:rsidRPr="0009300B">
        <w:rPr>
          <w:sz w:val="24"/>
          <w:lang w:val="lt-LT"/>
        </w:rPr>
        <w:t xml:space="preserve"> </w:t>
      </w:r>
      <w:r w:rsidR="0009300B" w:rsidRPr="0009300B">
        <w:rPr>
          <w:sz w:val="24"/>
          <w:lang w:val="lt-LT"/>
        </w:rPr>
        <w:tab/>
      </w:r>
      <w:r w:rsidRPr="0009300B">
        <w:rPr>
          <w:sz w:val="24"/>
          <w:lang w:val="lt-LT"/>
        </w:rPr>
        <w:t xml:space="preserve">2019 m. balandžio 30 d. Bendrojo Teismo sprendimas </w:t>
      </w:r>
      <w:r w:rsidRPr="0009300B">
        <w:rPr>
          <w:i/>
          <w:sz w:val="24"/>
          <w:lang w:val="lt-LT"/>
        </w:rPr>
        <w:t>Briois / Parlamentas</w:t>
      </w:r>
      <w:r w:rsidRPr="0009300B">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0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0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0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LT"/>
    <w:docVar w:name="dvnumam" w:val="0"/>
    <w:docVar w:name="dvpe" w:val="758.183"/>
    <w:docVar w:name="dvrapporteur" w:val="Pranešėjas: "/>
    <w:docVar w:name="dvtitre" w:val="Europos Parlamento sprendimas dėl prašymo atšaukti Gunnaro Becko (Gunnar Beck) imunitetą(2023/2192(IMM))"/>
  </w:docVars>
  <w:rsids>
    <w:rsidRoot w:val="008759F2"/>
    <w:rsid w:val="00002272"/>
    <w:rsid w:val="000574C1"/>
    <w:rsid w:val="00064002"/>
    <w:rsid w:val="000677B9"/>
    <w:rsid w:val="000831BA"/>
    <w:rsid w:val="0009300B"/>
    <w:rsid w:val="000A42CC"/>
    <w:rsid w:val="000E7DD9"/>
    <w:rsid w:val="0010095E"/>
    <w:rsid w:val="00125B37"/>
    <w:rsid w:val="0013361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3F2B"/>
    <w:rsid w:val="004C0004"/>
    <w:rsid w:val="004C5D52"/>
    <w:rsid w:val="004E02A8"/>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2B9D"/>
    <w:rsid w:val="00817416"/>
    <w:rsid w:val="00842779"/>
    <w:rsid w:val="00865F67"/>
    <w:rsid w:val="008759F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A79BE"/>
  <w15:chartTrackingRefBased/>
  <w15:docId w15:val="{8C143DEB-FD2B-4011-BE98-20D794390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574C1"/>
    <w:pPr>
      <w:spacing w:after="240"/>
      <w:ind w:left="567" w:hanging="567"/>
    </w:pPr>
  </w:style>
  <w:style w:type="paragraph" w:customStyle="1" w:styleId="EPComma">
    <w:name w:val="EPComma"/>
    <w:basedOn w:val="Normal"/>
    <w:rsid w:val="000574C1"/>
    <w:pPr>
      <w:spacing w:before="480" w:after="240"/>
    </w:pPr>
  </w:style>
  <w:style w:type="paragraph" w:styleId="BalloonText">
    <w:name w:val="Balloon Text"/>
    <w:basedOn w:val="Normal"/>
    <w:link w:val="BalloonTextChar"/>
    <w:rsid w:val="004B3F2B"/>
    <w:rPr>
      <w:rFonts w:ascii="Segoe UI" w:hAnsi="Segoe UI" w:cs="Segoe UI"/>
      <w:sz w:val="18"/>
      <w:szCs w:val="18"/>
    </w:rPr>
  </w:style>
  <w:style w:type="character" w:customStyle="1" w:styleId="BalloonTextChar">
    <w:name w:val="Balloon Text Char"/>
    <w:basedOn w:val="DefaultParagraphFont"/>
    <w:link w:val="BalloonText"/>
    <w:rsid w:val="004B3F2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2195-AA48-43D1-8A12-40658F3A7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2024-04-10T15:14:00Z</dcterms:created>
  <dcterms:modified xsi:type="dcterms:W3CDTF">2024-04-11T09:53:00Z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A9-0170/2024</vt:lpwstr>
  </property>
  <property fmtid="{D5CDD505-2E9C-101B-9397-08002B2CF9AE}" pid="4" name="&lt;Type&gt;">
    <vt:lpwstr>RR</vt:lpwstr>
  </property>
</Properties>
</file>