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1EFA" w:rsidTr="0010095E">
        <w:trPr>
          <w:trHeight w:hRule="exact" w:val="1418"/>
        </w:trPr>
        <w:tc>
          <w:tcPr>
            <w:tcW w:w="6804" w:type="dxa"/>
            <w:shd w:val="clear" w:color="auto" w:fill="auto"/>
            <w:vAlign w:val="center"/>
          </w:tcPr>
          <w:p w:rsidR="00751A4A" w:rsidRPr="00191EFA" w:rsidRDefault="00EB6290" w:rsidP="0010095E">
            <w:pPr>
              <w:pStyle w:val="EPName"/>
            </w:pPr>
            <w:bookmarkStart w:id="0" w:name="_GoBack"/>
            <w:bookmarkEnd w:id="0"/>
            <w:r w:rsidRPr="00191EFA">
              <w:t>Eiropas Parlaments</w:t>
            </w:r>
          </w:p>
          <w:p w:rsidR="00751A4A" w:rsidRPr="00191EFA" w:rsidRDefault="00817416" w:rsidP="00756632">
            <w:pPr>
              <w:pStyle w:val="EPTerm"/>
              <w:rPr>
                <w:rStyle w:val="HideTWBExt"/>
                <w:noProof w:val="0"/>
                <w:vanish w:val="0"/>
                <w:color w:val="auto"/>
              </w:rPr>
            </w:pPr>
            <w:r w:rsidRPr="00191EFA">
              <w:t>2019-2024</w:t>
            </w:r>
          </w:p>
        </w:tc>
        <w:tc>
          <w:tcPr>
            <w:tcW w:w="2268" w:type="dxa"/>
            <w:shd w:val="clear" w:color="auto" w:fill="auto"/>
          </w:tcPr>
          <w:p w:rsidR="00751A4A" w:rsidRPr="00191EFA" w:rsidRDefault="00187494" w:rsidP="0010095E">
            <w:pPr>
              <w:pStyle w:val="EPLogo"/>
            </w:pPr>
            <w:r w:rsidRPr="00191EF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91EFA" w:rsidRDefault="00D058B8" w:rsidP="004C5D52">
      <w:pPr>
        <w:pStyle w:val="LineTop"/>
      </w:pPr>
    </w:p>
    <w:p w:rsidR="00680577" w:rsidRPr="00191EFA" w:rsidRDefault="00EB6290" w:rsidP="00680577">
      <w:pPr>
        <w:pStyle w:val="EPBodyTA1"/>
      </w:pPr>
      <w:r w:rsidRPr="00191EFA">
        <w:t>PIEŅEMTIE TEKSTI</w:t>
      </w:r>
    </w:p>
    <w:p w:rsidR="00D058B8" w:rsidRPr="00191EFA" w:rsidRDefault="00D058B8" w:rsidP="00D058B8">
      <w:pPr>
        <w:pStyle w:val="LineBottom"/>
      </w:pPr>
    </w:p>
    <w:p w:rsidR="00EB6290" w:rsidRPr="00191EFA" w:rsidRDefault="00EB6290" w:rsidP="00EB6290">
      <w:pPr>
        <w:pStyle w:val="ATHeading1"/>
      </w:pPr>
      <w:bookmarkStart w:id="1" w:name="TANumber"/>
      <w:r w:rsidRPr="00191EFA">
        <w:t>P9_TA(2024)0</w:t>
      </w:r>
      <w:r w:rsidR="00191EFA" w:rsidRPr="00191EFA">
        <w:t>224</w:t>
      </w:r>
      <w:bookmarkEnd w:id="1"/>
    </w:p>
    <w:p w:rsidR="00EB6290" w:rsidRPr="00191EFA" w:rsidRDefault="00E76A25" w:rsidP="00EB6290">
      <w:pPr>
        <w:pStyle w:val="ATHeading2"/>
      </w:pPr>
      <w:bookmarkStart w:id="2" w:name="title"/>
      <w:r w:rsidRPr="00191EFA">
        <w:t xml:space="preserve">Pieprasījums atcelt </w:t>
      </w:r>
      <w:r w:rsidRPr="00191EFA">
        <w:rPr>
          <w:i/>
        </w:rPr>
        <w:t xml:space="preserve">Gunnar </w:t>
      </w:r>
      <w:proofErr w:type="spellStart"/>
      <w:r w:rsidRPr="00191EFA">
        <w:rPr>
          <w:i/>
        </w:rPr>
        <w:t>Beck</w:t>
      </w:r>
      <w:proofErr w:type="spellEnd"/>
      <w:r w:rsidRPr="00191EFA">
        <w:t xml:space="preserve"> imunitāti</w:t>
      </w:r>
      <w:bookmarkEnd w:id="2"/>
    </w:p>
    <w:p w:rsidR="00EB6290" w:rsidRPr="00191EFA" w:rsidRDefault="00EB6290" w:rsidP="00EB6290">
      <w:pPr>
        <w:rPr>
          <w:i/>
          <w:vanish/>
        </w:rPr>
      </w:pPr>
      <w:r w:rsidRPr="00191EFA">
        <w:rPr>
          <w:i/>
        </w:rPr>
        <w:fldChar w:fldCharType="begin"/>
      </w:r>
      <w:r w:rsidRPr="00191EFA">
        <w:rPr>
          <w:i/>
        </w:rPr>
        <w:instrText xml:space="preserve"> TC"(</w:instrText>
      </w:r>
      <w:bookmarkStart w:id="3" w:name="DocNumber"/>
      <w:r w:rsidRPr="00191EFA">
        <w:rPr>
          <w:i/>
        </w:rPr>
        <w:instrText>A9-0170/2024</w:instrText>
      </w:r>
      <w:bookmarkEnd w:id="3"/>
      <w:r w:rsidRPr="00191EFA">
        <w:rPr>
          <w:i/>
        </w:rPr>
        <w:instrText xml:space="preserve"> - Referents: Ibán García Del Blanco)"\l3 \n&gt; \* MERGEFORMAT </w:instrText>
      </w:r>
      <w:r w:rsidRPr="00191EFA">
        <w:rPr>
          <w:i/>
        </w:rPr>
        <w:fldChar w:fldCharType="end"/>
      </w:r>
    </w:p>
    <w:p w:rsidR="00EB6290" w:rsidRPr="00191EFA" w:rsidRDefault="00EB6290" w:rsidP="00EB6290">
      <w:pPr>
        <w:rPr>
          <w:vanish/>
        </w:rPr>
      </w:pPr>
      <w:bookmarkStart w:id="4" w:name="Commission"/>
      <w:r w:rsidRPr="00191EFA">
        <w:rPr>
          <w:vanish/>
        </w:rPr>
        <w:t>Juridiskā komiteja</w:t>
      </w:r>
      <w:bookmarkEnd w:id="4"/>
    </w:p>
    <w:p w:rsidR="00EB6290" w:rsidRPr="00191EFA" w:rsidRDefault="00EB6290" w:rsidP="00EB6290">
      <w:pPr>
        <w:rPr>
          <w:vanish/>
        </w:rPr>
      </w:pPr>
      <w:bookmarkStart w:id="5" w:name="PE"/>
      <w:r w:rsidRPr="00191EFA">
        <w:rPr>
          <w:vanish/>
        </w:rPr>
        <w:t>PE758.183</w:t>
      </w:r>
      <w:bookmarkEnd w:id="5"/>
    </w:p>
    <w:p w:rsidR="00EB6290" w:rsidRPr="00191EFA" w:rsidRDefault="00EB6290" w:rsidP="00EB6290">
      <w:pPr>
        <w:pStyle w:val="ATHeading3"/>
      </w:pPr>
      <w:bookmarkStart w:id="6" w:name="Sujet"/>
      <w:r w:rsidRPr="00191EFA">
        <w:t xml:space="preserve">Eiropas Parlamenta 2024. gada </w:t>
      </w:r>
      <w:r w:rsidR="00E76A25" w:rsidRPr="00191EFA">
        <w:t>11. aprīļa</w:t>
      </w:r>
      <w:r w:rsidRPr="00191EFA">
        <w:t xml:space="preserve"> lēmums par pieprasījumu atcelt </w:t>
      </w:r>
      <w:r w:rsidRPr="00191EFA">
        <w:rPr>
          <w:i/>
        </w:rPr>
        <w:t xml:space="preserve">Gunnar </w:t>
      </w:r>
      <w:proofErr w:type="spellStart"/>
      <w:r w:rsidRPr="00191EFA">
        <w:rPr>
          <w:i/>
        </w:rPr>
        <w:t>Beck</w:t>
      </w:r>
      <w:proofErr w:type="spellEnd"/>
      <w:r w:rsidRPr="00191EFA">
        <w:t xml:space="preserve"> imunitāti</w:t>
      </w:r>
      <w:bookmarkEnd w:id="6"/>
      <w:r w:rsidRPr="00191EFA">
        <w:t xml:space="preserve"> </w:t>
      </w:r>
      <w:bookmarkStart w:id="7" w:name="References"/>
      <w:r w:rsidRPr="00191EFA">
        <w:t>(2023/2192(IMM))</w:t>
      </w:r>
      <w:bookmarkEnd w:id="7"/>
    </w:p>
    <w:p w:rsidR="00635ADA" w:rsidRPr="00191EFA" w:rsidRDefault="00635ADA" w:rsidP="00635ADA">
      <w:pPr>
        <w:pStyle w:val="EPComma"/>
      </w:pPr>
      <w:bookmarkStart w:id="8" w:name="TextBodyBegin"/>
      <w:bookmarkEnd w:id="8"/>
      <w:r w:rsidRPr="00191EFA">
        <w:rPr>
          <w:i/>
          <w:iCs/>
        </w:rPr>
        <w:t>Eiropas Parlaments</w:t>
      </w:r>
      <w:r w:rsidRPr="00191EFA">
        <w:t>,</w:t>
      </w:r>
    </w:p>
    <w:p w:rsidR="00635ADA" w:rsidRPr="00191EFA" w:rsidRDefault="00635ADA" w:rsidP="00635ADA">
      <w:pPr>
        <w:pStyle w:val="NormalHanging12a"/>
      </w:pPr>
      <w:r w:rsidRPr="00191EFA">
        <w:t>–</w:t>
      </w:r>
      <w:r w:rsidRPr="00191EFA">
        <w:tab/>
        <w:t xml:space="preserve">ņemot vērā Diseldorfas pilsētas prokurora pieprasījumu atcelt </w:t>
      </w:r>
      <w:r w:rsidRPr="00191EFA">
        <w:rPr>
          <w:i/>
          <w:iCs/>
        </w:rPr>
        <w:t xml:space="preserve">Gunnar </w:t>
      </w:r>
      <w:proofErr w:type="spellStart"/>
      <w:r w:rsidRPr="00191EFA">
        <w:rPr>
          <w:i/>
          <w:iCs/>
        </w:rPr>
        <w:t>Beck</w:t>
      </w:r>
      <w:proofErr w:type="spellEnd"/>
      <w:r w:rsidRPr="00191EFA">
        <w:t xml:space="preserve"> imunitāti, ko Vācijas Federālā tieslietu un patērētāju aizsardzības ministrija 2023. gada 25. jūlija vēstulē nosūtīj</w:t>
      </w:r>
      <w:r w:rsidR="00E76A25" w:rsidRPr="00191EFA">
        <w:t>usi</w:t>
      </w:r>
      <w:r w:rsidRPr="00191EFA">
        <w:t xml:space="preserve"> saistībā ar iepriekšējo izmeklēšanu par aizdomām noziedzīgu nodarījumu izdarīšanā un par kuru 2023. gada 11. septembrī paziņo</w:t>
      </w:r>
      <w:r w:rsidR="00E76A25" w:rsidRPr="00191EFA">
        <w:t>ts</w:t>
      </w:r>
      <w:r w:rsidRPr="00191EFA">
        <w:t xml:space="preserve"> plenārsēdē,</w:t>
      </w:r>
    </w:p>
    <w:p w:rsidR="00635ADA" w:rsidRPr="00191EFA" w:rsidRDefault="00635ADA" w:rsidP="00635ADA">
      <w:pPr>
        <w:pStyle w:val="NormalHanging12a"/>
      </w:pPr>
      <w:r w:rsidRPr="00191EFA">
        <w:t>–</w:t>
      </w:r>
      <w:r w:rsidRPr="00191EFA">
        <w:tab/>
        <w:t xml:space="preserve">pēc </w:t>
      </w:r>
      <w:r w:rsidRPr="00191EFA">
        <w:rPr>
          <w:i/>
          <w:iCs/>
        </w:rPr>
        <w:t xml:space="preserve">Gunnar </w:t>
      </w:r>
      <w:proofErr w:type="spellStart"/>
      <w:r w:rsidRPr="00191EFA">
        <w:rPr>
          <w:i/>
          <w:iCs/>
        </w:rPr>
        <w:t>Beck</w:t>
      </w:r>
      <w:proofErr w:type="spellEnd"/>
      <w:r w:rsidRPr="00191EFA">
        <w:t xml:space="preserve"> uzklausīšanas saskaņā ar Reglamenta 9. panta 6. punktu, </w:t>
      </w:r>
    </w:p>
    <w:p w:rsidR="00635ADA" w:rsidRPr="00191EFA" w:rsidRDefault="00635ADA" w:rsidP="00635ADA">
      <w:pPr>
        <w:pStyle w:val="NormalHanging12a"/>
      </w:pPr>
      <w:r w:rsidRPr="00191EFA">
        <w:t>–</w:t>
      </w:r>
      <w:r w:rsidRPr="00191EFA">
        <w:tab/>
        <w:t>ņemot vērā Protokola Nr. 7 par privilēģijām un imunitāti Eiropas Savienībā 8. un 9. pantu, kā arī 1976. gada 20. septembra Akta par Eiropas Parlamenta deputātu ievēlēšanu tiešās vispārējās vēlēšanās 6. panta 2. punktu,</w:t>
      </w:r>
    </w:p>
    <w:p w:rsidR="00635ADA" w:rsidRPr="00191EFA" w:rsidRDefault="00635ADA" w:rsidP="00635ADA">
      <w:pPr>
        <w:pStyle w:val="NormalHanging12a"/>
      </w:pPr>
      <w:r w:rsidRPr="00191EFA">
        <w:t>–</w:t>
      </w:r>
      <w:r w:rsidRPr="00191EFA">
        <w:tab/>
        <w:t>ņemot vērā Eiropas Savienības Tiesas 2008. gada 21. oktobra, 2010. gada 19. marta, 2011. gada 6. septembra, 2013. gada 17. janvāra un 2019. gada 19. decembra spriedumu</w:t>
      </w:r>
      <w:r w:rsidRPr="00191EFA">
        <w:rPr>
          <w:rStyle w:val="FootnoteReference"/>
        </w:rPr>
        <w:footnoteReference w:id="1"/>
      </w:r>
      <w:r w:rsidRPr="00191EFA">
        <w:t>,</w:t>
      </w:r>
    </w:p>
    <w:p w:rsidR="00635ADA" w:rsidRPr="00191EFA" w:rsidRDefault="00635ADA" w:rsidP="00635ADA">
      <w:pPr>
        <w:pStyle w:val="NormalHanging12a"/>
      </w:pPr>
      <w:r w:rsidRPr="00191EFA">
        <w:t>–</w:t>
      </w:r>
      <w:r w:rsidRPr="00191EFA">
        <w:tab/>
        <w:t>ņemot vērā Vācijas Federatīvās Republikas Pamatlikuma 46. panta 2., 3. un 4. punktu un Kriminālprocesa un Naudassoda procesa vadlīniju (</w:t>
      </w:r>
      <w:proofErr w:type="spellStart"/>
      <w:r w:rsidRPr="00191EFA">
        <w:rPr>
          <w:i/>
          <w:iCs/>
        </w:rPr>
        <w:t>Richtlinien</w:t>
      </w:r>
      <w:proofErr w:type="spellEnd"/>
      <w:r w:rsidRPr="00191EFA">
        <w:rPr>
          <w:i/>
          <w:iCs/>
        </w:rPr>
        <w:t xml:space="preserve"> </w:t>
      </w:r>
      <w:proofErr w:type="spellStart"/>
      <w:r w:rsidRPr="00191EFA">
        <w:rPr>
          <w:i/>
          <w:iCs/>
        </w:rPr>
        <w:t>für</w:t>
      </w:r>
      <w:proofErr w:type="spellEnd"/>
      <w:r w:rsidRPr="00191EFA">
        <w:rPr>
          <w:i/>
          <w:iCs/>
        </w:rPr>
        <w:t xml:space="preserve"> </w:t>
      </w:r>
      <w:proofErr w:type="spellStart"/>
      <w:r w:rsidRPr="00191EFA">
        <w:rPr>
          <w:i/>
          <w:iCs/>
        </w:rPr>
        <w:t>das</w:t>
      </w:r>
      <w:proofErr w:type="spellEnd"/>
      <w:r w:rsidRPr="00191EFA">
        <w:rPr>
          <w:i/>
          <w:iCs/>
        </w:rPr>
        <w:t xml:space="preserve"> </w:t>
      </w:r>
      <w:proofErr w:type="spellStart"/>
      <w:r w:rsidRPr="00191EFA">
        <w:rPr>
          <w:i/>
          <w:iCs/>
        </w:rPr>
        <w:t>Strafverfahren</w:t>
      </w:r>
      <w:proofErr w:type="spellEnd"/>
      <w:r w:rsidRPr="00191EFA">
        <w:rPr>
          <w:i/>
          <w:iCs/>
        </w:rPr>
        <w:t xml:space="preserve"> </w:t>
      </w:r>
      <w:proofErr w:type="spellStart"/>
      <w:r w:rsidRPr="00191EFA">
        <w:rPr>
          <w:i/>
          <w:iCs/>
        </w:rPr>
        <w:t>und</w:t>
      </w:r>
      <w:proofErr w:type="spellEnd"/>
      <w:r w:rsidRPr="00191EFA">
        <w:rPr>
          <w:i/>
          <w:iCs/>
        </w:rPr>
        <w:t xml:space="preserve"> </w:t>
      </w:r>
      <w:proofErr w:type="spellStart"/>
      <w:r w:rsidRPr="00191EFA">
        <w:rPr>
          <w:i/>
          <w:iCs/>
        </w:rPr>
        <w:t>das</w:t>
      </w:r>
      <w:proofErr w:type="spellEnd"/>
      <w:r w:rsidRPr="00191EFA">
        <w:rPr>
          <w:i/>
          <w:iCs/>
        </w:rPr>
        <w:t xml:space="preserve"> </w:t>
      </w:r>
      <w:proofErr w:type="spellStart"/>
      <w:r w:rsidRPr="00191EFA">
        <w:rPr>
          <w:i/>
          <w:iCs/>
        </w:rPr>
        <w:t>Bußgeldverfahren</w:t>
      </w:r>
      <w:proofErr w:type="spellEnd"/>
      <w:r w:rsidRPr="00191EFA">
        <w:t>) 192.b pantu,</w:t>
      </w:r>
    </w:p>
    <w:p w:rsidR="00635ADA" w:rsidRPr="00191EFA" w:rsidRDefault="00635ADA" w:rsidP="00635ADA">
      <w:pPr>
        <w:pStyle w:val="NormalHanging12a"/>
      </w:pPr>
      <w:r w:rsidRPr="00191EFA">
        <w:t>–</w:t>
      </w:r>
      <w:r w:rsidRPr="00191EFA">
        <w:tab/>
        <w:t>ņemot vērā Reglamenta 5. panta 2. punktu, 6. panta 1. punktu un 9. pantu,</w:t>
      </w:r>
    </w:p>
    <w:p w:rsidR="00635ADA" w:rsidRPr="00191EFA" w:rsidRDefault="00635ADA" w:rsidP="00635ADA">
      <w:pPr>
        <w:pStyle w:val="NormalHanging12a"/>
      </w:pPr>
      <w:r w:rsidRPr="00191EFA">
        <w:lastRenderedPageBreak/>
        <w:t>–</w:t>
      </w:r>
      <w:r w:rsidRPr="00191EFA">
        <w:tab/>
        <w:t>ņemot vērā Juridiskās komitejas ziņojumu (A9</w:t>
      </w:r>
      <w:r w:rsidRPr="00191EFA">
        <w:noBreakHyphen/>
        <w:t>0170/2024),</w:t>
      </w:r>
    </w:p>
    <w:p w:rsidR="00635ADA" w:rsidRPr="00191EFA" w:rsidRDefault="00635ADA" w:rsidP="00635ADA">
      <w:pPr>
        <w:pStyle w:val="NormalHanging12a"/>
      </w:pPr>
      <w:r w:rsidRPr="00191EFA">
        <w:t>A.</w:t>
      </w:r>
      <w:r w:rsidRPr="00191EFA">
        <w:tab/>
        <w:t xml:space="preserve">tā kā Diseldorfas pilsētas prokurors saskaņā ar Vācijas Kriminālkodeksa 242. panta 1. punktu, 248.a  pantu, 223. panta 1. punktu, 230. panta 1. punktu, 113. panta 1. punktu un 53. pantu ir pieprasījis atcelt no Vācijas ievēlētā Eiropas Parlamenta deputāta </w:t>
      </w:r>
      <w:r w:rsidRPr="00191EFA">
        <w:rPr>
          <w:i/>
          <w:iCs/>
        </w:rPr>
        <w:t xml:space="preserve">Gunnar </w:t>
      </w:r>
      <w:proofErr w:type="spellStart"/>
      <w:r w:rsidRPr="00191EFA">
        <w:rPr>
          <w:i/>
          <w:iCs/>
        </w:rPr>
        <w:t>Beck</w:t>
      </w:r>
      <w:proofErr w:type="spellEnd"/>
      <w:r w:rsidRPr="00191EFA">
        <w:t xml:space="preserve"> imunitāti, lai uzsāktu </w:t>
      </w:r>
      <w:proofErr w:type="spellStart"/>
      <w:r w:rsidRPr="00191EFA">
        <w:t>pirmstiesas</w:t>
      </w:r>
      <w:proofErr w:type="spellEnd"/>
      <w:r w:rsidRPr="00191EFA">
        <w:t xml:space="preserve"> izmeklēšanas procesu par zemas vērtības īpašuma zādzību apvienojumā ar tīšiem miesas bojājumiem un pretestību tiesībaizsardzības amatpersonām;</w:t>
      </w:r>
    </w:p>
    <w:p w:rsidR="00635ADA" w:rsidRPr="00191EFA" w:rsidRDefault="00635ADA" w:rsidP="00635ADA">
      <w:pPr>
        <w:pStyle w:val="NormalHanging12a"/>
      </w:pPr>
      <w:r w:rsidRPr="00191EFA">
        <w:t>B.</w:t>
      </w:r>
      <w:r w:rsidRPr="00191EFA">
        <w:tab/>
        <w:t xml:space="preserve">tā kā pastāv aizdomas, ka 2022. gada 29. oktobrī universālveikalā </w:t>
      </w:r>
      <w:proofErr w:type="spellStart"/>
      <w:r w:rsidRPr="00191EFA">
        <w:t>Neusā</w:t>
      </w:r>
      <w:proofErr w:type="spellEnd"/>
      <w:r w:rsidRPr="00191EFA">
        <w:t xml:space="preserve"> (Vācija) </w:t>
      </w:r>
      <w:r w:rsidRPr="00191EFA">
        <w:rPr>
          <w:i/>
          <w:iCs/>
        </w:rPr>
        <w:t xml:space="preserve">Gunnar </w:t>
      </w:r>
      <w:proofErr w:type="spellStart"/>
      <w:r w:rsidRPr="00191EFA">
        <w:rPr>
          <w:i/>
          <w:iCs/>
        </w:rPr>
        <w:t>Beck</w:t>
      </w:r>
      <w:proofErr w:type="spellEnd"/>
      <w:r w:rsidRPr="00191EFA">
        <w:t xml:space="preserve"> paņēma dažus testēšanai izliktus preču paraugus, lai pircēji tos varētu izmēģināt, ar mērķi paņemt tos bez samaksas; tā kā tika ziņots par noziedzīgu nodarījumu tirdzniecības vietā; tā kā </w:t>
      </w:r>
      <w:r w:rsidRPr="00191EFA">
        <w:rPr>
          <w:i/>
          <w:iCs/>
        </w:rPr>
        <w:t xml:space="preserve">Gunnar </w:t>
      </w:r>
      <w:proofErr w:type="spellStart"/>
      <w:r w:rsidRPr="00191EFA">
        <w:rPr>
          <w:i/>
          <w:iCs/>
        </w:rPr>
        <w:t>Beck</w:t>
      </w:r>
      <w:proofErr w:type="spellEnd"/>
      <w:r w:rsidRPr="00191EFA">
        <w:t xml:space="preserve"> esot mēģinājis atstāt veikala telpas, bet veikala detektīvi viņu aizturēja; tā kā pēc tam tiesībaizsardzības iestāžu amatpersonas iejaucās uz vietas un, iespējams, </w:t>
      </w:r>
      <w:r w:rsidRPr="00191EFA">
        <w:rPr>
          <w:i/>
          <w:iCs/>
        </w:rPr>
        <w:t xml:space="preserve">Gunnar </w:t>
      </w:r>
      <w:proofErr w:type="spellStart"/>
      <w:r w:rsidRPr="00191EFA">
        <w:rPr>
          <w:i/>
          <w:iCs/>
        </w:rPr>
        <w:t>Beck</w:t>
      </w:r>
      <w:proofErr w:type="spellEnd"/>
      <w:r w:rsidRPr="00191EFA">
        <w:t xml:space="preserve"> neievēroja viņu prasības nepretoties;</w:t>
      </w:r>
    </w:p>
    <w:p w:rsidR="00635ADA" w:rsidRPr="00191EFA" w:rsidRDefault="00635ADA" w:rsidP="00635ADA">
      <w:pPr>
        <w:pStyle w:val="NormalHanging12a"/>
      </w:pPr>
      <w:r w:rsidRPr="00191EFA">
        <w:t>C.</w:t>
      </w:r>
      <w:r w:rsidRPr="00191EFA">
        <w:tab/>
        <w:t>tā kā inkriminētie noziedzīgie nodarījumi nedz attiecas uz viedokli, ko viņš ir paudis, nedz balsojumu, kuru viņš ir izdarījis, veikdams savas kā Eiropas Parlamenta deputāta funkcijas Protokola (Nr. 7) par privilēģijām un imunitātēm Eiropas Savienībā 8. panta nozīmē;</w:t>
      </w:r>
    </w:p>
    <w:p w:rsidR="00635ADA" w:rsidRPr="00191EFA" w:rsidRDefault="00635ADA" w:rsidP="00635ADA">
      <w:pPr>
        <w:pStyle w:val="NormalHanging12a"/>
      </w:pPr>
      <w:r w:rsidRPr="00191EFA">
        <w:t>D.</w:t>
      </w:r>
      <w:r w:rsidRPr="00191EFA">
        <w:tab/>
        <w:t>tā kā saskaņā ar Protokola Nr. 7 par privilēģijām un imunitāti Eiropas Savienībā 9. pantu Eiropas Parlamenta locekļiem savā valstī ir imunitāte, ko piešķir attiecīgās valsts parlamenta locekļiem;</w:t>
      </w:r>
    </w:p>
    <w:p w:rsidR="00635ADA" w:rsidRPr="00191EFA" w:rsidRDefault="00635ADA" w:rsidP="00635ADA">
      <w:pPr>
        <w:pStyle w:val="NormalHanging12a"/>
      </w:pPr>
      <w:r w:rsidRPr="00191EFA">
        <w:t>E.</w:t>
      </w:r>
      <w:r w:rsidRPr="00191EFA">
        <w:tab/>
        <w:t>tā kā Vācijas Federālās Republikas Pamatlikuma 46. panta 2.,. un 4. punkta normas ir šādas:</w:t>
      </w:r>
    </w:p>
    <w:p w:rsidR="00635ADA" w:rsidRPr="00191EFA" w:rsidRDefault="00635ADA" w:rsidP="00191EFA">
      <w:pPr>
        <w:pStyle w:val="NormalHanging12a"/>
        <w:ind w:left="1134"/>
      </w:pPr>
      <w:r w:rsidRPr="00191EFA">
        <w:t>“(2) </w:t>
      </w:r>
      <w:r w:rsidR="00E76A25" w:rsidRPr="00191EFA">
        <w:tab/>
      </w:r>
      <w:r w:rsidRPr="00191EFA">
        <w:t xml:space="preserve">Deputātu saukt pie atbildības vai aizturēt par sodāmu nodarījumu drīkst tikai, saņemot Bundestāga atļauju, ja vien deputāts nav aizturēts pārkāpuma izdarīšanas brīdī vai nākamās dienas laikā. </w:t>
      </w:r>
    </w:p>
    <w:p w:rsidR="00635ADA" w:rsidRPr="00191EFA" w:rsidRDefault="00635ADA" w:rsidP="00191EFA">
      <w:pPr>
        <w:pStyle w:val="NormalHanging12a"/>
        <w:ind w:left="1134"/>
      </w:pPr>
      <w:r w:rsidRPr="00191EFA">
        <w:t xml:space="preserve">(3) </w:t>
      </w:r>
      <w:r w:rsidR="00E76A25" w:rsidRPr="00191EFA">
        <w:tab/>
      </w:r>
      <w:r w:rsidRPr="00191EFA">
        <w:t>Bundestāga piekrišana papildus tam ir nepieciešama arī par jebkuru citu deputāta personīgās brīvības ierobežojumu vai, ja pret viņu ir ierosināts 18. pantā paredzētais process.</w:t>
      </w:r>
    </w:p>
    <w:p w:rsidR="00635ADA" w:rsidRPr="00191EFA" w:rsidRDefault="00635ADA" w:rsidP="00191EFA">
      <w:pPr>
        <w:pStyle w:val="NormalHanging12a"/>
        <w:ind w:left="1134"/>
      </w:pPr>
      <w:r w:rsidRPr="00191EFA">
        <w:t xml:space="preserve">(4) </w:t>
      </w:r>
      <w:r w:rsidR="00E76A25" w:rsidRPr="00191EFA">
        <w:tab/>
      </w:r>
      <w:r w:rsidRPr="00191EFA">
        <w:t>Jebkurš pret deputātu ierosinātais kriminālprocess vai jebkurš 18. pantā paredzētais process, jebkura aizturēšana vai jebkura cita personīgās brīvības ierobežošana ir jāaptur, ja to prasa Bundestāgs.”;</w:t>
      </w:r>
    </w:p>
    <w:p w:rsidR="00635ADA" w:rsidRPr="00191EFA" w:rsidRDefault="00635ADA" w:rsidP="00635ADA">
      <w:pPr>
        <w:pStyle w:val="NormalHanging12a"/>
      </w:pPr>
      <w:r w:rsidRPr="00191EFA">
        <w:t>F.</w:t>
      </w:r>
      <w:r w:rsidRPr="00191EFA">
        <w:tab/>
        <w:t>tā kā Eiropas Parlamenta deputāta imunitātes atcelšanu reglamentē Kriminālprocesa un Naudas sodu procesa vadlīniju (</w:t>
      </w:r>
      <w:proofErr w:type="spellStart"/>
      <w:r w:rsidRPr="00191EFA">
        <w:rPr>
          <w:i/>
          <w:iCs/>
        </w:rPr>
        <w:t>Richtlinien</w:t>
      </w:r>
      <w:proofErr w:type="spellEnd"/>
      <w:r w:rsidRPr="00191EFA">
        <w:rPr>
          <w:i/>
          <w:iCs/>
        </w:rPr>
        <w:t xml:space="preserve"> </w:t>
      </w:r>
      <w:proofErr w:type="spellStart"/>
      <w:r w:rsidRPr="00191EFA">
        <w:rPr>
          <w:i/>
          <w:iCs/>
        </w:rPr>
        <w:t>für</w:t>
      </w:r>
      <w:proofErr w:type="spellEnd"/>
      <w:r w:rsidRPr="00191EFA">
        <w:rPr>
          <w:i/>
          <w:iCs/>
        </w:rPr>
        <w:t xml:space="preserve"> </w:t>
      </w:r>
      <w:proofErr w:type="spellStart"/>
      <w:r w:rsidRPr="00191EFA">
        <w:rPr>
          <w:i/>
          <w:iCs/>
        </w:rPr>
        <w:t>das</w:t>
      </w:r>
      <w:proofErr w:type="spellEnd"/>
      <w:r w:rsidRPr="00191EFA">
        <w:rPr>
          <w:i/>
          <w:iCs/>
        </w:rPr>
        <w:t xml:space="preserve"> </w:t>
      </w:r>
      <w:proofErr w:type="spellStart"/>
      <w:r w:rsidRPr="00191EFA">
        <w:rPr>
          <w:i/>
          <w:iCs/>
        </w:rPr>
        <w:t>Strafverfahren</w:t>
      </w:r>
      <w:proofErr w:type="spellEnd"/>
      <w:r w:rsidRPr="00191EFA">
        <w:rPr>
          <w:i/>
          <w:iCs/>
        </w:rPr>
        <w:t xml:space="preserve"> </w:t>
      </w:r>
      <w:proofErr w:type="spellStart"/>
      <w:r w:rsidRPr="00191EFA">
        <w:rPr>
          <w:i/>
          <w:iCs/>
        </w:rPr>
        <w:t>und</w:t>
      </w:r>
      <w:proofErr w:type="spellEnd"/>
      <w:r w:rsidRPr="00191EFA">
        <w:rPr>
          <w:i/>
          <w:iCs/>
        </w:rPr>
        <w:t xml:space="preserve"> </w:t>
      </w:r>
      <w:proofErr w:type="spellStart"/>
      <w:r w:rsidRPr="00191EFA">
        <w:rPr>
          <w:i/>
          <w:iCs/>
        </w:rPr>
        <w:t>das</w:t>
      </w:r>
      <w:proofErr w:type="spellEnd"/>
      <w:r w:rsidRPr="00191EFA">
        <w:rPr>
          <w:i/>
          <w:iCs/>
        </w:rPr>
        <w:t xml:space="preserve"> </w:t>
      </w:r>
      <w:proofErr w:type="spellStart"/>
      <w:r w:rsidRPr="00191EFA">
        <w:rPr>
          <w:i/>
          <w:iCs/>
        </w:rPr>
        <w:t>Bußgeldverfahren</w:t>
      </w:r>
      <w:proofErr w:type="spellEnd"/>
      <w:r w:rsidRPr="00191EFA">
        <w:t>) 192.b pants un tā kā tā 1. punktā jo īpaši ir noteikts:</w:t>
      </w:r>
    </w:p>
    <w:p w:rsidR="00635ADA" w:rsidRPr="00191EFA" w:rsidRDefault="00635ADA" w:rsidP="00191EFA">
      <w:pPr>
        <w:pStyle w:val="NormalHanging12a"/>
        <w:ind w:left="1134"/>
      </w:pPr>
      <w:r w:rsidRPr="00191EFA">
        <w:t xml:space="preserve">“(1) </w:t>
      </w:r>
      <w:r w:rsidR="00E76A25" w:rsidRPr="00191EFA">
        <w:tab/>
      </w:r>
      <w:proofErr w:type="spellStart"/>
      <w:r w:rsidRPr="00191EFA">
        <w:rPr>
          <w:i/>
        </w:rPr>
        <w:t>Einem</w:t>
      </w:r>
      <w:proofErr w:type="spellEnd"/>
      <w:r w:rsidRPr="00191EFA">
        <w:rPr>
          <w:i/>
        </w:rPr>
        <w:t xml:space="preserve"> </w:t>
      </w:r>
      <w:proofErr w:type="spellStart"/>
      <w:r w:rsidRPr="00191EFA">
        <w:rPr>
          <w:i/>
        </w:rPr>
        <w:t>Mitglied</w:t>
      </w:r>
      <w:proofErr w:type="spellEnd"/>
      <w:r w:rsidRPr="00191EFA">
        <w:rPr>
          <w:i/>
        </w:rPr>
        <w:t xml:space="preserve"> des </w:t>
      </w:r>
      <w:proofErr w:type="spellStart"/>
      <w:r w:rsidRPr="00191EFA">
        <w:rPr>
          <w:i/>
        </w:rPr>
        <w:t>Europäischen</w:t>
      </w:r>
      <w:proofErr w:type="spellEnd"/>
      <w:r w:rsidRPr="00191EFA">
        <w:rPr>
          <w:i/>
        </w:rPr>
        <w:t xml:space="preserve"> Parlaments aus der </w:t>
      </w:r>
      <w:proofErr w:type="spellStart"/>
      <w:r w:rsidRPr="00191EFA">
        <w:rPr>
          <w:i/>
        </w:rPr>
        <w:t>Bundesrepublik</w:t>
      </w:r>
      <w:proofErr w:type="spellEnd"/>
      <w:r w:rsidRPr="00191EFA">
        <w:rPr>
          <w:i/>
        </w:rPr>
        <w:t xml:space="preserve"> </w:t>
      </w:r>
      <w:proofErr w:type="spellStart"/>
      <w:r w:rsidRPr="00191EFA">
        <w:rPr>
          <w:i/>
        </w:rPr>
        <w:t>Deutschland</w:t>
      </w:r>
      <w:proofErr w:type="spellEnd"/>
      <w:r w:rsidRPr="00191EFA">
        <w:rPr>
          <w:i/>
        </w:rPr>
        <w:t xml:space="preserve"> </w:t>
      </w:r>
      <w:proofErr w:type="spellStart"/>
      <w:r w:rsidRPr="00191EFA">
        <w:rPr>
          <w:i/>
        </w:rPr>
        <w:t>steht</w:t>
      </w:r>
      <w:proofErr w:type="spellEnd"/>
      <w:r w:rsidRPr="00191EFA">
        <w:rPr>
          <w:i/>
        </w:rPr>
        <w:t xml:space="preserve"> </w:t>
      </w:r>
      <w:proofErr w:type="spellStart"/>
      <w:r w:rsidRPr="00191EFA">
        <w:rPr>
          <w:i/>
        </w:rPr>
        <w:t>die</w:t>
      </w:r>
      <w:proofErr w:type="spellEnd"/>
      <w:r w:rsidRPr="00191EFA">
        <w:rPr>
          <w:i/>
        </w:rPr>
        <w:t xml:space="preserve"> </w:t>
      </w:r>
      <w:proofErr w:type="spellStart"/>
      <w:r w:rsidRPr="00191EFA">
        <w:rPr>
          <w:i/>
        </w:rPr>
        <w:t>einem</w:t>
      </w:r>
      <w:proofErr w:type="spellEnd"/>
      <w:r w:rsidRPr="00191EFA">
        <w:rPr>
          <w:i/>
        </w:rPr>
        <w:t xml:space="preserve"> </w:t>
      </w:r>
      <w:proofErr w:type="spellStart"/>
      <w:r w:rsidRPr="00191EFA">
        <w:rPr>
          <w:i/>
        </w:rPr>
        <w:t>Abgeordneten</w:t>
      </w:r>
      <w:proofErr w:type="spellEnd"/>
      <w:r w:rsidRPr="00191EFA">
        <w:rPr>
          <w:i/>
        </w:rPr>
        <w:t xml:space="preserve"> des </w:t>
      </w:r>
      <w:proofErr w:type="spellStart"/>
      <w:r w:rsidRPr="00191EFA">
        <w:rPr>
          <w:i/>
        </w:rPr>
        <w:t>Deutschen</w:t>
      </w:r>
      <w:proofErr w:type="spellEnd"/>
      <w:r w:rsidRPr="00191EFA">
        <w:rPr>
          <w:i/>
        </w:rPr>
        <w:t xml:space="preserve"> </w:t>
      </w:r>
      <w:proofErr w:type="spellStart"/>
      <w:r w:rsidRPr="00191EFA">
        <w:rPr>
          <w:i/>
        </w:rPr>
        <w:t>Bundestages</w:t>
      </w:r>
      <w:proofErr w:type="spellEnd"/>
      <w:r w:rsidRPr="00191EFA">
        <w:rPr>
          <w:i/>
        </w:rPr>
        <w:t xml:space="preserve"> </w:t>
      </w:r>
      <w:proofErr w:type="spellStart"/>
      <w:r w:rsidRPr="00191EFA">
        <w:rPr>
          <w:i/>
        </w:rPr>
        <w:t>zuerkannte</w:t>
      </w:r>
      <w:proofErr w:type="spellEnd"/>
      <w:r w:rsidRPr="00191EFA">
        <w:rPr>
          <w:i/>
        </w:rPr>
        <w:t xml:space="preserve"> </w:t>
      </w:r>
      <w:proofErr w:type="spellStart"/>
      <w:r w:rsidRPr="00191EFA">
        <w:rPr>
          <w:i/>
        </w:rPr>
        <w:t>Immunität</w:t>
      </w:r>
      <w:proofErr w:type="spellEnd"/>
      <w:r w:rsidRPr="00191EFA">
        <w:rPr>
          <w:i/>
        </w:rPr>
        <w:t xml:space="preserve"> </w:t>
      </w:r>
      <w:proofErr w:type="spellStart"/>
      <w:r w:rsidRPr="00191EFA">
        <w:rPr>
          <w:i/>
        </w:rPr>
        <w:t>zu</w:t>
      </w:r>
      <w:proofErr w:type="spellEnd"/>
      <w:r w:rsidRPr="00191EFA">
        <w:t>. [Eiropas Parlamenta deputātam no Vācijas Federatīvās Republikas ir tiesības uz imunitāti, kas piešķirta Vācijas Bundestāga deputātam];</w:t>
      </w:r>
    </w:p>
    <w:p w:rsidR="00635ADA" w:rsidRPr="00191EFA" w:rsidRDefault="00635ADA" w:rsidP="00635ADA">
      <w:pPr>
        <w:pStyle w:val="NormalHanging12a"/>
        <w:rPr>
          <w:szCs w:val="24"/>
        </w:rPr>
      </w:pPr>
      <w:r w:rsidRPr="00191EFA">
        <w:t>G.</w:t>
      </w:r>
      <w:r w:rsidRPr="00191EFA">
        <w:tab/>
        <w:t>tā kā, no vienas puses, Parlaments nevar tikt pielīdzināts tiesai un, no otras puses, deputāts imunitātes atcelšanas procedūras kontekstā nevar tikt uzskatīts par apsūdzēto</w:t>
      </w:r>
      <w:r w:rsidRPr="00191EFA">
        <w:rPr>
          <w:vertAlign w:val="superscript"/>
        </w:rPr>
        <w:footnoteReference w:id="2"/>
      </w:r>
      <w:r w:rsidRPr="00191EFA">
        <w:t>;</w:t>
      </w:r>
    </w:p>
    <w:p w:rsidR="00635ADA" w:rsidRPr="00191EFA" w:rsidRDefault="00635ADA" w:rsidP="00635ADA">
      <w:pPr>
        <w:pStyle w:val="NormalHanging12a"/>
      </w:pPr>
      <w:r w:rsidRPr="00191EFA">
        <w:t>H.</w:t>
      </w:r>
      <w:r w:rsidRPr="00191EFA">
        <w:tab/>
        <w:t>tā kā parlamentārās imunitātes mērķis ir aizsargāt Parlamentu un tā deputātus pret tiesvedību, kas tiek ierosināta par darbībām, kuras ir veiktas, pildot parlamentāros pienākumus, un kuras nevar nošķirt no šiem pienākumiem;</w:t>
      </w:r>
    </w:p>
    <w:p w:rsidR="00635ADA" w:rsidRPr="00191EFA" w:rsidRDefault="00635ADA" w:rsidP="00635ADA">
      <w:pPr>
        <w:pStyle w:val="EPComma"/>
        <w:widowControl/>
        <w:spacing w:before="360"/>
        <w:ind w:left="567" w:hanging="567"/>
      </w:pPr>
      <w:r w:rsidRPr="00191EFA">
        <w:t>I.</w:t>
      </w:r>
      <w:r w:rsidRPr="00191EFA">
        <w:tab/>
        <w:t xml:space="preserve">tā kā šajā lietā Parlaments nav guvis pierādījumus par </w:t>
      </w:r>
      <w:proofErr w:type="spellStart"/>
      <w:r w:rsidRPr="00191EFA">
        <w:t>fumus</w:t>
      </w:r>
      <w:proofErr w:type="spellEnd"/>
      <w:r w:rsidRPr="00191EFA">
        <w:t xml:space="preserve"> </w:t>
      </w:r>
      <w:proofErr w:type="spellStart"/>
      <w:r w:rsidRPr="00191EFA">
        <w:t>persecutionis</w:t>
      </w:r>
      <w:proofErr w:type="spellEnd"/>
      <w:r w:rsidRPr="00191EFA">
        <w:t xml:space="preserve"> - faktiskiem apstākļiem, kas norādītu uz to, ka attiecīgais kriminālprocess ir ierosināts, lai kaitētu deputāta un tādējādi arī Eiropas Parlamenta politiskajai darbībai,</w:t>
      </w:r>
    </w:p>
    <w:p w:rsidR="00635ADA" w:rsidRPr="00191EFA" w:rsidRDefault="00635ADA" w:rsidP="00635ADA">
      <w:pPr>
        <w:pStyle w:val="NormalHanging12a"/>
      </w:pPr>
      <w:r w:rsidRPr="00191EFA">
        <w:t>1.</w:t>
      </w:r>
      <w:r w:rsidRPr="00191EFA">
        <w:tab/>
        <w:t xml:space="preserve">nolemj atcelt </w:t>
      </w:r>
      <w:r w:rsidRPr="00191EFA">
        <w:rPr>
          <w:i/>
          <w:iCs/>
        </w:rPr>
        <w:t xml:space="preserve">Gunnar </w:t>
      </w:r>
      <w:proofErr w:type="spellStart"/>
      <w:r w:rsidRPr="00191EFA">
        <w:rPr>
          <w:i/>
          <w:iCs/>
        </w:rPr>
        <w:t>Beck</w:t>
      </w:r>
      <w:proofErr w:type="spellEnd"/>
      <w:r w:rsidRPr="00191EFA">
        <w:t xml:space="preserve"> imunitāti;</w:t>
      </w:r>
    </w:p>
    <w:p w:rsidR="00E365E1" w:rsidRPr="00191EFA" w:rsidRDefault="00635ADA" w:rsidP="00191EFA">
      <w:pPr>
        <w:ind w:left="567" w:hanging="567"/>
      </w:pPr>
      <w:r w:rsidRPr="00191EFA">
        <w:t>2.</w:t>
      </w:r>
      <w:r w:rsidRPr="00191EFA">
        <w:tab/>
        <w:t xml:space="preserve">uzdod priekšsēdētājai šo lēmumu un atbildīgās komitejas ziņojumu nekavējoties nosūtīt kompetentajai Vācijas iestādei un </w:t>
      </w:r>
      <w:r w:rsidRPr="00191EFA">
        <w:rPr>
          <w:i/>
          <w:iCs/>
        </w:rPr>
        <w:t xml:space="preserve">Gunnar </w:t>
      </w:r>
      <w:proofErr w:type="spellStart"/>
      <w:r w:rsidRPr="00191EFA">
        <w:rPr>
          <w:i/>
          <w:iCs/>
        </w:rPr>
        <w:t>Beck</w:t>
      </w:r>
      <w:proofErr w:type="spellEnd"/>
      <w:r w:rsidRPr="00191EFA">
        <w:t>.</w:t>
      </w:r>
      <w:bookmarkStart w:id="9" w:name="TextBodyEnd"/>
      <w:bookmarkEnd w:id="9"/>
    </w:p>
    <w:sectPr w:rsidR="00E365E1" w:rsidRPr="00191EFA" w:rsidSect="0090063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290" w:rsidRPr="00900636" w:rsidRDefault="00EB6290">
      <w:r w:rsidRPr="00900636">
        <w:separator/>
      </w:r>
    </w:p>
  </w:endnote>
  <w:endnote w:type="continuationSeparator" w:id="0">
    <w:p w:rsidR="00EB6290" w:rsidRPr="00900636" w:rsidRDefault="00EB6290">
      <w:r w:rsidRPr="009006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063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063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06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290" w:rsidRPr="00900636" w:rsidRDefault="00EB6290">
      <w:r w:rsidRPr="00900636">
        <w:separator/>
      </w:r>
    </w:p>
  </w:footnote>
  <w:footnote w:type="continuationSeparator" w:id="0">
    <w:p w:rsidR="00EB6290" w:rsidRPr="00900636" w:rsidRDefault="00EB6290">
      <w:r w:rsidRPr="00900636">
        <w:continuationSeparator/>
      </w:r>
    </w:p>
  </w:footnote>
  <w:footnote w:id="1">
    <w:p w:rsidR="00635ADA" w:rsidRPr="00900636" w:rsidRDefault="00635ADA" w:rsidP="00900636">
      <w:pPr>
        <w:pStyle w:val="FootnoteText"/>
        <w:ind w:left="567" w:hanging="567"/>
        <w:rPr>
          <w:sz w:val="24"/>
          <w:lang w:val="lv-LV"/>
        </w:rPr>
      </w:pPr>
      <w:r w:rsidRPr="00900636">
        <w:rPr>
          <w:rStyle w:val="FootnoteReference"/>
          <w:sz w:val="24"/>
          <w:lang w:val="lv-LV"/>
        </w:rPr>
        <w:footnoteRef/>
      </w:r>
      <w:r w:rsidR="00900636" w:rsidRPr="00900636">
        <w:rPr>
          <w:sz w:val="24"/>
          <w:lang w:val="lv-LV"/>
        </w:rPr>
        <w:t xml:space="preserve"> </w:t>
      </w:r>
      <w:r w:rsidR="00900636" w:rsidRPr="00900636">
        <w:rPr>
          <w:sz w:val="24"/>
          <w:lang w:val="lv-LV"/>
        </w:rPr>
        <w:tab/>
      </w:r>
      <w:r w:rsidRPr="00900636">
        <w:rPr>
          <w:sz w:val="24"/>
          <w:lang w:val="lv-LV"/>
        </w:rPr>
        <w:t xml:space="preserve">Tiesas 2008. gada 21. oktobra spriedums, </w:t>
      </w:r>
      <w:proofErr w:type="spellStart"/>
      <w:r w:rsidRPr="00900636">
        <w:rPr>
          <w:i/>
          <w:iCs/>
          <w:sz w:val="24"/>
          <w:lang w:val="lv-LV"/>
        </w:rPr>
        <w:t>Marra</w:t>
      </w:r>
      <w:proofErr w:type="spellEnd"/>
      <w:r w:rsidRPr="00900636">
        <w:rPr>
          <w:i/>
          <w:iCs/>
          <w:sz w:val="24"/>
          <w:lang w:val="lv-LV"/>
        </w:rPr>
        <w:t>/</w:t>
      </w:r>
      <w:proofErr w:type="spellStart"/>
      <w:r w:rsidRPr="00900636">
        <w:rPr>
          <w:i/>
          <w:iCs/>
          <w:sz w:val="24"/>
          <w:lang w:val="lv-LV"/>
        </w:rPr>
        <w:t>De</w:t>
      </w:r>
      <w:proofErr w:type="spellEnd"/>
      <w:r w:rsidRPr="00900636">
        <w:rPr>
          <w:i/>
          <w:iCs/>
          <w:sz w:val="24"/>
          <w:lang w:val="lv-LV"/>
        </w:rPr>
        <w:t xml:space="preserve"> Gregorio</w:t>
      </w:r>
      <w:r w:rsidRPr="00900636">
        <w:rPr>
          <w:sz w:val="24"/>
          <w:lang w:val="lv-LV"/>
        </w:rPr>
        <w:t xml:space="preserve"> un </w:t>
      </w:r>
      <w:proofErr w:type="spellStart"/>
      <w:r w:rsidRPr="00900636">
        <w:rPr>
          <w:i/>
          <w:iCs/>
          <w:sz w:val="24"/>
          <w:lang w:val="lv-LV"/>
        </w:rPr>
        <w:t>Clemente</w:t>
      </w:r>
      <w:proofErr w:type="spellEnd"/>
      <w:r w:rsidRPr="00900636">
        <w:rPr>
          <w:sz w:val="24"/>
          <w:lang w:val="lv-LV"/>
        </w:rPr>
        <w:t xml:space="preserve">, C-200/07 un C-201/07, ECLI:EU:C:2008:579; Tiesas 2010. gada 19. marta spriedums, </w:t>
      </w:r>
      <w:proofErr w:type="spellStart"/>
      <w:r w:rsidRPr="00900636">
        <w:rPr>
          <w:i/>
          <w:iCs/>
          <w:sz w:val="24"/>
          <w:lang w:val="lv-LV"/>
        </w:rPr>
        <w:t>Gollnisch</w:t>
      </w:r>
      <w:proofErr w:type="spellEnd"/>
      <w:r w:rsidRPr="00900636">
        <w:rPr>
          <w:sz w:val="24"/>
          <w:lang w:val="lv-LV"/>
        </w:rPr>
        <w:t xml:space="preserve">/Parlaments, T-42/06, ECLI:EU:T:2010:102; Tiesas 2011. gada 6. septembra spriedums, </w:t>
      </w:r>
      <w:proofErr w:type="spellStart"/>
      <w:r w:rsidRPr="00900636">
        <w:rPr>
          <w:i/>
          <w:iCs/>
          <w:sz w:val="24"/>
          <w:lang w:val="lv-LV"/>
        </w:rPr>
        <w:t>Patriciello</w:t>
      </w:r>
      <w:proofErr w:type="spellEnd"/>
      <w:r w:rsidRPr="00900636">
        <w:rPr>
          <w:sz w:val="24"/>
          <w:lang w:val="lv-LV"/>
        </w:rPr>
        <w:t xml:space="preserve">, C-163/10, ECLI: EU:C:2011:543; Vispārējās tiesas 2013. gada 17. janvāra spriedums, </w:t>
      </w:r>
      <w:proofErr w:type="spellStart"/>
      <w:r w:rsidRPr="00900636">
        <w:rPr>
          <w:i/>
          <w:iCs/>
          <w:sz w:val="24"/>
          <w:lang w:val="lv-LV"/>
        </w:rPr>
        <w:t>Gollnisch</w:t>
      </w:r>
      <w:proofErr w:type="spellEnd"/>
      <w:r w:rsidRPr="00900636">
        <w:rPr>
          <w:sz w:val="24"/>
          <w:lang w:val="lv-LV"/>
        </w:rPr>
        <w:t xml:space="preserve">/Parlaments, T-346/11 un T-347/11, ECLI:EU:T:2013:23; Tiesas 2019. gada 19. decembra spriedums, </w:t>
      </w:r>
      <w:proofErr w:type="spellStart"/>
      <w:r w:rsidRPr="00900636">
        <w:rPr>
          <w:i/>
          <w:iCs/>
          <w:sz w:val="24"/>
          <w:lang w:val="lv-LV"/>
        </w:rPr>
        <w:t>Junqueras</w:t>
      </w:r>
      <w:proofErr w:type="spellEnd"/>
      <w:r w:rsidRPr="00900636">
        <w:rPr>
          <w:i/>
          <w:iCs/>
          <w:sz w:val="24"/>
          <w:lang w:val="lv-LV"/>
        </w:rPr>
        <w:t xml:space="preserve"> Vies</w:t>
      </w:r>
      <w:r w:rsidRPr="00900636">
        <w:rPr>
          <w:sz w:val="24"/>
          <w:lang w:val="lv-LV"/>
        </w:rPr>
        <w:t>, C-502/19, ECLI:EU:C:2019:1115.</w:t>
      </w:r>
    </w:p>
  </w:footnote>
  <w:footnote w:id="2">
    <w:p w:rsidR="00635ADA" w:rsidRPr="00900636" w:rsidRDefault="00635ADA" w:rsidP="00900636">
      <w:pPr>
        <w:pStyle w:val="FootnoteText"/>
        <w:ind w:left="567" w:hanging="567"/>
        <w:rPr>
          <w:sz w:val="24"/>
          <w:lang w:val="lv-LV"/>
        </w:rPr>
      </w:pPr>
      <w:r w:rsidRPr="00900636">
        <w:rPr>
          <w:rStyle w:val="FootnoteReference"/>
          <w:sz w:val="24"/>
          <w:lang w:val="lv-LV"/>
        </w:rPr>
        <w:footnoteRef/>
      </w:r>
      <w:r w:rsidR="00900636" w:rsidRPr="00900636">
        <w:rPr>
          <w:sz w:val="24"/>
          <w:lang w:val="lv-LV"/>
        </w:rPr>
        <w:t xml:space="preserve"> </w:t>
      </w:r>
      <w:r w:rsidR="00900636" w:rsidRPr="00900636">
        <w:rPr>
          <w:sz w:val="24"/>
          <w:lang w:val="lv-LV"/>
        </w:rPr>
        <w:tab/>
      </w:r>
      <w:r w:rsidRPr="00900636">
        <w:rPr>
          <w:sz w:val="24"/>
          <w:lang w:val="lv-LV"/>
        </w:rPr>
        <w:t xml:space="preserve">Vispārējās tiesas 2019. gada 30. aprīļa spriedums, </w:t>
      </w:r>
      <w:proofErr w:type="spellStart"/>
      <w:r w:rsidRPr="00900636">
        <w:rPr>
          <w:i/>
          <w:iCs/>
          <w:sz w:val="24"/>
          <w:lang w:val="lv-LV"/>
        </w:rPr>
        <w:t>Briois</w:t>
      </w:r>
      <w:proofErr w:type="spellEnd"/>
      <w:r w:rsidRPr="00900636">
        <w:rPr>
          <w:sz w:val="24"/>
          <w:lang w:val="lv-LV"/>
        </w:rPr>
        <w:t>/Parlaments,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063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063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06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0/2024"/>
    <w:docVar w:name="dvlangue" w:val="LV"/>
    <w:docVar w:name="dvnumam" w:val="0"/>
    <w:docVar w:name="dvpe" w:val="758.183"/>
    <w:docVar w:name="dvrapporteur" w:val="Referents: "/>
    <w:docVar w:name="dvtitre" w:val="Eiropas Parlamenta 2024. gada XX. XXX lēmums par pieprasījumu atcelt Gunnar Beck imunitāti(2023/2192(IMM))"/>
  </w:docVars>
  <w:rsids>
    <w:rsidRoot w:val="00EB6290"/>
    <w:rsid w:val="00002272"/>
    <w:rsid w:val="00064002"/>
    <w:rsid w:val="000677B9"/>
    <w:rsid w:val="000831BA"/>
    <w:rsid w:val="000A42CC"/>
    <w:rsid w:val="000E7DD9"/>
    <w:rsid w:val="0010095E"/>
    <w:rsid w:val="00125B37"/>
    <w:rsid w:val="00187494"/>
    <w:rsid w:val="00191EFA"/>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5AD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063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6A25"/>
    <w:rsid w:val="00E820A4"/>
    <w:rsid w:val="00EB006A"/>
    <w:rsid w:val="00EB4772"/>
    <w:rsid w:val="00EB6290"/>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A7170A"/>
  <w15:chartTrackingRefBased/>
  <w15:docId w15:val="{3D555C0E-A435-4D35-A2CA-84F4AA484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35ADA"/>
    <w:rPr>
      <w:b/>
    </w:rPr>
  </w:style>
  <w:style w:type="paragraph" w:customStyle="1" w:styleId="NormalHanging12a">
    <w:name w:val="NormalHanging12a"/>
    <w:basedOn w:val="Normal"/>
    <w:rsid w:val="00635ADA"/>
    <w:pPr>
      <w:spacing w:after="240"/>
      <w:ind w:left="567" w:hanging="567"/>
    </w:pPr>
  </w:style>
  <w:style w:type="paragraph" w:customStyle="1" w:styleId="EPComma">
    <w:name w:val="EPComma"/>
    <w:basedOn w:val="Normal"/>
    <w:rsid w:val="00635ADA"/>
    <w:pPr>
      <w:spacing w:before="480" w:after="240"/>
    </w:pPr>
  </w:style>
  <w:style w:type="paragraph" w:styleId="BalloonText">
    <w:name w:val="Balloon Text"/>
    <w:basedOn w:val="Normal"/>
    <w:link w:val="BalloonTextChar"/>
    <w:rsid w:val="00E76A25"/>
    <w:rPr>
      <w:rFonts w:ascii="Segoe UI" w:hAnsi="Segoe UI" w:cs="Segoe UI"/>
      <w:sz w:val="18"/>
      <w:szCs w:val="18"/>
    </w:rPr>
  </w:style>
  <w:style w:type="character" w:customStyle="1" w:styleId="BalloonTextChar">
    <w:name w:val="Balloon Text Char"/>
    <w:basedOn w:val="DefaultParagraphFont"/>
    <w:link w:val="BalloonText"/>
    <w:rsid w:val="00E76A25"/>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5DB35-F7F3-44EB-BB8B-1FE9ABE70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672</Words>
  <Characters>4305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2024-04-11T14:07:00Z</dcterms:created>
  <dcterms:modified xsi:type="dcterms:W3CDTF">2024-04-11T14:07:00Z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A9-0170/2024</vt:lpwstr>
  </property>
  <property fmtid="{D5CDD505-2E9C-101B-9397-08002B2CF9AE}" pid="4" name="&lt;Type&gt;">
    <vt:lpwstr>RR</vt:lpwstr>
  </property>
</Properties>
</file>