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D386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D386D" w:rsidRDefault="00B43D51" w:rsidP="0010095E">
            <w:pPr>
              <w:pStyle w:val="EPName"/>
            </w:pPr>
            <w:r w:rsidRPr="00FD386D">
              <w:t>Parlament Ewropew</w:t>
            </w:r>
          </w:p>
          <w:p w:rsidR="00751A4A" w:rsidRPr="00FD386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D386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FD386D" w:rsidRDefault="00187494" w:rsidP="0010095E">
            <w:pPr>
              <w:pStyle w:val="EPLogo"/>
            </w:pPr>
            <w:r w:rsidRPr="00FD386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D386D" w:rsidRDefault="00D058B8" w:rsidP="004C5D52">
      <w:pPr>
        <w:pStyle w:val="LineTop"/>
      </w:pPr>
    </w:p>
    <w:p w:rsidR="00680577" w:rsidRPr="00FD386D" w:rsidRDefault="00B43D51" w:rsidP="00680577">
      <w:pPr>
        <w:pStyle w:val="EPBodyTA1"/>
      </w:pPr>
      <w:r w:rsidRPr="00FD386D">
        <w:t>TESTI ADOTTATI</w:t>
      </w:r>
    </w:p>
    <w:p w:rsidR="00D058B8" w:rsidRPr="00FD386D" w:rsidRDefault="00D058B8" w:rsidP="00D058B8">
      <w:pPr>
        <w:pStyle w:val="LineBottom"/>
      </w:pPr>
    </w:p>
    <w:p w:rsidR="00B43D51" w:rsidRPr="00FD386D" w:rsidRDefault="00B43D51" w:rsidP="00B43D51">
      <w:pPr>
        <w:pStyle w:val="ATHeading1"/>
      </w:pPr>
      <w:bookmarkStart w:id="0" w:name="TANumber"/>
      <w:r w:rsidRPr="00FD386D">
        <w:t>P9_TA(2024)</w:t>
      </w:r>
      <w:r w:rsidR="00FD386D" w:rsidRPr="00FD386D">
        <w:t>0224</w:t>
      </w:r>
      <w:bookmarkEnd w:id="0"/>
    </w:p>
    <w:p w:rsidR="00B43D51" w:rsidRPr="00FD386D" w:rsidRDefault="00B43D51" w:rsidP="00B43D51">
      <w:pPr>
        <w:pStyle w:val="ATHeading2"/>
      </w:pPr>
      <w:bookmarkStart w:id="1" w:name="title"/>
      <w:r w:rsidRPr="00FD386D">
        <w:t>Talba għat-tneħħija tal-</w:t>
      </w:r>
      <w:proofErr w:type="spellStart"/>
      <w:r w:rsidRPr="00FD386D">
        <w:t>immunità</w:t>
      </w:r>
      <w:proofErr w:type="spellEnd"/>
      <w:r w:rsidRPr="00FD386D">
        <w:t xml:space="preserve"> ta’ Gunnar Beck</w:t>
      </w:r>
      <w:bookmarkEnd w:id="1"/>
    </w:p>
    <w:p w:rsidR="00B43D51" w:rsidRPr="00FD386D" w:rsidRDefault="00B43D51" w:rsidP="00B43D51">
      <w:pPr>
        <w:rPr>
          <w:i/>
          <w:vanish/>
        </w:rPr>
      </w:pPr>
      <w:r w:rsidRPr="00FD386D">
        <w:rPr>
          <w:i/>
        </w:rPr>
        <w:fldChar w:fldCharType="begin"/>
      </w:r>
      <w:r w:rsidRPr="00FD386D">
        <w:rPr>
          <w:i/>
        </w:rPr>
        <w:instrText xml:space="preserve"> TC"(</w:instrText>
      </w:r>
      <w:bookmarkStart w:id="2" w:name="DocNumber"/>
      <w:r w:rsidRPr="00FD386D">
        <w:rPr>
          <w:i/>
        </w:rPr>
        <w:instrText>A9-0170/2024</w:instrText>
      </w:r>
      <w:bookmarkEnd w:id="2"/>
      <w:r w:rsidRPr="00FD386D">
        <w:rPr>
          <w:i/>
        </w:rPr>
        <w:instrText xml:space="preserve"> - Rapporteur: Ibán García Del Blanco)"\l3 \n&gt; \* MERGEFORMAT </w:instrText>
      </w:r>
      <w:r w:rsidRPr="00FD386D">
        <w:rPr>
          <w:i/>
        </w:rPr>
        <w:fldChar w:fldCharType="end"/>
      </w:r>
    </w:p>
    <w:p w:rsidR="00B43D51" w:rsidRPr="00FD386D" w:rsidRDefault="00B43D51" w:rsidP="00B43D51">
      <w:pPr>
        <w:rPr>
          <w:vanish/>
        </w:rPr>
      </w:pPr>
      <w:bookmarkStart w:id="3" w:name="Commission"/>
      <w:r w:rsidRPr="00FD386D">
        <w:rPr>
          <w:vanish/>
        </w:rPr>
        <w:t>Kumitat għall-Affarijiet Legali</w:t>
      </w:r>
      <w:bookmarkEnd w:id="3"/>
    </w:p>
    <w:p w:rsidR="00B43D51" w:rsidRPr="00FD386D" w:rsidRDefault="00B43D51" w:rsidP="00B43D51">
      <w:pPr>
        <w:rPr>
          <w:vanish/>
        </w:rPr>
      </w:pPr>
      <w:bookmarkStart w:id="4" w:name="PE"/>
      <w:r w:rsidRPr="00FD386D">
        <w:rPr>
          <w:vanish/>
        </w:rPr>
        <w:t>PE758.183</w:t>
      </w:r>
      <w:bookmarkEnd w:id="4"/>
    </w:p>
    <w:p w:rsidR="00B43D51" w:rsidRPr="00FD386D" w:rsidRDefault="00B43D51" w:rsidP="00B43D51">
      <w:pPr>
        <w:pStyle w:val="ATHeading3"/>
      </w:pPr>
      <w:bookmarkStart w:id="5" w:name="Sujet"/>
      <w:r w:rsidRPr="00FD386D">
        <w:t>Deċiżjoni tal-Parlament Ewropew tal-11 ta' April 2024 dwar it-talba għat-tneħħija tal-</w:t>
      </w:r>
      <w:proofErr w:type="spellStart"/>
      <w:r w:rsidRPr="00FD386D">
        <w:t>immunità</w:t>
      </w:r>
      <w:proofErr w:type="spellEnd"/>
      <w:r w:rsidRPr="00FD386D">
        <w:t xml:space="preserve"> ta’ Gunnar Beck</w:t>
      </w:r>
      <w:bookmarkEnd w:id="5"/>
      <w:r w:rsidRPr="00FD386D">
        <w:t xml:space="preserve"> </w:t>
      </w:r>
      <w:bookmarkStart w:id="6" w:name="References"/>
      <w:r w:rsidRPr="00FD386D">
        <w:t>(2023/2192(IMM))</w:t>
      </w:r>
      <w:bookmarkEnd w:id="6"/>
    </w:p>
    <w:p w:rsidR="001822EC" w:rsidRPr="00FD386D" w:rsidRDefault="001822EC" w:rsidP="001822EC">
      <w:pPr>
        <w:pStyle w:val="EPComma"/>
      </w:pPr>
      <w:bookmarkStart w:id="7" w:name="TextBodyBegin"/>
      <w:bookmarkStart w:id="8" w:name="_GoBack"/>
      <w:bookmarkEnd w:id="7"/>
      <w:bookmarkEnd w:id="8"/>
      <w:r w:rsidRPr="00FD386D">
        <w:rPr>
          <w:i/>
          <w:iCs/>
        </w:rPr>
        <w:t>Il-Parlament Ewropew,</w:t>
      </w:r>
    </w:p>
    <w:p w:rsidR="001822EC" w:rsidRPr="00FD386D" w:rsidRDefault="001822EC" w:rsidP="001822EC">
      <w:pPr>
        <w:pStyle w:val="NormalHanging12a"/>
      </w:pPr>
      <w:r w:rsidRPr="00FD386D">
        <w:t>–</w:t>
      </w:r>
      <w:r w:rsidRPr="00FD386D">
        <w:tab/>
        <w:t xml:space="preserve">wara li </w:t>
      </w:r>
      <w:proofErr w:type="spellStart"/>
      <w:r w:rsidRPr="00FD386D">
        <w:t>kkunsidra</w:t>
      </w:r>
      <w:proofErr w:type="spellEnd"/>
      <w:r w:rsidRPr="00FD386D">
        <w:t xml:space="preserve"> t-talba tal-Kap Prosekutur Pubbliku f’</w:t>
      </w:r>
      <w:proofErr w:type="spellStart"/>
      <w:r w:rsidRPr="00FD386D">
        <w:t>Düsseldorf</w:t>
      </w:r>
      <w:proofErr w:type="spellEnd"/>
      <w:r w:rsidRPr="00FD386D">
        <w:t xml:space="preserve"> għat-tneħħija tal-</w:t>
      </w:r>
      <w:proofErr w:type="spellStart"/>
      <w:r w:rsidRPr="00FD386D">
        <w:t>immunità</w:t>
      </w:r>
      <w:proofErr w:type="spellEnd"/>
      <w:r w:rsidRPr="00FD386D">
        <w:t xml:space="preserve"> ta’ Gunnar Beck, </w:t>
      </w:r>
      <w:r w:rsidR="00086BC9" w:rsidRPr="00FD386D">
        <w:t>trażmessa</w:t>
      </w:r>
      <w:r w:rsidRPr="00FD386D">
        <w:t xml:space="preserve"> permezz ta’ ittra fil-25 ta’ Lulju 2023 mill-Ministeru Federali Ġermaniż għall-Ġustizzja u l-Ħarsien tal-Konsumatur, b’rabta ma’ investigazzjoni preliminari dwar reati kriminali suspettati, u mħabbra fis-seduta plenarja tal-11 ta’ Settembru 2023,</w:t>
      </w:r>
    </w:p>
    <w:p w:rsidR="001822EC" w:rsidRPr="00FD386D" w:rsidRDefault="001822EC" w:rsidP="001822EC">
      <w:pPr>
        <w:pStyle w:val="NormalHanging12a"/>
      </w:pPr>
      <w:r w:rsidRPr="00FD386D">
        <w:t>–</w:t>
      </w:r>
      <w:r w:rsidRPr="00FD386D">
        <w:tab/>
        <w:t>wara li sema’ lil Gunnar Beck, f’</w:t>
      </w:r>
      <w:proofErr w:type="spellStart"/>
      <w:r w:rsidRPr="00FD386D">
        <w:t>konformità</w:t>
      </w:r>
      <w:proofErr w:type="spellEnd"/>
      <w:r w:rsidRPr="00FD386D">
        <w:t xml:space="preserve"> mal-Artikolu 9(6) tar-Regoli ta’ Proċedura tiegħu, </w:t>
      </w:r>
    </w:p>
    <w:p w:rsidR="001822EC" w:rsidRPr="00FD386D" w:rsidRDefault="001822EC" w:rsidP="001822EC">
      <w:pPr>
        <w:pStyle w:val="NormalHanging12a"/>
      </w:pPr>
      <w:r w:rsidRPr="00FD386D">
        <w:t>–</w:t>
      </w:r>
      <w:r w:rsidRPr="00FD386D">
        <w:tab/>
        <w:t xml:space="preserve">wara li </w:t>
      </w:r>
      <w:proofErr w:type="spellStart"/>
      <w:r w:rsidRPr="00FD386D">
        <w:t>kkunsidra</w:t>
      </w:r>
      <w:proofErr w:type="spellEnd"/>
      <w:r w:rsidRPr="00FD386D">
        <w:t xml:space="preserve"> l-Artikoli 8 u 9 tal-Protokoll Nru 7 dwar il-Privileġġi u l-</w:t>
      </w:r>
      <w:proofErr w:type="spellStart"/>
      <w:r w:rsidRPr="00FD386D">
        <w:t>Immunitajiet</w:t>
      </w:r>
      <w:proofErr w:type="spellEnd"/>
      <w:r w:rsidRPr="00FD386D">
        <w:t xml:space="preserve"> tal-Unjoni Ewropea kif ukoll l-Artikolu 6(2) tal-Att tal-20 ta’ Settembru 1976 dwar l-elezzjoni tal-Membri tal-Parlament Ewropew b’suffraġju universali dirett,</w:t>
      </w:r>
    </w:p>
    <w:p w:rsidR="001822EC" w:rsidRPr="00FD386D" w:rsidRDefault="001822EC" w:rsidP="001822EC">
      <w:pPr>
        <w:pStyle w:val="NormalHanging12a"/>
      </w:pPr>
      <w:r w:rsidRPr="00FD386D">
        <w:t>–</w:t>
      </w:r>
      <w:r w:rsidRPr="00FD386D">
        <w:tab/>
        <w:t xml:space="preserve">wara li </w:t>
      </w:r>
      <w:proofErr w:type="spellStart"/>
      <w:r w:rsidRPr="00FD386D">
        <w:t>kkunsidra</w:t>
      </w:r>
      <w:proofErr w:type="spellEnd"/>
      <w:r w:rsidRPr="00FD386D">
        <w:t xml:space="preserve"> s-sentenzi mogħtija mill-Qorti tal-Ġustizzja tal-Unjoni Ewropea fil-21 ta’ Ottubru 2008, fid-19 ta’ Marzu 2010, fis-6 ta’ Settembru 2011, fis-17 ta’ Jannar 2013 u fid-19 ta’ Diċembru 2019</w:t>
      </w:r>
      <w:r w:rsidRPr="00FD386D">
        <w:rPr>
          <w:rStyle w:val="FootnoteReference"/>
        </w:rPr>
        <w:footnoteReference w:id="1"/>
      </w:r>
      <w:r w:rsidRPr="00FD386D">
        <w:t>,</w:t>
      </w:r>
    </w:p>
    <w:p w:rsidR="001822EC" w:rsidRPr="00FD386D" w:rsidRDefault="001822EC" w:rsidP="001822EC">
      <w:pPr>
        <w:pStyle w:val="NormalHanging12a"/>
      </w:pPr>
      <w:r w:rsidRPr="00FD386D">
        <w:t>–</w:t>
      </w:r>
      <w:r w:rsidRPr="00FD386D">
        <w:tab/>
        <w:t xml:space="preserve">wara li </w:t>
      </w:r>
      <w:proofErr w:type="spellStart"/>
      <w:r w:rsidRPr="00FD386D">
        <w:t>kkunsidra</w:t>
      </w:r>
      <w:proofErr w:type="spellEnd"/>
      <w:r w:rsidRPr="00FD386D">
        <w:t xml:space="preserve"> l-Artikolu 46(2), (3) u (4) tal-Liġi Bażika tar-Repubblika Federali tal-Ġermanja u l-Artikolu 192b tar-</w:t>
      </w:r>
      <w:proofErr w:type="spellStart"/>
      <w:r w:rsidRPr="00FD386D">
        <w:rPr>
          <w:i/>
        </w:rPr>
        <w:t>Richtlinien</w:t>
      </w:r>
      <w:proofErr w:type="spellEnd"/>
      <w:r w:rsidRPr="00FD386D">
        <w:rPr>
          <w:i/>
        </w:rPr>
        <w:t xml:space="preserve"> </w:t>
      </w:r>
      <w:proofErr w:type="spellStart"/>
      <w:r w:rsidRPr="00FD386D">
        <w:rPr>
          <w:i/>
        </w:rPr>
        <w:t>für</w:t>
      </w:r>
      <w:proofErr w:type="spellEnd"/>
      <w:r w:rsidRPr="00FD386D">
        <w:rPr>
          <w:i/>
        </w:rPr>
        <w:t xml:space="preserve"> </w:t>
      </w:r>
      <w:proofErr w:type="spellStart"/>
      <w:r w:rsidRPr="00FD386D">
        <w:rPr>
          <w:i/>
        </w:rPr>
        <w:t>das</w:t>
      </w:r>
      <w:proofErr w:type="spellEnd"/>
      <w:r w:rsidRPr="00FD386D">
        <w:rPr>
          <w:i/>
        </w:rPr>
        <w:t xml:space="preserve"> </w:t>
      </w:r>
      <w:proofErr w:type="spellStart"/>
      <w:r w:rsidRPr="00FD386D">
        <w:rPr>
          <w:i/>
        </w:rPr>
        <w:t>Strafverfahren</w:t>
      </w:r>
      <w:proofErr w:type="spellEnd"/>
      <w:r w:rsidRPr="00FD386D">
        <w:rPr>
          <w:i/>
        </w:rPr>
        <w:t xml:space="preserve"> </w:t>
      </w:r>
      <w:proofErr w:type="spellStart"/>
      <w:r w:rsidRPr="00FD386D">
        <w:rPr>
          <w:i/>
        </w:rPr>
        <w:t>und</w:t>
      </w:r>
      <w:proofErr w:type="spellEnd"/>
      <w:r w:rsidRPr="00FD386D">
        <w:rPr>
          <w:i/>
        </w:rPr>
        <w:t xml:space="preserve"> </w:t>
      </w:r>
      <w:proofErr w:type="spellStart"/>
      <w:r w:rsidRPr="00FD386D">
        <w:rPr>
          <w:i/>
        </w:rPr>
        <w:t>das</w:t>
      </w:r>
      <w:proofErr w:type="spellEnd"/>
      <w:r w:rsidRPr="00FD386D">
        <w:rPr>
          <w:i/>
        </w:rPr>
        <w:t xml:space="preserve"> </w:t>
      </w:r>
      <w:proofErr w:type="spellStart"/>
      <w:r w:rsidRPr="00FD386D">
        <w:rPr>
          <w:i/>
        </w:rPr>
        <w:t>Bußgeldverfahren</w:t>
      </w:r>
      <w:proofErr w:type="spellEnd"/>
      <w:r w:rsidRPr="00FD386D">
        <w:t xml:space="preserve"> (Linji Gwida għal proċedimenti kriminali u dawk dwar il-multi),</w:t>
      </w:r>
    </w:p>
    <w:p w:rsidR="001822EC" w:rsidRPr="00FD386D" w:rsidRDefault="001822EC" w:rsidP="001822EC">
      <w:pPr>
        <w:pStyle w:val="NormalHanging12a"/>
      </w:pPr>
      <w:r w:rsidRPr="00FD386D">
        <w:t>–</w:t>
      </w:r>
      <w:r w:rsidRPr="00FD386D">
        <w:tab/>
        <w:t xml:space="preserve">wara li </w:t>
      </w:r>
      <w:proofErr w:type="spellStart"/>
      <w:r w:rsidRPr="00FD386D">
        <w:t>kkunsidra</w:t>
      </w:r>
      <w:proofErr w:type="spellEnd"/>
      <w:r w:rsidRPr="00FD386D">
        <w:t xml:space="preserve"> l-Artikolu 5(2), l-Artikolu 6(1) u l-Artikolu 9 tar-Regoli ta’ Proċedura tiegħu,</w:t>
      </w:r>
    </w:p>
    <w:p w:rsidR="001822EC" w:rsidRPr="00FD386D" w:rsidRDefault="001822EC" w:rsidP="001822EC">
      <w:pPr>
        <w:pStyle w:val="NormalHanging12a"/>
      </w:pPr>
      <w:r w:rsidRPr="00FD386D">
        <w:lastRenderedPageBreak/>
        <w:t>–</w:t>
      </w:r>
      <w:r w:rsidRPr="00FD386D">
        <w:tab/>
        <w:t xml:space="preserve">wara li </w:t>
      </w:r>
      <w:proofErr w:type="spellStart"/>
      <w:r w:rsidRPr="00FD386D">
        <w:t>kkunsidra</w:t>
      </w:r>
      <w:proofErr w:type="spellEnd"/>
      <w:r w:rsidRPr="00FD386D">
        <w:t xml:space="preserve"> r-rapport tal-Kumitat għall-Affarijiet Legali (A9-0170/2024),</w:t>
      </w:r>
    </w:p>
    <w:p w:rsidR="001822EC" w:rsidRPr="00FD386D" w:rsidRDefault="001822EC" w:rsidP="001822EC">
      <w:pPr>
        <w:pStyle w:val="NormalHanging12a"/>
      </w:pPr>
      <w:r w:rsidRPr="00FD386D">
        <w:t>A.</w:t>
      </w:r>
      <w:r w:rsidRPr="00FD386D">
        <w:tab/>
        <w:t>billi l-Kap Prosekutur Pubbliku f’</w:t>
      </w:r>
      <w:proofErr w:type="spellStart"/>
      <w:r w:rsidRPr="00FD386D">
        <w:t>Düsseldorf</w:t>
      </w:r>
      <w:proofErr w:type="spellEnd"/>
      <w:r w:rsidRPr="00FD386D">
        <w:t xml:space="preserve"> talab it-tneħħija tal-</w:t>
      </w:r>
      <w:proofErr w:type="spellStart"/>
      <w:r w:rsidRPr="00FD386D">
        <w:t>immunità</w:t>
      </w:r>
      <w:proofErr w:type="spellEnd"/>
      <w:r w:rsidRPr="00FD386D">
        <w:t xml:space="preserve"> ta’ Gunnar Beck, MEP elett </w:t>
      </w:r>
      <w:r w:rsidR="00CA6B59" w:rsidRPr="00FD386D">
        <w:t>fi</w:t>
      </w:r>
      <w:r w:rsidRPr="00FD386D">
        <w:t>l-Ġermanja, bil-ħsieb li jinbdew proċedimenti preliminari għal serq ta’ proprjetà ta’ valur baxx flimkien ma’ feriti intenzjonati fuq persuna u reżistenza għall-uffiċjali tal-infurzar tal-liġi, skont it-taqsimiet 242 (1), 248a, 223 (1), 230 (1), is-sentenza 1, 113 (1) u 53 tal-Kodiċi Kriminali tal-Ġermanja;</w:t>
      </w:r>
    </w:p>
    <w:p w:rsidR="001822EC" w:rsidRPr="00FD386D" w:rsidRDefault="001822EC" w:rsidP="001822EC">
      <w:pPr>
        <w:pStyle w:val="NormalHanging12a"/>
        <w:widowControl/>
      </w:pPr>
      <w:r w:rsidRPr="00FD386D">
        <w:t>B.</w:t>
      </w:r>
      <w:r w:rsidRPr="00FD386D">
        <w:tab/>
        <w:t>billi, fid-29 ta’ Ottubru 2022 f’ċentru kummerċjali f’</w:t>
      </w:r>
      <w:proofErr w:type="spellStart"/>
      <w:r w:rsidRPr="00FD386D">
        <w:t>Neuss</w:t>
      </w:r>
      <w:proofErr w:type="spellEnd"/>
      <w:r w:rsidRPr="00FD386D">
        <w:t xml:space="preserve"> (il-Ġermanja), Gunnar Beck allegatament ħa xi kampjun ta’ </w:t>
      </w:r>
      <w:proofErr w:type="spellStart"/>
      <w:r w:rsidRPr="00FD386D">
        <w:t>testers</w:t>
      </w:r>
      <w:proofErr w:type="spellEnd"/>
      <w:r w:rsidRPr="00FD386D">
        <w:t xml:space="preserve"> li kienu għall-wiri sabiex il-klijenti </w:t>
      </w:r>
      <w:proofErr w:type="spellStart"/>
      <w:r w:rsidRPr="00FD386D">
        <w:t>jippruvawhom</w:t>
      </w:r>
      <w:proofErr w:type="spellEnd"/>
      <w:r w:rsidRPr="00FD386D">
        <w:t xml:space="preserve">, allegatament bil-ħsieb li jeħodhom miegħu mingħajr ma jħallas għalihom; billi ġie </w:t>
      </w:r>
      <w:proofErr w:type="spellStart"/>
      <w:r w:rsidRPr="00FD386D">
        <w:t>rrappurtat</w:t>
      </w:r>
      <w:proofErr w:type="spellEnd"/>
      <w:r w:rsidRPr="00FD386D">
        <w:t xml:space="preserve"> reat ta’ serq mill-ħanut; billi Gunnar Beck allegatament ipprova jitlaq mill-bini u membri mill-persunal tal-ħanut inkarigati biex jidentifikaw serq potenzjali żammewh; billi, wara, l-uffiċjali tal-infurzar tal-liġi </w:t>
      </w:r>
      <w:proofErr w:type="spellStart"/>
      <w:r w:rsidRPr="00FD386D">
        <w:t>intervjenew</w:t>
      </w:r>
      <w:proofErr w:type="spellEnd"/>
      <w:r w:rsidRPr="00FD386D">
        <w:t xml:space="preserve"> fix-xena u, allegatament, Gunnar Beck ma </w:t>
      </w:r>
      <w:proofErr w:type="spellStart"/>
      <w:r w:rsidRPr="00FD386D">
        <w:t>kkonformax</w:t>
      </w:r>
      <w:proofErr w:type="spellEnd"/>
      <w:r w:rsidRPr="00FD386D">
        <w:t xml:space="preserve"> mat-talbiet tagħhom biex hu ma </w:t>
      </w:r>
      <w:proofErr w:type="spellStart"/>
      <w:r w:rsidRPr="00FD386D">
        <w:t>jirreżistix</w:t>
      </w:r>
      <w:proofErr w:type="spellEnd"/>
      <w:r w:rsidRPr="00FD386D">
        <w:t>;</w:t>
      </w:r>
    </w:p>
    <w:p w:rsidR="001822EC" w:rsidRPr="00FD386D" w:rsidRDefault="001822EC" w:rsidP="001822EC">
      <w:pPr>
        <w:pStyle w:val="NormalHanging12a"/>
      </w:pPr>
      <w:r w:rsidRPr="00FD386D">
        <w:t>C.</w:t>
      </w:r>
      <w:r w:rsidRPr="00FD386D">
        <w:tab/>
        <w:t xml:space="preserve">billi l-allegati reati ma </w:t>
      </w:r>
      <w:proofErr w:type="spellStart"/>
      <w:r w:rsidRPr="00FD386D">
        <w:t>jikkonċernawx</w:t>
      </w:r>
      <w:proofErr w:type="spellEnd"/>
      <w:r w:rsidRPr="00FD386D">
        <w:t xml:space="preserve"> opinjoni espressa jew vot mitfugħ minnu fil-qadi ta’ dmirijietu bħala Membru tal-Parlament Ewropew f’</w:t>
      </w:r>
      <w:proofErr w:type="spellStart"/>
      <w:r w:rsidRPr="00FD386D">
        <w:t>konformità</w:t>
      </w:r>
      <w:proofErr w:type="spellEnd"/>
      <w:r w:rsidRPr="00FD386D">
        <w:t xml:space="preserve"> mal-Artikolu 8 tal-Protokoll Nru 7 dwar il-Privileġġi u l-</w:t>
      </w:r>
      <w:proofErr w:type="spellStart"/>
      <w:r w:rsidRPr="00FD386D">
        <w:t>Immunitajiet</w:t>
      </w:r>
      <w:proofErr w:type="spellEnd"/>
      <w:r w:rsidRPr="00FD386D">
        <w:t xml:space="preserve"> tal-Unjoni Ewropea;</w:t>
      </w:r>
    </w:p>
    <w:p w:rsidR="001822EC" w:rsidRPr="00FD386D" w:rsidRDefault="001822EC" w:rsidP="001822EC">
      <w:pPr>
        <w:pStyle w:val="NormalHanging12a"/>
      </w:pPr>
      <w:r w:rsidRPr="00FD386D">
        <w:t>D.</w:t>
      </w:r>
      <w:r w:rsidRPr="00FD386D">
        <w:tab/>
        <w:t>billi l-Artikolu 9 tal-Protokoll Nru 7 dwar Privileġġi u l-</w:t>
      </w:r>
      <w:proofErr w:type="spellStart"/>
      <w:r w:rsidRPr="00FD386D">
        <w:t>Immunitajiet</w:t>
      </w:r>
      <w:proofErr w:type="spellEnd"/>
      <w:r w:rsidRPr="00FD386D">
        <w:t xml:space="preserve"> tal-Unjoni Ewropea jipprevedi li l-Membri tal-Parlament Ewropew għandhom igawdu, fit-territorju tal-Istat tagħhom stess, l-</w:t>
      </w:r>
      <w:proofErr w:type="spellStart"/>
      <w:r w:rsidRPr="00FD386D">
        <w:t>immunitajiet</w:t>
      </w:r>
      <w:proofErr w:type="spellEnd"/>
      <w:r w:rsidRPr="00FD386D">
        <w:t xml:space="preserve"> mogħtija lill-membri tal-parlament tagħhom;</w:t>
      </w:r>
    </w:p>
    <w:p w:rsidR="001822EC" w:rsidRPr="00FD386D" w:rsidRDefault="001822EC" w:rsidP="001822EC">
      <w:pPr>
        <w:pStyle w:val="NormalHanging12a"/>
      </w:pPr>
      <w:r w:rsidRPr="00FD386D">
        <w:t>E.</w:t>
      </w:r>
      <w:r w:rsidRPr="00FD386D">
        <w:tab/>
        <w:t>billi l-Artikolu 46(2), (3) u (4) tal-Liġi Bażika tar-Repubblika Federali tal-Ġermanja jipprevedi dan li ġej:</w:t>
      </w:r>
    </w:p>
    <w:p w:rsidR="001822EC" w:rsidRPr="00FD386D" w:rsidRDefault="001822EC" w:rsidP="001822EC">
      <w:pPr>
        <w:pStyle w:val="NormalHanging12a"/>
        <w:ind w:left="720" w:firstLine="0"/>
      </w:pPr>
      <w:r w:rsidRPr="00FD386D">
        <w:t xml:space="preserve">“(2) Membru ma jistax jinżamm responsabbli jew inkella arrestat għal reat </w:t>
      </w:r>
      <w:proofErr w:type="spellStart"/>
      <w:r w:rsidRPr="00FD386D">
        <w:t>kastigabbli</w:t>
      </w:r>
      <w:proofErr w:type="spellEnd"/>
      <w:r w:rsidRPr="00FD386D">
        <w:t xml:space="preserve"> mingħajr il-permess tal-Bundestag, sakemm ma jinqabadx fil-fatt iwettaq ir-reat jew inkella l-għada. </w:t>
      </w:r>
    </w:p>
    <w:p w:rsidR="001822EC" w:rsidRPr="00FD386D" w:rsidRDefault="001822EC" w:rsidP="001822EC">
      <w:pPr>
        <w:pStyle w:val="NormalHanging12a"/>
        <w:ind w:left="720" w:firstLine="0"/>
      </w:pPr>
      <w:r w:rsidRPr="00FD386D">
        <w:t>(3) Il-permess tal-Bundestag għandu jkun meħtieġ ukoll għal kwalunkwe restrizzjoni oħra tal-libertà tal-persuna tal-Membru jew biex jinbdew proċedimenti kontra Membru skont l-Artikolu 18.</w:t>
      </w:r>
    </w:p>
    <w:p w:rsidR="001822EC" w:rsidRPr="00FD386D" w:rsidRDefault="001822EC" w:rsidP="001822EC">
      <w:pPr>
        <w:pStyle w:val="NormalHanging12a"/>
        <w:ind w:left="720" w:firstLine="0"/>
      </w:pPr>
      <w:r w:rsidRPr="00FD386D">
        <w:t xml:space="preserve">(4) Kwalunkwe </w:t>
      </w:r>
      <w:proofErr w:type="spellStart"/>
      <w:r w:rsidRPr="00FD386D">
        <w:t>proċediment</w:t>
      </w:r>
      <w:proofErr w:type="spellEnd"/>
      <w:r w:rsidRPr="00FD386D">
        <w:t xml:space="preserve"> kriminali jew </w:t>
      </w:r>
      <w:proofErr w:type="spellStart"/>
      <w:r w:rsidRPr="00FD386D">
        <w:t>proċediment</w:t>
      </w:r>
      <w:proofErr w:type="spellEnd"/>
      <w:r w:rsidRPr="00FD386D">
        <w:t xml:space="preserve"> skont l-Artikolu 18 kontra Membru u kwalunkwe detenzjoni jew restrizzjoni oħra tal-libertà tal-persuna tiegħu għandhom jiġu sospiżi fuq talba tal-Bundestag.”;</w:t>
      </w:r>
    </w:p>
    <w:p w:rsidR="001822EC" w:rsidRPr="00FD386D" w:rsidRDefault="001822EC" w:rsidP="001822EC">
      <w:pPr>
        <w:pStyle w:val="NormalHanging12a"/>
      </w:pPr>
      <w:r w:rsidRPr="00FD386D">
        <w:t>F.</w:t>
      </w:r>
      <w:r w:rsidRPr="00FD386D">
        <w:tab/>
        <w:t>billi l-Artikolu 192b tar-</w:t>
      </w:r>
      <w:proofErr w:type="spellStart"/>
      <w:r w:rsidRPr="00FD386D">
        <w:rPr>
          <w:i/>
        </w:rPr>
        <w:t>Richtlinien</w:t>
      </w:r>
      <w:proofErr w:type="spellEnd"/>
      <w:r w:rsidRPr="00FD386D">
        <w:rPr>
          <w:i/>
        </w:rPr>
        <w:t xml:space="preserve"> </w:t>
      </w:r>
      <w:proofErr w:type="spellStart"/>
      <w:r w:rsidRPr="00FD386D">
        <w:rPr>
          <w:i/>
        </w:rPr>
        <w:t>für</w:t>
      </w:r>
      <w:proofErr w:type="spellEnd"/>
      <w:r w:rsidRPr="00FD386D">
        <w:rPr>
          <w:i/>
        </w:rPr>
        <w:t xml:space="preserve"> </w:t>
      </w:r>
      <w:proofErr w:type="spellStart"/>
      <w:r w:rsidRPr="00FD386D">
        <w:rPr>
          <w:i/>
        </w:rPr>
        <w:t>das</w:t>
      </w:r>
      <w:proofErr w:type="spellEnd"/>
      <w:r w:rsidRPr="00FD386D">
        <w:rPr>
          <w:i/>
        </w:rPr>
        <w:t xml:space="preserve"> </w:t>
      </w:r>
      <w:proofErr w:type="spellStart"/>
      <w:r w:rsidRPr="00FD386D">
        <w:rPr>
          <w:i/>
        </w:rPr>
        <w:t>Strafverfahren</w:t>
      </w:r>
      <w:proofErr w:type="spellEnd"/>
      <w:r w:rsidRPr="00FD386D">
        <w:rPr>
          <w:i/>
        </w:rPr>
        <w:t xml:space="preserve"> </w:t>
      </w:r>
      <w:proofErr w:type="spellStart"/>
      <w:r w:rsidRPr="00FD386D">
        <w:rPr>
          <w:i/>
        </w:rPr>
        <w:t>und</w:t>
      </w:r>
      <w:proofErr w:type="spellEnd"/>
      <w:r w:rsidRPr="00FD386D">
        <w:rPr>
          <w:i/>
        </w:rPr>
        <w:t xml:space="preserve"> </w:t>
      </w:r>
      <w:proofErr w:type="spellStart"/>
      <w:r w:rsidRPr="00FD386D">
        <w:rPr>
          <w:i/>
        </w:rPr>
        <w:t>das</w:t>
      </w:r>
      <w:proofErr w:type="spellEnd"/>
      <w:r w:rsidRPr="00FD386D">
        <w:rPr>
          <w:i/>
        </w:rPr>
        <w:t xml:space="preserve"> </w:t>
      </w:r>
      <w:proofErr w:type="spellStart"/>
      <w:r w:rsidRPr="00FD386D">
        <w:rPr>
          <w:i/>
        </w:rPr>
        <w:t>Bußgeldverfahren</w:t>
      </w:r>
      <w:proofErr w:type="spellEnd"/>
      <w:r w:rsidRPr="00FD386D">
        <w:t xml:space="preserve"> (Linji Gwida għal proċedimenti kriminali u dawk dwar il-multi) jirregola t-tneħħija tal-</w:t>
      </w:r>
      <w:proofErr w:type="spellStart"/>
      <w:r w:rsidRPr="00FD386D">
        <w:t>immunità</w:t>
      </w:r>
      <w:proofErr w:type="spellEnd"/>
      <w:r w:rsidRPr="00FD386D">
        <w:t xml:space="preserve"> ta’ Membri tal-Parlament Ewropew, u billi, b’mod partikolari, il-paragrafu 1 tiegħu jipprevedi dan li ġej:</w:t>
      </w:r>
    </w:p>
    <w:p w:rsidR="001822EC" w:rsidRPr="00FD386D" w:rsidRDefault="001822EC" w:rsidP="001822EC">
      <w:pPr>
        <w:pStyle w:val="NormalHanging12a"/>
        <w:ind w:left="720" w:firstLine="0"/>
      </w:pPr>
      <w:r w:rsidRPr="00FD386D">
        <w:t xml:space="preserve">“(1) </w:t>
      </w:r>
      <w:proofErr w:type="spellStart"/>
      <w:r w:rsidRPr="00FD386D">
        <w:rPr>
          <w:i/>
        </w:rPr>
        <w:t>Einem</w:t>
      </w:r>
      <w:proofErr w:type="spellEnd"/>
      <w:r w:rsidRPr="00FD386D">
        <w:rPr>
          <w:i/>
        </w:rPr>
        <w:t xml:space="preserve"> </w:t>
      </w:r>
      <w:proofErr w:type="spellStart"/>
      <w:r w:rsidRPr="00FD386D">
        <w:rPr>
          <w:i/>
        </w:rPr>
        <w:t>Mitglied</w:t>
      </w:r>
      <w:proofErr w:type="spellEnd"/>
      <w:r w:rsidRPr="00FD386D">
        <w:rPr>
          <w:i/>
        </w:rPr>
        <w:t xml:space="preserve"> des </w:t>
      </w:r>
      <w:proofErr w:type="spellStart"/>
      <w:r w:rsidRPr="00FD386D">
        <w:rPr>
          <w:i/>
        </w:rPr>
        <w:t>Europäischen</w:t>
      </w:r>
      <w:proofErr w:type="spellEnd"/>
      <w:r w:rsidRPr="00FD386D">
        <w:rPr>
          <w:i/>
        </w:rPr>
        <w:t xml:space="preserve"> </w:t>
      </w:r>
      <w:proofErr w:type="spellStart"/>
      <w:r w:rsidRPr="00FD386D">
        <w:rPr>
          <w:i/>
        </w:rPr>
        <w:t>Parlaments</w:t>
      </w:r>
      <w:proofErr w:type="spellEnd"/>
      <w:r w:rsidRPr="00FD386D">
        <w:rPr>
          <w:i/>
        </w:rPr>
        <w:t xml:space="preserve"> </w:t>
      </w:r>
      <w:proofErr w:type="spellStart"/>
      <w:r w:rsidRPr="00FD386D">
        <w:rPr>
          <w:i/>
        </w:rPr>
        <w:t>aus</w:t>
      </w:r>
      <w:proofErr w:type="spellEnd"/>
      <w:r w:rsidRPr="00FD386D">
        <w:rPr>
          <w:i/>
        </w:rPr>
        <w:t xml:space="preserve"> </w:t>
      </w:r>
      <w:proofErr w:type="spellStart"/>
      <w:r w:rsidRPr="00FD386D">
        <w:rPr>
          <w:i/>
        </w:rPr>
        <w:t>der</w:t>
      </w:r>
      <w:proofErr w:type="spellEnd"/>
      <w:r w:rsidRPr="00FD386D">
        <w:rPr>
          <w:i/>
        </w:rPr>
        <w:t xml:space="preserve"> </w:t>
      </w:r>
      <w:proofErr w:type="spellStart"/>
      <w:r w:rsidRPr="00FD386D">
        <w:rPr>
          <w:i/>
        </w:rPr>
        <w:t>Bundesrepublik</w:t>
      </w:r>
      <w:proofErr w:type="spellEnd"/>
      <w:r w:rsidRPr="00FD386D">
        <w:rPr>
          <w:i/>
        </w:rPr>
        <w:t xml:space="preserve"> </w:t>
      </w:r>
      <w:proofErr w:type="spellStart"/>
      <w:r w:rsidRPr="00FD386D">
        <w:rPr>
          <w:i/>
        </w:rPr>
        <w:t>Deutschland</w:t>
      </w:r>
      <w:proofErr w:type="spellEnd"/>
      <w:r w:rsidRPr="00FD386D">
        <w:rPr>
          <w:i/>
        </w:rPr>
        <w:t xml:space="preserve"> </w:t>
      </w:r>
      <w:proofErr w:type="spellStart"/>
      <w:r w:rsidRPr="00FD386D">
        <w:rPr>
          <w:i/>
        </w:rPr>
        <w:t>steht</w:t>
      </w:r>
      <w:proofErr w:type="spellEnd"/>
      <w:r w:rsidRPr="00FD386D">
        <w:rPr>
          <w:i/>
        </w:rPr>
        <w:t xml:space="preserve"> </w:t>
      </w:r>
      <w:proofErr w:type="spellStart"/>
      <w:r w:rsidRPr="00FD386D">
        <w:rPr>
          <w:i/>
        </w:rPr>
        <w:t>die</w:t>
      </w:r>
      <w:proofErr w:type="spellEnd"/>
      <w:r w:rsidRPr="00FD386D">
        <w:rPr>
          <w:i/>
        </w:rPr>
        <w:t xml:space="preserve"> </w:t>
      </w:r>
      <w:proofErr w:type="spellStart"/>
      <w:r w:rsidRPr="00FD386D">
        <w:rPr>
          <w:i/>
        </w:rPr>
        <w:t>einem</w:t>
      </w:r>
      <w:proofErr w:type="spellEnd"/>
      <w:r w:rsidRPr="00FD386D">
        <w:rPr>
          <w:i/>
        </w:rPr>
        <w:t xml:space="preserve"> </w:t>
      </w:r>
      <w:proofErr w:type="spellStart"/>
      <w:r w:rsidRPr="00FD386D">
        <w:rPr>
          <w:i/>
        </w:rPr>
        <w:t>Abgeordneten</w:t>
      </w:r>
      <w:proofErr w:type="spellEnd"/>
      <w:r w:rsidRPr="00FD386D">
        <w:rPr>
          <w:i/>
        </w:rPr>
        <w:t xml:space="preserve"> des </w:t>
      </w:r>
      <w:proofErr w:type="spellStart"/>
      <w:r w:rsidRPr="00FD386D">
        <w:rPr>
          <w:i/>
        </w:rPr>
        <w:t>Deutschen</w:t>
      </w:r>
      <w:proofErr w:type="spellEnd"/>
      <w:r w:rsidRPr="00FD386D">
        <w:rPr>
          <w:i/>
        </w:rPr>
        <w:t xml:space="preserve"> </w:t>
      </w:r>
      <w:proofErr w:type="spellStart"/>
      <w:r w:rsidRPr="00FD386D">
        <w:rPr>
          <w:i/>
        </w:rPr>
        <w:t>Bundestages</w:t>
      </w:r>
      <w:proofErr w:type="spellEnd"/>
      <w:r w:rsidRPr="00FD386D">
        <w:rPr>
          <w:i/>
        </w:rPr>
        <w:t xml:space="preserve"> </w:t>
      </w:r>
      <w:proofErr w:type="spellStart"/>
      <w:r w:rsidRPr="00FD386D">
        <w:rPr>
          <w:i/>
        </w:rPr>
        <w:t>zuerkannte</w:t>
      </w:r>
      <w:proofErr w:type="spellEnd"/>
      <w:r w:rsidRPr="00FD386D">
        <w:rPr>
          <w:i/>
        </w:rPr>
        <w:t xml:space="preserve"> </w:t>
      </w:r>
      <w:proofErr w:type="spellStart"/>
      <w:r w:rsidRPr="00FD386D">
        <w:rPr>
          <w:i/>
        </w:rPr>
        <w:t>Immunität</w:t>
      </w:r>
      <w:proofErr w:type="spellEnd"/>
      <w:r w:rsidRPr="00FD386D">
        <w:rPr>
          <w:i/>
        </w:rPr>
        <w:t xml:space="preserve"> </w:t>
      </w:r>
      <w:proofErr w:type="spellStart"/>
      <w:r w:rsidRPr="00FD386D">
        <w:rPr>
          <w:i/>
        </w:rPr>
        <w:t>zu</w:t>
      </w:r>
      <w:proofErr w:type="spellEnd"/>
      <w:r w:rsidRPr="00FD386D">
        <w:t xml:space="preserve">. (...)” [Membru tal-Parlament Ewropew mir-Repubblika Federali tal-Ġermanja għandu jkun intitolat </w:t>
      </w:r>
      <w:proofErr w:type="spellStart"/>
      <w:r w:rsidRPr="00FD386D">
        <w:t>għall-immunità</w:t>
      </w:r>
      <w:proofErr w:type="spellEnd"/>
      <w:r w:rsidRPr="00FD386D">
        <w:t xml:space="preserve"> mogħtija lil membru tal-Bundestag Ġermaniż];</w:t>
      </w:r>
    </w:p>
    <w:p w:rsidR="001822EC" w:rsidRPr="00FD386D" w:rsidRDefault="001822EC" w:rsidP="001822EC">
      <w:pPr>
        <w:pStyle w:val="NormalHanging12a"/>
        <w:rPr>
          <w:szCs w:val="24"/>
        </w:rPr>
      </w:pPr>
      <w:r w:rsidRPr="00FD386D">
        <w:t>G.</w:t>
      </w:r>
      <w:r w:rsidRPr="00FD386D">
        <w:tab/>
        <w:t xml:space="preserve">billi, minn naħa, il-Parlament ma jistax jitqies bħala qorti u, min-naħa l-oħra, il-Membru </w:t>
      </w:r>
      <w:r w:rsidRPr="00FD386D">
        <w:lastRenderedPageBreak/>
        <w:t>ma jistax, fil-kuntest ta’ proċedura għat-tneħħija tal-</w:t>
      </w:r>
      <w:proofErr w:type="spellStart"/>
      <w:r w:rsidRPr="00FD386D">
        <w:t>immunità</w:t>
      </w:r>
      <w:proofErr w:type="spellEnd"/>
      <w:r w:rsidRPr="00FD386D">
        <w:t>, jitqies bħala “akkużat”</w:t>
      </w:r>
      <w:r w:rsidRPr="00FD386D">
        <w:rPr>
          <w:vertAlign w:val="superscript"/>
        </w:rPr>
        <w:footnoteReference w:id="2"/>
      </w:r>
      <w:r w:rsidRPr="00FD386D">
        <w:t>;</w:t>
      </w:r>
    </w:p>
    <w:p w:rsidR="001822EC" w:rsidRPr="00FD386D" w:rsidRDefault="001822EC" w:rsidP="001822EC">
      <w:pPr>
        <w:pStyle w:val="NormalHanging12a"/>
      </w:pPr>
      <w:r w:rsidRPr="00FD386D">
        <w:t>H.</w:t>
      </w:r>
      <w:r w:rsidRPr="00FD386D">
        <w:tab/>
        <w:t>billi l-għan tal-</w:t>
      </w:r>
      <w:proofErr w:type="spellStart"/>
      <w:r w:rsidRPr="00FD386D">
        <w:t>immunità</w:t>
      </w:r>
      <w:proofErr w:type="spellEnd"/>
      <w:r w:rsidRPr="00FD386D">
        <w:t xml:space="preserve"> parlamentari huwa li tipproteġi lill-Parlament u lill-Membri tiegħu minn proċedimenti legali relatati ma’ attivitajiet imwettqa fil-qadi tad-dmirijiet parlamentari u li huma </w:t>
      </w:r>
      <w:proofErr w:type="spellStart"/>
      <w:r w:rsidRPr="00FD386D">
        <w:t>inseparabbli</w:t>
      </w:r>
      <w:proofErr w:type="spellEnd"/>
      <w:r w:rsidRPr="00FD386D">
        <w:t xml:space="preserve"> minn dawn l-attivitajiet;</w:t>
      </w:r>
    </w:p>
    <w:p w:rsidR="001822EC" w:rsidRPr="00FD386D" w:rsidRDefault="001822EC" w:rsidP="001822EC">
      <w:pPr>
        <w:pStyle w:val="EPComma"/>
        <w:widowControl/>
        <w:spacing w:before="360"/>
        <w:ind w:left="567" w:hanging="567"/>
      </w:pPr>
      <w:r w:rsidRPr="00FD386D">
        <w:t>I.</w:t>
      </w:r>
      <w:r w:rsidRPr="00FD386D">
        <w:tab/>
        <w:t xml:space="preserve">billi, f’dan il-każ, il-Parlament ma sab l-ebda evidenza tal-eżistenza ta’ </w:t>
      </w:r>
      <w:proofErr w:type="spellStart"/>
      <w:r w:rsidRPr="00FD386D">
        <w:rPr>
          <w:i/>
        </w:rPr>
        <w:t>fumus</w:t>
      </w:r>
      <w:proofErr w:type="spellEnd"/>
      <w:r w:rsidRPr="00FD386D">
        <w:rPr>
          <w:i/>
        </w:rPr>
        <w:t xml:space="preserve"> </w:t>
      </w:r>
      <w:proofErr w:type="spellStart"/>
      <w:r w:rsidRPr="00FD386D">
        <w:rPr>
          <w:i/>
        </w:rPr>
        <w:t>persecutionis</w:t>
      </w:r>
      <w:proofErr w:type="spellEnd"/>
      <w:r w:rsidRPr="00FD386D">
        <w:t>, jiġifieri elementi fattwali li jindikaw li l-intenzjoni sottostanti tal-</w:t>
      </w:r>
      <w:proofErr w:type="spellStart"/>
      <w:r w:rsidRPr="00FD386D">
        <w:t>proċediment</w:t>
      </w:r>
      <w:proofErr w:type="spellEnd"/>
      <w:r w:rsidRPr="00FD386D">
        <w:t xml:space="preserve"> legali tista’ tkun ta’ ħsara għall-attività politika tal-Membru u għalhekk tal-Parlament Ewropew;</w:t>
      </w:r>
    </w:p>
    <w:p w:rsidR="001822EC" w:rsidRPr="00FD386D" w:rsidRDefault="001822EC" w:rsidP="001822EC">
      <w:pPr>
        <w:pStyle w:val="NormalHanging12a"/>
      </w:pPr>
      <w:r w:rsidRPr="00FD386D">
        <w:t>1.</w:t>
      </w:r>
      <w:r w:rsidRPr="00FD386D">
        <w:tab/>
        <w:t>Jiddeċiedi li jneħħi l-</w:t>
      </w:r>
      <w:proofErr w:type="spellStart"/>
      <w:r w:rsidRPr="00FD386D">
        <w:t>immunità</w:t>
      </w:r>
      <w:proofErr w:type="spellEnd"/>
      <w:r w:rsidRPr="00FD386D">
        <w:t xml:space="preserve"> ta’ Gunnar Beck;</w:t>
      </w:r>
    </w:p>
    <w:p w:rsidR="001822EC" w:rsidRPr="0088633A" w:rsidRDefault="001822EC" w:rsidP="00086BC9">
      <w:pPr>
        <w:ind w:left="567" w:hanging="567"/>
      </w:pPr>
      <w:r w:rsidRPr="00FD386D">
        <w:t>2.</w:t>
      </w:r>
      <w:r w:rsidRPr="00FD386D">
        <w:tab/>
        <w:t>Jagħti istruzzjonijiet lill-President tiegħu biex tgħaddi minnufih din id-deċiżjoni u r-rapport tal-kumitat responsabbli tiegħu lill-awtorità kompetenti ta</w:t>
      </w:r>
      <w:r w:rsidR="00CA6B59" w:rsidRPr="00FD386D">
        <w:t>r-Repubblika Federali ta</w:t>
      </w:r>
      <w:r w:rsidRPr="00FD386D">
        <w:t>l-Ġermanja u lil Gunnar Beck.</w:t>
      </w:r>
    </w:p>
    <w:p w:rsidR="00E365E1" w:rsidRPr="0088633A" w:rsidRDefault="00E365E1" w:rsidP="00B43D51">
      <w:bookmarkStart w:id="9" w:name="TextBodyEnd"/>
      <w:bookmarkEnd w:id="9"/>
    </w:p>
    <w:sectPr w:rsidR="00E365E1" w:rsidRPr="0088633A" w:rsidSect="0088633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3D51" w:rsidRPr="0088633A" w:rsidRDefault="00B43D51">
      <w:r w:rsidRPr="0088633A">
        <w:separator/>
      </w:r>
    </w:p>
  </w:endnote>
  <w:endnote w:type="continuationSeparator" w:id="0">
    <w:p w:rsidR="00B43D51" w:rsidRPr="0088633A" w:rsidRDefault="00B43D51">
      <w:r w:rsidRPr="0088633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8633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8633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8633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3D51" w:rsidRPr="0088633A" w:rsidRDefault="00B43D51">
      <w:r w:rsidRPr="0088633A">
        <w:separator/>
      </w:r>
    </w:p>
  </w:footnote>
  <w:footnote w:type="continuationSeparator" w:id="0">
    <w:p w:rsidR="00B43D51" w:rsidRPr="0088633A" w:rsidRDefault="00B43D51">
      <w:r w:rsidRPr="0088633A">
        <w:continuationSeparator/>
      </w:r>
    </w:p>
  </w:footnote>
  <w:footnote w:id="1">
    <w:p w:rsidR="001822EC" w:rsidRPr="00FD386D" w:rsidRDefault="001822EC" w:rsidP="0088633A">
      <w:pPr>
        <w:pStyle w:val="FootnoteText"/>
        <w:ind w:left="567" w:hanging="567"/>
        <w:rPr>
          <w:sz w:val="24"/>
          <w:lang w:val="mt-MT"/>
        </w:rPr>
      </w:pPr>
      <w:r w:rsidRPr="00FD386D">
        <w:rPr>
          <w:rStyle w:val="FootnoteReference"/>
          <w:sz w:val="24"/>
          <w:lang w:val="mt-MT"/>
        </w:rPr>
        <w:footnoteRef/>
      </w:r>
      <w:r w:rsidR="0088633A" w:rsidRPr="00FD386D">
        <w:rPr>
          <w:sz w:val="24"/>
          <w:lang w:val="mt-MT"/>
        </w:rPr>
        <w:t xml:space="preserve"> </w:t>
      </w:r>
      <w:r w:rsidR="0088633A" w:rsidRPr="00FD386D">
        <w:rPr>
          <w:sz w:val="24"/>
          <w:lang w:val="mt-MT"/>
        </w:rPr>
        <w:tab/>
      </w:r>
      <w:r w:rsidRPr="00FD386D">
        <w:rPr>
          <w:sz w:val="24"/>
          <w:lang w:val="mt-MT"/>
        </w:rPr>
        <w:t xml:space="preserve">Is-sentenza tal-Qorti tal-Ġustizzja tal-21 ta’ Ottubru 2008, </w:t>
      </w:r>
      <w:proofErr w:type="spellStart"/>
      <w:r w:rsidRPr="00FD386D">
        <w:rPr>
          <w:sz w:val="24"/>
          <w:lang w:val="mt-MT"/>
        </w:rPr>
        <w:t>Marra</w:t>
      </w:r>
      <w:proofErr w:type="spellEnd"/>
      <w:r w:rsidRPr="00FD386D">
        <w:rPr>
          <w:sz w:val="24"/>
          <w:lang w:val="mt-MT"/>
        </w:rPr>
        <w:t xml:space="preserve"> </w:t>
      </w:r>
      <w:proofErr w:type="spellStart"/>
      <w:r w:rsidRPr="00FD386D">
        <w:rPr>
          <w:sz w:val="24"/>
          <w:lang w:val="mt-MT"/>
        </w:rPr>
        <w:t>vs</w:t>
      </w:r>
      <w:proofErr w:type="spellEnd"/>
      <w:r w:rsidRPr="00FD386D">
        <w:rPr>
          <w:sz w:val="24"/>
          <w:lang w:val="mt-MT"/>
        </w:rPr>
        <w:t xml:space="preserve"> De </w:t>
      </w:r>
      <w:proofErr w:type="spellStart"/>
      <w:r w:rsidRPr="00FD386D">
        <w:rPr>
          <w:sz w:val="24"/>
          <w:lang w:val="mt-MT"/>
        </w:rPr>
        <w:t>Gregorio</w:t>
      </w:r>
      <w:proofErr w:type="spellEnd"/>
      <w:r w:rsidRPr="00FD386D">
        <w:rPr>
          <w:sz w:val="24"/>
          <w:lang w:val="mt-MT"/>
        </w:rPr>
        <w:t xml:space="preserve"> u </w:t>
      </w:r>
      <w:proofErr w:type="spellStart"/>
      <w:r w:rsidRPr="00FD386D">
        <w:rPr>
          <w:sz w:val="24"/>
          <w:lang w:val="mt-MT"/>
        </w:rPr>
        <w:t>Clemente</w:t>
      </w:r>
      <w:proofErr w:type="spellEnd"/>
      <w:r w:rsidRPr="00FD386D">
        <w:rPr>
          <w:sz w:val="24"/>
          <w:lang w:val="mt-MT"/>
        </w:rPr>
        <w:t>, C-200/07 u C</w:t>
      </w:r>
      <w:r w:rsidRPr="00FD386D">
        <w:rPr>
          <w:sz w:val="24"/>
          <w:lang w:val="mt-MT"/>
        </w:rPr>
        <w:noBreakHyphen/>
        <w:t xml:space="preserve">201/07, ECLI:EU:C:2008:579; is-sentenza tal-Qorti Ġenerali tad-19 ta’ Marzu 2010, </w:t>
      </w:r>
      <w:proofErr w:type="spellStart"/>
      <w:r w:rsidRPr="00FD386D">
        <w:rPr>
          <w:sz w:val="24"/>
          <w:lang w:val="mt-MT"/>
        </w:rPr>
        <w:t>Gollnisch</w:t>
      </w:r>
      <w:proofErr w:type="spellEnd"/>
      <w:r w:rsidRPr="00FD386D">
        <w:rPr>
          <w:sz w:val="24"/>
          <w:lang w:val="mt-MT"/>
        </w:rPr>
        <w:t xml:space="preserve"> </w:t>
      </w:r>
      <w:proofErr w:type="spellStart"/>
      <w:r w:rsidRPr="00FD386D">
        <w:rPr>
          <w:sz w:val="24"/>
          <w:lang w:val="mt-MT"/>
        </w:rPr>
        <w:t>vs</w:t>
      </w:r>
      <w:proofErr w:type="spellEnd"/>
      <w:r w:rsidRPr="00FD386D">
        <w:rPr>
          <w:sz w:val="24"/>
          <w:lang w:val="mt-MT"/>
        </w:rPr>
        <w:t xml:space="preserve"> il-Parlament, T</w:t>
      </w:r>
      <w:r w:rsidRPr="00FD386D">
        <w:rPr>
          <w:sz w:val="24"/>
          <w:lang w:val="mt-MT"/>
        </w:rPr>
        <w:noBreakHyphen/>
        <w:t xml:space="preserve">42/06, ECLI:EU:T:2010:102; is-sentenza tal-Qorti tal-Ġustizzja tas-6 ta’ Settembru 2011, </w:t>
      </w:r>
      <w:proofErr w:type="spellStart"/>
      <w:r w:rsidRPr="00FD386D">
        <w:rPr>
          <w:i/>
          <w:sz w:val="24"/>
          <w:lang w:val="mt-MT"/>
        </w:rPr>
        <w:t>Patriciello</w:t>
      </w:r>
      <w:proofErr w:type="spellEnd"/>
      <w:r w:rsidRPr="00FD386D">
        <w:rPr>
          <w:sz w:val="24"/>
          <w:lang w:val="mt-MT"/>
        </w:rPr>
        <w:t xml:space="preserve">, C-163/10, ECLI: EU:C:2011:543; is-sentenza tal-Qorti Ġenerali tas-17 ta’ Jannar 2013, </w:t>
      </w:r>
      <w:proofErr w:type="spellStart"/>
      <w:r w:rsidRPr="00FD386D">
        <w:rPr>
          <w:i/>
          <w:sz w:val="24"/>
          <w:lang w:val="mt-MT"/>
        </w:rPr>
        <w:t>Gollnisch</w:t>
      </w:r>
      <w:proofErr w:type="spellEnd"/>
      <w:r w:rsidRPr="00FD386D">
        <w:rPr>
          <w:i/>
          <w:sz w:val="24"/>
          <w:lang w:val="mt-MT"/>
        </w:rPr>
        <w:t xml:space="preserve"> </w:t>
      </w:r>
      <w:proofErr w:type="spellStart"/>
      <w:r w:rsidRPr="00FD386D">
        <w:rPr>
          <w:i/>
          <w:sz w:val="24"/>
          <w:lang w:val="mt-MT"/>
        </w:rPr>
        <w:t>vs</w:t>
      </w:r>
      <w:proofErr w:type="spellEnd"/>
      <w:r w:rsidRPr="00FD386D">
        <w:rPr>
          <w:i/>
          <w:sz w:val="24"/>
          <w:lang w:val="mt-MT"/>
        </w:rPr>
        <w:t xml:space="preserve"> il-Parlament</w:t>
      </w:r>
      <w:r w:rsidRPr="00FD386D">
        <w:rPr>
          <w:sz w:val="24"/>
          <w:lang w:val="mt-MT"/>
        </w:rPr>
        <w:t xml:space="preserve">, T-346/11 u T-347/11, ECLI:EU:T:2013:23; is-sentenza tal-Qorti tal-Ġustizzja tad-19 ta’ Diċembru 2019, </w:t>
      </w:r>
      <w:proofErr w:type="spellStart"/>
      <w:r w:rsidRPr="00FD386D">
        <w:rPr>
          <w:sz w:val="24"/>
          <w:lang w:val="mt-MT"/>
        </w:rPr>
        <w:t>Junqueras</w:t>
      </w:r>
      <w:proofErr w:type="spellEnd"/>
      <w:r w:rsidRPr="00FD386D">
        <w:rPr>
          <w:sz w:val="24"/>
          <w:lang w:val="mt-MT"/>
        </w:rPr>
        <w:t xml:space="preserve"> </w:t>
      </w:r>
      <w:proofErr w:type="spellStart"/>
      <w:r w:rsidRPr="00FD386D">
        <w:rPr>
          <w:sz w:val="24"/>
          <w:lang w:val="mt-MT"/>
        </w:rPr>
        <w:t>Vies</w:t>
      </w:r>
      <w:proofErr w:type="spellEnd"/>
      <w:r w:rsidRPr="00FD386D">
        <w:rPr>
          <w:sz w:val="24"/>
          <w:lang w:val="mt-MT"/>
        </w:rPr>
        <w:t>, C</w:t>
      </w:r>
      <w:r w:rsidRPr="00FD386D">
        <w:rPr>
          <w:sz w:val="24"/>
          <w:lang w:val="mt-MT"/>
        </w:rPr>
        <w:noBreakHyphen/>
        <w:t>502/19, ECLI:EU:C:2019:1115.</w:t>
      </w:r>
    </w:p>
  </w:footnote>
  <w:footnote w:id="2">
    <w:p w:rsidR="001822EC" w:rsidRPr="0088633A" w:rsidRDefault="001822EC" w:rsidP="0088633A">
      <w:pPr>
        <w:pStyle w:val="FootnoteText"/>
        <w:ind w:left="567" w:hanging="567"/>
        <w:rPr>
          <w:sz w:val="24"/>
          <w:lang w:val="mt-MT"/>
        </w:rPr>
      </w:pPr>
      <w:r w:rsidRPr="00FD386D">
        <w:rPr>
          <w:rStyle w:val="FootnoteReference"/>
          <w:sz w:val="24"/>
          <w:lang w:val="mt-MT"/>
        </w:rPr>
        <w:footnoteRef/>
      </w:r>
      <w:r w:rsidR="0088633A" w:rsidRPr="00FD386D">
        <w:rPr>
          <w:sz w:val="24"/>
          <w:lang w:val="mt-MT"/>
        </w:rPr>
        <w:t xml:space="preserve"> </w:t>
      </w:r>
      <w:r w:rsidR="0088633A" w:rsidRPr="00FD386D">
        <w:rPr>
          <w:sz w:val="24"/>
          <w:lang w:val="mt-MT"/>
        </w:rPr>
        <w:tab/>
      </w:r>
      <w:r w:rsidRPr="00FD386D">
        <w:rPr>
          <w:sz w:val="24"/>
          <w:lang w:val="mt-MT"/>
        </w:rPr>
        <w:t xml:space="preserve">Is-sentenza tal-Qorti Ġenerali tat-30 ta’ April 2019, </w:t>
      </w:r>
      <w:proofErr w:type="spellStart"/>
      <w:r w:rsidRPr="00FD386D">
        <w:rPr>
          <w:i/>
          <w:sz w:val="24"/>
          <w:lang w:val="mt-MT"/>
        </w:rPr>
        <w:t>Briois</w:t>
      </w:r>
      <w:proofErr w:type="spellEnd"/>
      <w:r w:rsidRPr="00FD386D">
        <w:rPr>
          <w:i/>
          <w:sz w:val="24"/>
          <w:lang w:val="mt-MT"/>
        </w:rPr>
        <w:t xml:space="preserve"> </w:t>
      </w:r>
      <w:proofErr w:type="spellStart"/>
      <w:r w:rsidRPr="00FD386D">
        <w:rPr>
          <w:i/>
          <w:sz w:val="24"/>
          <w:lang w:val="mt-MT"/>
        </w:rPr>
        <w:t>vs</w:t>
      </w:r>
      <w:proofErr w:type="spellEnd"/>
      <w:r w:rsidRPr="00FD386D">
        <w:rPr>
          <w:i/>
          <w:sz w:val="24"/>
          <w:lang w:val="mt-MT"/>
        </w:rPr>
        <w:t xml:space="preserve"> il-Parlament</w:t>
      </w:r>
      <w:r w:rsidRPr="00FD386D">
        <w:rPr>
          <w:sz w:val="24"/>
          <w:lang w:val="mt-MT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8633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8633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8633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0/2024"/>
    <w:docVar w:name="dvlangue" w:val="MT"/>
    <w:docVar w:name="dvnumam" w:val="0"/>
    <w:docVar w:name="dvpe" w:val="758.183"/>
    <w:docVar w:name="dvrapporteur" w:val="Rapporteur: "/>
    <w:docVar w:name="dvtitre" w:val="Deċiżjoni tal-Parlament Ewropew tal-11 ta' April 2024 dwar it-talba għat-tneħħija tal-immunità ta’ Gunnar Beck(2023/2192(IMM))"/>
  </w:docVars>
  <w:rsids>
    <w:rsidRoot w:val="00B43D51"/>
    <w:rsid w:val="00002272"/>
    <w:rsid w:val="00064002"/>
    <w:rsid w:val="000677B9"/>
    <w:rsid w:val="000831BA"/>
    <w:rsid w:val="00086BC9"/>
    <w:rsid w:val="000A42CC"/>
    <w:rsid w:val="000E7DD9"/>
    <w:rsid w:val="0010095E"/>
    <w:rsid w:val="00125B37"/>
    <w:rsid w:val="001822EC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2B1F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633A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3D51"/>
    <w:rsid w:val="00B558F0"/>
    <w:rsid w:val="00BD48FE"/>
    <w:rsid w:val="00BD7BD8"/>
    <w:rsid w:val="00BE6ADC"/>
    <w:rsid w:val="00C05BFE"/>
    <w:rsid w:val="00C23CD4"/>
    <w:rsid w:val="00C61C0C"/>
    <w:rsid w:val="00C941CB"/>
    <w:rsid w:val="00CA6B59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3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B1CE7F"/>
  <w15:chartTrackingRefBased/>
  <w15:docId w15:val="{BD13573B-FF4E-4EA0-BD4A-6B3E2E82E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1822EC"/>
    <w:pPr>
      <w:spacing w:after="240"/>
      <w:ind w:left="567" w:hanging="567"/>
    </w:pPr>
  </w:style>
  <w:style w:type="paragraph" w:customStyle="1" w:styleId="EPComma">
    <w:name w:val="EPComma"/>
    <w:basedOn w:val="Normal"/>
    <w:rsid w:val="001822EC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FB6605-3CCB-4CD4-B2A5-452624EBD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679</Words>
  <Characters>4871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CUTAJAR Sera</cp:lastModifiedBy>
  <cp:revision>2</cp:revision>
  <cp:lastPrinted>2004-11-19T15:42:00Z</cp:lastPrinted>
  <dcterms:created xsi:type="dcterms:W3CDTF">2024-04-11T11:13:00Z</dcterms:created>
  <dcterms:modified xsi:type="dcterms:W3CDTF">2024-04-11T11:13:00Z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A9-0170/2024</vt:lpwstr>
  </property>
  <property fmtid="{D5CDD505-2E9C-101B-9397-08002B2CF9AE}" pid="4" name="&lt;Type&gt;">
    <vt:lpwstr>RR</vt:lpwstr>
  </property>
</Properties>
</file>