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73B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A73B6" w:rsidRDefault="00D71AD9" w:rsidP="0010095E">
            <w:pPr>
              <w:pStyle w:val="EPName"/>
            </w:pPr>
            <w:r w:rsidRPr="004A73B6">
              <w:t>Parlament Europejski</w:t>
            </w:r>
          </w:p>
          <w:p w:rsidR="00751A4A" w:rsidRPr="004A73B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73B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A73B6" w:rsidRDefault="00187494" w:rsidP="0010095E">
            <w:pPr>
              <w:pStyle w:val="EPLogo"/>
            </w:pPr>
            <w:r w:rsidRPr="004A73B6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A73B6" w:rsidRDefault="00D058B8" w:rsidP="004C5D52">
      <w:pPr>
        <w:pStyle w:val="LineTop"/>
      </w:pPr>
    </w:p>
    <w:p w:rsidR="00680577" w:rsidRPr="004A73B6" w:rsidRDefault="00D71AD9" w:rsidP="00680577">
      <w:pPr>
        <w:pStyle w:val="EPBodyTA1"/>
      </w:pPr>
      <w:r w:rsidRPr="004A73B6">
        <w:t>TEKSTY PRZYJĘTE</w:t>
      </w:r>
    </w:p>
    <w:p w:rsidR="00D058B8" w:rsidRPr="004A73B6" w:rsidRDefault="00D058B8" w:rsidP="00D058B8">
      <w:pPr>
        <w:pStyle w:val="LineBottom"/>
      </w:pPr>
    </w:p>
    <w:p w:rsidR="00D71AD9" w:rsidRPr="004A73B6" w:rsidRDefault="00D71AD9" w:rsidP="00D71AD9">
      <w:pPr>
        <w:pStyle w:val="ATHeading1"/>
      </w:pPr>
      <w:bookmarkStart w:id="0" w:name="TANumber"/>
      <w:r w:rsidRPr="004A73B6">
        <w:t>P9_TA(2024)0</w:t>
      </w:r>
      <w:bookmarkEnd w:id="0"/>
      <w:r w:rsidR="00E730C4">
        <w:t>224</w:t>
      </w:r>
    </w:p>
    <w:p w:rsidR="00D71AD9" w:rsidRPr="004A73B6" w:rsidRDefault="00D71AD9" w:rsidP="00D71AD9">
      <w:pPr>
        <w:pStyle w:val="ATHeading2"/>
      </w:pPr>
      <w:bookmarkStart w:id="1" w:name="title"/>
      <w:r w:rsidRPr="004A73B6">
        <w:t>Wniosek o uchylenie immunitetu Gunnara Becka</w:t>
      </w:r>
      <w:bookmarkEnd w:id="1"/>
    </w:p>
    <w:p w:rsidR="00D71AD9" w:rsidRPr="004A73B6" w:rsidRDefault="00D71AD9" w:rsidP="00D71AD9">
      <w:pPr>
        <w:rPr>
          <w:i/>
          <w:vanish/>
        </w:rPr>
      </w:pPr>
      <w:r w:rsidRPr="004A73B6">
        <w:rPr>
          <w:i/>
        </w:rPr>
        <w:fldChar w:fldCharType="begin"/>
      </w:r>
      <w:r w:rsidRPr="004A73B6">
        <w:rPr>
          <w:i/>
        </w:rPr>
        <w:instrText xml:space="preserve"> TC"(</w:instrText>
      </w:r>
      <w:bookmarkStart w:id="2" w:name="DocNumber"/>
      <w:r w:rsidRPr="004A73B6">
        <w:rPr>
          <w:i/>
        </w:rPr>
        <w:instrText>A9-0170/2024</w:instrText>
      </w:r>
      <w:bookmarkEnd w:id="2"/>
      <w:r w:rsidRPr="004A73B6">
        <w:rPr>
          <w:i/>
        </w:rPr>
        <w:instrText xml:space="preserve"> - Sprawozdawca: Ibán García Del Blanco)"\l3 \n&gt; \* MERGEFORMAT </w:instrText>
      </w:r>
      <w:r w:rsidRPr="004A73B6">
        <w:rPr>
          <w:i/>
        </w:rPr>
        <w:fldChar w:fldCharType="end"/>
      </w:r>
    </w:p>
    <w:p w:rsidR="00D71AD9" w:rsidRPr="004A73B6" w:rsidRDefault="00D71AD9" w:rsidP="00D71AD9">
      <w:pPr>
        <w:rPr>
          <w:vanish/>
        </w:rPr>
      </w:pPr>
      <w:bookmarkStart w:id="3" w:name="Commission"/>
      <w:r w:rsidRPr="004A73B6">
        <w:rPr>
          <w:vanish/>
        </w:rPr>
        <w:t>Komisja Prawna</w:t>
      </w:r>
      <w:bookmarkEnd w:id="3"/>
    </w:p>
    <w:p w:rsidR="00D71AD9" w:rsidRPr="004A73B6" w:rsidRDefault="00D71AD9" w:rsidP="00D71AD9">
      <w:pPr>
        <w:rPr>
          <w:vanish/>
        </w:rPr>
      </w:pPr>
      <w:bookmarkStart w:id="4" w:name="PE"/>
      <w:r w:rsidRPr="004A73B6">
        <w:rPr>
          <w:vanish/>
        </w:rPr>
        <w:t>PE758.183</w:t>
      </w:r>
      <w:bookmarkEnd w:id="4"/>
    </w:p>
    <w:p w:rsidR="00D71AD9" w:rsidRPr="004A73B6" w:rsidRDefault="00D71AD9" w:rsidP="00D71AD9">
      <w:pPr>
        <w:pStyle w:val="ATHeading3"/>
      </w:pPr>
      <w:bookmarkStart w:id="5" w:name="Sujet"/>
      <w:r w:rsidRPr="004A73B6">
        <w:t xml:space="preserve">Decyzja Parlamentu Europejskiego z dnia </w:t>
      </w:r>
      <w:r w:rsidR="00E730C4">
        <w:t>11 kwietnia</w:t>
      </w:r>
      <w:r w:rsidRPr="004A73B6">
        <w:t xml:space="preserve"> 2024 r. w sprawie wniosku o uchylenie immunitetu Gunnara Becka</w:t>
      </w:r>
      <w:bookmarkEnd w:id="5"/>
      <w:r w:rsidRPr="004A73B6">
        <w:t xml:space="preserve"> </w:t>
      </w:r>
      <w:bookmarkStart w:id="6" w:name="References"/>
      <w:r w:rsidRPr="004A73B6">
        <w:t>(2023/2192(IMM))</w:t>
      </w:r>
      <w:bookmarkEnd w:id="6"/>
    </w:p>
    <w:p w:rsidR="00CA3EF4" w:rsidRPr="004A73B6" w:rsidRDefault="00CA3EF4" w:rsidP="00CA3EF4">
      <w:pPr>
        <w:pStyle w:val="EPComma"/>
      </w:pPr>
      <w:bookmarkStart w:id="7" w:name="TextBodyBegin"/>
      <w:bookmarkEnd w:id="7"/>
      <w:r w:rsidRPr="004A73B6">
        <w:rPr>
          <w:i/>
        </w:rPr>
        <w:t>Parlament Europejski</w:t>
      </w:r>
      <w:r w:rsidRPr="004A73B6">
        <w:t>,</w:t>
      </w:r>
    </w:p>
    <w:p w:rsidR="00CA3EF4" w:rsidRPr="004A73B6" w:rsidRDefault="00CA3EF4" w:rsidP="00CA3EF4">
      <w:pPr>
        <w:pStyle w:val="NormalHanging12a"/>
      </w:pPr>
      <w:r w:rsidRPr="004A73B6">
        <w:t>–</w:t>
      </w:r>
      <w:r w:rsidRPr="004A73B6">
        <w:tab/>
        <w:t xml:space="preserve">uwzględniając wniosek prokuratora naczelnego w </w:t>
      </w:r>
      <w:proofErr w:type="spellStart"/>
      <w:r w:rsidRPr="004A73B6">
        <w:t>Düsseldorfie</w:t>
      </w:r>
      <w:proofErr w:type="spellEnd"/>
      <w:r w:rsidRPr="004A73B6">
        <w:t xml:space="preserve"> o uchylenie immunitetu Gunnara Becka, przekazany pismem niemieckiego Federalnego Ministerstwa Sprawiedliwości i Ochrony Konsumentów z 25 lipca 2023 r. w związku z postępowaniem przygotowawczym w sprawie podejrzenia popełnienia przestępstwa, </w:t>
      </w:r>
      <w:r w:rsidR="00F06FAB">
        <w:t>ogłoszonym</w:t>
      </w:r>
      <w:r w:rsidRPr="004A73B6">
        <w:t xml:space="preserve"> na posiedzeniu plenarnym 11 września 2023 r.,</w:t>
      </w:r>
    </w:p>
    <w:p w:rsidR="00CA3EF4" w:rsidRPr="004A73B6" w:rsidRDefault="00CA3EF4" w:rsidP="00CA3EF4">
      <w:pPr>
        <w:pStyle w:val="NormalHanging12a"/>
      </w:pPr>
      <w:r w:rsidRPr="004A73B6">
        <w:t>–</w:t>
      </w:r>
      <w:r w:rsidRPr="004A73B6">
        <w:tab/>
        <w:t xml:space="preserve">po wysłuchaniu wyjaśnień Gunnara Becka zgodnie z art. 9 ust. 6 Regulaminu, </w:t>
      </w:r>
    </w:p>
    <w:p w:rsidR="00CA3EF4" w:rsidRPr="004A73B6" w:rsidRDefault="00CA3EF4" w:rsidP="00CA3EF4">
      <w:pPr>
        <w:pStyle w:val="NormalHanging12a"/>
      </w:pPr>
      <w:r w:rsidRPr="004A73B6">
        <w:t>–</w:t>
      </w:r>
      <w:r w:rsidRPr="004A73B6">
        <w:tab/>
        <w:t>uwzględniając art. 8 i 9 Protokołu nr 7 w sprawie przywilejów i immunitetów Unii Europejskiej, jak również art. 6 ust. 2 Aktu dotyczącego wyborów przedstawicieli do Parlamentu Europejskiego w powszechnych wyborach bezpośrednich z dnia 20 września 1976 r.,</w:t>
      </w:r>
    </w:p>
    <w:p w:rsidR="00CA3EF4" w:rsidRPr="004A73B6" w:rsidRDefault="00CA3EF4" w:rsidP="00CA3EF4">
      <w:pPr>
        <w:pStyle w:val="NormalHanging12a"/>
      </w:pPr>
      <w:r w:rsidRPr="004A73B6">
        <w:t>–</w:t>
      </w:r>
      <w:r w:rsidRPr="004A73B6">
        <w:tab/>
        <w:t>uwzględniając wyroki wydane przez Trybunał Sprawiedliwości Unii Europejskiej w dniach 21 października 2008 r., 19 marca 2010 r., 6 września 2011 r., 17 stycznia 2013 r. i 19 grudnia 2019 r.</w:t>
      </w:r>
      <w:r w:rsidRPr="004A73B6">
        <w:rPr>
          <w:rStyle w:val="FootnoteReference"/>
        </w:rPr>
        <w:footnoteReference w:id="1"/>
      </w:r>
      <w:r w:rsidRPr="004A73B6">
        <w:t>,</w:t>
      </w:r>
    </w:p>
    <w:p w:rsidR="00CA3EF4" w:rsidRPr="004A73B6" w:rsidRDefault="00CA3EF4" w:rsidP="00CA3EF4">
      <w:pPr>
        <w:pStyle w:val="NormalHanging12a"/>
      </w:pPr>
      <w:r w:rsidRPr="004A73B6">
        <w:t>–</w:t>
      </w:r>
      <w:r w:rsidRPr="004A73B6">
        <w:tab/>
        <w:t>uwzględniając art. 46 ust. 2, 3 i 4 ustawy zasadniczej Republiki Federalnej Niemiec oraz art. 192b niemieckiej dyrektywy dotyczącej postępowań karnych i grzywien (</w:t>
      </w:r>
      <w:proofErr w:type="spellStart"/>
      <w:r w:rsidRPr="004A73B6">
        <w:rPr>
          <w:i/>
        </w:rPr>
        <w:t>Richtlinien</w:t>
      </w:r>
      <w:proofErr w:type="spellEnd"/>
      <w:r w:rsidRPr="004A73B6">
        <w:rPr>
          <w:i/>
        </w:rPr>
        <w:t xml:space="preserve"> </w:t>
      </w:r>
      <w:proofErr w:type="spellStart"/>
      <w:r w:rsidRPr="004A73B6">
        <w:rPr>
          <w:i/>
        </w:rPr>
        <w:t>für</w:t>
      </w:r>
      <w:proofErr w:type="spellEnd"/>
      <w:r w:rsidRPr="004A73B6">
        <w:rPr>
          <w:i/>
        </w:rPr>
        <w:t xml:space="preserve"> </w:t>
      </w:r>
      <w:proofErr w:type="spellStart"/>
      <w:r w:rsidRPr="004A73B6">
        <w:rPr>
          <w:i/>
        </w:rPr>
        <w:t>das</w:t>
      </w:r>
      <w:proofErr w:type="spellEnd"/>
      <w:r w:rsidRPr="004A73B6">
        <w:rPr>
          <w:i/>
        </w:rPr>
        <w:t xml:space="preserve"> </w:t>
      </w:r>
      <w:proofErr w:type="spellStart"/>
      <w:r w:rsidRPr="004A73B6">
        <w:rPr>
          <w:i/>
        </w:rPr>
        <w:t>Strafverfahren</w:t>
      </w:r>
      <w:proofErr w:type="spellEnd"/>
      <w:r w:rsidRPr="004A73B6">
        <w:rPr>
          <w:i/>
        </w:rPr>
        <w:t xml:space="preserve"> </w:t>
      </w:r>
      <w:proofErr w:type="spellStart"/>
      <w:r w:rsidRPr="004A73B6">
        <w:rPr>
          <w:i/>
        </w:rPr>
        <w:t>und</w:t>
      </w:r>
      <w:proofErr w:type="spellEnd"/>
      <w:r w:rsidRPr="004A73B6">
        <w:rPr>
          <w:i/>
        </w:rPr>
        <w:t xml:space="preserve"> </w:t>
      </w:r>
      <w:proofErr w:type="spellStart"/>
      <w:r w:rsidRPr="004A73B6">
        <w:rPr>
          <w:i/>
        </w:rPr>
        <w:t>das</w:t>
      </w:r>
      <w:proofErr w:type="spellEnd"/>
      <w:r w:rsidRPr="004A73B6">
        <w:rPr>
          <w:i/>
        </w:rPr>
        <w:t xml:space="preserve"> </w:t>
      </w:r>
      <w:proofErr w:type="spellStart"/>
      <w:r w:rsidRPr="004A73B6">
        <w:rPr>
          <w:i/>
        </w:rPr>
        <w:t>Bußgeldverfahren</w:t>
      </w:r>
      <w:proofErr w:type="spellEnd"/>
      <w:r w:rsidRPr="004A73B6">
        <w:t>),</w:t>
      </w:r>
    </w:p>
    <w:p w:rsidR="00CA3EF4" w:rsidRPr="004A73B6" w:rsidRDefault="00CA3EF4" w:rsidP="00CA3EF4">
      <w:pPr>
        <w:pStyle w:val="NormalHanging12a"/>
      </w:pPr>
      <w:r w:rsidRPr="004A73B6">
        <w:t>–</w:t>
      </w:r>
      <w:r w:rsidRPr="004A73B6">
        <w:tab/>
        <w:t>uwzględniając art. 5 ust. 2, art. 6 ust. 1 oraz art. 9 Regulaminu,</w:t>
      </w:r>
    </w:p>
    <w:p w:rsidR="00CA3EF4" w:rsidRPr="004A73B6" w:rsidRDefault="00CA3EF4" w:rsidP="00CA3EF4">
      <w:pPr>
        <w:pStyle w:val="NormalHanging12a"/>
      </w:pPr>
      <w:r w:rsidRPr="004A73B6">
        <w:lastRenderedPageBreak/>
        <w:t>–</w:t>
      </w:r>
      <w:r w:rsidRPr="004A73B6">
        <w:tab/>
        <w:t>uwzględniając sprawozdanie Komisji Prawnej (A9-0170/2024),</w:t>
      </w:r>
    </w:p>
    <w:p w:rsidR="00CA3EF4" w:rsidRPr="004A73B6" w:rsidRDefault="00CA3EF4" w:rsidP="00CA3EF4">
      <w:pPr>
        <w:pStyle w:val="NormalHanging12a"/>
      </w:pPr>
      <w:r w:rsidRPr="004A73B6">
        <w:t>A.</w:t>
      </w:r>
      <w:r w:rsidRPr="004A73B6">
        <w:tab/>
      </w:r>
      <w:proofErr w:type="gramStart"/>
      <w:r w:rsidRPr="004A73B6">
        <w:t>mając</w:t>
      </w:r>
      <w:proofErr w:type="gramEnd"/>
      <w:r w:rsidRPr="004A73B6">
        <w:t xml:space="preserve"> na uwadze, że prokurator naczelny w </w:t>
      </w:r>
      <w:proofErr w:type="spellStart"/>
      <w:r w:rsidRPr="004A73B6">
        <w:t>Düsseldorfie</w:t>
      </w:r>
      <w:proofErr w:type="spellEnd"/>
      <w:r w:rsidRPr="004A73B6">
        <w:t xml:space="preserve"> wystąpił z wnioskiem o uchylenie immunitetu wybranego w Niemczech posła do Parlamentu Europejskiego Gunnara Becka z zamiarem wszczęcia postępowania przygotowawczego w związku z kradzieżą mienia o niskiej wartości w połączeniu z umyślnym uszkodzeniem ciała i oporem wobec funkcjonariuszy organów ścigania, czyli czynami z art. 242 ust. 1, art. 248a, art. 223 ust. 1, art. 230 ust. 1 zdanie 1, art. 113 ust. 1 i art. 53 niemieckiego kodeksu karnego;</w:t>
      </w:r>
    </w:p>
    <w:p w:rsidR="00CA3EF4" w:rsidRPr="004A73B6" w:rsidRDefault="00CA3EF4" w:rsidP="00CA3EF4">
      <w:pPr>
        <w:pStyle w:val="NormalHanging12a"/>
        <w:widowControl/>
      </w:pPr>
      <w:r w:rsidRPr="004A73B6">
        <w:t>B.</w:t>
      </w:r>
      <w:r w:rsidRPr="004A73B6">
        <w:tab/>
        <w:t xml:space="preserve">mając na uwadze, że 29 października 2022 r. w domu handlowym w </w:t>
      </w:r>
      <w:proofErr w:type="spellStart"/>
      <w:r w:rsidRPr="004A73B6">
        <w:t>Neuss</w:t>
      </w:r>
      <w:proofErr w:type="spellEnd"/>
      <w:r w:rsidRPr="004A73B6">
        <w:t xml:space="preserve"> (Niemcy) Gunnar Beck rzekomo wziął próbki produktów testowych wystawionych z myślą o klientach chcących przetestować produkt przed zakupem i uczynił to rzekomo z zamiarem przywłaszczenia ich sobie bez zapłaty za nie; mając na uwadze, że złożono zawiadomienie o popełnieniu przestępstwa polegającego na kradzieży w sklepie; mając na uwadze, że Gunnar Beck rzekomo próbował opuścić sklep, a ochrona obiektu zatrzymała go; mając na uwadze, że następnie funkcjonariusze organów ścigania interweniowali na miejscu, a Gunnar Beck rzekomo nie zastosował się do ich próśb o niestawianie oporu;</w:t>
      </w:r>
    </w:p>
    <w:p w:rsidR="00CA3EF4" w:rsidRPr="004A73B6" w:rsidRDefault="00CA3EF4" w:rsidP="00CA3EF4">
      <w:pPr>
        <w:pStyle w:val="NormalHanging12a"/>
      </w:pPr>
      <w:r w:rsidRPr="004A73B6">
        <w:t>C.</w:t>
      </w:r>
      <w:r w:rsidRPr="004A73B6">
        <w:tab/>
      </w:r>
      <w:proofErr w:type="gramStart"/>
      <w:r w:rsidRPr="004A73B6">
        <w:t>mając</w:t>
      </w:r>
      <w:proofErr w:type="gramEnd"/>
      <w:r w:rsidRPr="004A73B6">
        <w:t xml:space="preserve"> na uwadze, że zarzucane czyny nie dotyczą opinii wyrażonej lub głosu oddanego w ramach wykonywania obowiązków posła do Parlamentu Europejskiego w rozumieniu art. 8 Protokołu nr 7 w sprawie przywilejów i immunitetów Unii Europejskiej;</w:t>
      </w:r>
    </w:p>
    <w:p w:rsidR="00CA3EF4" w:rsidRPr="004A73B6" w:rsidRDefault="00CA3EF4" w:rsidP="00CA3EF4">
      <w:pPr>
        <w:pStyle w:val="NormalHanging12a"/>
      </w:pPr>
      <w:r w:rsidRPr="004A73B6">
        <w:t>D.</w:t>
      </w:r>
      <w:r w:rsidRPr="004A73B6">
        <w:tab/>
      </w:r>
      <w:proofErr w:type="gramStart"/>
      <w:r w:rsidRPr="004A73B6">
        <w:t>mając</w:t>
      </w:r>
      <w:proofErr w:type="gramEnd"/>
      <w:r w:rsidRPr="004A73B6">
        <w:t xml:space="preserve"> na uwadze, że zgodnie z art. 9 Protokołu nr 7 w sprawie przywilejów i immunitetów Unii Europejskiej posłowie do Parlamentu Europejskiego korzystają na terytorium swoich państw z immunitetów przyznawanych członkom parlamentu ich państwa;</w:t>
      </w:r>
    </w:p>
    <w:p w:rsidR="00CA3EF4" w:rsidRPr="004A73B6" w:rsidRDefault="00CA3EF4" w:rsidP="00CA3EF4">
      <w:pPr>
        <w:pStyle w:val="NormalHanging12a"/>
      </w:pPr>
      <w:r w:rsidRPr="004A73B6">
        <w:t>E.</w:t>
      </w:r>
      <w:r w:rsidRPr="004A73B6">
        <w:tab/>
      </w:r>
      <w:proofErr w:type="gramStart"/>
      <w:r w:rsidRPr="004A73B6">
        <w:t>mając</w:t>
      </w:r>
      <w:proofErr w:type="gramEnd"/>
      <w:r w:rsidRPr="004A73B6">
        <w:t xml:space="preserve"> na uwadze, że art. 46 ust. 2, 3 i 4 ustawy zasadniczej Republiki Federalnej Niemiec stanowi, co następuje:</w:t>
      </w:r>
    </w:p>
    <w:p w:rsidR="00CA3EF4" w:rsidRPr="004A73B6" w:rsidRDefault="00CA3EF4" w:rsidP="00CA3EF4">
      <w:pPr>
        <w:pStyle w:val="NormalHanging12a"/>
        <w:ind w:left="720" w:firstLine="0"/>
      </w:pPr>
      <w:r w:rsidRPr="004A73B6">
        <w:t xml:space="preserve">„(2) Poseł nie może zostać pociągnięty do odpowiedzialności ani zatrzymany za czyn karalny bez zgody Bundestagu, chyba że zostanie ujęty w trakcie popełniania czynu lub w ciągu następnej doby. </w:t>
      </w:r>
    </w:p>
    <w:p w:rsidR="00CA3EF4" w:rsidRPr="004A73B6" w:rsidRDefault="00CA3EF4" w:rsidP="00CA3EF4">
      <w:pPr>
        <w:pStyle w:val="NormalHanging12a"/>
        <w:ind w:left="720" w:firstLine="0"/>
      </w:pPr>
      <w:r w:rsidRPr="004A73B6">
        <w:t>(3) Zgoda Bundestagu wymagana jest również w celu jakiegokolwiek ograniczenia wolności osobistej posła lub w celu wszczęcia postępowania przeciwko posłowi na mocy art. 18.</w:t>
      </w:r>
    </w:p>
    <w:p w:rsidR="00CA3EF4" w:rsidRPr="004A73B6" w:rsidRDefault="00CA3EF4" w:rsidP="00CA3EF4">
      <w:pPr>
        <w:pStyle w:val="NormalHanging12a"/>
        <w:ind w:left="720" w:firstLine="0"/>
      </w:pPr>
      <w:r w:rsidRPr="004A73B6">
        <w:t>(4) Na wniosek Bundestagu zostają zawieszone wszelkie postępowania karne przeciwko posłowi lub wszelkie postępowania na mocy art. 18 oraz wszelkie zatrzymania lub inne ograniczenia jego wolności osobistej.”;</w:t>
      </w:r>
    </w:p>
    <w:p w:rsidR="00CA3EF4" w:rsidRPr="004A73B6" w:rsidRDefault="00CA3EF4" w:rsidP="00CA3EF4">
      <w:pPr>
        <w:pStyle w:val="NormalHanging12a"/>
      </w:pPr>
      <w:r w:rsidRPr="004A73B6">
        <w:t>F.</w:t>
      </w:r>
      <w:r w:rsidRPr="004A73B6">
        <w:tab/>
      </w:r>
      <w:proofErr w:type="gramStart"/>
      <w:r w:rsidRPr="004A73B6">
        <w:t>mając</w:t>
      </w:r>
      <w:proofErr w:type="gramEnd"/>
      <w:r w:rsidRPr="004A73B6">
        <w:t xml:space="preserve"> na uwadze, że art. 192b dyrektywy dotyczącej postępowań karnych i grzywien (</w:t>
      </w:r>
      <w:proofErr w:type="spellStart"/>
      <w:r w:rsidRPr="004A73B6">
        <w:rPr>
          <w:i/>
        </w:rPr>
        <w:t>Richtlinien</w:t>
      </w:r>
      <w:proofErr w:type="spellEnd"/>
      <w:r w:rsidRPr="004A73B6">
        <w:rPr>
          <w:i/>
        </w:rPr>
        <w:t xml:space="preserve"> </w:t>
      </w:r>
      <w:proofErr w:type="spellStart"/>
      <w:r w:rsidRPr="004A73B6">
        <w:rPr>
          <w:i/>
        </w:rPr>
        <w:t>für</w:t>
      </w:r>
      <w:proofErr w:type="spellEnd"/>
      <w:r w:rsidRPr="004A73B6">
        <w:rPr>
          <w:i/>
        </w:rPr>
        <w:t xml:space="preserve"> </w:t>
      </w:r>
      <w:proofErr w:type="spellStart"/>
      <w:r w:rsidRPr="004A73B6">
        <w:rPr>
          <w:i/>
        </w:rPr>
        <w:t>das</w:t>
      </w:r>
      <w:proofErr w:type="spellEnd"/>
      <w:r w:rsidRPr="004A73B6">
        <w:rPr>
          <w:i/>
        </w:rPr>
        <w:t xml:space="preserve"> </w:t>
      </w:r>
      <w:proofErr w:type="spellStart"/>
      <w:r w:rsidRPr="004A73B6">
        <w:rPr>
          <w:i/>
        </w:rPr>
        <w:t>Strafverfahren</w:t>
      </w:r>
      <w:proofErr w:type="spellEnd"/>
      <w:r w:rsidRPr="004A73B6">
        <w:rPr>
          <w:i/>
        </w:rPr>
        <w:t xml:space="preserve"> </w:t>
      </w:r>
      <w:proofErr w:type="spellStart"/>
      <w:r w:rsidRPr="004A73B6">
        <w:rPr>
          <w:i/>
        </w:rPr>
        <w:t>und</w:t>
      </w:r>
      <w:proofErr w:type="spellEnd"/>
      <w:r w:rsidRPr="004A73B6">
        <w:rPr>
          <w:i/>
        </w:rPr>
        <w:t xml:space="preserve"> </w:t>
      </w:r>
      <w:proofErr w:type="spellStart"/>
      <w:r w:rsidRPr="004A73B6">
        <w:rPr>
          <w:i/>
        </w:rPr>
        <w:t>das</w:t>
      </w:r>
      <w:proofErr w:type="spellEnd"/>
      <w:r w:rsidRPr="004A73B6">
        <w:rPr>
          <w:i/>
        </w:rPr>
        <w:t xml:space="preserve"> </w:t>
      </w:r>
      <w:proofErr w:type="spellStart"/>
      <w:r w:rsidRPr="004A73B6">
        <w:rPr>
          <w:i/>
        </w:rPr>
        <w:t>Bußgeldverfahren</w:t>
      </w:r>
      <w:proofErr w:type="spellEnd"/>
      <w:r w:rsidRPr="004A73B6">
        <w:t>) reguluje uchylenie immunitetu posła do Parlamentu Europejskiego, a w szczególności jego ust. 1 stanowi, że:</w:t>
      </w:r>
    </w:p>
    <w:p w:rsidR="00CA3EF4" w:rsidRPr="004A73B6" w:rsidRDefault="00CA3EF4" w:rsidP="00CA3EF4">
      <w:pPr>
        <w:pStyle w:val="NormalHanging12a"/>
        <w:ind w:left="720" w:firstLine="0"/>
      </w:pPr>
      <w:r w:rsidRPr="00F06FAB">
        <w:rPr>
          <w:lang w:val="de-DE"/>
        </w:rPr>
        <w:t xml:space="preserve">„(1) </w:t>
      </w:r>
      <w:r w:rsidRPr="00F06FAB">
        <w:rPr>
          <w:i/>
          <w:lang w:val="de-DE"/>
        </w:rPr>
        <w:t>Einem Mitglied des Europäischen Parlaments aus der Bundesrepublik Deutschland steht die einem Abgeordneten des Deutschen Bundestages zuerkannte Immunität zu</w:t>
      </w:r>
      <w:r w:rsidRPr="00F06FAB">
        <w:rPr>
          <w:lang w:val="de-DE"/>
        </w:rPr>
        <w:t xml:space="preserve">. </w:t>
      </w:r>
      <w:r w:rsidRPr="004A73B6">
        <w:t xml:space="preserve">(...)” [Niemiecki poseł do Parlamentu Europejskiego korzysta z </w:t>
      </w:r>
      <w:r w:rsidRPr="004A73B6">
        <w:lastRenderedPageBreak/>
        <w:t>immunitetu przysługującego posłowi do niemieckiego Bundestagu].;</w:t>
      </w:r>
    </w:p>
    <w:p w:rsidR="00CA3EF4" w:rsidRPr="004A73B6" w:rsidRDefault="00CA3EF4" w:rsidP="00CA3EF4">
      <w:pPr>
        <w:pStyle w:val="NormalHanging12a"/>
        <w:rPr>
          <w:szCs w:val="24"/>
        </w:rPr>
      </w:pPr>
      <w:r w:rsidRPr="004A73B6">
        <w:t>G.</w:t>
      </w:r>
      <w:r w:rsidRPr="004A73B6">
        <w:tab/>
        <w:t>mając na uwadze, że z jednej strony Parlamentu nie można uznawać za sąd, a z drugiej, że posła nie można uznawać za „oskarżonego” w kontekście procedury uchylenia immunitetu</w:t>
      </w:r>
      <w:r w:rsidRPr="004A73B6">
        <w:rPr>
          <w:vertAlign w:val="superscript"/>
        </w:rPr>
        <w:footnoteReference w:id="2"/>
      </w:r>
      <w:r w:rsidRPr="004A73B6">
        <w:t>;</w:t>
      </w:r>
    </w:p>
    <w:p w:rsidR="00CA3EF4" w:rsidRPr="004A73B6" w:rsidRDefault="00CA3EF4" w:rsidP="00CA3EF4">
      <w:pPr>
        <w:pStyle w:val="NormalHanging12a"/>
      </w:pPr>
      <w:r w:rsidRPr="004A73B6">
        <w:t>H.</w:t>
      </w:r>
      <w:r w:rsidRPr="004A73B6">
        <w:tab/>
      </w:r>
      <w:proofErr w:type="gramStart"/>
      <w:r w:rsidRPr="004A73B6">
        <w:t>mając</w:t>
      </w:r>
      <w:proofErr w:type="gramEnd"/>
      <w:r w:rsidRPr="004A73B6">
        <w:t xml:space="preserve"> na uwadze, że immunitet parlamentarny ma chronić Parlament i posłów do niego przed postępowaniami sądowymi w związku z działaniami podejmowanymi w ramach wykonywania obowiązków parlamentarnych i niemożliwych do oddzielenia od tych obowiązków;</w:t>
      </w:r>
    </w:p>
    <w:p w:rsidR="00CA3EF4" w:rsidRPr="004A73B6" w:rsidRDefault="00CA3EF4" w:rsidP="00CA3EF4">
      <w:pPr>
        <w:pStyle w:val="EPComma"/>
        <w:widowControl/>
        <w:spacing w:before="360"/>
        <w:ind w:left="567" w:hanging="567"/>
      </w:pPr>
      <w:r w:rsidRPr="004A73B6">
        <w:t>I.</w:t>
      </w:r>
      <w:r w:rsidRPr="004A73B6">
        <w:tab/>
      </w:r>
      <w:proofErr w:type="gramStart"/>
      <w:r w:rsidRPr="004A73B6">
        <w:t>mając</w:t>
      </w:r>
      <w:proofErr w:type="gramEnd"/>
      <w:r w:rsidRPr="004A73B6">
        <w:t xml:space="preserve"> na uwadze, że w tym przypadku Parlament nie znalazł dowodów wskazujących na zaistnienie </w:t>
      </w:r>
      <w:proofErr w:type="spellStart"/>
      <w:r w:rsidRPr="004A73B6">
        <w:rPr>
          <w:i/>
        </w:rPr>
        <w:t>fumus</w:t>
      </w:r>
      <w:proofErr w:type="spellEnd"/>
      <w:r w:rsidRPr="004A73B6">
        <w:rPr>
          <w:i/>
        </w:rPr>
        <w:t xml:space="preserve"> </w:t>
      </w:r>
      <w:proofErr w:type="spellStart"/>
      <w:r w:rsidRPr="004A73B6">
        <w:rPr>
          <w:i/>
        </w:rPr>
        <w:t>persecutionis</w:t>
      </w:r>
      <w:proofErr w:type="spellEnd"/>
      <w:r w:rsidRPr="004A73B6">
        <w:t>, czyli okoliczności wskazujących na leżący u podstaw postępowania sądowego zamiar zaszkodzenia działalności politycznej posła, a tym samym Parlamentowi Europejskiemu;</w:t>
      </w:r>
    </w:p>
    <w:p w:rsidR="00CA3EF4" w:rsidRPr="004A73B6" w:rsidRDefault="00CA3EF4" w:rsidP="00CA3EF4">
      <w:pPr>
        <w:pStyle w:val="NormalHanging12a"/>
      </w:pPr>
      <w:r w:rsidRPr="004A73B6">
        <w:t>1.</w:t>
      </w:r>
      <w:r w:rsidRPr="004A73B6">
        <w:tab/>
      </w:r>
      <w:proofErr w:type="gramStart"/>
      <w:r w:rsidRPr="004A73B6">
        <w:t>podejmuje</w:t>
      </w:r>
      <w:proofErr w:type="gramEnd"/>
      <w:r w:rsidRPr="004A73B6">
        <w:t xml:space="preserve"> decyzję o uchyleniu immunitetu Gunnara Becka;</w:t>
      </w:r>
    </w:p>
    <w:p w:rsidR="00E730C4" w:rsidRPr="004A73B6" w:rsidRDefault="00CA3EF4" w:rsidP="00E730C4">
      <w:pPr>
        <w:pStyle w:val="NormalHanging12a"/>
      </w:pPr>
      <w:r w:rsidRPr="004A73B6">
        <w:t>2.</w:t>
      </w:r>
      <w:r w:rsidRPr="004A73B6">
        <w:tab/>
        <w:t xml:space="preserve">zobowiązuje swoją przewodniczącą do natychmiastowego przekazania niniejszej decyzji i sprawozdania swojej właściwej komisji właściwemu organowi </w:t>
      </w:r>
      <w:r w:rsidR="00F06FAB">
        <w:t>Republiki Federalnej Niemiec</w:t>
      </w:r>
      <w:r w:rsidRPr="004A73B6">
        <w:t xml:space="preserve"> i Gunnarowi Beckowi.</w:t>
      </w:r>
      <w:bookmarkStart w:id="8" w:name="_GoBack"/>
      <w:bookmarkEnd w:id="8"/>
    </w:p>
    <w:p w:rsidR="00E365E1" w:rsidRPr="004A73B6" w:rsidRDefault="00E365E1" w:rsidP="00D71AD9"/>
    <w:sectPr w:rsidR="00E365E1" w:rsidRPr="004A73B6" w:rsidSect="004A73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AD9" w:rsidRPr="004A73B6" w:rsidRDefault="00D71AD9">
      <w:r w:rsidRPr="004A73B6">
        <w:separator/>
      </w:r>
    </w:p>
  </w:endnote>
  <w:endnote w:type="continuationSeparator" w:id="0">
    <w:p w:rsidR="00D71AD9" w:rsidRPr="004A73B6" w:rsidRDefault="00D71AD9">
      <w:r w:rsidRPr="004A73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3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3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3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AD9" w:rsidRPr="004A73B6" w:rsidRDefault="00D71AD9">
      <w:r w:rsidRPr="004A73B6">
        <w:separator/>
      </w:r>
    </w:p>
  </w:footnote>
  <w:footnote w:type="continuationSeparator" w:id="0">
    <w:p w:rsidR="00D71AD9" w:rsidRPr="004A73B6" w:rsidRDefault="00D71AD9">
      <w:r w:rsidRPr="004A73B6">
        <w:continuationSeparator/>
      </w:r>
    </w:p>
  </w:footnote>
  <w:footnote w:id="1">
    <w:p w:rsidR="00CA3EF4" w:rsidRPr="004A73B6" w:rsidRDefault="00CA3EF4" w:rsidP="004A73B6">
      <w:pPr>
        <w:pStyle w:val="FootnoteText"/>
        <w:ind w:left="567" w:hanging="567"/>
        <w:rPr>
          <w:sz w:val="24"/>
          <w:lang w:val="pl-PL"/>
        </w:rPr>
      </w:pPr>
      <w:r w:rsidRPr="004A73B6">
        <w:rPr>
          <w:rStyle w:val="FootnoteReference"/>
          <w:sz w:val="24"/>
          <w:lang w:val="pl-PL"/>
        </w:rPr>
        <w:footnoteRef/>
      </w:r>
      <w:r w:rsidR="004A73B6" w:rsidRPr="004A73B6">
        <w:rPr>
          <w:sz w:val="24"/>
          <w:lang w:val="pl-PL"/>
        </w:rPr>
        <w:t xml:space="preserve"> </w:t>
      </w:r>
      <w:r w:rsidR="004A73B6" w:rsidRPr="004A73B6">
        <w:rPr>
          <w:sz w:val="24"/>
          <w:lang w:val="pl-PL"/>
        </w:rPr>
        <w:tab/>
      </w:r>
      <w:r w:rsidRPr="004A73B6">
        <w:rPr>
          <w:sz w:val="24"/>
          <w:lang w:val="pl-PL"/>
        </w:rPr>
        <w:t xml:space="preserve">Wyrok Trybunału Sprawiedliwości z dnia 21 października 2008 r., </w:t>
      </w:r>
      <w:proofErr w:type="spellStart"/>
      <w:r w:rsidRPr="004A73B6">
        <w:rPr>
          <w:i/>
          <w:sz w:val="24"/>
          <w:lang w:val="pl-PL"/>
        </w:rPr>
        <w:t>Marra</w:t>
      </w:r>
      <w:proofErr w:type="spellEnd"/>
      <w:r w:rsidRPr="004A73B6">
        <w:rPr>
          <w:i/>
          <w:sz w:val="24"/>
          <w:lang w:val="pl-PL"/>
        </w:rPr>
        <w:t xml:space="preserve">/De </w:t>
      </w:r>
      <w:proofErr w:type="spellStart"/>
      <w:r w:rsidRPr="004A73B6">
        <w:rPr>
          <w:i/>
          <w:sz w:val="24"/>
          <w:lang w:val="pl-PL"/>
        </w:rPr>
        <w:t>Gregorio</w:t>
      </w:r>
      <w:proofErr w:type="spellEnd"/>
      <w:r w:rsidRPr="004A73B6">
        <w:rPr>
          <w:i/>
          <w:sz w:val="24"/>
          <w:lang w:val="pl-PL"/>
        </w:rPr>
        <w:t xml:space="preserve"> i </w:t>
      </w:r>
      <w:proofErr w:type="spellStart"/>
      <w:r w:rsidRPr="004A73B6">
        <w:rPr>
          <w:i/>
          <w:sz w:val="24"/>
          <w:lang w:val="pl-PL"/>
        </w:rPr>
        <w:t>Clemente</w:t>
      </w:r>
      <w:proofErr w:type="spellEnd"/>
      <w:r w:rsidRPr="004A73B6">
        <w:rPr>
          <w:sz w:val="24"/>
          <w:lang w:val="pl-PL"/>
        </w:rPr>
        <w:t>, C-200/07 i C</w:t>
      </w:r>
      <w:r w:rsidRPr="004A73B6">
        <w:rPr>
          <w:sz w:val="24"/>
          <w:lang w:val="pl-PL"/>
        </w:rPr>
        <w:noBreakHyphen/>
        <w:t>201/07, ECLI</w:t>
      </w:r>
      <w:proofErr w:type="gramStart"/>
      <w:r w:rsidRPr="004A73B6">
        <w:rPr>
          <w:sz w:val="24"/>
          <w:lang w:val="pl-PL"/>
        </w:rPr>
        <w:t>:EU</w:t>
      </w:r>
      <w:proofErr w:type="gramEnd"/>
      <w:r w:rsidRPr="004A73B6">
        <w:rPr>
          <w:sz w:val="24"/>
          <w:lang w:val="pl-PL"/>
        </w:rPr>
        <w:t xml:space="preserve">:C:2008:579; wyrok Sądu z dnia 19 marca 2010 r., </w:t>
      </w:r>
      <w:proofErr w:type="spellStart"/>
      <w:r w:rsidRPr="004A73B6">
        <w:rPr>
          <w:i/>
          <w:sz w:val="24"/>
          <w:lang w:val="pl-PL"/>
        </w:rPr>
        <w:t>Gollnisch</w:t>
      </w:r>
      <w:proofErr w:type="spellEnd"/>
      <w:r w:rsidRPr="004A73B6">
        <w:rPr>
          <w:i/>
          <w:sz w:val="24"/>
          <w:lang w:val="pl-PL"/>
        </w:rPr>
        <w:t>/Parlament</w:t>
      </w:r>
      <w:r w:rsidRPr="004A73B6">
        <w:rPr>
          <w:sz w:val="24"/>
          <w:lang w:val="pl-PL"/>
        </w:rPr>
        <w:t>, T</w:t>
      </w:r>
      <w:r w:rsidRPr="004A73B6">
        <w:rPr>
          <w:sz w:val="24"/>
          <w:lang w:val="pl-PL"/>
        </w:rPr>
        <w:noBreakHyphen/>
        <w:t xml:space="preserve">42/06, ECLI:EU:T:2010:102; wyrok Trybunału Sprawiedliwości z dnia 6 września 2011 r., </w:t>
      </w:r>
      <w:proofErr w:type="spellStart"/>
      <w:r w:rsidRPr="004A73B6">
        <w:rPr>
          <w:i/>
          <w:sz w:val="24"/>
          <w:lang w:val="pl-PL"/>
        </w:rPr>
        <w:t>Patriciello</w:t>
      </w:r>
      <w:proofErr w:type="spellEnd"/>
      <w:r w:rsidRPr="004A73B6">
        <w:rPr>
          <w:sz w:val="24"/>
          <w:lang w:val="pl-PL"/>
        </w:rPr>
        <w:t xml:space="preserve">, C-163/10, ECLI: EU:C:2011:543; wyrok Sądu z dnia 17 stycznia 2013 r., </w:t>
      </w:r>
      <w:proofErr w:type="spellStart"/>
      <w:r w:rsidRPr="004A73B6">
        <w:rPr>
          <w:i/>
          <w:sz w:val="24"/>
          <w:lang w:val="pl-PL"/>
        </w:rPr>
        <w:t>Gollnisch</w:t>
      </w:r>
      <w:proofErr w:type="spellEnd"/>
      <w:r w:rsidRPr="004A73B6">
        <w:rPr>
          <w:sz w:val="24"/>
          <w:lang w:val="pl-PL"/>
        </w:rPr>
        <w:t>/</w:t>
      </w:r>
      <w:r w:rsidRPr="004A73B6">
        <w:rPr>
          <w:i/>
          <w:sz w:val="24"/>
          <w:lang w:val="pl-PL"/>
        </w:rPr>
        <w:t>Parlament</w:t>
      </w:r>
      <w:r w:rsidRPr="004A73B6">
        <w:rPr>
          <w:sz w:val="24"/>
          <w:lang w:val="pl-PL"/>
        </w:rPr>
        <w:t xml:space="preserve">, T-346/11 i T-347/11, ECLI:EU:T:2013:23; wyrok Trybunału Sprawiedliwości z dnia 19 grudnia 2019 r., </w:t>
      </w:r>
      <w:proofErr w:type="spellStart"/>
      <w:r w:rsidRPr="004A73B6">
        <w:rPr>
          <w:i/>
          <w:sz w:val="24"/>
          <w:lang w:val="pl-PL"/>
        </w:rPr>
        <w:t>Junqueras</w:t>
      </w:r>
      <w:proofErr w:type="spellEnd"/>
      <w:r w:rsidRPr="004A73B6">
        <w:rPr>
          <w:i/>
          <w:sz w:val="24"/>
          <w:lang w:val="pl-PL"/>
        </w:rPr>
        <w:t xml:space="preserve"> </w:t>
      </w:r>
      <w:proofErr w:type="spellStart"/>
      <w:r w:rsidRPr="004A73B6">
        <w:rPr>
          <w:i/>
          <w:sz w:val="24"/>
          <w:lang w:val="pl-PL"/>
        </w:rPr>
        <w:t>Vies</w:t>
      </w:r>
      <w:proofErr w:type="spellEnd"/>
      <w:r w:rsidRPr="004A73B6">
        <w:rPr>
          <w:sz w:val="24"/>
          <w:lang w:val="pl-PL"/>
        </w:rPr>
        <w:t>, C</w:t>
      </w:r>
      <w:r w:rsidRPr="004A73B6">
        <w:rPr>
          <w:sz w:val="24"/>
          <w:lang w:val="pl-PL"/>
        </w:rPr>
        <w:noBreakHyphen/>
        <w:t>502/19, ECLI:EU:C:2019:1115.</w:t>
      </w:r>
    </w:p>
  </w:footnote>
  <w:footnote w:id="2">
    <w:p w:rsidR="00CA3EF4" w:rsidRPr="004A73B6" w:rsidRDefault="00CA3EF4" w:rsidP="004A73B6">
      <w:pPr>
        <w:pStyle w:val="FootnoteText"/>
        <w:ind w:left="567" w:hanging="567"/>
        <w:rPr>
          <w:sz w:val="24"/>
          <w:lang w:val="pl-PL"/>
        </w:rPr>
      </w:pPr>
      <w:r w:rsidRPr="004A73B6">
        <w:rPr>
          <w:rStyle w:val="FootnoteReference"/>
          <w:sz w:val="24"/>
          <w:lang w:val="pl-PL"/>
        </w:rPr>
        <w:footnoteRef/>
      </w:r>
      <w:r w:rsidR="004A73B6" w:rsidRPr="004A73B6">
        <w:rPr>
          <w:sz w:val="24"/>
          <w:lang w:val="pl-PL"/>
        </w:rPr>
        <w:t xml:space="preserve"> </w:t>
      </w:r>
      <w:r w:rsidR="004A73B6" w:rsidRPr="004A73B6">
        <w:rPr>
          <w:sz w:val="24"/>
          <w:lang w:val="pl-PL"/>
        </w:rPr>
        <w:tab/>
      </w:r>
      <w:r w:rsidRPr="004A73B6">
        <w:rPr>
          <w:sz w:val="24"/>
          <w:lang w:val="pl-PL"/>
        </w:rPr>
        <w:t xml:space="preserve">Wyrok Sądu z dnia 30 kwietnia 2019 r., </w:t>
      </w:r>
      <w:proofErr w:type="spellStart"/>
      <w:r w:rsidRPr="004A73B6">
        <w:rPr>
          <w:i/>
          <w:sz w:val="24"/>
          <w:lang w:val="pl-PL"/>
        </w:rPr>
        <w:t>Briois</w:t>
      </w:r>
      <w:proofErr w:type="spellEnd"/>
      <w:r w:rsidRPr="004A73B6">
        <w:rPr>
          <w:sz w:val="24"/>
          <w:lang w:val="pl-PL"/>
        </w:rPr>
        <w:t>/</w:t>
      </w:r>
      <w:r w:rsidRPr="004A73B6">
        <w:rPr>
          <w:i/>
          <w:sz w:val="24"/>
          <w:lang w:val="pl-PL"/>
        </w:rPr>
        <w:t>Parlament</w:t>
      </w:r>
      <w:r w:rsidRPr="004A73B6">
        <w:rPr>
          <w:sz w:val="24"/>
          <w:lang w:val="pl-PL"/>
        </w:rPr>
        <w:t>, T-214/18, ECLI</w:t>
      </w:r>
      <w:proofErr w:type="gramStart"/>
      <w:r w:rsidRPr="004A73B6">
        <w:rPr>
          <w:sz w:val="24"/>
          <w:lang w:val="pl-PL"/>
        </w:rPr>
        <w:t>:EU</w:t>
      </w:r>
      <w:proofErr w:type="gramEnd"/>
      <w:r w:rsidRPr="004A73B6">
        <w:rPr>
          <w:sz w:val="24"/>
          <w:lang w:val="pl-PL"/>
        </w:rPr>
        <w:t>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3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3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3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0/2024"/>
    <w:docVar w:name="dvlangue" w:val="PL"/>
    <w:docVar w:name="dvnumam" w:val="0"/>
    <w:docVar w:name="dvpe" w:val="758.183"/>
    <w:docVar w:name="dvrapporteur" w:val="Sprawozdawca: "/>
    <w:docVar w:name="dvtitre" w:val="Decyzja Parlamentu Europejskiego z dnia  2024 r. w sprawie wniosku o uchylenie immunitetu Gunnara Becka(2023/2192(IMM))"/>
  </w:docVars>
  <w:rsids>
    <w:rsidRoot w:val="00D71AD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73B6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07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3EF4"/>
    <w:rsid w:val="00CC2357"/>
    <w:rsid w:val="00CF071A"/>
    <w:rsid w:val="00D058B8"/>
    <w:rsid w:val="00D56C11"/>
    <w:rsid w:val="00D71AD9"/>
    <w:rsid w:val="00D834A0"/>
    <w:rsid w:val="00D872DF"/>
    <w:rsid w:val="00D91E21"/>
    <w:rsid w:val="00DA7FCD"/>
    <w:rsid w:val="00E365E1"/>
    <w:rsid w:val="00E730C4"/>
    <w:rsid w:val="00E820A4"/>
    <w:rsid w:val="00EB006A"/>
    <w:rsid w:val="00EB4772"/>
    <w:rsid w:val="00ED169E"/>
    <w:rsid w:val="00ED4235"/>
    <w:rsid w:val="00F04346"/>
    <w:rsid w:val="00F06FAB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283054"/>
  <w15:chartTrackingRefBased/>
  <w15:docId w15:val="{9CE89E62-04E9-46FF-B4B4-6A010C744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A3EF4"/>
    <w:pPr>
      <w:spacing w:after="240"/>
      <w:ind w:left="567" w:hanging="567"/>
    </w:pPr>
  </w:style>
  <w:style w:type="paragraph" w:customStyle="1" w:styleId="EPComma">
    <w:name w:val="EPComma"/>
    <w:basedOn w:val="Normal"/>
    <w:rsid w:val="00CA3EF4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A7AD3-C91D-4F61-9DF1-5CE2309F7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751</Words>
  <Characters>4732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2024-04-11T12:11:00Z</dcterms:created>
  <dcterms:modified xsi:type="dcterms:W3CDTF">2024-04-11T12:11:00Z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A9-0170/2024</vt:lpwstr>
  </property>
  <property fmtid="{D5CDD505-2E9C-101B-9397-08002B2CF9AE}" pid="4" name="&lt;Type&gt;">
    <vt:lpwstr>RR</vt:lpwstr>
  </property>
</Properties>
</file>