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039D5" w14:paraId="15CCF77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E52122E" w14:textId="77777777" w:rsidR="00751A4A" w:rsidRPr="00C039D5" w:rsidRDefault="00301D3D" w:rsidP="0010095E">
            <w:pPr>
              <w:pStyle w:val="EPName"/>
            </w:pPr>
            <w:bookmarkStart w:id="0" w:name="_GoBack"/>
            <w:bookmarkEnd w:id="0"/>
            <w:r w:rsidRPr="00C039D5">
              <w:t>Parlamento Europeu</w:t>
            </w:r>
          </w:p>
          <w:p w14:paraId="7D9022EF" w14:textId="77777777" w:rsidR="00751A4A" w:rsidRPr="00C039D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039D5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1D991BD2" w14:textId="77777777" w:rsidR="00751A4A" w:rsidRPr="00C039D5" w:rsidRDefault="00187494" w:rsidP="0010095E">
            <w:pPr>
              <w:pStyle w:val="EPLogo"/>
            </w:pPr>
            <w:r w:rsidRPr="00C039D5">
              <w:rPr>
                <w:noProof/>
                <w:lang w:val="en-GB"/>
              </w:rPr>
              <w:drawing>
                <wp:inline distT="0" distB="0" distL="0" distR="0" wp14:anchorId="1D6451F8" wp14:editId="2CA961A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3E8890" w14:textId="77777777" w:rsidR="00D058B8" w:rsidRPr="00C039D5" w:rsidRDefault="00D058B8" w:rsidP="004C5D52">
      <w:pPr>
        <w:pStyle w:val="LineTop"/>
      </w:pPr>
    </w:p>
    <w:p w14:paraId="4109F193" w14:textId="77777777" w:rsidR="00680577" w:rsidRPr="00C039D5" w:rsidRDefault="00301D3D" w:rsidP="00680577">
      <w:pPr>
        <w:pStyle w:val="EPBodyTA1"/>
      </w:pPr>
      <w:r w:rsidRPr="00C039D5">
        <w:t>TEXTOS APROVADOS</w:t>
      </w:r>
    </w:p>
    <w:p w14:paraId="35857895" w14:textId="77777777" w:rsidR="00D058B8" w:rsidRPr="00C039D5" w:rsidRDefault="00D058B8" w:rsidP="00D058B8">
      <w:pPr>
        <w:pStyle w:val="LineBottom"/>
      </w:pPr>
    </w:p>
    <w:p w14:paraId="5C6FC059" w14:textId="1A0F482C" w:rsidR="00301D3D" w:rsidRPr="00C039D5" w:rsidRDefault="00301D3D" w:rsidP="00301D3D">
      <w:pPr>
        <w:pStyle w:val="ATHeading1"/>
      </w:pPr>
      <w:bookmarkStart w:id="1" w:name="TANumber"/>
      <w:r w:rsidRPr="00C039D5">
        <w:t>P9_</w:t>
      </w:r>
      <w:proofErr w:type="gramStart"/>
      <w:r w:rsidRPr="00C039D5">
        <w:t>TA(</w:t>
      </w:r>
      <w:proofErr w:type="gramEnd"/>
      <w:r w:rsidRPr="00C039D5">
        <w:t>2024)0</w:t>
      </w:r>
      <w:bookmarkEnd w:id="1"/>
      <w:r w:rsidR="00200587" w:rsidRPr="00C039D5">
        <w:t>224</w:t>
      </w:r>
    </w:p>
    <w:p w14:paraId="4632F677" w14:textId="77777777" w:rsidR="00301D3D" w:rsidRPr="00C039D5" w:rsidRDefault="00301D3D" w:rsidP="00301D3D">
      <w:pPr>
        <w:pStyle w:val="ATHeading2"/>
      </w:pPr>
      <w:bookmarkStart w:id="2" w:name="title"/>
      <w:r w:rsidRPr="00C039D5">
        <w:t xml:space="preserve">Pedido de levantamento da imunidade de </w:t>
      </w:r>
      <w:proofErr w:type="spellStart"/>
      <w:r w:rsidRPr="00C039D5">
        <w:t>Gunnar</w:t>
      </w:r>
      <w:proofErr w:type="spellEnd"/>
      <w:r w:rsidRPr="00C039D5">
        <w:t xml:space="preserve"> </w:t>
      </w:r>
      <w:proofErr w:type="spellStart"/>
      <w:r w:rsidRPr="00C039D5">
        <w:t>Beck</w:t>
      </w:r>
      <w:bookmarkEnd w:id="2"/>
      <w:proofErr w:type="spellEnd"/>
    </w:p>
    <w:p w14:paraId="2C260ECB" w14:textId="77777777" w:rsidR="00301D3D" w:rsidRPr="00C039D5" w:rsidRDefault="00301D3D" w:rsidP="00301D3D">
      <w:pPr>
        <w:rPr>
          <w:i/>
          <w:vanish/>
        </w:rPr>
      </w:pPr>
      <w:r w:rsidRPr="00C039D5">
        <w:rPr>
          <w:i/>
        </w:rPr>
        <w:fldChar w:fldCharType="begin"/>
      </w:r>
      <w:r w:rsidRPr="00C039D5">
        <w:rPr>
          <w:i/>
        </w:rPr>
        <w:instrText xml:space="preserve"> TC"(</w:instrText>
      </w:r>
      <w:bookmarkStart w:id="3" w:name="DocNumber"/>
      <w:r w:rsidRPr="00C039D5">
        <w:rPr>
          <w:i/>
        </w:rPr>
        <w:instrText>A9-0170/2024</w:instrText>
      </w:r>
      <w:bookmarkEnd w:id="3"/>
      <w:r w:rsidRPr="00C039D5">
        <w:rPr>
          <w:i/>
        </w:rPr>
        <w:instrText xml:space="preserve"> - Relator: Ibán García Del Blanco)"\l3 \n&gt; \* MERGEFORMAT </w:instrText>
      </w:r>
      <w:r w:rsidRPr="00C039D5">
        <w:rPr>
          <w:i/>
        </w:rPr>
        <w:fldChar w:fldCharType="end"/>
      </w:r>
    </w:p>
    <w:p w14:paraId="4B125A3C" w14:textId="77777777" w:rsidR="00301D3D" w:rsidRPr="00C039D5" w:rsidRDefault="00301D3D" w:rsidP="00301D3D">
      <w:pPr>
        <w:rPr>
          <w:vanish/>
        </w:rPr>
      </w:pPr>
      <w:bookmarkStart w:id="4" w:name="Commission"/>
      <w:r w:rsidRPr="00C039D5">
        <w:rPr>
          <w:vanish/>
        </w:rPr>
        <w:t>Comissão dos Assuntos Jurídicos</w:t>
      </w:r>
      <w:bookmarkEnd w:id="4"/>
    </w:p>
    <w:p w14:paraId="1A1C9D7F" w14:textId="77777777" w:rsidR="00301D3D" w:rsidRPr="00C039D5" w:rsidRDefault="00301D3D" w:rsidP="00301D3D">
      <w:pPr>
        <w:rPr>
          <w:vanish/>
        </w:rPr>
      </w:pPr>
      <w:bookmarkStart w:id="5" w:name="PE"/>
      <w:r w:rsidRPr="00C039D5">
        <w:rPr>
          <w:vanish/>
        </w:rPr>
        <w:t>PE758.183</w:t>
      </w:r>
      <w:bookmarkEnd w:id="5"/>
    </w:p>
    <w:p w14:paraId="56D2C19D" w14:textId="477E0FE0" w:rsidR="00301D3D" w:rsidRPr="00C039D5" w:rsidRDefault="00301D3D" w:rsidP="00301D3D">
      <w:pPr>
        <w:pStyle w:val="ATHeading3"/>
      </w:pPr>
      <w:bookmarkStart w:id="6" w:name="Sujet"/>
      <w:r w:rsidRPr="00C039D5">
        <w:t xml:space="preserve">Decisão do Parlamento Europeu, de </w:t>
      </w:r>
      <w:r w:rsidR="009F72BA" w:rsidRPr="00C039D5">
        <w:t>1</w:t>
      </w:r>
      <w:r w:rsidR="009350D5" w:rsidRPr="00C039D5">
        <w:t>1</w:t>
      </w:r>
      <w:r w:rsidRPr="00C039D5">
        <w:t xml:space="preserve"> de </w:t>
      </w:r>
      <w:r w:rsidR="009F72BA" w:rsidRPr="00C039D5">
        <w:t>abril</w:t>
      </w:r>
      <w:r w:rsidRPr="00C039D5">
        <w:t xml:space="preserve"> de 2024, sobre o pedido de levantamento da imunidade de </w:t>
      </w:r>
      <w:proofErr w:type="spellStart"/>
      <w:r w:rsidRPr="00C039D5">
        <w:t>Gunnar</w:t>
      </w:r>
      <w:proofErr w:type="spellEnd"/>
      <w:r w:rsidRPr="00C039D5">
        <w:t xml:space="preserve"> </w:t>
      </w:r>
      <w:proofErr w:type="spellStart"/>
      <w:r w:rsidRPr="00C039D5">
        <w:t>Beck</w:t>
      </w:r>
      <w:bookmarkEnd w:id="6"/>
      <w:proofErr w:type="spellEnd"/>
      <w:r w:rsidRPr="00C039D5">
        <w:t xml:space="preserve"> </w:t>
      </w:r>
      <w:bookmarkStart w:id="7" w:name="References"/>
      <w:r w:rsidRPr="00C039D5">
        <w:t>(2023/2192(IMM))</w:t>
      </w:r>
      <w:bookmarkEnd w:id="7"/>
    </w:p>
    <w:p w14:paraId="6E5A91E1" w14:textId="77777777" w:rsidR="00332D3E" w:rsidRPr="00C039D5" w:rsidRDefault="00332D3E" w:rsidP="00332D3E">
      <w:pPr>
        <w:pStyle w:val="EPComma"/>
      </w:pPr>
      <w:bookmarkStart w:id="8" w:name="TextBodyBegin"/>
      <w:bookmarkEnd w:id="8"/>
      <w:r w:rsidRPr="00C039D5">
        <w:rPr>
          <w:i/>
          <w:iCs/>
        </w:rPr>
        <w:t>O Parlamento Europeu,</w:t>
      </w:r>
    </w:p>
    <w:p w14:paraId="239B4985" w14:textId="77777777" w:rsidR="00332D3E" w:rsidRPr="00C039D5" w:rsidRDefault="00332D3E" w:rsidP="00332D3E">
      <w:pPr>
        <w:pStyle w:val="NormalHanging12a"/>
      </w:pPr>
      <w:r w:rsidRPr="00C039D5">
        <w:t>–</w:t>
      </w:r>
      <w:r w:rsidRPr="00C039D5">
        <w:tab/>
        <w:t>Tendo em conta o pedido da Procuradora</w:t>
      </w:r>
      <w:r w:rsidRPr="00C039D5">
        <w:noBreakHyphen/>
        <w:t xml:space="preserve">Geral de Düsseldorf, de levantamento da imunidade de </w:t>
      </w:r>
      <w:proofErr w:type="spellStart"/>
      <w:r w:rsidRPr="00C039D5">
        <w:t>Gunnar</w:t>
      </w:r>
      <w:proofErr w:type="spellEnd"/>
      <w:r w:rsidRPr="00C039D5">
        <w:t xml:space="preserve"> </w:t>
      </w:r>
      <w:proofErr w:type="spellStart"/>
      <w:r w:rsidRPr="00C039D5">
        <w:t>Beck</w:t>
      </w:r>
      <w:proofErr w:type="spellEnd"/>
      <w:r w:rsidRPr="00C039D5">
        <w:t>, transmitido por carta com data de 25 de julho de 2023 pelo Ministério Federal da Justiça e da Proteção dos Consumidores alemão, no âmbito de um inquérito preliminar por suspeitas de infrações penais, e comunicado na sessão plenária de 11 de setembro de 2023,</w:t>
      </w:r>
    </w:p>
    <w:p w14:paraId="176032A2" w14:textId="77777777" w:rsidR="00332D3E" w:rsidRPr="00C039D5" w:rsidRDefault="00332D3E" w:rsidP="00332D3E">
      <w:pPr>
        <w:pStyle w:val="NormalHanging12a"/>
      </w:pPr>
      <w:r w:rsidRPr="00C039D5">
        <w:t>–</w:t>
      </w:r>
      <w:r w:rsidRPr="00C039D5">
        <w:tab/>
        <w:t xml:space="preserve">Tendo ouvido </w:t>
      </w:r>
      <w:proofErr w:type="spellStart"/>
      <w:r w:rsidRPr="00C039D5">
        <w:t>Gunnar</w:t>
      </w:r>
      <w:proofErr w:type="spellEnd"/>
      <w:r w:rsidRPr="00C039D5">
        <w:t xml:space="preserve"> </w:t>
      </w:r>
      <w:proofErr w:type="spellStart"/>
      <w:r w:rsidRPr="00C039D5">
        <w:t>Beck</w:t>
      </w:r>
      <w:proofErr w:type="spellEnd"/>
      <w:r w:rsidRPr="00C039D5">
        <w:t xml:space="preserve">, nos termos do artigo 9.º, n.º 6, do seu Regimento, </w:t>
      </w:r>
    </w:p>
    <w:p w14:paraId="608336FC" w14:textId="77777777" w:rsidR="00332D3E" w:rsidRPr="00C039D5" w:rsidRDefault="00332D3E" w:rsidP="00332D3E">
      <w:pPr>
        <w:pStyle w:val="NormalHanging12a"/>
      </w:pPr>
      <w:r w:rsidRPr="00C039D5">
        <w:t>–</w:t>
      </w:r>
      <w:r w:rsidRPr="00C039D5">
        <w:tab/>
        <w:t>Tendo em conta os artigos 8.º e 9.º do Protocolo n.º 7 relativo aos Privilégios e Imunidades da União Europeia, bem como o artigo 6.º, n.º 2, do Ato relativo à Eleição dos Deputados ao Parlamento Europeu por Sufrágio Universal Direto, de 20 de setembro de 1976,</w:t>
      </w:r>
    </w:p>
    <w:p w14:paraId="24E13BFD" w14:textId="77777777" w:rsidR="00332D3E" w:rsidRPr="00C039D5" w:rsidRDefault="00332D3E" w:rsidP="00332D3E">
      <w:pPr>
        <w:pStyle w:val="NormalHanging12a"/>
      </w:pPr>
      <w:r w:rsidRPr="00C039D5">
        <w:t>–</w:t>
      </w:r>
      <w:r w:rsidRPr="00C039D5">
        <w:tab/>
        <w:t>Tendo em conta os acórdãos proferidos pelo Tribunal de Justiça da União Europeia em 21 de outubro de 2008, 19 de março de 2010, 6 de setembro de 2011, 17 de janeiro de 2013 e 19 de dezembro de 2019</w:t>
      </w:r>
      <w:r w:rsidRPr="00C039D5">
        <w:rPr>
          <w:rStyle w:val="FootnoteReference"/>
        </w:rPr>
        <w:footnoteReference w:id="1"/>
      </w:r>
      <w:r w:rsidRPr="00C039D5">
        <w:t>,</w:t>
      </w:r>
    </w:p>
    <w:p w14:paraId="6FC71599" w14:textId="77777777" w:rsidR="00332D3E" w:rsidRPr="00C039D5" w:rsidRDefault="00332D3E" w:rsidP="00332D3E">
      <w:pPr>
        <w:pStyle w:val="NormalHanging12a"/>
      </w:pPr>
      <w:r w:rsidRPr="00C039D5">
        <w:t>–</w:t>
      </w:r>
      <w:r w:rsidRPr="00C039D5">
        <w:tab/>
        <w:t xml:space="preserve">Tendo em conta o artigo 46.º, </w:t>
      </w:r>
      <w:proofErr w:type="spellStart"/>
      <w:proofErr w:type="gramStart"/>
      <w:r w:rsidRPr="00C039D5">
        <w:t>n.</w:t>
      </w:r>
      <w:r w:rsidRPr="00C039D5">
        <w:rPr>
          <w:vertAlign w:val="superscript"/>
        </w:rPr>
        <w:t>os</w:t>
      </w:r>
      <w:proofErr w:type="spellEnd"/>
      <w:proofErr w:type="gramEnd"/>
      <w:r w:rsidRPr="00C039D5">
        <w:t xml:space="preserve"> 2, 3 e 4, da Lei Fundamental da República Federal da Alemanha e o artigo 192.º das </w:t>
      </w:r>
      <w:proofErr w:type="spellStart"/>
      <w:r w:rsidRPr="00C039D5">
        <w:rPr>
          <w:i/>
          <w:iCs/>
        </w:rPr>
        <w:t>Richtlinien</w:t>
      </w:r>
      <w:proofErr w:type="spellEnd"/>
      <w:r w:rsidRPr="00C039D5">
        <w:rPr>
          <w:i/>
          <w:iCs/>
        </w:rPr>
        <w:t xml:space="preserve"> </w:t>
      </w:r>
      <w:proofErr w:type="spellStart"/>
      <w:r w:rsidRPr="00C039D5">
        <w:rPr>
          <w:i/>
          <w:iCs/>
        </w:rPr>
        <w:t>für</w:t>
      </w:r>
      <w:proofErr w:type="spellEnd"/>
      <w:r w:rsidRPr="00C039D5">
        <w:rPr>
          <w:i/>
          <w:iCs/>
        </w:rPr>
        <w:t xml:space="preserve"> das </w:t>
      </w:r>
      <w:proofErr w:type="spellStart"/>
      <w:r w:rsidRPr="00C039D5">
        <w:rPr>
          <w:i/>
          <w:iCs/>
        </w:rPr>
        <w:t>Strafverfahren</w:t>
      </w:r>
      <w:proofErr w:type="spellEnd"/>
      <w:r w:rsidRPr="00C039D5">
        <w:rPr>
          <w:i/>
          <w:iCs/>
        </w:rPr>
        <w:t xml:space="preserve"> </w:t>
      </w:r>
      <w:proofErr w:type="spellStart"/>
      <w:r w:rsidRPr="00C039D5">
        <w:rPr>
          <w:i/>
          <w:iCs/>
        </w:rPr>
        <w:t>und</w:t>
      </w:r>
      <w:proofErr w:type="spellEnd"/>
      <w:r w:rsidRPr="00C039D5">
        <w:rPr>
          <w:i/>
          <w:iCs/>
        </w:rPr>
        <w:t xml:space="preserve"> das </w:t>
      </w:r>
      <w:proofErr w:type="spellStart"/>
      <w:r w:rsidRPr="00C039D5">
        <w:rPr>
          <w:i/>
          <w:iCs/>
        </w:rPr>
        <w:t>Bußgeldverfahren</w:t>
      </w:r>
      <w:proofErr w:type="spellEnd"/>
      <w:r w:rsidRPr="00C039D5">
        <w:t xml:space="preserve"> [Orientações para os processos penais e de contraordenação],</w:t>
      </w:r>
    </w:p>
    <w:p w14:paraId="439493BB" w14:textId="77777777" w:rsidR="00332D3E" w:rsidRPr="00C039D5" w:rsidRDefault="00332D3E" w:rsidP="00332D3E">
      <w:pPr>
        <w:pStyle w:val="NormalHanging12a"/>
      </w:pPr>
      <w:r w:rsidRPr="00C039D5">
        <w:lastRenderedPageBreak/>
        <w:t>–</w:t>
      </w:r>
      <w:r w:rsidRPr="00C039D5">
        <w:tab/>
        <w:t>Tendo em conta o artigo 5.º, n.º 2, o artigo 6.º, n.º 1, e o artigo 9.º do seu Regimento,</w:t>
      </w:r>
    </w:p>
    <w:p w14:paraId="35F43E3B" w14:textId="77777777" w:rsidR="00332D3E" w:rsidRPr="00C039D5" w:rsidRDefault="00332D3E" w:rsidP="00332D3E">
      <w:pPr>
        <w:pStyle w:val="NormalHanging12a"/>
      </w:pPr>
      <w:r w:rsidRPr="00C039D5">
        <w:t>–</w:t>
      </w:r>
      <w:r w:rsidRPr="00C039D5">
        <w:tab/>
        <w:t>Tendo em conta o relatório da Comissão dos Assuntos Jurídicos (A9</w:t>
      </w:r>
      <w:r w:rsidRPr="00C039D5">
        <w:noBreakHyphen/>
        <w:t>0170/2024),</w:t>
      </w:r>
    </w:p>
    <w:p w14:paraId="76043A57" w14:textId="7CC02B38" w:rsidR="00332D3E" w:rsidRPr="00C039D5" w:rsidRDefault="00332D3E" w:rsidP="00332D3E">
      <w:pPr>
        <w:pStyle w:val="NormalHanging12a"/>
      </w:pPr>
      <w:r w:rsidRPr="00C039D5">
        <w:t>A.</w:t>
      </w:r>
      <w:r w:rsidRPr="00C039D5">
        <w:tab/>
        <w:t>Considerando que a Procuradora</w:t>
      </w:r>
      <w:r w:rsidRPr="00C039D5">
        <w:noBreakHyphen/>
        <w:t xml:space="preserve">Geral de Düsseldorf apresentou um pedido de levantamento da imunidade de </w:t>
      </w:r>
      <w:proofErr w:type="spellStart"/>
      <w:r w:rsidRPr="00C039D5">
        <w:t>Gunnar</w:t>
      </w:r>
      <w:proofErr w:type="spellEnd"/>
      <w:r w:rsidRPr="00C039D5">
        <w:t xml:space="preserve"> </w:t>
      </w:r>
      <w:proofErr w:type="spellStart"/>
      <w:r w:rsidRPr="00C039D5">
        <w:t>Beck</w:t>
      </w:r>
      <w:proofErr w:type="spellEnd"/>
      <w:r w:rsidRPr="00C039D5">
        <w:t xml:space="preserve">, Deputado ao Parlamento Europeu eleito </w:t>
      </w:r>
      <w:r w:rsidR="009C1665" w:rsidRPr="00C039D5">
        <w:t>n</w:t>
      </w:r>
      <w:r w:rsidRPr="00C039D5">
        <w:t>a Alemanha, a fim de instaurar um inquérito por furto de bens de baixo valor, em combinação com ofensa dolosa à integridade física e resistência à autoridade, previstos e puníveis nos termos das secções § 242, n.º 1, § 248a, § 223, n.º 1, § 230, n.º 1, § 113, n.º 1, e § 53 do Código Penal alemão;</w:t>
      </w:r>
    </w:p>
    <w:p w14:paraId="1B3F24CD" w14:textId="77777777" w:rsidR="00332D3E" w:rsidRPr="00C039D5" w:rsidRDefault="00332D3E" w:rsidP="00332D3E">
      <w:pPr>
        <w:pStyle w:val="NormalHanging12a"/>
      </w:pPr>
      <w:r w:rsidRPr="00C039D5">
        <w:t>B.</w:t>
      </w:r>
      <w:r w:rsidRPr="00C039D5">
        <w:tab/>
        <w:t xml:space="preserve">Considerando que, em 29 de outubro de 2022, num centro comercial em Neuss (Alemanha), </w:t>
      </w:r>
      <w:proofErr w:type="spellStart"/>
      <w:r w:rsidRPr="00C039D5">
        <w:t>Gunnar</w:t>
      </w:r>
      <w:proofErr w:type="spellEnd"/>
      <w:r w:rsidRPr="00C039D5">
        <w:t xml:space="preserve"> </w:t>
      </w:r>
      <w:proofErr w:type="spellStart"/>
      <w:r w:rsidRPr="00C039D5">
        <w:t>Beck</w:t>
      </w:r>
      <w:proofErr w:type="spellEnd"/>
      <w:r w:rsidRPr="00C039D5">
        <w:t xml:space="preserve"> recolheu algumas amostras de produtos de teste em exposição para poderem ser experimentados pelos clientes, no intuito de, alegadamente, os levar sem pagar; </w:t>
      </w:r>
      <w:r w:rsidR="009F72BA" w:rsidRPr="00C039D5">
        <w:t xml:space="preserve">considerando </w:t>
      </w:r>
      <w:r w:rsidRPr="00C039D5">
        <w:t>que foi apresentada queixa</w:t>
      </w:r>
      <w:r w:rsidRPr="00C039D5">
        <w:noBreakHyphen/>
        <w:t xml:space="preserve">crime por furto; </w:t>
      </w:r>
      <w:r w:rsidR="009F72BA" w:rsidRPr="00C039D5">
        <w:t xml:space="preserve">considerando </w:t>
      </w:r>
      <w:r w:rsidRPr="00C039D5">
        <w:t xml:space="preserve">que </w:t>
      </w:r>
      <w:proofErr w:type="spellStart"/>
      <w:r w:rsidRPr="00C039D5">
        <w:t>Gunnar</w:t>
      </w:r>
      <w:proofErr w:type="spellEnd"/>
      <w:r w:rsidRPr="00C039D5">
        <w:t xml:space="preserve"> </w:t>
      </w:r>
      <w:proofErr w:type="spellStart"/>
      <w:r w:rsidRPr="00C039D5">
        <w:t>Beck</w:t>
      </w:r>
      <w:proofErr w:type="spellEnd"/>
      <w:r w:rsidRPr="00C039D5">
        <w:t xml:space="preserve"> tentou, alegadamente, abandonar as instalações e que os seguranças da loja o impediram; </w:t>
      </w:r>
      <w:r w:rsidR="009F72BA" w:rsidRPr="00C039D5">
        <w:t xml:space="preserve">considerando </w:t>
      </w:r>
      <w:r w:rsidRPr="00C039D5">
        <w:t xml:space="preserve">que, posteriormente, intervieram no local agentes policiais e que, alegadamente, </w:t>
      </w:r>
      <w:proofErr w:type="spellStart"/>
      <w:r w:rsidRPr="00C039D5">
        <w:t>Gunnar</w:t>
      </w:r>
      <w:proofErr w:type="spellEnd"/>
      <w:r w:rsidRPr="00C039D5">
        <w:t xml:space="preserve"> </w:t>
      </w:r>
      <w:proofErr w:type="spellStart"/>
      <w:r w:rsidRPr="00C039D5">
        <w:t>Beck</w:t>
      </w:r>
      <w:proofErr w:type="spellEnd"/>
      <w:r w:rsidRPr="00C039D5">
        <w:t xml:space="preserve"> não obedeceu aos seus pedidos de não resistir;</w:t>
      </w:r>
    </w:p>
    <w:p w14:paraId="6073966D" w14:textId="77777777" w:rsidR="00332D3E" w:rsidRPr="00C039D5" w:rsidRDefault="00332D3E" w:rsidP="00332D3E">
      <w:pPr>
        <w:pStyle w:val="NormalHanging12a"/>
      </w:pPr>
      <w:proofErr w:type="gramStart"/>
      <w:r w:rsidRPr="00C039D5">
        <w:t>C.</w:t>
      </w:r>
      <w:r w:rsidRPr="00C039D5">
        <w:tab/>
        <w:t>Considerando</w:t>
      </w:r>
      <w:proofErr w:type="gramEnd"/>
      <w:r w:rsidRPr="00C039D5">
        <w:t xml:space="preserve"> que os crimes alegadamente cometidos não dizem respeito a opiniões ou votos expressos no exercício do mandato de deputado ao Parlamento Europeu para efeitos do artigo 8.º do Protocolo n.º 7 relativo aos Privilégios e Imunidades da União Europeia;</w:t>
      </w:r>
    </w:p>
    <w:p w14:paraId="4D5EB827" w14:textId="77777777" w:rsidR="00332D3E" w:rsidRPr="00C039D5" w:rsidRDefault="00332D3E" w:rsidP="00332D3E">
      <w:pPr>
        <w:pStyle w:val="NormalHanging12a"/>
      </w:pPr>
      <w:r w:rsidRPr="00C039D5">
        <w:t>D.</w:t>
      </w:r>
      <w:r w:rsidRPr="00C039D5">
        <w:tab/>
        <w:t>Considerando que o artigo 9.º do Protocolo n.º 7 relativo aos Privilégios e Imunidades da União Europeia prevê que os deputados ao Parlamento Europeu gozam, no seu território nacional, das imunidades reconhecidas aos membros do Parlamento do seu país;</w:t>
      </w:r>
    </w:p>
    <w:p w14:paraId="45CB80DE" w14:textId="77777777" w:rsidR="00332D3E" w:rsidRPr="00C039D5" w:rsidRDefault="00332D3E" w:rsidP="00332D3E">
      <w:pPr>
        <w:pStyle w:val="NormalHanging12a"/>
      </w:pPr>
      <w:r w:rsidRPr="00C039D5">
        <w:t>E.</w:t>
      </w:r>
      <w:r w:rsidRPr="00C039D5">
        <w:tab/>
        <w:t xml:space="preserve">Considerando que o artigo 46.º, </w:t>
      </w:r>
      <w:proofErr w:type="spellStart"/>
      <w:proofErr w:type="gramStart"/>
      <w:r w:rsidRPr="00C039D5">
        <w:t>n.</w:t>
      </w:r>
      <w:r w:rsidRPr="00C039D5">
        <w:rPr>
          <w:vertAlign w:val="superscript"/>
        </w:rPr>
        <w:t>os</w:t>
      </w:r>
      <w:proofErr w:type="spellEnd"/>
      <w:proofErr w:type="gramEnd"/>
      <w:r w:rsidRPr="00C039D5">
        <w:t> 2, 3 e 4, da Lei Fundamental da República Federal da Alemanha prevê o seguinte:</w:t>
      </w:r>
    </w:p>
    <w:p w14:paraId="2B1B902E" w14:textId="77777777" w:rsidR="00332D3E" w:rsidRPr="00C039D5" w:rsidRDefault="00332D3E" w:rsidP="00332D3E">
      <w:pPr>
        <w:pStyle w:val="NormalHanging12a"/>
        <w:ind w:left="720" w:firstLine="0"/>
      </w:pPr>
      <w:r w:rsidRPr="00C039D5">
        <w:t>«(2</w:t>
      </w:r>
      <w:proofErr w:type="gramStart"/>
      <w:r w:rsidRPr="00C039D5">
        <w:t>) Tratando</w:t>
      </w:r>
      <w:proofErr w:type="gramEnd"/>
      <w:r w:rsidRPr="00C039D5">
        <w:noBreakHyphen/>
        <w:t xml:space="preserve">se de atos sujeitos a sanção penal, um deputado só pode ser responsabilizado ou detido com a autorização do Parlamento Federal, a não ser que seja detido em flagrante delito ou no decurso do dia seguinte. </w:t>
      </w:r>
    </w:p>
    <w:p w14:paraId="5B76EBC8" w14:textId="77777777" w:rsidR="00332D3E" w:rsidRPr="00C039D5" w:rsidRDefault="00332D3E" w:rsidP="00332D3E">
      <w:pPr>
        <w:pStyle w:val="NormalHanging12a"/>
        <w:ind w:left="720" w:firstLine="0"/>
      </w:pPr>
      <w:proofErr w:type="gramStart"/>
      <w:r w:rsidRPr="00C039D5">
        <w:t>(3) É</w:t>
      </w:r>
      <w:proofErr w:type="gramEnd"/>
      <w:r w:rsidRPr="00C039D5">
        <w:t xml:space="preserve"> igualmente necessária a autorização do Parlamento Federal para qualquer outra restrição da liberdade pessoal de um deputado ou para abrir um processo contra algum deputado, nos termos do artigo 18.º.</w:t>
      </w:r>
    </w:p>
    <w:p w14:paraId="7C4044E6" w14:textId="77777777" w:rsidR="00332D3E" w:rsidRPr="00C039D5" w:rsidRDefault="00332D3E" w:rsidP="00332D3E">
      <w:pPr>
        <w:pStyle w:val="NormalHanging12a"/>
        <w:ind w:left="720" w:firstLine="0"/>
      </w:pPr>
      <w:r w:rsidRPr="00C039D5">
        <w:t>(4) A pedido do Parlamento Federal, devem ser suspensos todo o processo penal e todo o processo iniciado contra um deputado nos termos do artigo 18.º, bem como toda a detenção ou qualquer outra restrição da sua liberdade pessoal.»;</w:t>
      </w:r>
    </w:p>
    <w:p w14:paraId="48A02550" w14:textId="77777777" w:rsidR="00332D3E" w:rsidRPr="00C039D5" w:rsidRDefault="00332D3E" w:rsidP="00332D3E">
      <w:pPr>
        <w:pStyle w:val="NormalHanging12a"/>
      </w:pPr>
      <w:proofErr w:type="gramStart"/>
      <w:r w:rsidRPr="00C039D5">
        <w:t>F.</w:t>
      </w:r>
      <w:r w:rsidRPr="00C039D5">
        <w:tab/>
        <w:t>Considerando</w:t>
      </w:r>
      <w:proofErr w:type="gramEnd"/>
      <w:r w:rsidRPr="00C039D5">
        <w:t xml:space="preserve"> que o artigo 192.º das </w:t>
      </w:r>
      <w:proofErr w:type="spellStart"/>
      <w:r w:rsidRPr="00C039D5">
        <w:rPr>
          <w:i/>
          <w:iCs/>
        </w:rPr>
        <w:t>Richtlinien</w:t>
      </w:r>
      <w:proofErr w:type="spellEnd"/>
      <w:r w:rsidRPr="00C039D5">
        <w:rPr>
          <w:i/>
          <w:iCs/>
        </w:rPr>
        <w:t xml:space="preserve"> </w:t>
      </w:r>
      <w:proofErr w:type="spellStart"/>
      <w:r w:rsidRPr="00C039D5">
        <w:rPr>
          <w:i/>
          <w:iCs/>
        </w:rPr>
        <w:t>für</w:t>
      </w:r>
      <w:proofErr w:type="spellEnd"/>
      <w:r w:rsidRPr="00C039D5">
        <w:rPr>
          <w:i/>
          <w:iCs/>
        </w:rPr>
        <w:t xml:space="preserve"> das </w:t>
      </w:r>
      <w:proofErr w:type="spellStart"/>
      <w:r w:rsidRPr="00C039D5">
        <w:rPr>
          <w:i/>
          <w:iCs/>
        </w:rPr>
        <w:t>Strafverfahren</w:t>
      </w:r>
      <w:proofErr w:type="spellEnd"/>
      <w:r w:rsidRPr="00C039D5">
        <w:rPr>
          <w:i/>
          <w:iCs/>
        </w:rPr>
        <w:t xml:space="preserve"> </w:t>
      </w:r>
      <w:proofErr w:type="spellStart"/>
      <w:r w:rsidRPr="00C039D5">
        <w:rPr>
          <w:i/>
          <w:iCs/>
        </w:rPr>
        <w:t>und</w:t>
      </w:r>
      <w:proofErr w:type="spellEnd"/>
      <w:r w:rsidRPr="00C039D5">
        <w:rPr>
          <w:i/>
          <w:iCs/>
        </w:rPr>
        <w:t xml:space="preserve"> das </w:t>
      </w:r>
      <w:proofErr w:type="spellStart"/>
      <w:r w:rsidRPr="00C039D5">
        <w:rPr>
          <w:i/>
          <w:iCs/>
        </w:rPr>
        <w:t>Bußgeldverfahren</w:t>
      </w:r>
      <w:proofErr w:type="spellEnd"/>
      <w:r w:rsidRPr="00C039D5">
        <w:t xml:space="preserve"> [Orientações para os processos penais e de contraordenação] regula o levantamento da imunidade de um deputado ao Parlamento Europeu e que, nomeadamente, o seu n.º 1 prevê que:</w:t>
      </w:r>
    </w:p>
    <w:p w14:paraId="42C44E58" w14:textId="77777777" w:rsidR="00332D3E" w:rsidRPr="00C039D5" w:rsidRDefault="00332D3E" w:rsidP="00332D3E">
      <w:pPr>
        <w:pStyle w:val="NormalHanging12a"/>
        <w:ind w:left="720" w:firstLine="0"/>
      </w:pPr>
      <w:proofErr w:type="gramStart"/>
      <w:r w:rsidRPr="00C039D5">
        <w:rPr>
          <w:lang w:val="de-DE"/>
        </w:rPr>
        <w:t>«(</w:t>
      </w:r>
      <w:proofErr w:type="gramEnd"/>
      <w:r w:rsidRPr="00C039D5">
        <w:rPr>
          <w:lang w:val="de-DE"/>
        </w:rPr>
        <w:t xml:space="preserve">1) </w:t>
      </w:r>
      <w:r w:rsidRPr="00C039D5">
        <w:rPr>
          <w:i/>
          <w:lang w:val="de-DE"/>
        </w:rPr>
        <w:t xml:space="preserve">Einem Mitglied des Europäischen Parlaments aus der Bundesrepublik Deutschland steht die einem Abgeordneten des Deutschen Bundestages zuerkannte </w:t>
      </w:r>
      <w:r w:rsidRPr="00C039D5">
        <w:rPr>
          <w:i/>
          <w:lang w:val="de-DE"/>
        </w:rPr>
        <w:lastRenderedPageBreak/>
        <w:t>Immunität zu</w:t>
      </w:r>
      <w:r w:rsidRPr="00C039D5">
        <w:rPr>
          <w:lang w:val="de-DE"/>
        </w:rPr>
        <w:t xml:space="preserve">. </w:t>
      </w:r>
      <w:r w:rsidRPr="00C039D5">
        <w:t xml:space="preserve">(...)» [Um Deputado ao Parlamento Europeu da República Federal da Alemanha tem direito à imunidade concedida a um deputado do </w:t>
      </w:r>
      <w:proofErr w:type="spellStart"/>
      <w:r w:rsidRPr="00C039D5">
        <w:t>Bundestag</w:t>
      </w:r>
      <w:proofErr w:type="spellEnd"/>
      <w:r w:rsidRPr="00C039D5">
        <w:t xml:space="preserve"> (Parlamento Federal) alemão];</w:t>
      </w:r>
    </w:p>
    <w:p w14:paraId="7FFE6F77" w14:textId="77777777" w:rsidR="00332D3E" w:rsidRPr="00C039D5" w:rsidRDefault="00332D3E" w:rsidP="00332D3E">
      <w:pPr>
        <w:pStyle w:val="NormalHanging12a"/>
        <w:rPr>
          <w:szCs w:val="24"/>
        </w:rPr>
      </w:pPr>
      <w:r w:rsidRPr="00C039D5">
        <w:t>G.</w:t>
      </w:r>
      <w:r w:rsidRPr="00C039D5">
        <w:tab/>
        <w:t>Considerando, por um lado, que o Parlamento não pode ser equiparado a um tribunal e que, por outro, o deputado, no contexto de um processo de levantamento da imunidade, não pode ser considerado «arguido»</w:t>
      </w:r>
      <w:r w:rsidRPr="00C039D5">
        <w:rPr>
          <w:vertAlign w:val="superscript"/>
        </w:rPr>
        <w:footnoteReference w:id="2"/>
      </w:r>
      <w:r w:rsidRPr="00C039D5">
        <w:t>;</w:t>
      </w:r>
    </w:p>
    <w:p w14:paraId="5F071ED7" w14:textId="77777777" w:rsidR="00332D3E" w:rsidRPr="00C039D5" w:rsidRDefault="00332D3E" w:rsidP="00332D3E">
      <w:pPr>
        <w:pStyle w:val="NormalHanging12a"/>
      </w:pPr>
      <w:proofErr w:type="gramStart"/>
      <w:r w:rsidRPr="00C039D5">
        <w:t>H.</w:t>
      </w:r>
      <w:r w:rsidRPr="00C039D5">
        <w:tab/>
        <w:t>Considerando</w:t>
      </w:r>
      <w:proofErr w:type="gramEnd"/>
      <w:r w:rsidRPr="00C039D5">
        <w:t xml:space="preserve"> que o objetivo da imunidade parlamentar é proteger o Parlamento e os seus deputados de processos judiciais relacionados com atividades realizadas no exercício das funções parlamentares, as quais não podem ser dissociadas dessas funções;</w:t>
      </w:r>
    </w:p>
    <w:p w14:paraId="2F370CA0" w14:textId="77777777" w:rsidR="00332D3E" w:rsidRPr="00C039D5" w:rsidRDefault="00332D3E" w:rsidP="00332D3E">
      <w:pPr>
        <w:pStyle w:val="EPComma"/>
        <w:widowControl/>
        <w:spacing w:before="360"/>
        <w:ind w:left="567" w:hanging="567"/>
      </w:pPr>
      <w:proofErr w:type="gramStart"/>
      <w:r w:rsidRPr="00C039D5">
        <w:t>I.</w:t>
      </w:r>
      <w:r w:rsidRPr="00C039D5">
        <w:tab/>
        <w:t>Considerando</w:t>
      </w:r>
      <w:proofErr w:type="gramEnd"/>
      <w:r w:rsidRPr="00C039D5">
        <w:t xml:space="preserve"> que, no caso em apreço, o Parlamento não encontrou indícios da existência de </w:t>
      </w:r>
      <w:proofErr w:type="spellStart"/>
      <w:r w:rsidRPr="00C039D5">
        <w:rPr>
          <w:i/>
          <w:iCs/>
        </w:rPr>
        <w:t>fumus</w:t>
      </w:r>
      <w:proofErr w:type="spellEnd"/>
      <w:r w:rsidRPr="00C039D5">
        <w:rPr>
          <w:i/>
          <w:iCs/>
        </w:rPr>
        <w:t xml:space="preserve"> </w:t>
      </w:r>
      <w:proofErr w:type="spellStart"/>
      <w:r w:rsidRPr="00C039D5">
        <w:rPr>
          <w:i/>
          <w:iCs/>
        </w:rPr>
        <w:t>persecutionis</w:t>
      </w:r>
      <w:proofErr w:type="spellEnd"/>
      <w:r w:rsidRPr="00C039D5">
        <w:t>, ou seja, elementos de facto que indicassem que o processo judicial em causa foi instaurado com a intenção de prejudicar a atividade política do deputado e, assim, o Parlamento Europeu;</w:t>
      </w:r>
    </w:p>
    <w:p w14:paraId="6DEC2CE4" w14:textId="77777777" w:rsidR="00332D3E" w:rsidRPr="00C039D5" w:rsidRDefault="00332D3E" w:rsidP="00332D3E">
      <w:pPr>
        <w:pStyle w:val="NormalHanging12a"/>
      </w:pPr>
      <w:proofErr w:type="gramStart"/>
      <w:r w:rsidRPr="00C039D5">
        <w:t>1.</w:t>
      </w:r>
      <w:r w:rsidRPr="00C039D5">
        <w:tab/>
        <w:t>Decide</w:t>
      </w:r>
      <w:proofErr w:type="gramEnd"/>
      <w:r w:rsidRPr="00C039D5">
        <w:t xml:space="preserve"> levantar a imunidade de </w:t>
      </w:r>
      <w:proofErr w:type="spellStart"/>
      <w:r w:rsidRPr="00C039D5">
        <w:t>Gunnar</w:t>
      </w:r>
      <w:proofErr w:type="spellEnd"/>
      <w:r w:rsidRPr="00C039D5">
        <w:t xml:space="preserve"> </w:t>
      </w:r>
      <w:proofErr w:type="spellStart"/>
      <w:r w:rsidRPr="00C039D5">
        <w:t>Beck</w:t>
      </w:r>
      <w:proofErr w:type="spellEnd"/>
      <w:r w:rsidRPr="00C039D5">
        <w:t>;</w:t>
      </w:r>
    </w:p>
    <w:p w14:paraId="18830DB5" w14:textId="16DDC9E2" w:rsidR="00332D3E" w:rsidRPr="00C039D5" w:rsidRDefault="00332D3E" w:rsidP="00200587">
      <w:pPr>
        <w:pStyle w:val="NormalHanging12a"/>
      </w:pPr>
      <w:proofErr w:type="gramStart"/>
      <w:r w:rsidRPr="00C039D5">
        <w:t>2.</w:t>
      </w:r>
      <w:r w:rsidRPr="00C039D5">
        <w:tab/>
        <w:t>Encarrega</w:t>
      </w:r>
      <w:proofErr w:type="gramEnd"/>
      <w:r w:rsidRPr="00C039D5">
        <w:t xml:space="preserve"> a sua Presidente de transmitir de imediato a presente decisão,</w:t>
      </w:r>
      <w:r w:rsidR="009350D5" w:rsidRPr="00C039D5">
        <w:t xml:space="preserve"> bem como</w:t>
      </w:r>
      <w:r w:rsidRPr="00C039D5">
        <w:t xml:space="preserve"> o relatório da sua comissão </w:t>
      </w:r>
      <w:r w:rsidR="009350D5" w:rsidRPr="00C039D5">
        <w:t>competente,</w:t>
      </w:r>
      <w:r w:rsidRPr="00C039D5">
        <w:t xml:space="preserve"> à autoridade competente da</w:t>
      </w:r>
      <w:r w:rsidR="009C1665" w:rsidRPr="00C039D5">
        <w:t xml:space="preserve"> República Federal da</w:t>
      </w:r>
      <w:r w:rsidRPr="00C039D5">
        <w:t xml:space="preserve"> Alemanha e a </w:t>
      </w:r>
      <w:proofErr w:type="spellStart"/>
      <w:r w:rsidRPr="00C039D5">
        <w:t>Gunnar</w:t>
      </w:r>
      <w:proofErr w:type="spellEnd"/>
      <w:r w:rsidRPr="00C039D5">
        <w:t xml:space="preserve"> </w:t>
      </w:r>
      <w:proofErr w:type="spellStart"/>
      <w:r w:rsidRPr="00C039D5">
        <w:t>Beck</w:t>
      </w:r>
      <w:proofErr w:type="spellEnd"/>
      <w:r w:rsidRPr="00C039D5">
        <w:t>.</w:t>
      </w:r>
    </w:p>
    <w:p w14:paraId="76B19B5D" w14:textId="77777777" w:rsidR="00E365E1" w:rsidRPr="00C039D5" w:rsidRDefault="00E365E1" w:rsidP="00301D3D">
      <w:bookmarkStart w:id="9" w:name="TextBodyEnd"/>
      <w:bookmarkEnd w:id="9"/>
    </w:p>
    <w:sectPr w:rsidR="00E365E1" w:rsidRPr="00C039D5" w:rsidSect="00581F7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A100C5" w14:textId="77777777" w:rsidR="00301D3D" w:rsidRPr="00581F75" w:rsidRDefault="00301D3D">
      <w:r w:rsidRPr="00581F75">
        <w:separator/>
      </w:r>
    </w:p>
  </w:endnote>
  <w:endnote w:type="continuationSeparator" w:id="0">
    <w:p w14:paraId="000310E8" w14:textId="77777777" w:rsidR="00301D3D" w:rsidRPr="00581F75" w:rsidRDefault="00301D3D">
      <w:r w:rsidRPr="00581F7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FEB214" w14:textId="77777777" w:rsidR="00064002" w:rsidRPr="00581F7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0BBDF0" w14:textId="77777777" w:rsidR="00064002" w:rsidRPr="00581F7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6CB625" w14:textId="77777777" w:rsidR="00064002" w:rsidRPr="00581F7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50EB69" w14:textId="77777777" w:rsidR="00301D3D" w:rsidRPr="00581F75" w:rsidRDefault="00301D3D">
      <w:r w:rsidRPr="00581F75">
        <w:separator/>
      </w:r>
    </w:p>
  </w:footnote>
  <w:footnote w:type="continuationSeparator" w:id="0">
    <w:p w14:paraId="430F705B" w14:textId="77777777" w:rsidR="00301D3D" w:rsidRPr="00581F75" w:rsidRDefault="00301D3D">
      <w:r w:rsidRPr="00581F75">
        <w:continuationSeparator/>
      </w:r>
    </w:p>
  </w:footnote>
  <w:footnote w:id="1">
    <w:p w14:paraId="3583233D" w14:textId="77777777" w:rsidR="00332D3E" w:rsidRPr="00581F75" w:rsidRDefault="00332D3E" w:rsidP="00581F75">
      <w:pPr>
        <w:pStyle w:val="FootnoteText"/>
        <w:ind w:left="567" w:hanging="567"/>
        <w:rPr>
          <w:sz w:val="24"/>
          <w:lang w:val="pt-PT"/>
        </w:rPr>
      </w:pPr>
      <w:r w:rsidRPr="00581F75">
        <w:rPr>
          <w:rStyle w:val="FootnoteReference"/>
          <w:sz w:val="24"/>
          <w:lang w:val="pt-PT"/>
        </w:rPr>
        <w:footnoteRef/>
      </w:r>
      <w:r w:rsidR="00581F75" w:rsidRPr="00581F75">
        <w:rPr>
          <w:sz w:val="24"/>
          <w:lang w:val="pt-PT"/>
        </w:rPr>
        <w:t xml:space="preserve"> </w:t>
      </w:r>
      <w:r w:rsidR="00581F75" w:rsidRPr="00581F75">
        <w:rPr>
          <w:sz w:val="24"/>
          <w:lang w:val="pt-PT"/>
        </w:rPr>
        <w:tab/>
      </w:r>
      <w:r w:rsidRPr="00581F75">
        <w:rPr>
          <w:sz w:val="24"/>
          <w:lang w:val="pt-PT"/>
        </w:rPr>
        <w:t xml:space="preserve">Acórdão do Tribunal de Justiça de 21 de outubro de 2008, Marra/De </w:t>
      </w:r>
      <w:proofErr w:type="spellStart"/>
      <w:r w:rsidRPr="00581F75">
        <w:rPr>
          <w:sz w:val="24"/>
          <w:lang w:val="pt-PT"/>
        </w:rPr>
        <w:t>Gregorio</w:t>
      </w:r>
      <w:proofErr w:type="spellEnd"/>
      <w:r w:rsidRPr="00581F75">
        <w:rPr>
          <w:sz w:val="24"/>
          <w:lang w:val="pt-PT"/>
        </w:rPr>
        <w:t xml:space="preserve"> e Clemente, C</w:t>
      </w:r>
      <w:r w:rsidRPr="00581F75">
        <w:rPr>
          <w:sz w:val="24"/>
          <w:lang w:val="pt-PT"/>
        </w:rPr>
        <w:noBreakHyphen/>
        <w:t>200/07 e C</w:t>
      </w:r>
      <w:r w:rsidRPr="00581F75">
        <w:rPr>
          <w:sz w:val="24"/>
          <w:lang w:val="pt-PT"/>
        </w:rPr>
        <w:noBreakHyphen/>
        <w:t xml:space="preserve">201/07, ECLI:EU:C:2008:579; acórdão do Tribunal Geral de 19 de março de 2010, </w:t>
      </w:r>
      <w:proofErr w:type="spellStart"/>
      <w:r w:rsidRPr="00581F75">
        <w:rPr>
          <w:sz w:val="24"/>
          <w:lang w:val="pt-PT"/>
        </w:rPr>
        <w:t>Gollnisch</w:t>
      </w:r>
      <w:proofErr w:type="spellEnd"/>
      <w:r w:rsidRPr="00581F75">
        <w:rPr>
          <w:sz w:val="24"/>
          <w:lang w:val="pt-PT"/>
        </w:rPr>
        <w:t>/Parlamento Europeu, T</w:t>
      </w:r>
      <w:r w:rsidRPr="00581F75">
        <w:rPr>
          <w:sz w:val="24"/>
          <w:lang w:val="pt-PT"/>
        </w:rPr>
        <w:noBreakHyphen/>
        <w:t xml:space="preserve">42/06, ECLI:EU:T:2010:102; acórdão do Tribunal de Justiça de 6 de setembro de 2011, </w:t>
      </w:r>
      <w:proofErr w:type="spellStart"/>
      <w:r w:rsidRPr="00581F75">
        <w:rPr>
          <w:sz w:val="24"/>
          <w:lang w:val="pt-PT"/>
        </w:rPr>
        <w:t>Patriciello</w:t>
      </w:r>
      <w:proofErr w:type="spellEnd"/>
      <w:r w:rsidRPr="00581F75">
        <w:rPr>
          <w:sz w:val="24"/>
          <w:lang w:val="pt-PT"/>
        </w:rPr>
        <w:t>, C</w:t>
      </w:r>
      <w:r w:rsidRPr="00581F75">
        <w:rPr>
          <w:sz w:val="24"/>
          <w:lang w:val="pt-PT"/>
        </w:rPr>
        <w:noBreakHyphen/>
        <w:t xml:space="preserve">163/10, ECLI: EU:C:2011:543; acórdão do Tribunal Geral de 17 de janeiro de 2013, </w:t>
      </w:r>
      <w:proofErr w:type="spellStart"/>
      <w:r w:rsidRPr="00581F75">
        <w:rPr>
          <w:sz w:val="24"/>
          <w:lang w:val="pt-PT"/>
        </w:rPr>
        <w:t>Gollnisch</w:t>
      </w:r>
      <w:proofErr w:type="spellEnd"/>
      <w:r w:rsidRPr="00581F75">
        <w:rPr>
          <w:sz w:val="24"/>
          <w:lang w:val="pt-PT"/>
        </w:rPr>
        <w:t>/Parlamento Europeu, T</w:t>
      </w:r>
      <w:r w:rsidRPr="00581F75">
        <w:rPr>
          <w:sz w:val="24"/>
          <w:lang w:val="pt-PT"/>
        </w:rPr>
        <w:noBreakHyphen/>
        <w:t>346/11 e T</w:t>
      </w:r>
      <w:r w:rsidRPr="00581F75">
        <w:rPr>
          <w:sz w:val="24"/>
          <w:lang w:val="pt-PT"/>
        </w:rPr>
        <w:noBreakHyphen/>
        <w:t xml:space="preserve">347/11, ECLI:EU:T:2013:23; acórdão do Tribunal de Justiça de 19 de dezembro de 2019, </w:t>
      </w:r>
      <w:proofErr w:type="spellStart"/>
      <w:r w:rsidRPr="00581F75">
        <w:rPr>
          <w:sz w:val="24"/>
          <w:lang w:val="pt-PT"/>
        </w:rPr>
        <w:t>Junqueras</w:t>
      </w:r>
      <w:proofErr w:type="spellEnd"/>
      <w:r w:rsidRPr="00581F75">
        <w:rPr>
          <w:sz w:val="24"/>
          <w:lang w:val="pt-PT"/>
        </w:rPr>
        <w:t xml:space="preserve"> </w:t>
      </w:r>
      <w:proofErr w:type="spellStart"/>
      <w:r w:rsidRPr="00581F75">
        <w:rPr>
          <w:sz w:val="24"/>
          <w:lang w:val="pt-PT"/>
        </w:rPr>
        <w:t>Vies</w:t>
      </w:r>
      <w:proofErr w:type="spellEnd"/>
      <w:r w:rsidRPr="00581F75">
        <w:rPr>
          <w:sz w:val="24"/>
          <w:lang w:val="pt-PT"/>
        </w:rPr>
        <w:t>, C</w:t>
      </w:r>
      <w:r w:rsidRPr="00581F75">
        <w:rPr>
          <w:sz w:val="24"/>
          <w:lang w:val="pt-PT"/>
        </w:rPr>
        <w:noBreakHyphen/>
        <w:t>502/19, ECLI:EU:C:2019:1115.</w:t>
      </w:r>
    </w:p>
  </w:footnote>
  <w:footnote w:id="2">
    <w:p w14:paraId="02EBB2D5" w14:textId="77777777" w:rsidR="00332D3E" w:rsidRPr="00581F75" w:rsidRDefault="00332D3E" w:rsidP="00581F75">
      <w:pPr>
        <w:pStyle w:val="FootnoteText"/>
        <w:ind w:left="567" w:hanging="567"/>
        <w:rPr>
          <w:sz w:val="24"/>
          <w:lang w:val="pt-PT"/>
        </w:rPr>
      </w:pPr>
      <w:r w:rsidRPr="00581F75">
        <w:rPr>
          <w:rStyle w:val="FootnoteReference"/>
          <w:sz w:val="24"/>
          <w:lang w:val="pt-PT"/>
        </w:rPr>
        <w:footnoteRef/>
      </w:r>
      <w:r w:rsidR="00581F75" w:rsidRPr="00581F75">
        <w:rPr>
          <w:sz w:val="24"/>
          <w:lang w:val="pt-PT"/>
        </w:rPr>
        <w:t xml:space="preserve"> </w:t>
      </w:r>
      <w:r w:rsidR="00581F75" w:rsidRPr="00581F75">
        <w:rPr>
          <w:sz w:val="24"/>
          <w:lang w:val="pt-PT"/>
        </w:rPr>
        <w:tab/>
      </w:r>
      <w:r w:rsidRPr="00581F75">
        <w:rPr>
          <w:sz w:val="24"/>
          <w:lang w:val="pt-PT"/>
        </w:rPr>
        <w:t xml:space="preserve">Acórdão do Tribunal Geral de 30 de abril de 2019, </w:t>
      </w:r>
      <w:proofErr w:type="spellStart"/>
      <w:r w:rsidRPr="00581F75">
        <w:rPr>
          <w:sz w:val="24"/>
          <w:lang w:val="pt-PT"/>
        </w:rPr>
        <w:t>Briois</w:t>
      </w:r>
      <w:proofErr w:type="spellEnd"/>
      <w:r w:rsidRPr="00581F75">
        <w:rPr>
          <w:sz w:val="24"/>
          <w:lang w:val="pt-PT"/>
        </w:rPr>
        <w:t>/Parlamento Europeu, T</w:t>
      </w:r>
      <w:r w:rsidRPr="00581F75">
        <w:rPr>
          <w:sz w:val="24"/>
          <w:lang w:val="pt-PT"/>
        </w:rPr>
        <w:noBreakHyphen/>
        <w:t>214/18, ECLI:</w:t>
      </w:r>
      <w:proofErr w:type="gramStart"/>
      <w:r w:rsidRPr="00581F75">
        <w:rPr>
          <w:sz w:val="24"/>
          <w:lang w:val="pt-PT"/>
        </w:rPr>
        <w:t>EU:T</w:t>
      </w:r>
      <w:proofErr w:type="gramEnd"/>
      <w:r w:rsidRPr="00581F75">
        <w:rPr>
          <w:sz w:val="24"/>
          <w:lang w:val="pt-PT"/>
        </w:rPr>
        <w:t>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5AC2DD" w14:textId="77777777" w:rsidR="00064002" w:rsidRPr="00581F7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E44DD4" w14:textId="77777777" w:rsidR="00064002" w:rsidRPr="00581F7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95EFF5" w14:textId="77777777" w:rsidR="00064002" w:rsidRPr="00581F7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0/2024"/>
    <w:docVar w:name="dvlangue" w:val="PT"/>
    <w:docVar w:name="dvnumam" w:val="0"/>
    <w:docVar w:name="dvpe" w:val="758.183"/>
    <w:docVar w:name="dvrapporteur" w:val="Relator: "/>
    <w:docVar w:name="dvtitre" w:val="Decisão do Parlamento Europeu, de ... de ... de 2024, sobre o pedido de levantamento da imunidade de Gunnar Beck(2023/2192(IMM))"/>
    <w:docVar w:name="strDocTypeID" w:val="NONE"/>
  </w:docVars>
  <w:rsids>
    <w:rsidRoot w:val="00301D3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0587"/>
    <w:rsid w:val="002767FF"/>
    <w:rsid w:val="002B18FE"/>
    <w:rsid w:val="002B5493"/>
    <w:rsid w:val="00301D3D"/>
    <w:rsid w:val="00332D3E"/>
    <w:rsid w:val="003350F5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1F75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6F5C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50D5"/>
    <w:rsid w:val="009509D8"/>
    <w:rsid w:val="00950B64"/>
    <w:rsid w:val="00981893"/>
    <w:rsid w:val="009C1665"/>
    <w:rsid w:val="009F72B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39D5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804585"/>
  <w15:chartTrackingRefBased/>
  <w15:docId w15:val="{58C57C11-27AB-4CD2-A26C-DD24C77F5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styleId="BalloonText">
    <w:name w:val="Balloon Text"/>
    <w:basedOn w:val="Normal"/>
    <w:link w:val="BalloonTextChar"/>
    <w:rsid w:val="00301D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01D3D"/>
    <w:rPr>
      <w:rFonts w:ascii="Segoe UI" w:hAnsi="Segoe UI" w:cs="Segoe UI"/>
      <w:sz w:val="18"/>
      <w:szCs w:val="18"/>
      <w:lang w:val="pt-PT"/>
    </w:rPr>
  </w:style>
  <w:style w:type="paragraph" w:customStyle="1" w:styleId="NormalHanging12a">
    <w:name w:val="NormalHanging12a"/>
    <w:basedOn w:val="Normal"/>
    <w:rsid w:val="00332D3E"/>
    <w:pPr>
      <w:spacing w:after="240"/>
      <w:ind w:left="567" w:hanging="567"/>
    </w:pPr>
  </w:style>
  <w:style w:type="paragraph" w:customStyle="1" w:styleId="EPComma">
    <w:name w:val="EPComma"/>
    <w:basedOn w:val="Normal"/>
    <w:rsid w:val="00332D3E"/>
    <w:pPr>
      <w:spacing w:before="480" w:after="240"/>
    </w:pPr>
  </w:style>
  <w:style w:type="character" w:styleId="CommentReference">
    <w:name w:val="annotation reference"/>
    <w:basedOn w:val="DefaultParagraphFont"/>
    <w:rsid w:val="003350F5"/>
    <w:rPr>
      <w:sz w:val="16"/>
      <w:szCs w:val="16"/>
    </w:rPr>
  </w:style>
  <w:style w:type="paragraph" w:styleId="CommentText">
    <w:name w:val="annotation text"/>
    <w:basedOn w:val="Normal"/>
    <w:link w:val="CommentTextChar"/>
    <w:rsid w:val="003350F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350F5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3350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350F5"/>
    <w:rPr>
      <w:b/>
      <w:bCs/>
      <w:lang w:val="pt-PT"/>
    </w:rPr>
  </w:style>
  <w:style w:type="character" w:styleId="Hyperlink">
    <w:name w:val="Hyperlink"/>
    <w:basedOn w:val="DefaultParagraphFont"/>
    <w:rsid w:val="003350F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7D6F5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1449DA-E176-42C1-B9A1-B94B51155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892</Words>
  <Characters>4775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2024-04-11T09:00:00Z</dcterms:created>
  <dcterms:modified xsi:type="dcterms:W3CDTF">2024-04-11T09:00:00Z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A9-0170/2024</vt:lpwstr>
  </property>
  <property fmtid="{D5CDD505-2E9C-101B-9397-08002B2CF9AE}" pid="4" name="&lt;Type&gt;">
    <vt:lpwstr>RR</vt:lpwstr>
  </property>
</Properties>
</file>