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2158" w:rsidTr="0010095E">
        <w:trPr>
          <w:trHeight w:hRule="exact" w:val="1418"/>
        </w:trPr>
        <w:tc>
          <w:tcPr>
            <w:tcW w:w="6804" w:type="dxa"/>
            <w:shd w:val="clear" w:color="auto" w:fill="auto"/>
            <w:vAlign w:val="center"/>
          </w:tcPr>
          <w:p w:rsidR="00751A4A" w:rsidRPr="00C42158" w:rsidRDefault="00134DD9" w:rsidP="0010095E">
            <w:pPr>
              <w:pStyle w:val="EPName"/>
            </w:pPr>
            <w:r w:rsidRPr="00C42158">
              <w:t>Parlamentul European</w:t>
            </w:r>
          </w:p>
          <w:p w:rsidR="00751A4A" w:rsidRPr="00C42158" w:rsidRDefault="00817416" w:rsidP="00756632">
            <w:pPr>
              <w:pStyle w:val="EPTerm"/>
              <w:rPr>
                <w:rStyle w:val="HideTWBExt"/>
                <w:noProof w:val="0"/>
                <w:vanish w:val="0"/>
                <w:color w:val="auto"/>
              </w:rPr>
            </w:pPr>
            <w:r w:rsidRPr="00C42158">
              <w:t>2019-2024</w:t>
            </w:r>
          </w:p>
        </w:tc>
        <w:tc>
          <w:tcPr>
            <w:tcW w:w="2268" w:type="dxa"/>
            <w:shd w:val="clear" w:color="auto" w:fill="auto"/>
          </w:tcPr>
          <w:p w:rsidR="00751A4A" w:rsidRPr="00C42158" w:rsidRDefault="00187494" w:rsidP="0010095E">
            <w:pPr>
              <w:pStyle w:val="EPLogo"/>
            </w:pPr>
            <w:r w:rsidRPr="00C421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2158" w:rsidRDefault="00D058B8" w:rsidP="004C5D52">
      <w:pPr>
        <w:pStyle w:val="LineTop"/>
      </w:pPr>
    </w:p>
    <w:p w:rsidR="00680577" w:rsidRPr="00C42158" w:rsidRDefault="00134DD9" w:rsidP="00680577">
      <w:pPr>
        <w:pStyle w:val="EPBodyTA1"/>
      </w:pPr>
      <w:r w:rsidRPr="00C42158">
        <w:t>TEXTE ADOPTATE</w:t>
      </w:r>
    </w:p>
    <w:p w:rsidR="00D058B8" w:rsidRPr="00C42158" w:rsidRDefault="00D058B8" w:rsidP="00D058B8">
      <w:pPr>
        <w:pStyle w:val="LineBottom"/>
      </w:pPr>
    </w:p>
    <w:p w:rsidR="00134DD9" w:rsidRPr="00C42158" w:rsidRDefault="00134DD9" w:rsidP="00134DD9">
      <w:pPr>
        <w:pStyle w:val="ATHeading1"/>
      </w:pPr>
      <w:bookmarkStart w:id="0" w:name="TANumber"/>
      <w:r w:rsidRPr="00C42158">
        <w:t>P9_TA(2024)</w:t>
      </w:r>
      <w:bookmarkEnd w:id="0"/>
      <w:r w:rsidR="000C7910" w:rsidRPr="00C42158">
        <w:t>0224</w:t>
      </w:r>
    </w:p>
    <w:p w:rsidR="00134DD9" w:rsidRPr="00C42158" w:rsidRDefault="00134DD9" w:rsidP="00134DD9">
      <w:pPr>
        <w:pStyle w:val="ATHeading2"/>
      </w:pPr>
      <w:bookmarkStart w:id="1" w:name="title"/>
      <w:r w:rsidRPr="00C42158">
        <w:t>Cerere de ridicare a imunității lui Gunnar Beck</w:t>
      </w:r>
      <w:bookmarkEnd w:id="1"/>
    </w:p>
    <w:p w:rsidR="00134DD9" w:rsidRPr="00C42158" w:rsidRDefault="00134DD9" w:rsidP="00134DD9">
      <w:pPr>
        <w:rPr>
          <w:i/>
          <w:vanish/>
        </w:rPr>
      </w:pPr>
      <w:r w:rsidRPr="00C42158">
        <w:rPr>
          <w:i/>
        </w:rPr>
        <w:fldChar w:fldCharType="begin"/>
      </w:r>
      <w:r w:rsidRPr="00C42158">
        <w:rPr>
          <w:i/>
        </w:rPr>
        <w:instrText xml:space="preserve"> TC"(</w:instrText>
      </w:r>
      <w:bookmarkStart w:id="2" w:name="DocNumber"/>
      <w:r w:rsidRPr="00C42158">
        <w:rPr>
          <w:i/>
        </w:rPr>
        <w:instrText>A9-0170/2024</w:instrText>
      </w:r>
      <w:bookmarkEnd w:id="2"/>
      <w:r w:rsidRPr="00C42158">
        <w:rPr>
          <w:i/>
        </w:rPr>
        <w:instrText xml:space="preserve"> - Raportor: </w:instrText>
      </w:r>
      <w:proofErr w:type="spellStart"/>
      <w:r w:rsidRPr="00C42158">
        <w:rPr>
          <w:i/>
        </w:rPr>
        <w:instrText>Ibán</w:instrText>
      </w:r>
      <w:proofErr w:type="spellEnd"/>
      <w:r w:rsidRPr="00C42158">
        <w:rPr>
          <w:i/>
        </w:rPr>
        <w:instrText xml:space="preserve"> </w:instrText>
      </w:r>
      <w:proofErr w:type="spellStart"/>
      <w:r w:rsidRPr="00C42158">
        <w:rPr>
          <w:i/>
        </w:rPr>
        <w:instrText>García</w:instrText>
      </w:r>
      <w:proofErr w:type="spellEnd"/>
      <w:r w:rsidRPr="00C42158">
        <w:rPr>
          <w:i/>
        </w:rPr>
        <w:instrText xml:space="preserve"> </w:instrText>
      </w:r>
      <w:proofErr w:type="spellStart"/>
      <w:r w:rsidRPr="00C42158">
        <w:rPr>
          <w:i/>
        </w:rPr>
        <w:instrText>Del</w:instrText>
      </w:r>
      <w:proofErr w:type="spellEnd"/>
      <w:r w:rsidRPr="00C42158">
        <w:rPr>
          <w:i/>
        </w:rPr>
        <w:instrText xml:space="preserve"> Blanco)"\l3 \n&gt; \* MERGEFORMAT </w:instrText>
      </w:r>
      <w:r w:rsidRPr="00C42158">
        <w:rPr>
          <w:i/>
        </w:rPr>
        <w:fldChar w:fldCharType="end"/>
      </w:r>
    </w:p>
    <w:p w:rsidR="00134DD9" w:rsidRPr="00C42158" w:rsidRDefault="00134DD9" w:rsidP="00134DD9">
      <w:pPr>
        <w:rPr>
          <w:vanish/>
        </w:rPr>
      </w:pPr>
      <w:bookmarkStart w:id="3" w:name="Commission"/>
      <w:r w:rsidRPr="00C42158">
        <w:rPr>
          <w:vanish/>
        </w:rPr>
        <w:t>Comisia pentru afaceri juridice</w:t>
      </w:r>
      <w:bookmarkEnd w:id="3"/>
    </w:p>
    <w:p w:rsidR="00134DD9" w:rsidRPr="00C42158" w:rsidRDefault="00134DD9" w:rsidP="00134DD9">
      <w:pPr>
        <w:rPr>
          <w:vanish/>
        </w:rPr>
      </w:pPr>
      <w:bookmarkStart w:id="4" w:name="PE"/>
      <w:r w:rsidRPr="00C42158">
        <w:rPr>
          <w:vanish/>
        </w:rPr>
        <w:t>PE758.183</w:t>
      </w:r>
      <w:bookmarkEnd w:id="4"/>
    </w:p>
    <w:p w:rsidR="00134DD9" w:rsidRPr="00C42158" w:rsidRDefault="00134DD9" w:rsidP="00134DD9">
      <w:pPr>
        <w:pStyle w:val="ATHeading3"/>
      </w:pPr>
      <w:bookmarkStart w:id="5" w:name="Sujet"/>
      <w:r w:rsidRPr="00C42158">
        <w:t>Decizia Parlamentului European din 11 aprilie 2024 privind cererea de ridicare a imunității lui Gunnar Beck</w:t>
      </w:r>
      <w:bookmarkEnd w:id="5"/>
      <w:r w:rsidRPr="00C42158">
        <w:t xml:space="preserve"> </w:t>
      </w:r>
      <w:bookmarkStart w:id="6" w:name="References"/>
      <w:r w:rsidRPr="00C42158">
        <w:t>(2023/2192(IMM))</w:t>
      </w:r>
      <w:bookmarkEnd w:id="6"/>
    </w:p>
    <w:p w:rsidR="00881C87" w:rsidRPr="00C42158" w:rsidRDefault="00881C87" w:rsidP="00881C87">
      <w:pPr>
        <w:pStyle w:val="EPComma"/>
      </w:pPr>
      <w:bookmarkStart w:id="7" w:name="TextBodyBegin"/>
      <w:bookmarkEnd w:id="7"/>
      <w:r w:rsidRPr="00C42158">
        <w:rPr>
          <w:i/>
        </w:rPr>
        <w:t>Parlamentul European</w:t>
      </w:r>
      <w:r w:rsidRPr="00C42158">
        <w:t>,</w:t>
      </w:r>
      <w:bookmarkStart w:id="8" w:name="_GoBack"/>
      <w:bookmarkEnd w:id="8"/>
    </w:p>
    <w:p w:rsidR="00881C87" w:rsidRPr="00C42158" w:rsidRDefault="00881C87" w:rsidP="00881C87">
      <w:pPr>
        <w:pStyle w:val="NormalHanging12a"/>
      </w:pPr>
      <w:r w:rsidRPr="00C42158">
        <w:t>–</w:t>
      </w:r>
      <w:r w:rsidRPr="00C42158">
        <w:tab/>
        <w:t xml:space="preserve">având în vedere cererea procurorului-șef din Düsseldorf de ridicare a imunității lui Gunnar Beck, transmisă prin scrisoarea din 25 iulie 2023 de Ministerul Federal al Justiției și Protecției Consumatorilor din Germania, în legătură cu o anchetă preliminară privind presupuse infracțiuni, și </w:t>
      </w:r>
      <w:r w:rsidR="009E0CD2" w:rsidRPr="00C42158">
        <w:rPr>
          <w:szCs w:val="24"/>
        </w:rPr>
        <w:t>comunicată în ședința plenară din</w:t>
      </w:r>
      <w:r w:rsidRPr="00C42158">
        <w:t>11 septembrie 2023,</w:t>
      </w:r>
    </w:p>
    <w:p w:rsidR="00881C87" w:rsidRPr="00C42158" w:rsidRDefault="00881C87" w:rsidP="00881C87">
      <w:pPr>
        <w:pStyle w:val="NormalHanging12a"/>
      </w:pPr>
      <w:r w:rsidRPr="00C42158">
        <w:t>–</w:t>
      </w:r>
      <w:r w:rsidRPr="00C42158">
        <w:tab/>
        <w:t xml:space="preserve">în urma audierii lui Gunnar Beck, în conformitate cu articolul 9 alineatul (6) din Regulamentul său de procedură, </w:t>
      </w:r>
    </w:p>
    <w:p w:rsidR="00881C87" w:rsidRPr="00C42158" w:rsidRDefault="00881C87" w:rsidP="00881C87">
      <w:pPr>
        <w:pStyle w:val="NormalHanging12a"/>
      </w:pPr>
      <w:r w:rsidRPr="00C42158">
        <w:t>–</w:t>
      </w:r>
      <w:r w:rsidRPr="00C42158">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881C87" w:rsidRPr="00C42158" w:rsidRDefault="00881C87" w:rsidP="00881C87">
      <w:pPr>
        <w:pStyle w:val="NormalHanging12a"/>
      </w:pPr>
      <w:r w:rsidRPr="00C42158">
        <w:t>–</w:t>
      </w:r>
      <w:r w:rsidRPr="00C42158">
        <w:tab/>
        <w:t>având în vedere hotărârile Curții de Justiție a Uniunii Europene din 21 octombrie 2008, 19 martie 2010, 6 septembrie 2011, 17 ianuarie 2013 și 19 decembrie 2019</w:t>
      </w:r>
      <w:r w:rsidRPr="00C42158">
        <w:rPr>
          <w:rStyle w:val="FootnoteReference"/>
        </w:rPr>
        <w:footnoteReference w:id="1"/>
      </w:r>
      <w:r w:rsidRPr="00C42158">
        <w:t>,</w:t>
      </w:r>
    </w:p>
    <w:p w:rsidR="00881C87" w:rsidRPr="00C42158" w:rsidRDefault="00881C87" w:rsidP="00881C87">
      <w:pPr>
        <w:pStyle w:val="NormalHanging12a"/>
      </w:pPr>
      <w:r w:rsidRPr="00C42158">
        <w:t>–</w:t>
      </w:r>
      <w:r w:rsidRPr="00C42158">
        <w:tab/>
        <w:t xml:space="preserve">având în vedere articolul 46 alineatele (2), (3) și (4) din Legea fundamentală a Republicii Federale Germania și articolul 192b din </w:t>
      </w:r>
      <w:proofErr w:type="spellStart"/>
      <w:r w:rsidRPr="00C42158">
        <w:rPr>
          <w:i/>
        </w:rPr>
        <w:t>Richtlinien</w:t>
      </w:r>
      <w:proofErr w:type="spellEnd"/>
      <w:r w:rsidRPr="00C42158">
        <w:rPr>
          <w:i/>
        </w:rPr>
        <w:t xml:space="preserve"> </w:t>
      </w:r>
      <w:proofErr w:type="spellStart"/>
      <w:r w:rsidRPr="00C42158">
        <w:rPr>
          <w:i/>
        </w:rPr>
        <w:t>für</w:t>
      </w:r>
      <w:proofErr w:type="spellEnd"/>
      <w:r w:rsidRPr="00C42158">
        <w:rPr>
          <w:i/>
        </w:rPr>
        <w:t xml:space="preserve"> das </w:t>
      </w:r>
      <w:proofErr w:type="spellStart"/>
      <w:r w:rsidRPr="00C42158">
        <w:rPr>
          <w:i/>
        </w:rPr>
        <w:t>Strafverfahren</w:t>
      </w:r>
      <w:proofErr w:type="spellEnd"/>
      <w:r w:rsidRPr="00C42158">
        <w:rPr>
          <w:i/>
        </w:rPr>
        <w:t xml:space="preserve"> </w:t>
      </w:r>
      <w:proofErr w:type="spellStart"/>
      <w:r w:rsidRPr="00C42158">
        <w:rPr>
          <w:i/>
        </w:rPr>
        <w:t>und</w:t>
      </w:r>
      <w:proofErr w:type="spellEnd"/>
      <w:r w:rsidRPr="00C42158">
        <w:rPr>
          <w:i/>
        </w:rPr>
        <w:t xml:space="preserve"> das </w:t>
      </w:r>
      <w:proofErr w:type="spellStart"/>
      <w:r w:rsidRPr="00C42158">
        <w:rPr>
          <w:i/>
        </w:rPr>
        <w:t>Bußgeldverfahren</w:t>
      </w:r>
      <w:proofErr w:type="spellEnd"/>
      <w:r w:rsidRPr="00C42158">
        <w:t xml:space="preserve"> [Orientările privind procedurile penale și administrative],</w:t>
      </w:r>
    </w:p>
    <w:p w:rsidR="00881C87" w:rsidRPr="00C42158" w:rsidRDefault="00881C87" w:rsidP="00881C87">
      <w:pPr>
        <w:pStyle w:val="NormalHanging12a"/>
      </w:pPr>
      <w:r w:rsidRPr="00C42158">
        <w:t>–</w:t>
      </w:r>
      <w:r w:rsidRPr="00C42158">
        <w:tab/>
        <w:t>având în vedere articolul 5 alineatul (2), articolul 6 alineatul (1) și articolul 9 din Regulamentul său de procedură,</w:t>
      </w:r>
    </w:p>
    <w:p w:rsidR="00881C87" w:rsidRPr="00C42158" w:rsidRDefault="00881C87" w:rsidP="00881C87">
      <w:pPr>
        <w:pStyle w:val="NormalHanging12a"/>
      </w:pPr>
      <w:r w:rsidRPr="00C42158">
        <w:lastRenderedPageBreak/>
        <w:t>–</w:t>
      </w:r>
      <w:r w:rsidRPr="00C42158">
        <w:tab/>
        <w:t>având în vedere raportul Comisiei pentru afaceri juridice (A9-0170/2024),</w:t>
      </w:r>
    </w:p>
    <w:p w:rsidR="00881C87" w:rsidRPr="00C42158" w:rsidRDefault="00881C87" w:rsidP="00881C87">
      <w:pPr>
        <w:pStyle w:val="NormalHanging12a"/>
      </w:pPr>
      <w:r w:rsidRPr="00C42158">
        <w:t>A.</w:t>
      </w:r>
      <w:r w:rsidRPr="00C42158">
        <w:tab/>
        <w:t xml:space="preserve">întrucât procurorul-șef din Düsseldorf a solicitat ridicarea imunității lui Gunnar Beck, deputat în Parlamentul European ales </w:t>
      </w:r>
      <w:r w:rsidR="009E0CD2" w:rsidRPr="00C42158">
        <w:t xml:space="preserve">în </w:t>
      </w:r>
      <w:r w:rsidRPr="00C42158">
        <w:t>Germania, în vederea inițierii unei proceduri preliminare pentru furt de bunuri cu valoare redusă în concurs cu vătămare corporală intenționată și rezistență la acțiunile agenților responsabili cu aplicarea legii, în conformitate cu articolul 242 alineatul (1), articolul 248a, articolul 223 alineatul (1) articolul 230 alineatul (1) prima teză, articolul 113 alineatul (1) și articolul 53 din Codul penal german;</w:t>
      </w:r>
    </w:p>
    <w:p w:rsidR="00881C87" w:rsidRPr="00C42158" w:rsidRDefault="00881C87" w:rsidP="00881C87">
      <w:pPr>
        <w:pStyle w:val="NormalHanging12a"/>
        <w:widowControl/>
      </w:pPr>
      <w:r w:rsidRPr="00C42158">
        <w:t>B.</w:t>
      </w:r>
      <w:r w:rsidRPr="00C42158">
        <w:tab/>
        <w:t xml:space="preserve">întrucât, aparent, la 29 octombrie 2022, într-un magazin universal din </w:t>
      </w:r>
      <w:proofErr w:type="spellStart"/>
      <w:r w:rsidRPr="00C42158">
        <w:t>Neuss</w:t>
      </w:r>
      <w:proofErr w:type="spellEnd"/>
      <w:r w:rsidRPr="00C42158">
        <w:t xml:space="preserve"> (Germania), Gunnar Beck a luat niște eșantioane de produse de testare expuse în scopul testării de către clienți, cu intenția aparentă de a pleca cu ele fără să le plătească; întrucât a fost depusă o plângere penală pentru furt din magazine; întrucât, aparent, Gunnar Beck a încercat să părăsească locul și agenții de pază ai magazinului l-au imobilizat; întrucât, ulterior, agenții responsabili cu aplicarea legii au intervenit la fața locului și, aparent, Gunnar Beck nu s-a conformat solicitărilor acestora de a nu opune rezistență;</w:t>
      </w:r>
    </w:p>
    <w:p w:rsidR="00881C87" w:rsidRPr="00C42158" w:rsidRDefault="00881C87" w:rsidP="00881C87">
      <w:pPr>
        <w:pStyle w:val="NormalHanging12a"/>
      </w:pPr>
      <w:r w:rsidRPr="00C42158">
        <w:t>C.</w:t>
      </w:r>
      <w:r w:rsidRPr="00C42158">
        <w:tab/>
        <w:t>întrucât infracțiunile de care este bănuit nu au ca obiect opinii sau voturi exprimate în exercitarea funcțiilor sale de deputat în Parlamentul European în sensul articolului 8 din Protocolul nr. 7 privind privilegiile și imunitățile Uniunii Europene;</w:t>
      </w:r>
    </w:p>
    <w:p w:rsidR="00881C87" w:rsidRPr="00C42158" w:rsidRDefault="00881C87" w:rsidP="00881C87">
      <w:pPr>
        <w:pStyle w:val="NormalHanging12a"/>
      </w:pPr>
      <w:r w:rsidRPr="00C42158">
        <w:t>D.</w:t>
      </w:r>
      <w:r w:rsidRPr="00C42158">
        <w:tab/>
        <w:t>întrucât în conformitate cu articolul 9 din Protocolul nr. 7 privind privilegiile și imunitățile Uniunii Europene, deputații în Parlamentul European beneficiază, pe teritoriul național, de imunitățile recunoscute membrilor parlamentului propriului stat;</w:t>
      </w:r>
    </w:p>
    <w:p w:rsidR="00881C87" w:rsidRPr="00C42158" w:rsidRDefault="00881C87" w:rsidP="00881C87">
      <w:pPr>
        <w:pStyle w:val="NormalHanging12a"/>
      </w:pPr>
      <w:r w:rsidRPr="00C42158">
        <w:t>E.</w:t>
      </w:r>
      <w:r w:rsidRPr="00C42158">
        <w:tab/>
        <w:t>întrucât articolul 46 alineatele (2), (3) și (4) din Legea Fundamentală a Republicii Federale Germania prevede următoarele:</w:t>
      </w:r>
    </w:p>
    <w:p w:rsidR="00881C87" w:rsidRPr="00C42158" w:rsidRDefault="00881C87" w:rsidP="00881C87">
      <w:pPr>
        <w:pStyle w:val="NormalHanging12a"/>
        <w:ind w:left="720" w:firstLine="0"/>
      </w:pPr>
      <w:r w:rsidRPr="00C42158">
        <w:t xml:space="preserve">„(2) Un deputat nu poate fi tras la răspundere sau arestat pentru o infracțiune punibilă fără aprobarea Bundestagului decât dacă este prins în flagrant delict sau în cursul zilei următoare comiterii faptei. </w:t>
      </w:r>
    </w:p>
    <w:p w:rsidR="00881C87" w:rsidRPr="00C42158" w:rsidRDefault="00881C87" w:rsidP="00881C87">
      <w:pPr>
        <w:pStyle w:val="NormalHanging12a"/>
        <w:ind w:left="720" w:firstLine="0"/>
      </w:pPr>
      <w:r w:rsidRPr="00C42158">
        <w:t>(3) Aprobarea Bundestag-ului este necesară și pentru orice altă măsură restrictivă a libertății personale a unui deputat sau pentru începerea unei proceduri împotriva unui deputat în temeiul articolului 18.</w:t>
      </w:r>
    </w:p>
    <w:p w:rsidR="00881C87" w:rsidRPr="00C42158" w:rsidRDefault="00881C87" w:rsidP="00881C87">
      <w:pPr>
        <w:pStyle w:val="NormalHanging12a"/>
        <w:ind w:left="720" w:firstLine="0"/>
      </w:pPr>
      <w:r w:rsidRPr="00C42158">
        <w:t>(4) Orice acțiune penală sau orice procedură intentată în temeiul articolului 18 împotriva unui deputat și orice detenție sau restrângere a libertății personale a acestuia se suspendă la cererea Bundestagului.”;</w:t>
      </w:r>
    </w:p>
    <w:p w:rsidR="00881C87" w:rsidRPr="00C42158" w:rsidRDefault="00881C87" w:rsidP="00881C87">
      <w:pPr>
        <w:pStyle w:val="NormalHanging12a"/>
      </w:pPr>
      <w:r w:rsidRPr="00C42158">
        <w:t>F.</w:t>
      </w:r>
      <w:r w:rsidRPr="00C42158">
        <w:tab/>
        <w:t xml:space="preserve">întrucât articolul 192b din </w:t>
      </w:r>
      <w:proofErr w:type="spellStart"/>
      <w:r w:rsidRPr="00C42158">
        <w:rPr>
          <w:i/>
        </w:rPr>
        <w:t>Richtlinien</w:t>
      </w:r>
      <w:proofErr w:type="spellEnd"/>
      <w:r w:rsidRPr="00C42158">
        <w:rPr>
          <w:i/>
        </w:rPr>
        <w:t xml:space="preserve"> </w:t>
      </w:r>
      <w:proofErr w:type="spellStart"/>
      <w:r w:rsidRPr="00C42158">
        <w:rPr>
          <w:i/>
        </w:rPr>
        <w:t>für</w:t>
      </w:r>
      <w:proofErr w:type="spellEnd"/>
      <w:r w:rsidRPr="00C42158">
        <w:rPr>
          <w:i/>
        </w:rPr>
        <w:t xml:space="preserve"> das </w:t>
      </w:r>
      <w:proofErr w:type="spellStart"/>
      <w:r w:rsidRPr="00C42158">
        <w:rPr>
          <w:i/>
        </w:rPr>
        <w:t>Strafverfahren</w:t>
      </w:r>
      <w:proofErr w:type="spellEnd"/>
      <w:r w:rsidRPr="00C42158">
        <w:rPr>
          <w:i/>
        </w:rPr>
        <w:t xml:space="preserve"> </w:t>
      </w:r>
      <w:proofErr w:type="spellStart"/>
      <w:r w:rsidRPr="00C42158">
        <w:rPr>
          <w:i/>
        </w:rPr>
        <w:t>und</w:t>
      </w:r>
      <w:proofErr w:type="spellEnd"/>
      <w:r w:rsidRPr="00C42158">
        <w:rPr>
          <w:i/>
        </w:rPr>
        <w:t xml:space="preserve"> das </w:t>
      </w:r>
      <w:proofErr w:type="spellStart"/>
      <w:r w:rsidRPr="00C42158">
        <w:rPr>
          <w:i/>
        </w:rPr>
        <w:t>Bußgeldverfahren</w:t>
      </w:r>
      <w:proofErr w:type="spellEnd"/>
      <w:r w:rsidRPr="00C42158">
        <w:t xml:space="preserve"> [Orientările privind procedurile penale și administrative] reglementează ridicarea imunității deputaților în Parlamentul European și întrucât, în special, alineatul (1) al acestuia prevede următoarele:</w:t>
      </w:r>
    </w:p>
    <w:p w:rsidR="00881C87" w:rsidRPr="00C42158" w:rsidRDefault="00881C87" w:rsidP="00881C87">
      <w:pPr>
        <w:pStyle w:val="NormalHanging12a"/>
        <w:ind w:left="720" w:firstLine="0"/>
      </w:pPr>
      <w:r w:rsidRPr="00C42158">
        <w:t>„(1) </w:t>
      </w:r>
      <w:proofErr w:type="spellStart"/>
      <w:r w:rsidRPr="00C42158">
        <w:rPr>
          <w:i/>
        </w:rPr>
        <w:t>Einem</w:t>
      </w:r>
      <w:proofErr w:type="spellEnd"/>
      <w:r w:rsidRPr="00C42158">
        <w:rPr>
          <w:i/>
        </w:rPr>
        <w:t xml:space="preserve"> </w:t>
      </w:r>
      <w:proofErr w:type="spellStart"/>
      <w:r w:rsidRPr="00C42158">
        <w:rPr>
          <w:i/>
        </w:rPr>
        <w:t>Mitglied</w:t>
      </w:r>
      <w:proofErr w:type="spellEnd"/>
      <w:r w:rsidRPr="00C42158">
        <w:rPr>
          <w:i/>
        </w:rPr>
        <w:t xml:space="preserve"> des </w:t>
      </w:r>
      <w:proofErr w:type="spellStart"/>
      <w:r w:rsidRPr="00C42158">
        <w:rPr>
          <w:i/>
        </w:rPr>
        <w:t>Europäischen</w:t>
      </w:r>
      <w:proofErr w:type="spellEnd"/>
      <w:r w:rsidRPr="00C42158">
        <w:rPr>
          <w:i/>
        </w:rPr>
        <w:t xml:space="preserve"> </w:t>
      </w:r>
      <w:proofErr w:type="spellStart"/>
      <w:r w:rsidRPr="00C42158">
        <w:rPr>
          <w:i/>
        </w:rPr>
        <w:t>Parlaments</w:t>
      </w:r>
      <w:proofErr w:type="spellEnd"/>
      <w:r w:rsidRPr="00C42158">
        <w:rPr>
          <w:i/>
        </w:rPr>
        <w:t xml:space="preserve"> </w:t>
      </w:r>
      <w:proofErr w:type="spellStart"/>
      <w:r w:rsidRPr="00C42158">
        <w:rPr>
          <w:i/>
        </w:rPr>
        <w:t>aus</w:t>
      </w:r>
      <w:proofErr w:type="spellEnd"/>
      <w:r w:rsidRPr="00C42158">
        <w:rPr>
          <w:i/>
        </w:rPr>
        <w:t xml:space="preserve"> </w:t>
      </w:r>
      <w:proofErr w:type="spellStart"/>
      <w:r w:rsidRPr="00C42158">
        <w:rPr>
          <w:i/>
        </w:rPr>
        <w:t>der</w:t>
      </w:r>
      <w:proofErr w:type="spellEnd"/>
      <w:r w:rsidRPr="00C42158">
        <w:rPr>
          <w:i/>
        </w:rPr>
        <w:t xml:space="preserve"> </w:t>
      </w:r>
      <w:proofErr w:type="spellStart"/>
      <w:r w:rsidRPr="00C42158">
        <w:rPr>
          <w:i/>
        </w:rPr>
        <w:t>Bundesrepublik</w:t>
      </w:r>
      <w:proofErr w:type="spellEnd"/>
      <w:r w:rsidRPr="00C42158">
        <w:rPr>
          <w:i/>
        </w:rPr>
        <w:t xml:space="preserve"> </w:t>
      </w:r>
      <w:proofErr w:type="spellStart"/>
      <w:r w:rsidRPr="00C42158">
        <w:rPr>
          <w:i/>
        </w:rPr>
        <w:t>Deutschland</w:t>
      </w:r>
      <w:proofErr w:type="spellEnd"/>
      <w:r w:rsidRPr="00C42158">
        <w:rPr>
          <w:i/>
        </w:rPr>
        <w:t xml:space="preserve"> </w:t>
      </w:r>
      <w:proofErr w:type="spellStart"/>
      <w:r w:rsidRPr="00C42158">
        <w:rPr>
          <w:i/>
        </w:rPr>
        <w:t>steht</w:t>
      </w:r>
      <w:proofErr w:type="spellEnd"/>
      <w:r w:rsidRPr="00C42158">
        <w:rPr>
          <w:i/>
        </w:rPr>
        <w:t xml:space="preserve"> die </w:t>
      </w:r>
      <w:proofErr w:type="spellStart"/>
      <w:r w:rsidRPr="00C42158">
        <w:rPr>
          <w:i/>
        </w:rPr>
        <w:t>einem</w:t>
      </w:r>
      <w:proofErr w:type="spellEnd"/>
      <w:r w:rsidRPr="00C42158">
        <w:rPr>
          <w:i/>
        </w:rPr>
        <w:t xml:space="preserve"> </w:t>
      </w:r>
      <w:proofErr w:type="spellStart"/>
      <w:r w:rsidRPr="00C42158">
        <w:rPr>
          <w:i/>
        </w:rPr>
        <w:t>Abgeordneten</w:t>
      </w:r>
      <w:proofErr w:type="spellEnd"/>
      <w:r w:rsidRPr="00C42158">
        <w:rPr>
          <w:i/>
        </w:rPr>
        <w:t xml:space="preserve"> des </w:t>
      </w:r>
      <w:proofErr w:type="spellStart"/>
      <w:r w:rsidRPr="00C42158">
        <w:rPr>
          <w:i/>
        </w:rPr>
        <w:t>Deutschen</w:t>
      </w:r>
      <w:proofErr w:type="spellEnd"/>
      <w:r w:rsidRPr="00C42158">
        <w:rPr>
          <w:i/>
        </w:rPr>
        <w:t xml:space="preserve"> </w:t>
      </w:r>
      <w:proofErr w:type="spellStart"/>
      <w:r w:rsidRPr="00C42158">
        <w:rPr>
          <w:i/>
        </w:rPr>
        <w:t>Bundestages</w:t>
      </w:r>
      <w:proofErr w:type="spellEnd"/>
      <w:r w:rsidRPr="00C42158">
        <w:rPr>
          <w:i/>
        </w:rPr>
        <w:t xml:space="preserve"> </w:t>
      </w:r>
      <w:proofErr w:type="spellStart"/>
      <w:r w:rsidRPr="00C42158">
        <w:rPr>
          <w:i/>
        </w:rPr>
        <w:t>zuerkannte</w:t>
      </w:r>
      <w:proofErr w:type="spellEnd"/>
      <w:r w:rsidRPr="00C42158">
        <w:rPr>
          <w:i/>
        </w:rPr>
        <w:t xml:space="preserve"> </w:t>
      </w:r>
      <w:proofErr w:type="spellStart"/>
      <w:r w:rsidRPr="00C42158">
        <w:rPr>
          <w:i/>
        </w:rPr>
        <w:t>Immunität</w:t>
      </w:r>
      <w:proofErr w:type="spellEnd"/>
      <w:r w:rsidRPr="00C42158">
        <w:rPr>
          <w:i/>
        </w:rPr>
        <w:t xml:space="preserve"> </w:t>
      </w:r>
      <w:proofErr w:type="spellStart"/>
      <w:r w:rsidRPr="00C42158">
        <w:rPr>
          <w:i/>
        </w:rPr>
        <w:t>zu</w:t>
      </w:r>
      <w:proofErr w:type="spellEnd"/>
      <w:r w:rsidRPr="00C42158">
        <w:t>. [...]” [Un deputat în Parlamentul European din Republica Federală Germania beneficiază de imunitatea acordată unui deputat în Bundestagul german];</w:t>
      </w:r>
    </w:p>
    <w:p w:rsidR="00881C87" w:rsidRPr="00C42158" w:rsidRDefault="00881C87" w:rsidP="00881C87">
      <w:pPr>
        <w:pStyle w:val="NormalHanging12a"/>
        <w:rPr>
          <w:szCs w:val="24"/>
        </w:rPr>
      </w:pPr>
      <w:r w:rsidRPr="00C42158">
        <w:t>G.</w:t>
      </w:r>
      <w:r w:rsidRPr="00C42158">
        <w:tab/>
        <w:t xml:space="preserve">întrucât, pe de o parte, Parlamentul nu poate fi echivalat cu un tribunal și, pe de altă parte, în contextul unei proceduri de ridicare a imunității, deputatul în cauză nu poate fi </w:t>
      </w:r>
      <w:r w:rsidRPr="00C42158">
        <w:lastRenderedPageBreak/>
        <w:t>considerat „acuzat”</w:t>
      </w:r>
      <w:r w:rsidRPr="00C42158">
        <w:rPr>
          <w:vertAlign w:val="superscript"/>
        </w:rPr>
        <w:footnoteReference w:id="2"/>
      </w:r>
      <w:r w:rsidRPr="00C42158">
        <w:t>;</w:t>
      </w:r>
    </w:p>
    <w:p w:rsidR="00881C87" w:rsidRPr="00C42158" w:rsidRDefault="00881C87" w:rsidP="00881C87">
      <w:pPr>
        <w:pStyle w:val="NormalHanging12a"/>
      </w:pPr>
      <w:r w:rsidRPr="00C42158">
        <w:t>H.</w:t>
      </w:r>
      <w:r w:rsidRPr="00C42158">
        <w:tab/>
        <w:t>întrucât scopul imunității parlamentare este acela de a proteja Parlamentul și deputații săi de proceduri judiciare inițiate în legătură cu activitățile desfășurate în exercitarea funcțiilor parlamentare, activități care nu pot fi disociate de aceste funcții;</w:t>
      </w:r>
    </w:p>
    <w:p w:rsidR="00881C87" w:rsidRPr="00C42158" w:rsidRDefault="00881C87" w:rsidP="00881C87">
      <w:pPr>
        <w:pStyle w:val="EPComma"/>
        <w:widowControl/>
        <w:spacing w:before="360"/>
        <w:ind w:left="567" w:hanging="567"/>
      </w:pPr>
      <w:r w:rsidRPr="00C42158">
        <w:t>I.</w:t>
      </w:r>
      <w:r w:rsidRPr="00C42158">
        <w:tab/>
        <w:t xml:space="preserve">întrucât, în acest caz, Parlamentul nu a găsit nicio dovadă de </w:t>
      </w:r>
      <w:proofErr w:type="spellStart"/>
      <w:r w:rsidRPr="00C42158">
        <w:rPr>
          <w:i/>
        </w:rPr>
        <w:t>fumus</w:t>
      </w:r>
      <w:proofErr w:type="spellEnd"/>
      <w:r w:rsidRPr="00C42158">
        <w:rPr>
          <w:i/>
        </w:rPr>
        <w:t xml:space="preserve"> </w:t>
      </w:r>
      <w:proofErr w:type="spellStart"/>
      <w:r w:rsidRPr="00C42158">
        <w:rPr>
          <w:i/>
        </w:rPr>
        <w:t>persecutionis</w:t>
      </w:r>
      <w:proofErr w:type="spellEnd"/>
      <w:r w:rsidRPr="00C42158">
        <w:t>, și anume elemente de fapt care să indice că intenția care stă la baza procedurii juridice ar putea fi subminarea activității politice a deputatului și, prin urmare, a Parlamentului European,</w:t>
      </w:r>
    </w:p>
    <w:p w:rsidR="00881C87" w:rsidRPr="00C42158" w:rsidRDefault="00881C87" w:rsidP="00881C87">
      <w:pPr>
        <w:pStyle w:val="NormalHanging12a"/>
      </w:pPr>
      <w:r w:rsidRPr="00C42158">
        <w:t>1.</w:t>
      </w:r>
      <w:r w:rsidRPr="00C42158">
        <w:tab/>
        <w:t>hotărăște să ridice imunitatea lui Gunnar Beck;</w:t>
      </w:r>
    </w:p>
    <w:p w:rsidR="00E365E1" w:rsidRPr="00C42158" w:rsidRDefault="00881C87" w:rsidP="00CA699F">
      <w:pPr>
        <w:pStyle w:val="NormalHanging12a"/>
      </w:pPr>
      <w:r w:rsidRPr="00C42158">
        <w:t>2.</w:t>
      </w:r>
      <w:r w:rsidRPr="00C42158">
        <w:tab/>
        <w:t xml:space="preserve">încredințează Președintei sarcina de a transmite imediat prezenta decizie, precum și raportul comisiei competente autorității competente </w:t>
      </w:r>
      <w:r w:rsidR="00CA699F" w:rsidRPr="00C42158">
        <w:t xml:space="preserve">din Republica Federală Germania </w:t>
      </w:r>
      <w:r w:rsidRPr="00C42158">
        <w:t>și lui Gunnar Beck.</w:t>
      </w:r>
    </w:p>
    <w:p w:rsidR="00CA699F" w:rsidRPr="00C42158" w:rsidRDefault="00CA699F" w:rsidP="00CA699F">
      <w:pPr>
        <w:pStyle w:val="NormalHanging12a"/>
      </w:pPr>
    </w:p>
    <w:sectPr w:rsidR="00CA699F" w:rsidRPr="00C42158" w:rsidSect="00CA69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DD9" w:rsidRPr="00647FC2" w:rsidRDefault="00134DD9">
      <w:r w:rsidRPr="00647FC2">
        <w:separator/>
      </w:r>
    </w:p>
  </w:endnote>
  <w:endnote w:type="continuationSeparator" w:id="0">
    <w:p w:rsidR="00134DD9" w:rsidRPr="00647FC2" w:rsidRDefault="00134DD9">
      <w:r w:rsidRPr="00647F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F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F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F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DD9" w:rsidRPr="00647FC2" w:rsidRDefault="00134DD9">
      <w:r w:rsidRPr="00647FC2">
        <w:separator/>
      </w:r>
    </w:p>
  </w:footnote>
  <w:footnote w:type="continuationSeparator" w:id="0">
    <w:p w:rsidR="00134DD9" w:rsidRPr="00647FC2" w:rsidRDefault="00134DD9">
      <w:r w:rsidRPr="00647FC2">
        <w:continuationSeparator/>
      </w:r>
    </w:p>
  </w:footnote>
  <w:footnote w:id="1">
    <w:p w:rsidR="00881C87" w:rsidRPr="00C42158" w:rsidRDefault="00881C87" w:rsidP="00647FC2">
      <w:pPr>
        <w:pStyle w:val="FootnoteText"/>
        <w:ind w:left="567" w:hanging="567"/>
        <w:rPr>
          <w:sz w:val="24"/>
          <w:lang w:val="ro-RO"/>
        </w:rPr>
      </w:pPr>
      <w:r w:rsidRPr="00C42158">
        <w:rPr>
          <w:rStyle w:val="FootnoteReference"/>
          <w:sz w:val="24"/>
          <w:lang w:val="ro-RO"/>
        </w:rPr>
        <w:footnoteRef/>
      </w:r>
      <w:r w:rsidR="00647FC2" w:rsidRPr="00C42158">
        <w:rPr>
          <w:sz w:val="24"/>
          <w:lang w:val="ro-RO"/>
        </w:rPr>
        <w:t xml:space="preserve"> </w:t>
      </w:r>
      <w:r w:rsidR="00647FC2" w:rsidRPr="00C42158">
        <w:rPr>
          <w:sz w:val="24"/>
          <w:lang w:val="ro-RO"/>
        </w:rPr>
        <w:tab/>
      </w:r>
      <w:r w:rsidRPr="00C42158">
        <w:rPr>
          <w:sz w:val="24"/>
          <w:lang w:val="ro-RO"/>
        </w:rPr>
        <w:t xml:space="preserve">Hotărârea Curții de Justiție din 21 octombrie 2008, </w:t>
      </w:r>
      <w:proofErr w:type="spellStart"/>
      <w:r w:rsidRPr="00C42158">
        <w:rPr>
          <w:sz w:val="24"/>
          <w:lang w:val="ro-RO"/>
        </w:rPr>
        <w:t>Marra</w:t>
      </w:r>
      <w:proofErr w:type="spellEnd"/>
      <w:r w:rsidRPr="00C42158">
        <w:rPr>
          <w:sz w:val="24"/>
          <w:lang w:val="ro-RO"/>
        </w:rPr>
        <w:t>/De Gregorio și Clemente, C-200/07 și C</w:t>
      </w:r>
      <w:r w:rsidRPr="00C42158">
        <w:rPr>
          <w:sz w:val="24"/>
          <w:lang w:val="ro-RO"/>
        </w:rPr>
        <w:noBreakHyphen/>
        <w:t xml:space="preserve">201/07, ECLI:EU:C:2008:579; hotărârea Tribunalului din 19 martie 2010, </w:t>
      </w:r>
      <w:proofErr w:type="spellStart"/>
      <w:r w:rsidRPr="00C42158">
        <w:rPr>
          <w:sz w:val="24"/>
          <w:lang w:val="ro-RO"/>
        </w:rPr>
        <w:t>Gollnisch</w:t>
      </w:r>
      <w:proofErr w:type="spellEnd"/>
      <w:r w:rsidRPr="00C42158">
        <w:rPr>
          <w:sz w:val="24"/>
          <w:lang w:val="ro-RO"/>
        </w:rPr>
        <w:t>/Parlamentul, T</w:t>
      </w:r>
      <w:r w:rsidRPr="00C42158">
        <w:rPr>
          <w:sz w:val="24"/>
          <w:lang w:val="ro-RO"/>
        </w:rPr>
        <w:noBreakHyphen/>
        <w:t xml:space="preserve">42/06, ECLI:EU:T:2010:102; hotărârea Curții de Justiție din 6 septembrie 2011, </w:t>
      </w:r>
      <w:proofErr w:type="spellStart"/>
      <w:r w:rsidRPr="00C42158">
        <w:rPr>
          <w:sz w:val="24"/>
          <w:lang w:val="ro-RO"/>
        </w:rPr>
        <w:t>Patriciello</w:t>
      </w:r>
      <w:proofErr w:type="spellEnd"/>
      <w:r w:rsidRPr="00C42158">
        <w:rPr>
          <w:sz w:val="24"/>
          <w:lang w:val="ro-RO"/>
        </w:rPr>
        <w:t xml:space="preserve">, C-163/10, ECLI: EU:C:2011:543, hotărârea Tribunalului din 17 ianuarie 2013, </w:t>
      </w:r>
      <w:proofErr w:type="spellStart"/>
      <w:r w:rsidRPr="00C42158">
        <w:rPr>
          <w:sz w:val="24"/>
          <w:lang w:val="ro-RO"/>
        </w:rPr>
        <w:t>Gollnisch</w:t>
      </w:r>
      <w:proofErr w:type="spellEnd"/>
      <w:r w:rsidRPr="00C42158">
        <w:rPr>
          <w:sz w:val="24"/>
          <w:lang w:val="ro-RO"/>
        </w:rPr>
        <w:t xml:space="preserve">/Parlamentul, T-346/11 și T-347/11, ECLI:EU:T:2013:23; hotărârea Curții de Justiție din 19 decembrie 2019, </w:t>
      </w:r>
      <w:proofErr w:type="spellStart"/>
      <w:r w:rsidRPr="00C42158">
        <w:rPr>
          <w:sz w:val="24"/>
          <w:lang w:val="ro-RO"/>
        </w:rPr>
        <w:t>Junqueras</w:t>
      </w:r>
      <w:proofErr w:type="spellEnd"/>
      <w:r w:rsidRPr="00C42158">
        <w:rPr>
          <w:sz w:val="24"/>
          <w:lang w:val="ro-RO"/>
        </w:rPr>
        <w:t xml:space="preserve"> </w:t>
      </w:r>
      <w:proofErr w:type="spellStart"/>
      <w:r w:rsidRPr="00C42158">
        <w:rPr>
          <w:sz w:val="24"/>
          <w:lang w:val="ro-RO"/>
        </w:rPr>
        <w:t>Vies</w:t>
      </w:r>
      <w:proofErr w:type="spellEnd"/>
      <w:r w:rsidRPr="00C42158">
        <w:rPr>
          <w:sz w:val="24"/>
          <w:lang w:val="ro-RO"/>
        </w:rPr>
        <w:t>, C</w:t>
      </w:r>
      <w:r w:rsidRPr="00C42158">
        <w:rPr>
          <w:sz w:val="24"/>
          <w:lang w:val="ro-RO"/>
        </w:rPr>
        <w:noBreakHyphen/>
        <w:t>502/19, ECLI:EU:C:2019:1115.</w:t>
      </w:r>
    </w:p>
  </w:footnote>
  <w:footnote w:id="2">
    <w:p w:rsidR="00881C87" w:rsidRPr="00647FC2" w:rsidRDefault="00881C87" w:rsidP="00647FC2">
      <w:pPr>
        <w:pStyle w:val="FootnoteText"/>
        <w:ind w:left="567" w:hanging="567"/>
        <w:rPr>
          <w:sz w:val="24"/>
          <w:lang w:val="ro-RO"/>
        </w:rPr>
      </w:pPr>
      <w:r w:rsidRPr="00C42158">
        <w:rPr>
          <w:rStyle w:val="FootnoteReference"/>
          <w:sz w:val="24"/>
          <w:lang w:val="ro-RO"/>
        </w:rPr>
        <w:footnoteRef/>
      </w:r>
      <w:r w:rsidR="00647FC2" w:rsidRPr="00C42158">
        <w:rPr>
          <w:sz w:val="24"/>
          <w:lang w:val="ro-RO"/>
        </w:rPr>
        <w:t xml:space="preserve"> </w:t>
      </w:r>
      <w:r w:rsidR="00647FC2" w:rsidRPr="00C42158">
        <w:rPr>
          <w:sz w:val="24"/>
          <w:lang w:val="ro-RO"/>
        </w:rPr>
        <w:tab/>
      </w:r>
      <w:r w:rsidRPr="00C42158">
        <w:rPr>
          <w:sz w:val="24"/>
          <w:lang w:val="ro-RO"/>
        </w:rPr>
        <w:t xml:space="preserve">Hotărârea Tribunalului din 30 aprilie 2019, </w:t>
      </w:r>
      <w:proofErr w:type="spellStart"/>
      <w:r w:rsidRPr="00C42158">
        <w:rPr>
          <w:sz w:val="24"/>
          <w:lang w:val="ro-RO"/>
        </w:rPr>
        <w:t>Briois</w:t>
      </w:r>
      <w:proofErr w:type="spellEnd"/>
      <w:r w:rsidRPr="00C42158">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F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F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7F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RO"/>
    <w:docVar w:name="dvnumam" w:val="0"/>
    <w:docVar w:name="dvpe" w:val="758.183"/>
    <w:docVar w:name="dvrapporteur" w:val="Raportor: "/>
    <w:docVar w:name="dvtitre" w:val="Decizia Parlamentului European din 11 aprilie 2024 privind cererea de ridicare a imunității lui Gunnar Beck(2023/2192(IMM))"/>
  </w:docVars>
  <w:rsids>
    <w:rsidRoot w:val="00134DD9"/>
    <w:rsid w:val="00002272"/>
    <w:rsid w:val="00064002"/>
    <w:rsid w:val="000677B9"/>
    <w:rsid w:val="000831BA"/>
    <w:rsid w:val="000A42CC"/>
    <w:rsid w:val="000C7910"/>
    <w:rsid w:val="000E7DD9"/>
    <w:rsid w:val="0010095E"/>
    <w:rsid w:val="00125B37"/>
    <w:rsid w:val="00134DD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7FC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1C87"/>
    <w:rsid w:val="008840E5"/>
    <w:rsid w:val="00887B3E"/>
    <w:rsid w:val="008C2AC6"/>
    <w:rsid w:val="00930C23"/>
    <w:rsid w:val="0093193B"/>
    <w:rsid w:val="009509D8"/>
    <w:rsid w:val="00950B64"/>
    <w:rsid w:val="00981893"/>
    <w:rsid w:val="009E0CD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158"/>
    <w:rsid w:val="00C61C0C"/>
    <w:rsid w:val="00C941CB"/>
    <w:rsid w:val="00CA699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A07EA6F-4594-41C2-B333-265194821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1C8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881C87"/>
    <w:pPr>
      <w:keepNext/>
      <w:spacing w:after="480"/>
      <w:jc w:val="center"/>
    </w:pPr>
    <w:rPr>
      <w:rFonts w:ascii="Arial" w:hAnsi="Arial" w:cs="Arial"/>
      <w:b/>
    </w:rPr>
  </w:style>
  <w:style w:type="paragraph" w:customStyle="1" w:styleId="NormalHanging12a">
    <w:name w:val="NormalHanging12a"/>
    <w:basedOn w:val="Normal"/>
    <w:rsid w:val="00881C87"/>
    <w:pPr>
      <w:spacing w:after="240"/>
      <w:ind w:left="567" w:hanging="567"/>
    </w:pPr>
  </w:style>
  <w:style w:type="paragraph" w:styleId="Header">
    <w:name w:val="header"/>
    <w:basedOn w:val="Normal"/>
    <w:link w:val="HeaderChar"/>
    <w:rsid w:val="00881C87"/>
    <w:pPr>
      <w:tabs>
        <w:tab w:val="center" w:pos="4513"/>
        <w:tab w:val="right" w:pos="9026"/>
      </w:tabs>
    </w:pPr>
  </w:style>
  <w:style w:type="character" w:customStyle="1" w:styleId="HeaderChar">
    <w:name w:val="Header Char"/>
    <w:basedOn w:val="DefaultParagraphFont"/>
    <w:link w:val="Header"/>
    <w:rsid w:val="00881C87"/>
    <w:rPr>
      <w:sz w:val="24"/>
      <w:lang w:val="ro-RO"/>
    </w:rPr>
  </w:style>
  <w:style w:type="paragraph" w:customStyle="1" w:styleId="EPFooter">
    <w:name w:val="EPFooter"/>
    <w:basedOn w:val="Normal"/>
    <w:rsid w:val="00881C87"/>
    <w:pPr>
      <w:tabs>
        <w:tab w:val="center" w:pos="4535"/>
        <w:tab w:val="right" w:pos="9071"/>
      </w:tabs>
      <w:spacing w:before="240" w:after="240"/>
    </w:pPr>
    <w:rPr>
      <w:color w:val="010000"/>
      <w:sz w:val="22"/>
    </w:rPr>
  </w:style>
  <w:style w:type="paragraph" w:customStyle="1" w:styleId="EPComma">
    <w:name w:val="EPComma"/>
    <w:basedOn w:val="Normal"/>
    <w:rsid w:val="00881C87"/>
    <w:pPr>
      <w:spacing w:before="480" w:after="240"/>
    </w:pPr>
  </w:style>
  <w:style w:type="paragraph" w:customStyle="1" w:styleId="Normal24a">
    <w:name w:val="Normal24a"/>
    <w:basedOn w:val="Normal"/>
    <w:rsid w:val="00881C87"/>
    <w:pPr>
      <w:spacing w:after="480"/>
    </w:pPr>
  </w:style>
  <w:style w:type="paragraph" w:styleId="Footer">
    <w:name w:val="footer"/>
    <w:basedOn w:val="Normal"/>
    <w:link w:val="FooterChar"/>
    <w:rsid w:val="00CA699F"/>
    <w:pPr>
      <w:tabs>
        <w:tab w:val="center" w:pos="4513"/>
        <w:tab w:val="right" w:pos="9026"/>
      </w:tabs>
    </w:pPr>
  </w:style>
  <w:style w:type="character" w:customStyle="1" w:styleId="FooterChar">
    <w:name w:val="Footer Char"/>
    <w:basedOn w:val="DefaultParagraphFont"/>
    <w:link w:val="Footer"/>
    <w:rsid w:val="00CA699F"/>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EA0D9-DEA0-457B-AA5F-1F40D60CA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802</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2024-04-11T15:24:00Z</dcterms:created>
  <dcterms:modified xsi:type="dcterms:W3CDTF">2024-04-11T15:24:00Z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A9-0170/2024</vt:lpwstr>
  </property>
  <property fmtid="{D5CDD505-2E9C-101B-9397-08002B2CF9AE}" pid="4" name="&lt;Type&gt;">
    <vt:lpwstr>RR</vt:lpwstr>
  </property>
</Properties>
</file>