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65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6514" w:rsidRDefault="001919D8" w:rsidP="0010095E">
            <w:pPr>
              <w:pStyle w:val="EPName"/>
            </w:pPr>
            <w:bookmarkStart w:id="0" w:name="_GoBack"/>
            <w:bookmarkEnd w:id="0"/>
            <w:r w:rsidRPr="00B16514">
              <w:t>Parlamento europeo</w:t>
            </w:r>
          </w:p>
          <w:p w:rsidR="00751A4A" w:rsidRPr="00B165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651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16514" w:rsidRDefault="00187494" w:rsidP="0010095E">
            <w:pPr>
              <w:pStyle w:val="EPLogo"/>
            </w:pPr>
            <w:r w:rsidRPr="00B165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6514" w:rsidRDefault="00D058B8" w:rsidP="004C5D52">
      <w:pPr>
        <w:pStyle w:val="LineTop"/>
      </w:pPr>
    </w:p>
    <w:p w:rsidR="00680577" w:rsidRPr="00B16514" w:rsidRDefault="001919D8" w:rsidP="00680577">
      <w:pPr>
        <w:pStyle w:val="EPBodyTA1"/>
      </w:pPr>
      <w:r w:rsidRPr="00B16514">
        <w:t>TESTI APPROVATI</w:t>
      </w:r>
    </w:p>
    <w:p w:rsidR="00D058B8" w:rsidRPr="00B16514" w:rsidRDefault="00D058B8" w:rsidP="00D058B8">
      <w:pPr>
        <w:pStyle w:val="LineBottom"/>
      </w:pPr>
    </w:p>
    <w:p w:rsidR="001919D8" w:rsidRPr="00B16514" w:rsidRDefault="001919D8" w:rsidP="001919D8">
      <w:pPr>
        <w:pStyle w:val="ATHeading1"/>
      </w:pPr>
      <w:bookmarkStart w:id="1" w:name="TANumber"/>
      <w:r w:rsidRPr="00B16514">
        <w:t>P9_</w:t>
      </w:r>
      <w:proofErr w:type="gramStart"/>
      <w:r w:rsidRPr="00B16514">
        <w:t>TA(</w:t>
      </w:r>
      <w:proofErr w:type="gramEnd"/>
      <w:r w:rsidRPr="00B16514">
        <w:t>2024)0</w:t>
      </w:r>
      <w:bookmarkEnd w:id="1"/>
      <w:r w:rsidR="00B16514" w:rsidRPr="00B16514">
        <w:t>225</w:t>
      </w:r>
    </w:p>
    <w:p w:rsidR="001919D8" w:rsidRPr="00B16514" w:rsidRDefault="001919D8" w:rsidP="001919D8">
      <w:pPr>
        <w:pStyle w:val="ATHeading2"/>
      </w:pPr>
      <w:bookmarkStart w:id="2" w:name="title"/>
      <w:r w:rsidRPr="00B16514">
        <w:t xml:space="preserve">Richiesta di revoca dell'immunità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bookmarkEnd w:id="2"/>
      <w:proofErr w:type="spellEnd"/>
    </w:p>
    <w:p w:rsidR="001919D8" w:rsidRPr="00B16514" w:rsidRDefault="001919D8" w:rsidP="001919D8">
      <w:pPr>
        <w:rPr>
          <w:i/>
          <w:vanish/>
        </w:rPr>
      </w:pPr>
      <w:r w:rsidRPr="00B16514">
        <w:rPr>
          <w:i/>
        </w:rPr>
        <w:fldChar w:fldCharType="begin"/>
      </w:r>
      <w:r w:rsidRPr="00B16514">
        <w:rPr>
          <w:i/>
        </w:rPr>
        <w:instrText xml:space="preserve"> TC"(</w:instrText>
      </w:r>
      <w:bookmarkStart w:id="3" w:name="DocNumber"/>
      <w:r w:rsidRPr="00B16514">
        <w:rPr>
          <w:i/>
        </w:rPr>
        <w:instrText>A9-0169/2024</w:instrText>
      </w:r>
      <w:bookmarkEnd w:id="3"/>
      <w:r w:rsidRPr="00B16514">
        <w:rPr>
          <w:i/>
        </w:rPr>
        <w:instrText xml:space="preserve"> - Relatore: Gilles Lebreton)"\l3 \n&gt; \* MERGEFORMAT </w:instrText>
      </w:r>
      <w:r w:rsidRPr="00B16514">
        <w:rPr>
          <w:i/>
        </w:rPr>
        <w:fldChar w:fldCharType="end"/>
      </w:r>
    </w:p>
    <w:p w:rsidR="001919D8" w:rsidRPr="00B16514" w:rsidRDefault="001919D8" w:rsidP="001919D8">
      <w:pPr>
        <w:rPr>
          <w:vanish/>
        </w:rPr>
      </w:pPr>
      <w:bookmarkStart w:id="4" w:name="Commission"/>
      <w:r w:rsidRPr="00B16514">
        <w:rPr>
          <w:vanish/>
        </w:rPr>
        <w:t>Commissione giuridica</w:t>
      </w:r>
      <w:bookmarkEnd w:id="4"/>
    </w:p>
    <w:p w:rsidR="001919D8" w:rsidRPr="00B16514" w:rsidRDefault="001919D8" w:rsidP="001919D8">
      <w:pPr>
        <w:rPr>
          <w:vanish/>
        </w:rPr>
      </w:pPr>
      <w:bookmarkStart w:id="5" w:name="PE"/>
      <w:r w:rsidRPr="00B16514">
        <w:rPr>
          <w:vanish/>
        </w:rPr>
        <w:t>PE759.886</w:t>
      </w:r>
      <w:bookmarkEnd w:id="5"/>
    </w:p>
    <w:p w:rsidR="001919D8" w:rsidRPr="00B16514" w:rsidRDefault="001919D8" w:rsidP="00422A81">
      <w:pPr>
        <w:pStyle w:val="ATHeading3"/>
      </w:pPr>
      <w:bookmarkStart w:id="6" w:name="Sujet"/>
      <w:r w:rsidRPr="00B16514">
        <w:t xml:space="preserve">Decisione del Parlamento europeo dell'11 aprile 2024 sulla richiesta di revoca dell'immunità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bookmarkEnd w:id="6"/>
      <w:proofErr w:type="spellEnd"/>
      <w:r w:rsidRPr="00B16514">
        <w:t xml:space="preserve"> </w:t>
      </w:r>
      <w:bookmarkStart w:id="7" w:name="References"/>
      <w:r w:rsidRPr="00B16514">
        <w:t>(2023/2090(IMM))</w:t>
      </w:r>
      <w:bookmarkEnd w:id="7"/>
    </w:p>
    <w:p w:rsidR="00A33801" w:rsidRPr="00B16514" w:rsidRDefault="00A33801" w:rsidP="00A33801">
      <w:pPr>
        <w:pStyle w:val="EPComma"/>
      </w:pPr>
      <w:bookmarkStart w:id="8" w:name="TextBodyBegin"/>
      <w:bookmarkEnd w:id="8"/>
      <w:r w:rsidRPr="00B16514">
        <w:rPr>
          <w:i/>
        </w:rPr>
        <w:t>Il Parlamento europeo</w:t>
      </w:r>
      <w:r w:rsidRPr="00B16514">
        <w:t>,</w:t>
      </w:r>
    </w:p>
    <w:p w:rsidR="00A33801" w:rsidRPr="00B16514" w:rsidRDefault="00A33801" w:rsidP="00A33801">
      <w:pPr>
        <w:pStyle w:val="NormalHanging12a"/>
      </w:pPr>
      <w:r w:rsidRPr="00B16514">
        <w:t>–</w:t>
      </w:r>
      <w:r w:rsidRPr="00B16514">
        <w:tab/>
        <w:t xml:space="preserve">vista la richiesta di revoca dell'immunità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 xml:space="preserve"> </w:t>
      </w:r>
      <w:r w:rsidR="00422A81" w:rsidRPr="00B16514">
        <w:t>da parte del</w:t>
      </w:r>
      <w:r w:rsidRPr="00B16514">
        <w:t xml:space="preserve"> Procuratore presso la Divisione per il coordinamento anticorruzione del Dipartimento di giustizia penale della Procura generale di Riga in data 24 maggio 2023 e trasmessa nella stessa data dal Procuratore generale della Repubblica di Lettonia, nel </w:t>
      </w:r>
      <w:r w:rsidR="00422A81" w:rsidRPr="00B16514">
        <w:t xml:space="preserve">quadro </w:t>
      </w:r>
      <w:r w:rsidRPr="00B16514">
        <w:t xml:space="preserve">di un procedimento penale da avviare nella Repubblica di Lettonia, e </w:t>
      </w:r>
      <w:r w:rsidR="00422A81" w:rsidRPr="00B16514">
        <w:t xml:space="preserve">comunicata </w:t>
      </w:r>
      <w:r w:rsidRPr="00B16514">
        <w:t>in Aula il 14 giugno 2023,</w:t>
      </w:r>
    </w:p>
    <w:p w:rsidR="00A33801" w:rsidRPr="00B16514" w:rsidRDefault="00A33801" w:rsidP="00A33801">
      <w:pPr>
        <w:pStyle w:val="NormalHanging12a"/>
      </w:pPr>
      <w:r w:rsidRPr="00B16514">
        <w:t>–</w:t>
      </w:r>
      <w:r w:rsidRPr="00B16514">
        <w:tab/>
        <w:t xml:space="preserve">avendo ascoltato Nils </w:t>
      </w:r>
      <w:proofErr w:type="spellStart"/>
      <w:r w:rsidRPr="00B16514">
        <w:t>Ušakovs</w:t>
      </w:r>
      <w:proofErr w:type="spellEnd"/>
      <w:r w:rsidRPr="00B16514">
        <w:t xml:space="preserve">, a nome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>, a norma dell'articolo 9, paragrafo 6, del suo regolamento,</w:t>
      </w:r>
    </w:p>
    <w:p w:rsidR="00A33801" w:rsidRPr="00B16514" w:rsidRDefault="00A33801" w:rsidP="00A33801">
      <w:pPr>
        <w:pStyle w:val="NormalHanging12a"/>
      </w:pPr>
      <w:r w:rsidRPr="00B16514">
        <w:t>–</w:t>
      </w:r>
      <w:r w:rsidRPr="00B16514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A33801" w:rsidRPr="00B16514" w:rsidRDefault="00A33801" w:rsidP="00A33801">
      <w:pPr>
        <w:pStyle w:val="NormalHanging12a"/>
      </w:pPr>
      <w:r w:rsidRPr="00B16514">
        <w:t>–</w:t>
      </w:r>
      <w:r w:rsidRPr="00B16514">
        <w:tab/>
        <w:t>visti gli articoli 29 e 30 della Costituzione lettone,</w:t>
      </w:r>
    </w:p>
    <w:p w:rsidR="00A33801" w:rsidRPr="00B16514" w:rsidRDefault="00A33801" w:rsidP="00A33801">
      <w:pPr>
        <w:pStyle w:val="NormalHanging12a"/>
      </w:pPr>
      <w:r w:rsidRPr="00B16514">
        <w:t>–</w:t>
      </w:r>
      <w:r w:rsidRPr="00B16514">
        <w:tab/>
        <w:t>viste le sentenze pronunciate dalla Corte di giustizia dell'Unione europea il 21 ottobre 2008, 19 marzo 2010, 6 settembre 2011, 17 gennaio 2013 e 19 dicembre 2019</w:t>
      </w:r>
      <w:r w:rsidRPr="00B16514">
        <w:rPr>
          <w:rStyle w:val="FootnoteReference"/>
        </w:rPr>
        <w:footnoteReference w:id="1"/>
      </w:r>
      <w:r w:rsidRPr="00B16514">
        <w:t>,</w:t>
      </w:r>
    </w:p>
    <w:p w:rsidR="00A33801" w:rsidRPr="00B16514" w:rsidRDefault="00A33801" w:rsidP="00A33801">
      <w:pPr>
        <w:pStyle w:val="NormalHanging12a"/>
      </w:pPr>
      <w:r w:rsidRPr="00B16514">
        <w:t>–</w:t>
      </w:r>
      <w:r w:rsidRPr="00B16514">
        <w:tab/>
        <w:t>visti l'articolo 5, paragrafo 2, l'articolo 6, paragrafo 1, e l'articolo 9 del suo regolamento,</w:t>
      </w:r>
    </w:p>
    <w:p w:rsidR="00A33801" w:rsidRPr="00B16514" w:rsidRDefault="00A33801" w:rsidP="00A33801">
      <w:pPr>
        <w:pStyle w:val="NormalHanging12a"/>
      </w:pPr>
      <w:r w:rsidRPr="00B16514">
        <w:lastRenderedPageBreak/>
        <w:t>–</w:t>
      </w:r>
      <w:r w:rsidRPr="00B16514">
        <w:tab/>
        <w:t>vista la relazione della commissione giuridica (A9</w:t>
      </w:r>
      <w:r w:rsidRPr="00B16514">
        <w:noBreakHyphen/>
        <w:t>0169/2024),</w:t>
      </w:r>
    </w:p>
    <w:p w:rsidR="00A33801" w:rsidRPr="00B16514" w:rsidRDefault="00A33801" w:rsidP="00A33801">
      <w:pPr>
        <w:pStyle w:val="NormalHanging12a"/>
      </w:pPr>
      <w:r w:rsidRPr="00B16514">
        <w:t>A.</w:t>
      </w:r>
      <w:r w:rsidRPr="00B16514">
        <w:tab/>
        <w:t xml:space="preserve">considerando che il Procuratore presso la Divisione per il coordinamento anticorruzione del Dipartimento di giustizia penale della Procura generale di Riga ha chiesto la revoca dell'immunità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>, deputato al Parlamento europeo eletto per la Lettonia, al fine di avviare un procedimento penale nei suoi confronti per un reato consistente nell'otte</w:t>
      </w:r>
      <w:r w:rsidR="00422A81" w:rsidRPr="00B16514">
        <w:t xml:space="preserve">nimento </w:t>
      </w:r>
      <w:proofErr w:type="gramStart"/>
      <w:r w:rsidR="00422A81" w:rsidRPr="00B16514">
        <w:t xml:space="preserve">di </w:t>
      </w:r>
      <w:r w:rsidRPr="00B16514">
        <w:t xml:space="preserve"> una</w:t>
      </w:r>
      <w:proofErr w:type="gramEnd"/>
      <w:r w:rsidRPr="00B16514">
        <w:t xml:space="preserve"> tangente prima di commettere un atto illecito nell'interesse di un terzo</w:t>
      </w:r>
      <w:r w:rsidR="00422A81" w:rsidRPr="00B16514">
        <w:t>,</w:t>
      </w:r>
      <w:r w:rsidRPr="00B16514">
        <w:t xml:space="preserve"> avvalendosi della sua posizione ufficiale, ai sensi dell'articolo 320, paragrafo 4, del Codice penale lettone;</w:t>
      </w:r>
    </w:p>
    <w:p w:rsidR="00A33801" w:rsidRPr="00B16514" w:rsidRDefault="00A33801" w:rsidP="00A33801">
      <w:pPr>
        <w:pStyle w:val="NormalHanging12a"/>
      </w:pPr>
      <w:r w:rsidRPr="00B16514">
        <w:t>B.</w:t>
      </w:r>
      <w:r w:rsidRPr="00B16514">
        <w:tab/>
        <w:t xml:space="preserve">considerando che, nel periodo compreso tra il 22 luglio 2017 e il 17 settembre 2017,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 xml:space="preserve">, in qualità di vicepresidente del comune di Riga e quindi dotato di autorità pubblica in una posizione di responsabilità, avrebbe </w:t>
      </w:r>
      <w:r w:rsidR="00422A81" w:rsidRPr="00B16514">
        <w:t>chiesto</w:t>
      </w:r>
      <w:r w:rsidRPr="00B16514">
        <w:t xml:space="preserve">, tra l'altro, una tangente </w:t>
      </w:r>
      <w:r w:rsidR="00D772A7" w:rsidRPr="00B16514">
        <w:t>al</w:t>
      </w:r>
      <w:r w:rsidRPr="00B16514">
        <w:t xml:space="preserve"> proprietario intermediario di una società di trasporto con minibus pari al 50 % delle somme che tale società riceveva dal comune di Riga per i passeggeri da lui trasportati, che avrebbero avuto diritto a riduzioni delle tariffe di trasporto;</w:t>
      </w:r>
    </w:p>
    <w:p w:rsidR="00A33801" w:rsidRPr="00B16514" w:rsidRDefault="00A33801" w:rsidP="00A33801">
      <w:pPr>
        <w:pStyle w:val="NormalHanging12a"/>
      </w:pPr>
      <w:r w:rsidRPr="00B16514">
        <w:t>C.</w:t>
      </w:r>
      <w:r w:rsidRPr="00B16514">
        <w:tab/>
        <w:t xml:space="preserve">considerando che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 xml:space="preserve"> è stato eletto al Parlamento europeo in seguito alle elezioni europee del maggio 2019;</w:t>
      </w:r>
    </w:p>
    <w:p w:rsidR="00A33801" w:rsidRPr="00B16514" w:rsidRDefault="00A33801" w:rsidP="00A33801">
      <w:pPr>
        <w:spacing w:after="240"/>
        <w:ind w:left="567" w:hanging="567"/>
      </w:pPr>
      <w:r w:rsidRPr="00B16514">
        <w:t>D.</w:t>
      </w:r>
      <w:r w:rsidRPr="00B16514">
        <w:tab/>
        <w:t xml:space="preserve">considerando che il presunto </w:t>
      </w:r>
      <w:r w:rsidR="00D772A7" w:rsidRPr="00B16514">
        <w:t xml:space="preserve">reato </w:t>
      </w:r>
      <w:r w:rsidRPr="00B16514">
        <w:t xml:space="preserve">non riguarda opinioni o voti espressi da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 xml:space="preserve"> nell'esercizio delle sue funzioni ai sensi dell'articolo 8 del protocollo n. 7 sui privilegi e sulle immunità dell'Unione europea;</w:t>
      </w:r>
    </w:p>
    <w:p w:rsidR="00A33801" w:rsidRPr="00B16514" w:rsidRDefault="00A33801" w:rsidP="00A33801">
      <w:pPr>
        <w:spacing w:after="240"/>
        <w:ind w:left="567" w:hanging="567"/>
      </w:pPr>
      <w:r w:rsidRPr="00B16514">
        <w:t>E.</w:t>
      </w:r>
      <w:r w:rsidRPr="00B16514">
        <w:tab/>
        <w:t>considerando che l'articolo 9 del protocollo n. 7 sui privilegi e sulle immunità dell'Unione europea stabilisce che i membri del Parlamento europeo beneficiano, sul territorio nazionale, delle immunità riconosciute ai membri del parlamento del loro paese;</w:t>
      </w:r>
    </w:p>
    <w:p w:rsidR="00A33801" w:rsidRPr="00B16514" w:rsidRDefault="00A33801" w:rsidP="00A33801">
      <w:pPr>
        <w:spacing w:after="240"/>
        <w:ind w:left="567" w:hanging="567"/>
      </w:pPr>
      <w:r w:rsidRPr="00B16514">
        <w:t>F.</w:t>
      </w:r>
      <w:r w:rsidRPr="00B16514">
        <w:tab/>
        <w:t>considerando che gli articoli 29 e 30 della Costituzione lettone stabiliscono quanto segue:</w:t>
      </w:r>
    </w:p>
    <w:p w:rsidR="00A33801" w:rsidRPr="00B16514" w:rsidRDefault="00A33801" w:rsidP="00A33801">
      <w:pPr>
        <w:spacing w:after="240"/>
        <w:ind w:left="567"/>
        <w:rPr>
          <w:b/>
          <w:bCs/>
        </w:rPr>
      </w:pPr>
      <w:r w:rsidRPr="00B16514">
        <w:t>"Articolo 29</w:t>
      </w:r>
    </w:p>
    <w:p w:rsidR="00A33801" w:rsidRPr="00B16514" w:rsidRDefault="00A33801" w:rsidP="00A33801">
      <w:pPr>
        <w:spacing w:after="240"/>
        <w:ind w:left="567"/>
        <w:rPr>
          <w:b/>
          <w:bCs/>
        </w:rPr>
      </w:pPr>
      <w:r w:rsidRPr="00B16514">
        <w:t xml:space="preserve">I membri della </w:t>
      </w:r>
      <w:proofErr w:type="spellStart"/>
      <w:r w:rsidRPr="00B16514">
        <w:t>Saeima</w:t>
      </w:r>
      <w:proofErr w:type="spellEnd"/>
      <w:r w:rsidRPr="00B16514">
        <w:t xml:space="preserve"> non possono essere arrestati, né i loro locali possono essere perquisiti, e la loro libertà personale non può essere limitata in alcun modo senza il consenso della </w:t>
      </w:r>
      <w:proofErr w:type="spellStart"/>
      <w:r w:rsidRPr="00B16514">
        <w:t>Saeima</w:t>
      </w:r>
      <w:proofErr w:type="spellEnd"/>
      <w:r w:rsidRPr="00B16514">
        <w:t>. [...]</w:t>
      </w:r>
    </w:p>
    <w:p w:rsidR="00A33801" w:rsidRPr="00B16514" w:rsidRDefault="00A33801" w:rsidP="00A33801">
      <w:pPr>
        <w:spacing w:after="240"/>
        <w:ind w:left="567"/>
        <w:rPr>
          <w:bCs/>
        </w:rPr>
      </w:pPr>
      <w:r w:rsidRPr="00B16514">
        <w:t>Articolo 30</w:t>
      </w:r>
    </w:p>
    <w:p w:rsidR="00A33801" w:rsidRPr="00B16514" w:rsidRDefault="00A33801" w:rsidP="00A33801">
      <w:pPr>
        <w:spacing w:after="240"/>
        <w:ind w:left="567"/>
      </w:pPr>
      <w:r w:rsidRPr="00B16514">
        <w:t xml:space="preserve">Senza il consenso della </w:t>
      </w:r>
      <w:proofErr w:type="spellStart"/>
      <w:r w:rsidRPr="00B16514">
        <w:t>Saeima</w:t>
      </w:r>
      <w:proofErr w:type="spellEnd"/>
      <w:r w:rsidRPr="00B16514">
        <w:t xml:space="preserve"> non può avere inizio l'azione penale e non possono essere comminate sanzioni amministrative nei confronti dei suoi membri.";</w:t>
      </w:r>
    </w:p>
    <w:p w:rsidR="00A33801" w:rsidRPr="00B16514" w:rsidRDefault="00A33801" w:rsidP="00A33801">
      <w:pPr>
        <w:spacing w:after="240"/>
        <w:ind w:left="567" w:hanging="567"/>
      </w:pPr>
      <w:r w:rsidRPr="00B16514">
        <w:t>G.</w:t>
      </w:r>
      <w:r w:rsidRPr="00B16514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B16514">
        <w:rPr>
          <w:vertAlign w:val="superscript"/>
        </w:rPr>
        <w:footnoteReference w:id="2"/>
      </w:r>
      <w:r w:rsidRPr="00B16514">
        <w:t>;</w:t>
      </w:r>
    </w:p>
    <w:p w:rsidR="00A33801" w:rsidRPr="00B16514" w:rsidRDefault="00A33801" w:rsidP="00A33801">
      <w:pPr>
        <w:pStyle w:val="NormalHanging12a"/>
      </w:pPr>
      <w:r w:rsidRPr="00B16514">
        <w:t>H.</w:t>
      </w:r>
      <w:r w:rsidRPr="00B16514">
        <w:tab/>
        <w:t xml:space="preserve">considerando che l'immunità parlamentare è intesa a proteggere il Parlamento e i deputati che lo compongono da procedimenti penali relativi ad attività svolte </w:t>
      </w:r>
      <w:r w:rsidRPr="00B16514">
        <w:lastRenderedPageBreak/>
        <w:t>nell'esercizio del mandato parlamentare, che non possono essere disgiunte da tale mandato;</w:t>
      </w:r>
    </w:p>
    <w:p w:rsidR="00A33801" w:rsidRPr="00B16514" w:rsidRDefault="00A33801" w:rsidP="00A33801">
      <w:pPr>
        <w:pStyle w:val="NormalHanging12a"/>
      </w:pPr>
      <w:r w:rsidRPr="00B16514">
        <w:t>I.</w:t>
      </w:r>
      <w:r w:rsidRPr="00B16514">
        <w:tab/>
        <w:t>considerando che l'indagine non è stata in grado di stabilire con certezza il luogo e il momento esatti in cui sarebbe avvenuto il presunto reato;</w:t>
      </w:r>
    </w:p>
    <w:p w:rsidR="00A33801" w:rsidRPr="00B16514" w:rsidRDefault="00A33801" w:rsidP="00A33801">
      <w:pPr>
        <w:pStyle w:val="NormalHanging12a"/>
      </w:pPr>
      <w:r w:rsidRPr="00B16514">
        <w:t>J.</w:t>
      </w:r>
      <w:r w:rsidRPr="00B16514">
        <w:tab/>
        <w:t xml:space="preserve">considerando che il fatto contestato ad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 xml:space="preserve"> sarebbe stato commesso nel 2017 e che il Procuratore generale della Repubblica di Lettonia ha trasmesso la richiesta di revoca dell'immunità solo il 23 maggio 2023; che tale ritardo non è stato giustificato in modo convincente;</w:t>
      </w:r>
    </w:p>
    <w:p w:rsidR="00A33801" w:rsidRPr="00B16514" w:rsidRDefault="00A33801" w:rsidP="00A33801">
      <w:pPr>
        <w:pStyle w:val="NormalHanging12a"/>
      </w:pPr>
      <w:r w:rsidRPr="00B16514">
        <w:t>K.</w:t>
      </w:r>
      <w:r w:rsidRPr="00B16514">
        <w:tab/>
        <w:t>considerando che, secondo la giurisprudenza della CGUE, il Parlamento dispone di "un ampio potere discrezionale in ordine all'orientamento che intende attribuire alla decisione che fa seguito a una domanda di revoca dell'immunità [...], in considerazione del carattere politico che riveste una tale decisione"</w:t>
      </w:r>
      <w:r w:rsidRPr="00B16514">
        <w:rPr>
          <w:vertAlign w:val="superscript"/>
        </w:rPr>
        <w:footnoteReference w:id="3"/>
      </w:r>
      <w:r w:rsidRPr="00B16514">
        <w:t>;</w:t>
      </w:r>
    </w:p>
    <w:p w:rsidR="00A33801" w:rsidRPr="00B16514" w:rsidRDefault="00A33801" w:rsidP="00A33801">
      <w:pPr>
        <w:pStyle w:val="NormalHanging12a"/>
        <w:rPr>
          <w:szCs w:val="24"/>
        </w:rPr>
      </w:pPr>
      <w:r w:rsidRPr="00B16514">
        <w:t>L.</w:t>
      </w:r>
      <w:r w:rsidRPr="00B16514">
        <w:tab/>
        <w:t xml:space="preserve">considerando che la corrispondenza fra questi elementi concreti fa sorgere il serio dubbio che vi possa essere l'intenzione di danneggiare l'attività politica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 xml:space="preserve"> e in particolare la sua attività di deputato al Parlamento europeo; considerando che, sulla base delle informazioni e delle spiegazioni fornite nel caso di specie, comprese le risposte fornite dal Procuratore generale aggiunto della Repubblica di Lettonia durante uno scambio di opinioni, vi è incertezza riguardo agli elementi su cui si basa la richiesta di revoca dell'immunità e permangono seri dubbi in merito alla procedura, compresi i motivi alla base della richiesta di revoca dell'immunità;</w:t>
      </w:r>
    </w:p>
    <w:p w:rsidR="00A33801" w:rsidRPr="00B16514" w:rsidRDefault="00A33801" w:rsidP="00A33801">
      <w:pPr>
        <w:pStyle w:val="NormalHanging12a"/>
        <w:rPr>
          <w:szCs w:val="24"/>
        </w:rPr>
      </w:pPr>
      <w:r w:rsidRPr="00B16514">
        <w:t>M.</w:t>
      </w:r>
      <w:r w:rsidRPr="00B16514">
        <w:tab/>
        <w:t xml:space="preserve">considerando che sembrerebbe dunque trattarsi di una vicenda in cui è possibile presupporre un caso di </w:t>
      </w:r>
      <w:proofErr w:type="spellStart"/>
      <w:r w:rsidRPr="00B16514">
        <w:rPr>
          <w:i/>
        </w:rPr>
        <w:t>fumus</w:t>
      </w:r>
      <w:proofErr w:type="spellEnd"/>
      <w:r w:rsidRPr="00B16514">
        <w:rPr>
          <w:i/>
        </w:rPr>
        <w:t xml:space="preserve"> </w:t>
      </w:r>
      <w:proofErr w:type="spellStart"/>
      <w:r w:rsidRPr="00B16514">
        <w:rPr>
          <w:i/>
        </w:rPr>
        <w:t>persecutionis</w:t>
      </w:r>
      <w:proofErr w:type="spellEnd"/>
      <w:r w:rsidRPr="00B16514">
        <w:t>, vale a dire "elementi concreti"</w:t>
      </w:r>
      <w:r w:rsidRPr="00B16514">
        <w:rPr>
          <w:szCs w:val="24"/>
          <w:vertAlign w:val="superscript"/>
        </w:rPr>
        <w:footnoteReference w:id="4"/>
      </w:r>
      <w:r w:rsidRPr="00B16514">
        <w:t xml:space="preserve"> dai quali si evince che l'intento alla base del procedimento giudiziario in questione è quello di danneggiare l'attività politica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 xml:space="preserve"> e, tra l'altro, la sua attività di deputato al Parlamento europeo;</w:t>
      </w:r>
    </w:p>
    <w:p w:rsidR="00A33801" w:rsidRPr="00B16514" w:rsidRDefault="00A33801" w:rsidP="00A33801">
      <w:pPr>
        <w:pStyle w:val="NormalHanging12a"/>
        <w:rPr>
          <w:szCs w:val="24"/>
        </w:rPr>
      </w:pPr>
      <w:r w:rsidRPr="00B16514">
        <w:t>1.</w:t>
      </w:r>
      <w:r w:rsidRPr="00B16514">
        <w:tab/>
        <w:t xml:space="preserve">decide di non revocare l'immunità di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>;</w:t>
      </w:r>
    </w:p>
    <w:p w:rsidR="00A33801" w:rsidRPr="00B16514" w:rsidRDefault="00A33801" w:rsidP="00A33801">
      <w:pPr>
        <w:pStyle w:val="NormalHanging12a"/>
      </w:pPr>
      <w:r w:rsidRPr="00B16514">
        <w:t>2.</w:t>
      </w:r>
      <w:r w:rsidRPr="00B16514">
        <w:tab/>
        <w:t xml:space="preserve">incarica la sua Presidente di trasmettere immediatamente la presente decisione e la relazione della sua commissione competente all'autorità competente della Repubblica di Lettonia e ad </w:t>
      </w:r>
      <w:proofErr w:type="spellStart"/>
      <w:r w:rsidRPr="00B16514">
        <w:t>Andris</w:t>
      </w:r>
      <w:proofErr w:type="spellEnd"/>
      <w:r w:rsidRPr="00B16514">
        <w:t xml:space="preserve"> </w:t>
      </w:r>
      <w:proofErr w:type="spellStart"/>
      <w:r w:rsidRPr="00B16514">
        <w:t>Ameriks</w:t>
      </w:r>
      <w:proofErr w:type="spellEnd"/>
      <w:r w:rsidRPr="00B16514">
        <w:t>.</w:t>
      </w:r>
    </w:p>
    <w:sectPr w:rsidR="00A33801" w:rsidRPr="00B16514" w:rsidSect="00EF4B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9D8" w:rsidRPr="00EF4B3A" w:rsidRDefault="001919D8">
      <w:r w:rsidRPr="00EF4B3A">
        <w:separator/>
      </w:r>
    </w:p>
  </w:endnote>
  <w:endnote w:type="continuationSeparator" w:id="0">
    <w:p w:rsidR="001919D8" w:rsidRPr="00EF4B3A" w:rsidRDefault="001919D8">
      <w:r w:rsidRPr="00EF4B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4B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4B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4B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9D8" w:rsidRPr="00EF4B3A" w:rsidRDefault="001919D8">
      <w:r w:rsidRPr="00EF4B3A">
        <w:separator/>
      </w:r>
    </w:p>
  </w:footnote>
  <w:footnote w:type="continuationSeparator" w:id="0">
    <w:p w:rsidR="001919D8" w:rsidRPr="00EF4B3A" w:rsidRDefault="001919D8">
      <w:r w:rsidRPr="00EF4B3A">
        <w:continuationSeparator/>
      </w:r>
    </w:p>
  </w:footnote>
  <w:footnote w:id="1">
    <w:p w:rsidR="00A33801" w:rsidRPr="00EF4B3A" w:rsidRDefault="00A33801" w:rsidP="00EF4B3A">
      <w:pPr>
        <w:pStyle w:val="FootnoteText"/>
        <w:ind w:left="567" w:hanging="567"/>
        <w:rPr>
          <w:sz w:val="24"/>
          <w:lang w:val="it-IT"/>
        </w:rPr>
      </w:pPr>
      <w:r w:rsidRPr="00EF4B3A">
        <w:rPr>
          <w:rStyle w:val="FootnoteReference"/>
          <w:sz w:val="24"/>
          <w:lang w:val="it-IT"/>
        </w:rPr>
        <w:footnoteRef/>
      </w:r>
      <w:r w:rsidR="00EF4B3A" w:rsidRPr="00EF4B3A">
        <w:rPr>
          <w:sz w:val="24"/>
          <w:lang w:val="it-IT"/>
        </w:rPr>
        <w:t xml:space="preserve"> </w:t>
      </w:r>
      <w:r w:rsidR="00EF4B3A" w:rsidRPr="00EF4B3A">
        <w:rPr>
          <w:sz w:val="24"/>
          <w:lang w:val="it-IT"/>
        </w:rPr>
        <w:tab/>
      </w:r>
      <w:r w:rsidRPr="00EF4B3A">
        <w:rPr>
          <w:sz w:val="24"/>
          <w:lang w:val="it-IT"/>
        </w:rPr>
        <w:t xml:space="preserve">Sentenza della Corte di giustizia del 21 ottobre 2008, </w:t>
      </w:r>
      <w:r w:rsidRPr="00B16514">
        <w:rPr>
          <w:i/>
          <w:sz w:val="24"/>
          <w:lang w:val="it-IT"/>
        </w:rPr>
        <w:t>Marra/De Gregorio e Clemente</w:t>
      </w:r>
      <w:r w:rsidRPr="00EF4B3A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B16514">
        <w:rPr>
          <w:i/>
          <w:sz w:val="24"/>
          <w:lang w:val="it-IT"/>
        </w:rPr>
        <w:t>Gollnisch</w:t>
      </w:r>
      <w:proofErr w:type="spellEnd"/>
      <w:r w:rsidRPr="00B16514">
        <w:rPr>
          <w:i/>
          <w:sz w:val="24"/>
          <w:lang w:val="it-IT"/>
        </w:rPr>
        <w:t>/Parlamento</w:t>
      </w:r>
      <w:r w:rsidRPr="00EF4B3A">
        <w:rPr>
          <w:sz w:val="24"/>
          <w:lang w:val="it-IT"/>
        </w:rPr>
        <w:t xml:space="preserve">, T-42/06, ECLI:EU:T:2010:102; sentenza della Corte di giustizia del 6 settembre 2011, Patriciello, C-163/10, ECLI:EU:C:2011:543; sentenza del Tribunale del 17 gennaio 2013, </w:t>
      </w:r>
      <w:proofErr w:type="spellStart"/>
      <w:r w:rsidRPr="00B16514">
        <w:rPr>
          <w:i/>
          <w:sz w:val="24"/>
          <w:lang w:val="it-IT"/>
        </w:rPr>
        <w:t>Gollnisch</w:t>
      </w:r>
      <w:proofErr w:type="spellEnd"/>
      <w:r w:rsidRPr="00B16514">
        <w:rPr>
          <w:i/>
          <w:sz w:val="24"/>
          <w:lang w:val="it-IT"/>
        </w:rPr>
        <w:t>/Parlamento</w:t>
      </w:r>
      <w:r w:rsidRPr="00EF4B3A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B16514">
        <w:rPr>
          <w:i/>
          <w:sz w:val="24"/>
          <w:lang w:val="it-IT"/>
        </w:rPr>
        <w:t>Junqueras</w:t>
      </w:r>
      <w:proofErr w:type="spellEnd"/>
      <w:r w:rsidRPr="00B16514">
        <w:rPr>
          <w:i/>
          <w:sz w:val="24"/>
          <w:lang w:val="it-IT"/>
        </w:rPr>
        <w:t xml:space="preserve"> </w:t>
      </w:r>
      <w:proofErr w:type="spellStart"/>
      <w:r w:rsidRPr="00B16514">
        <w:rPr>
          <w:i/>
          <w:sz w:val="24"/>
          <w:lang w:val="it-IT"/>
        </w:rPr>
        <w:t>Vies</w:t>
      </w:r>
      <w:proofErr w:type="spellEnd"/>
      <w:r w:rsidRPr="00EF4B3A">
        <w:rPr>
          <w:sz w:val="24"/>
          <w:lang w:val="it-IT"/>
        </w:rPr>
        <w:t>, C-502/19, ECLI:EU:C:2019:1115.)</w:t>
      </w:r>
    </w:p>
  </w:footnote>
  <w:footnote w:id="2">
    <w:p w:rsidR="00A33801" w:rsidRPr="00EF4B3A" w:rsidRDefault="00A33801" w:rsidP="00EF4B3A">
      <w:pPr>
        <w:pStyle w:val="FootnoteText"/>
        <w:ind w:left="567" w:hanging="567"/>
        <w:rPr>
          <w:sz w:val="24"/>
          <w:lang w:val="it-IT"/>
        </w:rPr>
      </w:pPr>
      <w:r w:rsidRPr="00EF4B3A">
        <w:rPr>
          <w:rStyle w:val="FootnoteReference"/>
          <w:sz w:val="24"/>
          <w:lang w:val="it-IT"/>
        </w:rPr>
        <w:footnoteRef/>
      </w:r>
      <w:r w:rsidR="00EF4B3A" w:rsidRPr="00EF4B3A">
        <w:rPr>
          <w:sz w:val="24"/>
          <w:lang w:val="it-IT"/>
        </w:rPr>
        <w:t xml:space="preserve"> </w:t>
      </w:r>
      <w:r w:rsidR="00EF4B3A" w:rsidRPr="00EF4B3A">
        <w:rPr>
          <w:sz w:val="24"/>
          <w:lang w:val="it-IT"/>
        </w:rPr>
        <w:tab/>
      </w:r>
      <w:r w:rsidRPr="00EF4B3A">
        <w:rPr>
          <w:sz w:val="24"/>
          <w:lang w:val="it-IT"/>
        </w:rPr>
        <w:t xml:space="preserve">Sentenza del Tribunale del 30 aprile 2019, </w:t>
      </w:r>
      <w:proofErr w:type="spellStart"/>
      <w:r w:rsidRPr="00B16514">
        <w:rPr>
          <w:i/>
          <w:sz w:val="24"/>
          <w:lang w:val="it-IT"/>
        </w:rPr>
        <w:t>Briois</w:t>
      </w:r>
      <w:proofErr w:type="spellEnd"/>
      <w:r w:rsidRPr="00B16514">
        <w:rPr>
          <w:i/>
          <w:sz w:val="24"/>
          <w:lang w:val="it-IT"/>
        </w:rPr>
        <w:t>/Parlamento</w:t>
      </w:r>
      <w:r w:rsidRPr="00EF4B3A">
        <w:rPr>
          <w:sz w:val="24"/>
          <w:lang w:val="it-IT"/>
        </w:rPr>
        <w:t>, T-214/18, ECLI:</w:t>
      </w:r>
      <w:proofErr w:type="gramStart"/>
      <w:r w:rsidRPr="00EF4B3A">
        <w:rPr>
          <w:sz w:val="24"/>
          <w:lang w:val="it-IT"/>
        </w:rPr>
        <w:t>EU:T</w:t>
      </w:r>
      <w:proofErr w:type="gramEnd"/>
      <w:r w:rsidRPr="00EF4B3A">
        <w:rPr>
          <w:sz w:val="24"/>
          <w:lang w:val="it-IT"/>
        </w:rPr>
        <w:t>:2019:266.</w:t>
      </w:r>
    </w:p>
  </w:footnote>
  <w:footnote w:id="3">
    <w:p w:rsidR="00A33801" w:rsidRPr="00EF4B3A" w:rsidRDefault="00A33801" w:rsidP="00EF4B3A">
      <w:pPr>
        <w:pStyle w:val="FootnoteText"/>
        <w:ind w:left="567" w:hanging="567"/>
        <w:rPr>
          <w:sz w:val="24"/>
          <w:lang w:val="it-IT"/>
        </w:rPr>
      </w:pPr>
      <w:r w:rsidRPr="00EF4B3A">
        <w:rPr>
          <w:rStyle w:val="FootnoteReference"/>
          <w:sz w:val="24"/>
          <w:lang w:val="it-IT"/>
        </w:rPr>
        <w:footnoteRef/>
      </w:r>
      <w:r w:rsidR="00EF4B3A" w:rsidRPr="00EF4B3A">
        <w:rPr>
          <w:sz w:val="24"/>
          <w:lang w:val="it-IT"/>
        </w:rPr>
        <w:t xml:space="preserve"> </w:t>
      </w:r>
      <w:r w:rsidR="00EF4B3A" w:rsidRPr="00EF4B3A">
        <w:rPr>
          <w:sz w:val="24"/>
          <w:lang w:val="it-IT"/>
        </w:rPr>
        <w:tab/>
      </w:r>
      <w:r w:rsidRPr="00EF4B3A">
        <w:rPr>
          <w:sz w:val="24"/>
          <w:lang w:val="it-IT"/>
        </w:rPr>
        <w:t xml:space="preserve">Sentenza della Corte di giustizia del 17 gennaio 2013, </w:t>
      </w:r>
      <w:proofErr w:type="spellStart"/>
      <w:r w:rsidRPr="00D772A7">
        <w:rPr>
          <w:i/>
          <w:sz w:val="24"/>
          <w:lang w:val="it-IT"/>
        </w:rPr>
        <w:t>Gollnisch</w:t>
      </w:r>
      <w:proofErr w:type="spellEnd"/>
      <w:r w:rsidRPr="00EF4B3A">
        <w:rPr>
          <w:sz w:val="24"/>
          <w:lang w:val="it-IT"/>
        </w:rPr>
        <w:t>, T-346/11 e T-347/11, ECLI:</w:t>
      </w:r>
      <w:proofErr w:type="gramStart"/>
      <w:r w:rsidRPr="00EF4B3A">
        <w:rPr>
          <w:sz w:val="24"/>
          <w:lang w:val="it-IT"/>
        </w:rPr>
        <w:t>EU:T</w:t>
      </w:r>
      <w:proofErr w:type="gramEnd"/>
      <w:r w:rsidRPr="00EF4B3A">
        <w:rPr>
          <w:sz w:val="24"/>
          <w:lang w:val="it-IT"/>
        </w:rPr>
        <w:t>:2013:23, punto 59 e giurisprudenza citata.</w:t>
      </w:r>
    </w:p>
  </w:footnote>
  <w:footnote w:id="4">
    <w:p w:rsidR="00A33801" w:rsidRPr="00EF4B3A" w:rsidRDefault="00A33801" w:rsidP="00EF4B3A">
      <w:pPr>
        <w:pStyle w:val="FootnoteText"/>
        <w:ind w:left="567" w:hanging="567"/>
        <w:rPr>
          <w:sz w:val="24"/>
          <w:lang w:val="it-IT"/>
        </w:rPr>
      </w:pPr>
      <w:r w:rsidRPr="00EF4B3A">
        <w:rPr>
          <w:rStyle w:val="FootnoteReference"/>
          <w:sz w:val="24"/>
          <w:lang w:val="it-IT"/>
        </w:rPr>
        <w:footnoteRef/>
      </w:r>
      <w:r w:rsidR="00EF4B3A" w:rsidRPr="00EF4B3A">
        <w:rPr>
          <w:sz w:val="24"/>
          <w:lang w:val="it-IT"/>
        </w:rPr>
        <w:t xml:space="preserve"> </w:t>
      </w:r>
      <w:r w:rsidR="00EF4B3A" w:rsidRPr="00EF4B3A">
        <w:rPr>
          <w:sz w:val="24"/>
          <w:lang w:val="it-IT"/>
        </w:rPr>
        <w:tab/>
      </w:r>
      <w:r w:rsidRPr="00EF4B3A">
        <w:rPr>
          <w:sz w:val="24"/>
          <w:lang w:val="it-IT"/>
        </w:rPr>
        <w:t xml:space="preserve">Sentenza della Corte di giustizia del 17 settembre 2020, </w:t>
      </w:r>
      <w:proofErr w:type="spellStart"/>
      <w:r w:rsidRPr="00D772A7">
        <w:rPr>
          <w:i/>
          <w:sz w:val="24"/>
          <w:lang w:val="it-IT"/>
        </w:rPr>
        <w:t>Troszczynski</w:t>
      </w:r>
      <w:proofErr w:type="spellEnd"/>
      <w:r w:rsidRPr="00EF4B3A">
        <w:rPr>
          <w:sz w:val="24"/>
          <w:lang w:val="it-IT"/>
        </w:rPr>
        <w:t>, C-12/19, ECLI:EU:C:2020:725, punto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4B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4B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4B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9/2024"/>
    <w:docVar w:name="dvlangue" w:val="IT"/>
    <w:docVar w:name="dvnumam" w:val="0"/>
    <w:docVar w:name="dvpe" w:val="759.886"/>
    <w:docVar w:name="dvrapporteur" w:val="Relatore: "/>
    <w:docVar w:name="dvtitre" w:val="Decisione del Parlamento europeo dell'11 aprile 2024 sulla richiesta di revoca dell'immunità di Andris Ameriks(2023/2090(IMM))"/>
  </w:docVars>
  <w:rsids>
    <w:rsidRoot w:val="001919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9D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A8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801"/>
    <w:rsid w:val="00A43E52"/>
    <w:rsid w:val="00A4678D"/>
    <w:rsid w:val="00A778C7"/>
    <w:rsid w:val="00AB441E"/>
    <w:rsid w:val="00AB6293"/>
    <w:rsid w:val="00AE0928"/>
    <w:rsid w:val="00AF3B82"/>
    <w:rsid w:val="00B12E95"/>
    <w:rsid w:val="00B1651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2A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B3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993B4"/>
  <w15:chartTrackingRefBased/>
  <w15:docId w15:val="{7E7C5C24-52B2-493A-AC67-00FC3773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338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A3380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338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3801"/>
    <w:rPr>
      <w:sz w:val="24"/>
      <w:lang w:val="it-IT"/>
    </w:rPr>
  </w:style>
  <w:style w:type="paragraph" w:customStyle="1" w:styleId="EPFooter">
    <w:name w:val="EPFooter"/>
    <w:basedOn w:val="Normal"/>
    <w:rsid w:val="00A338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33801"/>
    <w:pPr>
      <w:spacing w:before="480" w:after="240"/>
    </w:pPr>
  </w:style>
  <w:style w:type="paragraph" w:styleId="BalloonText">
    <w:name w:val="Balloon Text"/>
    <w:basedOn w:val="Normal"/>
    <w:link w:val="BalloonTextChar"/>
    <w:rsid w:val="00422A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2A81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A6F88-580B-43C5-A4BC-FB652BF94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924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</cp:lastModifiedBy>
  <cp:revision>2</cp:revision>
  <cp:lastPrinted>2004-11-19T15:42:00Z</cp:lastPrinted>
  <dcterms:created xsi:type="dcterms:W3CDTF">2024-04-11T12:36:00Z</dcterms:created>
  <dcterms:modified xsi:type="dcterms:W3CDTF">2024-04-11T12:36:00Z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A9-0169/2024</vt:lpwstr>
  </property>
  <property fmtid="{D5CDD505-2E9C-101B-9397-08002B2CF9AE}" pid="4" name="&lt;Type&gt;">
    <vt:lpwstr>RR</vt:lpwstr>
  </property>
</Properties>
</file>