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46D4" w:rsidTr="0010095E">
        <w:trPr>
          <w:trHeight w:hRule="exact" w:val="1418"/>
        </w:trPr>
        <w:tc>
          <w:tcPr>
            <w:tcW w:w="6804" w:type="dxa"/>
            <w:shd w:val="clear" w:color="auto" w:fill="auto"/>
            <w:vAlign w:val="center"/>
          </w:tcPr>
          <w:p w:rsidR="00751A4A" w:rsidRPr="006346D4" w:rsidRDefault="009D1622" w:rsidP="0010095E">
            <w:pPr>
              <w:pStyle w:val="EPName"/>
            </w:pPr>
            <w:bookmarkStart w:id="0" w:name="_GoBack"/>
            <w:bookmarkEnd w:id="0"/>
            <w:r w:rsidRPr="006346D4">
              <w:t>Eiropas Parlaments</w:t>
            </w:r>
          </w:p>
          <w:p w:rsidR="00751A4A" w:rsidRPr="006346D4" w:rsidRDefault="00817416" w:rsidP="00756632">
            <w:pPr>
              <w:pStyle w:val="EPTerm"/>
              <w:rPr>
                <w:rStyle w:val="HideTWBExt"/>
                <w:noProof w:val="0"/>
                <w:vanish w:val="0"/>
                <w:color w:val="auto"/>
              </w:rPr>
            </w:pPr>
            <w:r w:rsidRPr="006346D4">
              <w:t>2019-2024</w:t>
            </w:r>
          </w:p>
        </w:tc>
        <w:tc>
          <w:tcPr>
            <w:tcW w:w="2268" w:type="dxa"/>
            <w:shd w:val="clear" w:color="auto" w:fill="auto"/>
          </w:tcPr>
          <w:p w:rsidR="00751A4A" w:rsidRPr="006346D4" w:rsidRDefault="00187494" w:rsidP="0010095E">
            <w:pPr>
              <w:pStyle w:val="EPLogo"/>
            </w:pPr>
            <w:r w:rsidRPr="006346D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46D4" w:rsidRDefault="00D058B8" w:rsidP="004C5D52">
      <w:pPr>
        <w:pStyle w:val="LineTop"/>
      </w:pPr>
    </w:p>
    <w:p w:rsidR="00680577" w:rsidRPr="006346D4" w:rsidRDefault="009D1622" w:rsidP="00680577">
      <w:pPr>
        <w:pStyle w:val="EPBodyTA1"/>
      </w:pPr>
      <w:r w:rsidRPr="006346D4">
        <w:t>PIEŅEMTIE TEKSTI</w:t>
      </w:r>
    </w:p>
    <w:p w:rsidR="00D058B8" w:rsidRPr="006346D4" w:rsidRDefault="00D058B8" w:rsidP="00D058B8">
      <w:pPr>
        <w:pStyle w:val="LineBottom"/>
      </w:pPr>
    </w:p>
    <w:p w:rsidR="009D1622" w:rsidRPr="006346D4" w:rsidRDefault="009D1622" w:rsidP="009D1622">
      <w:pPr>
        <w:pStyle w:val="ATHeading1"/>
      </w:pPr>
      <w:bookmarkStart w:id="1" w:name="TANumber"/>
      <w:r w:rsidRPr="006346D4">
        <w:t>P9_TA(2024)0</w:t>
      </w:r>
      <w:bookmarkEnd w:id="1"/>
      <w:r w:rsidR="006346D4" w:rsidRPr="006346D4">
        <w:t>225</w:t>
      </w:r>
    </w:p>
    <w:p w:rsidR="009D1622" w:rsidRPr="006346D4" w:rsidRDefault="009D1622" w:rsidP="009D1622">
      <w:pPr>
        <w:pStyle w:val="ATHeading2"/>
      </w:pPr>
      <w:bookmarkStart w:id="2" w:name="title"/>
      <w:r w:rsidRPr="006346D4">
        <w:t>Pieprasījums atcelt Andra Amerika imunitāti</w:t>
      </w:r>
      <w:bookmarkEnd w:id="2"/>
    </w:p>
    <w:p w:rsidR="009D1622" w:rsidRPr="006346D4" w:rsidRDefault="009D1622" w:rsidP="009D1622">
      <w:pPr>
        <w:rPr>
          <w:i/>
          <w:vanish/>
        </w:rPr>
      </w:pPr>
      <w:r w:rsidRPr="006346D4">
        <w:rPr>
          <w:i/>
        </w:rPr>
        <w:fldChar w:fldCharType="begin"/>
      </w:r>
      <w:r w:rsidRPr="006346D4">
        <w:rPr>
          <w:i/>
        </w:rPr>
        <w:instrText xml:space="preserve"> TC"(</w:instrText>
      </w:r>
      <w:bookmarkStart w:id="3" w:name="DocNumber"/>
      <w:r w:rsidRPr="006346D4">
        <w:rPr>
          <w:i/>
        </w:rPr>
        <w:instrText>A9-0169/2024</w:instrText>
      </w:r>
      <w:bookmarkEnd w:id="3"/>
      <w:r w:rsidRPr="006346D4">
        <w:rPr>
          <w:i/>
        </w:rPr>
        <w:instrText xml:space="preserve"> - Referents: </w:instrText>
      </w:r>
      <w:proofErr w:type="spellStart"/>
      <w:r w:rsidRPr="006346D4">
        <w:rPr>
          <w:i/>
        </w:rPr>
        <w:instrText>Gilles</w:instrText>
      </w:r>
      <w:proofErr w:type="spellEnd"/>
      <w:r w:rsidRPr="006346D4">
        <w:rPr>
          <w:i/>
        </w:rPr>
        <w:instrText xml:space="preserve"> </w:instrText>
      </w:r>
      <w:proofErr w:type="spellStart"/>
      <w:r w:rsidRPr="006346D4">
        <w:rPr>
          <w:i/>
        </w:rPr>
        <w:instrText>Lebreton</w:instrText>
      </w:r>
      <w:proofErr w:type="spellEnd"/>
      <w:r w:rsidRPr="006346D4">
        <w:rPr>
          <w:i/>
        </w:rPr>
        <w:instrText xml:space="preserve">)"\l3 \n&gt; \* MERGEFORMAT </w:instrText>
      </w:r>
      <w:r w:rsidRPr="006346D4">
        <w:rPr>
          <w:i/>
        </w:rPr>
        <w:fldChar w:fldCharType="end"/>
      </w:r>
    </w:p>
    <w:p w:rsidR="009D1622" w:rsidRPr="006346D4" w:rsidRDefault="009D1622" w:rsidP="009D1622">
      <w:pPr>
        <w:rPr>
          <w:vanish/>
        </w:rPr>
      </w:pPr>
      <w:bookmarkStart w:id="4" w:name="Commission"/>
      <w:r w:rsidRPr="006346D4">
        <w:rPr>
          <w:vanish/>
        </w:rPr>
        <w:t>Juridiskā komiteja</w:t>
      </w:r>
      <w:bookmarkEnd w:id="4"/>
    </w:p>
    <w:p w:rsidR="009D1622" w:rsidRPr="006346D4" w:rsidRDefault="009D1622" w:rsidP="009D1622">
      <w:pPr>
        <w:rPr>
          <w:vanish/>
        </w:rPr>
      </w:pPr>
      <w:bookmarkStart w:id="5" w:name="PE"/>
      <w:r w:rsidRPr="006346D4">
        <w:rPr>
          <w:vanish/>
        </w:rPr>
        <w:t>PE759.886</w:t>
      </w:r>
      <w:bookmarkEnd w:id="5"/>
    </w:p>
    <w:p w:rsidR="00C46493" w:rsidRPr="006346D4" w:rsidRDefault="009D1622" w:rsidP="00DB2199">
      <w:pPr>
        <w:pStyle w:val="ATHeading3"/>
      </w:pPr>
      <w:bookmarkStart w:id="6" w:name="Sujet"/>
      <w:r w:rsidRPr="006346D4">
        <w:t xml:space="preserve">Eiropas Parlamenta 2024. gada </w:t>
      </w:r>
      <w:r w:rsidR="00DB2199" w:rsidRPr="006346D4">
        <w:t>11</w:t>
      </w:r>
      <w:r w:rsidRPr="006346D4">
        <w:t xml:space="preserve">. </w:t>
      </w:r>
      <w:r w:rsidR="00DB2199" w:rsidRPr="006346D4">
        <w:t>aprīļa</w:t>
      </w:r>
      <w:r w:rsidRPr="006346D4">
        <w:t xml:space="preserve"> lēmums par pieprasījumu atcelt Andra Amerika imunitāti</w:t>
      </w:r>
      <w:bookmarkEnd w:id="6"/>
      <w:r w:rsidRPr="006346D4">
        <w:t xml:space="preserve"> </w:t>
      </w:r>
      <w:bookmarkStart w:id="7" w:name="References"/>
      <w:r w:rsidRPr="006346D4">
        <w:t>(2023/2090(IMM))</w:t>
      </w:r>
      <w:bookmarkStart w:id="8" w:name="TextBodyBegin"/>
      <w:bookmarkEnd w:id="7"/>
      <w:bookmarkEnd w:id="8"/>
    </w:p>
    <w:p w:rsidR="00C46493" w:rsidRPr="006346D4" w:rsidRDefault="00C46493" w:rsidP="00C46493">
      <w:pPr>
        <w:pStyle w:val="EPComma"/>
      </w:pPr>
      <w:r w:rsidRPr="006346D4">
        <w:rPr>
          <w:i/>
        </w:rPr>
        <w:t>Eiropas Parlaments</w:t>
      </w:r>
      <w:r w:rsidRPr="006346D4">
        <w:t>,</w:t>
      </w:r>
    </w:p>
    <w:p w:rsidR="00C46493" w:rsidRPr="006346D4" w:rsidRDefault="00C46493" w:rsidP="00C46493">
      <w:pPr>
        <w:pStyle w:val="NormalHanging12a"/>
      </w:pPr>
      <w:r w:rsidRPr="006346D4">
        <w:t>–</w:t>
      </w:r>
      <w:r w:rsidRPr="006346D4">
        <w:tab/>
        <w:t>ņemot vērā Rīgā esošās Ģenerālprokuratūras Krimināltiesiskā departamenta Korupcijas apkarošanas koordinācijas nodaļas prokurora 2023. gada 24. maija pieprasījumu atcelt Andra Amerika imunitāti, kuru saistībā ar Latvijas Republikā ierosināmu kriminālprocesu Latvijas Republikas ģenerālprokurors nosūtījis tajā pašā dienā un par kuru paziņots 2023. gada 14. jūnija plenārsēdē,</w:t>
      </w:r>
    </w:p>
    <w:p w:rsidR="00C46493" w:rsidRPr="006346D4" w:rsidRDefault="00C46493" w:rsidP="00C46493">
      <w:pPr>
        <w:pStyle w:val="NormalHanging12a"/>
      </w:pPr>
      <w:r w:rsidRPr="006346D4">
        <w:t>–</w:t>
      </w:r>
      <w:r w:rsidRPr="006346D4">
        <w:tab/>
        <w:t>pēc Nila Ušakova uzklausīšanas Andra Amerika vārdā saskaņā ar Reglamenta 9. panta 6. punktu,</w:t>
      </w:r>
    </w:p>
    <w:p w:rsidR="00C46493" w:rsidRPr="006346D4" w:rsidRDefault="00C46493" w:rsidP="00C46493">
      <w:pPr>
        <w:pStyle w:val="NormalHanging12a"/>
      </w:pPr>
      <w:r w:rsidRPr="006346D4">
        <w:t>–</w:t>
      </w:r>
      <w:r w:rsidRPr="006346D4">
        <w:tab/>
        <w:t>ņemot vērā Protokola (Nr. 7) par privilēģijām un imunitāti Eiropas Savienībā 8. un 9. pantu, kā arī 1976. gada 20. septembra Akta par Eiropas Parlamenta deputātu ievēlēšanu tiešās vispārējās vēlēšanās 6. panta 2. punktu,</w:t>
      </w:r>
    </w:p>
    <w:p w:rsidR="00C46493" w:rsidRPr="006346D4" w:rsidRDefault="00C46493" w:rsidP="00C46493">
      <w:pPr>
        <w:pStyle w:val="NormalHanging12a"/>
      </w:pPr>
      <w:r w:rsidRPr="006346D4">
        <w:t>–</w:t>
      </w:r>
      <w:r w:rsidRPr="006346D4">
        <w:tab/>
        <w:t>ņemot vērā Latvijas Republikas Satversmes 29. un 30. pantu,</w:t>
      </w:r>
    </w:p>
    <w:p w:rsidR="00C46493" w:rsidRPr="006346D4" w:rsidRDefault="00C46493" w:rsidP="00C46493">
      <w:pPr>
        <w:pStyle w:val="NormalHanging12a"/>
      </w:pPr>
      <w:r w:rsidRPr="006346D4">
        <w:t>–</w:t>
      </w:r>
      <w:r w:rsidRPr="006346D4">
        <w:tab/>
        <w:t>ņemot vērā Eiropas Savienības Tiesas 2008. gada 21. oktobra, 2010. gada 19. marta, 2011. gada 6. septembra, 2013. gada 17. janvāra un 2019. gada 19. decembra spriedumu</w:t>
      </w:r>
      <w:r w:rsidRPr="006346D4">
        <w:rPr>
          <w:rStyle w:val="FootnoteReference"/>
        </w:rPr>
        <w:footnoteReference w:id="1"/>
      </w:r>
      <w:r w:rsidRPr="006346D4">
        <w:t>,</w:t>
      </w:r>
    </w:p>
    <w:p w:rsidR="00C46493" w:rsidRPr="006346D4" w:rsidRDefault="00C46493" w:rsidP="00C46493">
      <w:pPr>
        <w:pStyle w:val="NormalHanging12a"/>
      </w:pPr>
      <w:r w:rsidRPr="006346D4">
        <w:t>–</w:t>
      </w:r>
      <w:r w:rsidRPr="006346D4">
        <w:tab/>
        <w:t>ņemot vērā Reglamenta 5. panta 2. punktu, 6. panta 1. punktu un 9. pantu,</w:t>
      </w:r>
    </w:p>
    <w:p w:rsidR="00C46493" w:rsidRPr="006346D4" w:rsidRDefault="00C46493" w:rsidP="00C46493">
      <w:pPr>
        <w:pStyle w:val="NormalHanging12a"/>
      </w:pPr>
      <w:r w:rsidRPr="006346D4">
        <w:lastRenderedPageBreak/>
        <w:t>–</w:t>
      </w:r>
      <w:r w:rsidRPr="006346D4">
        <w:tab/>
        <w:t>ņemot vērā Juridiskās komitejas ziņojumu (A9-0169/2024),</w:t>
      </w:r>
    </w:p>
    <w:p w:rsidR="00C46493" w:rsidRPr="006346D4" w:rsidRDefault="00C46493" w:rsidP="00C46493">
      <w:pPr>
        <w:pStyle w:val="NormalHanging12a"/>
      </w:pPr>
      <w:r w:rsidRPr="006346D4">
        <w:t>A.</w:t>
      </w:r>
      <w:r w:rsidRPr="006346D4">
        <w:tab/>
        <w:t>tā kā Rīgā esošās Ģenerālprokuratūras Krimināltiesiskā departamenta Korupcijas apkarošanas koordinācijas nodaļas prokurors saskaņā ar Latvijas Krimināllikuma 320. panta ceturto daļu pieprasīja atcelt no Latvijas ievēlētā Eiropas Parlamenta deputāta Andra Amerika imunitāti, lai uzsāktu kriminālprocesu par noziedzīgu nodarījumu – kukuļa iegūšanu pirms nelikumīgas darbības veikšanas trešās personas interesēs, izmantojot dienesta stāvokli;</w:t>
      </w:r>
    </w:p>
    <w:p w:rsidR="00C46493" w:rsidRPr="006346D4" w:rsidRDefault="00C46493" w:rsidP="00C46493">
      <w:pPr>
        <w:pStyle w:val="NormalHanging12a"/>
      </w:pPr>
      <w:r w:rsidRPr="006346D4">
        <w:t>B.</w:t>
      </w:r>
      <w:r w:rsidRPr="006346D4">
        <w:tab/>
        <w:t>tā kā laikposmā no 2017. gada 22. jūlija līdz 2017. gada 17. septembrim Andris Ameriks, būdams Rīgas pilsētas vicemērs, proti, atrazdamies publiski atbildīgā amatā, cita starpā uzņēmuma “Rīgas mikroautobusu satiksme” pastarpinātajam īpašniekam esot pieprasījis kukuli 50 % apmērā no summām, ko šis uzņēmums saņēma no Rīgas pašvaldības par tā pārvadātajiem pasažieriem, kuriem bijušas tiesības uz braukšanas maksas atlaidēm;</w:t>
      </w:r>
    </w:p>
    <w:p w:rsidR="00C46493" w:rsidRPr="006346D4" w:rsidRDefault="00C46493" w:rsidP="00C46493">
      <w:pPr>
        <w:pStyle w:val="NormalHanging12a"/>
      </w:pPr>
      <w:r w:rsidRPr="006346D4">
        <w:t>C.</w:t>
      </w:r>
      <w:r w:rsidRPr="006346D4">
        <w:tab/>
        <w:t>tā kā Andris Ameriks par Eiropas Parlamenta deputātu tika ievēlēts Eiropas Parlamenta 2019. gada maija vēlēšanās;</w:t>
      </w:r>
    </w:p>
    <w:p w:rsidR="00C46493" w:rsidRPr="006346D4" w:rsidRDefault="00C46493" w:rsidP="00C46493">
      <w:pPr>
        <w:spacing w:after="240"/>
        <w:ind w:left="567" w:hanging="567"/>
      </w:pPr>
      <w:r w:rsidRPr="006346D4">
        <w:t>D.</w:t>
      </w:r>
      <w:r w:rsidRPr="006346D4">
        <w:tab/>
        <w:t>tā kā inkriminētais noziedzīgais nodarījums neattiecas nedz uz viedokli, kas ir pausts, nedz uz balsojumiem, kas ir veikti, pildot Eiropas Parlamenta deputāta pienākumus, kā tas ir noteikts Protokola (Nr. 7) par privilēģijām un imunitāti Eiropas Savienībā 8. pantā;</w:t>
      </w:r>
    </w:p>
    <w:p w:rsidR="00C46493" w:rsidRPr="006346D4" w:rsidRDefault="00C46493" w:rsidP="00C46493">
      <w:pPr>
        <w:spacing w:after="240"/>
        <w:ind w:left="567" w:hanging="567"/>
      </w:pPr>
      <w:r w:rsidRPr="006346D4">
        <w:t>E.</w:t>
      </w:r>
      <w:r w:rsidRPr="006346D4">
        <w:tab/>
        <w:t>tā kā saskaņā ar Protokola (Nr. 7) par privilēģijām un imunitātēm Eiropas Savienībā 9. pantu Eiropas Parlamenta deputātiem savā valstī ir imunitāte, ko piešķir attiecīgās dalībvalsts parlamenta deputātiem;</w:t>
      </w:r>
    </w:p>
    <w:p w:rsidR="00C46493" w:rsidRPr="006346D4" w:rsidRDefault="00C46493" w:rsidP="00C46493">
      <w:pPr>
        <w:spacing w:after="240"/>
        <w:ind w:left="567" w:hanging="567"/>
      </w:pPr>
      <w:r w:rsidRPr="006346D4">
        <w:t>F.</w:t>
      </w:r>
      <w:r w:rsidRPr="006346D4">
        <w:tab/>
        <w:t>tā kā Latvijas Republikas Satversmes 29. un 30. pants paredz, ka:</w:t>
      </w:r>
    </w:p>
    <w:p w:rsidR="00C46493" w:rsidRPr="006346D4" w:rsidRDefault="00C46493" w:rsidP="00C46493">
      <w:pPr>
        <w:spacing w:after="240"/>
        <w:ind w:left="567"/>
        <w:rPr>
          <w:b/>
          <w:bCs/>
        </w:rPr>
      </w:pPr>
      <w:r w:rsidRPr="006346D4">
        <w:t>“29. pants</w:t>
      </w:r>
    </w:p>
    <w:p w:rsidR="00C46493" w:rsidRPr="006346D4" w:rsidRDefault="00C46493" w:rsidP="00C46493">
      <w:pPr>
        <w:spacing w:after="240"/>
        <w:ind w:left="567"/>
        <w:rPr>
          <w:b/>
          <w:bCs/>
        </w:rPr>
      </w:pPr>
      <w:r w:rsidRPr="006346D4">
        <w:t>Saeimas locekli nevar apcietināt, izdarīt pie viņa kratīšanas, ne citādi aprobežot viņa personas brīvību, ja tam nepiekrīt Saeima. (..)</w:t>
      </w:r>
    </w:p>
    <w:p w:rsidR="00C46493" w:rsidRPr="006346D4" w:rsidRDefault="00C46493" w:rsidP="00C46493">
      <w:pPr>
        <w:spacing w:after="240"/>
        <w:ind w:left="567"/>
        <w:rPr>
          <w:bCs/>
        </w:rPr>
      </w:pPr>
      <w:r w:rsidRPr="006346D4">
        <w:t>30. pants</w:t>
      </w:r>
    </w:p>
    <w:p w:rsidR="00C46493" w:rsidRPr="006346D4" w:rsidRDefault="00C46493" w:rsidP="00C46493">
      <w:pPr>
        <w:spacing w:after="240"/>
        <w:ind w:left="567"/>
      </w:pPr>
      <w:r w:rsidRPr="006346D4">
        <w:t>Pret Saeimas locekli nevar uzsākt kriminālvajāšanu vai uzlikt viņam administratīvu sodu bez Saeimas piekrišanas.”</w:t>
      </w:r>
    </w:p>
    <w:p w:rsidR="00C46493" w:rsidRPr="006346D4" w:rsidRDefault="00C46493" w:rsidP="00C46493">
      <w:pPr>
        <w:spacing w:after="240"/>
        <w:ind w:left="567" w:hanging="567"/>
      </w:pPr>
      <w:r w:rsidRPr="006346D4">
        <w:t>G.</w:t>
      </w:r>
      <w:r w:rsidRPr="006346D4">
        <w:tab/>
        <w:t>tā kā, no vienas puses, Parlaments nevar tikt pielīdzināts tiesai un, no otras puses, deputāts imunitātes atcelšanas procedūras kontekstā nevar tikt uzskatīts par apsūdzēto</w:t>
      </w:r>
      <w:r w:rsidRPr="006346D4">
        <w:rPr>
          <w:vertAlign w:val="superscript"/>
        </w:rPr>
        <w:footnoteReference w:id="2"/>
      </w:r>
      <w:r w:rsidRPr="006346D4">
        <w:t>;</w:t>
      </w:r>
    </w:p>
    <w:p w:rsidR="00C46493" w:rsidRPr="006346D4" w:rsidRDefault="00C46493" w:rsidP="00C46493">
      <w:pPr>
        <w:pStyle w:val="NormalHanging12a"/>
      </w:pPr>
      <w:r w:rsidRPr="006346D4">
        <w:t>H.</w:t>
      </w:r>
      <w:r w:rsidRPr="006346D4">
        <w:tab/>
        <w:t>tā kā parlamentārās imunitātes mērķis ir aizsargāt Parlamentu un tā deputātus pret tiesvedību, kas tiek ierosināta par darbībām, kuras ir veiktas, pildot parlamentāros pienākumus, un kuras no šiem pienākumiem nošķirt nevar;</w:t>
      </w:r>
    </w:p>
    <w:p w:rsidR="00C46493" w:rsidRPr="006346D4" w:rsidRDefault="00C46493" w:rsidP="00C46493">
      <w:pPr>
        <w:pStyle w:val="NormalHanging12a"/>
      </w:pPr>
      <w:r w:rsidRPr="006346D4">
        <w:t>I.</w:t>
      </w:r>
      <w:r w:rsidRPr="006346D4">
        <w:tab/>
        <w:t xml:space="preserve">tā kā izmeklēšana nav spējusi droši noteikt iespējamo noziedzīgo nodarījumu </w:t>
      </w:r>
      <w:r w:rsidRPr="006346D4">
        <w:lastRenderedPageBreak/>
        <w:t>izdarīšanas precīzu vietu un laiku;</w:t>
      </w:r>
    </w:p>
    <w:p w:rsidR="00C46493" w:rsidRPr="006346D4" w:rsidRDefault="00C46493" w:rsidP="00C46493">
      <w:pPr>
        <w:pStyle w:val="NormalHanging12a"/>
      </w:pPr>
      <w:r w:rsidRPr="006346D4">
        <w:t>J.</w:t>
      </w:r>
      <w:r w:rsidRPr="006346D4">
        <w:tab/>
        <w:t>tā kā Andrim Amerikam inkriminētais nodarījums esot izdarīts 2017. gadā un Latvijas Republikas ģenerālprokurors pieprasījumu atcelt imunitāti nosūtīja tikai 2023. gada 23. maijā; tā kā nav sniegts neviens pārliecinošs šādas novēlotas rīcības iemesls;</w:t>
      </w:r>
    </w:p>
    <w:p w:rsidR="00C46493" w:rsidRPr="006346D4" w:rsidRDefault="00C46493" w:rsidP="00C46493">
      <w:pPr>
        <w:pStyle w:val="NormalHanging12a"/>
      </w:pPr>
      <w:r w:rsidRPr="006346D4">
        <w:t>K.</w:t>
      </w:r>
      <w:r w:rsidRPr="006346D4">
        <w:tab/>
        <w:t>tā kā no EST judikatūras izriet, ka Parlamentam “ir ļoti plaša rīcības brīvība attiecībā uz virzienu, kādu tas vēlas piešķirt lēmumam, kas pieņemts pēc pieprasījuma atcelt imunitāti (..), jo šāds lēmums ir politisks”</w:t>
      </w:r>
      <w:r w:rsidRPr="006346D4">
        <w:rPr>
          <w:vertAlign w:val="superscript"/>
        </w:rPr>
        <w:footnoteReference w:id="3"/>
      </w:r>
      <w:r w:rsidRPr="006346D4">
        <w:t>;</w:t>
      </w:r>
    </w:p>
    <w:p w:rsidR="00C46493" w:rsidRPr="006346D4" w:rsidRDefault="00C46493" w:rsidP="00C46493">
      <w:pPr>
        <w:pStyle w:val="NormalHanging12a"/>
        <w:rPr>
          <w:szCs w:val="24"/>
        </w:rPr>
      </w:pPr>
      <w:r w:rsidRPr="006346D4">
        <w:t>L.</w:t>
      </w:r>
      <w:r w:rsidRPr="006346D4">
        <w:tab/>
        <w:t>tā kā šo konkrēto apstākļu sakritība rada nopietnas aizdomas par iespējamu nodomu kaitēt Andra Amerika politiskajai darbībai un jo īpaši viņa kā Eiropas Parlamenta deputāta darbībai; tā kā, pamatojoties uz šajā lietā sniegto informāciju un paskaidrojumiem, tostarp Latvijas Republikas prokurora vietnieka viedokļu apmaiņas laikā sniegtajām atbildēm, kriminālprocess ir neskaidrs no tādu apstākļu viedokļa, uz kuriem ir balstīts pieprasījums atcelt imunitāti, un tas rada aizdomas, tostarp par pieteikuma atcelt imunitāti pamatā esošajiem iemesliem;</w:t>
      </w:r>
    </w:p>
    <w:p w:rsidR="00C46493" w:rsidRPr="006346D4" w:rsidRDefault="00C46493" w:rsidP="00C46493">
      <w:pPr>
        <w:pStyle w:val="NormalHanging12a"/>
        <w:rPr>
          <w:szCs w:val="24"/>
        </w:rPr>
      </w:pPr>
      <w:r w:rsidRPr="006346D4">
        <w:t>M.</w:t>
      </w:r>
      <w:r w:rsidRPr="006346D4">
        <w:tab/>
        <w:t xml:space="preserve">tā kā tādēļ šķiet, ka šis ir tas gadījums, kad var konstatēt </w:t>
      </w:r>
      <w:proofErr w:type="spellStart"/>
      <w:r w:rsidRPr="006346D4">
        <w:rPr>
          <w:i/>
        </w:rPr>
        <w:t>fumus</w:t>
      </w:r>
      <w:proofErr w:type="spellEnd"/>
      <w:r w:rsidRPr="006346D4">
        <w:rPr>
          <w:i/>
        </w:rPr>
        <w:t xml:space="preserve"> </w:t>
      </w:r>
      <w:proofErr w:type="spellStart"/>
      <w:r w:rsidRPr="006346D4">
        <w:rPr>
          <w:i/>
        </w:rPr>
        <w:t>persecutionis</w:t>
      </w:r>
      <w:proofErr w:type="spellEnd"/>
      <w:r w:rsidRPr="006346D4">
        <w:t>, proti, ir gūti “konkrēti pierādījumi”</w:t>
      </w:r>
      <w:r w:rsidRPr="006346D4">
        <w:rPr>
          <w:szCs w:val="24"/>
          <w:vertAlign w:val="superscript"/>
        </w:rPr>
        <w:footnoteReference w:id="4"/>
      </w:r>
      <w:r w:rsidRPr="006346D4">
        <w:t>, kas liecina, ka attiecīgais tiesiskais process tika uzsākts ar mērķi kaitēt Andra Amerika politiskajai darbībai un līdz ar to cita starpā viņa kā Eiropas Parlamenta deputāta darbībai;</w:t>
      </w:r>
    </w:p>
    <w:p w:rsidR="00C46493" w:rsidRPr="006346D4" w:rsidRDefault="00C46493" w:rsidP="00C46493">
      <w:pPr>
        <w:pStyle w:val="NormalHanging12a"/>
        <w:rPr>
          <w:szCs w:val="24"/>
        </w:rPr>
      </w:pPr>
      <w:r w:rsidRPr="006346D4">
        <w:t>1.</w:t>
      </w:r>
      <w:r w:rsidRPr="006346D4">
        <w:tab/>
        <w:t>nolemj neatcelt Andra Amerika imunitāti;</w:t>
      </w:r>
    </w:p>
    <w:p w:rsidR="00C46493" w:rsidRPr="006346D4" w:rsidRDefault="00C46493" w:rsidP="00C46493">
      <w:pPr>
        <w:pStyle w:val="NormalHanging12a"/>
      </w:pPr>
      <w:r w:rsidRPr="006346D4">
        <w:t>2.</w:t>
      </w:r>
      <w:r w:rsidRPr="006346D4">
        <w:tab/>
        <w:t xml:space="preserve">uzdod priekšsēdētājai šo lēmumu un atbildīgās komitejas ziņojumu nekavējoties nosūtīt </w:t>
      </w:r>
      <w:r w:rsidR="00DB2199" w:rsidRPr="006346D4">
        <w:t xml:space="preserve">kompetentajai </w:t>
      </w:r>
      <w:r w:rsidRPr="006346D4">
        <w:t>Latvijas Republikas iestādei un Andrim Amerikam.</w:t>
      </w:r>
    </w:p>
    <w:sectPr w:rsidR="00C46493" w:rsidRPr="006346D4" w:rsidSect="00F42B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622" w:rsidRPr="00F42BED" w:rsidRDefault="009D1622">
      <w:r w:rsidRPr="00F42BED">
        <w:separator/>
      </w:r>
    </w:p>
  </w:endnote>
  <w:endnote w:type="continuationSeparator" w:id="0">
    <w:p w:rsidR="009D1622" w:rsidRPr="00F42BED" w:rsidRDefault="009D1622">
      <w:r w:rsidRPr="00F42B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2B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2B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2B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622" w:rsidRPr="00F42BED" w:rsidRDefault="009D1622">
      <w:r w:rsidRPr="00F42BED">
        <w:separator/>
      </w:r>
    </w:p>
  </w:footnote>
  <w:footnote w:type="continuationSeparator" w:id="0">
    <w:p w:rsidR="009D1622" w:rsidRPr="00F42BED" w:rsidRDefault="009D1622">
      <w:r w:rsidRPr="00F42BED">
        <w:continuationSeparator/>
      </w:r>
    </w:p>
  </w:footnote>
  <w:footnote w:id="1">
    <w:p w:rsidR="00C46493" w:rsidRPr="00F42BED" w:rsidRDefault="00C46493" w:rsidP="00F42BED">
      <w:pPr>
        <w:pStyle w:val="FootnoteText"/>
        <w:ind w:left="567" w:hanging="567"/>
        <w:rPr>
          <w:sz w:val="24"/>
          <w:lang w:val="lv-LV"/>
        </w:rPr>
      </w:pPr>
      <w:r w:rsidRPr="00F42BED">
        <w:rPr>
          <w:rStyle w:val="FootnoteReference"/>
          <w:sz w:val="24"/>
          <w:lang w:val="lv-LV"/>
        </w:rPr>
        <w:footnoteRef/>
      </w:r>
      <w:r w:rsidR="00F42BED" w:rsidRPr="00F42BED">
        <w:rPr>
          <w:sz w:val="24"/>
          <w:lang w:val="lv-LV"/>
        </w:rPr>
        <w:t xml:space="preserve"> </w:t>
      </w:r>
      <w:r w:rsidR="00F42BED" w:rsidRPr="00F42BED">
        <w:rPr>
          <w:sz w:val="24"/>
          <w:lang w:val="lv-LV"/>
        </w:rPr>
        <w:tab/>
      </w:r>
      <w:r w:rsidRPr="00F42BED">
        <w:rPr>
          <w:sz w:val="24"/>
          <w:lang w:val="lv-LV"/>
        </w:rPr>
        <w:t xml:space="preserve">Tiesas 2008. gada 21. oktobra spriedums, </w:t>
      </w:r>
      <w:proofErr w:type="spellStart"/>
      <w:r w:rsidRPr="00F42BED">
        <w:rPr>
          <w:i/>
          <w:sz w:val="24"/>
          <w:lang w:val="lv-LV"/>
        </w:rPr>
        <w:t>Marra</w:t>
      </w:r>
      <w:proofErr w:type="spellEnd"/>
      <w:r w:rsidRPr="00F42BED">
        <w:rPr>
          <w:i/>
          <w:sz w:val="24"/>
          <w:lang w:val="lv-LV"/>
        </w:rPr>
        <w:t>/</w:t>
      </w:r>
      <w:proofErr w:type="spellStart"/>
      <w:r w:rsidRPr="00F42BED">
        <w:rPr>
          <w:i/>
          <w:sz w:val="24"/>
          <w:lang w:val="lv-LV"/>
        </w:rPr>
        <w:t>De</w:t>
      </w:r>
      <w:proofErr w:type="spellEnd"/>
      <w:r w:rsidRPr="00F42BED">
        <w:rPr>
          <w:i/>
          <w:sz w:val="24"/>
          <w:lang w:val="lv-LV"/>
        </w:rPr>
        <w:t xml:space="preserve"> Gregorio</w:t>
      </w:r>
      <w:r w:rsidRPr="00F42BED">
        <w:rPr>
          <w:sz w:val="24"/>
          <w:lang w:val="lv-LV"/>
        </w:rPr>
        <w:t xml:space="preserve"> un </w:t>
      </w:r>
      <w:proofErr w:type="spellStart"/>
      <w:r w:rsidRPr="00F42BED">
        <w:rPr>
          <w:i/>
          <w:sz w:val="24"/>
          <w:lang w:val="lv-LV"/>
        </w:rPr>
        <w:t>Clemente</w:t>
      </w:r>
      <w:proofErr w:type="spellEnd"/>
      <w:r w:rsidRPr="00F42BED">
        <w:rPr>
          <w:sz w:val="24"/>
          <w:lang w:val="lv-LV"/>
        </w:rPr>
        <w:t xml:space="preserve">, C-200/07 un C-201/07, ECLI:EU:C:2008:579; Vispārējās tiesas 2010. gada 19. marta spriedums, </w:t>
      </w:r>
      <w:proofErr w:type="spellStart"/>
      <w:r w:rsidRPr="00F42BED">
        <w:rPr>
          <w:i/>
          <w:sz w:val="24"/>
          <w:lang w:val="lv-LV"/>
        </w:rPr>
        <w:t>Gollnisch</w:t>
      </w:r>
      <w:proofErr w:type="spellEnd"/>
      <w:r w:rsidRPr="00F42BED">
        <w:rPr>
          <w:sz w:val="24"/>
          <w:lang w:val="lv-LV"/>
        </w:rPr>
        <w:t xml:space="preserve">/Parlaments, T-42/06, ECLI:EU:T:2010:102; Tiesas 2011. gada 6. septembra spriedums, </w:t>
      </w:r>
      <w:proofErr w:type="spellStart"/>
      <w:r w:rsidRPr="00F42BED">
        <w:rPr>
          <w:i/>
          <w:sz w:val="24"/>
          <w:lang w:val="lv-LV"/>
        </w:rPr>
        <w:t>Patriciello</w:t>
      </w:r>
      <w:proofErr w:type="spellEnd"/>
      <w:r w:rsidRPr="00F42BED">
        <w:rPr>
          <w:sz w:val="24"/>
          <w:lang w:val="lv-LV"/>
        </w:rPr>
        <w:t xml:space="preserve">, C-163/10, ECLI: EU:C:2011:543; Vispārējās tiesas 2013. gada 17. janvāra spriedums, </w:t>
      </w:r>
      <w:proofErr w:type="spellStart"/>
      <w:r w:rsidRPr="00F42BED">
        <w:rPr>
          <w:i/>
          <w:sz w:val="24"/>
          <w:lang w:val="lv-LV"/>
        </w:rPr>
        <w:t>Gollnisch</w:t>
      </w:r>
      <w:proofErr w:type="spellEnd"/>
      <w:r w:rsidRPr="00F42BED">
        <w:rPr>
          <w:sz w:val="24"/>
          <w:lang w:val="lv-LV"/>
        </w:rPr>
        <w:t xml:space="preserve">/Parlaments, T-346/11 un T-347/11, ECLI:EU:T:2013:23; Tiesas 2019. gada 19. decembra spriedums, </w:t>
      </w:r>
      <w:proofErr w:type="spellStart"/>
      <w:r w:rsidRPr="00F42BED">
        <w:rPr>
          <w:i/>
          <w:sz w:val="24"/>
          <w:lang w:val="lv-LV"/>
        </w:rPr>
        <w:t>Junqueras</w:t>
      </w:r>
      <w:proofErr w:type="spellEnd"/>
      <w:r w:rsidRPr="00F42BED">
        <w:rPr>
          <w:i/>
          <w:sz w:val="24"/>
          <w:lang w:val="lv-LV"/>
        </w:rPr>
        <w:t xml:space="preserve"> Vies</w:t>
      </w:r>
      <w:r w:rsidRPr="00F42BED">
        <w:rPr>
          <w:sz w:val="24"/>
          <w:lang w:val="lv-LV"/>
        </w:rPr>
        <w:t>, C-502/19, ECLI:EU:C:2019:1115.</w:t>
      </w:r>
    </w:p>
  </w:footnote>
  <w:footnote w:id="2">
    <w:p w:rsidR="00C46493" w:rsidRPr="00F42BED" w:rsidRDefault="00C46493" w:rsidP="00F42BED">
      <w:pPr>
        <w:pStyle w:val="FootnoteText"/>
        <w:ind w:left="567" w:hanging="567"/>
        <w:rPr>
          <w:sz w:val="24"/>
          <w:lang w:val="lv-LV"/>
        </w:rPr>
      </w:pPr>
      <w:r w:rsidRPr="00F42BED">
        <w:rPr>
          <w:rStyle w:val="FootnoteReference"/>
          <w:sz w:val="24"/>
          <w:lang w:val="lv-LV"/>
        </w:rPr>
        <w:footnoteRef/>
      </w:r>
      <w:r w:rsidR="00F42BED" w:rsidRPr="00F42BED">
        <w:rPr>
          <w:sz w:val="24"/>
          <w:lang w:val="lv-LV"/>
        </w:rPr>
        <w:t xml:space="preserve"> </w:t>
      </w:r>
      <w:r w:rsidR="00F42BED" w:rsidRPr="00F42BED">
        <w:rPr>
          <w:sz w:val="24"/>
          <w:lang w:val="lv-LV"/>
        </w:rPr>
        <w:tab/>
      </w:r>
      <w:r w:rsidRPr="00F42BED">
        <w:rPr>
          <w:sz w:val="24"/>
          <w:lang w:val="lv-LV"/>
        </w:rPr>
        <w:t xml:space="preserve">Vispārējās tiesas 2019. gada 30. aprīļa spriedums, </w:t>
      </w:r>
      <w:proofErr w:type="spellStart"/>
      <w:r w:rsidRPr="00F42BED">
        <w:rPr>
          <w:i/>
          <w:sz w:val="24"/>
          <w:lang w:val="lv-LV"/>
        </w:rPr>
        <w:t>Briois</w:t>
      </w:r>
      <w:proofErr w:type="spellEnd"/>
      <w:r w:rsidRPr="00F42BED">
        <w:rPr>
          <w:sz w:val="24"/>
          <w:lang w:val="lv-LV"/>
        </w:rPr>
        <w:t>/Parlaments, T-214/18, ECLI:EU:T:2019:266.</w:t>
      </w:r>
    </w:p>
  </w:footnote>
  <w:footnote w:id="3">
    <w:p w:rsidR="00C46493" w:rsidRPr="00F42BED" w:rsidRDefault="00C46493" w:rsidP="00F42BED">
      <w:pPr>
        <w:pStyle w:val="FootnoteText"/>
        <w:ind w:left="567" w:hanging="567"/>
        <w:rPr>
          <w:sz w:val="24"/>
          <w:lang w:val="lv-LV"/>
        </w:rPr>
      </w:pPr>
      <w:r w:rsidRPr="00F42BED">
        <w:rPr>
          <w:rStyle w:val="FootnoteReference"/>
          <w:sz w:val="24"/>
          <w:lang w:val="lv-LV"/>
        </w:rPr>
        <w:footnoteRef/>
      </w:r>
      <w:r w:rsidR="00F42BED" w:rsidRPr="00F42BED">
        <w:rPr>
          <w:sz w:val="24"/>
          <w:lang w:val="lv-LV"/>
        </w:rPr>
        <w:t xml:space="preserve"> </w:t>
      </w:r>
      <w:r w:rsidR="00F42BED" w:rsidRPr="00F42BED">
        <w:rPr>
          <w:sz w:val="24"/>
          <w:lang w:val="lv-LV"/>
        </w:rPr>
        <w:tab/>
      </w:r>
      <w:r w:rsidRPr="00F42BED">
        <w:rPr>
          <w:sz w:val="24"/>
          <w:lang w:val="lv-LV"/>
        </w:rPr>
        <w:t xml:space="preserve">Tiesas 2013. gada 17. janvāra spriedums, </w:t>
      </w:r>
      <w:proofErr w:type="spellStart"/>
      <w:r w:rsidRPr="00F42BED">
        <w:rPr>
          <w:i/>
          <w:sz w:val="24"/>
          <w:lang w:val="lv-LV"/>
        </w:rPr>
        <w:t>Gollnisch</w:t>
      </w:r>
      <w:proofErr w:type="spellEnd"/>
      <w:r w:rsidRPr="00F42BED">
        <w:rPr>
          <w:sz w:val="24"/>
          <w:lang w:val="lv-LV"/>
        </w:rPr>
        <w:t>, lietās T-346/11, un T-347/11, ECLI:EU:T:2013:23, 59. punkts.</w:t>
      </w:r>
    </w:p>
  </w:footnote>
  <w:footnote w:id="4">
    <w:p w:rsidR="00C46493" w:rsidRPr="00F42BED" w:rsidRDefault="00C46493" w:rsidP="00F42BED">
      <w:pPr>
        <w:pStyle w:val="FootnoteText"/>
        <w:ind w:left="567" w:hanging="567"/>
        <w:rPr>
          <w:sz w:val="24"/>
          <w:lang w:val="lv-LV"/>
        </w:rPr>
      </w:pPr>
      <w:r w:rsidRPr="00F42BED">
        <w:rPr>
          <w:rStyle w:val="FootnoteReference"/>
          <w:sz w:val="24"/>
          <w:lang w:val="lv-LV"/>
        </w:rPr>
        <w:footnoteRef/>
      </w:r>
      <w:r w:rsidR="00F42BED" w:rsidRPr="00F42BED">
        <w:rPr>
          <w:sz w:val="24"/>
          <w:lang w:val="lv-LV"/>
        </w:rPr>
        <w:t xml:space="preserve"> </w:t>
      </w:r>
      <w:r w:rsidR="00F42BED" w:rsidRPr="00F42BED">
        <w:rPr>
          <w:sz w:val="24"/>
          <w:lang w:val="lv-LV"/>
        </w:rPr>
        <w:tab/>
      </w:r>
      <w:r w:rsidRPr="00F42BED">
        <w:rPr>
          <w:sz w:val="24"/>
          <w:lang w:val="lv-LV"/>
        </w:rPr>
        <w:t xml:space="preserve">Tiesas 2020. gada 17. septembra spriedums, </w:t>
      </w:r>
      <w:proofErr w:type="spellStart"/>
      <w:r w:rsidRPr="00F42BED">
        <w:rPr>
          <w:i/>
          <w:sz w:val="24"/>
          <w:lang w:val="lv-LV"/>
        </w:rPr>
        <w:t>Troszczynski</w:t>
      </w:r>
      <w:proofErr w:type="spellEnd"/>
      <w:r w:rsidRPr="00F42BED">
        <w:rPr>
          <w:sz w:val="24"/>
          <w:lang w:val="lv-LV"/>
        </w:rPr>
        <w:t>, C-12/19, ECLI:EU:C:2020:725, 26.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2B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2B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2B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LV"/>
    <w:docVar w:name="dvnumam" w:val="0"/>
    <w:docVar w:name="dvpe" w:val="759.886"/>
    <w:docVar w:name="dvrapporteur" w:val="Referents: "/>
    <w:docVar w:name="dvtitre" w:val="Eiropas Parlamenta 2024. gada XX. XXX lēmums par pieprasījumu atcelt Andra Amerika imunitāti(2023/2090(IMM))"/>
  </w:docVars>
  <w:rsids>
    <w:rsidRoot w:val="009D162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4E1"/>
    <w:rsid w:val="00560270"/>
    <w:rsid w:val="005C2568"/>
    <w:rsid w:val="006037C0"/>
    <w:rsid w:val="006346D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62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6493"/>
    <w:rsid w:val="00C61C0C"/>
    <w:rsid w:val="00C941CB"/>
    <w:rsid w:val="00CC2357"/>
    <w:rsid w:val="00CF071A"/>
    <w:rsid w:val="00D058B8"/>
    <w:rsid w:val="00D56C11"/>
    <w:rsid w:val="00D834A0"/>
    <w:rsid w:val="00D872DF"/>
    <w:rsid w:val="00D91E21"/>
    <w:rsid w:val="00DA7FCD"/>
    <w:rsid w:val="00DB2199"/>
    <w:rsid w:val="00E365E1"/>
    <w:rsid w:val="00E820A4"/>
    <w:rsid w:val="00EB006A"/>
    <w:rsid w:val="00EB4772"/>
    <w:rsid w:val="00ED169E"/>
    <w:rsid w:val="00ED4235"/>
    <w:rsid w:val="00F04346"/>
    <w:rsid w:val="00F075DC"/>
    <w:rsid w:val="00F149E9"/>
    <w:rsid w:val="00F42BE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7B3A5"/>
  <w15:chartTrackingRefBased/>
  <w15:docId w15:val="{08A8A922-0278-4B0F-B0C8-B6FC4BE83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46493"/>
    <w:rPr>
      <w:b/>
    </w:rPr>
  </w:style>
  <w:style w:type="paragraph" w:customStyle="1" w:styleId="NormalHanging12a">
    <w:name w:val="NormalHanging12a"/>
    <w:basedOn w:val="Normal"/>
    <w:rsid w:val="00C46493"/>
    <w:pPr>
      <w:spacing w:after="240"/>
      <w:ind w:left="567" w:hanging="567"/>
    </w:pPr>
  </w:style>
  <w:style w:type="paragraph" w:customStyle="1" w:styleId="EPComma">
    <w:name w:val="EPComma"/>
    <w:basedOn w:val="Normal"/>
    <w:rsid w:val="00C46493"/>
    <w:pPr>
      <w:spacing w:before="480" w:after="240"/>
    </w:pPr>
  </w:style>
  <w:style w:type="paragraph" w:styleId="BalloonText">
    <w:name w:val="Balloon Text"/>
    <w:basedOn w:val="Normal"/>
    <w:link w:val="BalloonTextChar"/>
    <w:rsid w:val="00DB2199"/>
    <w:rPr>
      <w:rFonts w:ascii="Segoe UI" w:hAnsi="Segoe UI" w:cs="Segoe UI"/>
      <w:sz w:val="18"/>
      <w:szCs w:val="18"/>
    </w:rPr>
  </w:style>
  <w:style w:type="character" w:customStyle="1" w:styleId="BalloonTextChar">
    <w:name w:val="Balloon Text Char"/>
    <w:basedOn w:val="DefaultParagraphFont"/>
    <w:link w:val="BalloonText"/>
    <w:rsid w:val="00DB2199"/>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E822B-2176-41DB-AC1B-3BF923A3C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707</Words>
  <Characters>4562</Characters>
  <Application>Microsoft Office Word</Application>
  <DocSecurity>0</DocSecurity>
  <Lines>106</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2024-04-11T11:48:00Z</dcterms:created>
  <dcterms:modified xsi:type="dcterms:W3CDTF">2024-04-11T11:48:00Z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A9-0169/2024</vt:lpwstr>
  </property>
  <property fmtid="{D5CDD505-2E9C-101B-9397-08002B2CF9AE}" pid="4" name="&lt;Type&gt;">
    <vt:lpwstr>RR</vt:lpwstr>
  </property>
</Properties>
</file>