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953D4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2953D4" w:rsidRDefault="00893870" w:rsidP="0010095E">
            <w:pPr>
              <w:pStyle w:val="EPName"/>
            </w:pPr>
            <w:bookmarkStart w:id="0" w:name="_GoBack" w:colFirst="0" w:colLast="0"/>
            <w:r w:rsidRPr="002953D4">
              <w:t>Parlament Ewropew</w:t>
            </w:r>
          </w:p>
          <w:p w:rsidR="00751A4A" w:rsidRPr="002953D4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953D4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2953D4" w:rsidRDefault="00187494" w:rsidP="0010095E">
            <w:pPr>
              <w:pStyle w:val="EPLogo"/>
            </w:pPr>
            <w:r w:rsidRPr="002953D4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bookmarkEnd w:id="0"/>
    </w:tbl>
    <w:p w:rsidR="00D058B8" w:rsidRPr="002953D4" w:rsidRDefault="00D058B8" w:rsidP="004C5D52">
      <w:pPr>
        <w:pStyle w:val="LineTop"/>
      </w:pPr>
    </w:p>
    <w:p w:rsidR="00680577" w:rsidRPr="002953D4" w:rsidRDefault="00893870" w:rsidP="00680577">
      <w:pPr>
        <w:pStyle w:val="EPBodyTA1"/>
      </w:pPr>
      <w:r w:rsidRPr="002953D4">
        <w:t>TESTI ADOTTATI</w:t>
      </w:r>
    </w:p>
    <w:p w:rsidR="00D058B8" w:rsidRPr="002953D4" w:rsidRDefault="00D058B8" w:rsidP="00D058B8">
      <w:pPr>
        <w:pStyle w:val="LineBottom"/>
      </w:pPr>
    </w:p>
    <w:p w:rsidR="00893870" w:rsidRPr="002953D4" w:rsidRDefault="00893870" w:rsidP="00893870">
      <w:pPr>
        <w:pStyle w:val="ATHeading1"/>
      </w:pPr>
      <w:bookmarkStart w:id="1" w:name="TANumber"/>
      <w:r w:rsidRPr="002953D4">
        <w:t>P9_TA(2024)0</w:t>
      </w:r>
      <w:r w:rsidR="002953D4" w:rsidRPr="002953D4">
        <w:t>225</w:t>
      </w:r>
      <w:bookmarkEnd w:id="1"/>
    </w:p>
    <w:p w:rsidR="00893870" w:rsidRPr="002953D4" w:rsidRDefault="00893870" w:rsidP="00893870">
      <w:pPr>
        <w:pStyle w:val="ATHeading2"/>
      </w:pPr>
      <w:bookmarkStart w:id="2" w:name="title"/>
      <w:r w:rsidRPr="002953D4">
        <w:t>Talba għat-tneħħija tal-immunità ta’ Andris Ameriks</w:t>
      </w:r>
      <w:bookmarkEnd w:id="2"/>
    </w:p>
    <w:p w:rsidR="00893870" w:rsidRPr="002953D4" w:rsidRDefault="00893870" w:rsidP="00893870">
      <w:pPr>
        <w:rPr>
          <w:i/>
          <w:vanish/>
        </w:rPr>
      </w:pPr>
      <w:r w:rsidRPr="002953D4">
        <w:rPr>
          <w:i/>
        </w:rPr>
        <w:fldChar w:fldCharType="begin"/>
      </w:r>
      <w:r w:rsidRPr="002953D4">
        <w:rPr>
          <w:i/>
        </w:rPr>
        <w:instrText xml:space="preserve"> TC"(</w:instrText>
      </w:r>
      <w:bookmarkStart w:id="3" w:name="DocNumber"/>
      <w:r w:rsidRPr="002953D4">
        <w:rPr>
          <w:i/>
        </w:rPr>
        <w:instrText xml:space="preserve"> A9-0169/2</w:instrText>
      </w:r>
      <w:r w:rsidR="001D5FC9">
        <w:rPr>
          <w:i/>
          <w:lang w:val="en-GB"/>
        </w:rPr>
        <w:instrText>02</w:instrText>
      </w:r>
      <w:r w:rsidRPr="002953D4">
        <w:rPr>
          <w:i/>
        </w:rPr>
        <w:instrText>4</w:instrText>
      </w:r>
      <w:bookmarkEnd w:id="3"/>
      <w:r w:rsidRPr="002953D4">
        <w:rPr>
          <w:i/>
        </w:rPr>
        <w:instrText xml:space="preserve"> - Rapporteur: Gilles Lebreton)"\l3 \n&gt; \* MERGEFORMAT </w:instrText>
      </w:r>
      <w:r w:rsidRPr="002953D4">
        <w:rPr>
          <w:i/>
        </w:rPr>
        <w:fldChar w:fldCharType="end"/>
      </w:r>
    </w:p>
    <w:p w:rsidR="00893870" w:rsidRPr="002953D4" w:rsidRDefault="00893870" w:rsidP="00893870">
      <w:pPr>
        <w:rPr>
          <w:vanish/>
        </w:rPr>
      </w:pPr>
      <w:bookmarkStart w:id="4" w:name="Commission"/>
      <w:r w:rsidRPr="002953D4">
        <w:rPr>
          <w:vanish/>
        </w:rPr>
        <w:t>Kumitat għall-Affarijiet Legali</w:t>
      </w:r>
      <w:bookmarkEnd w:id="4"/>
    </w:p>
    <w:p w:rsidR="00893870" w:rsidRPr="002953D4" w:rsidRDefault="00893870" w:rsidP="00893870">
      <w:pPr>
        <w:rPr>
          <w:vanish/>
        </w:rPr>
      </w:pPr>
      <w:bookmarkStart w:id="5" w:name="PE"/>
      <w:r w:rsidRPr="002953D4">
        <w:rPr>
          <w:vanish/>
        </w:rPr>
        <w:t>PE759.886</w:t>
      </w:r>
      <w:bookmarkEnd w:id="5"/>
    </w:p>
    <w:p w:rsidR="00893870" w:rsidRPr="002953D4" w:rsidRDefault="00893870" w:rsidP="00893870">
      <w:pPr>
        <w:pStyle w:val="ATHeading3"/>
      </w:pPr>
      <w:bookmarkStart w:id="6" w:name="Sujet"/>
      <w:r w:rsidRPr="002953D4">
        <w:t>Deċiżjoni tal-Parlament Ewropew tal-11 ta' April 2024 dwar it-talba għat-tneħħija tal-immunità ta’ Andris Ameriks</w:t>
      </w:r>
      <w:bookmarkEnd w:id="6"/>
      <w:r w:rsidRPr="002953D4">
        <w:t xml:space="preserve"> </w:t>
      </w:r>
      <w:bookmarkStart w:id="7" w:name="References"/>
      <w:r w:rsidRPr="002953D4">
        <w:t>(2023/2090(IMM))</w:t>
      </w:r>
      <w:bookmarkEnd w:id="7"/>
    </w:p>
    <w:p w:rsidR="00737145" w:rsidRPr="002953D4" w:rsidRDefault="00737145" w:rsidP="00737145">
      <w:pPr>
        <w:pStyle w:val="EPComma"/>
      </w:pPr>
      <w:bookmarkStart w:id="8" w:name="TextBodyBegin"/>
      <w:bookmarkEnd w:id="8"/>
      <w:r w:rsidRPr="002953D4">
        <w:rPr>
          <w:i/>
        </w:rPr>
        <w:t>Il-Parlament Ewropew</w:t>
      </w:r>
      <w:r w:rsidRPr="002953D4">
        <w:t>,</w:t>
      </w:r>
    </w:p>
    <w:p w:rsidR="00737145" w:rsidRPr="002953D4" w:rsidRDefault="00737145" w:rsidP="00737145">
      <w:pPr>
        <w:pStyle w:val="NormalHanging12a"/>
      </w:pPr>
      <w:r w:rsidRPr="002953D4">
        <w:t>–</w:t>
      </w:r>
      <w:r w:rsidRPr="002953D4">
        <w:tab/>
        <w:t>wara li kkunsidra t-talba għat-tneħħija tal-immunità ta’ Andris Ameriks</w:t>
      </w:r>
      <w:r w:rsidR="00A1697D" w:rsidRPr="002953D4">
        <w:t xml:space="preserve"> tal-24 ta’ Mejju 2023</w:t>
      </w:r>
      <w:r w:rsidRPr="002953D4">
        <w:t>, mill-Prosekutur tat-Taqsima ta’ Koordinazzjoni tal-Ġlieda kontra l-Korruzzjoni tad-Dipartiment tad-Dritt Kriminali tal-Uffiċċju tal-Prosekutur Ġenerali ta’ Riga</w:t>
      </w:r>
      <w:r w:rsidR="00A1697D" w:rsidRPr="002953D4">
        <w:t>,</w:t>
      </w:r>
      <w:r w:rsidRPr="002953D4">
        <w:t xml:space="preserve"> u trażmessa fl-istess data mill-Prosekutur Ġenerali tar-Repubblika tal-Latvja, b’rabta mal-proċediment kriminali li għandu jinbeda fir-Repubblika tal-Latvja u mħabbra fil-plenarja fl-14 ta’ Ġunju 2023,</w:t>
      </w:r>
    </w:p>
    <w:p w:rsidR="00737145" w:rsidRPr="002953D4" w:rsidRDefault="00737145" w:rsidP="00737145">
      <w:pPr>
        <w:pStyle w:val="NormalHanging12a"/>
      </w:pPr>
      <w:r w:rsidRPr="002953D4">
        <w:t>–</w:t>
      </w:r>
      <w:r w:rsidRPr="002953D4">
        <w:tab/>
        <w:t>wara li sema’ lil Nils Ušakovs, f’isem Andris Ameriks, skont l-Artikolu 9(6) tar-Regoli ta’ Proċedura tiegħu,</w:t>
      </w:r>
    </w:p>
    <w:p w:rsidR="00737145" w:rsidRPr="002953D4" w:rsidRDefault="00737145" w:rsidP="00737145">
      <w:pPr>
        <w:pStyle w:val="NormalHanging12a"/>
      </w:pPr>
      <w:r w:rsidRPr="002953D4">
        <w:t>–</w:t>
      </w:r>
      <w:r w:rsidRPr="002953D4">
        <w:tab/>
        <w:t>wara li kkunsidra l-Artikoli 8 u 9 tal-Protokoll Nru 7 dwar il-Privileġġi u l-Immunitajiet tal-Unjoni Ewropea kif ukoll l-Artikolu 6(2) tal-Att tal-20 ta’ Settembru 1976 dwar l-elezzjoni tal-Membri tal-Parlament Ewropew b’vot dirett universali,</w:t>
      </w:r>
    </w:p>
    <w:p w:rsidR="00737145" w:rsidRPr="002953D4" w:rsidRDefault="00737145" w:rsidP="00737145">
      <w:pPr>
        <w:pStyle w:val="NormalHanging12a"/>
      </w:pPr>
      <w:r w:rsidRPr="002953D4">
        <w:t>–</w:t>
      </w:r>
      <w:r w:rsidRPr="002953D4">
        <w:tab/>
        <w:t>wara li kkunsidra l-Artikoli 29 u 30 tal-Kostituzzjoni Latvjana,</w:t>
      </w:r>
    </w:p>
    <w:p w:rsidR="00737145" w:rsidRPr="002953D4" w:rsidRDefault="00737145" w:rsidP="00737145">
      <w:pPr>
        <w:pStyle w:val="NormalHanging12a"/>
      </w:pPr>
      <w:r w:rsidRPr="002953D4">
        <w:t>–</w:t>
      </w:r>
      <w:r w:rsidRPr="002953D4">
        <w:tab/>
        <w:t>wara li kkunsidra s-sentenzi mogħtija mill-Qorti tal-Ġustizzja tal-Unjoni Ewropea fil-21 ta’ Ottubru 2008, fid-19 ta’ Marzu 2010, fis-6 ta’ Settembru 2011, fis-17 ta’ Jannar 2013 u fid-19 ta’ Diċembru 2019</w:t>
      </w:r>
      <w:r w:rsidRPr="002953D4">
        <w:rPr>
          <w:rStyle w:val="FootnoteReference"/>
        </w:rPr>
        <w:footnoteReference w:id="1"/>
      </w:r>
      <w:r w:rsidRPr="002953D4">
        <w:t>,</w:t>
      </w:r>
    </w:p>
    <w:p w:rsidR="00737145" w:rsidRPr="002953D4" w:rsidRDefault="00737145" w:rsidP="00737145">
      <w:pPr>
        <w:pStyle w:val="NormalHanging12a"/>
      </w:pPr>
      <w:r w:rsidRPr="002953D4">
        <w:t>–</w:t>
      </w:r>
      <w:r w:rsidRPr="002953D4">
        <w:tab/>
        <w:t>wara li kkunsidra l-Artikoli 5(2), l-Artikolu 6(1) u l-Artikolu 9 tar-Regoli ta’ Proċedura tiegħu,</w:t>
      </w:r>
    </w:p>
    <w:p w:rsidR="00737145" w:rsidRPr="002953D4" w:rsidRDefault="00737145" w:rsidP="00737145">
      <w:pPr>
        <w:pStyle w:val="NormalHanging12a"/>
      </w:pPr>
      <w:r w:rsidRPr="002953D4">
        <w:t>–</w:t>
      </w:r>
      <w:r w:rsidRPr="002953D4">
        <w:tab/>
        <w:t>wara li kkunsidra r-rapport tal-Kumitat għall-Affarijiet Legali (A9-0169/2024),</w:t>
      </w:r>
    </w:p>
    <w:p w:rsidR="00737145" w:rsidRPr="002953D4" w:rsidRDefault="00737145" w:rsidP="00737145">
      <w:pPr>
        <w:pStyle w:val="NormalHanging12a"/>
      </w:pPr>
      <w:r w:rsidRPr="002953D4">
        <w:lastRenderedPageBreak/>
        <w:t>A.</w:t>
      </w:r>
      <w:r w:rsidRPr="002953D4">
        <w:tab/>
        <w:t xml:space="preserve">billi l-Prosekutur tat-Taqsima ta’ Koordinazzjoni tal-Ġlieda kontra l-Korruzzjoni tad-Dipartiment tal-Liġi Kriminali tal-Uffiċċju tal-Prosekutur Pubbliku ta’ Riga talab it-tneħħija tal-immunità ta’ Andris Ameriks, Membru tal-Parlament Ewropew, elett </w:t>
      </w:r>
      <w:r w:rsidR="00A1697D" w:rsidRPr="002953D4">
        <w:t>fi</w:t>
      </w:r>
      <w:r w:rsidRPr="002953D4">
        <w:t>l-Latvja, sabiex jinbeda proċediment kriminali kontrih għal reat kriminali li kien jinvolvi tixħima qabel ma twettaq att illegali fl-interess ta’ parti terza permezz tal-użu tal-funzjoni uffiċjali tiegħu, f’konformità mal-Artikolu 320(4) tal-Kodiċi Kriminali Latvjan;</w:t>
      </w:r>
    </w:p>
    <w:p w:rsidR="00737145" w:rsidRPr="002953D4" w:rsidRDefault="00737145" w:rsidP="00737145">
      <w:pPr>
        <w:pStyle w:val="NormalHanging12a"/>
      </w:pPr>
      <w:r w:rsidRPr="002953D4">
        <w:t>B.</w:t>
      </w:r>
      <w:r w:rsidRPr="002953D4">
        <w:tab/>
        <w:t>billi, matul il-perjodu mit-22 ta’ Lulju 2017 sas-17 ta’ Settembru 2017, Andris Ameriks, fil-kapaċità tiegħu bħala Viċi President tal-belt ta’ Riga, u għaldaqstant vestit b’awtorità pubblika bi pożizzjoni ta’ responsabbiltà, allegatament talab, fost oħrajn, tixħima lis-sid intermedjarju ta’ kumpanija tat-trasport tal-minibuses għal ammont ekwivalenti għal 50 % tas-somom li dik il-kumpanija kienet irċeviet mill-belt ta’ Riga talli ttrasportat passiġġieri li kienu intitolati għal tnaqqis fin-nollijiet tat-trasport;</w:t>
      </w:r>
    </w:p>
    <w:p w:rsidR="00737145" w:rsidRPr="002953D4" w:rsidRDefault="00737145" w:rsidP="00737145">
      <w:pPr>
        <w:pStyle w:val="NormalHanging12a"/>
      </w:pPr>
      <w:r w:rsidRPr="002953D4">
        <w:t>C.</w:t>
      </w:r>
      <w:r w:rsidRPr="002953D4">
        <w:tab/>
        <w:t>billi Andris Ameriks ġie elett fil-Parlament Ewropew fl-elezzjonijiet Ewropej ta’ Mejju 2019;</w:t>
      </w:r>
    </w:p>
    <w:p w:rsidR="00737145" w:rsidRPr="002953D4" w:rsidRDefault="00737145" w:rsidP="00737145">
      <w:pPr>
        <w:spacing w:after="240"/>
        <w:ind w:left="567" w:hanging="567"/>
      </w:pPr>
      <w:r w:rsidRPr="002953D4">
        <w:t>D.</w:t>
      </w:r>
      <w:r w:rsidRPr="002953D4">
        <w:tab/>
        <w:t>billi l-allegat reat ma jinvolvi l-ebda opinjoni espressa jew vot mitfugħ minn Andris Ameriks fil-qadi ta’ dmirijietu, f’konformità mal-Artikolu 8 tal-Protokoll Nru 7 dwar il-Privileġġi u l-Immunitajiet tal-Unjoni Ewropea;</w:t>
      </w:r>
    </w:p>
    <w:p w:rsidR="00737145" w:rsidRPr="002953D4" w:rsidRDefault="00737145" w:rsidP="00737145">
      <w:pPr>
        <w:spacing w:after="240"/>
        <w:ind w:left="567" w:hanging="567"/>
      </w:pPr>
      <w:r w:rsidRPr="002953D4">
        <w:t>E.</w:t>
      </w:r>
      <w:r w:rsidRPr="002953D4">
        <w:tab/>
        <w:t>billi l-Artikolu 9 tal-Protokoll Nru 7 dwar il-Privileġġi u l-Immunitajiet tal-Unjoni Ewropea jipprevedi li l-Membri tal-Parlament Ewropew għandhom igawdu, fit-territorju tal-Istat tagħhom stess, l-immunitajiet mogħtija lil membri tal-parlament tagħhom;</w:t>
      </w:r>
    </w:p>
    <w:p w:rsidR="00737145" w:rsidRPr="002953D4" w:rsidRDefault="00737145" w:rsidP="00737145">
      <w:pPr>
        <w:spacing w:after="240"/>
        <w:ind w:left="567" w:hanging="567"/>
      </w:pPr>
      <w:r w:rsidRPr="002953D4">
        <w:t>F.</w:t>
      </w:r>
      <w:r w:rsidRPr="002953D4">
        <w:tab/>
        <w:t>billi l-Artikoli 29 u 30 tal-Kostituzzjoni Latvjana jgħidu:</w:t>
      </w:r>
    </w:p>
    <w:p w:rsidR="00737145" w:rsidRPr="002953D4" w:rsidRDefault="00737145" w:rsidP="00737145">
      <w:pPr>
        <w:spacing w:after="240"/>
        <w:ind w:left="567"/>
        <w:rPr>
          <w:b/>
          <w:bCs/>
        </w:rPr>
      </w:pPr>
      <w:r w:rsidRPr="002953D4">
        <w:t>“Artikolu 29</w:t>
      </w:r>
    </w:p>
    <w:p w:rsidR="00737145" w:rsidRPr="002953D4" w:rsidRDefault="00737145" w:rsidP="00737145">
      <w:pPr>
        <w:spacing w:after="240"/>
        <w:ind w:left="567"/>
        <w:rPr>
          <w:b/>
          <w:bCs/>
        </w:rPr>
      </w:pPr>
      <w:r w:rsidRPr="002953D4">
        <w:t>Il-Membri tas-Saeima (il-Parlament Latvjan) la jistgħu jiġu arrestati, la sottoposti għal perkwiżizzjoni tad-domiċilju tagħhom u lanqas ma jkunu limitati, bl-ebda mod, fil-libertà tagħhom, mingħajr il-kunsens tas-Saeima. (...)</w:t>
      </w:r>
    </w:p>
    <w:p w:rsidR="00737145" w:rsidRPr="002953D4" w:rsidRDefault="00737145" w:rsidP="00737145">
      <w:pPr>
        <w:spacing w:after="240"/>
        <w:ind w:left="567"/>
        <w:rPr>
          <w:bCs/>
        </w:rPr>
      </w:pPr>
      <w:r w:rsidRPr="002953D4">
        <w:t>Artikolu 30</w:t>
      </w:r>
    </w:p>
    <w:p w:rsidR="00737145" w:rsidRPr="002953D4" w:rsidRDefault="00737145" w:rsidP="00737145">
      <w:pPr>
        <w:spacing w:after="240"/>
        <w:ind w:left="567"/>
      </w:pPr>
      <w:r w:rsidRPr="002953D4">
        <w:t>L-ebda prosekuzzjoni kriminali ma tista’ tinbeda fil-konfront ta’ membru tas-Saeima u l-ebda multa amministrattiva ma tista’ tiġi imposta fuqu mingħajr il-kunsens tas-Saeima.”;</w:t>
      </w:r>
    </w:p>
    <w:p w:rsidR="00737145" w:rsidRPr="002953D4" w:rsidRDefault="00737145" w:rsidP="00737145">
      <w:pPr>
        <w:spacing w:after="240"/>
        <w:ind w:left="567" w:hanging="567"/>
      </w:pPr>
      <w:r w:rsidRPr="002953D4">
        <w:t>G.</w:t>
      </w:r>
      <w:r w:rsidRPr="002953D4">
        <w:tab/>
        <w:t>billi, minn naħa, il-Parlament ma jistax jitqies bħala qorti u, min-naħa l-oħra, il-Membru ma jistax, fil-kuntest ta’ proċedura għat-tneħħija tal-immunità, jitqies bħala “akkużat”</w:t>
      </w:r>
      <w:r w:rsidRPr="002953D4">
        <w:rPr>
          <w:vertAlign w:val="superscript"/>
        </w:rPr>
        <w:footnoteReference w:id="2"/>
      </w:r>
      <w:r w:rsidRPr="002953D4">
        <w:t>;</w:t>
      </w:r>
    </w:p>
    <w:p w:rsidR="00737145" w:rsidRPr="002953D4" w:rsidRDefault="00737145" w:rsidP="00737145">
      <w:pPr>
        <w:pStyle w:val="NormalHanging12a"/>
      </w:pPr>
      <w:r w:rsidRPr="002953D4">
        <w:t>H.</w:t>
      </w:r>
      <w:r w:rsidRPr="002953D4">
        <w:tab/>
        <w:t>billi l-għan tal-immunità parlamentari huwa li tipproteġi lill-Parlament u lill-Membri tiegħu minn proċedimenti ġudizzjarji relatati ma’ attivitajiet imwettqa fil-qadi tad-dmirijiet parlamentari u li huma inseparabbli minn dawn l-attivitajiet;</w:t>
      </w:r>
    </w:p>
    <w:p w:rsidR="00737145" w:rsidRPr="002953D4" w:rsidRDefault="00737145" w:rsidP="00737145">
      <w:pPr>
        <w:pStyle w:val="NormalHanging12a"/>
      </w:pPr>
      <w:r w:rsidRPr="002953D4">
        <w:t>I.</w:t>
      </w:r>
      <w:r w:rsidRPr="002953D4">
        <w:tab/>
        <w:t xml:space="preserve">billi l-investigazzjoni ma setgħetx tistabbilixxi b’ċertezza l-post u l-ħin preċiżi li fihom </w:t>
      </w:r>
      <w:r w:rsidRPr="002953D4">
        <w:lastRenderedPageBreak/>
        <w:t>seħħ l-allegat reat;</w:t>
      </w:r>
    </w:p>
    <w:p w:rsidR="00737145" w:rsidRPr="002953D4" w:rsidRDefault="00737145" w:rsidP="00737145">
      <w:pPr>
        <w:pStyle w:val="NormalHanging12a"/>
      </w:pPr>
      <w:r w:rsidRPr="002953D4">
        <w:t>J.</w:t>
      </w:r>
      <w:r w:rsidRPr="002953D4">
        <w:tab/>
        <w:t>billi l-allegat reat li bih ġie akkużat Andris Ameriks twettaq fl-2017 u l-Prosekutur Ġenerali tar-Repubblika tal-Latvja bagħat it-talba għat-tneħħija tal-immunità biss fit-23 ta’ Mejju 2023; billi m’hemm l-ebda ġustifikazzjoni konvinċenti għal tali dewmien fit-teħid ta’ azzjoni;</w:t>
      </w:r>
    </w:p>
    <w:p w:rsidR="00737145" w:rsidRPr="002953D4" w:rsidRDefault="00737145" w:rsidP="00737145">
      <w:pPr>
        <w:pStyle w:val="NormalHanging12a"/>
      </w:pPr>
      <w:r w:rsidRPr="002953D4">
        <w:t>K.</w:t>
      </w:r>
      <w:r w:rsidRPr="002953D4">
        <w:tab/>
        <w:t>billi jirriżulta mill-ġurisdprudenza tal-QĠUE li l-Parlament jiddisponi minn “setgħa diskrezzjonali wiesgħa fir-rigward tal-orjentazzjoni li għandu intenzjoni jagħti lid-deċiżjoni fir-rigward ta’ talba għat-tneħħija tal-immunità [...] minħabba n-natura politika li għandha tali deċiżjoni”</w:t>
      </w:r>
      <w:r w:rsidRPr="002953D4">
        <w:rPr>
          <w:vertAlign w:val="superscript"/>
        </w:rPr>
        <w:footnoteReference w:id="3"/>
      </w:r>
      <w:r w:rsidRPr="002953D4">
        <w:t>;</w:t>
      </w:r>
    </w:p>
    <w:p w:rsidR="00737145" w:rsidRPr="002953D4" w:rsidRDefault="00737145" w:rsidP="00737145">
      <w:pPr>
        <w:pStyle w:val="NormalHanging12a"/>
        <w:rPr>
          <w:szCs w:val="24"/>
        </w:rPr>
      </w:pPr>
      <w:r w:rsidRPr="002953D4">
        <w:t>L.</w:t>
      </w:r>
      <w:r w:rsidRPr="002953D4">
        <w:tab/>
        <w:t>billi l-koinċidenza ta’ din l-evidenza konkreta toħloq dubji serji dwar l-intenzjoni possibbli li tiġi mminata l-attività politika ta’ Andris Ameriks, u b’mod partikolari l-attività tiegħu bħala Membru tal-Parlament Ewropew; billi, abbażi tal-informazzjoni u l-ispjegazzjonijiet ipprovduti f’dan il-każ, inklużi t-tweġibiet mogħtija mill-Viċi Prosekutur Ġenerali tar-Repubblika tal-Latvja matul l-iskambju ta’ fehmiet miegħu, hemm inċertezza dwar l-evidenza li fuqha hija bbażata t-talba għat-tneħħija tal-immunità u dubji serji dwar il-proċedura, inkluż ir-raġunament sottostanti għat-talba għat-tneħħija tal-immunità;</w:t>
      </w:r>
    </w:p>
    <w:p w:rsidR="00737145" w:rsidRPr="002953D4" w:rsidRDefault="00737145" w:rsidP="00737145">
      <w:pPr>
        <w:pStyle w:val="NormalHanging12a"/>
        <w:rPr>
          <w:szCs w:val="24"/>
        </w:rPr>
      </w:pPr>
      <w:r w:rsidRPr="002953D4">
        <w:t>M.</w:t>
      </w:r>
      <w:r w:rsidRPr="002953D4">
        <w:tab/>
        <w:t xml:space="preserve">billi għalhekk jidher li dan huwa każ fejn wieħed jista’ jassumi l’eżistenza ta’ każ ta’ </w:t>
      </w:r>
      <w:r w:rsidRPr="002953D4">
        <w:rPr>
          <w:i/>
        </w:rPr>
        <w:t>fumus persecutionis</w:t>
      </w:r>
      <w:r w:rsidRPr="002953D4">
        <w:t>, jiġifieri “evidenza konkreta”</w:t>
      </w:r>
      <w:r w:rsidRPr="002953D4">
        <w:rPr>
          <w:szCs w:val="24"/>
          <w:vertAlign w:val="superscript"/>
        </w:rPr>
        <w:footnoteReference w:id="4"/>
      </w:r>
      <w:r w:rsidRPr="002953D4">
        <w:t xml:space="preserve"> li tindika li l-prosekuzzjoni inkwistjoni nbdiet bl-intenzjoni li timmina l-attività politika ta’ Andris Ameriks u, fost oħrajn, l-attività tiegħu bħala Membru tal-Parlament Ewropew;</w:t>
      </w:r>
    </w:p>
    <w:p w:rsidR="00737145" w:rsidRPr="002953D4" w:rsidRDefault="00737145" w:rsidP="00737145">
      <w:pPr>
        <w:pStyle w:val="NormalHanging12a"/>
        <w:rPr>
          <w:szCs w:val="24"/>
        </w:rPr>
      </w:pPr>
      <w:r w:rsidRPr="002953D4">
        <w:t>1.</w:t>
      </w:r>
      <w:r w:rsidRPr="002953D4">
        <w:tab/>
        <w:t>Jiddeċiedi li ma jneħħix l-immunità ta’ Andris Ameriks;</w:t>
      </w:r>
    </w:p>
    <w:p w:rsidR="00737145" w:rsidRPr="00DE0B14" w:rsidRDefault="00737145" w:rsidP="002953D4">
      <w:pPr>
        <w:ind w:left="567" w:hanging="567"/>
      </w:pPr>
      <w:r w:rsidRPr="002953D4">
        <w:t>2.</w:t>
      </w:r>
      <w:r w:rsidRPr="002953D4">
        <w:tab/>
        <w:t>Jagħti istruzzjonijiet lill-President tiegħu biex tgħaddi minnufih din id-deċiżjoni u r-rapport tal-kumitat responsabbli tiegħu lill-awtorità kompetenti tar-Repubblika tal-Latvja u lil Andris Ameriks.</w:t>
      </w:r>
    </w:p>
    <w:p w:rsidR="00E365E1" w:rsidRPr="00DE0B14" w:rsidRDefault="00E365E1" w:rsidP="00893870">
      <w:bookmarkStart w:id="9" w:name="TextBodyEnd"/>
      <w:bookmarkEnd w:id="9"/>
    </w:p>
    <w:sectPr w:rsidR="00E365E1" w:rsidRPr="00DE0B14" w:rsidSect="00DE0B1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93870" w:rsidRPr="00DE0B14" w:rsidRDefault="00893870">
      <w:r w:rsidRPr="00DE0B14">
        <w:separator/>
      </w:r>
    </w:p>
  </w:endnote>
  <w:endnote w:type="continuationSeparator" w:id="0">
    <w:p w:rsidR="00893870" w:rsidRPr="00DE0B14" w:rsidRDefault="00893870">
      <w:r w:rsidRPr="00DE0B1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E0B14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E0B14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E0B1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93870" w:rsidRPr="00DE0B14" w:rsidRDefault="00893870">
      <w:r w:rsidRPr="00DE0B14">
        <w:separator/>
      </w:r>
    </w:p>
  </w:footnote>
  <w:footnote w:type="continuationSeparator" w:id="0">
    <w:p w:rsidR="00893870" w:rsidRPr="00DE0B14" w:rsidRDefault="00893870">
      <w:r w:rsidRPr="00DE0B14">
        <w:continuationSeparator/>
      </w:r>
    </w:p>
  </w:footnote>
  <w:footnote w:id="1">
    <w:p w:rsidR="00737145" w:rsidRPr="002953D4" w:rsidRDefault="00737145" w:rsidP="00DE0B14">
      <w:pPr>
        <w:pStyle w:val="FootnoteText"/>
        <w:ind w:left="567" w:hanging="567"/>
        <w:rPr>
          <w:sz w:val="24"/>
          <w:lang w:val="mt-MT"/>
        </w:rPr>
      </w:pPr>
      <w:r w:rsidRPr="002953D4">
        <w:rPr>
          <w:rStyle w:val="FootnoteReference"/>
          <w:sz w:val="24"/>
          <w:lang w:val="mt-MT"/>
        </w:rPr>
        <w:footnoteRef/>
      </w:r>
      <w:r w:rsidR="00DE0B14" w:rsidRPr="002953D4">
        <w:rPr>
          <w:sz w:val="24"/>
          <w:lang w:val="mt-MT"/>
        </w:rPr>
        <w:t xml:space="preserve"> </w:t>
      </w:r>
      <w:r w:rsidR="00DE0B14" w:rsidRPr="002953D4">
        <w:rPr>
          <w:sz w:val="24"/>
          <w:lang w:val="mt-MT"/>
        </w:rPr>
        <w:tab/>
      </w:r>
      <w:r w:rsidRPr="002953D4">
        <w:rPr>
          <w:sz w:val="24"/>
          <w:lang w:val="mt-MT"/>
        </w:rPr>
        <w:t xml:space="preserve">Is-sentenza tal-Qorti tal-Ġustizzja tal-21 ta’ Ottubru 2008, </w:t>
      </w:r>
      <w:r w:rsidRPr="002953D4">
        <w:rPr>
          <w:i/>
          <w:sz w:val="24"/>
          <w:lang w:val="mt-MT"/>
        </w:rPr>
        <w:t>Marra vs De Gregorio u Clemente</w:t>
      </w:r>
      <w:r w:rsidRPr="002953D4">
        <w:rPr>
          <w:sz w:val="24"/>
          <w:lang w:val="mt-MT"/>
        </w:rPr>
        <w:t xml:space="preserve">, ECLI:EU:C:2008:579; is-sentenza tal-Qorti Ġenerali tad-19 ta’ Marzu 2010, </w:t>
      </w:r>
      <w:r w:rsidRPr="002953D4">
        <w:rPr>
          <w:i/>
          <w:sz w:val="24"/>
          <w:lang w:val="mt-MT"/>
        </w:rPr>
        <w:t>Gollnisch vs il-Parlament</w:t>
      </w:r>
      <w:r w:rsidRPr="002953D4">
        <w:rPr>
          <w:sz w:val="24"/>
          <w:lang w:val="mt-MT"/>
        </w:rPr>
        <w:t xml:space="preserve">, T-42/05, ECLI:EU:T:2010:102; is-sentenza tal-Qorti tal-Ġustizzja tas-6 ta’ Settembru 2011, </w:t>
      </w:r>
      <w:r w:rsidRPr="002953D4">
        <w:rPr>
          <w:i/>
          <w:sz w:val="24"/>
          <w:lang w:val="mt-MT"/>
        </w:rPr>
        <w:t>Patriciello</w:t>
      </w:r>
      <w:r w:rsidRPr="002953D4">
        <w:rPr>
          <w:sz w:val="24"/>
          <w:lang w:val="mt-MT"/>
        </w:rPr>
        <w:t xml:space="preserve">, C 163/10, ECLI:EU:C:2011:543;  is-sentenza tal-Qorti Ġenerali tas-17 ta’ Jannar 2013, </w:t>
      </w:r>
      <w:r w:rsidRPr="002953D4">
        <w:rPr>
          <w:i/>
          <w:sz w:val="24"/>
          <w:lang w:val="mt-MT"/>
        </w:rPr>
        <w:t>Gollnisch vs il-Parlament</w:t>
      </w:r>
      <w:r w:rsidRPr="002953D4">
        <w:rPr>
          <w:sz w:val="24"/>
          <w:lang w:val="mt-MT"/>
        </w:rPr>
        <w:t xml:space="preserve">, T-346/11 u T-347/11, ECLI:EU:T:2013:23; is-sentenza tal-Qorti tal-Ġustizzja tad-19 ta’ Diċembru 2019, </w:t>
      </w:r>
      <w:r w:rsidRPr="002953D4">
        <w:rPr>
          <w:i/>
          <w:sz w:val="24"/>
          <w:lang w:val="mt-MT"/>
        </w:rPr>
        <w:t>Junqueras Vies</w:t>
      </w:r>
      <w:r w:rsidRPr="002953D4">
        <w:rPr>
          <w:sz w:val="24"/>
          <w:lang w:val="mt-MT"/>
        </w:rPr>
        <w:t>, C-502/19, ECLI:EU:C:2019:1115.</w:t>
      </w:r>
    </w:p>
  </w:footnote>
  <w:footnote w:id="2">
    <w:p w:rsidR="00737145" w:rsidRPr="002953D4" w:rsidRDefault="00737145" w:rsidP="00DE0B14">
      <w:pPr>
        <w:pStyle w:val="FootnoteText"/>
        <w:ind w:left="567" w:hanging="567"/>
        <w:rPr>
          <w:sz w:val="24"/>
          <w:lang w:val="mt-MT"/>
        </w:rPr>
      </w:pPr>
      <w:r w:rsidRPr="002953D4">
        <w:rPr>
          <w:rStyle w:val="FootnoteReference"/>
          <w:sz w:val="24"/>
          <w:lang w:val="mt-MT"/>
        </w:rPr>
        <w:footnoteRef/>
      </w:r>
      <w:r w:rsidR="00DE0B14" w:rsidRPr="002953D4">
        <w:rPr>
          <w:sz w:val="24"/>
          <w:lang w:val="mt-MT"/>
        </w:rPr>
        <w:t xml:space="preserve"> </w:t>
      </w:r>
      <w:r w:rsidR="00DE0B14" w:rsidRPr="002953D4">
        <w:rPr>
          <w:sz w:val="24"/>
          <w:lang w:val="mt-MT"/>
        </w:rPr>
        <w:tab/>
      </w:r>
      <w:r w:rsidRPr="002953D4">
        <w:rPr>
          <w:sz w:val="24"/>
          <w:lang w:val="mt-MT"/>
        </w:rPr>
        <w:t xml:space="preserve">Is-sentenza tal-Qorti Ġenerali tat-30 ta’ April 2019, </w:t>
      </w:r>
      <w:r w:rsidRPr="002953D4">
        <w:rPr>
          <w:i/>
          <w:sz w:val="24"/>
          <w:lang w:val="mt-MT"/>
        </w:rPr>
        <w:t>Briois vs il-Parlament</w:t>
      </w:r>
      <w:r w:rsidRPr="002953D4">
        <w:rPr>
          <w:sz w:val="24"/>
          <w:lang w:val="mt-MT"/>
        </w:rPr>
        <w:t>, T-214/18, ECLI:EU:T:2019:266.</w:t>
      </w:r>
    </w:p>
  </w:footnote>
  <w:footnote w:id="3">
    <w:p w:rsidR="00737145" w:rsidRPr="002953D4" w:rsidRDefault="00737145" w:rsidP="00DE0B14">
      <w:pPr>
        <w:pStyle w:val="FootnoteText"/>
        <w:ind w:left="567" w:hanging="567"/>
        <w:rPr>
          <w:sz w:val="24"/>
          <w:lang w:val="mt-MT"/>
        </w:rPr>
      </w:pPr>
      <w:r w:rsidRPr="002953D4">
        <w:rPr>
          <w:rStyle w:val="FootnoteReference"/>
          <w:sz w:val="24"/>
          <w:lang w:val="mt-MT"/>
        </w:rPr>
        <w:footnoteRef/>
      </w:r>
      <w:r w:rsidR="00DE0B14" w:rsidRPr="002953D4">
        <w:rPr>
          <w:sz w:val="24"/>
          <w:lang w:val="mt-MT"/>
        </w:rPr>
        <w:t xml:space="preserve"> </w:t>
      </w:r>
      <w:r w:rsidR="00DE0B14" w:rsidRPr="002953D4">
        <w:rPr>
          <w:sz w:val="24"/>
          <w:lang w:val="mt-MT"/>
        </w:rPr>
        <w:tab/>
      </w:r>
      <w:r w:rsidRPr="002953D4">
        <w:rPr>
          <w:sz w:val="24"/>
          <w:lang w:val="mt-MT"/>
        </w:rPr>
        <w:t xml:space="preserve">Is-Sentenza tal-Qorti tal-Ġustizzja tas-17 ta’ Jannar 2013, </w:t>
      </w:r>
      <w:r w:rsidRPr="002953D4">
        <w:rPr>
          <w:i/>
          <w:sz w:val="24"/>
          <w:lang w:val="mt-MT"/>
        </w:rPr>
        <w:t>Gollnisch vs il-Parlament</w:t>
      </w:r>
      <w:r w:rsidRPr="002953D4">
        <w:rPr>
          <w:sz w:val="24"/>
          <w:lang w:val="mt-MT"/>
        </w:rPr>
        <w:t>, T-346/11 u T-347/11, ECLI:EU:T:2013:23, il-punt 59 u l-ġurisprudenza msemmija.</w:t>
      </w:r>
    </w:p>
  </w:footnote>
  <w:footnote w:id="4">
    <w:p w:rsidR="00737145" w:rsidRPr="00DE0B14" w:rsidRDefault="00737145" w:rsidP="00DE0B14">
      <w:pPr>
        <w:pStyle w:val="FootnoteText"/>
        <w:ind w:left="567" w:hanging="567"/>
        <w:rPr>
          <w:sz w:val="24"/>
          <w:lang w:val="mt-MT"/>
        </w:rPr>
      </w:pPr>
      <w:r w:rsidRPr="002953D4">
        <w:rPr>
          <w:rStyle w:val="FootnoteReference"/>
          <w:sz w:val="24"/>
          <w:lang w:val="mt-MT"/>
        </w:rPr>
        <w:footnoteRef/>
      </w:r>
      <w:r w:rsidR="00DE0B14" w:rsidRPr="002953D4">
        <w:rPr>
          <w:sz w:val="24"/>
          <w:lang w:val="mt-MT"/>
        </w:rPr>
        <w:t xml:space="preserve"> </w:t>
      </w:r>
      <w:r w:rsidR="00DE0B14" w:rsidRPr="002953D4">
        <w:rPr>
          <w:sz w:val="24"/>
          <w:lang w:val="mt-MT"/>
        </w:rPr>
        <w:tab/>
      </w:r>
      <w:r w:rsidRPr="002953D4">
        <w:rPr>
          <w:sz w:val="24"/>
          <w:lang w:val="mt-MT"/>
        </w:rPr>
        <w:t xml:space="preserve">Is-Sentenza tal-Qorti tal-Ġustizzja tas-17 ta’ Settembru 2020, </w:t>
      </w:r>
      <w:r w:rsidRPr="002953D4">
        <w:rPr>
          <w:i/>
          <w:sz w:val="24"/>
          <w:lang w:val="mt-MT"/>
        </w:rPr>
        <w:t>Troszczynski vs Il-Parlament</w:t>
      </w:r>
      <w:r w:rsidRPr="002953D4">
        <w:rPr>
          <w:sz w:val="24"/>
          <w:lang w:val="mt-MT"/>
        </w:rPr>
        <w:t>, C-12/19, ECLI:EU:C:2020:725, il-punt 26.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E0B14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E0B14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E0B1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3"/>
  <w:mirrorMargin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 A9-0169/24"/>
    <w:docVar w:name="dvlangue" w:val="MT"/>
    <w:docVar w:name="dvnumam" w:val="0"/>
    <w:docVar w:name="dvpe" w:val="759.886"/>
    <w:docVar w:name="dvrapporteur" w:val="Rapporteur: "/>
    <w:docVar w:name="dvtitre" w:val="Deċiżjoni tal-Parlament Ewropew tal-11 ta' April 2024 dwar it-talba għat-tneħħija tal-immunità ta’ Andris Ameriks(2023/2090(IMM))"/>
  </w:docVars>
  <w:rsids>
    <w:rsidRoot w:val="00893870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D5FC9"/>
    <w:rsid w:val="001F32AE"/>
    <w:rsid w:val="002767FF"/>
    <w:rsid w:val="002953D4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37145"/>
    <w:rsid w:val="00747932"/>
    <w:rsid w:val="00751A4A"/>
    <w:rsid w:val="00756632"/>
    <w:rsid w:val="00762C74"/>
    <w:rsid w:val="00786EC0"/>
    <w:rsid w:val="007A02A1"/>
    <w:rsid w:val="007D1690"/>
    <w:rsid w:val="007E22AD"/>
    <w:rsid w:val="00817416"/>
    <w:rsid w:val="00842779"/>
    <w:rsid w:val="00865F67"/>
    <w:rsid w:val="00881A7B"/>
    <w:rsid w:val="008840E5"/>
    <w:rsid w:val="00887B3E"/>
    <w:rsid w:val="00893870"/>
    <w:rsid w:val="008C2AC6"/>
    <w:rsid w:val="00930C23"/>
    <w:rsid w:val="0093193B"/>
    <w:rsid w:val="009509D8"/>
    <w:rsid w:val="00950B64"/>
    <w:rsid w:val="00981893"/>
    <w:rsid w:val="00A1687D"/>
    <w:rsid w:val="00A169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E0B14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33ABD28"/>
  <w15:chartTrackingRefBased/>
  <w15:docId w15:val="{76880768-C95B-4B6E-B3A9-C1A2179F5C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737145"/>
    <w:pPr>
      <w:spacing w:after="240"/>
      <w:ind w:left="567" w:hanging="567"/>
    </w:pPr>
  </w:style>
  <w:style w:type="paragraph" w:customStyle="1" w:styleId="EPComma">
    <w:name w:val="EPComma"/>
    <w:basedOn w:val="Normal"/>
    <w:rsid w:val="00737145"/>
    <w:pPr>
      <w:spacing w:before="480" w:after="240"/>
    </w:pPr>
  </w:style>
  <w:style w:type="paragraph" w:styleId="BalloonText">
    <w:name w:val="Balloon Text"/>
    <w:basedOn w:val="Normal"/>
    <w:link w:val="BalloonTextChar"/>
    <w:rsid w:val="00A1697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A1697D"/>
    <w:rPr>
      <w:rFonts w:ascii="Segoe UI" w:hAnsi="Segoe UI" w:cs="Segoe UI"/>
      <w:sz w:val="18"/>
      <w:szCs w:val="18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317133-8AFC-4164-84BF-36B5FCFD44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742</Words>
  <Characters>5383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6113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CUTAJAR Sera</dc:creator>
  <cp:keywords/>
  <cp:lastModifiedBy>GRIMA Cherise-Marie</cp:lastModifiedBy>
  <cp:revision>2</cp:revision>
  <cp:lastPrinted>2004-11-19T15:42:00Z</cp:lastPrinted>
  <dcterms:created xsi:type="dcterms:W3CDTF">2024-06-03T07:22:00Z</dcterms:created>
  <dcterms:modified xsi:type="dcterms:W3CDTF">2024-06-03T07:22:00Z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 A9-0169/24</vt:lpwstr>
  </property>
  <property fmtid="{D5CDD505-2E9C-101B-9397-08002B2CF9AE}" pid="4" name="&lt;Type&gt;">
    <vt:lpwstr>RR</vt:lpwstr>
  </property>
</Properties>
</file>