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379D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379D9" w:rsidRDefault="00624073" w:rsidP="0010095E">
            <w:pPr>
              <w:pStyle w:val="EPName"/>
            </w:pPr>
            <w:r w:rsidRPr="002379D9">
              <w:t>Parlament Europejski</w:t>
            </w:r>
          </w:p>
          <w:p w:rsidR="00751A4A" w:rsidRPr="002379D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379D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379D9" w:rsidRDefault="00187494" w:rsidP="0010095E">
            <w:pPr>
              <w:pStyle w:val="EPLogo"/>
            </w:pPr>
            <w:r w:rsidRPr="002379D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379D9" w:rsidRDefault="00D058B8" w:rsidP="004C5D52">
      <w:pPr>
        <w:pStyle w:val="LineTop"/>
      </w:pPr>
    </w:p>
    <w:p w:rsidR="00680577" w:rsidRPr="002379D9" w:rsidRDefault="00624073" w:rsidP="00680577">
      <w:pPr>
        <w:pStyle w:val="EPBodyTA1"/>
      </w:pPr>
      <w:r w:rsidRPr="002379D9">
        <w:t>TEKSTY PRZYJĘTE</w:t>
      </w:r>
    </w:p>
    <w:p w:rsidR="00D058B8" w:rsidRPr="002379D9" w:rsidRDefault="00D058B8" w:rsidP="00D058B8">
      <w:pPr>
        <w:pStyle w:val="LineBottom"/>
      </w:pPr>
    </w:p>
    <w:p w:rsidR="00624073" w:rsidRPr="002379D9" w:rsidRDefault="00624073" w:rsidP="00624073">
      <w:pPr>
        <w:pStyle w:val="ATHeading1"/>
      </w:pPr>
      <w:bookmarkStart w:id="0" w:name="TANumber"/>
      <w:r w:rsidRPr="002379D9">
        <w:t>P9_TA(2024)0</w:t>
      </w:r>
      <w:bookmarkEnd w:id="0"/>
      <w:r w:rsidR="003938FC">
        <w:t>225</w:t>
      </w:r>
    </w:p>
    <w:p w:rsidR="00624073" w:rsidRPr="001B2FC3" w:rsidRDefault="001B2FC3" w:rsidP="00624073">
      <w:pPr>
        <w:pStyle w:val="ATHeading2"/>
      </w:pPr>
      <w:r w:rsidRPr="001B2FC3">
        <w:rPr>
          <w:bCs/>
        </w:rPr>
        <w:t xml:space="preserve">Wniosek o uchylenie immunitetu </w:t>
      </w:r>
      <w:proofErr w:type="spellStart"/>
      <w:r w:rsidRPr="001B2FC3">
        <w:rPr>
          <w:bCs/>
        </w:rPr>
        <w:t>Andrisa</w:t>
      </w:r>
      <w:proofErr w:type="spellEnd"/>
      <w:r w:rsidRPr="001B2FC3">
        <w:rPr>
          <w:bCs/>
        </w:rPr>
        <w:t xml:space="preserve"> </w:t>
      </w:r>
      <w:proofErr w:type="spellStart"/>
      <w:r w:rsidRPr="001B2FC3">
        <w:rPr>
          <w:bCs/>
        </w:rPr>
        <w:t>Ameriksa</w:t>
      </w:r>
      <w:proofErr w:type="spellEnd"/>
    </w:p>
    <w:p w:rsidR="00624073" w:rsidRPr="002379D9" w:rsidRDefault="00624073" w:rsidP="00624073">
      <w:pPr>
        <w:rPr>
          <w:i/>
          <w:vanish/>
        </w:rPr>
      </w:pPr>
      <w:r w:rsidRPr="002379D9">
        <w:rPr>
          <w:i/>
        </w:rPr>
        <w:fldChar w:fldCharType="begin"/>
      </w:r>
      <w:r w:rsidRPr="002379D9">
        <w:rPr>
          <w:i/>
        </w:rPr>
        <w:instrText xml:space="preserve"> TC"(</w:instrText>
      </w:r>
      <w:bookmarkStart w:id="1" w:name="DocNumber"/>
      <w:r w:rsidRPr="002379D9">
        <w:rPr>
          <w:i/>
        </w:rPr>
        <w:instrText>A9-0169/2024</w:instrText>
      </w:r>
      <w:bookmarkEnd w:id="1"/>
      <w:r w:rsidRPr="002379D9">
        <w:rPr>
          <w:i/>
        </w:rPr>
        <w:instrText xml:space="preserve"> - Sprawozdawca: </w:instrText>
      </w:r>
      <w:proofErr w:type="spellStart"/>
      <w:r w:rsidRPr="002379D9">
        <w:rPr>
          <w:i/>
        </w:rPr>
        <w:instrText>Gilles</w:instrText>
      </w:r>
      <w:proofErr w:type="spellEnd"/>
      <w:r w:rsidRPr="002379D9">
        <w:rPr>
          <w:i/>
        </w:rPr>
        <w:instrText xml:space="preserve"> </w:instrText>
      </w:r>
      <w:proofErr w:type="spellStart"/>
      <w:r w:rsidRPr="002379D9">
        <w:rPr>
          <w:i/>
        </w:rPr>
        <w:instrText>Lebreton</w:instrText>
      </w:r>
      <w:proofErr w:type="spellEnd"/>
      <w:proofErr w:type="gramStart"/>
      <w:r w:rsidRPr="002379D9">
        <w:rPr>
          <w:i/>
        </w:rPr>
        <w:instrText>)"\l</w:instrText>
      </w:r>
      <w:proofErr w:type="gramEnd"/>
      <w:r w:rsidRPr="002379D9">
        <w:rPr>
          <w:i/>
        </w:rPr>
        <w:instrText xml:space="preserve">3 \n&gt; \* MERGEFORMAT </w:instrText>
      </w:r>
      <w:r w:rsidRPr="002379D9">
        <w:rPr>
          <w:i/>
        </w:rPr>
        <w:fldChar w:fldCharType="end"/>
      </w:r>
    </w:p>
    <w:p w:rsidR="00624073" w:rsidRPr="002379D9" w:rsidRDefault="00624073" w:rsidP="00624073">
      <w:pPr>
        <w:rPr>
          <w:vanish/>
        </w:rPr>
      </w:pPr>
      <w:bookmarkStart w:id="2" w:name="Commission"/>
      <w:r w:rsidRPr="002379D9">
        <w:rPr>
          <w:vanish/>
        </w:rPr>
        <w:t>Komisja Prawna</w:t>
      </w:r>
      <w:bookmarkEnd w:id="2"/>
    </w:p>
    <w:p w:rsidR="00624073" w:rsidRPr="002379D9" w:rsidRDefault="00624073" w:rsidP="00624073">
      <w:pPr>
        <w:rPr>
          <w:vanish/>
        </w:rPr>
      </w:pPr>
      <w:bookmarkStart w:id="3" w:name="PE"/>
      <w:r w:rsidRPr="002379D9">
        <w:rPr>
          <w:vanish/>
        </w:rPr>
        <w:t>PE759.886</w:t>
      </w:r>
      <w:bookmarkEnd w:id="3"/>
    </w:p>
    <w:p w:rsidR="00624073" w:rsidRPr="002379D9" w:rsidRDefault="00624073" w:rsidP="00624073">
      <w:pPr>
        <w:pStyle w:val="ATHeading3"/>
      </w:pPr>
      <w:bookmarkStart w:id="4" w:name="Sujet"/>
      <w:r w:rsidRPr="002379D9">
        <w:t xml:space="preserve">Decyzja Parlamentu Europejskiego z dnia </w:t>
      </w:r>
      <w:r w:rsidR="003938FC">
        <w:t>11 kwietnia</w:t>
      </w:r>
      <w:bookmarkStart w:id="5" w:name="_GoBack"/>
      <w:bookmarkEnd w:id="5"/>
      <w:r w:rsidRPr="002379D9">
        <w:t xml:space="preserve"> 2024 r. w sprawie wniosku o uchylenie immunitetu </w:t>
      </w:r>
      <w:proofErr w:type="spellStart"/>
      <w:r w:rsidRPr="002379D9">
        <w:t>Andrisa</w:t>
      </w:r>
      <w:proofErr w:type="spellEnd"/>
      <w:r w:rsidRPr="002379D9">
        <w:t xml:space="preserve"> </w:t>
      </w:r>
      <w:proofErr w:type="spellStart"/>
      <w:r w:rsidRPr="002379D9">
        <w:t>Ameriksa</w:t>
      </w:r>
      <w:bookmarkEnd w:id="4"/>
      <w:proofErr w:type="spellEnd"/>
      <w:r w:rsidRPr="002379D9">
        <w:t xml:space="preserve"> </w:t>
      </w:r>
      <w:bookmarkStart w:id="6" w:name="References"/>
      <w:r w:rsidRPr="002379D9">
        <w:t>(2023/2090(IMM))</w:t>
      </w:r>
      <w:bookmarkEnd w:id="6"/>
    </w:p>
    <w:p w:rsidR="00624073" w:rsidRPr="002379D9" w:rsidRDefault="00624073" w:rsidP="00624073"/>
    <w:p w:rsidR="009A2E00" w:rsidRPr="002379D9" w:rsidRDefault="009A2E00" w:rsidP="009A2E00">
      <w:pPr>
        <w:pStyle w:val="EPComma"/>
      </w:pPr>
      <w:bookmarkStart w:id="7" w:name="TextBodyBegin"/>
      <w:bookmarkEnd w:id="7"/>
      <w:r w:rsidRPr="002379D9">
        <w:rPr>
          <w:i/>
        </w:rPr>
        <w:t>Parlament Europejski</w:t>
      </w:r>
      <w:r w:rsidRPr="002379D9">
        <w:t>,</w:t>
      </w:r>
    </w:p>
    <w:p w:rsidR="009A2E00" w:rsidRPr="002379D9" w:rsidRDefault="009A2E00" w:rsidP="009A2E00">
      <w:pPr>
        <w:pStyle w:val="NormalHanging12a"/>
      </w:pPr>
      <w:r w:rsidRPr="002379D9">
        <w:t>–</w:t>
      </w:r>
      <w:r w:rsidRPr="002379D9">
        <w:tab/>
        <w:t xml:space="preserve">uwzględniając wniosek o uchylenie immunitetu </w:t>
      </w:r>
      <w:proofErr w:type="spellStart"/>
      <w:r w:rsidRPr="002379D9">
        <w:t>Andrisa</w:t>
      </w:r>
      <w:proofErr w:type="spellEnd"/>
      <w:r w:rsidRPr="002379D9">
        <w:t xml:space="preserve"> </w:t>
      </w:r>
      <w:proofErr w:type="spellStart"/>
      <w:r w:rsidRPr="002379D9">
        <w:t>Ameriksa</w:t>
      </w:r>
      <w:proofErr w:type="spellEnd"/>
      <w:r w:rsidRPr="002379D9">
        <w:t xml:space="preserve"> złożony 24 maja 2023 r. przez prokuratora Wydziału Koordynacji Działań Antykorupcyjnych w Departamencie Karnym Prokuratury Generalnej w Rydze, przekazany w tym samym dniu przez Prokuratora Generalnego Republiki Łotewskiej w związku z postępowaniem karnym, które ma być wszczęte w Republice Łotewskiej, i ogłoszony na posiedzeniu </w:t>
      </w:r>
      <w:proofErr w:type="gramStart"/>
      <w:r w:rsidRPr="002379D9">
        <w:t>plenarnym</w:t>
      </w:r>
      <w:proofErr w:type="gramEnd"/>
      <w:r w:rsidRPr="002379D9">
        <w:t xml:space="preserve"> 14 czerwca 2023 r.,</w:t>
      </w:r>
    </w:p>
    <w:p w:rsidR="009A2E00" w:rsidRPr="002379D9" w:rsidRDefault="009A2E00" w:rsidP="009A2E00">
      <w:pPr>
        <w:pStyle w:val="NormalHanging12a"/>
      </w:pPr>
      <w:r w:rsidRPr="002379D9">
        <w:t>–</w:t>
      </w:r>
      <w:r w:rsidRPr="002379D9">
        <w:tab/>
        <w:t xml:space="preserve">po wysłuchaniu wyjaśnień </w:t>
      </w:r>
      <w:proofErr w:type="spellStart"/>
      <w:r w:rsidRPr="002379D9">
        <w:t>Andrisa</w:t>
      </w:r>
      <w:proofErr w:type="spellEnd"/>
      <w:r w:rsidRPr="002379D9">
        <w:t xml:space="preserve"> </w:t>
      </w:r>
      <w:proofErr w:type="spellStart"/>
      <w:r w:rsidRPr="002379D9">
        <w:t>Ameriksa</w:t>
      </w:r>
      <w:proofErr w:type="spellEnd"/>
      <w:r w:rsidRPr="002379D9">
        <w:t>, zgodnie z art. 9 ust. 6 Regulaminu,</w:t>
      </w:r>
    </w:p>
    <w:p w:rsidR="009A2E00" w:rsidRPr="002379D9" w:rsidRDefault="009A2E00" w:rsidP="009A2E00">
      <w:pPr>
        <w:pStyle w:val="NormalHanging12a"/>
      </w:pPr>
      <w:r w:rsidRPr="002379D9">
        <w:t>–</w:t>
      </w:r>
      <w:r w:rsidRPr="002379D9">
        <w:tab/>
        <w:t>uwzględniając art. 8 i 9 protokołu nr 7 w sprawie przywilejów i immunitetów Unii Europejskiej, jak również art. 6 ust. 2 aktu dotyczącego wyboru członków Parlamentu Europejskiego w powszechnych wyborach bezpośrednich z dnia 20 września 1976 r.,</w:t>
      </w:r>
    </w:p>
    <w:p w:rsidR="009A2E00" w:rsidRPr="002379D9" w:rsidRDefault="009A2E00" w:rsidP="009A2E00">
      <w:pPr>
        <w:pStyle w:val="NormalHanging12a"/>
      </w:pPr>
      <w:r w:rsidRPr="002379D9">
        <w:t>–</w:t>
      </w:r>
      <w:r w:rsidRPr="002379D9">
        <w:tab/>
        <w:t>uwzględniając art. 29 i 30 konstytucji Łotwy,</w:t>
      </w:r>
    </w:p>
    <w:p w:rsidR="009A2E00" w:rsidRPr="002379D9" w:rsidRDefault="009A2E00" w:rsidP="009A2E00">
      <w:pPr>
        <w:pStyle w:val="NormalHanging12a"/>
      </w:pPr>
      <w:r w:rsidRPr="002379D9">
        <w:t>–</w:t>
      </w:r>
      <w:r w:rsidRPr="002379D9">
        <w:tab/>
        <w:t>uwzględniając wyroki Trybunału Sprawiedliwości Unii Europejskiej z: 21 października 2008 r., 19 marca 2010 r., 6 września 2011 r., 17 stycznia 2013 r. i 19 grudnia 2019 r.</w:t>
      </w:r>
      <w:r w:rsidRPr="002379D9">
        <w:rPr>
          <w:rStyle w:val="FootnoteReference"/>
        </w:rPr>
        <w:footnoteReference w:id="1"/>
      </w:r>
      <w:r w:rsidRPr="002379D9">
        <w:t>,</w:t>
      </w:r>
    </w:p>
    <w:p w:rsidR="009A2E00" w:rsidRPr="002379D9" w:rsidRDefault="009A2E00" w:rsidP="009A2E00">
      <w:pPr>
        <w:pStyle w:val="NormalHanging12a"/>
      </w:pPr>
      <w:r w:rsidRPr="002379D9">
        <w:t>–</w:t>
      </w:r>
      <w:r w:rsidRPr="002379D9">
        <w:tab/>
        <w:t>uwzględniając art. 5 ust. 2, art. 6 ust. 1 oraz art. 9 Regulaminu,</w:t>
      </w:r>
    </w:p>
    <w:p w:rsidR="009A2E00" w:rsidRPr="002379D9" w:rsidRDefault="009A2E00" w:rsidP="009A2E00">
      <w:pPr>
        <w:pStyle w:val="NormalHanging12a"/>
      </w:pPr>
      <w:r w:rsidRPr="002379D9">
        <w:lastRenderedPageBreak/>
        <w:t>–</w:t>
      </w:r>
      <w:r w:rsidRPr="002379D9">
        <w:tab/>
        <w:t>uwzględniając sprawozdanie Komisji Prawnej (A9-0169/2024),</w:t>
      </w:r>
    </w:p>
    <w:p w:rsidR="009A2E00" w:rsidRPr="002379D9" w:rsidRDefault="009A2E00" w:rsidP="009A2E00">
      <w:pPr>
        <w:pStyle w:val="NormalHanging12a"/>
      </w:pPr>
      <w:r w:rsidRPr="002379D9">
        <w:t>A.</w:t>
      </w:r>
      <w:r w:rsidRPr="002379D9">
        <w:tab/>
      </w:r>
      <w:proofErr w:type="gramStart"/>
      <w:r w:rsidRPr="002379D9">
        <w:t>mając</w:t>
      </w:r>
      <w:proofErr w:type="gramEnd"/>
      <w:r w:rsidRPr="002379D9">
        <w:t xml:space="preserve"> na uwadze, że prokurator Wydziału Koordynacji Działań Antykorupcyjnych w Departamencie Karnym Prokuratury Generalnej w Rydze zwrócił się o uchylenie immunitetu łotewskiego posła do Parlamentu Europejskiego </w:t>
      </w:r>
      <w:proofErr w:type="spellStart"/>
      <w:r w:rsidRPr="002379D9">
        <w:t>Andrisa</w:t>
      </w:r>
      <w:proofErr w:type="spellEnd"/>
      <w:r w:rsidRPr="002379D9">
        <w:t xml:space="preserve"> </w:t>
      </w:r>
      <w:proofErr w:type="spellStart"/>
      <w:r w:rsidRPr="002379D9">
        <w:t>Ameriksa</w:t>
      </w:r>
      <w:proofErr w:type="spellEnd"/>
      <w:r w:rsidRPr="002379D9">
        <w:t>, by móc wszcząć przeciwko niemu postępowanie karne dotyczące przestępstwa w postaci uzyskania łapówki poprzedzającego dopuszczenie się czynu niezgodnego z prawem w interesie innej osoby, z wykorzystaniem zajmowanego stanowiska, z art. 320 ust. 4 łotewskiego kodeksu karnego;</w:t>
      </w:r>
    </w:p>
    <w:p w:rsidR="009A2E00" w:rsidRPr="002379D9" w:rsidRDefault="009A2E00" w:rsidP="009A2E00">
      <w:pPr>
        <w:pStyle w:val="NormalHanging12a"/>
      </w:pPr>
      <w:r w:rsidRPr="002379D9">
        <w:t>B.</w:t>
      </w:r>
      <w:r w:rsidRPr="002379D9">
        <w:tab/>
        <w:t xml:space="preserve">mając na uwadze, że między 22 lipca a 17 września 2017 r. </w:t>
      </w:r>
      <w:proofErr w:type="spellStart"/>
      <w:r w:rsidRPr="002379D9">
        <w:t>Andris</w:t>
      </w:r>
      <w:proofErr w:type="spellEnd"/>
      <w:r w:rsidRPr="002379D9">
        <w:t xml:space="preserve"> </w:t>
      </w:r>
      <w:proofErr w:type="spellStart"/>
      <w:r w:rsidRPr="002379D9">
        <w:t>Ameriks</w:t>
      </w:r>
      <w:proofErr w:type="spellEnd"/>
      <w:r w:rsidRPr="002379D9">
        <w:t>, jako wiceprezydent miasta Rygi, a zatem osoba sprawująca władzę publiczną na odpowiedzialnym stanowisku, miał m.in. zażądać jakoby od pośredniczącego właściciela spółki transportu minibusowego łapówki w wysokości 50 % kwot, które spółka ta miałaby otrzymać od miasta Rygi za przewóz pasażerów uprawnionych do biletów ulgowych;</w:t>
      </w:r>
    </w:p>
    <w:p w:rsidR="009A2E00" w:rsidRPr="002379D9" w:rsidRDefault="009A2E00" w:rsidP="009A2E00">
      <w:pPr>
        <w:pStyle w:val="NormalHanging12a"/>
      </w:pPr>
      <w:r w:rsidRPr="002379D9">
        <w:t>C.</w:t>
      </w:r>
      <w:r w:rsidRPr="002379D9">
        <w:tab/>
      </w:r>
      <w:proofErr w:type="gramStart"/>
      <w:r w:rsidRPr="002379D9">
        <w:t>mając</w:t>
      </w:r>
      <w:proofErr w:type="gramEnd"/>
      <w:r w:rsidRPr="002379D9">
        <w:t xml:space="preserve"> na uwadze, że </w:t>
      </w:r>
      <w:proofErr w:type="spellStart"/>
      <w:r w:rsidRPr="002379D9">
        <w:t>Andris</w:t>
      </w:r>
      <w:proofErr w:type="spellEnd"/>
      <w:r w:rsidRPr="002379D9">
        <w:t xml:space="preserve"> </w:t>
      </w:r>
      <w:proofErr w:type="spellStart"/>
      <w:r w:rsidRPr="002379D9">
        <w:t>Ameriks</w:t>
      </w:r>
      <w:proofErr w:type="spellEnd"/>
      <w:r w:rsidRPr="002379D9">
        <w:t xml:space="preserve"> został wybrany do Parlamentu Europejskiego w wyborach europejskich w maju 2019 r.;</w:t>
      </w:r>
    </w:p>
    <w:p w:rsidR="009A2E00" w:rsidRPr="002379D9" w:rsidRDefault="009A2E00" w:rsidP="009A2E00">
      <w:pPr>
        <w:spacing w:after="240"/>
        <w:ind w:left="567" w:hanging="567"/>
      </w:pPr>
      <w:r w:rsidRPr="002379D9">
        <w:t>D.</w:t>
      </w:r>
      <w:r w:rsidRPr="002379D9">
        <w:tab/>
      </w:r>
      <w:proofErr w:type="gramStart"/>
      <w:r w:rsidRPr="002379D9">
        <w:t>mając</w:t>
      </w:r>
      <w:proofErr w:type="gramEnd"/>
      <w:r w:rsidRPr="002379D9">
        <w:t xml:space="preserve"> na uwadze, że zarzucane mu przestępstwo nie ma związku z opiniami wyrażonymi ani głosami oddanymi przez </w:t>
      </w:r>
      <w:proofErr w:type="spellStart"/>
      <w:r w:rsidRPr="002379D9">
        <w:t>Andrisa</w:t>
      </w:r>
      <w:proofErr w:type="spellEnd"/>
      <w:r w:rsidRPr="002379D9">
        <w:t xml:space="preserve"> </w:t>
      </w:r>
      <w:proofErr w:type="spellStart"/>
      <w:r w:rsidRPr="002379D9">
        <w:t>Ameriksa</w:t>
      </w:r>
      <w:proofErr w:type="spellEnd"/>
      <w:r w:rsidRPr="002379D9">
        <w:t xml:space="preserve"> podczas wykonywania obowiązków, zgodnie z art. 8 Protokołu nr 7 w sprawie przywilejów i immunitetów Unii Europejskiej;</w:t>
      </w:r>
    </w:p>
    <w:p w:rsidR="009A2E00" w:rsidRPr="002379D9" w:rsidRDefault="009A2E00" w:rsidP="009A2E00">
      <w:pPr>
        <w:spacing w:after="240"/>
        <w:ind w:left="567" w:hanging="567"/>
      </w:pPr>
      <w:r w:rsidRPr="002379D9">
        <w:t>E.</w:t>
      </w:r>
      <w:r w:rsidRPr="002379D9">
        <w:tab/>
      </w:r>
      <w:proofErr w:type="gramStart"/>
      <w:r w:rsidRPr="002379D9">
        <w:t>mając</w:t>
      </w:r>
      <w:proofErr w:type="gramEnd"/>
      <w:r w:rsidRPr="002379D9">
        <w:t xml:space="preserve"> na uwadze, że zgodnie z art. 9 Protokołu nr 7 w sprawie przywilejów i immunitetów Unii Europejskiej posłowie do Parlamentu Europejskiego korzystają na terytorium swoich państw z immunitetów przyznawanych członkom parlamentu ich państwa;</w:t>
      </w:r>
    </w:p>
    <w:p w:rsidR="009A2E00" w:rsidRPr="002379D9" w:rsidRDefault="009A2E00" w:rsidP="009A2E00">
      <w:pPr>
        <w:spacing w:after="240"/>
        <w:ind w:left="567" w:hanging="567"/>
      </w:pPr>
      <w:r w:rsidRPr="002379D9">
        <w:t>F.</w:t>
      </w:r>
      <w:r w:rsidRPr="002379D9">
        <w:tab/>
      </w:r>
      <w:proofErr w:type="gramStart"/>
      <w:r w:rsidRPr="002379D9">
        <w:t>mając</w:t>
      </w:r>
      <w:proofErr w:type="gramEnd"/>
      <w:r w:rsidRPr="002379D9">
        <w:t xml:space="preserve"> na uwadze, że art. 29 i 30 konstytucji łotewskiej stanowi, że:</w:t>
      </w:r>
    </w:p>
    <w:p w:rsidR="009A2E00" w:rsidRPr="002379D9" w:rsidRDefault="009A2E00" w:rsidP="009A2E00">
      <w:pPr>
        <w:spacing w:after="240"/>
        <w:ind w:left="567"/>
        <w:rPr>
          <w:b/>
          <w:bCs/>
        </w:rPr>
      </w:pPr>
      <w:r w:rsidRPr="002379D9">
        <w:t>„Artykuł 29</w:t>
      </w:r>
    </w:p>
    <w:p w:rsidR="009A2E00" w:rsidRPr="002379D9" w:rsidRDefault="009A2E00" w:rsidP="009A2E00">
      <w:pPr>
        <w:spacing w:after="240"/>
        <w:ind w:left="567"/>
        <w:rPr>
          <w:b/>
          <w:bCs/>
        </w:rPr>
      </w:pPr>
      <w:r w:rsidRPr="002379D9">
        <w:t>Nie można bez zgody Sejmu aresztować posła na Sejm, przeprowadzić u niego rewizji ani w inny sposób ograniczyć jego wolności osobistej. [...]</w:t>
      </w:r>
    </w:p>
    <w:p w:rsidR="009A2E00" w:rsidRPr="002379D9" w:rsidRDefault="009A2E00" w:rsidP="009A2E00">
      <w:pPr>
        <w:spacing w:after="240"/>
        <w:ind w:left="567"/>
        <w:rPr>
          <w:bCs/>
        </w:rPr>
      </w:pPr>
      <w:r w:rsidRPr="002379D9">
        <w:t>Artykuł 30</w:t>
      </w:r>
    </w:p>
    <w:p w:rsidR="009A2E00" w:rsidRPr="002379D9" w:rsidRDefault="009A2E00" w:rsidP="009A2E00">
      <w:pPr>
        <w:spacing w:after="240"/>
        <w:ind w:left="567"/>
      </w:pPr>
      <w:r w:rsidRPr="002379D9">
        <w:t>Nie można bez zgody Sejmu wszcząć postępowania karnego przeciwko posłowi na Sejm ani nałożyć na niego kary administracyjnej.”;</w:t>
      </w:r>
    </w:p>
    <w:p w:rsidR="009A2E00" w:rsidRPr="002379D9" w:rsidRDefault="009A2E00" w:rsidP="009A2E00">
      <w:pPr>
        <w:spacing w:after="240"/>
        <w:ind w:left="567" w:hanging="567"/>
      </w:pPr>
      <w:r w:rsidRPr="002379D9">
        <w:t>G.</w:t>
      </w:r>
      <w:r w:rsidRPr="002379D9">
        <w:tab/>
        <w:t>mając na uwadze, że, z jednej strony, Parlamentu nie można uznawać za sąd, a z drugiej – że posła nie można uznawać za „oskarżonego” w kontekście procedury uchylenia immunitetu</w:t>
      </w:r>
      <w:r w:rsidRPr="002379D9">
        <w:rPr>
          <w:vertAlign w:val="superscript"/>
        </w:rPr>
        <w:footnoteReference w:id="2"/>
      </w:r>
      <w:r w:rsidRPr="002379D9">
        <w:t>;</w:t>
      </w:r>
    </w:p>
    <w:p w:rsidR="009A2E00" w:rsidRPr="002379D9" w:rsidRDefault="009A2E00" w:rsidP="009A2E00">
      <w:pPr>
        <w:pStyle w:val="NormalHanging12a"/>
      </w:pPr>
      <w:r w:rsidRPr="002379D9">
        <w:t>H.</w:t>
      </w:r>
      <w:r w:rsidRPr="002379D9">
        <w:tab/>
      </w:r>
      <w:proofErr w:type="gramStart"/>
      <w:r w:rsidRPr="002379D9">
        <w:t>mając</w:t>
      </w:r>
      <w:proofErr w:type="gramEnd"/>
      <w:r w:rsidRPr="002379D9">
        <w:t xml:space="preserve"> na uwadze, że immunitet parlamentarny ma chronić Parlament i posłów do niego przed postępowaniami sądowymi w związku z działaniami podejmowanymi w ramach wykonywania obowiązków parlamentarnych i niemożliwymi do oddzielenia od tych </w:t>
      </w:r>
      <w:r w:rsidRPr="002379D9">
        <w:lastRenderedPageBreak/>
        <w:t>obowiązków;</w:t>
      </w:r>
    </w:p>
    <w:p w:rsidR="009A2E00" w:rsidRPr="002379D9" w:rsidRDefault="009A2E00" w:rsidP="009A2E00">
      <w:pPr>
        <w:pStyle w:val="NormalHanging12a"/>
      </w:pPr>
      <w:r w:rsidRPr="002379D9">
        <w:t>I.</w:t>
      </w:r>
      <w:r w:rsidRPr="002379D9">
        <w:tab/>
      </w:r>
      <w:proofErr w:type="gramStart"/>
      <w:r w:rsidRPr="002379D9">
        <w:t>mając</w:t>
      </w:r>
      <w:proofErr w:type="gramEnd"/>
      <w:r w:rsidRPr="002379D9">
        <w:t xml:space="preserve"> na uwadze, że w toku dochodzenia nie udało się z całą pewnością ustalić dokładnego miejsca i czasu domniemanego przestępstwa;</w:t>
      </w:r>
    </w:p>
    <w:p w:rsidR="009A2E00" w:rsidRPr="002379D9" w:rsidRDefault="009A2E00" w:rsidP="009A2E00">
      <w:pPr>
        <w:pStyle w:val="NormalHanging12a"/>
      </w:pPr>
      <w:r w:rsidRPr="002379D9">
        <w:t>J.</w:t>
      </w:r>
      <w:r w:rsidRPr="002379D9">
        <w:tab/>
        <w:t xml:space="preserve">mając na uwadze, że czyny zarzucane </w:t>
      </w:r>
      <w:proofErr w:type="spellStart"/>
      <w:r w:rsidRPr="002379D9">
        <w:t>Andrisowi</w:t>
      </w:r>
      <w:proofErr w:type="spellEnd"/>
      <w:r w:rsidRPr="002379D9">
        <w:t xml:space="preserve"> </w:t>
      </w:r>
      <w:proofErr w:type="spellStart"/>
      <w:r w:rsidRPr="002379D9">
        <w:t>Ameriksowi</w:t>
      </w:r>
      <w:proofErr w:type="spellEnd"/>
      <w:r w:rsidRPr="002379D9">
        <w:t xml:space="preserve"> miały być popełnione w 2017 r., a prokurator generalny Republiki Łotewskiej przekazał wniosek o uchylenie immunitetu dopiero 23 maja 2023 r.; mając na uwadze brak przekonującego uzasadnienia takiego opóźnienia w działaniach;</w:t>
      </w:r>
    </w:p>
    <w:p w:rsidR="009A2E00" w:rsidRPr="002379D9" w:rsidRDefault="009A2E00" w:rsidP="009A2E00">
      <w:pPr>
        <w:pStyle w:val="NormalHanging12a"/>
      </w:pPr>
      <w:r w:rsidRPr="002379D9">
        <w:t>K.</w:t>
      </w:r>
      <w:r w:rsidRPr="002379D9">
        <w:tab/>
        <w:t xml:space="preserve">mając na uwadze, że z orzecznictwa TSUE wynika, iż Parlament dysponuje „bardzo szerokim zakresem uznania co do kierunku, jaki zamierza nadać decyzji w następstwie wniosku o uchylenie immunitetu [...], </w:t>
      </w:r>
      <w:proofErr w:type="gramStart"/>
      <w:r w:rsidRPr="002379D9">
        <w:t>ze</w:t>
      </w:r>
      <w:proofErr w:type="gramEnd"/>
      <w:r w:rsidRPr="002379D9">
        <w:t xml:space="preserve"> względu na polityczny charakter takiej decyzji”</w:t>
      </w:r>
      <w:r w:rsidRPr="002379D9">
        <w:rPr>
          <w:vertAlign w:val="superscript"/>
        </w:rPr>
        <w:footnoteReference w:id="3"/>
      </w:r>
      <w:r w:rsidRPr="002379D9">
        <w:t>;</w:t>
      </w:r>
    </w:p>
    <w:p w:rsidR="009A2E00" w:rsidRPr="002379D9" w:rsidRDefault="009A2E00" w:rsidP="009A2E00">
      <w:pPr>
        <w:pStyle w:val="NormalHanging12a"/>
        <w:rPr>
          <w:szCs w:val="24"/>
        </w:rPr>
      </w:pPr>
      <w:r w:rsidRPr="002379D9">
        <w:t>L.</w:t>
      </w:r>
      <w:r w:rsidRPr="002379D9">
        <w:tab/>
      </w:r>
      <w:proofErr w:type="gramStart"/>
      <w:r w:rsidRPr="002379D9">
        <w:t>mając</w:t>
      </w:r>
      <w:proofErr w:type="gramEnd"/>
      <w:r w:rsidRPr="002379D9">
        <w:t xml:space="preserve"> na uwadze, że z połączenia tych konkretnych elementów rodzą się poważne wątpliwości wskazujące na ewentualny zamiar zaszkodzenia działalności politycznej </w:t>
      </w:r>
      <w:proofErr w:type="spellStart"/>
      <w:r w:rsidRPr="002379D9">
        <w:t>Andrisa</w:t>
      </w:r>
      <w:proofErr w:type="spellEnd"/>
      <w:r w:rsidRPr="002379D9">
        <w:t xml:space="preserve"> </w:t>
      </w:r>
      <w:proofErr w:type="spellStart"/>
      <w:r w:rsidRPr="002379D9">
        <w:t>Ameriksa</w:t>
      </w:r>
      <w:proofErr w:type="spellEnd"/>
      <w:r w:rsidRPr="002379D9">
        <w:t>, a zwłaszcza jego działalności jako posła do Parlamentu Europejskiego; mając na uwadze, że informacje i wyjaśnienia przedstawione w sprawie, w tym odpowiedzi zastępcy prokuratora Republiki Łotewskiej, pozostawiają wątpliwości co do podstaw wniosku o uchylenie immunitetu oraz poważne wątpliwości proceduralne, w tym dotyczące przyczyn złożenia wniosku o uchylenie immunitetu;</w:t>
      </w:r>
    </w:p>
    <w:p w:rsidR="009A2E00" w:rsidRPr="002379D9" w:rsidRDefault="009A2E00" w:rsidP="009A2E00">
      <w:pPr>
        <w:pStyle w:val="NormalHanging12a"/>
        <w:rPr>
          <w:szCs w:val="24"/>
        </w:rPr>
      </w:pPr>
      <w:r w:rsidRPr="002379D9">
        <w:t>M.</w:t>
      </w:r>
      <w:r w:rsidRPr="002379D9">
        <w:tab/>
        <w:t xml:space="preserve">mając na uwadze, że w związku z tym wydaje się, iż w przedmiotowej sprawie istnieje </w:t>
      </w:r>
      <w:proofErr w:type="spellStart"/>
      <w:r w:rsidRPr="002379D9">
        <w:rPr>
          <w:i/>
        </w:rPr>
        <w:t>fumus</w:t>
      </w:r>
      <w:proofErr w:type="spellEnd"/>
      <w:r w:rsidRPr="002379D9">
        <w:rPr>
          <w:i/>
        </w:rPr>
        <w:t xml:space="preserve"> </w:t>
      </w:r>
      <w:proofErr w:type="spellStart"/>
      <w:r w:rsidRPr="002379D9">
        <w:rPr>
          <w:i/>
        </w:rPr>
        <w:t>persecutionis</w:t>
      </w:r>
      <w:proofErr w:type="spellEnd"/>
      <w:r w:rsidRPr="002379D9">
        <w:t>, tj. „konkretne elementy”</w:t>
      </w:r>
      <w:r w:rsidRPr="002379D9">
        <w:rPr>
          <w:szCs w:val="24"/>
          <w:vertAlign w:val="superscript"/>
        </w:rPr>
        <w:footnoteReference w:id="4"/>
      </w:r>
      <w:r w:rsidRPr="002379D9">
        <w:t xml:space="preserve"> wskazujące na to, że sprawę wniesiono do sądu z zamiarem zaszkodzenia jego działalności politycznej, a zwłaszcza działalności jako posła do Parlamentu Europejskiego;</w:t>
      </w:r>
    </w:p>
    <w:p w:rsidR="009A2E00" w:rsidRPr="002379D9" w:rsidRDefault="009A2E00" w:rsidP="009A2E00">
      <w:pPr>
        <w:pStyle w:val="NormalHanging12a"/>
        <w:rPr>
          <w:szCs w:val="24"/>
        </w:rPr>
      </w:pPr>
      <w:r w:rsidRPr="002379D9">
        <w:t>1.</w:t>
      </w:r>
      <w:r w:rsidRPr="002379D9">
        <w:tab/>
      </w:r>
      <w:proofErr w:type="gramStart"/>
      <w:r w:rsidRPr="002379D9">
        <w:t>podejmuje</w:t>
      </w:r>
      <w:proofErr w:type="gramEnd"/>
      <w:r w:rsidRPr="002379D9">
        <w:t xml:space="preserve"> decyzję o odmowie uchylenia immunitetu </w:t>
      </w:r>
      <w:proofErr w:type="spellStart"/>
      <w:r w:rsidRPr="002379D9">
        <w:t>Andrisa</w:t>
      </w:r>
      <w:proofErr w:type="spellEnd"/>
      <w:r w:rsidRPr="002379D9">
        <w:t xml:space="preserve"> </w:t>
      </w:r>
      <w:proofErr w:type="spellStart"/>
      <w:r w:rsidRPr="002379D9">
        <w:t>Ameriksa</w:t>
      </w:r>
      <w:proofErr w:type="spellEnd"/>
      <w:r w:rsidRPr="002379D9">
        <w:t>;</w:t>
      </w:r>
    </w:p>
    <w:p w:rsidR="009A2E00" w:rsidRPr="002379D9" w:rsidRDefault="009A2E00" w:rsidP="009A2E00">
      <w:pPr>
        <w:pStyle w:val="NormalHanging12a"/>
      </w:pPr>
      <w:r w:rsidRPr="002379D9">
        <w:t>2.</w:t>
      </w:r>
      <w:r w:rsidRPr="002379D9">
        <w:tab/>
      </w:r>
      <w:proofErr w:type="gramStart"/>
      <w:r w:rsidRPr="002379D9">
        <w:t>zobowiązuje</w:t>
      </w:r>
      <w:proofErr w:type="gramEnd"/>
      <w:r w:rsidRPr="002379D9">
        <w:t xml:space="preserve"> swoją przewodniczącą do natychmiastowego przekazania niniejszej decyzji i sprawozdania </w:t>
      </w:r>
      <w:r w:rsidR="001B2FC3" w:rsidRPr="002379D9">
        <w:t xml:space="preserve">właściwej </w:t>
      </w:r>
      <w:r w:rsidRPr="002379D9">
        <w:t xml:space="preserve">komisji właściwym organom Republiki Łotwy i </w:t>
      </w:r>
      <w:proofErr w:type="spellStart"/>
      <w:r w:rsidRPr="002379D9">
        <w:t>Andrisowi</w:t>
      </w:r>
      <w:proofErr w:type="spellEnd"/>
      <w:r w:rsidRPr="002379D9">
        <w:t xml:space="preserve"> </w:t>
      </w:r>
      <w:proofErr w:type="spellStart"/>
      <w:r w:rsidRPr="002379D9">
        <w:t>Ameriksowi</w:t>
      </w:r>
      <w:proofErr w:type="spellEnd"/>
      <w:r w:rsidRPr="002379D9">
        <w:t>.</w:t>
      </w:r>
    </w:p>
    <w:p w:rsidR="00E365E1" w:rsidRPr="002379D9" w:rsidRDefault="00E365E1" w:rsidP="00624073">
      <w:bookmarkStart w:id="8" w:name="TextBodyEnd"/>
      <w:bookmarkEnd w:id="8"/>
    </w:p>
    <w:sectPr w:rsidR="00E365E1" w:rsidRPr="002379D9" w:rsidSect="002379D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4073" w:rsidRPr="002379D9" w:rsidRDefault="00624073">
      <w:r w:rsidRPr="002379D9">
        <w:separator/>
      </w:r>
    </w:p>
  </w:endnote>
  <w:endnote w:type="continuationSeparator" w:id="0">
    <w:p w:rsidR="00624073" w:rsidRPr="002379D9" w:rsidRDefault="00624073">
      <w:r w:rsidRPr="002379D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79D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79D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79D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4073" w:rsidRPr="002379D9" w:rsidRDefault="00624073">
      <w:r w:rsidRPr="002379D9">
        <w:separator/>
      </w:r>
    </w:p>
  </w:footnote>
  <w:footnote w:type="continuationSeparator" w:id="0">
    <w:p w:rsidR="00624073" w:rsidRPr="002379D9" w:rsidRDefault="00624073">
      <w:r w:rsidRPr="002379D9">
        <w:continuationSeparator/>
      </w:r>
    </w:p>
  </w:footnote>
  <w:footnote w:id="1">
    <w:p w:rsidR="009A2E00" w:rsidRPr="002379D9" w:rsidRDefault="009A2E00" w:rsidP="002379D9">
      <w:pPr>
        <w:pStyle w:val="FootnoteText"/>
        <w:ind w:left="567" w:hanging="567"/>
        <w:rPr>
          <w:sz w:val="24"/>
          <w:lang w:val="pl-PL"/>
        </w:rPr>
      </w:pPr>
      <w:r w:rsidRPr="002379D9">
        <w:rPr>
          <w:rStyle w:val="FootnoteReference"/>
          <w:sz w:val="24"/>
          <w:lang w:val="pl-PL"/>
        </w:rPr>
        <w:footnoteRef/>
      </w:r>
      <w:r w:rsidR="002379D9" w:rsidRPr="002379D9">
        <w:rPr>
          <w:sz w:val="24"/>
          <w:lang w:val="pl-PL"/>
        </w:rPr>
        <w:t xml:space="preserve"> </w:t>
      </w:r>
      <w:r w:rsidR="002379D9" w:rsidRPr="002379D9">
        <w:rPr>
          <w:sz w:val="24"/>
          <w:lang w:val="pl-PL"/>
        </w:rPr>
        <w:tab/>
      </w:r>
      <w:r w:rsidRPr="002379D9">
        <w:rPr>
          <w:sz w:val="24"/>
          <w:lang w:val="pl-PL"/>
        </w:rPr>
        <w:t xml:space="preserve">Wyrok Trybunału Sprawiedliwości z 21 października 2008 r., </w:t>
      </w:r>
      <w:proofErr w:type="spellStart"/>
      <w:r w:rsidRPr="002379D9">
        <w:rPr>
          <w:sz w:val="24"/>
          <w:lang w:val="pl-PL"/>
        </w:rPr>
        <w:t>Marra</w:t>
      </w:r>
      <w:proofErr w:type="spellEnd"/>
      <w:r w:rsidRPr="002379D9">
        <w:rPr>
          <w:sz w:val="24"/>
          <w:lang w:val="pl-PL"/>
        </w:rPr>
        <w:t xml:space="preserve">/De </w:t>
      </w:r>
      <w:proofErr w:type="spellStart"/>
      <w:r w:rsidRPr="002379D9">
        <w:rPr>
          <w:sz w:val="24"/>
          <w:lang w:val="pl-PL"/>
        </w:rPr>
        <w:t>Gregorio</w:t>
      </w:r>
      <w:proofErr w:type="spellEnd"/>
      <w:r w:rsidRPr="002379D9">
        <w:rPr>
          <w:sz w:val="24"/>
          <w:lang w:val="pl-PL"/>
        </w:rPr>
        <w:t xml:space="preserve"> i </w:t>
      </w:r>
      <w:proofErr w:type="spellStart"/>
      <w:r w:rsidRPr="002379D9">
        <w:rPr>
          <w:sz w:val="24"/>
          <w:lang w:val="pl-PL"/>
        </w:rPr>
        <w:t>Clemente</w:t>
      </w:r>
      <w:proofErr w:type="spellEnd"/>
      <w:r w:rsidRPr="002379D9">
        <w:rPr>
          <w:sz w:val="24"/>
          <w:lang w:val="pl-PL"/>
        </w:rPr>
        <w:t>, C-200/07 i C-201/07, ECLI</w:t>
      </w:r>
      <w:proofErr w:type="gramStart"/>
      <w:r w:rsidRPr="002379D9">
        <w:rPr>
          <w:sz w:val="24"/>
          <w:lang w:val="pl-PL"/>
        </w:rPr>
        <w:t>:EU</w:t>
      </w:r>
      <w:proofErr w:type="gramEnd"/>
      <w:r w:rsidRPr="002379D9">
        <w:rPr>
          <w:sz w:val="24"/>
          <w:lang w:val="pl-PL"/>
        </w:rPr>
        <w:t xml:space="preserve">:C:2008:579; wyrok Sądu z 19 marca 2010 r., </w:t>
      </w:r>
      <w:proofErr w:type="spellStart"/>
      <w:r w:rsidRPr="002379D9">
        <w:rPr>
          <w:sz w:val="24"/>
          <w:lang w:val="pl-PL"/>
        </w:rPr>
        <w:t>Gollnisch</w:t>
      </w:r>
      <w:proofErr w:type="spellEnd"/>
      <w:r w:rsidRPr="002379D9">
        <w:rPr>
          <w:sz w:val="24"/>
          <w:lang w:val="pl-PL"/>
        </w:rPr>
        <w:t xml:space="preserve">/Parlament, T-42/06, ECLI:EU:T:2010:102; wyrok Sądu z 6 września 2011 r., </w:t>
      </w:r>
      <w:proofErr w:type="spellStart"/>
      <w:r w:rsidRPr="002379D9">
        <w:rPr>
          <w:sz w:val="24"/>
          <w:lang w:val="pl-PL"/>
        </w:rPr>
        <w:t>Patriciello</w:t>
      </w:r>
      <w:proofErr w:type="spellEnd"/>
      <w:r w:rsidRPr="002379D9">
        <w:rPr>
          <w:sz w:val="24"/>
          <w:lang w:val="pl-PL"/>
        </w:rPr>
        <w:t xml:space="preserve">, C-163/10, ECLI: EU:C:2011:543; wyrok Sądu z 17 stycznia 2013 r., </w:t>
      </w:r>
      <w:proofErr w:type="spellStart"/>
      <w:r w:rsidRPr="002379D9">
        <w:rPr>
          <w:sz w:val="24"/>
          <w:lang w:val="pl-PL"/>
        </w:rPr>
        <w:t>Gollnisch</w:t>
      </w:r>
      <w:proofErr w:type="spellEnd"/>
      <w:r w:rsidRPr="002379D9">
        <w:rPr>
          <w:sz w:val="24"/>
          <w:lang w:val="pl-PL"/>
        </w:rPr>
        <w:t xml:space="preserve">/Parlament, T-346/11 i T-347/11, ECLI:EU:T:2013:23. wyrok Trybunału Sprawiedliwości z 19 grudnia 2019 r., </w:t>
      </w:r>
      <w:proofErr w:type="spellStart"/>
      <w:r w:rsidRPr="002379D9">
        <w:rPr>
          <w:sz w:val="24"/>
          <w:lang w:val="pl-PL"/>
        </w:rPr>
        <w:t>Junqueras</w:t>
      </w:r>
      <w:proofErr w:type="spellEnd"/>
      <w:r w:rsidRPr="002379D9">
        <w:rPr>
          <w:sz w:val="24"/>
          <w:lang w:val="pl-PL"/>
        </w:rPr>
        <w:t xml:space="preserve"> </w:t>
      </w:r>
      <w:proofErr w:type="spellStart"/>
      <w:r w:rsidRPr="002379D9">
        <w:rPr>
          <w:sz w:val="24"/>
          <w:lang w:val="pl-PL"/>
        </w:rPr>
        <w:t>Vies</w:t>
      </w:r>
      <w:proofErr w:type="spellEnd"/>
      <w:r w:rsidRPr="002379D9">
        <w:rPr>
          <w:sz w:val="24"/>
          <w:lang w:val="pl-PL"/>
        </w:rPr>
        <w:t>, C-502/19, ECLI:EU:C:2019:1115.</w:t>
      </w:r>
    </w:p>
  </w:footnote>
  <w:footnote w:id="2">
    <w:p w:rsidR="009A2E00" w:rsidRPr="002379D9" w:rsidRDefault="009A2E00" w:rsidP="002379D9">
      <w:pPr>
        <w:pStyle w:val="FootnoteText"/>
        <w:ind w:left="567" w:hanging="567"/>
        <w:rPr>
          <w:sz w:val="24"/>
          <w:lang w:val="pl-PL"/>
        </w:rPr>
      </w:pPr>
      <w:r w:rsidRPr="002379D9">
        <w:rPr>
          <w:rStyle w:val="FootnoteReference"/>
          <w:sz w:val="24"/>
          <w:lang w:val="pl-PL"/>
        </w:rPr>
        <w:footnoteRef/>
      </w:r>
      <w:r w:rsidR="002379D9" w:rsidRPr="002379D9">
        <w:rPr>
          <w:sz w:val="24"/>
          <w:lang w:val="pl-PL"/>
        </w:rPr>
        <w:t xml:space="preserve"> </w:t>
      </w:r>
      <w:r w:rsidR="002379D9" w:rsidRPr="002379D9">
        <w:rPr>
          <w:sz w:val="24"/>
          <w:lang w:val="pl-PL"/>
        </w:rPr>
        <w:tab/>
      </w:r>
      <w:r w:rsidRPr="002379D9">
        <w:rPr>
          <w:sz w:val="24"/>
          <w:lang w:val="pl-PL"/>
        </w:rPr>
        <w:t xml:space="preserve">Wyrok Sądu z 30 kwietnia 2019 r., </w:t>
      </w:r>
      <w:proofErr w:type="spellStart"/>
      <w:r w:rsidRPr="002379D9">
        <w:rPr>
          <w:sz w:val="24"/>
          <w:lang w:val="pl-PL"/>
        </w:rPr>
        <w:t>Briois</w:t>
      </w:r>
      <w:proofErr w:type="spellEnd"/>
      <w:r w:rsidRPr="002379D9">
        <w:rPr>
          <w:sz w:val="24"/>
          <w:lang w:val="pl-PL"/>
        </w:rPr>
        <w:t>/Parlament, T-214/18, ECLI</w:t>
      </w:r>
      <w:proofErr w:type="gramStart"/>
      <w:r w:rsidRPr="002379D9">
        <w:rPr>
          <w:sz w:val="24"/>
          <w:lang w:val="pl-PL"/>
        </w:rPr>
        <w:t>:EU</w:t>
      </w:r>
      <w:proofErr w:type="gramEnd"/>
      <w:r w:rsidRPr="002379D9">
        <w:rPr>
          <w:sz w:val="24"/>
          <w:lang w:val="pl-PL"/>
        </w:rPr>
        <w:t>:T:2019:266.</w:t>
      </w:r>
    </w:p>
  </w:footnote>
  <w:footnote w:id="3">
    <w:p w:rsidR="009A2E00" w:rsidRPr="002379D9" w:rsidRDefault="009A2E00" w:rsidP="002379D9">
      <w:pPr>
        <w:pStyle w:val="FootnoteText"/>
        <w:ind w:left="567" w:hanging="567"/>
        <w:rPr>
          <w:sz w:val="24"/>
          <w:lang w:val="pl-PL"/>
        </w:rPr>
      </w:pPr>
      <w:r w:rsidRPr="002379D9">
        <w:rPr>
          <w:rStyle w:val="FootnoteReference"/>
          <w:sz w:val="24"/>
          <w:lang w:val="pl-PL"/>
        </w:rPr>
        <w:footnoteRef/>
      </w:r>
      <w:r w:rsidR="002379D9" w:rsidRPr="002379D9">
        <w:rPr>
          <w:sz w:val="24"/>
          <w:lang w:val="pl-PL"/>
        </w:rPr>
        <w:t xml:space="preserve"> </w:t>
      </w:r>
      <w:r w:rsidR="002379D9" w:rsidRPr="002379D9">
        <w:rPr>
          <w:sz w:val="24"/>
          <w:lang w:val="pl-PL"/>
        </w:rPr>
        <w:tab/>
      </w:r>
      <w:r w:rsidRPr="002379D9">
        <w:rPr>
          <w:sz w:val="24"/>
          <w:lang w:val="pl-PL"/>
        </w:rPr>
        <w:t xml:space="preserve">Wyrok Sądu z 17 stycznia 2013 r., </w:t>
      </w:r>
      <w:proofErr w:type="spellStart"/>
      <w:r w:rsidRPr="002379D9">
        <w:rPr>
          <w:sz w:val="24"/>
          <w:lang w:val="pl-PL"/>
        </w:rPr>
        <w:t>Gollnisch</w:t>
      </w:r>
      <w:proofErr w:type="spellEnd"/>
      <w:r w:rsidRPr="002379D9">
        <w:rPr>
          <w:sz w:val="24"/>
          <w:lang w:val="pl-PL"/>
        </w:rPr>
        <w:t>, T-346/11 i T-347/11, ECLI</w:t>
      </w:r>
      <w:proofErr w:type="gramStart"/>
      <w:r w:rsidRPr="002379D9">
        <w:rPr>
          <w:sz w:val="24"/>
          <w:lang w:val="pl-PL"/>
        </w:rPr>
        <w:t>:EU</w:t>
      </w:r>
      <w:proofErr w:type="gramEnd"/>
      <w:r w:rsidRPr="002379D9">
        <w:rPr>
          <w:sz w:val="24"/>
          <w:lang w:val="pl-PL"/>
        </w:rPr>
        <w:t>:T:2013:23, pkt 59 i przytoczone tam orzecznictwo.</w:t>
      </w:r>
    </w:p>
  </w:footnote>
  <w:footnote w:id="4">
    <w:p w:rsidR="009A2E00" w:rsidRPr="002379D9" w:rsidRDefault="009A2E00" w:rsidP="002379D9">
      <w:pPr>
        <w:pStyle w:val="FootnoteText"/>
        <w:ind w:left="567" w:hanging="567"/>
        <w:rPr>
          <w:sz w:val="24"/>
          <w:lang w:val="pl-PL"/>
        </w:rPr>
      </w:pPr>
      <w:r w:rsidRPr="002379D9">
        <w:rPr>
          <w:rStyle w:val="FootnoteReference"/>
          <w:sz w:val="24"/>
          <w:lang w:val="pl-PL"/>
        </w:rPr>
        <w:footnoteRef/>
      </w:r>
      <w:r w:rsidR="002379D9" w:rsidRPr="002379D9">
        <w:rPr>
          <w:sz w:val="24"/>
          <w:lang w:val="pl-PL"/>
        </w:rPr>
        <w:t xml:space="preserve"> </w:t>
      </w:r>
      <w:r w:rsidR="002379D9" w:rsidRPr="002379D9">
        <w:rPr>
          <w:sz w:val="24"/>
          <w:lang w:val="pl-PL"/>
        </w:rPr>
        <w:tab/>
      </w:r>
      <w:r w:rsidRPr="002379D9">
        <w:rPr>
          <w:sz w:val="24"/>
          <w:lang w:val="pl-PL"/>
        </w:rPr>
        <w:t xml:space="preserve">Wyrok Trybunału z 17 września 2020 r., </w:t>
      </w:r>
      <w:proofErr w:type="spellStart"/>
      <w:r w:rsidRPr="002379D9">
        <w:rPr>
          <w:sz w:val="24"/>
          <w:lang w:val="pl-PL"/>
        </w:rPr>
        <w:t>Troszczynski</w:t>
      </w:r>
      <w:proofErr w:type="spellEnd"/>
      <w:r w:rsidRPr="002379D9">
        <w:rPr>
          <w:sz w:val="24"/>
          <w:lang w:val="pl-PL"/>
        </w:rPr>
        <w:t>, C-12/19, ECLI</w:t>
      </w:r>
      <w:proofErr w:type="gramStart"/>
      <w:r w:rsidRPr="002379D9">
        <w:rPr>
          <w:sz w:val="24"/>
          <w:lang w:val="pl-PL"/>
        </w:rPr>
        <w:t>:EU</w:t>
      </w:r>
      <w:proofErr w:type="gramEnd"/>
      <w:r w:rsidRPr="002379D9">
        <w:rPr>
          <w:sz w:val="24"/>
          <w:lang w:val="pl-PL"/>
        </w:rPr>
        <w:t>:C:2020:725, pkt 26.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79D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79D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79D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69/2024"/>
    <w:docVar w:name="dvlangue" w:val="PL"/>
    <w:docVar w:name="dvnumam" w:val="0"/>
    <w:docVar w:name="dvpe" w:val="759.886"/>
    <w:docVar w:name="dvrapporteur" w:val="Sprawozdawca: "/>
    <w:docVar w:name="dvstar" w:val="??"/>
    <w:docVar w:name="dvtitre" w:val="Decyzja Parlamentu Europejskiego z dnia  2024 r. w sprawie wniosku o uchylenie immunitetu Andrisa Ameriksa(2023/2090(IMM))"/>
  </w:docVars>
  <w:rsids>
    <w:rsidRoot w:val="0062407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2FC3"/>
    <w:rsid w:val="001F32AE"/>
    <w:rsid w:val="002379D9"/>
    <w:rsid w:val="002767FF"/>
    <w:rsid w:val="002B18FE"/>
    <w:rsid w:val="002B5493"/>
    <w:rsid w:val="00343214"/>
    <w:rsid w:val="00361C00"/>
    <w:rsid w:val="003938FC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2407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2E00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7AA295"/>
  <w15:chartTrackingRefBased/>
  <w15:docId w15:val="{BC5DDF85-7F5C-4D65-9135-7902E8ABC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9A2E00"/>
    <w:pPr>
      <w:spacing w:after="240"/>
      <w:ind w:left="567" w:hanging="567"/>
    </w:pPr>
  </w:style>
  <w:style w:type="paragraph" w:customStyle="1" w:styleId="EPComma">
    <w:name w:val="EPComma"/>
    <w:basedOn w:val="Normal"/>
    <w:rsid w:val="009A2E00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F24682-1811-44F7-BC21-3BB9C3346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769</Words>
  <Characters>4819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2024-04-11T10:22:00Z</dcterms:created>
  <dcterms:modified xsi:type="dcterms:W3CDTF">2024-04-11T10:22:00Z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A9-0169/2024</vt:lpwstr>
  </property>
  <property fmtid="{D5CDD505-2E9C-101B-9397-08002B2CF9AE}" pid="4" name="&lt;Type&gt;">
    <vt:lpwstr>RR</vt:lpwstr>
  </property>
</Properties>
</file>