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6A36" w:rsidTr="0010095E">
        <w:trPr>
          <w:trHeight w:hRule="exact" w:val="1418"/>
        </w:trPr>
        <w:tc>
          <w:tcPr>
            <w:tcW w:w="6804" w:type="dxa"/>
            <w:shd w:val="clear" w:color="auto" w:fill="auto"/>
            <w:vAlign w:val="center"/>
          </w:tcPr>
          <w:p w:rsidR="00751A4A" w:rsidRPr="00AF6A36" w:rsidRDefault="00DD2EB2" w:rsidP="0010095E">
            <w:pPr>
              <w:pStyle w:val="EPName"/>
            </w:pPr>
            <w:r w:rsidRPr="00AF6A36">
              <w:t>Parlamentul European</w:t>
            </w:r>
          </w:p>
          <w:p w:rsidR="00751A4A" w:rsidRPr="00AF6A36" w:rsidRDefault="00817416" w:rsidP="00756632">
            <w:pPr>
              <w:pStyle w:val="EPTerm"/>
              <w:rPr>
                <w:rStyle w:val="HideTWBExt"/>
                <w:noProof w:val="0"/>
                <w:vanish w:val="0"/>
                <w:color w:val="auto"/>
              </w:rPr>
            </w:pPr>
            <w:r w:rsidRPr="00AF6A36">
              <w:t>2019-2024</w:t>
            </w:r>
          </w:p>
        </w:tc>
        <w:tc>
          <w:tcPr>
            <w:tcW w:w="2268" w:type="dxa"/>
            <w:shd w:val="clear" w:color="auto" w:fill="auto"/>
          </w:tcPr>
          <w:p w:rsidR="00751A4A" w:rsidRPr="00AF6A36" w:rsidRDefault="00187494" w:rsidP="0010095E">
            <w:pPr>
              <w:pStyle w:val="EPLogo"/>
            </w:pPr>
            <w:r w:rsidRPr="00AF6A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6A36" w:rsidRDefault="00D058B8" w:rsidP="004C5D52">
      <w:pPr>
        <w:pStyle w:val="LineTop"/>
      </w:pPr>
    </w:p>
    <w:p w:rsidR="00680577" w:rsidRPr="00AF6A36" w:rsidRDefault="00DD2EB2" w:rsidP="00680577">
      <w:pPr>
        <w:pStyle w:val="EPBodyTA1"/>
      </w:pPr>
      <w:r w:rsidRPr="00AF6A36">
        <w:t>TEXTE ADOPTATE</w:t>
      </w:r>
    </w:p>
    <w:p w:rsidR="00D058B8" w:rsidRPr="00AF6A36" w:rsidRDefault="00D058B8" w:rsidP="00D058B8">
      <w:pPr>
        <w:pStyle w:val="LineBottom"/>
      </w:pPr>
    </w:p>
    <w:p w:rsidR="00DD2EB2" w:rsidRPr="00AF6A36" w:rsidRDefault="00DD2EB2" w:rsidP="00DD2EB2">
      <w:pPr>
        <w:pStyle w:val="ATHeading1"/>
      </w:pPr>
      <w:bookmarkStart w:id="0" w:name="TANumber"/>
      <w:r w:rsidRPr="00AF6A36">
        <w:t>P9_TA(2024)</w:t>
      </w:r>
      <w:bookmarkEnd w:id="0"/>
      <w:r w:rsidR="00AF6A36" w:rsidRPr="00AF6A36">
        <w:t>0</w:t>
      </w:r>
      <w:r w:rsidR="00AF6A36" w:rsidRPr="00AF6A36">
        <w:t>225</w:t>
      </w:r>
    </w:p>
    <w:p w:rsidR="00DD2EB2" w:rsidRPr="00AF6A36" w:rsidRDefault="00DD2EB2" w:rsidP="00DD2EB2">
      <w:pPr>
        <w:pStyle w:val="ATHeading2"/>
      </w:pPr>
      <w:bookmarkStart w:id="1" w:name="title"/>
      <w:r w:rsidRPr="00AF6A36">
        <w:t xml:space="preserve">Cerere de ridicare a imunității lui </w:t>
      </w:r>
      <w:proofErr w:type="spellStart"/>
      <w:r w:rsidRPr="00AF6A36">
        <w:t>Andris</w:t>
      </w:r>
      <w:proofErr w:type="spellEnd"/>
      <w:r w:rsidRPr="00AF6A36">
        <w:t xml:space="preserve"> </w:t>
      </w:r>
      <w:proofErr w:type="spellStart"/>
      <w:r w:rsidRPr="00AF6A36">
        <w:t>Ameriks</w:t>
      </w:r>
      <w:bookmarkEnd w:id="1"/>
      <w:proofErr w:type="spellEnd"/>
    </w:p>
    <w:p w:rsidR="00DD2EB2" w:rsidRPr="00AF6A36" w:rsidRDefault="00DD2EB2" w:rsidP="00DD2EB2">
      <w:pPr>
        <w:rPr>
          <w:i/>
          <w:vanish/>
        </w:rPr>
      </w:pPr>
      <w:r w:rsidRPr="00AF6A36">
        <w:rPr>
          <w:i/>
        </w:rPr>
        <w:fldChar w:fldCharType="begin"/>
      </w:r>
      <w:r w:rsidRPr="00AF6A36">
        <w:rPr>
          <w:i/>
        </w:rPr>
        <w:instrText xml:space="preserve"> TC"(</w:instrText>
      </w:r>
      <w:bookmarkStart w:id="2" w:name="DocNumber"/>
      <w:r w:rsidRPr="00AF6A36">
        <w:rPr>
          <w:i/>
        </w:rPr>
        <w:instrText>A9-0169/2024</w:instrText>
      </w:r>
      <w:bookmarkEnd w:id="2"/>
      <w:r w:rsidRPr="00AF6A36">
        <w:rPr>
          <w:i/>
        </w:rPr>
        <w:instrText xml:space="preserve"> - Raportor: Gilles </w:instrText>
      </w:r>
      <w:proofErr w:type="spellStart"/>
      <w:r w:rsidRPr="00AF6A36">
        <w:rPr>
          <w:i/>
        </w:rPr>
        <w:instrText>Lebreton</w:instrText>
      </w:r>
      <w:proofErr w:type="spellEnd"/>
      <w:r w:rsidRPr="00AF6A36">
        <w:rPr>
          <w:i/>
        </w:rPr>
        <w:instrText xml:space="preserve">)"\l3 \n&gt; \* MERGEFORMAT </w:instrText>
      </w:r>
      <w:r w:rsidRPr="00AF6A36">
        <w:rPr>
          <w:i/>
        </w:rPr>
        <w:fldChar w:fldCharType="end"/>
      </w:r>
    </w:p>
    <w:p w:rsidR="00DD2EB2" w:rsidRPr="00AF6A36" w:rsidRDefault="00DD2EB2" w:rsidP="00DD2EB2">
      <w:pPr>
        <w:rPr>
          <w:vanish/>
        </w:rPr>
      </w:pPr>
      <w:bookmarkStart w:id="3" w:name="Commission"/>
      <w:r w:rsidRPr="00AF6A36">
        <w:rPr>
          <w:vanish/>
        </w:rPr>
        <w:t>Comisia pentru afaceri juridice</w:t>
      </w:r>
      <w:bookmarkStart w:id="4" w:name="_GoBack"/>
      <w:bookmarkEnd w:id="3"/>
      <w:bookmarkEnd w:id="4"/>
    </w:p>
    <w:p w:rsidR="00DD2EB2" w:rsidRPr="00AF6A36" w:rsidRDefault="00DD2EB2" w:rsidP="00DD2EB2">
      <w:pPr>
        <w:rPr>
          <w:vanish/>
        </w:rPr>
      </w:pPr>
      <w:bookmarkStart w:id="5" w:name="PE"/>
      <w:r w:rsidRPr="00AF6A36">
        <w:rPr>
          <w:vanish/>
        </w:rPr>
        <w:t>PE759.886</w:t>
      </w:r>
      <w:bookmarkEnd w:id="5"/>
    </w:p>
    <w:p w:rsidR="00DD2EB2" w:rsidRPr="00AF6A36" w:rsidRDefault="00DD2EB2" w:rsidP="00DD2EB2">
      <w:pPr>
        <w:pStyle w:val="ATHeading3"/>
      </w:pPr>
      <w:bookmarkStart w:id="6" w:name="Sujet"/>
      <w:r w:rsidRPr="00AF6A36">
        <w:t xml:space="preserve">Decizia Parlamentului European din 11 aprilie 2024 privind cererea de ridicare a imunității lui </w:t>
      </w:r>
      <w:proofErr w:type="spellStart"/>
      <w:r w:rsidRPr="00AF6A36">
        <w:t>Andris</w:t>
      </w:r>
      <w:proofErr w:type="spellEnd"/>
      <w:r w:rsidRPr="00AF6A36">
        <w:t xml:space="preserve"> </w:t>
      </w:r>
      <w:proofErr w:type="spellStart"/>
      <w:r w:rsidRPr="00AF6A36">
        <w:t>Ameriks</w:t>
      </w:r>
      <w:bookmarkEnd w:id="6"/>
      <w:proofErr w:type="spellEnd"/>
      <w:r w:rsidRPr="00AF6A36">
        <w:t xml:space="preserve"> </w:t>
      </w:r>
      <w:bookmarkStart w:id="7" w:name="References"/>
      <w:r w:rsidRPr="00AF6A36">
        <w:t>(2023/2090(IMM))</w:t>
      </w:r>
      <w:bookmarkEnd w:id="7"/>
    </w:p>
    <w:p w:rsidR="00E55AEC" w:rsidRPr="00AF6A36" w:rsidRDefault="00E55AEC" w:rsidP="00E55AEC">
      <w:pPr>
        <w:pStyle w:val="EPComma"/>
      </w:pPr>
      <w:bookmarkStart w:id="8" w:name="TextBodyBegin"/>
      <w:bookmarkEnd w:id="8"/>
      <w:r w:rsidRPr="00AF6A36">
        <w:rPr>
          <w:i/>
          <w:iCs/>
        </w:rPr>
        <w:t>Parlamentul European</w:t>
      </w:r>
      <w:r w:rsidRPr="00AF6A36">
        <w:t>,</w:t>
      </w:r>
    </w:p>
    <w:p w:rsidR="00E55AEC" w:rsidRPr="00AF6A36" w:rsidRDefault="00E55AEC" w:rsidP="00E55AEC">
      <w:pPr>
        <w:pStyle w:val="NormalHanging12a"/>
      </w:pPr>
      <w:r w:rsidRPr="00AF6A36">
        <w:t>–</w:t>
      </w:r>
      <w:r w:rsidRPr="00AF6A36">
        <w:tab/>
        <w:t xml:space="preserve">având în vedere cererea de ridicare a imunității lui </w:t>
      </w:r>
      <w:proofErr w:type="spellStart"/>
      <w:r w:rsidRPr="00AF6A36">
        <w:t>Andris</w:t>
      </w:r>
      <w:proofErr w:type="spellEnd"/>
      <w:r w:rsidRPr="00AF6A36">
        <w:t xml:space="preserve"> </w:t>
      </w:r>
      <w:proofErr w:type="spellStart"/>
      <w:r w:rsidRPr="00AF6A36">
        <w:t>Ameriks</w:t>
      </w:r>
      <w:proofErr w:type="spellEnd"/>
      <w:r w:rsidRPr="00AF6A36">
        <w:t xml:space="preserve"> adresată procurorului secției de coordonare anticorupție din cadrul Departamentului de drept penal al Parchetului din Riga, din data de 24 mai 2023 și transmisă la aceeași dată de către procurorul general al Republicii Letonia, în contextul procedurilor penale care urmează să fie inițiate în Republica Letonia, </w:t>
      </w:r>
      <w:r w:rsidR="00042E32" w:rsidRPr="00AF6A36">
        <w:rPr>
          <w:szCs w:val="24"/>
        </w:rPr>
        <w:t xml:space="preserve">comunicată în ședința plenară din </w:t>
      </w:r>
      <w:r w:rsidRPr="00AF6A36">
        <w:t>14 iunie 2023,</w:t>
      </w:r>
    </w:p>
    <w:p w:rsidR="00E55AEC" w:rsidRPr="00AF6A36" w:rsidRDefault="00E55AEC" w:rsidP="00E55AEC">
      <w:pPr>
        <w:pStyle w:val="NormalHanging12a"/>
      </w:pPr>
      <w:r w:rsidRPr="00AF6A36">
        <w:t>–</w:t>
      </w:r>
      <w:r w:rsidRPr="00AF6A36">
        <w:tab/>
        <w:t xml:space="preserve">în urma audierii lui Nils </w:t>
      </w:r>
      <w:proofErr w:type="spellStart"/>
      <w:r w:rsidRPr="00AF6A36">
        <w:t>Ušakovs</w:t>
      </w:r>
      <w:proofErr w:type="spellEnd"/>
      <w:r w:rsidRPr="00AF6A36">
        <w:t xml:space="preserve">, în numele lui </w:t>
      </w:r>
      <w:proofErr w:type="spellStart"/>
      <w:r w:rsidRPr="00AF6A36">
        <w:t>Andris</w:t>
      </w:r>
      <w:proofErr w:type="spellEnd"/>
      <w:r w:rsidRPr="00AF6A36">
        <w:t xml:space="preserve"> </w:t>
      </w:r>
      <w:proofErr w:type="spellStart"/>
      <w:r w:rsidRPr="00AF6A36">
        <w:t>Ameriks</w:t>
      </w:r>
      <w:proofErr w:type="spellEnd"/>
      <w:r w:rsidRPr="00AF6A36">
        <w:t>, în conformitate cu articolul 9 alineatul (6) din Regulamentul său de procedură,</w:t>
      </w:r>
    </w:p>
    <w:p w:rsidR="00E55AEC" w:rsidRPr="00AF6A36" w:rsidRDefault="00E55AEC" w:rsidP="00E55AEC">
      <w:pPr>
        <w:pStyle w:val="NormalHanging12a"/>
      </w:pPr>
      <w:r w:rsidRPr="00AF6A36">
        <w:t>–</w:t>
      </w:r>
      <w:r w:rsidRPr="00AF6A36">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E55AEC" w:rsidRPr="00AF6A36" w:rsidRDefault="00E55AEC" w:rsidP="00E55AEC">
      <w:pPr>
        <w:pStyle w:val="NormalHanging12a"/>
      </w:pPr>
      <w:r w:rsidRPr="00AF6A36">
        <w:t>–</w:t>
      </w:r>
      <w:r w:rsidRPr="00AF6A36">
        <w:tab/>
        <w:t>având în vedere articolele 29 și 30 din Constituția Letoniei,</w:t>
      </w:r>
    </w:p>
    <w:p w:rsidR="00E55AEC" w:rsidRPr="00AF6A36" w:rsidRDefault="00E55AEC" w:rsidP="00E55AEC">
      <w:pPr>
        <w:pStyle w:val="NormalHanging12a"/>
      </w:pPr>
      <w:r w:rsidRPr="00AF6A36">
        <w:t>–</w:t>
      </w:r>
      <w:r w:rsidRPr="00AF6A36">
        <w:tab/>
        <w:t>având în vedere hotărârile Curții de Justiție a Uniunii Europene (CJUE) din 21 octombrie 2008, 19 martie 2010, 6 septembrie 2011, 17 ianuarie 2013 și 19 decembrie 2019</w:t>
      </w:r>
      <w:r w:rsidRPr="00AF6A36">
        <w:rPr>
          <w:rStyle w:val="FootnoteReference"/>
        </w:rPr>
        <w:footnoteReference w:id="1"/>
      </w:r>
      <w:r w:rsidRPr="00AF6A36">
        <w:t>,</w:t>
      </w:r>
    </w:p>
    <w:p w:rsidR="00E55AEC" w:rsidRPr="00AF6A36" w:rsidRDefault="00E55AEC" w:rsidP="00E55AEC">
      <w:pPr>
        <w:pStyle w:val="NormalHanging12a"/>
      </w:pPr>
      <w:r w:rsidRPr="00AF6A36">
        <w:t>–</w:t>
      </w:r>
      <w:r w:rsidRPr="00AF6A36">
        <w:tab/>
        <w:t xml:space="preserve">având în vedere articolul 5 alineatul (2), articolul 6 alineatul (1) și articolul 9 din </w:t>
      </w:r>
      <w:r w:rsidRPr="00AF6A36">
        <w:lastRenderedPageBreak/>
        <w:t>Regulamentul său de procedură,</w:t>
      </w:r>
    </w:p>
    <w:p w:rsidR="00E55AEC" w:rsidRPr="00AF6A36" w:rsidRDefault="00E55AEC" w:rsidP="00E55AEC">
      <w:pPr>
        <w:pStyle w:val="NormalHanging12a"/>
      </w:pPr>
      <w:r w:rsidRPr="00AF6A36">
        <w:t>–</w:t>
      </w:r>
      <w:r w:rsidRPr="00AF6A36">
        <w:tab/>
        <w:t>având în vedere raportul Comisiei pentru afaceri juridice (A9-0169/2024),</w:t>
      </w:r>
    </w:p>
    <w:p w:rsidR="00E55AEC" w:rsidRPr="00AF6A36" w:rsidRDefault="00E55AEC" w:rsidP="00E55AEC">
      <w:pPr>
        <w:pStyle w:val="NormalHanging12a"/>
      </w:pPr>
      <w:r w:rsidRPr="00AF6A36">
        <w:t>A.</w:t>
      </w:r>
      <w:r w:rsidRPr="00AF6A36">
        <w:tab/>
        <w:t xml:space="preserve">întrucât procurorul secției de coordonare anticorupție din cadrul Departamentului de drept penal al Parchetului din Riga a solicitat ridicarea imunității lui </w:t>
      </w:r>
      <w:proofErr w:type="spellStart"/>
      <w:r w:rsidRPr="00AF6A36">
        <w:t>Andris</w:t>
      </w:r>
      <w:proofErr w:type="spellEnd"/>
      <w:r w:rsidRPr="00AF6A36">
        <w:t xml:space="preserve"> </w:t>
      </w:r>
      <w:proofErr w:type="spellStart"/>
      <w:r w:rsidRPr="00AF6A36">
        <w:t>Ameriks</w:t>
      </w:r>
      <w:proofErr w:type="spellEnd"/>
      <w:r w:rsidRPr="00AF6A36">
        <w:t>, deputat în Parlamentul European, ales în Letonia, în vederea inițierii unor proceduri penale împotriva sa pentru o infracțiune de primire de mită înainte de săvârșirea unui act ilegal în interesul unui terț prin exercitarea funcției sale oficiale, în conformitate cu articolul 320 alineatul (4) din Codul penal leton;</w:t>
      </w:r>
    </w:p>
    <w:p w:rsidR="00E55AEC" w:rsidRPr="00AF6A36" w:rsidRDefault="00E55AEC" w:rsidP="00E55AEC">
      <w:pPr>
        <w:pStyle w:val="NormalHanging12a"/>
      </w:pPr>
      <w:r w:rsidRPr="00AF6A36">
        <w:t>B.</w:t>
      </w:r>
      <w:r w:rsidRPr="00AF6A36">
        <w:tab/>
        <w:t xml:space="preserve">întrucât, în perioada 17 septembrie 2017-22 iulie 2017, </w:t>
      </w:r>
      <w:proofErr w:type="spellStart"/>
      <w:r w:rsidRPr="00AF6A36">
        <w:t>Andris</w:t>
      </w:r>
      <w:proofErr w:type="spellEnd"/>
      <w:r w:rsidRPr="00AF6A36">
        <w:t xml:space="preserve"> </w:t>
      </w:r>
      <w:proofErr w:type="spellStart"/>
      <w:r w:rsidRPr="00AF6A36">
        <w:t>Ameriks</w:t>
      </w:r>
      <w:proofErr w:type="spellEnd"/>
      <w:r w:rsidRPr="00AF6A36">
        <w:t>, în calitatea sa de vicepreședinte al municipiului Riga și, prin urmare, învestit cu autoritatea publică într-o poziție de responsabilitate, ar fi solicitat mită din partea proprietarului intermediar al unei societăți de transport cu microbuzul echivalentă cu 50 % din sumele pe care această societate le-a primit de la municipiul Riga pentru pasagerii transportați care ar fi avut dreptul la reduceri ale tarifelor de transport;</w:t>
      </w:r>
    </w:p>
    <w:p w:rsidR="00E55AEC" w:rsidRPr="00AF6A36" w:rsidRDefault="00E55AEC" w:rsidP="00E55AEC">
      <w:pPr>
        <w:pStyle w:val="NormalHanging12a"/>
      </w:pPr>
      <w:r w:rsidRPr="00AF6A36">
        <w:t>C.</w:t>
      </w:r>
      <w:r w:rsidRPr="00AF6A36">
        <w:tab/>
        <w:t xml:space="preserve">întrucât </w:t>
      </w:r>
      <w:proofErr w:type="spellStart"/>
      <w:r w:rsidRPr="00AF6A36">
        <w:t>Andris</w:t>
      </w:r>
      <w:proofErr w:type="spellEnd"/>
      <w:r w:rsidRPr="00AF6A36">
        <w:t xml:space="preserve"> </w:t>
      </w:r>
      <w:proofErr w:type="spellStart"/>
      <w:r w:rsidRPr="00AF6A36">
        <w:t>Ameriks</w:t>
      </w:r>
      <w:proofErr w:type="spellEnd"/>
      <w:r w:rsidRPr="00AF6A36">
        <w:t xml:space="preserve"> a fost ales în Parlamentul European în urma alegerilor europene din mai 2019;</w:t>
      </w:r>
    </w:p>
    <w:p w:rsidR="00E55AEC" w:rsidRPr="00AF6A36" w:rsidRDefault="00E55AEC" w:rsidP="00E55AEC">
      <w:pPr>
        <w:spacing w:after="240"/>
        <w:ind w:left="567" w:hanging="567"/>
      </w:pPr>
      <w:r w:rsidRPr="00AF6A36">
        <w:t>D.</w:t>
      </w:r>
      <w:r w:rsidRPr="00AF6A36">
        <w:tab/>
        <w:t xml:space="preserve">întrucât presupusa infracțiune nu are legătură cu opiniile sau voturile exprimate de </w:t>
      </w:r>
      <w:proofErr w:type="spellStart"/>
      <w:r w:rsidRPr="00AF6A36">
        <w:t>Andris</w:t>
      </w:r>
      <w:proofErr w:type="spellEnd"/>
      <w:r w:rsidRPr="00AF6A36">
        <w:t xml:space="preserve"> </w:t>
      </w:r>
      <w:proofErr w:type="spellStart"/>
      <w:r w:rsidRPr="00AF6A36">
        <w:t>Ameriks</w:t>
      </w:r>
      <w:proofErr w:type="spellEnd"/>
      <w:r w:rsidRPr="00AF6A36">
        <w:t xml:space="preserve"> în exercitarea funcțiilor sale, în conformitate cu articolul 8 din Protocolul nr. 7 privind privilegiile și imunitățile Uniunii Europene;</w:t>
      </w:r>
    </w:p>
    <w:p w:rsidR="00E55AEC" w:rsidRPr="00AF6A36" w:rsidRDefault="00E55AEC" w:rsidP="00E55AEC">
      <w:pPr>
        <w:spacing w:after="240"/>
        <w:ind w:left="567" w:hanging="567"/>
      </w:pPr>
      <w:r w:rsidRPr="00AF6A36">
        <w:t>E.</w:t>
      </w:r>
      <w:r w:rsidRPr="00AF6A36">
        <w:tab/>
        <w:t>întrucât în conformitate cu articolul 9 din Protocolul nr. 7 privind privilegiile și imunitățile Uniunii Europene, deputații în Parlamentul European beneficiază, pe teritoriul național, de imunitățile recunoscute membrilor parlamentului propriului stat;</w:t>
      </w:r>
    </w:p>
    <w:p w:rsidR="00E55AEC" w:rsidRPr="00AF6A36" w:rsidRDefault="00E55AEC" w:rsidP="00E55AEC">
      <w:pPr>
        <w:spacing w:after="240"/>
        <w:ind w:left="567" w:hanging="567"/>
      </w:pPr>
      <w:r w:rsidRPr="00AF6A36">
        <w:t>F.</w:t>
      </w:r>
      <w:r w:rsidRPr="00AF6A36">
        <w:tab/>
        <w:t>întrucât la articolul 29 și la articolul 30 din Constituția Letoniei se prevăd următoarele:</w:t>
      </w:r>
    </w:p>
    <w:p w:rsidR="00E55AEC" w:rsidRPr="00AF6A36" w:rsidRDefault="00E55AEC" w:rsidP="00E55AEC">
      <w:pPr>
        <w:spacing w:after="240"/>
        <w:ind w:left="567"/>
        <w:rPr>
          <w:b/>
          <w:bCs/>
        </w:rPr>
      </w:pPr>
      <w:r w:rsidRPr="00AF6A36">
        <w:t>„Articolul 29</w:t>
      </w:r>
    </w:p>
    <w:p w:rsidR="00E55AEC" w:rsidRPr="00AF6A36" w:rsidRDefault="00E55AEC" w:rsidP="00E55AEC">
      <w:pPr>
        <w:spacing w:after="240"/>
        <w:ind w:left="567"/>
        <w:rPr>
          <w:b/>
          <w:bCs/>
        </w:rPr>
      </w:pPr>
      <w:r w:rsidRPr="00AF6A36">
        <w:t xml:space="preserve">Membrii </w:t>
      </w:r>
      <w:proofErr w:type="spellStart"/>
      <w:r w:rsidRPr="00AF6A36">
        <w:t>Saeima</w:t>
      </w:r>
      <w:proofErr w:type="spellEnd"/>
      <w:r w:rsidRPr="00AF6A36">
        <w:t xml:space="preserve"> nu sunt arestați și nu li se percheziționează spațiile, iar libertatea lor personală nu poate fi restricționată în niciun fel fără consimțământul </w:t>
      </w:r>
      <w:proofErr w:type="spellStart"/>
      <w:r w:rsidRPr="00AF6A36">
        <w:t>Saeima</w:t>
      </w:r>
      <w:proofErr w:type="spellEnd"/>
      <w:r w:rsidRPr="00AF6A36">
        <w:t>. (...)</w:t>
      </w:r>
    </w:p>
    <w:p w:rsidR="00E55AEC" w:rsidRPr="00AF6A36" w:rsidRDefault="00E55AEC" w:rsidP="00E55AEC">
      <w:pPr>
        <w:spacing w:after="240"/>
        <w:ind w:left="567"/>
        <w:rPr>
          <w:bCs/>
        </w:rPr>
      </w:pPr>
      <w:r w:rsidRPr="00AF6A36">
        <w:t>Articolul 30</w:t>
      </w:r>
    </w:p>
    <w:p w:rsidR="00E55AEC" w:rsidRPr="00AF6A36" w:rsidRDefault="00E55AEC" w:rsidP="00E55AEC">
      <w:pPr>
        <w:spacing w:after="240"/>
        <w:ind w:left="567"/>
      </w:pPr>
      <w:r w:rsidRPr="00AF6A36">
        <w:t xml:space="preserve">Fără acordul </w:t>
      </w:r>
      <w:proofErr w:type="spellStart"/>
      <w:r w:rsidRPr="00AF6A36">
        <w:t>Saeima</w:t>
      </w:r>
      <w:proofErr w:type="spellEnd"/>
      <w:r w:rsidRPr="00AF6A36">
        <w:t>, urmărirea penală nu poate fi inițiată, iar membrilor săi nu li se pot aplica amenzi administrative.”;</w:t>
      </w:r>
    </w:p>
    <w:p w:rsidR="00E55AEC" w:rsidRPr="00AF6A36" w:rsidRDefault="00E55AEC" w:rsidP="00E55AEC">
      <w:pPr>
        <w:spacing w:after="240"/>
        <w:ind w:left="567" w:hanging="567"/>
      </w:pPr>
      <w:r w:rsidRPr="00AF6A36">
        <w:t>G.</w:t>
      </w:r>
      <w:r w:rsidRPr="00AF6A36">
        <w:tab/>
        <w:t>întrucât, pe de o parte, Parlamentul nu poate fi echivalat cu un tribunal și, pe de altă parte, în contextul unei proceduri de ridicare a imunității, deputatul în cauză nu poate fi considerat drept „acuzat”</w:t>
      </w:r>
      <w:r w:rsidRPr="00AF6A36">
        <w:rPr>
          <w:vertAlign w:val="superscript"/>
        </w:rPr>
        <w:footnoteReference w:id="2"/>
      </w:r>
      <w:r w:rsidRPr="00AF6A36">
        <w:t>;</w:t>
      </w:r>
    </w:p>
    <w:p w:rsidR="00E55AEC" w:rsidRPr="00AF6A36" w:rsidRDefault="00E55AEC" w:rsidP="00E55AEC">
      <w:pPr>
        <w:pStyle w:val="NormalHanging12a"/>
      </w:pPr>
      <w:r w:rsidRPr="00AF6A36">
        <w:t>H.</w:t>
      </w:r>
      <w:r w:rsidRPr="00AF6A36">
        <w:tab/>
        <w:t>întrucât scopul imunității parlamentare este acela de a proteja Parlamentul și deputații săi de proceduri judiciare inițiate în legătură cu activitățile desfășurate în exercitarea funcțiilor parlamentare, activități care nu pot fi disociate de aceste funcții;</w:t>
      </w:r>
    </w:p>
    <w:p w:rsidR="00E55AEC" w:rsidRPr="00AF6A36" w:rsidRDefault="00E55AEC" w:rsidP="00E55AEC">
      <w:pPr>
        <w:pStyle w:val="NormalHanging12a"/>
      </w:pPr>
      <w:r w:rsidRPr="00AF6A36">
        <w:t>I.</w:t>
      </w:r>
      <w:r w:rsidRPr="00AF6A36">
        <w:tab/>
        <w:t xml:space="preserve">întrucât ancheta nu a fost în măsură să stabilească cu certitudine locul și momentul </w:t>
      </w:r>
      <w:r w:rsidRPr="00AF6A36">
        <w:lastRenderedPageBreak/>
        <w:t>exact în care a avut loc presupusa infracțiune;</w:t>
      </w:r>
    </w:p>
    <w:p w:rsidR="00E55AEC" w:rsidRPr="00AF6A36" w:rsidRDefault="00E55AEC" w:rsidP="00E55AEC">
      <w:pPr>
        <w:pStyle w:val="NormalHanging12a"/>
      </w:pPr>
      <w:r w:rsidRPr="00AF6A36">
        <w:t>J.</w:t>
      </w:r>
      <w:r w:rsidRPr="00AF6A36">
        <w:tab/>
        <w:t xml:space="preserve">întrucât presupusa infracțiune a lui </w:t>
      </w:r>
      <w:proofErr w:type="spellStart"/>
      <w:r w:rsidRPr="00AF6A36">
        <w:t>Andris</w:t>
      </w:r>
      <w:proofErr w:type="spellEnd"/>
      <w:r w:rsidRPr="00AF6A36">
        <w:t xml:space="preserve"> </w:t>
      </w:r>
      <w:proofErr w:type="spellStart"/>
      <w:r w:rsidRPr="00AF6A36">
        <w:t>Ameriks</w:t>
      </w:r>
      <w:proofErr w:type="spellEnd"/>
      <w:r w:rsidRPr="00AF6A36">
        <w:t xml:space="preserve"> ar fi fost săvârșită în 2017, iar procurorul general al Republicii Letonia a transmis cererea de ridicare a imunității abia la 23 mai 2023; întrucât nu există nicio justificare convingătoare pentru o astfel de întârziere în luarea de măsuri;</w:t>
      </w:r>
    </w:p>
    <w:p w:rsidR="00E55AEC" w:rsidRPr="00AF6A36" w:rsidRDefault="00E55AEC" w:rsidP="00E55AEC">
      <w:pPr>
        <w:pStyle w:val="NormalHanging12a"/>
      </w:pPr>
      <w:r w:rsidRPr="00AF6A36">
        <w:t>K.</w:t>
      </w:r>
      <w:r w:rsidRPr="00AF6A36">
        <w:tab/>
        <w:t>întrucât din jurisprudența CJUE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AF6A36">
        <w:rPr>
          <w:vertAlign w:val="superscript"/>
        </w:rPr>
        <w:footnoteReference w:id="3"/>
      </w:r>
      <w:r w:rsidRPr="00AF6A36">
        <w:t>;</w:t>
      </w:r>
    </w:p>
    <w:p w:rsidR="00E55AEC" w:rsidRPr="00AF6A36" w:rsidRDefault="00E55AEC" w:rsidP="00E55AEC">
      <w:pPr>
        <w:pStyle w:val="NormalHanging12a"/>
        <w:rPr>
          <w:szCs w:val="24"/>
        </w:rPr>
      </w:pPr>
      <w:r w:rsidRPr="00AF6A36">
        <w:t>L.</w:t>
      </w:r>
      <w:r w:rsidRPr="00AF6A36">
        <w:tab/>
        <w:t xml:space="preserve">întrucât coerența acestor elemente concrete dă naștere unor îndoieli serioase cu privire la posibila intenție de a submina activitatea politică a lui </w:t>
      </w:r>
      <w:proofErr w:type="spellStart"/>
      <w:r w:rsidRPr="00AF6A36">
        <w:t>Andris</w:t>
      </w:r>
      <w:proofErr w:type="spellEnd"/>
      <w:r w:rsidRPr="00AF6A36">
        <w:t xml:space="preserve"> </w:t>
      </w:r>
      <w:proofErr w:type="spellStart"/>
      <w:r w:rsidRPr="00AF6A36">
        <w:t>Ameriks</w:t>
      </w:r>
      <w:proofErr w:type="spellEnd"/>
      <w:r w:rsidRPr="00AF6A36">
        <w:t xml:space="preserve"> și, în special, activitatea sa de deputat în Parlamentul European; întrucât, pe baza informațiilor și explicațiilor furnizate în cazul de față, inclusiv a răspunsurilor date de procurorul adjunct al Republicii Letonia în timpul schimbului de opinii cu acesta, există incertitudini cu privire la elementele pe care se bazează cererea de ridicare a imunității și îndoieli serioase, inclusiv cu privire la motivele care stau la baza cererii de ridicare a imunității;</w:t>
      </w:r>
    </w:p>
    <w:p w:rsidR="00E55AEC" w:rsidRPr="00AF6A36" w:rsidRDefault="00E55AEC" w:rsidP="00E55AEC">
      <w:pPr>
        <w:pStyle w:val="NormalHanging12a"/>
        <w:rPr>
          <w:szCs w:val="24"/>
        </w:rPr>
      </w:pPr>
      <w:r w:rsidRPr="00AF6A36">
        <w:t>M.</w:t>
      </w:r>
      <w:r w:rsidRPr="00AF6A36">
        <w:tab/>
        <w:t xml:space="preserve">întrucât, prin urmare, se pare că acesta este un caz în care se poate presupune că există un caz de </w:t>
      </w:r>
      <w:proofErr w:type="spellStart"/>
      <w:r w:rsidRPr="00AF6A36">
        <w:rPr>
          <w:i/>
        </w:rPr>
        <w:t>fumus</w:t>
      </w:r>
      <w:proofErr w:type="spellEnd"/>
      <w:r w:rsidRPr="00AF6A36">
        <w:rPr>
          <w:i/>
        </w:rPr>
        <w:t xml:space="preserve"> </w:t>
      </w:r>
      <w:proofErr w:type="spellStart"/>
      <w:r w:rsidRPr="00AF6A36">
        <w:rPr>
          <w:i/>
        </w:rPr>
        <w:t>persecutionis</w:t>
      </w:r>
      <w:proofErr w:type="spellEnd"/>
      <w:r w:rsidRPr="00AF6A36">
        <w:t>, și anume „elemente concrete”</w:t>
      </w:r>
      <w:r w:rsidRPr="00AF6A36">
        <w:rPr>
          <w:szCs w:val="24"/>
          <w:vertAlign w:val="superscript"/>
        </w:rPr>
        <w:footnoteReference w:id="4"/>
      </w:r>
      <w:r w:rsidRPr="00AF6A36">
        <w:t xml:space="preserve"> că procedura judiciară în cauză a fost inițiată cu intenția de a submina activitatea politică a lui </w:t>
      </w:r>
      <w:proofErr w:type="spellStart"/>
      <w:r w:rsidRPr="00AF6A36">
        <w:t>Andris</w:t>
      </w:r>
      <w:proofErr w:type="spellEnd"/>
      <w:r w:rsidRPr="00AF6A36">
        <w:t xml:space="preserve"> </w:t>
      </w:r>
      <w:proofErr w:type="spellStart"/>
      <w:r w:rsidRPr="00AF6A36">
        <w:t>Ameriks</w:t>
      </w:r>
      <w:proofErr w:type="spellEnd"/>
      <w:r w:rsidRPr="00AF6A36">
        <w:t xml:space="preserve"> și, prin urmare, printre altele, activitatea sa de deputat în Parlamentul European,</w:t>
      </w:r>
    </w:p>
    <w:p w:rsidR="00E55AEC" w:rsidRPr="00AF6A36" w:rsidRDefault="00E55AEC" w:rsidP="00E55AEC">
      <w:pPr>
        <w:pStyle w:val="NormalHanging12a"/>
        <w:rPr>
          <w:szCs w:val="24"/>
        </w:rPr>
      </w:pPr>
      <w:r w:rsidRPr="00AF6A36">
        <w:t>1.</w:t>
      </w:r>
      <w:r w:rsidRPr="00AF6A36">
        <w:tab/>
        <w:t xml:space="preserve">hotărăște să nu ridice imunitatea lui </w:t>
      </w:r>
      <w:proofErr w:type="spellStart"/>
      <w:r w:rsidRPr="00AF6A36">
        <w:t>Andris</w:t>
      </w:r>
      <w:proofErr w:type="spellEnd"/>
      <w:r w:rsidRPr="00AF6A36">
        <w:t xml:space="preserve"> </w:t>
      </w:r>
      <w:proofErr w:type="spellStart"/>
      <w:r w:rsidRPr="00AF6A36">
        <w:t>Ameriks</w:t>
      </w:r>
      <w:proofErr w:type="spellEnd"/>
      <w:r w:rsidRPr="00AF6A36">
        <w:t>;</w:t>
      </w:r>
    </w:p>
    <w:p w:rsidR="00E55AEC" w:rsidRPr="00AF6A36" w:rsidRDefault="00E55AEC" w:rsidP="00E55AEC">
      <w:pPr>
        <w:pStyle w:val="NormalHanging12a"/>
      </w:pPr>
      <w:r w:rsidRPr="00AF6A36">
        <w:t>2.</w:t>
      </w:r>
      <w:r w:rsidRPr="00AF6A36">
        <w:tab/>
        <w:t xml:space="preserve">încredințează Președintei sarcina de a transmite imediat prezenta decizie, precum și raportul comisiei competente, autorității </w:t>
      </w:r>
      <w:r w:rsidR="00F259BE" w:rsidRPr="00AF6A36">
        <w:t>competente</w:t>
      </w:r>
      <w:r w:rsidRPr="00AF6A36">
        <w:t xml:space="preserve"> a Republicii Letonia și lui </w:t>
      </w:r>
      <w:proofErr w:type="spellStart"/>
      <w:r w:rsidRPr="00AF6A36">
        <w:t>Andris</w:t>
      </w:r>
      <w:proofErr w:type="spellEnd"/>
      <w:r w:rsidRPr="00AF6A36">
        <w:t xml:space="preserve"> </w:t>
      </w:r>
      <w:proofErr w:type="spellStart"/>
      <w:r w:rsidRPr="00AF6A36">
        <w:t>Ameriks</w:t>
      </w:r>
      <w:proofErr w:type="spellEnd"/>
      <w:r w:rsidRPr="00AF6A36">
        <w:t>.</w:t>
      </w:r>
    </w:p>
    <w:p w:rsidR="00F259BE" w:rsidRPr="00AF6A36" w:rsidRDefault="00F259BE" w:rsidP="00E55AEC">
      <w:pPr>
        <w:pStyle w:val="NormalHanging12a"/>
      </w:pPr>
    </w:p>
    <w:sectPr w:rsidR="00F259BE" w:rsidRPr="00AF6A36" w:rsidSect="00F259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EB2" w:rsidRPr="00BF6C47" w:rsidRDefault="00DD2EB2">
      <w:r w:rsidRPr="00BF6C47">
        <w:separator/>
      </w:r>
    </w:p>
  </w:endnote>
  <w:endnote w:type="continuationSeparator" w:id="0">
    <w:p w:rsidR="00DD2EB2" w:rsidRPr="00BF6C47" w:rsidRDefault="00DD2EB2">
      <w:r w:rsidRPr="00BF6C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EB2" w:rsidRPr="00BF6C47" w:rsidRDefault="00DD2EB2">
      <w:r w:rsidRPr="00BF6C47">
        <w:separator/>
      </w:r>
    </w:p>
  </w:footnote>
  <w:footnote w:type="continuationSeparator" w:id="0">
    <w:p w:rsidR="00DD2EB2" w:rsidRPr="00BF6C47" w:rsidRDefault="00DD2EB2">
      <w:r w:rsidRPr="00BF6C47">
        <w:continuationSeparator/>
      </w:r>
    </w:p>
  </w:footnote>
  <w:footnote w:id="1">
    <w:p w:rsidR="00E55AEC" w:rsidRPr="00AF6A36" w:rsidRDefault="00E55AEC" w:rsidP="00BF6C47">
      <w:pPr>
        <w:pStyle w:val="FootnoteText"/>
        <w:ind w:left="567" w:hanging="567"/>
        <w:rPr>
          <w:sz w:val="24"/>
          <w:lang w:val="ro-RO"/>
        </w:rPr>
      </w:pPr>
      <w:r w:rsidRPr="00AF6A36">
        <w:rPr>
          <w:rStyle w:val="FootnoteReference"/>
          <w:sz w:val="24"/>
          <w:lang w:val="ro-RO"/>
        </w:rPr>
        <w:footnoteRef/>
      </w:r>
      <w:r w:rsidR="00BF6C47" w:rsidRPr="00AF6A36">
        <w:rPr>
          <w:sz w:val="24"/>
          <w:lang w:val="ro-RO"/>
        </w:rPr>
        <w:t xml:space="preserve"> </w:t>
      </w:r>
      <w:r w:rsidR="00BF6C47" w:rsidRPr="00AF6A36">
        <w:rPr>
          <w:sz w:val="24"/>
          <w:lang w:val="ro-RO"/>
        </w:rPr>
        <w:tab/>
      </w:r>
      <w:r w:rsidRPr="00AF6A36">
        <w:rPr>
          <w:sz w:val="24"/>
          <w:lang w:val="ro-RO"/>
        </w:rPr>
        <w:t xml:space="preserve">Hotărârea Curții de Justiție din 21 octombrie 2008, </w:t>
      </w:r>
      <w:proofErr w:type="spellStart"/>
      <w:r w:rsidRPr="00AF6A36">
        <w:rPr>
          <w:sz w:val="24"/>
          <w:lang w:val="ro-RO"/>
        </w:rPr>
        <w:t>Marra</w:t>
      </w:r>
      <w:proofErr w:type="spellEnd"/>
      <w:r w:rsidRPr="00AF6A36">
        <w:rPr>
          <w:sz w:val="24"/>
          <w:lang w:val="ro-RO"/>
        </w:rPr>
        <w:t xml:space="preserve">/De Gregorio și Clemente, pronunțată în cauzele conexe C-200/07 și C-201/07, ECLI:EU:C:2008:579, hotărârea Tribunalului din 19 martie 2010, </w:t>
      </w:r>
      <w:proofErr w:type="spellStart"/>
      <w:r w:rsidRPr="00AF6A36">
        <w:rPr>
          <w:sz w:val="24"/>
          <w:lang w:val="ro-RO"/>
        </w:rPr>
        <w:t>Gollnisch</w:t>
      </w:r>
      <w:proofErr w:type="spellEnd"/>
      <w:r w:rsidRPr="00AF6A36">
        <w:rPr>
          <w:sz w:val="24"/>
          <w:lang w:val="ro-RO"/>
        </w:rPr>
        <w:t xml:space="preserve">/Parlamentul, T-42/06, ECLI:EU:T:2010:102, hotărârea Curții de Justiție din 6 septembrie 2011, </w:t>
      </w:r>
      <w:proofErr w:type="spellStart"/>
      <w:r w:rsidRPr="00AF6A36">
        <w:rPr>
          <w:sz w:val="24"/>
          <w:lang w:val="ro-RO"/>
        </w:rPr>
        <w:t>Patriciello</w:t>
      </w:r>
      <w:proofErr w:type="spellEnd"/>
      <w:r w:rsidRPr="00AF6A36">
        <w:rPr>
          <w:sz w:val="24"/>
          <w:lang w:val="ro-RO"/>
        </w:rPr>
        <w:t xml:space="preserve">, C-163/10, ECLI: EU:C:2011:543, hotărârea Tribunalului din 17 ianuarie 2013, </w:t>
      </w:r>
      <w:proofErr w:type="spellStart"/>
      <w:r w:rsidRPr="00AF6A36">
        <w:rPr>
          <w:sz w:val="24"/>
          <w:lang w:val="ro-RO"/>
        </w:rPr>
        <w:t>Gollnisch</w:t>
      </w:r>
      <w:proofErr w:type="spellEnd"/>
      <w:r w:rsidRPr="00AF6A36">
        <w:rPr>
          <w:sz w:val="24"/>
          <w:lang w:val="ro-RO"/>
        </w:rPr>
        <w:t xml:space="preserve">/Parlamentul, pronunțată în cauzele conexe T-346/11 și T-347/11, ECLI:EU:T:2013:23, hotărârea Curții de Justiție din 19 decembrie 2019, </w:t>
      </w:r>
      <w:proofErr w:type="spellStart"/>
      <w:r w:rsidRPr="00AF6A36">
        <w:rPr>
          <w:sz w:val="24"/>
          <w:lang w:val="ro-RO"/>
        </w:rPr>
        <w:t>Junqueras</w:t>
      </w:r>
      <w:proofErr w:type="spellEnd"/>
      <w:r w:rsidRPr="00AF6A36">
        <w:rPr>
          <w:sz w:val="24"/>
          <w:lang w:val="ro-RO"/>
        </w:rPr>
        <w:t xml:space="preserve"> </w:t>
      </w:r>
      <w:proofErr w:type="spellStart"/>
      <w:r w:rsidRPr="00AF6A36">
        <w:rPr>
          <w:sz w:val="24"/>
          <w:lang w:val="ro-RO"/>
        </w:rPr>
        <w:t>Vies</w:t>
      </w:r>
      <w:proofErr w:type="spellEnd"/>
      <w:r w:rsidRPr="00AF6A36">
        <w:rPr>
          <w:sz w:val="24"/>
          <w:lang w:val="ro-RO"/>
        </w:rPr>
        <w:t>, C-502/19, ECLI:EU:C:2019:1115.</w:t>
      </w:r>
    </w:p>
  </w:footnote>
  <w:footnote w:id="2">
    <w:p w:rsidR="00E55AEC" w:rsidRPr="00AF6A36" w:rsidRDefault="00E55AEC" w:rsidP="00BF6C47">
      <w:pPr>
        <w:pStyle w:val="FootnoteText"/>
        <w:ind w:left="567" w:hanging="567"/>
        <w:rPr>
          <w:sz w:val="24"/>
          <w:lang w:val="ro-RO"/>
        </w:rPr>
      </w:pPr>
      <w:r w:rsidRPr="00AF6A36">
        <w:rPr>
          <w:rStyle w:val="FootnoteReference"/>
          <w:sz w:val="24"/>
          <w:lang w:val="ro-RO"/>
        </w:rPr>
        <w:footnoteRef/>
      </w:r>
      <w:r w:rsidR="00BF6C47" w:rsidRPr="00AF6A36">
        <w:rPr>
          <w:sz w:val="24"/>
          <w:lang w:val="ro-RO"/>
        </w:rPr>
        <w:t xml:space="preserve"> </w:t>
      </w:r>
      <w:r w:rsidR="00BF6C47" w:rsidRPr="00AF6A36">
        <w:rPr>
          <w:sz w:val="24"/>
          <w:lang w:val="ro-RO"/>
        </w:rPr>
        <w:tab/>
      </w:r>
      <w:r w:rsidRPr="00AF6A36">
        <w:rPr>
          <w:sz w:val="24"/>
          <w:lang w:val="ro-RO"/>
        </w:rPr>
        <w:t xml:space="preserve">Hotărârea Tribunalului din 30 aprilie 2019, </w:t>
      </w:r>
      <w:proofErr w:type="spellStart"/>
      <w:r w:rsidRPr="00AF6A36">
        <w:rPr>
          <w:sz w:val="24"/>
          <w:lang w:val="ro-RO"/>
        </w:rPr>
        <w:t>Briois</w:t>
      </w:r>
      <w:proofErr w:type="spellEnd"/>
      <w:r w:rsidRPr="00AF6A36">
        <w:rPr>
          <w:sz w:val="24"/>
          <w:lang w:val="ro-RO"/>
        </w:rPr>
        <w:t>/Parlamentul, T-214/18, ECLI:EU:T:2019:266.</w:t>
      </w:r>
    </w:p>
  </w:footnote>
  <w:footnote w:id="3">
    <w:p w:rsidR="00E55AEC" w:rsidRPr="00AF6A36" w:rsidRDefault="00E55AEC" w:rsidP="00BF6C47">
      <w:pPr>
        <w:pStyle w:val="FootnoteText"/>
        <w:ind w:left="567" w:hanging="567"/>
        <w:rPr>
          <w:sz w:val="24"/>
          <w:lang w:val="ro-RO"/>
        </w:rPr>
      </w:pPr>
      <w:r w:rsidRPr="00AF6A36">
        <w:rPr>
          <w:rStyle w:val="FootnoteReference"/>
          <w:sz w:val="24"/>
          <w:lang w:val="ro-RO"/>
        </w:rPr>
        <w:footnoteRef/>
      </w:r>
      <w:r w:rsidR="00BF6C47" w:rsidRPr="00AF6A36">
        <w:rPr>
          <w:sz w:val="24"/>
          <w:lang w:val="ro-RO"/>
        </w:rPr>
        <w:t xml:space="preserve"> </w:t>
      </w:r>
      <w:r w:rsidR="00BF6C47" w:rsidRPr="00AF6A36">
        <w:rPr>
          <w:sz w:val="24"/>
          <w:lang w:val="ro-RO"/>
        </w:rPr>
        <w:tab/>
      </w:r>
      <w:r w:rsidRPr="00AF6A36">
        <w:rPr>
          <w:sz w:val="24"/>
          <w:lang w:val="ro-RO"/>
        </w:rPr>
        <w:t xml:space="preserve">Hotărârea Curții de Justiție din 17 ianuarie 2013, </w:t>
      </w:r>
      <w:proofErr w:type="spellStart"/>
      <w:r w:rsidRPr="00AF6A36">
        <w:rPr>
          <w:sz w:val="24"/>
          <w:lang w:val="ro-RO"/>
        </w:rPr>
        <w:t>Gollnisch</w:t>
      </w:r>
      <w:proofErr w:type="spellEnd"/>
      <w:r w:rsidRPr="00AF6A36">
        <w:rPr>
          <w:sz w:val="24"/>
          <w:lang w:val="ro-RO"/>
        </w:rPr>
        <w:t>, T-346/11 și T-347/11, ECLI:EU:C:2013:23, punctul 59 și jurisprudența citată.</w:t>
      </w:r>
    </w:p>
  </w:footnote>
  <w:footnote w:id="4">
    <w:p w:rsidR="00E55AEC" w:rsidRPr="00BF6C47" w:rsidRDefault="00E55AEC" w:rsidP="00BF6C47">
      <w:pPr>
        <w:pStyle w:val="FootnoteText"/>
        <w:ind w:left="567" w:hanging="567"/>
        <w:rPr>
          <w:sz w:val="24"/>
          <w:lang w:val="ro-RO"/>
        </w:rPr>
      </w:pPr>
      <w:r w:rsidRPr="00AF6A36">
        <w:rPr>
          <w:rStyle w:val="FootnoteReference"/>
          <w:sz w:val="24"/>
          <w:lang w:val="ro-RO"/>
        </w:rPr>
        <w:footnoteRef/>
      </w:r>
      <w:r w:rsidR="00BF6C47" w:rsidRPr="00AF6A36">
        <w:rPr>
          <w:sz w:val="24"/>
          <w:lang w:val="ro-RO"/>
        </w:rPr>
        <w:t xml:space="preserve"> </w:t>
      </w:r>
      <w:r w:rsidR="00BF6C47" w:rsidRPr="00AF6A36">
        <w:rPr>
          <w:sz w:val="24"/>
          <w:lang w:val="ro-RO"/>
        </w:rPr>
        <w:tab/>
      </w:r>
      <w:r w:rsidRPr="00AF6A36">
        <w:rPr>
          <w:sz w:val="24"/>
          <w:lang w:val="ro-RO"/>
        </w:rPr>
        <w:t xml:space="preserve">Hotărârea Curții de Justiție din 17 septembrie 2020, </w:t>
      </w:r>
      <w:proofErr w:type="spellStart"/>
      <w:r w:rsidRPr="00AF6A36">
        <w:rPr>
          <w:sz w:val="24"/>
          <w:lang w:val="ro-RO"/>
        </w:rPr>
        <w:t>Troszczynski</w:t>
      </w:r>
      <w:proofErr w:type="spellEnd"/>
      <w:r w:rsidRPr="00AF6A36">
        <w:rPr>
          <w:sz w:val="24"/>
          <w:lang w:val="ro-RO"/>
        </w:rPr>
        <w:t>, C-12/19, ECLI:EU:C:2020:725, punctul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6C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RO"/>
    <w:docVar w:name="dvnumam" w:val="0"/>
    <w:docVar w:name="dvpe" w:val="759.886"/>
    <w:docVar w:name="dvrapporteur" w:val="Raportor: "/>
    <w:docVar w:name="dvtitre" w:val="Decizia Parlamentului European din 11 aprilie 2024 privind cererea de ridicare a imunității lui Andris Ameriks(2023/2090(IMM))"/>
  </w:docVars>
  <w:rsids>
    <w:rsidRoot w:val="00DD2EB2"/>
    <w:rsid w:val="00002272"/>
    <w:rsid w:val="00042E3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A36"/>
    <w:rsid w:val="00B12E95"/>
    <w:rsid w:val="00B22876"/>
    <w:rsid w:val="00B558F0"/>
    <w:rsid w:val="00BD48FE"/>
    <w:rsid w:val="00BD7BD8"/>
    <w:rsid w:val="00BE6ADC"/>
    <w:rsid w:val="00BF6C47"/>
    <w:rsid w:val="00C05BFE"/>
    <w:rsid w:val="00C23CD4"/>
    <w:rsid w:val="00C61C0C"/>
    <w:rsid w:val="00C941CB"/>
    <w:rsid w:val="00CC2357"/>
    <w:rsid w:val="00CF071A"/>
    <w:rsid w:val="00D058B8"/>
    <w:rsid w:val="00D56C11"/>
    <w:rsid w:val="00D834A0"/>
    <w:rsid w:val="00D872DF"/>
    <w:rsid w:val="00D91E21"/>
    <w:rsid w:val="00DA7FCD"/>
    <w:rsid w:val="00DD2EB2"/>
    <w:rsid w:val="00E365E1"/>
    <w:rsid w:val="00E55AEC"/>
    <w:rsid w:val="00E820A4"/>
    <w:rsid w:val="00EB006A"/>
    <w:rsid w:val="00EB4772"/>
    <w:rsid w:val="00ED169E"/>
    <w:rsid w:val="00ED4235"/>
    <w:rsid w:val="00F04346"/>
    <w:rsid w:val="00F075DC"/>
    <w:rsid w:val="00F149E9"/>
    <w:rsid w:val="00F259B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F003B"/>
  <w15:chartTrackingRefBased/>
  <w15:docId w15:val="{594852E0-B76C-4701-AD37-78E34D6A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5AEC"/>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E55AEC"/>
    <w:pPr>
      <w:spacing w:after="240"/>
      <w:ind w:left="567" w:hanging="567"/>
    </w:pPr>
  </w:style>
  <w:style w:type="paragraph" w:styleId="Header">
    <w:name w:val="header"/>
    <w:basedOn w:val="Normal"/>
    <w:link w:val="HeaderChar"/>
    <w:rsid w:val="00E55AEC"/>
    <w:pPr>
      <w:tabs>
        <w:tab w:val="center" w:pos="4513"/>
        <w:tab w:val="right" w:pos="9026"/>
      </w:tabs>
    </w:pPr>
  </w:style>
  <w:style w:type="character" w:customStyle="1" w:styleId="HeaderChar">
    <w:name w:val="Header Char"/>
    <w:basedOn w:val="DefaultParagraphFont"/>
    <w:link w:val="Header"/>
    <w:rsid w:val="00E55AEC"/>
    <w:rPr>
      <w:sz w:val="24"/>
      <w:lang w:val="ro-RO"/>
    </w:rPr>
  </w:style>
  <w:style w:type="paragraph" w:customStyle="1" w:styleId="EPFooter">
    <w:name w:val="EPFooter"/>
    <w:basedOn w:val="Normal"/>
    <w:rsid w:val="00E55AEC"/>
    <w:pPr>
      <w:tabs>
        <w:tab w:val="center" w:pos="4535"/>
        <w:tab w:val="right" w:pos="9071"/>
      </w:tabs>
      <w:spacing w:before="240" w:after="240"/>
    </w:pPr>
    <w:rPr>
      <w:color w:val="010000"/>
      <w:sz w:val="22"/>
    </w:rPr>
  </w:style>
  <w:style w:type="paragraph" w:customStyle="1" w:styleId="EPComma">
    <w:name w:val="EPComma"/>
    <w:basedOn w:val="Normal"/>
    <w:rsid w:val="00E55AEC"/>
    <w:pPr>
      <w:spacing w:before="480" w:after="240"/>
    </w:pPr>
  </w:style>
  <w:style w:type="paragraph" w:styleId="Footer">
    <w:name w:val="footer"/>
    <w:basedOn w:val="Normal"/>
    <w:link w:val="FooterChar"/>
    <w:rsid w:val="00F259BE"/>
    <w:pPr>
      <w:tabs>
        <w:tab w:val="center" w:pos="4513"/>
        <w:tab w:val="right" w:pos="9026"/>
      </w:tabs>
    </w:pPr>
  </w:style>
  <w:style w:type="character" w:customStyle="1" w:styleId="FooterChar">
    <w:name w:val="Footer Char"/>
    <w:basedOn w:val="DefaultParagraphFont"/>
    <w:link w:val="Footer"/>
    <w:rsid w:val="00F259B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94A24-FE87-413E-89BD-215F9F91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902</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2024-04-11T15:26:00Z</dcterms:created>
  <dcterms:modified xsi:type="dcterms:W3CDTF">2024-04-11T15:26:00Z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A9-0169/2024</vt:lpwstr>
  </property>
  <property fmtid="{D5CDD505-2E9C-101B-9397-08002B2CF9AE}" pid="4" name="&lt;Type&gt;">
    <vt:lpwstr>RR</vt:lpwstr>
  </property>
</Properties>
</file>