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D7B3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D7B32" w:rsidRDefault="00CB7CB5" w:rsidP="0010095E">
            <w:pPr>
              <w:pStyle w:val="EPName"/>
            </w:pPr>
            <w:r w:rsidRPr="007D7B32">
              <w:t>Evropský parlament</w:t>
            </w:r>
          </w:p>
          <w:p w:rsidR="00751A4A" w:rsidRPr="007D7B3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D7B3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D7B32" w:rsidRDefault="00187494" w:rsidP="0010095E">
            <w:pPr>
              <w:pStyle w:val="EPLogo"/>
            </w:pPr>
            <w:r w:rsidRPr="007D7B3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D7B32" w:rsidRDefault="00D058B8" w:rsidP="004C5D52">
      <w:pPr>
        <w:pStyle w:val="LineTop"/>
      </w:pPr>
    </w:p>
    <w:p w:rsidR="00680577" w:rsidRPr="007D7B32" w:rsidRDefault="00CB7CB5" w:rsidP="00680577">
      <w:pPr>
        <w:pStyle w:val="EPBodyTA1"/>
      </w:pPr>
      <w:r w:rsidRPr="007D7B32">
        <w:t>PŘIJATÉ TEXTY</w:t>
      </w:r>
    </w:p>
    <w:p w:rsidR="00D058B8" w:rsidRPr="007D7B32" w:rsidRDefault="00D058B8" w:rsidP="00D058B8">
      <w:pPr>
        <w:pStyle w:val="LineBottom"/>
      </w:pPr>
    </w:p>
    <w:p w:rsidR="00CB7CB5" w:rsidRPr="007D7B32" w:rsidRDefault="00CB7CB5" w:rsidP="00CB7CB5">
      <w:pPr>
        <w:pStyle w:val="ATHeading1"/>
      </w:pPr>
      <w:bookmarkStart w:id="0" w:name="TANumber"/>
      <w:r w:rsidRPr="007D7B32">
        <w:t>P9_TA(2024)0</w:t>
      </w:r>
      <w:r w:rsidR="00AF284C" w:rsidRPr="007D7B32">
        <w:t>228</w:t>
      </w:r>
      <w:bookmarkEnd w:id="0"/>
    </w:p>
    <w:p w:rsidR="00CB7CB5" w:rsidRPr="007D7B32" w:rsidRDefault="00CB7CB5" w:rsidP="00CB7CB5">
      <w:pPr>
        <w:pStyle w:val="ATHeading2"/>
      </w:pPr>
      <w:bookmarkStart w:id="1" w:name="title"/>
      <w:r w:rsidRPr="007D7B32">
        <w:t>Udělení absolutoria za rok 2022: souhrnný rozpočet EU – Komise</w:t>
      </w:r>
      <w:bookmarkEnd w:id="1"/>
    </w:p>
    <w:p w:rsidR="00CB7CB5" w:rsidRPr="007D7B32" w:rsidRDefault="00CB7CB5" w:rsidP="00CB7CB5">
      <w:pPr>
        <w:rPr>
          <w:i/>
          <w:vanish/>
        </w:rPr>
      </w:pPr>
      <w:r w:rsidRPr="007D7B32">
        <w:rPr>
          <w:i/>
        </w:rPr>
        <w:fldChar w:fldCharType="begin"/>
      </w:r>
      <w:r w:rsidRPr="007D7B32">
        <w:rPr>
          <w:i/>
        </w:rPr>
        <w:instrText xml:space="preserve"> TC"(</w:instrText>
      </w:r>
      <w:bookmarkStart w:id="2" w:name="DocNumber"/>
      <w:r w:rsidRPr="007D7B32">
        <w:rPr>
          <w:i/>
        </w:rPr>
        <w:instrText>A9-0139/2024</w:instrText>
      </w:r>
      <w:bookmarkEnd w:id="2"/>
      <w:r w:rsidRPr="007D7B32">
        <w:rPr>
          <w:i/>
        </w:rPr>
        <w:instrText xml:space="preserve"> - Zpravodajka: Isabel </w:instrText>
      </w:r>
      <w:proofErr w:type="spellStart"/>
      <w:r w:rsidRPr="007D7B32">
        <w:rPr>
          <w:i/>
        </w:rPr>
        <w:instrText>García</w:instrText>
      </w:r>
      <w:proofErr w:type="spellEnd"/>
      <w:r w:rsidRPr="007D7B32">
        <w:rPr>
          <w:i/>
        </w:rPr>
        <w:instrText xml:space="preserve"> </w:instrText>
      </w:r>
      <w:proofErr w:type="spellStart"/>
      <w:r w:rsidRPr="007D7B32">
        <w:rPr>
          <w:i/>
        </w:rPr>
        <w:instrText>Muñoz</w:instrText>
      </w:r>
      <w:proofErr w:type="spellEnd"/>
      <w:r w:rsidRPr="007D7B32">
        <w:rPr>
          <w:i/>
        </w:rPr>
        <w:instrText xml:space="preserve">)"\l3 \n&gt; \* MERGEFORMAT </w:instrText>
      </w:r>
      <w:r w:rsidRPr="007D7B32">
        <w:rPr>
          <w:i/>
        </w:rPr>
        <w:fldChar w:fldCharType="end"/>
      </w:r>
    </w:p>
    <w:p w:rsidR="00CB7CB5" w:rsidRPr="007D7B32" w:rsidRDefault="00CB7CB5" w:rsidP="00CB7CB5">
      <w:pPr>
        <w:rPr>
          <w:vanish/>
        </w:rPr>
      </w:pPr>
      <w:bookmarkStart w:id="3" w:name="Commission"/>
      <w:r w:rsidRPr="007D7B32">
        <w:rPr>
          <w:vanish/>
        </w:rPr>
        <w:t>Výbor pro rozpočtovou kontrolu</w:t>
      </w:r>
      <w:bookmarkEnd w:id="3"/>
    </w:p>
    <w:p w:rsidR="00CB7CB5" w:rsidRPr="007D7B32" w:rsidRDefault="00CB7CB5" w:rsidP="00CB7CB5">
      <w:pPr>
        <w:rPr>
          <w:vanish/>
        </w:rPr>
      </w:pPr>
      <w:bookmarkStart w:id="4" w:name="PE"/>
      <w:r w:rsidRPr="007D7B32">
        <w:rPr>
          <w:vanish/>
        </w:rPr>
        <w:t>PE753.552</w:t>
      </w:r>
      <w:bookmarkEnd w:id="4"/>
    </w:p>
    <w:p w:rsidR="00CB7CB5" w:rsidRPr="007D7B32" w:rsidRDefault="00CB7CB5" w:rsidP="00CB7CB5">
      <w:pPr>
        <w:pStyle w:val="ATHeading3"/>
      </w:pPr>
      <w:bookmarkStart w:id="5" w:name="Sujet"/>
      <w:r w:rsidRPr="007D7B32">
        <w:t xml:space="preserve">1. Rozhodnutí </w:t>
      </w:r>
      <w:r w:rsidR="00607DE8" w:rsidRPr="007D7B32">
        <w:t>Evropského parlamentu ze dne 11. dubna</w:t>
      </w:r>
      <w:r w:rsidRPr="007D7B32">
        <w:t xml:space="preserve"> 2024 k udělení absolutoria za plnění souhrnného rozpočtu Evropské unie na rozpočtový rok 2022, oddíl III – Komise a výkonné agentury</w:t>
      </w:r>
      <w:bookmarkEnd w:id="5"/>
      <w:r w:rsidRPr="007D7B32">
        <w:t xml:space="preserve"> </w:t>
      </w:r>
      <w:bookmarkStart w:id="6" w:name="References"/>
      <w:r w:rsidRPr="007D7B32">
        <w:t>(2023/2129(DEC))</w:t>
      </w:r>
      <w:bookmarkEnd w:id="6"/>
    </w:p>
    <w:p w:rsidR="00FA2D6B" w:rsidRPr="007D7B32" w:rsidRDefault="00FA2D6B" w:rsidP="00FA2D6B">
      <w:pPr>
        <w:pStyle w:val="EPComma"/>
      </w:pPr>
      <w:bookmarkStart w:id="7" w:name="TextBodyBegin"/>
      <w:bookmarkEnd w:id="7"/>
      <w:r w:rsidRPr="007D7B32">
        <w:rPr>
          <w:i/>
          <w:iCs/>
        </w:rPr>
        <w:t>Evropský parlament</w:t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souhrnný rozpočet Evropské unie na rozpočtový rok 2022</w:t>
      </w:r>
      <w:r w:rsidRPr="007D7B32">
        <w:rPr>
          <w:rStyle w:val="FootnoteReference"/>
        </w:rPr>
        <w:footnoteReference w:id="1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 ohledem na konsolidovanou účetní závěrku Evropské unie za rozpočtový rok 2022 (COM(2023)0391 – C9</w:t>
      </w:r>
      <w:r w:rsidRPr="007D7B32">
        <w:noBreakHyphen/>
        <w:t>0248/2023)</w:t>
      </w:r>
      <w:r w:rsidRPr="007D7B32">
        <w:rPr>
          <w:rStyle w:val="FootnoteReference"/>
        </w:rPr>
        <w:footnoteReference w:id="2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zprávu Komise o opatřeních přijatých v návaznosti na udělení absolutoria za rozpočtový rok 2021 (COM(2023)</w:t>
      </w:r>
      <w:r w:rsidR="00423DA5" w:rsidRPr="007D7B32">
        <w:t>0</w:t>
      </w:r>
      <w:r w:rsidRPr="007D7B32">
        <w:t>384) a na podrobné odpovědi na konkrétní žádosti Evropského parlamentu,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výroční zprávu Komise o řízení a výkonnosti rozpočtu EU za rok 2022 (COM(2023)</w:t>
      </w:r>
      <w:r w:rsidR="00423DA5" w:rsidRPr="007D7B32">
        <w:t>0</w:t>
      </w:r>
      <w:r w:rsidRPr="007D7B32">
        <w:t>401),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výroční zprávu Komise předkládanou orgánu udělujícímu absolutorium o interních auditech provedených v roce 2022 (COM(2023)</w:t>
      </w:r>
      <w:r w:rsidR="00423DA5" w:rsidRPr="007D7B32">
        <w:t>0</w:t>
      </w:r>
      <w:r w:rsidRPr="007D7B32">
        <w:t>323) a na připojený pracovní dokument útvarů Komise (SWD(2023)</w:t>
      </w:r>
      <w:r w:rsidR="00F35DA0">
        <w:t>0</w:t>
      </w:r>
      <w:r w:rsidRPr="007D7B32">
        <w:t>214),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výroční zprávu Účetního dvora o plnění rozpočtu na rozpočtový rok 2022 spolu s odpověďmi orgánů</w:t>
      </w:r>
      <w:r w:rsidRPr="007D7B32">
        <w:rPr>
          <w:rStyle w:val="FootnoteReference"/>
        </w:rPr>
        <w:footnoteReference w:id="3"/>
      </w:r>
      <w:r w:rsidRPr="007D7B32">
        <w:t xml:space="preserve"> a na zvlá</w:t>
      </w:r>
      <w:bookmarkStart w:id="8" w:name="_GoBack"/>
      <w:bookmarkEnd w:id="8"/>
      <w:r w:rsidRPr="007D7B32">
        <w:t>štní zprávy Účetního dvora,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prohlášení o věrohodnosti</w:t>
      </w:r>
      <w:r w:rsidRPr="007D7B32">
        <w:rPr>
          <w:rStyle w:val="FootnoteReference"/>
        </w:rPr>
        <w:footnoteReference w:id="4"/>
      </w:r>
      <w:r w:rsidRPr="007D7B32">
        <w:t xml:space="preserve"> účetnictví a o legalitě a správnosti uskutečněných operací, které předložil Účetní dvůr za rozpočtový rok 2022 podle článku 287 Smlouvy o fungování Evropské unie,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 xml:space="preserve">s ohledem na doporučení Rady ze dne 22. února 2024 o absolutoriu, které má být uděleno Komisi za plnění souhrnného rozpočtu Evropské unie za rozpočtový rok 2022 </w:t>
      </w:r>
      <w:r w:rsidRPr="007D7B32">
        <w:lastRenderedPageBreak/>
        <w:t>(06179/2024 – C9</w:t>
      </w:r>
      <w:r w:rsidRPr="007D7B32">
        <w:noBreakHyphen/>
        <w:t>0066/2024),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články 317, 318 a 319 Smlouvy o fungování Evropské unie,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článek 106a Smlouvy o založení Evropského společenství pro atomovou energii,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7D7B32">
        <w:rPr>
          <w:rStyle w:val="FootnoteReference"/>
        </w:rPr>
        <w:footnoteReference w:id="5"/>
      </w:r>
      <w:r w:rsidRPr="007D7B32">
        <w:t>, a zejména na články 69, 260, 261 a 262 tohoto nařízení,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článek 99 a přílohu V jednacího řádu,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stanoviska Výboru pro zahraniční věci, Výboru pro rozvoj, Výboru pro zaměstnanost a sociální věci, Výboru pro životní prostředí, veřejné zdraví a bezpečnost potravin, Výboru pro dopravu a cestovní ruch, Výboru pro regionální rozvoj, Výboru pro kulturu a vzdělávání, Výboru pro občanské svobody, spravedlnost a vnitřní věci a Výboru pro práva žen a rovnost pohlaví,</w:t>
      </w:r>
    </w:p>
    <w:p w:rsidR="00FA2D6B" w:rsidRPr="007D7B32" w:rsidRDefault="00FA2D6B" w:rsidP="005E7441">
      <w:pPr>
        <w:pStyle w:val="NormalHanging12a"/>
        <w:rPr>
          <w:szCs w:val="24"/>
        </w:rPr>
      </w:pPr>
      <w:r w:rsidRPr="007D7B32">
        <w:t>–</w:t>
      </w:r>
      <w:r w:rsidRPr="007D7B32">
        <w:tab/>
        <w:t>s ohledem na dopis Výboru pro zemědělství a rozvoj venkova,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zprávu Výboru pro rozpočtovou kontrolu (A9-0139/2024),</w:t>
      </w:r>
    </w:p>
    <w:p w:rsidR="00FA2D6B" w:rsidRPr="007D7B32" w:rsidRDefault="00FA2D6B" w:rsidP="005E7441">
      <w:pPr>
        <w:pStyle w:val="NormalHanging12a"/>
      </w:pPr>
      <w:r w:rsidRPr="007D7B32">
        <w:t>1.</w:t>
      </w:r>
      <w:r w:rsidRPr="007D7B32">
        <w:tab/>
        <w:t>uděluje Komisi absolutorium za plnění souhrnného rozpočtu Evropské unie na rozpočtový rok 2022;</w:t>
      </w:r>
    </w:p>
    <w:p w:rsidR="00FA2D6B" w:rsidRPr="007D7B32" w:rsidRDefault="00FA2D6B" w:rsidP="005E7441">
      <w:pPr>
        <w:pStyle w:val="NormalHanging12a"/>
      </w:pPr>
      <w:r w:rsidRPr="007D7B32">
        <w:t>2.</w:t>
      </w:r>
      <w:r w:rsidRPr="007D7B32">
        <w:tab/>
        <w:t>předkládá své připomínky v usnesení, které je nedílnou součástí rozhodnutí o udělení absolutoria za plnění souhrnného rozpočtu Evropské unie na rozpočtový rok 2022, oddíl III – Komise a výkonné agentury;</w:t>
      </w:r>
    </w:p>
    <w:p w:rsidR="00FA2D6B" w:rsidRPr="007D7B32" w:rsidRDefault="00FA2D6B" w:rsidP="005E7441">
      <w:pPr>
        <w:pStyle w:val="NormalHanging12a"/>
      </w:pPr>
      <w:r w:rsidRPr="007D7B32">
        <w:t>3.</w:t>
      </w:r>
      <w:r w:rsidRPr="007D7B32">
        <w:tab/>
        <w:t>pověřuje svou předsedkyni, aby předala toto rozhodnutí a usnesení, které je jeho nedílnou součástí, Radě, Komisi a Účetnímu dvoru, jakož i vnitrostátním parlamentům, kontrolním orgánům členských států na celostátní a regionální úrovni, a aby zajistila jejich zveřejnění v </w:t>
      </w:r>
      <w:r w:rsidRPr="007D7B32">
        <w:rPr>
          <w:i/>
          <w:iCs/>
        </w:rPr>
        <w:t>Úředním věstníku Evropské unie</w:t>
      </w:r>
      <w:r w:rsidRPr="007D7B32">
        <w:t xml:space="preserve"> (řada L).</w:t>
      </w:r>
    </w:p>
    <w:p w:rsidR="00FA2D6B" w:rsidRPr="007D7B32" w:rsidRDefault="00FA2D6B" w:rsidP="005E7441">
      <w:pPr>
        <w:spacing w:after="240"/>
      </w:pPr>
    </w:p>
    <w:p w:rsidR="00FA2D6B" w:rsidRPr="007D7B32" w:rsidRDefault="00FA2D6B" w:rsidP="005E7441">
      <w:pPr>
        <w:pStyle w:val="PageHeading"/>
        <w:spacing w:after="240"/>
        <w:sectPr w:rsidR="00FA2D6B" w:rsidRPr="007D7B32" w:rsidSect="00B23409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A2D6B" w:rsidRPr="007D7B32" w:rsidRDefault="00423DA5" w:rsidP="005E7441">
      <w:pPr>
        <w:pStyle w:val="PageHeadingNoLeader"/>
        <w:numPr>
          <w:ilvl w:val="0"/>
          <w:numId w:val="0"/>
        </w:numPr>
        <w:tabs>
          <w:tab w:val="left" w:pos="0"/>
        </w:tabs>
        <w:spacing w:after="240"/>
        <w:jc w:val="left"/>
        <w:rPr>
          <w:rFonts w:ascii="Times New Roman" w:hAnsi="Times New Roman" w:cs="Times New Roman"/>
        </w:rPr>
      </w:pPr>
      <w:bookmarkStart w:id="9" w:name="_Toc146613221"/>
      <w:bookmarkStart w:id="10" w:name="_Toc146613240"/>
      <w:bookmarkStart w:id="11" w:name="_Toc146613259"/>
      <w:bookmarkStart w:id="12" w:name="_Toc146613278"/>
      <w:bookmarkStart w:id="13" w:name="_Toc146613297"/>
      <w:bookmarkStart w:id="14" w:name="_Toc146613316"/>
      <w:bookmarkStart w:id="15" w:name="_Toc146613335"/>
      <w:bookmarkStart w:id="16" w:name="_Toc146613370"/>
      <w:bookmarkStart w:id="17" w:name="_Toc146613414"/>
      <w:bookmarkStart w:id="18" w:name="_Toc146613464"/>
      <w:bookmarkStart w:id="19" w:name="_Toc146613509"/>
      <w:bookmarkStart w:id="20" w:name="_Toc146613540"/>
      <w:bookmarkStart w:id="21" w:name="_Toc146613559"/>
      <w:bookmarkStart w:id="22" w:name="_Toc146613578"/>
      <w:bookmarkStart w:id="23" w:name="_Toc146613600"/>
      <w:bookmarkStart w:id="24" w:name="_Toc146613643"/>
      <w:bookmarkStart w:id="25" w:name="_Toc146613677"/>
      <w:bookmarkStart w:id="26" w:name="_Toc146613696"/>
      <w:bookmarkStart w:id="27" w:name="_Toc146613715"/>
      <w:bookmarkStart w:id="28" w:name="_Toc146613734"/>
      <w:bookmarkStart w:id="29" w:name="_Toc146613753"/>
      <w:bookmarkStart w:id="30" w:name="_Toc146613772"/>
      <w:bookmarkStart w:id="31" w:name="_Toc146613793"/>
      <w:bookmarkStart w:id="32" w:name="_Toc146613812"/>
      <w:bookmarkStart w:id="33" w:name="_Toc146614137"/>
      <w:bookmarkStart w:id="34" w:name="_Toc146614535"/>
      <w:bookmarkStart w:id="35" w:name="_Toc146614569"/>
      <w:bookmarkStart w:id="36" w:name="_Toc146614693"/>
      <w:bookmarkStart w:id="37" w:name="_Toc146614748"/>
      <w:bookmarkStart w:id="38" w:name="_Toc146614767"/>
      <w:bookmarkStart w:id="39" w:name="_Toc146614788"/>
      <w:bookmarkStart w:id="40" w:name="_Toc146614807"/>
      <w:bookmarkStart w:id="41" w:name="_Toc146614826"/>
      <w:bookmarkStart w:id="42" w:name="_Toc146615073"/>
      <w:bookmarkStart w:id="43" w:name="_Toc146615152"/>
      <w:bookmarkStart w:id="44" w:name="_Toc146615188"/>
      <w:bookmarkStart w:id="45" w:name="_Toc146615207"/>
      <w:bookmarkStart w:id="46" w:name="_Toc146615226"/>
      <w:bookmarkStart w:id="47" w:name="_Toc146615365"/>
      <w:bookmarkStart w:id="48" w:name="_Toc146615389"/>
      <w:bookmarkStart w:id="49" w:name="_Toc146615427"/>
      <w:bookmarkStart w:id="50" w:name="_Toc146615458"/>
      <w:bookmarkStart w:id="51" w:name="_Toc146615500"/>
      <w:bookmarkStart w:id="52" w:name="_Toc146615519"/>
      <w:bookmarkStart w:id="53" w:name="_Toc146615538"/>
      <w:bookmarkStart w:id="54" w:name="_Toc146615557"/>
      <w:bookmarkStart w:id="55" w:name="_Toc146615583"/>
      <w:bookmarkStart w:id="56" w:name="_Toc146615617"/>
      <w:bookmarkStart w:id="57" w:name="_Toc146615643"/>
      <w:bookmarkStart w:id="58" w:name="_Toc146615662"/>
      <w:bookmarkStart w:id="59" w:name="_Toc146615681"/>
      <w:bookmarkStart w:id="60" w:name="_Toc146615700"/>
      <w:bookmarkStart w:id="61" w:name="_Toc146615723"/>
      <w:bookmarkStart w:id="62" w:name="_Toc146615752"/>
      <w:bookmarkStart w:id="63" w:name="_Toc146615771"/>
      <w:bookmarkStart w:id="64" w:name="_Toc146615790"/>
      <w:bookmarkStart w:id="65" w:name="_Toc146615862"/>
      <w:bookmarkStart w:id="66" w:name="_Toc146615887"/>
      <w:bookmarkStart w:id="67" w:name="_Toc146615906"/>
      <w:bookmarkStart w:id="68" w:name="_Toc146615925"/>
      <w:bookmarkStart w:id="69" w:name="_Toc146615944"/>
      <w:bookmarkStart w:id="70" w:name="_Toc146615974"/>
      <w:bookmarkStart w:id="71" w:name="_Toc146616008"/>
      <w:bookmarkStart w:id="72" w:name="_Toc146616070"/>
      <w:bookmarkStart w:id="73" w:name="_Toc146616184"/>
      <w:bookmarkStart w:id="74" w:name="_Toc146616268"/>
      <w:bookmarkStart w:id="75" w:name="_Toc146616406"/>
      <w:bookmarkStart w:id="76" w:name="_Toc146616433"/>
      <w:bookmarkStart w:id="77" w:name="_Toc146616456"/>
      <w:bookmarkStart w:id="78" w:name="_Toc146616475"/>
      <w:bookmarkStart w:id="79" w:name="_Toc146616494"/>
      <w:bookmarkStart w:id="80" w:name="_Toc146616523"/>
      <w:bookmarkStart w:id="81" w:name="_Toc146616550"/>
      <w:bookmarkStart w:id="82" w:name="_Toc146616568"/>
      <w:bookmarkStart w:id="83" w:name="_Toc146616588"/>
      <w:bookmarkStart w:id="84" w:name="_Toc146616623"/>
      <w:bookmarkStart w:id="85" w:name="_Toc146616655"/>
      <w:bookmarkStart w:id="86" w:name="_Toc146616673"/>
      <w:bookmarkStart w:id="87" w:name="_Toc146616971"/>
      <w:bookmarkStart w:id="88" w:name="_Toc146616989"/>
      <w:bookmarkStart w:id="89" w:name="_Toc146617007"/>
      <w:bookmarkStart w:id="90" w:name="_Toc146617025"/>
      <w:bookmarkStart w:id="91" w:name="_Toc146617043"/>
      <w:bookmarkStart w:id="92" w:name="_Toc146617061"/>
      <w:bookmarkStart w:id="93" w:name="_Toc146617079"/>
      <w:bookmarkStart w:id="94" w:name="_Toc146617097"/>
      <w:bookmarkStart w:id="95" w:name="_Toc146617115"/>
      <w:bookmarkStart w:id="96" w:name="_Toc146617133"/>
      <w:bookmarkStart w:id="97" w:name="_Toc146617151"/>
      <w:bookmarkStart w:id="98" w:name="_Toc146617169"/>
      <w:bookmarkStart w:id="99" w:name="_Toc146617187"/>
      <w:bookmarkStart w:id="100" w:name="_Toc146617205"/>
      <w:bookmarkStart w:id="101" w:name="_Toc146617223"/>
      <w:bookmarkStart w:id="102" w:name="_Toc146617241"/>
      <w:bookmarkStart w:id="103" w:name="_Toc146617259"/>
      <w:bookmarkStart w:id="104" w:name="_Toc146617277"/>
      <w:bookmarkStart w:id="105" w:name="_Toc146617376"/>
      <w:bookmarkStart w:id="106" w:name="_Toc146617394"/>
      <w:bookmarkStart w:id="107" w:name="_Toc146618251"/>
      <w:bookmarkStart w:id="108" w:name="_Toc146618269"/>
      <w:bookmarkStart w:id="109" w:name="_Toc146618287"/>
      <w:bookmarkStart w:id="110" w:name="_Toc146619951"/>
      <w:bookmarkStart w:id="111" w:name="_Toc146701817"/>
      <w:bookmarkStart w:id="112" w:name="_Toc146701835"/>
      <w:bookmarkStart w:id="113" w:name="_Toc146701855"/>
      <w:bookmarkStart w:id="114" w:name="_Toc146702205"/>
      <w:bookmarkStart w:id="115" w:name="_Toc146702223"/>
      <w:bookmarkStart w:id="116" w:name="_Toc147411178"/>
      <w:bookmarkStart w:id="117" w:name="_Toc147411395"/>
      <w:bookmarkStart w:id="118" w:name="_Toc147411413"/>
      <w:bookmarkStart w:id="119" w:name="_Toc153352996"/>
      <w:bookmarkStart w:id="120" w:name="_Toc153353045"/>
      <w:bookmarkStart w:id="121" w:name="_Toc153353064"/>
      <w:bookmarkStart w:id="122" w:name="_Toc153353083"/>
      <w:bookmarkStart w:id="123" w:name="_Toc153353103"/>
      <w:bookmarkStart w:id="124" w:name="_Toc153353122"/>
      <w:bookmarkStart w:id="125" w:name="_Toc153353141"/>
      <w:bookmarkStart w:id="126" w:name="_Toc153353160"/>
      <w:bookmarkStart w:id="127" w:name="_Toc153353179"/>
      <w:bookmarkStart w:id="128" w:name="_Toc153353198"/>
      <w:bookmarkStart w:id="129" w:name="_Toc153353217"/>
      <w:bookmarkStart w:id="130" w:name="_Toc153353472"/>
      <w:bookmarkStart w:id="131" w:name="_Toc153353529"/>
      <w:bookmarkStart w:id="132" w:name="_Toc153356085"/>
      <w:bookmarkStart w:id="133" w:name="_Toc153356110"/>
      <w:bookmarkStart w:id="134" w:name="_Toc153357300"/>
      <w:bookmarkStart w:id="135" w:name="_Toc153357319"/>
      <w:bookmarkStart w:id="136" w:name="_Toc153369174"/>
      <w:bookmarkStart w:id="137" w:name="_Toc153369231"/>
      <w:bookmarkStart w:id="138" w:name="_Toc155964092"/>
      <w:bookmarkStart w:id="139" w:name="_Toc155964522"/>
      <w:bookmarkStart w:id="140" w:name="_Toc155968905"/>
      <w:bookmarkStart w:id="141" w:name="_Toc155969490"/>
      <w:bookmarkStart w:id="142" w:name="_Toc155969567"/>
      <w:bookmarkStart w:id="143" w:name="_Toc155969621"/>
      <w:bookmarkStart w:id="144" w:name="_Toc155970008"/>
      <w:bookmarkStart w:id="145" w:name="_Toc155970053"/>
      <w:bookmarkStart w:id="146" w:name="_Toc155971408"/>
      <w:bookmarkStart w:id="147" w:name="_Toc155976366"/>
      <w:bookmarkStart w:id="148" w:name="_Toc155977144"/>
      <w:bookmarkStart w:id="149" w:name="_Toc155977324"/>
      <w:bookmarkStart w:id="150" w:name="_Toc155977344"/>
      <w:bookmarkStart w:id="151" w:name="_Toc155977365"/>
      <w:bookmarkStart w:id="152" w:name="_Toc155977409"/>
      <w:bookmarkStart w:id="153" w:name="_Toc155977500"/>
      <w:bookmarkStart w:id="154" w:name="_Toc156386182"/>
      <w:bookmarkStart w:id="155" w:name="_Toc156387317"/>
      <w:bookmarkStart w:id="156" w:name="_Toc156387357"/>
      <w:bookmarkStart w:id="157" w:name="_Toc160526420"/>
      <w:bookmarkStart w:id="158" w:name="_Toc160526597"/>
      <w:bookmarkStart w:id="159" w:name="_Toc160526640"/>
      <w:bookmarkStart w:id="160" w:name="_Toc160526702"/>
      <w:bookmarkStart w:id="161" w:name="_Toc160527468"/>
      <w:bookmarkStart w:id="162" w:name="_Toc160532319"/>
      <w:bookmarkStart w:id="163" w:name="_Toc160533460"/>
      <w:bookmarkStart w:id="164" w:name="_Toc160541849"/>
      <w:bookmarkStart w:id="165" w:name="_Toc160545192"/>
      <w:bookmarkStart w:id="166" w:name="_Toc160545352"/>
      <w:bookmarkStart w:id="167" w:name="_Toc160545375"/>
      <w:bookmarkStart w:id="168" w:name="_Toc160545398"/>
      <w:bookmarkStart w:id="169" w:name="_Toc160545426"/>
      <w:bookmarkStart w:id="170" w:name="_Toc160545450"/>
      <w:bookmarkStart w:id="171" w:name="_Toc160545474"/>
      <w:bookmarkStart w:id="172" w:name="_Toc160545498"/>
      <w:bookmarkStart w:id="173" w:name="_Toc160545523"/>
      <w:bookmarkStart w:id="174" w:name="_Toc160545548"/>
      <w:bookmarkStart w:id="175" w:name="_Toc160545574"/>
      <w:bookmarkStart w:id="176" w:name="_Toc160545600"/>
      <w:bookmarkStart w:id="177" w:name="_Toc160545626"/>
      <w:bookmarkStart w:id="178" w:name="_Toc160545652"/>
      <w:bookmarkStart w:id="179" w:name="_Toc160545679"/>
      <w:bookmarkStart w:id="180" w:name="_Toc160545706"/>
      <w:bookmarkStart w:id="181" w:name="_Toc160545747"/>
      <w:bookmarkStart w:id="182" w:name="_Toc160545775"/>
      <w:bookmarkStart w:id="183" w:name="_Toc160545803"/>
      <w:bookmarkStart w:id="184" w:name="_Toc160545840"/>
      <w:bookmarkStart w:id="185" w:name="_Toc160545869"/>
      <w:bookmarkStart w:id="186" w:name="_Toc160545898"/>
      <w:bookmarkStart w:id="187" w:name="_Toc160545941"/>
      <w:bookmarkStart w:id="188" w:name="_Toc160545971"/>
      <w:bookmarkStart w:id="189" w:name="_Toc160546001"/>
      <w:bookmarkStart w:id="190" w:name="_Toc160546038"/>
      <w:bookmarkStart w:id="191" w:name="_Toc160546069"/>
      <w:bookmarkStart w:id="192" w:name="_Toc160546100"/>
      <w:bookmarkStart w:id="193" w:name="_Toc160546136"/>
      <w:bookmarkStart w:id="194" w:name="_Toc160546168"/>
      <w:bookmarkStart w:id="195" w:name="_Toc160546200"/>
      <w:bookmarkStart w:id="196" w:name="_Toc160546232"/>
      <w:bookmarkStart w:id="197" w:name="_Toc160546264"/>
      <w:bookmarkStart w:id="198" w:name="_Toc160546823"/>
      <w:bookmarkStart w:id="199" w:name="_Toc160546856"/>
      <w:bookmarkStart w:id="200" w:name="_Toc160547005"/>
      <w:bookmarkStart w:id="201" w:name="_Toc160547670"/>
      <w:bookmarkStart w:id="202" w:name="_Toc160547790"/>
      <w:bookmarkStart w:id="203" w:name="_Toc160548640"/>
      <w:bookmarkStart w:id="204" w:name="_Toc160548787"/>
      <w:bookmarkStart w:id="205" w:name="_Toc160548895"/>
      <w:bookmarkStart w:id="206" w:name="_Toc160548930"/>
      <w:bookmarkStart w:id="207" w:name="_Toc160548965"/>
      <w:bookmarkStart w:id="208" w:name="_Toc160549000"/>
      <w:bookmarkStart w:id="209" w:name="_Toc160549726"/>
      <w:bookmarkStart w:id="210" w:name="_Toc160549837"/>
      <w:bookmarkStart w:id="211" w:name="_Toc160550633"/>
      <w:bookmarkStart w:id="212" w:name="_Toc160550748"/>
      <w:bookmarkStart w:id="213" w:name="_Toc160551636"/>
      <w:bookmarkStart w:id="214" w:name="_Toc160551669"/>
      <w:bookmarkStart w:id="215" w:name="_Toc160551702"/>
      <w:bookmarkStart w:id="216" w:name="_Toc160553736"/>
      <w:bookmarkStart w:id="217" w:name="_Toc160553784"/>
      <w:bookmarkStart w:id="218" w:name="_Toc160696568"/>
      <w:bookmarkStart w:id="219" w:name="_Toc160697655"/>
      <w:bookmarkStart w:id="220" w:name="_Toc160697717"/>
      <w:bookmarkStart w:id="221" w:name="_Toc160697750"/>
      <w:bookmarkStart w:id="222" w:name="_Toc160781856"/>
      <w:bookmarkStart w:id="223" w:name="_Toc160782070"/>
      <w:bookmarkStart w:id="224" w:name="_Toc160783888"/>
      <w:bookmarkStart w:id="225" w:name="_Toc161041732"/>
      <w:bookmarkStart w:id="226" w:name="_Toc161041765"/>
      <w:bookmarkStart w:id="227" w:name="_Toc161042852"/>
      <w:bookmarkStart w:id="228" w:name="_Toc161042891"/>
      <w:bookmarkStart w:id="229" w:name="_Toc161042938"/>
      <w:bookmarkStart w:id="230" w:name="_Toc161042971"/>
      <w:bookmarkStart w:id="231" w:name="_Toc161043004"/>
      <w:bookmarkStart w:id="232" w:name="_Toc161043676"/>
      <w:bookmarkStart w:id="233" w:name="_Toc161043739"/>
      <w:bookmarkStart w:id="234" w:name="_Toc161132035"/>
      <w:bookmarkStart w:id="235" w:name="_Toc161132083"/>
      <w:bookmarkStart w:id="236" w:name="_Toc161155077"/>
      <w:bookmarkStart w:id="237" w:name="_Toc161156420"/>
      <w:bookmarkStart w:id="238" w:name="_Toc161156514"/>
      <w:bookmarkStart w:id="239" w:name="_Toc161213154"/>
      <w:bookmarkStart w:id="240" w:name="_Toc161213290"/>
      <w:bookmarkStart w:id="241" w:name="_Toc161213977"/>
      <w:bookmarkStart w:id="242" w:name="_Toc161215228"/>
      <w:bookmarkStart w:id="243" w:name="_Toc161215266"/>
      <w:bookmarkStart w:id="244" w:name="_Toc161303002"/>
      <w:bookmarkStart w:id="245" w:name="_Toc161303411"/>
      <w:bookmarkStart w:id="246" w:name="_Toc161304696"/>
      <w:bookmarkStart w:id="247" w:name="_Toc161306629"/>
      <w:bookmarkStart w:id="248" w:name="_Toc161307197"/>
      <w:bookmarkStart w:id="249" w:name="_Toc161307681"/>
      <w:bookmarkStart w:id="250" w:name="_Toc161307724"/>
      <w:bookmarkStart w:id="251" w:name="_Toc161310151"/>
      <w:bookmarkStart w:id="252" w:name="_Toc161310184"/>
      <w:bookmarkStart w:id="253" w:name="_Toc161311192"/>
      <w:bookmarkStart w:id="254" w:name="_Toc161311225"/>
      <w:bookmarkStart w:id="255" w:name="_Toc161320089"/>
      <w:bookmarkStart w:id="256" w:name="_Toc161320159"/>
      <w:bookmarkStart w:id="257" w:name="_Toc161320192"/>
      <w:bookmarkStart w:id="258" w:name="_Toc161320621"/>
      <w:bookmarkStart w:id="259" w:name="_Toc161322244"/>
      <w:bookmarkStart w:id="260" w:name="_Toc161322442"/>
      <w:bookmarkStart w:id="261" w:name="_Toc161322494"/>
      <w:bookmarkStart w:id="262" w:name="_Toc161323810"/>
      <w:bookmarkStart w:id="263" w:name="_Toc161323866"/>
      <w:bookmarkStart w:id="264" w:name="_Toc161324215"/>
      <w:bookmarkStart w:id="265" w:name="_Toc161324330"/>
      <w:bookmarkStart w:id="266" w:name="_Toc161736488"/>
      <w:bookmarkStart w:id="267" w:name="_Toc161738952"/>
      <w:bookmarkStart w:id="268" w:name="_Toc161829859"/>
      <w:bookmarkStart w:id="269" w:name="_Toc161833240"/>
      <w:bookmarkStart w:id="270" w:name="_Toc161833865"/>
      <w:bookmarkStart w:id="271" w:name="_Toc161834006"/>
      <w:bookmarkStart w:id="272" w:name="_Toc161834081"/>
      <w:bookmarkStart w:id="273" w:name="_Toc161834160"/>
      <w:bookmarkStart w:id="274" w:name="_Toc161836803"/>
      <w:bookmarkStart w:id="275" w:name="_Toc161836940"/>
      <w:bookmarkStart w:id="276" w:name="_Toc161836972"/>
      <w:bookmarkStart w:id="277" w:name="_Toc162944536"/>
      <w:bookmarkStart w:id="278" w:name="_Toc163028722"/>
      <w:bookmarkStart w:id="279" w:name="_Toc163029152"/>
      <w:bookmarkStart w:id="280" w:name="_Toc163030862"/>
      <w:bookmarkStart w:id="281" w:name="_Toc163031681"/>
      <w:bookmarkStart w:id="282" w:name="_Toc163031705"/>
      <w:bookmarkStart w:id="283" w:name="_Toc163031729"/>
      <w:bookmarkStart w:id="284" w:name="_Toc163031853"/>
      <w:bookmarkStart w:id="285" w:name="_Toc163031994"/>
      <w:bookmarkStart w:id="286" w:name="_Toc163032048"/>
      <w:bookmarkStart w:id="287" w:name="_Toc163032127"/>
      <w:bookmarkStart w:id="288" w:name="_Toc163032176"/>
      <w:bookmarkStart w:id="289" w:name="_Toc163032334"/>
      <w:bookmarkStart w:id="290" w:name="_Toc163032662"/>
      <w:bookmarkStart w:id="291" w:name="_Toc163032687"/>
      <w:bookmarkStart w:id="292" w:name="_Toc163032712"/>
      <w:bookmarkStart w:id="293" w:name="_Toc163032737"/>
      <w:bookmarkStart w:id="294" w:name="_Toc163032804"/>
      <w:bookmarkStart w:id="295" w:name="_Toc163032846"/>
      <w:bookmarkStart w:id="296" w:name="_Toc163033176"/>
      <w:bookmarkStart w:id="297" w:name="_Toc163033202"/>
      <w:bookmarkStart w:id="298" w:name="_Toc163033228"/>
      <w:bookmarkStart w:id="299" w:name="_Toc163033254"/>
      <w:bookmarkStart w:id="300" w:name="_Toc163033281"/>
      <w:bookmarkStart w:id="301" w:name="_Toc163033308"/>
      <w:bookmarkStart w:id="302" w:name="_Toc163033335"/>
      <w:bookmarkStart w:id="303" w:name="_Toc163033363"/>
      <w:bookmarkStart w:id="304" w:name="_Toc163033391"/>
      <w:bookmarkStart w:id="305" w:name="_Toc163033530"/>
      <w:bookmarkStart w:id="306" w:name="_Toc163033559"/>
      <w:bookmarkStart w:id="307" w:name="_Toc163033588"/>
      <w:bookmarkStart w:id="308" w:name="_Toc163033617"/>
      <w:bookmarkStart w:id="309" w:name="_Toc163033647"/>
      <w:bookmarkStart w:id="310" w:name="_Toc163033677"/>
      <w:bookmarkStart w:id="311" w:name="_Toc163033707"/>
      <w:bookmarkStart w:id="312" w:name="_Toc163033737"/>
      <w:bookmarkStart w:id="313" w:name="_Toc163033768"/>
      <w:bookmarkStart w:id="314" w:name="_Toc163033799"/>
      <w:bookmarkStart w:id="315" w:name="_Toc163033830"/>
      <w:bookmarkStart w:id="316" w:name="_Toc163033862"/>
      <w:bookmarkStart w:id="317" w:name="_Toc163033894"/>
      <w:bookmarkStart w:id="318" w:name="_Toc163033926"/>
      <w:bookmarkStart w:id="319" w:name="_Toc163033958"/>
      <w:bookmarkStart w:id="320" w:name="_Toc163033991"/>
      <w:bookmarkStart w:id="321" w:name="_Toc163034024"/>
      <w:bookmarkStart w:id="322" w:name="_Toc163034057"/>
      <w:bookmarkStart w:id="323" w:name="_Toc163034091"/>
      <w:bookmarkStart w:id="324" w:name="_Toc163034125"/>
      <w:bookmarkStart w:id="325" w:name="_Toc163034159"/>
      <w:bookmarkStart w:id="326" w:name="_Toc163034250"/>
      <w:bookmarkStart w:id="327" w:name="_Toc163034283"/>
      <w:bookmarkStart w:id="328" w:name="_Toc163034316"/>
      <w:bookmarkStart w:id="329" w:name="_Toc163034349"/>
      <w:bookmarkStart w:id="330" w:name="_Toc163036604"/>
      <w:bookmarkStart w:id="331" w:name="_Toc163036637"/>
      <w:bookmarkStart w:id="332" w:name="_Toc163036716"/>
      <w:bookmarkStart w:id="333" w:name="_Toc163036754"/>
      <w:bookmarkStart w:id="334" w:name="_Toc163036795"/>
      <w:bookmarkStart w:id="335" w:name="_Toc107908457"/>
      <w:bookmarkStart w:id="336" w:name="_Toc107913004"/>
      <w:bookmarkStart w:id="337" w:name="_Toc107915329"/>
      <w:bookmarkStart w:id="338" w:name="_Toc107915333"/>
      <w:bookmarkStart w:id="339" w:name="_Toc107915473"/>
      <w:r w:rsidRPr="007D7B32">
        <w:rPr>
          <w:rFonts w:ascii="Times New Roman" w:hAnsi="Times New Roman" w:cs="Times New Roman"/>
        </w:rPr>
        <w:lastRenderedPageBreak/>
        <w:t>2. Rozhodnutí Evropského parlamentu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r w:rsidRPr="007D7B32">
        <w:rPr>
          <w:rFonts w:ascii="Times New Roman" w:hAnsi="Times New Roman" w:cs="Times New Roman"/>
        </w:rPr>
        <w:t xml:space="preserve"> ze dne 11. dubna 2024 </w:t>
      </w:r>
      <w:bookmarkStart w:id="340" w:name="_Toc162944537"/>
      <w:bookmarkStart w:id="341" w:name="_Toc163036796"/>
      <w:r w:rsidR="00FA2D6B" w:rsidRPr="007D7B32">
        <w:rPr>
          <w:rFonts w:ascii="Times New Roman" w:hAnsi="Times New Roman" w:cs="Times New Roman"/>
        </w:rPr>
        <w:t>o udělení absolutoria za plnění rozpočtu Evropské výkonné agentury pro klima, infrastrukturu a životní prostředí na rozpočtový rok 2022</w:t>
      </w:r>
      <w:bookmarkEnd w:id="340"/>
      <w:bookmarkEnd w:id="341"/>
      <w:r w:rsidRPr="007D7B32">
        <w:rPr>
          <w:rFonts w:ascii="Times New Roman" w:hAnsi="Times New Roman" w:cs="Times New Roman"/>
        </w:rPr>
        <w:t xml:space="preserve"> </w:t>
      </w:r>
      <w:r w:rsidR="00FA2D6B" w:rsidRPr="007D7B32">
        <w:rPr>
          <w:rFonts w:ascii="Times New Roman" w:hAnsi="Times New Roman" w:cs="Times New Roman"/>
        </w:rPr>
        <w:t>(2023/2129(DEC))</w:t>
      </w:r>
    </w:p>
    <w:p w:rsidR="00FA2D6B" w:rsidRPr="007D7B32" w:rsidRDefault="00FA2D6B" w:rsidP="005E7441">
      <w:pPr>
        <w:pStyle w:val="EPComma"/>
        <w:spacing w:before="0"/>
      </w:pPr>
      <w:r w:rsidRPr="007D7B32">
        <w:rPr>
          <w:i/>
          <w:iCs/>
        </w:rPr>
        <w:t>Evropský parlament</w:t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souhrnný rozpočet Evropské unie na rozpočtový rok 2022</w:t>
      </w:r>
      <w:r w:rsidRPr="007D7B32">
        <w:rPr>
          <w:rStyle w:val="FootnoteReference"/>
        </w:rPr>
        <w:footnoteReference w:id="6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 ohledem na konsolidovanou účetní závěrku Evropské unie za rozpočtový rok 2022 (COM(2023)0391 – C9</w:t>
      </w:r>
      <w:r w:rsidRPr="007D7B32">
        <w:noBreakHyphen/>
        <w:t>0248/2023)</w:t>
      </w:r>
      <w:r w:rsidRPr="007D7B32">
        <w:rPr>
          <w:rStyle w:val="FootnoteReference"/>
        </w:rPr>
        <w:footnoteReference w:id="7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konečnou roční účetní závěrku Evropské výkonné agentury pro klima, infrastrukturu a životní prostředí za rozpočtový rok 2022</w:t>
      </w:r>
      <w:r w:rsidRPr="007D7B32">
        <w:rPr>
          <w:rStyle w:val="FootnoteReference"/>
        </w:rPr>
        <w:footnoteReference w:id="8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zprávu Komise o opatřeních přijatých v návaznosti na udělení absolutoria za rozpočtový rok 2021 (COM(2023)</w:t>
      </w:r>
      <w:r w:rsidR="00423DA5" w:rsidRPr="007D7B32">
        <w:t>0</w:t>
      </w:r>
      <w:r w:rsidRPr="007D7B32">
        <w:t>384) a na podrobné odpovědi na konkrétní žádosti Evropského parlamentu,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výroční zprávu Komise předkládanou orgánu udělujícímu absolutorium o interních auditech provedených v roce 2022 (COM(2023)</w:t>
      </w:r>
      <w:r w:rsidR="00423DA5" w:rsidRPr="007D7B32">
        <w:t>0</w:t>
      </w:r>
      <w:r w:rsidRPr="007D7B32">
        <w:t>323) a na připojený pracovní dokument útvarů Komise (SWD(2023)</w:t>
      </w:r>
      <w:r w:rsidR="00F35DA0">
        <w:t>0</w:t>
      </w:r>
      <w:r w:rsidRPr="007D7B32">
        <w:t>214),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výroční zprávu Účetního dvora o agenturách EU za rozpočtový rok 2022 spolu s odpověďmi agentur</w:t>
      </w:r>
      <w:r w:rsidRPr="007D7B32">
        <w:rPr>
          <w:rStyle w:val="FootnoteReference"/>
        </w:rPr>
        <w:footnoteReference w:id="9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prohlášení o věrohodnosti</w:t>
      </w:r>
      <w:r w:rsidRPr="007D7B32">
        <w:rPr>
          <w:rStyle w:val="FootnoteReference"/>
        </w:rPr>
        <w:footnoteReference w:id="10"/>
      </w:r>
      <w:r w:rsidRPr="007D7B32">
        <w:t xml:space="preserve"> účetnictví a o legalitě a správnosti uskutečněných operací, které předložil Účetní dvůr za rozpočtový rok 2022 podle článku 287 Smlouvy o fungování Evropské unie,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 ohledem na doporučení Rady ze dne čtvrtek 22. února 2024 o udělení absolutoria výkonným agenturám za plnění rozpočtu na rozpočtový rok 2022 (06181/2024 – C9</w:t>
      </w:r>
      <w:r w:rsidRPr="007D7B32">
        <w:noBreakHyphen/>
        <w:t>0125/2024),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články 317, 318 a 319 Smlouvy o fungování Evropské unie,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článek 106a Smlouvy o založení Evropského společenství pro atomovou energii,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7D7B32">
        <w:rPr>
          <w:rStyle w:val="FootnoteReference"/>
        </w:rPr>
        <w:footnoteReference w:id="11"/>
      </w:r>
      <w:r w:rsidRPr="007D7B32">
        <w:t>, a zejména na články 69, 260, 261 a 262 tohoto nařízení,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 xml:space="preserve">s ohledem na nařízení Rady (ES) č. 58/2003 ze dne 19. prosince 2002, kterým se </w:t>
      </w:r>
      <w:r w:rsidRPr="007D7B32">
        <w:lastRenderedPageBreak/>
        <w:t>stanoví statut výkonných agentur pověřených některými úkoly správy programů Společenství</w:t>
      </w:r>
      <w:r w:rsidRPr="007D7B32">
        <w:rPr>
          <w:rStyle w:val="FootnoteReference"/>
        </w:rPr>
        <w:footnoteReference w:id="12"/>
      </w:r>
      <w:r w:rsidRPr="007D7B32">
        <w:t>, a zejména na čl. 14 odst. 3 tohoto nařízení,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nařízení Komise (ES) č. 1653/2004 ze dne 21. září 2004 o typovém nařízení financování výkonných agentur na základě nařízení Rady (ES) č. 58/2003 stanovující status výkonných agentur pověřených určitými úkoly souvisejícími se správou programů Společenství</w:t>
      </w:r>
      <w:r w:rsidRPr="007D7B32">
        <w:rPr>
          <w:rStyle w:val="FootnoteReference"/>
        </w:rPr>
        <w:footnoteReference w:id="13"/>
      </w:r>
      <w:r w:rsidRPr="007D7B32">
        <w:t>, a zejména na čl. 66 první a druhý pododstavec tohoto nařízení,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prováděcí rozhodnutí Komise (EU) 2021/173 ze dne 12. února 2021, kterým se zřizuje Evropská výkonná agentura pro klima, infrastrukturu a životní prostředí, Evropská výkonná agentura pro zdraví a digitální oblast, Evropská výkonná agentura pro výzkum, Výkonná agentura Evropské rady pro inovace a pro malé a střední podniky, Výkonná agentura Evropské rady pro výzkum a Evropská výkonná agentura pro vzdělávání a kulturu a zrušují prováděcí rozhodnutí 2013/801/EU, 2013/771/EU, 2013/778/EU, 2013/779/EU, 2013/776/EU a 2013/770/EU</w:t>
      </w:r>
      <w:r w:rsidRPr="007D7B32">
        <w:rPr>
          <w:rStyle w:val="FootnoteReference"/>
        </w:rPr>
        <w:footnoteReference w:id="14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článek 99 a přílohu V jednacího řádu,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stanoviska Výboru pro zahraniční věci, Výboru pro rozvoj, Výboru pro zaměstnanost a sociální věci, Výboru pro životní prostředí, veřejné zdraví a bezpečnost potravin, Výboru pro dopravu a cestovní ruch, Výboru pro regionální rozvoj, Výboru pro kulturu a vzdělávání, Výboru pro občanské svobody, spravedlnost a vnitřní věci a Výboru pro práva žen a rovnost pohlaví,</w:t>
      </w:r>
    </w:p>
    <w:p w:rsidR="00FA2D6B" w:rsidRPr="007D7B32" w:rsidRDefault="00FA2D6B" w:rsidP="005E7441">
      <w:pPr>
        <w:pStyle w:val="NormalHanging12a"/>
        <w:rPr>
          <w:szCs w:val="24"/>
        </w:rPr>
      </w:pPr>
      <w:r w:rsidRPr="007D7B32">
        <w:t>–</w:t>
      </w:r>
      <w:r w:rsidRPr="007D7B32">
        <w:tab/>
        <w:t>s ohledem na dopis Výboru pro zemědělství a rozvoj venkova,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zprávu Výboru pro rozpočtovou kontrolu (A9-0139/2024),</w:t>
      </w:r>
    </w:p>
    <w:p w:rsidR="00FA2D6B" w:rsidRPr="007D7B32" w:rsidRDefault="00FA2D6B" w:rsidP="005E7441">
      <w:pPr>
        <w:pStyle w:val="NormalHanging12a"/>
      </w:pPr>
      <w:r w:rsidRPr="007D7B32">
        <w:t>1.</w:t>
      </w:r>
      <w:r w:rsidRPr="007D7B32">
        <w:tab/>
        <w:t>uděluje absolutorium ředitelce Evropské výkonné agentury pro klima, infrastrukturu a životní prostředí za plnění rozpočtu výkonné agentury na rozpočtový rok 2022;</w:t>
      </w:r>
    </w:p>
    <w:p w:rsidR="00FA2D6B" w:rsidRPr="007D7B32" w:rsidRDefault="00FA2D6B" w:rsidP="005E7441">
      <w:pPr>
        <w:pStyle w:val="NormalHanging12a"/>
      </w:pPr>
      <w:r w:rsidRPr="007D7B32">
        <w:t>2.</w:t>
      </w:r>
      <w:r w:rsidRPr="007D7B32">
        <w:tab/>
        <w:t>předkládá své připomínky v usnesení, které je nedílnou součástí rozhodnutí o udělení absolutoria za plnění souhrnného rozpočtu Evropské unie na rozpočtový rok 2022, oddíl III – Komise a výkonné agentury;</w:t>
      </w:r>
    </w:p>
    <w:p w:rsidR="00FA2D6B" w:rsidRPr="007D7B32" w:rsidRDefault="00FA2D6B" w:rsidP="005E7441">
      <w:pPr>
        <w:pStyle w:val="NormalHanging12a"/>
      </w:pPr>
      <w:r w:rsidRPr="007D7B32">
        <w:t>3.</w:t>
      </w:r>
      <w:r w:rsidRPr="007D7B32">
        <w:tab/>
        <w:t xml:space="preserve">pověřuje svou předsedkyni, aby předala toto rozhodnutí, rozhodnutí o udělení absolutoria za plnění souhrnného rozpočtu Evropské unie na rozpočtový rok 2022, oddíl III – Komise a usnesení, které je nedílnou součástí těchto rozhodnutí, ředitelce Evropské výkonné agentury pro klima, infrastrukturu a životní prostředí, Radě, Komisi a Účetnímu dvoru a aby zajistila jejich zveřejnění v </w:t>
      </w:r>
      <w:r w:rsidRPr="007D7B32">
        <w:rPr>
          <w:i/>
          <w:iCs/>
        </w:rPr>
        <w:t>Úředním věstníku Evropské unie</w:t>
      </w:r>
      <w:r w:rsidRPr="007D7B32">
        <w:t xml:space="preserve"> (řada L).</w:t>
      </w:r>
    </w:p>
    <w:p w:rsidR="00FA2D6B" w:rsidRPr="007D7B32" w:rsidRDefault="00FA2D6B" w:rsidP="005E7441">
      <w:pPr>
        <w:spacing w:after="240"/>
      </w:pPr>
    </w:p>
    <w:p w:rsidR="00FA2D6B" w:rsidRPr="007D7B32" w:rsidRDefault="00FA2D6B" w:rsidP="005E7441">
      <w:pPr>
        <w:pStyle w:val="PageHeading"/>
        <w:spacing w:after="240"/>
        <w:sectPr w:rsidR="00FA2D6B" w:rsidRPr="007D7B32" w:rsidSect="00B23409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FA2D6B" w:rsidRPr="007D7B32" w:rsidRDefault="00423DA5" w:rsidP="005E7441">
      <w:pPr>
        <w:pStyle w:val="PageHeadingNoLeader"/>
        <w:numPr>
          <w:ilvl w:val="0"/>
          <w:numId w:val="0"/>
        </w:numPr>
        <w:tabs>
          <w:tab w:val="left" w:pos="0"/>
        </w:tabs>
        <w:spacing w:after="240"/>
        <w:jc w:val="left"/>
        <w:rPr>
          <w:rFonts w:ascii="Times New Roman" w:hAnsi="Times New Roman" w:cs="Times New Roman"/>
        </w:rPr>
      </w:pPr>
      <w:bookmarkStart w:id="342" w:name="_Toc146613223"/>
      <w:bookmarkStart w:id="343" w:name="_Toc146613242"/>
      <w:bookmarkStart w:id="344" w:name="_Toc146613261"/>
      <w:bookmarkStart w:id="345" w:name="_Toc146613280"/>
      <w:bookmarkStart w:id="346" w:name="_Toc146613299"/>
      <w:bookmarkStart w:id="347" w:name="_Toc146613318"/>
      <w:bookmarkStart w:id="348" w:name="_Toc146613337"/>
      <w:bookmarkStart w:id="349" w:name="_Toc146613372"/>
      <w:bookmarkStart w:id="350" w:name="_Toc146613416"/>
      <w:bookmarkStart w:id="351" w:name="_Toc146613466"/>
      <w:bookmarkStart w:id="352" w:name="_Toc146613511"/>
      <w:bookmarkStart w:id="353" w:name="_Toc146613542"/>
      <w:bookmarkStart w:id="354" w:name="_Toc146613561"/>
      <w:bookmarkStart w:id="355" w:name="_Toc146613580"/>
      <w:bookmarkStart w:id="356" w:name="_Toc146613602"/>
      <w:bookmarkStart w:id="357" w:name="_Toc146613645"/>
      <w:bookmarkStart w:id="358" w:name="_Toc146613679"/>
      <w:bookmarkStart w:id="359" w:name="_Toc146613698"/>
      <w:bookmarkStart w:id="360" w:name="_Toc146613717"/>
      <w:bookmarkStart w:id="361" w:name="_Toc146613736"/>
      <w:bookmarkStart w:id="362" w:name="_Toc146613755"/>
      <w:bookmarkStart w:id="363" w:name="_Toc146613774"/>
      <w:bookmarkStart w:id="364" w:name="_Toc146613795"/>
      <w:bookmarkStart w:id="365" w:name="_Toc146613814"/>
      <w:bookmarkStart w:id="366" w:name="_Toc146614139"/>
      <w:bookmarkStart w:id="367" w:name="_Toc146614537"/>
      <w:bookmarkStart w:id="368" w:name="_Toc146614571"/>
      <w:bookmarkStart w:id="369" w:name="_Toc146614695"/>
      <w:bookmarkStart w:id="370" w:name="_Toc146614750"/>
      <w:bookmarkStart w:id="371" w:name="_Toc146614769"/>
      <w:bookmarkStart w:id="372" w:name="_Toc146614790"/>
      <w:bookmarkStart w:id="373" w:name="_Toc146614809"/>
      <w:bookmarkStart w:id="374" w:name="_Toc146614828"/>
      <w:bookmarkStart w:id="375" w:name="_Toc146615075"/>
      <w:bookmarkStart w:id="376" w:name="_Toc146615154"/>
      <w:bookmarkStart w:id="377" w:name="_Toc146615190"/>
      <w:bookmarkStart w:id="378" w:name="_Toc146615209"/>
      <w:bookmarkStart w:id="379" w:name="_Toc146615228"/>
      <w:bookmarkStart w:id="380" w:name="_Toc146615367"/>
      <w:bookmarkStart w:id="381" w:name="_Toc146615391"/>
      <w:bookmarkStart w:id="382" w:name="_Toc146615429"/>
      <w:bookmarkStart w:id="383" w:name="_Toc146615460"/>
      <w:bookmarkStart w:id="384" w:name="_Toc146615502"/>
      <w:bookmarkStart w:id="385" w:name="_Toc146615521"/>
      <w:bookmarkStart w:id="386" w:name="_Toc146615540"/>
      <w:bookmarkStart w:id="387" w:name="_Toc146615559"/>
      <w:bookmarkStart w:id="388" w:name="_Toc146615585"/>
      <w:bookmarkStart w:id="389" w:name="_Toc146615619"/>
      <w:bookmarkStart w:id="390" w:name="_Toc146615645"/>
      <w:bookmarkStart w:id="391" w:name="_Toc146615664"/>
      <w:bookmarkStart w:id="392" w:name="_Toc146615683"/>
      <w:bookmarkStart w:id="393" w:name="_Toc146615702"/>
      <w:bookmarkStart w:id="394" w:name="_Toc146615725"/>
      <w:bookmarkStart w:id="395" w:name="_Toc146615754"/>
      <w:bookmarkStart w:id="396" w:name="_Toc146615773"/>
      <w:bookmarkStart w:id="397" w:name="_Toc146615792"/>
      <w:bookmarkStart w:id="398" w:name="_Toc146615864"/>
      <w:bookmarkStart w:id="399" w:name="_Toc146615889"/>
      <w:bookmarkStart w:id="400" w:name="_Toc146615908"/>
      <w:bookmarkStart w:id="401" w:name="_Toc146615927"/>
      <w:bookmarkStart w:id="402" w:name="_Toc146615946"/>
      <w:bookmarkStart w:id="403" w:name="_Toc146615976"/>
      <w:bookmarkStart w:id="404" w:name="_Toc146616010"/>
      <w:bookmarkStart w:id="405" w:name="_Toc146616072"/>
      <w:bookmarkStart w:id="406" w:name="_Toc146616186"/>
      <w:bookmarkStart w:id="407" w:name="_Toc146616270"/>
      <w:bookmarkStart w:id="408" w:name="_Toc146616408"/>
      <w:bookmarkStart w:id="409" w:name="_Toc146616435"/>
      <w:bookmarkStart w:id="410" w:name="_Toc146616458"/>
      <w:bookmarkStart w:id="411" w:name="_Toc146616477"/>
      <w:bookmarkStart w:id="412" w:name="_Toc146616496"/>
      <w:bookmarkStart w:id="413" w:name="_Toc146616525"/>
      <w:bookmarkStart w:id="414" w:name="_Toc146616552"/>
      <w:bookmarkStart w:id="415" w:name="_Toc146616570"/>
      <w:bookmarkStart w:id="416" w:name="_Toc146616590"/>
      <w:bookmarkStart w:id="417" w:name="_Toc146616625"/>
      <w:bookmarkStart w:id="418" w:name="_Toc146616657"/>
      <w:bookmarkStart w:id="419" w:name="_Toc146616675"/>
      <w:bookmarkStart w:id="420" w:name="_Toc146616973"/>
      <w:bookmarkStart w:id="421" w:name="_Toc146616991"/>
      <w:bookmarkStart w:id="422" w:name="_Toc146617009"/>
      <w:bookmarkStart w:id="423" w:name="_Toc146617027"/>
      <w:bookmarkStart w:id="424" w:name="_Toc146617045"/>
      <w:bookmarkStart w:id="425" w:name="_Toc146617063"/>
      <w:bookmarkStart w:id="426" w:name="_Toc146617081"/>
      <w:bookmarkStart w:id="427" w:name="_Toc146617099"/>
      <w:bookmarkStart w:id="428" w:name="_Toc146617117"/>
      <w:bookmarkStart w:id="429" w:name="_Toc146617135"/>
      <w:bookmarkStart w:id="430" w:name="_Toc146617153"/>
      <w:bookmarkStart w:id="431" w:name="_Toc146617171"/>
      <w:bookmarkStart w:id="432" w:name="_Toc146617189"/>
      <w:bookmarkStart w:id="433" w:name="_Toc146617207"/>
      <w:bookmarkStart w:id="434" w:name="_Toc146617225"/>
      <w:bookmarkStart w:id="435" w:name="_Toc146617243"/>
      <w:bookmarkStart w:id="436" w:name="_Toc146617261"/>
      <w:bookmarkStart w:id="437" w:name="_Toc146617279"/>
      <w:bookmarkStart w:id="438" w:name="_Toc146617378"/>
      <w:bookmarkStart w:id="439" w:name="_Toc146617396"/>
      <w:bookmarkStart w:id="440" w:name="_Toc146618253"/>
      <w:bookmarkStart w:id="441" w:name="_Toc146618271"/>
      <w:bookmarkStart w:id="442" w:name="_Toc146618289"/>
      <w:bookmarkStart w:id="443" w:name="_Toc146619953"/>
      <w:bookmarkStart w:id="444" w:name="_Toc146701819"/>
      <w:bookmarkStart w:id="445" w:name="_Toc146701837"/>
      <w:bookmarkStart w:id="446" w:name="_Toc146701857"/>
      <w:bookmarkStart w:id="447" w:name="_Toc146702207"/>
      <w:bookmarkStart w:id="448" w:name="_Toc146702225"/>
      <w:bookmarkStart w:id="449" w:name="_Toc147411180"/>
      <w:bookmarkStart w:id="450" w:name="_Toc147411397"/>
      <w:bookmarkStart w:id="451" w:name="_Toc147411415"/>
      <w:bookmarkStart w:id="452" w:name="_Toc153352998"/>
      <w:bookmarkStart w:id="453" w:name="_Toc153353047"/>
      <w:bookmarkStart w:id="454" w:name="_Toc153353066"/>
      <w:bookmarkStart w:id="455" w:name="_Toc153353085"/>
      <w:bookmarkStart w:id="456" w:name="_Toc153353105"/>
      <w:bookmarkStart w:id="457" w:name="_Toc153353124"/>
      <w:bookmarkStart w:id="458" w:name="_Toc153353143"/>
      <w:bookmarkStart w:id="459" w:name="_Toc153353162"/>
      <w:bookmarkStart w:id="460" w:name="_Toc153353181"/>
      <w:bookmarkStart w:id="461" w:name="_Toc153353200"/>
      <w:bookmarkStart w:id="462" w:name="_Toc153353219"/>
      <w:bookmarkStart w:id="463" w:name="_Toc153353474"/>
      <w:bookmarkStart w:id="464" w:name="_Toc153353531"/>
      <w:bookmarkStart w:id="465" w:name="_Toc153356087"/>
      <w:bookmarkStart w:id="466" w:name="_Toc153356112"/>
      <w:bookmarkStart w:id="467" w:name="_Toc153357302"/>
      <w:bookmarkStart w:id="468" w:name="_Toc153357321"/>
      <w:bookmarkStart w:id="469" w:name="_Toc153369176"/>
      <w:bookmarkStart w:id="470" w:name="_Toc153369233"/>
      <w:bookmarkStart w:id="471" w:name="_Toc155964094"/>
      <w:bookmarkStart w:id="472" w:name="_Toc155964524"/>
      <w:bookmarkStart w:id="473" w:name="_Toc155968907"/>
      <w:bookmarkStart w:id="474" w:name="_Toc155969492"/>
      <w:bookmarkStart w:id="475" w:name="_Toc155969569"/>
      <w:bookmarkStart w:id="476" w:name="_Toc155969623"/>
      <w:bookmarkStart w:id="477" w:name="_Toc155970010"/>
      <w:bookmarkStart w:id="478" w:name="_Toc155970055"/>
      <w:bookmarkStart w:id="479" w:name="_Toc155971410"/>
      <w:bookmarkStart w:id="480" w:name="_Toc155976368"/>
      <w:bookmarkStart w:id="481" w:name="_Toc155977146"/>
      <w:bookmarkStart w:id="482" w:name="_Toc155977326"/>
      <w:bookmarkStart w:id="483" w:name="_Toc155977346"/>
      <w:bookmarkStart w:id="484" w:name="_Toc155977367"/>
      <w:bookmarkStart w:id="485" w:name="_Toc155977411"/>
      <w:bookmarkStart w:id="486" w:name="_Toc155977502"/>
      <w:bookmarkStart w:id="487" w:name="_Toc156386184"/>
      <w:bookmarkStart w:id="488" w:name="_Toc156387319"/>
      <w:bookmarkStart w:id="489" w:name="_Toc156387359"/>
      <w:bookmarkStart w:id="490" w:name="_Toc160526422"/>
      <w:bookmarkStart w:id="491" w:name="_Toc160526599"/>
      <w:bookmarkStart w:id="492" w:name="_Toc160526642"/>
      <w:bookmarkStart w:id="493" w:name="_Toc160526704"/>
      <w:bookmarkStart w:id="494" w:name="_Toc160527470"/>
      <w:bookmarkStart w:id="495" w:name="_Toc160532321"/>
      <w:bookmarkStart w:id="496" w:name="_Toc160533462"/>
      <w:bookmarkStart w:id="497" w:name="_Toc160541851"/>
      <w:bookmarkStart w:id="498" w:name="_Toc160545194"/>
      <w:bookmarkStart w:id="499" w:name="_Toc160545354"/>
      <w:bookmarkStart w:id="500" w:name="_Toc160545377"/>
      <w:bookmarkStart w:id="501" w:name="_Toc160545400"/>
      <w:bookmarkStart w:id="502" w:name="_Toc160545428"/>
      <w:bookmarkStart w:id="503" w:name="_Toc160545452"/>
      <w:bookmarkStart w:id="504" w:name="_Toc160545476"/>
      <w:bookmarkStart w:id="505" w:name="_Toc160545500"/>
      <w:bookmarkStart w:id="506" w:name="_Toc160545525"/>
      <w:bookmarkStart w:id="507" w:name="_Toc160545550"/>
      <w:bookmarkStart w:id="508" w:name="_Toc160545576"/>
      <w:bookmarkStart w:id="509" w:name="_Toc160545602"/>
      <w:bookmarkStart w:id="510" w:name="_Toc160545628"/>
      <w:bookmarkStart w:id="511" w:name="_Toc160545654"/>
      <w:bookmarkStart w:id="512" w:name="_Toc160545681"/>
      <w:bookmarkStart w:id="513" w:name="_Toc160545708"/>
      <w:bookmarkStart w:id="514" w:name="_Toc160545749"/>
      <w:bookmarkStart w:id="515" w:name="_Toc160545777"/>
      <w:bookmarkStart w:id="516" w:name="_Toc160545805"/>
      <w:bookmarkStart w:id="517" w:name="_Toc160545842"/>
      <w:bookmarkStart w:id="518" w:name="_Toc160545871"/>
      <w:bookmarkStart w:id="519" w:name="_Toc160545900"/>
      <w:bookmarkStart w:id="520" w:name="_Toc160545943"/>
      <w:bookmarkStart w:id="521" w:name="_Toc160545973"/>
      <w:bookmarkStart w:id="522" w:name="_Toc160546003"/>
      <w:bookmarkStart w:id="523" w:name="_Toc160546040"/>
      <w:bookmarkStart w:id="524" w:name="_Toc160546071"/>
      <w:bookmarkStart w:id="525" w:name="_Toc160546102"/>
      <w:bookmarkStart w:id="526" w:name="_Toc160546138"/>
      <w:bookmarkStart w:id="527" w:name="_Toc160546170"/>
      <w:bookmarkStart w:id="528" w:name="_Toc160546202"/>
      <w:bookmarkStart w:id="529" w:name="_Toc160546234"/>
      <w:bookmarkStart w:id="530" w:name="_Toc160546266"/>
      <w:bookmarkStart w:id="531" w:name="_Toc160546825"/>
      <w:bookmarkStart w:id="532" w:name="_Toc160546858"/>
      <w:bookmarkStart w:id="533" w:name="_Toc160547007"/>
      <w:bookmarkStart w:id="534" w:name="_Toc160547672"/>
      <w:bookmarkStart w:id="535" w:name="_Toc160547792"/>
      <w:bookmarkStart w:id="536" w:name="_Toc160548642"/>
      <w:bookmarkStart w:id="537" w:name="_Toc160548789"/>
      <w:bookmarkStart w:id="538" w:name="_Toc160548897"/>
      <w:bookmarkStart w:id="539" w:name="_Toc160548932"/>
      <w:bookmarkStart w:id="540" w:name="_Toc160548967"/>
      <w:bookmarkStart w:id="541" w:name="_Toc160549002"/>
      <w:bookmarkStart w:id="542" w:name="_Toc160549728"/>
      <w:bookmarkStart w:id="543" w:name="_Toc160549839"/>
      <w:bookmarkStart w:id="544" w:name="_Toc160550635"/>
      <w:bookmarkStart w:id="545" w:name="_Toc160550750"/>
      <w:bookmarkStart w:id="546" w:name="_Toc160551638"/>
      <w:bookmarkStart w:id="547" w:name="_Toc160551671"/>
      <w:bookmarkStart w:id="548" w:name="_Toc160551704"/>
      <w:bookmarkStart w:id="549" w:name="_Toc160553738"/>
      <w:bookmarkStart w:id="550" w:name="_Toc160553786"/>
      <w:bookmarkStart w:id="551" w:name="_Toc160696570"/>
      <w:bookmarkStart w:id="552" w:name="_Toc160697657"/>
      <w:bookmarkStart w:id="553" w:name="_Toc160697719"/>
      <w:bookmarkStart w:id="554" w:name="_Toc160697752"/>
      <w:bookmarkStart w:id="555" w:name="_Toc160781858"/>
      <w:bookmarkStart w:id="556" w:name="_Toc160782072"/>
      <w:bookmarkStart w:id="557" w:name="_Toc160783890"/>
      <w:bookmarkStart w:id="558" w:name="_Toc161041734"/>
      <w:bookmarkStart w:id="559" w:name="_Toc161041767"/>
      <w:bookmarkStart w:id="560" w:name="_Toc161042854"/>
      <w:bookmarkStart w:id="561" w:name="_Toc161042893"/>
      <w:bookmarkStart w:id="562" w:name="_Toc161042940"/>
      <w:bookmarkStart w:id="563" w:name="_Toc161042973"/>
      <w:bookmarkStart w:id="564" w:name="_Toc161043006"/>
      <w:bookmarkStart w:id="565" w:name="_Toc161043678"/>
      <w:bookmarkStart w:id="566" w:name="_Toc161043741"/>
      <w:bookmarkStart w:id="567" w:name="_Toc161132037"/>
      <w:bookmarkStart w:id="568" w:name="_Toc161132085"/>
      <w:bookmarkStart w:id="569" w:name="_Toc161155079"/>
      <w:bookmarkStart w:id="570" w:name="_Toc161156422"/>
      <w:bookmarkStart w:id="571" w:name="_Toc161156516"/>
      <w:bookmarkStart w:id="572" w:name="_Toc161213156"/>
      <w:bookmarkStart w:id="573" w:name="_Toc161213292"/>
      <w:bookmarkStart w:id="574" w:name="_Toc161213979"/>
      <w:bookmarkStart w:id="575" w:name="_Toc161215230"/>
      <w:bookmarkStart w:id="576" w:name="_Toc161215268"/>
      <w:bookmarkStart w:id="577" w:name="_Toc161303004"/>
      <w:bookmarkStart w:id="578" w:name="_Toc161303413"/>
      <w:bookmarkStart w:id="579" w:name="_Toc161304698"/>
      <w:bookmarkStart w:id="580" w:name="_Toc161306631"/>
      <w:bookmarkStart w:id="581" w:name="_Toc161307199"/>
      <w:bookmarkStart w:id="582" w:name="_Toc161307683"/>
      <w:bookmarkStart w:id="583" w:name="_Toc161307726"/>
      <w:bookmarkStart w:id="584" w:name="_Toc161310153"/>
      <w:bookmarkStart w:id="585" w:name="_Toc161310186"/>
      <w:bookmarkStart w:id="586" w:name="_Toc161311194"/>
      <w:bookmarkStart w:id="587" w:name="_Toc161311227"/>
      <w:bookmarkStart w:id="588" w:name="_Toc161320091"/>
      <w:bookmarkStart w:id="589" w:name="_Toc161320161"/>
      <w:bookmarkStart w:id="590" w:name="_Toc161320194"/>
      <w:bookmarkStart w:id="591" w:name="_Toc161320623"/>
      <w:bookmarkStart w:id="592" w:name="_Toc161322246"/>
      <w:bookmarkStart w:id="593" w:name="_Toc161322444"/>
      <w:bookmarkStart w:id="594" w:name="_Toc161322496"/>
      <w:bookmarkStart w:id="595" w:name="_Toc161323812"/>
      <w:bookmarkStart w:id="596" w:name="_Toc161323868"/>
      <w:bookmarkStart w:id="597" w:name="_Toc161324217"/>
      <w:bookmarkStart w:id="598" w:name="_Toc161324332"/>
      <w:bookmarkStart w:id="599" w:name="_Toc161736490"/>
      <w:bookmarkStart w:id="600" w:name="_Toc161738954"/>
      <w:bookmarkStart w:id="601" w:name="_Toc161829861"/>
      <w:bookmarkStart w:id="602" w:name="_Toc161833242"/>
      <w:bookmarkStart w:id="603" w:name="_Toc161833867"/>
      <w:bookmarkStart w:id="604" w:name="_Toc161834008"/>
      <w:bookmarkStart w:id="605" w:name="_Toc161834083"/>
      <w:bookmarkStart w:id="606" w:name="_Toc161834162"/>
      <w:bookmarkStart w:id="607" w:name="_Toc161836805"/>
      <w:bookmarkStart w:id="608" w:name="_Toc161836942"/>
      <w:bookmarkStart w:id="609" w:name="_Toc161836974"/>
      <w:bookmarkStart w:id="610" w:name="_Toc162944538"/>
      <w:bookmarkStart w:id="611" w:name="_Toc163028724"/>
      <w:bookmarkStart w:id="612" w:name="_Toc163029154"/>
      <w:bookmarkStart w:id="613" w:name="_Toc163030864"/>
      <w:bookmarkStart w:id="614" w:name="_Toc163031683"/>
      <w:bookmarkStart w:id="615" w:name="_Toc163031707"/>
      <w:bookmarkStart w:id="616" w:name="_Toc163031731"/>
      <w:bookmarkStart w:id="617" w:name="_Toc163031855"/>
      <w:bookmarkStart w:id="618" w:name="_Toc163031996"/>
      <w:bookmarkStart w:id="619" w:name="_Toc163032050"/>
      <w:bookmarkStart w:id="620" w:name="_Toc163032129"/>
      <w:bookmarkStart w:id="621" w:name="_Toc163032178"/>
      <w:bookmarkStart w:id="622" w:name="_Toc163032336"/>
      <w:bookmarkStart w:id="623" w:name="_Toc163032664"/>
      <w:bookmarkStart w:id="624" w:name="_Toc163032689"/>
      <w:bookmarkStart w:id="625" w:name="_Toc163032714"/>
      <w:bookmarkStart w:id="626" w:name="_Toc163032739"/>
      <w:bookmarkStart w:id="627" w:name="_Toc163032806"/>
      <w:bookmarkStart w:id="628" w:name="_Toc163032848"/>
      <w:bookmarkStart w:id="629" w:name="_Toc163033178"/>
      <w:bookmarkStart w:id="630" w:name="_Toc163033204"/>
      <w:bookmarkStart w:id="631" w:name="_Toc163033230"/>
      <w:bookmarkStart w:id="632" w:name="_Toc163033256"/>
      <w:bookmarkStart w:id="633" w:name="_Toc163033283"/>
      <w:bookmarkStart w:id="634" w:name="_Toc163033310"/>
      <w:bookmarkStart w:id="635" w:name="_Toc163033337"/>
      <w:bookmarkStart w:id="636" w:name="_Toc163033365"/>
      <w:bookmarkStart w:id="637" w:name="_Toc163033393"/>
      <w:bookmarkStart w:id="638" w:name="_Toc163033532"/>
      <w:bookmarkStart w:id="639" w:name="_Toc163033561"/>
      <w:bookmarkStart w:id="640" w:name="_Toc163033590"/>
      <w:bookmarkStart w:id="641" w:name="_Toc163033619"/>
      <w:bookmarkStart w:id="642" w:name="_Toc163033649"/>
      <w:bookmarkStart w:id="643" w:name="_Toc163033679"/>
      <w:bookmarkStart w:id="644" w:name="_Toc163033709"/>
      <w:bookmarkStart w:id="645" w:name="_Toc163033739"/>
      <w:bookmarkStart w:id="646" w:name="_Toc163033770"/>
      <w:bookmarkStart w:id="647" w:name="_Toc163033801"/>
      <w:bookmarkStart w:id="648" w:name="_Toc163033832"/>
      <w:bookmarkStart w:id="649" w:name="_Toc163033864"/>
      <w:bookmarkStart w:id="650" w:name="_Toc163033896"/>
      <w:bookmarkStart w:id="651" w:name="_Toc163033928"/>
      <w:bookmarkStart w:id="652" w:name="_Toc163033960"/>
      <w:bookmarkStart w:id="653" w:name="_Toc163033993"/>
      <w:bookmarkStart w:id="654" w:name="_Toc163034026"/>
      <w:bookmarkStart w:id="655" w:name="_Toc163034059"/>
      <w:bookmarkStart w:id="656" w:name="_Toc163034093"/>
      <w:bookmarkStart w:id="657" w:name="_Toc163034127"/>
      <w:bookmarkStart w:id="658" w:name="_Toc163034161"/>
      <w:bookmarkStart w:id="659" w:name="_Toc163034252"/>
      <w:bookmarkStart w:id="660" w:name="_Toc163034285"/>
      <w:bookmarkStart w:id="661" w:name="_Toc163034318"/>
      <w:bookmarkStart w:id="662" w:name="_Toc163034351"/>
      <w:bookmarkStart w:id="663" w:name="_Toc163036606"/>
      <w:bookmarkStart w:id="664" w:name="_Toc163036639"/>
      <w:bookmarkStart w:id="665" w:name="_Toc163036718"/>
      <w:bookmarkStart w:id="666" w:name="_Toc163036756"/>
      <w:bookmarkStart w:id="667" w:name="_Toc163036797"/>
      <w:r w:rsidRPr="007D7B32">
        <w:rPr>
          <w:rFonts w:ascii="Times New Roman" w:hAnsi="Times New Roman" w:cs="Times New Roman"/>
        </w:rPr>
        <w:lastRenderedPageBreak/>
        <w:t>3. Rozhodnutí Evropského parlamentu</w:t>
      </w:r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r w:rsidRPr="007D7B32">
        <w:rPr>
          <w:rFonts w:ascii="Times New Roman" w:hAnsi="Times New Roman" w:cs="Times New Roman"/>
        </w:rPr>
        <w:t xml:space="preserve"> ze dne 11. dubna 2024 </w:t>
      </w:r>
      <w:bookmarkStart w:id="668" w:name="_Toc162944539"/>
      <w:bookmarkStart w:id="669" w:name="_Toc163036798"/>
      <w:r w:rsidR="00FA2D6B" w:rsidRPr="007D7B32">
        <w:rPr>
          <w:rFonts w:ascii="Times New Roman" w:hAnsi="Times New Roman" w:cs="Times New Roman"/>
        </w:rPr>
        <w:t>o udělení absolutoria za plnění rozpočtu Evropské výkonné agentury pro vzdělávání a kulturu na rozpočtový rok 2022</w:t>
      </w:r>
      <w:bookmarkEnd w:id="668"/>
      <w:bookmarkEnd w:id="669"/>
      <w:r w:rsidRPr="007D7B32">
        <w:rPr>
          <w:rFonts w:ascii="Times New Roman" w:hAnsi="Times New Roman" w:cs="Times New Roman"/>
        </w:rPr>
        <w:t xml:space="preserve"> </w:t>
      </w:r>
      <w:r w:rsidR="00FA2D6B" w:rsidRPr="007D7B32">
        <w:rPr>
          <w:rFonts w:ascii="Times New Roman" w:hAnsi="Times New Roman" w:cs="Times New Roman"/>
        </w:rPr>
        <w:t>(2023/2129(DEC))</w:t>
      </w:r>
    </w:p>
    <w:p w:rsidR="00FA2D6B" w:rsidRPr="007D7B32" w:rsidRDefault="00FA2D6B" w:rsidP="005E7441">
      <w:pPr>
        <w:pStyle w:val="EPComma"/>
        <w:spacing w:before="0"/>
      </w:pPr>
      <w:r w:rsidRPr="007D7B32">
        <w:rPr>
          <w:i/>
          <w:iCs/>
        </w:rPr>
        <w:t>Evropský parlament</w:t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souhrnný rozpočet Evropské unie na rozpočtový rok 2022</w:t>
      </w:r>
      <w:r w:rsidRPr="007D7B32">
        <w:rPr>
          <w:rStyle w:val="FootnoteReference"/>
        </w:rPr>
        <w:footnoteReference w:id="15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 ohledem na konsolidovanou účetní závěrku Evropské unie za rozpočtový rok 2022 (COM(2023)0391 – C9</w:t>
      </w:r>
      <w:r w:rsidRPr="007D7B32">
        <w:noBreakHyphen/>
        <w:t>0248/2023)</w:t>
      </w:r>
      <w:r w:rsidRPr="007D7B32">
        <w:rPr>
          <w:rStyle w:val="FootnoteReference"/>
        </w:rPr>
        <w:footnoteReference w:id="16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 ohledem na konečnou roční účetní závěrku Evropské výkonné agentury pro vzdělávání a kulturu za rozpočtový rok 2022</w:t>
      </w:r>
      <w:r w:rsidRPr="007D7B32">
        <w:rPr>
          <w:rStyle w:val="FootnoteReference"/>
        </w:rPr>
        <w:footnoteReference w:id="17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zprávu Komise o opatřeních přijatých v návaznosti na udělení absolutoria za rozpočtový rok 2021 (COM(2023)</w:t>
      </w:r>
      <w:r w:rsidR="00423DA5" w:rsidRPr="007D7B32">
        <w:t>0</w:t>
      </w:r>
      <w:r w:rsidRPr="007D7B32">
        <w:t>384) a na podrobné odpovědi na konkrétní žádosti Evropského parlamentu,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výroční zprávu Komise předkládanou orgánu udělujícímu absolutorium o interních auditech provedených v roce 2022 (COM(2023)</w:t>
      </w:r>
      <w:r w:rsidR="00423DA5" w:rsidRPr="007D7B32">
        <w:t>0</w:t>
      </w:r>
      <w:r w:rsidRPr="007D7B32">
        <w:t>323) a na připojený pracovní dokument útvarů Komise (SWD(2023)</w:t>
      </w:r>
      <w:r w:rsidR="00F35DA0">
        <w:t>0</w:t>
      </w:r>
      <w:r w:rsidRPr="007D7B32">
        <w:t>214),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výroční zprávu Účetního dvora o agenturách EU za rozpočtový rok 2022 spolu s odpověďmi agentur</w:t>
      </w:r>
      <w:r w:rsidRPr="007D7B32">
        <w:rPr>
          <w:rStyle w:val="FootnoteReference"/>
        </w:rPr>
        <w:footnoteReference w:id="18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prohlášení o věrohodnosti</w:t>
      </w:r>
      <w:r w:rsidRPr="007D7B32">
        <w:rPr>
          <w:rStyle w:val="FootnoteReference"/>
        </w:rPr>
        <w:footnoteReference w:id="19"/>
      </w:r>
      <w:r w:rsidRPr="007D7B32">
        <w:t xml:space="preserve"> účetnictví a o legalitě a správnosti uskutečněných operací, které předložil Účetní dvůr za rozpočtový rok 2022 podle článku 287 Smlouvy o fungování Evropské unie,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 ohledem na doporučení Rady ze dne 22. února 2024 o udělení absolutoria výkonným agenturám za plnění rozpočtu na rozpočtový rok 2022 (06181/2024 – C9</w:t>
      </w:r>
      <w:r w:rsidRPr="007D7B32">
        <w:noBreakHyphen/>
        <w:t>0125/2024),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články 317, 318 a 319 Smlouvy o fungování Evropské unie,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článek 106a Smlouvy o založení Evropského společenství pro atomovou energii,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7D7B32">
        <w:rPr>
          <w:rStyle w:val="FootnoteReference"/>
        </w:rPr>
        <w:footnoteReference w:id="20"/>
      </w:r>
      <w:r w:rsidRPr="007D7B32">
        <w:t>, a zejména na články 69, 260, 261 a 262 tohoto nařízení,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 xml:space="preserve">s ohledem na nařízení Rady (ES) č. 58/2003 ze dne 19. prosince 2002, kterým se stanoví statut výkonných agentur pověřených některými úkoly správy programů </w:t>
      </w:r>
      <w:r w:rsidRPr="007D7B32">
        <w:lastRenderedPageBreak/>
        <w:t>Společenství</w:t>
      </w:r>
      <w:r w:rsidRPr="007D7B32">
        <w:rPr>
          <w:rStyle w:val="FootnoteReference"/>
        </w:rPr>
        <w:footnoteReference w:id="21"/>
      </w:r>
      <w:r w:rsidRPr="007D7B32">
        <w:t>, a zejména na čl. 14 odst. 3 tohoto nařízení,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nařízení Komise (ES) č. 1653/2004 ze dne 21. září 2004 o typovém nařízení financování výkonných agentur na základě nařízení Rady (ES) č. 58/2003 stanovující status výkonných agentur pověřených určitými úkoly souvisejícími se správou programů Společenství</w:t>
      </w:r>
      <w:r w:rsidRPr="007D7B32">
        <w:rPr>
          <w:rStyle w:val="FootnoteReference"/>
        </w:rPr>
        <w:footnoteReference w:id="22"/>
      </w:r>
      <w:r w:rsidRPr="007D7B32">
        <w:t>, a zejména na čl. 66 první a druhý pododstavec tohoto nařízení,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prováděcí rozhodnutí Komise (EU) 2021/173 ze dne 12. února 2021, kterým se zřizuje Evropská výkonná agentura pro klima, infrastrukturu a životní prostředí, Evropská výkonná agentura pro zdraví a digitální oblast, Evropská výkonná agentura pro výzkum, Výkonná agentura Evropské rady pro inovace a pro malé a střední podniky, Výkonná agentura Evropské rady pro výzkum a Evropská výkonná agentura pro vzdělávání a kulturu a zrušují prováděcí rozhodnutí 2013/801/EU, 2013/771/EU, 2013/778/EU, 2013/779/EU, 2013/776/EU a 2013/770/EU</w:t>
      </w:r>
      <w:r w:rsidRPr="007D7B32">
        <w:rPr>
          <w:rStyle w:val="FootnoteReference"/>
        </w:rPr>
        <w:footnoteReference w:id="23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článek 99 a přílohu V jednacího řádu,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stanoviska Výboru pro zahraniční věci, Výboru pro rozvoj, Výboru pro zaměstnanost a sociální věci, Výboru pro životní prostředí, veřejné zdraví a bezpečnost potravin, Výboru pro dopravu a cestovní ruch, Výboru pro regionální rozvoj, Výboru pro kulturu a vzdělávání, Výboru pro občanské svobody, spravedlnost a vnitřní věci a Výboru pro práva žen a rovnost pohlaví,</w:t>
      </w:r>
    </w:p>
    <w:p w:rsidR="00FA2D6B" w:rsidRPr="007D7B32" w:rsidRDefault="00FA2D6B" w:rsidP="005E7441">
      <w:pPr>
        <w:pStyle w:val="NormalHanging12a"/>
        <w:rPr>
          <w:szCs w:val="24"/>
        </w:rPr>
      </w:pPr>
      <w:r w:rsidRPr="007D7B32">
        <w:t>–</w:t>
      </w:r>
      <w:r w:rsidRPr="007D7B32">
        <w:tab/>
        <w:t>s ohledem na dopis Výboru pro zemědělství a rozvoj venkova,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zprávu Výboru pro rozpočtovou kontrolu (A9-0139/2024),</w:t>
      </w:r>
    </w:p>
    <w:p w:rsidR="00FA2D6B" w:rsidRPr="007D7B32" w:rsidRDefault="00FA2D6B" w:rsidP="005E7441">
      <w:pPr>
        <w:pStyle w:val="NormalHanging12a"/>
      </w:pPr>
      <w:r w:rsidRPr="007D7B32">
        <w:t>1.</w:t>
      </w:r>
      <w:r w:rsidRPr="007D7B32">
        <w:tab/>
        <w:t>uděluje absolutorium ředitelce Evropské výkonné agentury pro vzdělávání a kulturu za plnění rozpočtu výkonné agentury na rozpočtový rok 2022;</w:t>
      </w:r>
    </w:p>
    <w:p w:rsidR="00FA2D6B" w:rsidRPr="007D7B32" w:rsidRDefault="00FA2D6B" w:rsidP="005E7441">
      <w:pPr>
        <w:pStyle w:val="NormalHanging12a"/>
      </w:pPr>
      <w:r w:rsidRPr="007D7B32">
        <w:t>2.</w:t>
      </w:r>
      <w:r w:rsidRPr="007D7B32">
        <w:tab/>
        <w:t>předkládá své připomínky v usnesení, které je nedílnou součástí rozhodnutí o udělení absolutoria za plnění souhrnného rozpočtu Evropské unie na rozpočtový rok 2022, oddíl III – Komise a výkonné agentury;</w:t>
      </w:r>
    </w:p>
    <w:p w:rsidR="00FA2D6B" w:rsidRPr="007D7B32" w:rsidRDefault="00FA2D6B" w:rsidP="005E7441">
      <w:pPr>
        <w:pStyle w:val="NormalHanging12a"/>
      </w:pPr>
      <w:r w:rsidRPr="007D7B32">
        <w:t>3.</w:t>
      </w:r>
      <w:r w:rsidRPr="007D7B32">
        <w:tab/>
        <w:t>pověřuje svou předsedkyni, aby předala toto rozhodnutí, rozhodnutí o udělení absolutoria za plnění souhrnného rozpočtu Evropské unie na rozpočtový rok 2022, oddíl III – Komise a usnesení, které je nedílnou součástí těchto rozhodnutí, ředitelce Evropské výkonné agentury pro zdraví a digitální oblast, Radě, Komisi a Účetnímu dvoru a aby zajistila jejich zveřejnění v </w:t>
      </w:r>
      <w:r w:rsidRPr="007D7B32">
        <w:rPr>
          <w:i/>
          <w:iCs/>
        </w:rPr>
        <w:t>Úředním věstníku Evropské unie</w:t>
      </w:r>
      <w:r w:rsidRPr="007D7B32">
        <w:t xml:space="preserve"> (řada L).</w:t>
      </w:r>
    </w:p>
    <w:p w:rsidR="00FA2D6B" w:rsidRPr="007D7B32" w:rsidRDefault="00FA2D6B" w:rsidP="005E7441">
      <w:pPr>
        <w:spacing w:after="240"/>
      </w:pPr>
    </w:p>
    <w:p w:rsidR="00FA2D6B" w:rsidRPr="007D7B32" w:rsidRDefault="00FA2D6B" w:rsidP="005E7441">
      <w:pPr>
        <w:pStyle w:val="PageHeading"/>
        <w:spacing w:after="240"/>
        <w:sectPr w:rsidR="00FA2D6B" w:rsidRPr="007D7B32" w:rsidSect="00B23409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FA2D6B" w:rsidRPr="007D7B32" w:rsidRDefault="00423DA5" w:rsidP="005E7441">
      <w:pPr>
        <w:pStyle w:val="PageHeadingNoLeader"/>
        <w:numPr>
          <w:ilvl w:val="0"/>
          <w:numId w:val="0"/>
        </w:numPr>
        <w:tabs>
          <w:tab w:val="left" w:pos="0"/>
        </w:tabs>
        <w:spacing w:after="240"/>
        <w:jc w:val="left"/>
        <w:rPr>
          <w:rFonts w:ascii="Times New Roman" w:hAnsi="Times New Roman" w:cs="Times New Roman"/>
        </w:rPr>
      </w:pPr>
      <w:bookmarkStart w:id="670" w:name="_Toc146613225"/>
      <w:bookmarkStart w:id="671" w:name="_Toc146613244"/>
      <w:bookmarkStart w:id="672" w:name="_Toc146613263"/>
      <w:bookmarkStart w:id="673" w:name="_Toc146613282"/>
      <w:bookmarkStart w:id="674" w:name="_Toc146613301"/>
      <w:bookmarkStart w:id="675" w:name="_Toc146613320"/>
      <w:bookmarkStart w:id="676" w:name="_Toc146613339"/>
      <w:bookmarkStart w:id="677" w:name="_Toc146613374"/>
      <w:bookmarkStart w:id="678" w:name="_Toc146613418"/>
      <w:bookmarkStart w:id="679" w:name="_Toc146613468"/>
      <w:bookmarkStart w:id="680" w:name="_Toc146613513"/>
      <w:bookmarkStart w:id="681" w:name="_Toc146613544"/>
      <w:bookmarkStart w:id="682" w:name="_Toc146613563"/>
      <w:bookmarkStart w:id="683" w:name="_Toc146613582"/>
      <w:bookmarkStart w:id="684" w:name="_Toc146613604"/>
      <w:bookmarkStart w:id="685" w:name="_Toc146613647"/>
      <w:bookmarkStart w:id="686" w:name="_Toc146613681"/>
      <w:bookmarkStart w:id="687" w:name="_Toc146613700"/>
      <w:bookmarkStart w:id="688" w:name="_Toc146613719"/>
      <w:bookmarkStart w:id="689" w:name="_Toc146613738"/>
      <w:bookmarkStart w:id="690" w:name="_Toc146613757"/>
      <w:bookmarkStart w:id="691" w:name="_Toc146613776"/>
      <w:bookmarkStart w:id="692" w:name="_Toc146613797"/>
      <w:bookmarkStart w:id="693" w:name="_Toc146613816"/>
      <w:bookmarkStart w:id="694" w:name="_Toc146614141"/>
      <w:bookmarkStart w:id="695" w:name="_Toc146614539"/>
      <w:bookmarkStart w:id="696" w:name="_Toc146614573"/>
      <w:bookmarkStart w:id="697" w:name="_Toc146614697"/>
      <w:bookmarkStart w:id="698" w:name="_Toc146614752"/>
      <w:bookmarkStart w:id="699" w:name="_Toc146614771"/>
      <w:bookmarkStart w:id="700" w:name="_Toc146614792"/>
      <w:bookmarkStart w:id="701" w:name="_Toc146614811"/>
      <w:bookmarkStart w:id="702" w:name="_Toc146614830"/>
      <w:bookmarkStart w:id="703" w:name="_Toc146615077"/>
      <w:bookmarkStart w:id="704" w:name="_Toc146615156"/>
      <w:bookmarkStart w:id="705" w:name="_Toc146615192"/>
      <w:bookmarkStart w:id="706" w:name="_Toc146615211"/>
      <w:bookmarkStart w:id="707" w:name="_Toc146615230"/>
      <w:bookmarkStart w:id="708" w:name="_Toc146615369"/>
      <w:bookmarkStart w:id="709" w:name="_Toc146615393"/>
      <w:bookmarkStart w:id="710" w:name="_Toc146615431"/>
      <w:bookmarkStart w:id="711" w:name="_Toc146615462"/>
      <w:bookmarkStart w:id="712" w:name="_Toc146615504"/>
      <w:bookmarkStart w:id="713" w:name="_Toc146615523"/>
      <w:bookmarkStart w:id="714" w:name="_Toc146615542"/>
      <w:bookmarkStart w:id="715" w:name="_Toc146615561"/>
      <w:bookmarkStart w:id="716" w:name="_Toc146615587"/>
      <w:bookmarkStart w:id="717" w:name="_Toc146615621"/>
      <w:bookmarkStart w:id="718" w:name="_Toc146615647"/>
      <w:bookmarkStart w:id="719" w:name="_Toc146615666"/>
      <w:bookmarkStart w:id="720" w:name="_Toc146615685"/>
      <w:bookmarkStart w:id="721" w:name="_Toc146615704"/>
      <w:bookmarkStart w:id="722" w:name="_Toc146615727"/>
      <w:bookmarkStart w:id="723" w:name="_Toc146615756"/>
      <w:bookmarkStart w:id="724" w:name="_Toc146615775"/>
      <w:bookmarkStart w:id="725" w:name="_Toc146615794"/>
      <w:bookmarkStart w:id="726" w:name="_Toc146615866"/>
      <w:bookmarkStart w:id="727" w:name="_Toc146615891"/>
      <w:bookmarkStart w:id="728" w:name="_Toc146615910"/>
      <w:bookmarkStart w:id="729" w:name="_Toc146615929"/>
      <w:bookmarkStart w:id="730" w:name="_Toc146615948"/>
      <w:bookmarkStart w:id="731" w:name="_Toc146615978"/>
      <w:bookmarkStart w:id="732" w:name="_Toc146616012"/>
      <w:bookmarkStart w:id="733" w:name="_Toc146616074"/>
      <w:bookmarkStart w:id="734" w:name="_Toc146616188"/>
      <w:bookmarkStart w:id="735" w:name="_Toc146616272"/>
      <w:bookmarkStart w:id="736" w:name="_Toc146616410"/>
      <w:bookmarkStart w:id="737" w:name="_Toc146616437"/>
      <w:bookmarkStart w:id="738" w:name="_Toc146616460"/>
      <w:bookmarkStart w:id="739" w:name="_Toc146616479"/>
      <w:bookmarkStart w:id="740" w:name="_Toc146616498"/>
      <w:bookmarkStart w:id="741" w:name="_Toc146616527"/>
      <w:bookmarkStart w:id="742" w:name="_Toc146616554"/>
      <w:bookmarkStart w:id="743" w:name="_Toc146616572"/>
      <w:bookmarkStart w:id="744" w:name="_Toc146616592"/>
      <w:bookmarkStart w:id="745" w:name="_Toc146616627"/>
      <w:bookmarkStart w:id="746" w:name="_Toc146616659"/>
      <w:bookmarkStart w:id="747" w:name="_Toc146616677"/>
      <w:bookmarkStart w:id="748" w:name="_Toc146616975"/>
      <w:bookmarkStart w:id="749" w:name="_Toc146616993"/>
      <w:bookmarkStart w:id="750" w:name="_Toc146617011"/>
      <w:bookmarkStart w:id="751" w:name="_Toc146617029"/>
      <w:bookmarkStart w:id="752" w:name="_Toc146617047"/>
      <w:bookmarkStart w:id="753" w:name="_Toc146617065"/>
      <w:bookmarkStart w:id="754" w:name="_Toc146617083"/>
      <w:bookmarkStart w:id="755" w:name="_Toc146617101"/>
      <w:bookmarkStart w:id="756" w:name="_Toc146617119"/>
      <w:bookmarkStart w:id="757" w:name="_Toc146617137"/>
      <w:bookmarkStart w:id="758" w:name="_Toc146617155"/>
      <w:bookmarkStart w:id="759" w:name="_Toc146617173"/>
      <w:bookmarkStart w:id="760" w:name="_Toc146617191"/>
      <w:bookmarkStart w:id="761" w:name="_Toc146617209"/>
      <w:bookmarkStart w:id="762" w:name="_Toc146617227"/>
      <w:bookmarkStart w:id="763" w:name="_Toc146617245"/>
      <w:bookmarkStart w:id="764" w:name="_Toc146617263"/>
      <w:bookmarkStart w:id="765" w:name="_Toc146617281"/>
      <w:bookmarkStart w:id="766" w:name="_Toc146617380"/>
      <w:bookmarkStart w:id="767" w:name="_Toc146617398"/>
      <w:bookmarkStart w:id="768" w:name="_Toc146618255"/>
      <w:bookmarkStart w:id="769" w:name="_Toc146618273"/>
      <w:bookmarkStart w:id="770" w:name="_Toc146618291"/>
      <w:bookmarkStart w:id="771" w:name="_Toc146619955"/>
      <w:bookmarkStart w:id="772" w:name="_Toc146701821"/>
      <w:bookmarkStart w:id="773" w:name="_Toc146701839"/>
      <w:bookmarkStart w:id="774" w:name="_Toc146701859"/>
      <w:bookmarkStart w:id="775" w:name="_Toc146702209"/>
      <w:bookmarkStart w:id="776" w:name="_Toc146702227"/>
      <w:bookmarkStart w:id="777" w:name="_Toc147411182"/>
      <w:bookmarkStart w:id="778" w:name="_Toc147411399"/>
      <w:bookmarkStart w:id="779" w:name="_Toc147411417"/>
      <w:bookmarkStart w:id="780" w:name="_Toc153353000"/>
      <w:bookmarkStart w:id="781" w:name="_Toc153353049"/>
      <w:bookmarkStart w:id="782" w:name="_Toc153353068"/>
      <w:bookmarkStart w:id="783" w:name="_Toc153353087"/>
      <w:bookmarkStart w:id="784" w:name="_Toc153353107"/>
      <w:bookmarkStart w:id="785" w:name="_Toc153353126"/>
      <w:bookmarkStart w:id="786" w:name="_Toc153353145"/>
      <w:bookmarkStart w:id="787" w:name="_Toc153353164"/>
      <w:bookmarkStart w:id="788" w:name="_Toc153353183"/>
      <w:bookmarkStart w:id="789" w:name="_Toc153353202"/>
      <w:bookmarkStart w:id="790" w:name="_Toc153353221"/>
      <w:bookmarkStart w:id="791" w:name="_Toc153353476"/>
      <w:bookmarkStart w:id="792" w:name="_Toc153353533"/>
      <w:bookmarkStart w:id="793" w:name="_Toc153356089"/>
      <w:bookmarkStart w:id="794" w:name="_Toc153356114"/>
      <w:bookmarkStart w:id="795" w:name="_Toc153357304"/>
      <w:bookmarkStart w:id="796" w:name="_Toc153357323"/>
      <w:bookmarkStart w:id="797" w:name="_Toc153369178"/>
      <w:bookmarkStart w:id="798" w:name="_Toc153369235"/>
      <w:bookmarkStart w:id="799" w:name="_Toc155964096"/>
      <w:bookmarkStart w:id="800" w:name="_Toc155964526"/>
      <w:bookmarkStart w:id="801" w:name="_Toc155968909"/>
      <w:bookmarkStart w:id="802" w:name="_Toc155969494"/>
      <w:bookmarkStart w:id="803" w:name="_Toc155969571"/>
      <w:bookmarkStart w:id="804" w:name="_Toc155969625"/>
      <w:bookmarkStart w:id="805" w:name="_Toc155970012"/>
      <w:bookmarkStart w:id="806" w:name="_Toc155970057"/>
      <w:bookmarkStart w:id="807" w:name="_Toc155971412"/>
      <w:bookmarkStart w:id="808" w:name="_Toc155976370"/>
      <w:bookmarkStart w:id="809" w:name="_Toc155977148"/>
      <w:bookmarkStart w:id="810" w:name="_Toc155977328"/>
      <w:bookmarkStart w:id="811" w:name="_Toc155977348"/>
      <w:bookmarkStart w:id="812" w:name="_Toc155977369"/>
      <w:bookmarkStart w:id="813" w:name="_Toc155977413"/>
      <w:bookmarkStart w:id="814" w:name="_Toc155977504"/>
      <w:bookmarkStart w:id="815" w:name="_Toc156386186"/>
      <w:bookmarkStart w:id="816" w:name="_Toc156387321"/>
      <w:bookmarkStart w:id="817" w:name="_Toc156387361"/>
      <w:bookmarkStart w:id="818" w:name="_Toc160526424"/>
      <w:bookmarkStart w:id="819" w:name="_Toc160526601"/>
      <w:bookmarkStart w:id="820" w:name="_Toc160526644"/>
      <w:bookmarkStart w:id="821" w:name="_Toc160526706"/>
      <w:bookmarkStart w:id="822" w:name="_Toc160527472"/>
      <w:bookmarkStart w:id="823" w:name="_Toc160532323"/>
      <w:bookmarkStart w:id="824" w:name="_Toc160533464"/>
      <w:bookmarkStart w:id="825" w:name="_Toc160541853"/>
      <w:bookmarkStart w:id="826" w:name="_Toc160545196"/>
      <w:bookmarkStart w:id="827" w:name="_Toc160545356"/>
      <w:bookmarkStart w:id="828" w:name="_Toc160545379"/>
      <w:bookmarkStart w:id="829" w:name="_Toc160545402"/>
      <w:bookmarkStart w:id="830" w:name="_Toc160545430"/>
      <w:bookmarkStart w:id="831" w:name="_Toc160545454"/>
      <w:bookmarkStart w:id="832" w:name="_Toc160545478"/>
      <w:bookmarkStart w:id="833" w:name="_Toc160545502"/>
      <w:bookmarkStart w:id="834" w:name="_Toc160545527"/>
      <w:bookmarkStart w:id="835" w:name="_Toc160545552"/>
      <w:bookmarkStart w:id="836" w:name="_Toc160545578"/>
      <w:bookmarkStart w:id="837" w:name="_Toc160545604"/>
      <w:bookmarkStart w:id="838" w:name="_Toc160545630"/>
      <w:bookmarkStart w:id="839" w:name="_Toc160545656"/>
      <w:bookmarkStart w:id="840" w:name="_Toc160545683"/>
      <w:bookmarkStart w:id="841" w:name="_Toc160545710"/>
      <w:bookmarkStart w:id="842" w:name="_Toc160545751"/>
      <w:bookmarkStart w:id="843" w:name="_Toc160545779"/>
      <w:bookmarkStart w:id="844" w:name="_Toc160545807"/>
      <w:bookmarkStart w:id="845" w:name="_Toc160545844"/>
      <w:bookmarkStart w:id="846" w:name="_Toc160545873"/>
      <w:bookmarkStart w:id="847" w:name="_Toc160545902"/>
      <w:bookmarkStart w:id="848" w:name="_Toc160545945"/>
      <w:bookmarkStart w:id="849" w:name="_Toc160545975"/>
      <w:bookmarkStart w:id="850" w:name="_Toc160546005"/>
      <w:bookmarkStart w:id="851" w:name="_Toc160546042"/>
      <w:bookmarkStart w:id="852" w:name="_Toc160546073"/>
      <w:bookmarkStart w:id="853" w:name="_Toc160546104"/>
      <w:bookmarkStart w:id="854" w:name="_Toc160546140"/>
      <w:bookmarkStart w:id="855" w:name="_Toc160546172"/>
      <w:bookmarkStart w:id="856" w:name="_Toc160546204"/>
      <w:bookmarkStart w:id="857" w:name="_Toc160546236"/>
      <w:bookmarkStart w:id="858" w:name="_Toc160546268"/>
      <w:bookmarkStart w:id="859" w:name="_Toc160546827"/>
      <w:bookmarkStart w:id="860" w:name="_Toc160546860"/>
      <w:bookmarkStart w:id="861" w:name="_Toc160547009"/>
      <w:bookmarkStart w:id="862" w:name="_Toc160547674"/>
      <w:bookmarkStart w:id="863" w:name="_Toc160547794"/>
      <w:bookmarkStart w:id="864" w:name="_Toc160548644"/>
      <w:bookmarkStart w:id="865" w:name="_Toc160548791"/>
      <w:bookmarkStart w:id="866" w:name="_Toc160548899"/>
      <w:bookmarkStart w:id="867" w:name="_Toc160548934"/>
      <w:bookmarkStart w:id="868" w:name="_Toc160548969"/>
      <w:bookmarkStart w:id="869" w:name="_Toc160549004"/>
      <w:bookmarkStart w:id="870" w:name="_Toc160549730"/>
      <w:bookmarkStart w:id="871" w:name="_Toc160549841"/>
      <w:bookmarkStart w:id="872" w:name="_Toc160550637"/>
      <w:bookmarkStart w:id="873" w:name="_Toc160550752"/>
      <w:bookmarkStart w:id="874" w:name="_Toc160551640"/>
      <w:bookmarkStart w:id="875" w:name="_Toc160551673"/>
      <w:bookmarkStart w:id="876" w:name="_Toc160551706"/>
      <w:bookmarkStart w:id="877" w:name="_Toc160553740"/>
      <w:bookmarkStart w:id="878" w:name="_Toc160553788"/>
      <w:bookmarkStart w:id="879" w:name="_Toc160696572"/>
      <w:bookmarkStart w:id="880" w:name="_Toc160697659"/>
      <w:bookmarkStart w:id="881" w:name="_Toc160697721"/>
      <w:bookmarkStart w:id="882" w:name="_Toc160697754"/>
      <w:bookmarkStart w:id="883" w:name="_Toc160781860"/>
      <w:bookmarkStart w:id="884" w:name="_Toc160782074"/>
      <w:bookmarkStart w:id="885" w:name="_Toc160783892"/>
      <w:bookmarkStart w:id="886" w:name="_Toc161041736"/>
      <w:bookmarkStart w:id="887" w:name="_Toc161041769"/>
      <w:bookmarkStart w:id="888" w:name="_Toc161042856"/>
      <w:bookmarkStart w:id="889" w:name="_Toc161042895"/>
      <w:bookmarkStart w:id="890" w:name="_Toc161042942"/>
      <w:bookmarkStart w:id="891" w:name="_Toc161042975"/>
      <w:bookmarkStart w:id="892" w:name="_Toc161043008"/>
      <w:bookmarkStart w:id="893" w:name="_Toc161043680"/>
      <w:bookmarkStart w:id="894" w:name="_Toc161043743"/>
      <w:bookmarkStart w:id="895" w:name="_Toc161132039"/>
      <w:bookmarkStart w:id="896" w:name="_Toc161132087"/>
      <w:bookmarkStart w:id="897" w:name="_Toc161155081"/>
      <w:bookmarkStart w:id="898" w:name="_Toc161156424"/>
      <w:bookmarkStart w:id="899" w:name="_Toc161156518"/>
      <w:bookmarkStart w:id="900" w:name="_Toc161213158"/>
      <w:bookmarkStart w:id="901" w:name="_Toc161213294"/>
      <w:bookmarkStart w:id="902" w:name="_Toc161213981"/>
      <w:bookmarkStart w:id="903" w:name="_Toc161215232"/>
      <w:bookmarkStart w:id="904" w:name="_Toc161215270"/>
      <w:bookmarkStart w:id="905" w:name="_Toc161303006"/>
      <w:bookmarkStart w:id="906" w:name="_Toc161303415"/>
      <w:bookmarkStart w:id="907" w:name="_Toc161304700"/>
      <w:bookmarkStart w:id="908" w:name="_Toc161306633"/>
      <w:bookmarkStart w:id="909" w:name="_Toc161307201"/>
      <w:bookmarkStart w:id="910" w:name="_Toc161307685"/>
      <w:bookmarkStart w:id="911" w:name="_Toc161307728"/>
      <w:bookmarkStart w:id="912" w:name="_Toc161310155"/>
      <w:bookmarkStart w:id="913" w:name="_Toc161310188"/>
      <w:bookmarkStart w:id="914" w:name="_Toc161311196"/>
      <w:bookmarkStart w:id="915" w:name="_Toc161311229"/>
      <w:bookmarkStart w:id="916" w:name="_Toc161320093"/>
      <w:bookmarkStart w:id="917" w:name="_Toc161320163"/>
      <w:bookmarkStart w:id="918" w:name="_Toc161320196"/>
      <w:bookmarkStart w:id="919" w:name="_Toc161320625"/>
      <w:bookmarkStart w:id="920" w:name="_Toc161322248"/>
      <w:bookmarkStart w:id="921" w:name="_Toc161322446"/>
      <w:bookmarkStart w:id="922" w:name="_Toc161322498"/>
      <w:bookmarkStart w:id="923" w:name="_Toc161323814"/>
      <w:bookmarkStart w:id="924" w:name="_Toc161323870"/>
      <w:bookmarkStart w:id="925" w:name="_Toc161324219"/>
      <w:bookmarkStart w:id="926" w:name="_Toc161324334"/>
      <w:bookmarkStart w:id="927" w:name="_Toc161736492"/>
      <w:bookmarkStart w:id="928" w:name="_Toc161738956"/>
      <w:bookmarkStart w:id="929" w:name="_Toc161829863"/>
      <w:bookmarkStart w:id="930" w:name="_Toc161833244"/>
      <w:bookmarkStart w:id="931" w:name="_Toc161833869"/>
      <w:bookmarkStart w:id="932" w:name="_Toc161834010"/>
      <w:bookmarkStart w:id="933" w:name="_Toc161834085"/>
      <w:bookmarkStart w:id="934" w:name="_Toc161834164"/>
      <w:bookmarkStart w:id="935" w:name="_Toc161836807"/>
      <w:bookmarkStart w:id="936" w:name="_Toc161836944"/>
      <w:bookmarkStart w:id="937" w:name="_Toc161836976"/>
      <w:bookmarkStart w:id="938" w:name="_Toc162944540"/>
      <w:bookmarkStart w:id="939" w:name="_Toc163028726"/>
      <w:bookmarkStart w:id="940" w:name="_Toc163029156"/>
      <w:bookmarkStart w:id="941" w:name="_Toc163030866"/>
      <w:bookmarkStart w:id="942" w:name="_Toc163031685"/>
      <w:bookmarkStart w:id="943" w:name="_Toc163031709"/>
      <w:bookmarkStart w:id="944" w:name="_Toc163031733"/>
      <w:bookmarkStart w:id="945" w:name="_Toc163031857"/>
      <w:bookmarkStart w:id="946" w:name="_Toc163031998"/>
      <w:bookmarkStart w:id="947" w:name="_Toc163032052"/>
      <w:bookmarkStart w:id="948" w:name="_Toc163032131"/>
      <w:bookmarkStart w:id="949" w:name="_Toc163032180"/>
      <w:bookmarkStart w:id="950" w:name="_Toc163032338"/>
      <w:bookmarkStart w:id="951" w:name="_Toc163032666"/>
      <w:bookmarkStart w:id="952" w:name="_Toc163032691"/>
      <w:bookmarkStart w:id="953" w:name="_Toc163032716"/>
      <w:bookmarkStart w:id="954" w:name="_Toc163032741"/>
      <w:bookmarkStart w:id="955" w:name="_Toc163032808"/>
      <w:bookmarkStart w:id="956" w:name="_Toc163032850"/>
      <w:bookmarkStart w:id="957" w:name="_Toc163033180"/>
      <w:bookmarkStart w:id="958" w:name="_Toc163033206"/>
      <w:bookmarkStart w:id="959" w:name="_Toc163033232"/>
      <w:bookmarkStart w:id="960" w:name="_Toc163033258"/>
      <w:bookmarkStart w:id="961" w:name="_Toc163033285"/>
      <w:bookmarkStart w:id="962" w:name="_Toc163033312"/>
      <w:bookmarkStart w:id="963" w:name="_Toc163033339"/>
      <w:bookmarkStart w:id="964" w:name="_Toc163033367"/>
      <w:bookmarkStart w:id="965" w:name="_Toc163033395"/>
      <w:bookmarkStart w:id="966" w:name="_Toc163033534"/>
      <w:bookmarkStart w:id="967" w:name="_Toc163033563"/>
      <w:bookmarkStart w:id="968" w:name="_Toc163033592"/>
      <w:bookmarkStart w:id="969" w:name="_Toc163033621"/>
      <w:bookmarkStart w:id="970" w:name="_Toc163033651"/>
      <w:bookmarkStart w:id="971" w:name="_Toc163033681"/>
      <w:bookmarkStart w:id="972" w:name="_Toc163033711"/>
      <w:bookmarkStart w:id="973" w:name="_Toc163033741"/>
      <w:bookmarkStart w:id="974" w:name="_Toc163033772"/>
      <w:bookmarkStart w:id="975" w:name="_Toc163033803"/>
      <w:bookmarkStart w:id="976" w:name="_Toc163033834"/>
      <w:bookmarkStart w:id="977" w:name="_Toc163033866"/>
      <w:bookmarkStart w:id="978" w:name="_Toc163033898"/>
      <w:bookmarkStart w:id="979" w:name="_Toc163033930"/>
      <w:bookmarkStart w:id="980" w:name="_Toc163033962"/>
      <w:bookmarkStart w:id="981" w:name="_Toc163033995"/>
      <w:bookmarkStart w:id="982" w:name="_Toc163034028"/>
      <w:bookmarkStart w:id="983" w:name="_Toc163034061"/>
      <w:bookmarkStart w:id="984" w:name="_Toc163034095"/>
      <w:bookmarkStart w:id="985" w:name="_Toc163034129"/>
      <w:bookmarkStart w:id="986" w:name="_Toc163034163"/>
      <w:bookmarkStart w:id="987" w:name="_Toc163034254"/>
      <w:bookmarkStart w:id="988" w:name="_Toc163034287"/>
      <w:bookmarkStart w:id="989" w:name="_Toc163034320"/>
      <w:bookmarkStart w:id="990" w:name="_Toc163034353"/>
      <w:bookmarkStart w:id="991" w:name="_Toc163036608"/>
      <w:bookmarkStart w:id="992" w:name="_Toc163036641"/>
      <w:bookmarkStart w:id="993" w:name="_Toc163036720"/>
      <w:bookmarkStart w:id="994" w:name="_Toc163036758"/>
      <w:bookmarkStart w:id="995" w:name="_Toc163036799"/>
      <w:r w:rsidRPr="007D7B32">
        <w:rPr>
          <w:rFonts w:ascii="Times New Roman" w:hAnsi="Times New Roman" w:cs="Times New Roman"/>
        </w:rPr>
        <w:lastRenderedPageBreak/>
        <w:t>4. Rozhodnutí Evropského parlamentu</w:t>
      </w:r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r w:rsidRPr="007D7B32">
        <w:rPr>
          <w:rFonts w:ascii="Times New Roman" w:hAnsi="Times New Roman" w:cs="Times New Roman"/>
        </w:rPr>
        <w:t xml:space="preserve"> ze dne 11. dubna 2024</w:t>
      </w:r>
      <w:bookmarkStart w:id="996" w:name="_Toc162944541"/>
      <w:bookmarkStart w:id="997" w:name="_Toc163036800"/>
      <w:r w:rsidRPr="007D7B32">
        <w:rPr>
          <w:rFonts w:ascii="Times New Roman" w:hAnsi="Times New Roman" w:cs="Times New Roman"/>
        </w:rPr>
        <w:t xml:space="preserve"> </w:t>
      </w:r>
      <w:r w:rsidR="00FA2D6B" w:rsidRPr="007D7B32">
        <w:rPr>
          <w:rFonts w:ascii="Times New Roman" w:hAnsi="Times New Roman" w:cs="Times New Roman"/>
        </w:rPr>
        <w:t>o udělení absolutoria za plnění rozpočtu Výkonné agentury Evropské rady pro inovace a pro malé a střední podniky na rozpočtový rok 2022</w:t>
      </w:r>
      <w:bookmarkEnd w:id="996"/>
      <w:bookmarkEnd w:id="997"/>
      <w:r w:rsidRPr="007D7B32">
        <w:rPr>
          <w:rFonts w:ascii="Times New Roman" w:hAnsi="Times New Roman" w:cs="Times New Roman"/>
        </w:rPr>
        <w:t xml:space="preserve"> </w:t>
      </w:r>
      <w:r w:rsidR="00FA2D6B" w:rsidRPr="007D7B32">
        <w:rPr>
          <w:rFonts w:ascii="Times New Roman" w:hAnsi="Times New Roman" w:cs="Times New Roman"/>
        </w:rPr>
        <w:t>(2023/2129(DEC))</w:t>
      </w:r>
    </w:p>
    <w:p w:rsidR="00FA2D6B" w:rsidRPr="007D7B32" w:rsidRDefault="00FA2D6B" w:rsidP="005E7441">
      <w:pPr>
        <w:pStyle w:val="EPComma"/>
        <w:spacing w:before="0"/>
      </w:pPr>
      <w:r w:rsidRPr="007D7B32">
        <w:rPr>
          <w:i/>
          <w:iCs/>
        </w:rPr>
        <w:t>Evropský parlament</w:t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souhrnný rozpočet Evropské unie na rozpočtový rok 2022</w:t>
      </w:r>
      <w:r w:rsidRPr="007D7B32">
        <w:rPr>
          <w:rStyle w:val="FootnoteReference"/>
        </w:rPr>
        <w:footnoteReference w:id="24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 ohledem na konsolidovanou účetní závěrku Evropské unie za rozpočtový rok 2022 (COM(2023)0391 – C9</w:t>
      </w:r>
      <w:r w:rsidRPr="007D7B32">
        <w:noBreakHyphen/>
        <w:t>0248/2023)</w:t>
      </w:r>
      <w:r w:rsidRPr="007D7B32">
        <w:rPr>
          <w:rStyle w:val="FootnoteReference"/>
        </w:rPr>
        <w:footnoteReference w:id="25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konečnou roční účetní závěrku Výkonné agentury Evropské rady pro inovace a pro malé a střední podniky za rozpočtový rok 2022</w:t>
      </w:r>
      <w:r w:rsidRPr="007D7B32">
        <w:rPr>
          <w:rStyle w:val="FootnoteReference"/>
        </w:rPr>
        <w:footnoteReference w:id="26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zprávu Komise o opatřeních přijatých v návaznosti na udělení absolutoria za rozpočtový rok 2021 (COM(2023)</w:t>
      </w:r>
      <w:r w:rsidR="00423DA5" w:rsidRPr="007D7B32">
        <w:t>0</w:t>
      </w:r>
      <w:r w:rsidRPr="007D7B32">
        <w:t>384) a na podrobné odpovědi na konkrétní žádosti Evropského parlamentu,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výroční zprávu Komise předkládanou orgánu udělujícímu absolutorium o interních auditech provedených v roce 2022 (COM(2023)</w:t>
      </w:r>
      <w:r w:rsidR="00423DA5" w:rsidRPr="007D7B32">
        <w:t>0</w:t>
      </w:r>
      <w:r w:rsidRPr="007D7B32">
        <w:t>323) a na připojený pracovní dokument útvarů Komise (SWD(2023)</w:t>
      </w:r>
      <w:r w:rsidR="00F35DA0">
        <w:t>0</w:t>
      </w:r>
      <w:r w:rsidRPr="007D7B32">
        <w:t>214),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výroční zprávu Účetního dvora o agenturách EU za rozpočtový rok 2022 spolu s odpověďmi agentur</w:t>
      </w:r>
      <w:r w:rsidRPr="007D7B32">
        <w:rPr>
          <w:rStyle w:val="FootnoteReference"/>
        </w:rPr>
        <w:footnoteReference w:id="27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prohlášení o věrohodnosti</w:t>
      </w:r>
      <w:r w:rsidRPr="007D7B32">
        <w:rPr>
          <w:rStyle w:val="FootnoteReference"/>
        </w:rPr>
        <w:footnoteReference w:id="28"/>
      </w:r>
      <w:r w:rsidRPr="007D7B32">
        <w:t xml:space="preserve"> účetnictví a o legalitě a správnosti uskutečněných operací, které předložil Účetní dvůr za rozpočtový rok 2022 podle článku 287 Smlouvy o fungování Evropské unie,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 ohledem na doporučení Rady ze dne 22. února 2024 o udělení absolutoria výkonným agenturám za plnění rozpočtu na rozpočtový rok 2022 (06181/2024 – C9</w:t>
      </w:r>
      <w:r w:rsidRPr="007D7B32">
        <w:noBreakHyphen/>
        <w:t>0125/2024),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články 317, 318 a 319 Smlouvy o fungování Evropské unie,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článek 106a Smlouvy o založení Evropského společenství pro atomovou energii,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7D7B32">
        <w:rPr>
          <w:rStyle w:val="FootnoteReference"/>
        </w:rPr>
        <w:footnoteReference w:id="29"/>
      </w:r>
      <w:r w:rsidRPr="007D7B32">
        <w:t>, a zejména na články 69, 260, 261 a 262 tohoto nařízení,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 xml:space="preserve">s ohledem na nařízení Rady (ES) č. 58/2003 ze dne 19. prosince 2002, kterým se stanoví statut výkonných agentur pověřených některými úkoly správy programů </w:t>
      </w:r>
      <w:r w:rsidRPr="007D7B32">
        <w:lastRenderedPageBreak/>
        <w:t>Společenství</w:t>
      </w:r>
      <w:r w:rsidRPr="007D7B32">
        <w:rPr>
          <w:rStyle w:val="FootnoteReference"/>
        </w:rPr>
        <w:footnoteReference w:id="30"/>
      </w:r>
      <w:r w:rsidRPr="007D7B32">
        <w:t>, a zejména na čl. 14 odst. 3 tohoto nařízení,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nařízení Komise (ES) č. 1653/2004 ze dne 21. září 2004 o typovém nařízení financování výkonných agentur na základě nařízení Rady (ES) č. 58/2003 stanovující status výkonných agentur pověřených určitými úkoly souvisejícími se správou programů Společenství</w:t>
      </w:r>
      <w:r w:rsidRPr="007D7B32">
        <w:rPr>
          <w:rStyle w:val="FootnoteReference"/>
        </w:rPr>
        <w:footnoteReference w:id="31"/>
      </w:r>
      <w:r w:rsidRPr="007D7B32">
        <w:t>, a zejména na čl. 66 první a druhý pododstavec tohoto nařízení,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prováděcí rozhodnutí Komise (EU) 2021/173 ze dne 12. února 2021, kterým se zřizuje Evropská výkonná agentura pro klima, infrastrukturu a životní prostředí, Evropská výkonná agentura pro zdraví a digitální oblast, Evropská výkonná agentura pro výzkum, Výkonná agentura Evropské rady pro inovace a pro malé a střední podniky, Výkonná agentura Evropské rady pro výzkum a Evropská výkonná agentura pro vzdělávání a kulturu a zrušují prováděcí rozhodnutí 2013/801/EU, 2013/771/EU, 2013/778/EU, 2013/779/EU, 2013/776/EU a 2013/770/EU</w:t>
      </w:r>
      <w:r w:rsidRPr="007D7B32">
        <w:rPr>
          <w:rStyle w:val="FootnoteReference"/>
        </w:rPr>
        <w:footnoteReference w:id="32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článek 99 a přílohu V jednacího řádu,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stanoviska Výboru pro zahraniční věci, Výboru pro rozvoj, Výboru pro zaměstnanost a sociální věci, Výboru pro životní prostředí, veřejné zdraví a bezpečnost potravin, Výboru pro dopravu a cestovní ruch, Výboru pro regionální rozvoj, Výboru pro kulturu a vzdělávání, Výboru pro občanské svobody, spravedlnost a vnitřní věci a Výboru pro práva žen a rovnost pohlaví,</w:t>
      </w:r>
    </w:p>
    <w:p w:rsidR="00FA2D6B" w:rsidRPr="007D7B32" w:rsidRDefault="00FA2D6B" w:rsidP="005E7441">
      <w:pPr>
        <w:pStyle w:val="NormalHanging12a"/>
        <w:rPr>
          <w:szCs w:val="24"/>
        </w:rPr>
      </w:pPr>
      <w:r w:rsidRPr="007D7B32">
        <w:t>–</w:t>
      </w:r>
      <w:r w:rsidRPr="007D7B32">
        <w:tab/>
        <w:t>s ohledem na dopis Výboru pro zemědělství a rozvoj venkova,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zprávu Výboru pro rozpočtovou kontrolu (A9-0139/2024),</w:t>
      </w:r>
    </w:p>
    <w:p w:rsidR="00FA2D6B" w:rsidRPr="007D7B32" w:rsidRDefault="00FA2D6B" w:rsidP="005E7441">
      <w:pPr>
        <w:pStyle w:val="NormalHanging12a"/>
      </w:pPr>
      <w:r w:rsidRPr="007D7B32">
        <w:t>1.</w:t>
      </w:r>
      <w:r w:rsidRPr="007D7B32">
        <w:tab/>
        <w:t>uděluje absolutorium řediteli Výkonné agentury Evropské rady pro inovace a pro malé a střední podniky za plnění rozpočtu výkonné agentury na rozpočtový rok 2022;</w:t>
      </w:r>
    </w:p>
    <w:p w:rsidR="00FA2D6B" w:rsidRPr="007D7B32" w:rsidRDefault="00FA2D6B" w:rsidP="005E7441">
      <w:pPr>
        <w:pStyle w:val="NormalHanging12a"/>
      </w:pPr>
      <w:r w:rsidRPr="007D7B32">
        <w:t>2.</w:t>
      </w:r>
      <w:r w:rsidRPr="007D7B32">
        <w:tab/>
        <w:t>předkládá své připomínky v usnesení, které je nedílnou součástí rozhodnutí o udělení absolutoria za plnění souhrnného rozpočtu Evropské unie na rozpočtový rok 2022, oddíl III – Komise a výkonné agentury;</w:t>
      </w:r>
    </w:p>
    <w:p w:rsidR="00FA2D6B" w:rsidRPr="007D7B32" w:rsidRDefault="00FA2D6B" w:rsidP="005E7441">
      <w:pPr>
        <w:pStyle w:val="NormalHanging12a"/>
      </w:pPr>
      <w:r w:rsidRPr="007D7B32">
        <w:t>3.</w:t>
      </w:r>
      <w:r w:rsidRPr="007D7B32">
        <w:tab/>
        <w:t>pověřuje svou předsedkyni, aby předala toto rozhodnutí, rozhodnutí o udělení absolutoria za plnění souhrnného rozpočtu Evropské unie na rozpočtový rok 2022, oddíl III – Komise a usnesení, které je nedílnou součástí těchto rozhodnutí, řediteli Výkonné agentury Evropské rady pro inovace a pro malé a střední podniky, Radě, Komisi a Účetnímu dvoru a aby zajistila jejich zveřejnění v </w:t>
      </w:r>
      <w:r w:rsidRPr="007D7B32">
        <w:rPr>
          <w:i/>
          <w:iCs/>
        </w:rPr>
        <w:t>Úředním věstníku Evropské unie</w:t>
      </w:r>
      <w:r w:rsidRPr="007D7B32">
        <w:t xml:space="preserve"> (řada L).</w:t>
      </w:r>
    </w:p>
    <w:p w:rsidR="00FA2D6B" w:rsidRPr="007D7B32" w:rsidRDefault="00FA2D6B" w:rsidP="005E7441">
      <w:pPr>
        <w:spacing w:after="240"/>
      </w:pPr>
    </w:p>
    <w:p w:rsidR="00FA2D6B" w:rsidRPr="007D7B32" w:rsidRDefault="00FA2D6B" w:rsidP="005E7441">
      <w:pPr>
        <w:spacing w:after="240"/>
        <w:sectPr w:rsidR="00FA2D6B" w:rsidRPr="007D7B32" w:rsidSect="00B23409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FA2D6B" w:rsidRPr="007D7B32" w:rsidRDefault="00423DA5" w:rsidP="005E7441">
      <w:pPr>
        <w:pStyle w:val="PageHeadingNoLeader"/>
        <w:numPr>
          <w:ilvl w:val="0"/>
          <w:numId w:val="0"/>
        </w:numPr>
        <w:spacing w:after="240"/>
        <w:jc w:val="left"/>
        <w:rPr>
          <w:rFonts w:ascii="Times New Roman" w:hAnsi="Times New Roman" w:cs="Times New Roman"/>
        </w:rPr>
      </w:pPr>
      <w:bookmarkStart w:id="998" w:name="_Toc146613227"/>
      <w:bookmarkStart w:id="999" w:name="_Toc146613246"/>
      <w:bookmarkStart w:id="1000" w:name="_Toc146613265"/>
      <w:bookmarkStart w:id="1001" w:name="_Toc146613284"/>
      <w:bookmarkStart w:id="1002" w:name="_Toc146613303"/>
      <w:bookmarkStart w:id="1003" w:name="_Toc146613322"/>
      <w:bookmarkStart w:id="1004" w:name="_Toc146613341"/>
      <w:bookmarkStart w:id="1005" w:name="_Toc146613376"/>
      <w:bookmarkStart w:id="1006" w:name="_Toc146613420"/>
      <w:bookmarkStart w:id="1007" w:name="_Toc146613470"/>
      <w:bookmarkStart w:id="1008" w:name="_Toc146613515"/>
      <w:bookmarkStart w:id="1009" w:name="_Toc146613546"/>
      <w:bookmarkStart w:id="1010" w:name="_Toc146613565"/>
      <w:bookmarkStart w:id="1011" w:name="_Toc146613584"/>
      <w:bookmarkStart w:id="1012" w:name="_Toc146613606"/>
      <w:bookmarkStart w:id="1013" w:name="_Toc146613649"/>
      <w:bookmarkStart w:id="1014" w:name="_Toc146613683"/>
      <w:bookmarkStart w:id="1015" w:name="_Toc146613702"/>
      <w:bookmarkStart w:id="1016" w:name="_Toc146613721"/>
      <w:bookmarkStart w:id="1017" w:name="_Toc146613740"/>
      <w:bookmarkStart w:id="1018" w:name="_Toc146613759"/>
      <w:bookmarkStart w:id="1019" w:name="_Toc146613778"/>
      <w:bookmarkStart w:id="1020" w:name="_Toc146613799"/>
      <w:bookmarkStart w:id="1021" w:name="_Toc146613818"/>
      <w:bookmarkStart w:id="1022" w:name="_Toc146614143"/>
      <w:bookmarkStart w:id="1023" w:name="_Toc146614541"/>
      <w:bookmarkStart w:id="1024" w:name="_Toc146614575"/>
      <w:bookmarkStart w:id="1025" w:name="_Toc146614699"/>
      <w:bookmarkStart w:id="1026" w:name="_Toc146614754"/>
      <w:bookmarkStart w:id="1027" w:name="_Toc146614773"/>
      <w:bookmarkStart w:id="1028" w:name="_Toc146614794"/>
      <w:bookmarkStart w:id="1029" w:name="_Toc146614813"/>
      <w:bookmarkStart w:id="1030" w:name="_Toc146614832"/>
      <w:bookmarkStart w:id="1031" w:name="_Toc146615079"/>
      <w:bookmarkStart w:id="1032" w:name="_Toc146615158"/>
      <w:bookmarkStart w:id="1033" w:name="_Toc146615194"/>
      <w:bookmarkStart w:id="1034" w:name="_Toc146615213"/>
      <w:bookmarkStart w:id="1035" w:name="_Toc146615232"/>
      <w:bookmarkStart w:id="1036" w:name="_Toc146615371"/>
      <w:bookmarkStart w:id="1037" w:name="_Toc146615395"/>
      <w:bookmarkStart w:id="1038" w:name="_Toc146615433"/>
      <w:bookmarkStart w:id="1039" w:name="_Toc146615464"/>
      <w:bookmarkStart w:id="1040" w:name="_Toc146615506"/>
      <w:bookmarkStart w:id="1041" w:name="_Toc146615525"/>
      <w:bookmarkStart w:id="1042" w:name="_Toc146615544"/>
      <w:bookmarkStart w:id="1043" w:name="_Toc146615563"/>
      <w:bookmarkStart w:id="1044" w:name="_Toc146615589"/>
      <w:bookmarkStart w:id="1045" w:name="_Toc146615623"/>
      <w:bookmarkStart w:id="1046" w:name="_Toc146615649"/>
      <w:bookmarkStart w:id="1047" w:name="_Toc146615668"/>
      <w:bookmarkStart w:id="1048" w:name="_Toc146615687"/>
      <w:bookmarkStart w:id="1049" w:name="_Toc146615706"/>
      <w:bookmarkStart w:id="1050" w:name="_Toc146615729"/>
      <w:bookmarkStart w:id="1051" w:name="_Toc146615758"/>
      <w:bookmarkStart w:id="1052" w:name="_Toc146615777"/>
      <w:bookmarkStart w:id="1053" w:name="_Toc146615796"/>
      <w:bookmarkStart w:id="1054" w:name="_Toc146615868"/>
      <w:bookmarkStart w:id="1055" w:name="_Toc146615893"/>
      <w:bookmarkStart w:id="1056" w:name="_Toc146615912"/>
      <w:bookmarkStart w:id="1057" w:name="_Toc146615931"/>
      <w:bookmarkStart w:id="1058" w:name="_Toc146615950"/>
      <w:bookmarkStart w:id="1059" w:name="_Toc146615980"/>
      <w:bookmarkStart w:id="1060" w:name="_Toc146616014"/>
      <w:bookmarkStart w:id="1061" w:name="_Toc146616076"/>
      <w:bookmarkStart w:id="1062" w:name="_Toc146616190"/>
      <w:bookmarkStart w:id="1063" w:name="_Toc146616274"/>
      <w:bookmarkStart w:id="1064" w:name="_Toc146616412"/>
      <w:bookmarkStart w:id="1065" w:name="_Toc146616439"/>
      <w:bookmarkStart w:id="1066" w:name="_Toc146616462"/>
      <w:bookmarkStart w:id="1067" w:name="_Toc146616481"/>
      <w:bookmarkStart w:id="1068" w:name="_Toc146616500"/>
      <w:bookmarkStart w:id="1069" w:name="_Toc146616529"/>
      <w:bookmarkStart w:id="1070" w:name="_Toc146616556"/>
      <w:bookmarkStart w:id="1071" w:name="_Toc146616574"/>
      <w:bookmarkStart w:id="1072" w:name="_Toc146616594"/>
      <w:bookmarkStart w:id="1073" w:name="_Toc146616629"/>
      <w:bookmarkStart w:id="1074" w:name="_Toc146616661"/>
      <w:bookmarkStart w:id="1075" w:name="_Toc146616679"/>
      <w:bookmarkStart w:id="1076" w:name="_Toc146616977"/>
      <w:bookmarkStart w:id="1077" w:name="_Toc146616995"/>
      <w:bookmarkStart w:id="1078" w:name="_Toc146617013"/>
      <w:bookmarkStart w:id="1079" w:name="_Toc146617031"/>
      <w:bookmarkStart w:id="1080" w:name="_Toc146617049"/>
      <w:bookmarkStart w:id="1081" w:name="_Toc146617067"/>
      <w:bookmarkStart w:id="1082" w:name="_Toc146617085"/>
      <w:bookmarkStart w:id="1083" w:name="_Toc146617103"/>
      <w:bookmarkStart w:id="1084" w:name="_Toc146617121"/>
      <w:bookmarkStart w:id="1085" w:name="_Toc146617139"/>
      <w:bookmarkStart w:id="1086" w:name="_Toc146617157"/>
      <w:bookmarkStart w:id="1087" w:name="_Toc146617175"/>
      <w:bookmarkStart w:id="1088" w:name="_Toc146617193"/>
      <w:bookmarkStart w:id="1089" w:name="_Toc146617211"/>
      <w:bookmarkStart w:id="1090" w:name="_Toc146617229"/>
      <w:bookmarkStart w:id="1091" w:name="_Toc146617247"/>
      <w:bookmarkStart w:id="1092" w:name="_Toc146617265"/>
      <w:bookmarkStart w:id="1093" w:name="_Toc146617283"/>
      <w:bookmarkStart w:id="1094" w:name="_Toc146617382"/>
      <w:bookmarkStart w:id="1095" w:name="_Toc146617400"/>
      <w:bookmarkStart w:id="1096" w:name="_Toc146618257"/>
      <w:bookmarkStart w:id="1097" w:name="_Toc146618275"/>
      <w:bookmarkStart w:id="1098" w:name="_Toc146618293"/>
      <w:bookmarkStart w:id="1099" w:name="_Toc146619957"/>
      <w:bookmarkStart w:id="1100" w:name="_Toc146701823"/>
      <w:bookmarkStart w:id="1101" w:name="_Toc146701841"/>
      <w:bookmarkStart w:id="1102" w:name="_Toc146701861"/>
      <w:bookmarkStart w:id="1103" w:name="_Toc146702211"/>
      <w:bookmarkStart w:id="1104" w:name="_Toc146702229"/>
      <w:bookmarkStart w:id="1105" w:name="_Toc147411184"/>
      <w:bookmarkStart w:id="1106" w:name="_Toc147411401"/>
      <w:bookmarkStart w:id="1107" w:name="_Toc147411419"/>
      <w:bookmarkStart w:id="1108" w:name="_Toc153353002"/>
      <w:bookmarkStart w:id="1109" w:name="_Toc153353051"/>
      <w:bookmarkStart w:id="1110" w:name="_Toc153353070"/>
      <w:bookmarkStart w:id="1111" w:name="_Toc153353089"/>
      <w:bookmarkStart w:id="1112" w:name="_Toc153353109"/>
      <w:bookmarkStart w:id="1113" w:name="_Toc153353128"/>
      <w:bookmarkStart w:id="1114" w:name="_Toc153353147"/>
      <w:bookmarkStart w:id="1115" w:name="_Toc153353166"/>
      <w:bookmarkStart w:id="1116" w:name="_Toc153353185"/>
      <w:bookmarkStart w:id="1117" w:name="_Toc153353204"/>
      <w:bookmarkStart w:id="1118" w:name="_Toc153353223"/>
      <w:bookmarkStart w:id="1119" w:name="_Toc153353478"/>
      <w:bookmarkStart w:id="1120" w:name="_Toc153353535"/>
      <w:bookmarkStart w:id="1121" w:name="_Toc153356091"/>
      <w:bookmarkStart w:id="1122" w:name="_Toc153356116"/>
      <w:bookmarkStart w:id="1123" w:name="_Toc153357306"/>
      <w:bookmarkStart w:id="1124" w:name="_Toc153357325"/>
      <w:bookmarkStart w:id="1125" w:name="_Toc153369180"/>
      <w:bookmarkStart w:id="1126" w:name="_Toc153369237"/>
      <w:bookmarkStart w:id="1127" w:name="_Toc155964098"/>
      <w:bookmarkStart w:id="1128" w:name="_Toc155964528"/>
      <w:bookmarkStart w:id="1129" w:name="_Toc155968911"/>
      <w:bookmarkStart w:id="1130" w:name="_Toc155969496"/>
      <w:bookmarkStart w:id="1131" w:name="_Toc155969573"/>
      <w:bookmarkStart w:id="1132" w:name="_Toc155969627"/>
      <w:bookmarkStart w:id="1133" w:name="_Toc155970014"/>
      <w:bookmarkStart w:id="1134" w:name="_Toc155970059"/>
      <w:bookmarkStart w:id="1135" w:name="_Toc155971414"/>
      <w:bookmarkStart w:id="1136" w:name="_Toc155976372"/>
      <w:bookmarkStart w:id="1137" w:name="_Toc155977150"/>
      <w:bookmarkStart w:id="1138" w:name="_Toc155977330"/>
      <w:bookmarkStart w:id="1139" w:name="_Toc155977350"/>
      <w:bookmarkStart w:id="1140" w:name="_Toc155977371"/>
      <w:bookmarkStart w:id="1141" w:name="_Toc155977415"/>
      <w:bookmarkStart w:id="1142" w:name="_Toc155977506"/>
      <w:bookmarkStart w:id="1143" w:name="_Toc156386188"/>
      <w:bookmarkStart w:id="1144" w:name="_Toc156387323"/>
      <w:bookmarkStart w:id="1145" w:name="_Toc156387363"/>
      <w:bookmarkStart w:id="1146" w:name="_Toc160526426"/>
      <w:bookmarkStart w:id="1147" w:name="_Toc160526603"/>
      <w:bookmarkStart w:id="1148" w:name="_Toc160526646"/>
      <w:bookmarkStart w:id="1149" w:name="_Toc160526708"/>
      <w:bookmarkStart w:id="1150" w:name="_Toc160527474"/>
      <w:bookmarkStart w:id="1151" w:name="_Toc160532325"/>
      <w:bookmarkStart w:id="1152" w:name="_Toc160533466"/>
      <w:bookmarkStart w:id="1153" w:name="_Toc160541855"/>
      <w:bookmarkStart w:id="1154" w:name="_Toc160545198"/>
      <w:bookmarkStart w:id="1155" w:name="_Toc160545358"/>
      <w:bookmarkStart w:id="1156" w:name="_Toc160545381"/>
      <w:bookmarkStart w:id="1157" w:name="_Toc160545404"/>
      <w:bookmarkStart w:id="1158" w:name="_Toc160545432"/>
      <w:bookmarkStart w:id="1159" w:name="_Toc160545456"/>
      <w:bookmarkStart w:id="1160" w:name="_Toc160545480"/>
      <w:bookmarkStart w:id="1161" w:name="_Toc160545504"/>
      <w:bookmarkStart w:id="1162" w:name="_Toc160545529"/>
      <w:bookmarkStart w:id="1163" w:name="_Toc160545554"/>
      <w:bookmarkStart w:id="1164" w:name="_Toc160545580"/>
      <w:bookmarkStart w:id="1165" w:name="_Toc160545606"/>
      <w:bookmarkStart w:id="1166" w:name="_Toc160545632"/>
      <w:bookmarkStart w:id="1167" w:name="_Toc160545658"/>
      <w:bookmarkStart w:id="1168" w:name="_Toc160545685"/>
      <w:bookmarkStart w:id="1169" w:name="_Toc160545712"/>
      <w:bookmarkStart w:id="1170" w:name="_Toc160545753"/>
      <w:bookmarkStart w:id="1171" w:name="_Toc160545781"/>
      <w:bookmarkStart w:id="1172" w:name="_Toc160545809"/>
      <w:bookmarkStart w:id="1173" w:name="_Toc160545846"/>
      <w:bookmarkStart w:id="1174" w:name="_Toc160545875"/>
      <w:bookmarkStart w:id="1175" w:name="_Toc160545904"/>
      <w:bookmarkStart w:id="1176" w:name="_Toc160545947"/>
      <w:bookmarkStart w:id="1177" w:name="_Toc160545977"/>
      <w:bookmarkStart w:id="1178" w:name="_Toc160546007"/>
      <w:bookmarkStart w:id="1179" w:name="_Toc160546044"/>
      <w:bookmarkStart w:id="1180" w:name="_Toc160546075"/>
      <w:bookmarkStart w:id="1181" w:name="_Toc160546106"/>
      <w:bookmarkStart w:id="1182" w:name="_Toc160546142"/>
      <w:bookmarkStart w:id="1183" w:name="_Toc160546174"/>
      <w:bookmarkStart w:id="1184" w:name="_Toc160546206"/>
      <w:bookmarkStart w:id="1185" w:name="_Toc160546238"/>
      <w:bookmarkStart w:id="1186" w:name="_Toc160546270"/>
      <w:bookmarkStart w:id="1187" w:name="_Toc160546829"/>
      <w:bookmarkStart w:id="1188" w:name="_Toc160546862"/>
      <w:bookmarkStart w:id="1189" w:name="_Toc160547011"/>
      <w:bookmarkStart w:id="1190" w:name="_Toc160547676"/>
      <w:bookmarkStart w:id="1191" w:name="_Toc160547796"/>
      <w:bookmarkStart w:id="1192" w:name="_Toc160548646"/>
      <w:bookmarkStart w:id="1193" w:name="_Toc160548793"/>
      <w:bookmarkStart w:id="1194" w:name="_Toc160548901"/>
      <w:bookmarkStart w:id="1195" w:name="_Toc160548936"/>
      <w:bookmarkStart w:id="1196" w:name="_Toc160548971"/>
      <w:bookmarkStart w:id="1197" w:name="_Toc160549006"/>
      <w:bookmarkStart w:id="1198" w:name="_Toc160549732"/>
      <w:bookmarkStart w:id="1199" w:name="_Toc160549843"/>
      <w:bookmarkStart w:id="1200" w:name="_Toc160550639"/>
      <w:bookmarkStart w:id="1201" w:name="_Toc160550754"/>
      <w:bookmarkStart w:id="1202" w:name="_Toc160551642"/>
      <w:bookmarkStart w:id="1203" w:name="_Toc160551675"/>
      <w:bookmarkStart w:id="1204" w:name="_Toc160551708"/>
      <w:bookmarkStart w:id="1205" w:name="_Toc160553742"/>
      <w:bookmarkStart w:id="1206" w:name="_Toc160553790"/>
      <w:bookmarkStart w:id="1207" w:name="_Toc160696574"/>
      <w:bookmarkStart w:id="1208" w:name="_Toc160697661"/>
      <w:bookmarkStart w:id="1209" w:name="_Toc160697723"/>
      <w:bookmarkStart w:id="1210" w:name="_Toc160697756"/>
      <w:bookmarkStart w:id="1211" w:name="_Toc160781862"/>
      <w:bookmarkStart w:id="1212" w:name="_Toc160782076"/>
      <w:bookmarkStart w:id="1213" w:name="_Toc160783894"/>
      <w:bookmarkStart w:id="1214" w:name="_Toc161041738"/>
      <w:bookmarkStart w:id="1215" w:name="_Toc161041771"/>
      <w:bookmarkStart w:id="1216" w:name="_Toc161042858"/>
      <w:bookmarkStart w:id="1217" w:name="_Toc161042897"/>
      <w:bookmarkStart w:id="1218" w:name="_Toc161042944"/>
      <w:bookmarkStart w:id="1219" w:name="_Toc161042977"/>
      <w:bookmarkStart w:id="1220" w:name="_Toc161043010"/>
      <w:bookmarkStart w:id="1221" w:name="_Toc161043682"/>
      <w:bookmarkStart w:id="1222" w:name="_Toc161043745"/>
      <w:bookmarkStart w:id="1223" w:name="_Toc161132041"/>
      <w:bookmarkStart w:id="1224" w:name="_Toc161132089"/>
      <w:bookmarkStart w:id="1225" w:name="_Toc161155083"/>
      <w:bookmarkStart w:id="1226" w:name="_Toc161156426"/>
      <w:bookmarkStart w:id="1227" w:name="_Toc161156520"/>
      <w:bookmarkStart w:id="1228" w:name="_Toc161213160"/>
      <w:bookmarkStart w:id="1229" w:name="_Toc161213296"/>
      <w:bookmarkStart w:id="1230" w:name="_Toc161213983"/>
      <w:bookmarkStart w:id="1231" w:name="_Toc161215234"/>
      <w:bookmarkStart w:id="1232" w:name="_Toc161215272"/>
      <w:bookmarkStart w:id="1233" w:name="_Toc161303008"/>
      <w:bookmarkStart w:id="1234" w:name="_Toc161303417"/>
      <w:bookmarkStart w:id="1235" w:name="_Toc161304702"/>
      <w:bookmarkStart w:id="1236" w:name="_Toc161306635"/>
      <w:bookmarkStart w:id="1237" w:name="_Toc161307203"/>
      <w:bookmarkStart w:id="1238" w:name="_Toc161307687"/>
      <w:bookmarkStart w:id="1239" w:name="_Toc161307730"/>
      <w:bookmarkStart w:id="1240" w:name="_Toc161310157"/>
      <w:bookmarkStart w:id="1241" w:name="_Toc161310190"/>
      <w:bookmarkStart w:id="1242" w:name="_Toc161311198"/>
      <w:bookmarkStart w:id="1243" w:name="_Toc161311231"/>
      <w:bookmarkStart w:id="1244" w:name="_Toc161320095"/>
      <w:bookmarkStart w:id="1245" w:name="_Toc161320165"/>
      <w:bookmarkStart w:id="1246" w:name="_Toc161320198"/>
      <w:bookmarkStart w:id="1247" w:name="_Toc161320627"/>
      <w:bookmarkStart w:id="1248" w:name="_Toc161322250"/>
      <w:bookmarkStart w:id="1249" w:name="_Toc161322448"/>
      <w:bookmarkStart w:id="1250" w:name="_Toc161322500"/>
      <w:bookmarkStart w:id="1251" w:name="_Toc161323816"/>
      <w:bookmarkStart w:id="1252" w:name="_Toc161323872"/>
      <w:bookmarkStart w:id="1253" w:name="_Toc161324221"/>
      <w:bookmarkStart w:id="1254" w:name="_Toc161324336"/>
      <w:bookmarkStart w:id="1255" w:name="_Toc161736494"/>
      <w:bookmarkStart w:id="1256" w:name="_Toc161738958"/>
      <w:bookmarkStart w:id="1257" w:name="_Toc161829865"/>
      <w:bookmarkStart w:id="1258" w:name="_Toc161833246"/>
      <w:bookmarkStart w:id="1259" w:name="_Toc161833871"/>
      <w:bookmarkStart w:id="1260" w:name="_Toc161834012"/>
      <w:bookmarkStart w:id="1261" w:name="_Toc161834087"/>
      <w:bookmarkStart w:id="1262" w:name="_Toc161834166"/>
      <w:bookmarkStart w:id="1263" w:name="_Toc161836809"/>
      <w:bookmarkStart w:id="1264" w:name="_Toc161836946"/>
      <w:bookmarkStart w:id="1265" w:name="_Toc161836978"/>
      <w:bookmarkStart w:id="1266" w:name="_Toc162944542"/>
      <w:bookmarkStart w:id="1267" w:name="_Toc163028728"/>
      <w:bookmarkStart w:id="1268" w:name="_Toc163029158"/>
      <w:bookmarkStart w:id="1269" w:name="_Toc163030868"/>
      <w:bookmarkStart w:id="1270" w:name="_Toc163031687"/>
      <w:bookmarkStart w:id="1271" w:name="_Toc163031711"/>
      <w:bookmarkStart w:id="1272" w:name="_Toc163031735"/>
      <w:bookmarkStart w:id="1273" w:name="_Toc163031859"/>
      <w:bookmarkStart w:id="1274" w:name="_Toc163032000"/>
      <w:bookmarkStart w:id="1275" w:name="_Toc163032054"/>
      <w:bookmarkStart w:id="1276" w:name="_Toc163032133"/>
      <w:bookmarkStart w:id="1277" w:name="_Toc163032182"/>
      <w:bookmarkStart w:id="1278" w:name="_Toc163032340"/>
      <w:bookmarkStart w:id="1279" w:name="_Toc163032668"/>
      <w:bookmarkStart w:id="1280" w:name="_Toc163032693"/>
      <w:bookmarkStart w:id="1281" w:name="_Toc163032718"/>
      <w:bookmarkStart w:id="1282" w:name="_Toc163032743"/>
      <w:bookmarkStart w:id="1283" w:name="_Toc163032810"/>
      <w:bookmarkStart w:id="1284" w:name="_Toc163032852"/>
      <w:bookmarkStart w:id="1285" w:name="_Toc163033182"/>
      <w:bookmarkStart w:id="1286" w:name="_Toc163033208"/>
      <w:bookmarkStart w:id="1287" w:name="_Toc163033234"/>
      <w:bookmarkStart w:id="1288" w:name="_Toc163033260"/>
      <w:bookmarkStart w:id="1289" w:name="_Toc163033287"/>
      <w:bookmarkStart w:id="1290" w:name="_Toc163033314"/>
      <w:bookmarkStart w:id="1291" w:name="_Toc163033341"/>
      <w:bookmarkStart w:id="1292" w:name="_Toc163033369"/>
      <w:bookmarkStart w:id="1293" w:name="_Toc163033397"/>
      <w:bookmarkStart w:id="1294" w:name="_Toc163033536"/>
      <w:bookmarkStart w:id="1295" w:name="_Toc163033565"/>
      <w:bookmarkStart w:id="1296" w:name="_Toc163033594"/>
      <w:bookmarkStart w:id="1297" w:name="_Toc163033623"/>
      <w:bookmarkStart w:id="1298" w:name="_Toc163033653"/>
      <w:bookmarkStart w:id="1299" w:name="_Toc163033683"/>
      <w:bookmarkStart w:id="1300" w:name="_Toc163033713"/>
      <w:bookmarkStart w:id="1301" w:name="_Toc163033743"/>
      <w:bookmarkStart w:id="1302" w:name="_Toc163033774"/>
      <w:bookmarkStart w:id="1303" w:name="_Toc163033805"/>
      <w:bookmarkStart w:id="1304" w:name="_Toc163033836"/>
      <w:bookmarkStart w:id="1305" w:name="_Toc163033868"/>
      <w:bookmarkStart w:id="1306" w:name="_Toc163033900"/>
      <w:bookmarkStart w:id="1307" w:name="_Toc163033932"/>
      <w:bookmarkStart w:id="1308" w:name="_Toc163033964"/>
      <w:bookmarkStart w:id="1309" w:name="_Toc163033997"/>
      <w:bookmarkStart w:id="1310" w:name="_Toc163034030"/>
      <w:bookmarkStart w:id="1311" w:name="_Toc163034063"/>
      <w:bookmarkStart w:id="1312" w:name="_Toc163034097"/>
      <w:bookmarkStart w:id="1313" w:name="_Toc163034131"/>
      <w:bookmarkStart w:id="1314" w:name="_Toc163034165"/>
      <w:bookmarkStart w:id="1315" w:name="_Toc163034256"/>
      <w:bookmarkStart w:id="1316" w:name="_Toc163034289"/>
      <w:bookmarkStart w:id="1317" w:name="_Toc163034322"/>
      <w:bookmarkStart w:id="1318" w:name="_Toc163034355"/>
      <w:bookmarkStart w:id="1319" w:name="_Toc163036610"/>
      <w:bookmarkStart w:id="1320" w:name="_Toc163036643"/>
      <w:bookmarkStart w:id="1321" w:name="_Toc163036722"/>
      <w:bookmarkStart w:id="1322" w:name="_Toc163036760"/>
      <w:bookmarkStart w:id="1323" w:name="_Toc163036801"/>
      <w:r w:rsidRPr="007D7B32">
        <w:rPr>
          <w:rFonts w:ascii="Times New Roman" w:hAnsi="Times New Roman" w:cs="Times New Roman"/>
        </w:rPr>
        <w:lastRenderedPageBreak/>
        <w:t>5. Rozhodnutí Evropského parlamentu</w:t>
      </w:r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  <w:bookmarkEnd w:id="1069"/>
      <w:bookmarkEnd w:id="1070"/>
      <w:bookmarkEnd w:id="1071"/>
      <w:bookmarkEnd w:id="1072"/>
      <w:bookmarkEnd w:id="1073"/>
      <w:bookmarkEnd w:id="1074"/>
      <w:bookmarkEnd w:id="1075"/>
      <w:bookmarkEnd w:id="1076"/>
      <w:bookmarkEnd w:id="1077"/>
      <w:bookmarkEnd w:id="1078"/>
      <w:bookmarkEnd w:id="1079"/>
      <w:bookmarkEnd w:id="1080"/>
      <w:bookmarkEnd w:id="1081"/>
      <w:bookmarkEnd w:id="1082"/>
      <w:bookmarkEnd w:id="1083"/>
      <w:bookmarkEnd w:id="1084"/>
      <w:bookmarkEnd w:id="1085"/>
      <w:bookmarkEnd w:id="1086"/>
      <w:bookmarkEnd w:id="1087"/>
      <w:bookmarkEnd w:id="1088"/>
      <w:bookmarkEnd w:id="1089"/>
      <w:bookmarkEnd w:id="1090"/>
      <w:bookmarkEnd w:id="1091"/>
      <w:bookmarkEnd w:id="1092"/>
      <w:bookmarkEnd w:id="1093"/>
      <w:bookmarkEnd w:id="1094"/>
      <w:bookmarkEnd w:id="1095"/>
      <w:bookmarkEnd w:id="1096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bookmarkEnd w:id="1105"/>
      <w:bookmarkEnd w:id="1106"/>
      <w:bookmarkEnd w:id="1107"/>
      <w:bookmarkEnd w:id="1108"/>
      <w:bookmarkEnd w:id="1109"/>
      <w:bookmarkEnd w:id="1110"/>
      <w:bookmarkEnd w:id="1111"/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  <w:bookmarkEnd w:id="1122"/>
      <w:bookmarkEnd w:id="1123"/>
      <w:bookmarkEnd w:id="1124"/>
      <w:bookmarkEnd w:id="1125"/>
      <w:bookmarkEnd w:id="1126"/>
      <w:bookmarkEnd w:id="1127"/>
      <w:bookmarkEnd w:id="1128"/>
      <w:bookmarkEnd w:id="1129"/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bookmarkEnd w:id="1147"/>
      <w:bookmarkEnd w:id="1148"/>
      <w:bookmarkEnd w:id="1149"/>
      <w:bookmarkEnd w:id="1150"/>
      <w:bookmarkEnd w:id="1151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bookmarkEnd w:id="1164"/>
      <w:bookmarkEnd w:id="1165"/>
      <w:bookmarkEnd w:id="1166"/>
      <w:bookmarkEnd w:id="1167"/>
      <w:bookmarkEnd w:id="1168"/>
      <w:bookmarkEnd w:id="1169"/>
      <w:bookmarkEnd w:id="1170"/>
      <w:bookmarkEnd w:id="1171"/>
      <w:bookmarkEnd w:id="1172"/>
      <w:bookmarkEnd w:id="1173"/>
      <w:bookmarkEnd w:id="1174"/>
      <w:bookmarkEnd w:id="1175"/>
      <w:bookmarkEnd w:id="1176"/>
      <w:bookmarkEnd w:id="1177"/>
      <w:bookmarkEnd w:id="1178"/>
      <w:bookmarkEnd w:id="1179"/>
      <w:bookmarkEnd w:id="1180"/>
      <w:bookmarkEnd w:id="1181"/>
      <w:bookmarkEnd w:id="1182"/>
      <w:bookmarkEnd w:id="1183"/>
      <w:bookmarkEnd w:id="1184"/>
      <w:bookmarkEnd w:id="1185"/>
      <w:bookmarkEnd w:id="1186"/>
      <w:bookmarkEnd w:id="1187"/>
      <w:bookmarkEnd w:id="1188"/>
      <w:bookmarkEnd w:id="1189"/>
      <w:bookmarkEnd w:id="1190"/>
      <w:bookmarkEnd w:id="1191"/>
      <w:bookmarkEnd w:id="1192"/>
      <w:bookmarkEnd w:id="1193"/>
      <w:bookmarkEnd w:id="1194"/>
      <w:bookmarkEnd w:id="1195"/>
      <w:bookmarkEnd w:id="1196"/>
      <w:bookmarkEnd w:id="1197"/>
      <w:bookmarkEnd w:id="1198"/>
      <w:bookmarkEnd w:id="1199"/>
      <w:bookmarkEnd w:id="1200"/>
      <w:bookmarkEnd w:id="1201"/>
      <w:bookmarkEnd w:id="1202"/>
      <w:bookmarkEnd w:id="1203"/>
      <w:bookmarkEnd w:id="1204"/>
      <w:bookmarkEnd w:id="1205"/>
      <w:bookmarkEnd w:id="1206"/>
      <w:bookmarkEnd w:id="1207"/>
      <w:bookmarkEnd w:id="1208"/>
      <w:bookmarkEnd w:id="1209"/>
      <w:bookmarkEnd w:id="1210"/>
      <w:bookmarkEnd w:id="1211"/>
      <w:bookmarkEnd w:id="1212"/>
      <w:bookmarkEnd w:id="1213"/>
      <w:bookmarkEnd w:id="1214"/>
      <w:bookmarkEnd w:id="1215"/>
      <w:bookmarkEnd w:id="1216"/>
      <w:bookmarkEnd w:id="1217"/>
      <w:bookmarkEnd w:id="1218"/>
      <w:bookmarkEnd w:id="1219"/>
      <w:bookmarkEnd w:id="1220"/>
      <w:bookmarkEnd w:id="1221"/>
      <w:bookmarkEnd w:id="1222"/>
      <w:bookmarkEnd w:id="1223"/>
      <w:bookmarkEnd w:id="1224"/>
      <w:bookmarkEnd w:id="1225"/>
      <w:bookmarkEnd w:id="1226"/>
      <w:bookmarkEnd w:id="1227"/>
      <w:bookmarkEnd w:id="1228"/>
      <w:bookmarkEnd w:id="1229"/>
      <w:bookmarkEnd w:id="1230"/>
      <w:bookmarkEnd w:id="1231"/>
      <w:bookmarkEnd w:id="1232"/>
      <w:bookmarkEnd w:id="1233"/>
      <w:bookmarkEnd w:id="1234"/>
      <w:bookmarkEnd w:id="1235"/>
      <w:bookmarkEnd w:id="1236"/>
      <w:bookmarkEnd w:id="1237"/>
      <w:bookmarkEnd w:id="1238"/>
      <w:bookmarkEnd w:id="1239"/>
      <w:bookmarkEnd w:id="1240"/>
      <w:bookmarkEnd w:id="1241"/>
      <w:bookmarkEnd w:id="1242"/>
      <w:bookmarkEnd w:id="1243"/>
      <w:bookmarkEnd w:id="1244"/>
      <w:bookmarkEnd w:id="1245"/>
      <w:bookmarkEnd w:id="1246"/>
      <w:bookmarkEnd w:id="1247"/>
      <w:bookmarkEnd w:id="1248"/>
      <w:bookmarkEnd w:id="1249"/>
      <w:bookmarkEnd w:id="1250"/>
      <w:bookmarkEnd w:id="1251"/>
      <w:bookmarkEnd w:id="1252"/>
      <w:bookmarkEnd w:id="1253"/>
      <w:bookmarkEnd w:id="1254"/>
      <w:bookmarkEnd w:id="1255"/>
      <w:bookmarkEnd w:id="1256"/>
      <w:bookmarkEnd w:id="1257"/>
      <w:bookmarkEnd w:id="1258"/>
      <w:bookmarkEnd w:id="1259"/>
      <w:bookmarkEnd w:id="1260"/>
      <w:bookmarkEnd w:id="1261"/>
      <w:bookmarkEnd w:id="1262"/>
      <w:bookmarkEnd w:id="1263"/>
      <w:bookmarkEnd w:id="1264"/>
      <w:bookmarkEnd w:id="1265"/>
      <w:bookmarkEnd w:id="1266"/>
      <w:bookmarkEnd w:id="1267"/>
      <w:bookmarkEnd w:id="1268"/>
      <w:bookmarkEnd w:id="1269"/>
      <w:bookmarkEnd w:id="1270"/>
      <w:bookmarkEnd w:id="1271"/>
      <w:bookmarkEnd w:id="1272"/>
      <w:bookmarkEnd w:id="1273"/>
      <w:bookmarkEnd w:id="1274"/>
      <w:bookmarkEnd w:id="1275"/>
      <w:bookmarkEnd w:id="1276"/>
      <w:bookmarkEnd w:id="1277"/>
      <w:bookmarkEnd w:id="1278"/>
      <w:bookmarkEnd w:id="1279"/>
      <w:bookmarkEnd w:id="1280"/>
      <w:bookmarkEnd w:id="1281"/>
      <w:bookmarkEnd w:id="1282"/>
      <w:bookmarkEnd w:id="1283"/>
      <w:bookmarkEnd w:id="1284"/>
      <w:bookmarkEnd w:id="1285"/>
      <w:bookmarkEnd w:id="1286"/>
      <w:bookmarkEnd w:id="1287"/>
      <w:bookmarkEnd w:id="1288"/>
      <w:bookmarkEnd w:id="1289"/>
      <w:bookmarkEnd w:id="1290"/>
      <w:bookmarkEnd w:id="1291"/>
      <w:bookmarkEnd w:id="1292"/>
      <w:bookmarkEnd w:id="1293"/>
      <w:bookmarkEnd w:id="1294"/>
      <w:bookmarkEnd w:id="1295"/>
      <w:bookmarkEnd w:id="1296"/>
      <w:bookmarkEnd w:id="1297"/>
      <w:bookmarkEnd w:id="1298"/>
      <w:bookmarkEnd w:id="1299"/>
      <w:bookmarkEnd w:id="1300"/>
      <w:bookmarkEnd w:id="1301"/>
      <w:bookmarkEnd w:id="1302"/>
      <w:bookmarkEnd w:id="1303"/>
      <w:bookmarkEnd w:id="1304"/>
      <w:bookmarkEnd w:id="1305"/>
      <w:bookmarkEnd w:id="1306"/>
      <w:bookmarkEnd w:id="1307"/>
      <w:bookmarkEnd w:id="1308"/>
      <w:bookmarkEnd w:id="1309"/>
      <w:bookmarkEnd w:id="1310"/>
      <w:bookmarkEnd w:id="1311"/>
      <w:bookmarkEnd w:id="1312"/>
      <w:bookmarkEnd w:id="1313"/>
      <w:bookmarkEnd w:id="1314"/>
      <w:bookmarkEnd w:id="1315"/>
      <w:bookmarkEnd w:id="1316"/>
      <w:bookmarkEnd w:id="1317"/>
      <w:bookmarkEnd w:id="1318"/>
      <w:bookmarkEnd w:id="1319"/>
      <w:bookmarkEnd w:id="1320"/>
      <w:bookmarkEnd w:id="1321"/>
      <w:bookmarkEnd w:id="1322"/>
      <w:bookmarkEnd w:id="1323"/>
      <w:r w:rsidRPr="007D7B32">
        <w:rPr>
          <w:rFonts w:ascii="Times New Roman" w:hAnsi="Times New Roman" w:cs="Times New Roman"/>
        </w:rPr>
        <w:t xml:space="preserve"> ze dne 11. dubna 2024 </w:t>
      </w:r>
      <w:bookmarkStart w:id="1324" w:name="_Toc162944543"/>
      <w:bookmarkStart w:id="1325" w:name="_Toc163036802"/>
      <w:r w:rsidR="00FA2D6B" w:rsidRPr="007D7B32">
        <w:rPr>
          <w:rFonts w:ascii="Times New Roman" w:hAnsi="Times New Roman" w:cs="Times New Roman"/>
        </w:rPr>
        <w:t>o udělení absolutoria za plnění rozpočtu Výkonné agentury Evropské rady pro výzkum na rozpočtový rok 2022</w:t>
      </w:r>
      <w:bookmarkEnd w:id="1324"/>
      <w:bookmarkEnd w:id="1325"/>
      <w:r w:rsidRPr="007D7B32">
        <w:rPr>
          <w:rFonts w:ascii="Times New Roman" w:hAnsi="Times New Roman" w:cs="Times New Roman"/>
        </w:rPr>
        <w:t xml:space="preserve"> </w:t>
      </w:r>
      <w:r w:rsidR="00FA2D6B" w:rsidRPr="007D7B32">
        <w:rPr>
          <w:rFonts w:ascii="Times New Roman" w:hAnsi="Times New Roman" w:cs="Times New Roman"/>
        </w:rPr>
        <w:t>(2023/2129(DEC))</w:t>
      </w:r>
    </w:p>
    <w:p w:rsidR="00FA2D6B" w:rsidRPr="007D7B32" w:rsidRDefault="00FA2D6B" w:rsidP="005E7441">
      <w:pPr>
        <w:pStyle w:val="EPComma"/>
        <w:spacing w:before="0"/>
      </w:pPr>
      <w:r w:rsidRPr="007D7B32">
        <w:rPr>
          <w:i/>
          <w:iCs/>
        </w:rPr>
        <w:t>Evropský parlament</w:t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souhrnný rozpočet Evropské unie na rozpočtový rok 2022</w:t>
      </w:r>
      <w:r w:rsidRPr="007D7B32">
        <w:rPr>
          <w:rStyle w:val="FootnoteReference"/>
        </w:rPr>
        <w:footnoteReference w:id="33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 ohledem na konsolidovanou účetní závěrku Evropské unie za rozpočtový rok 2022 (COM(2023)0391 – C9</w:t>
      </w:r>
      <w:r w:rsidRPr="007D7B32">
        <w:noBreakHyphen/>
        <w:t>0248/2023)</w:t>
      </w:r>
      <w:r w:rsidRPr="007D7B32">
        <w:rPr>
          <w:rStyle w:val="FootnoteReference"/>
        </w:rPr>
        <w:footnoteReference w:id="34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konečnou roční účetní závěrku Výkonné agentury Evropské rady pro výzkum za rozpočtový rok 2022</w:t>
      </w:r>
      <w:r w:rsidRPr="007D7B32">
        <w:rPr>
          <w:rStyle w:val="FootnoteReference"/>
        </w:rPr>
        <w:footnoteReference w:id="35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zprávu Komise o opatřeních přijatých v návaznosti na udělení absolutoria za rozpočtový rok 2021 (COM(2023)</w:t>
      </w:r>
      <w:r w:rsidR="00423DA5" w:rsidRPr="007D7B32">
        <w:t>0</w:t>
      </w:r>
      <w:r w:rsidRPr="007D7B32">
        <w:t>384) a na podrobné odpovědi na konkrétní žádosti Evropského parlamentu,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výroční zprávu Komise předkládanou orgánu udělujícímu absolutorium o interních auditech provedených v roce 2022 (COM(2023)</w:t>
      </w:r>
      <w:r w:rsidR="00423DA5" w:rsidRPr="007D7B32">
        <w:t>0</w:t>
      </w:r>
      <w:r w:rsidRPr="007D7B32">
        <w:t>323) a na připojený pracovní dokument útvarů Komise (SWD(2023)</w:t>
      </w:r>
      <w:r w:rsidR="00F35DA0">
        <w:t>0</w:t>
      </w:r>
      <w:r w:rsidRPr="007D7B32">
        <w:t>214),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výroční zprávu Účetního dvora o agenturách EU za rozpočtový rok 2022 spolu s odpověďmi agentur</w:t>
      </w:r>
      <w:r w:rsidRPr="007D7B32">
        <w:rPr>
          <w:rStyle w:val="FootnoteReference"/>
        </w:rPr>
        <w:footnoteReference w:id="36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prohlášení o věrohodnosti</w:t>
      </w:r>
      <w:r w:rsidRPr="007D7B32">
        <w:rPr>
          <w:rStyle w:val="FootnoteReference"/>
        </w:rPr>
        <w:footnoteReference w:id="37"/>
      </w:r>
      <w:r w:rsidRPr="007D7B32">
        <w:t xml:space="preserve"> účetnictví a o legalitě a správnosti uskutečněných operací, které předložil Účetní dvůr za rozpočtový rok 2022 podle článku 287 Smlouvy o fungování Evropské unie,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 ohledem na doporučení Rady ze dne 22. února 2024 o udělení absolutoria výkonným agenturám za plnění rozpočtu na rozpočtový rok 2022 (06181/2024 – C9</w:t>
      </w:r>
      <w:r w:rsidRPr="007D7B32">
        <w:noBreakHyphen/>
        <w:t>0125/2024),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články 317, 318 a 319 Smlouvy o fungování Evropské unie,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článek 106a Smlouvy o založení Evropského společenství pro atomovou energii,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7D7B32">
        <w:rPr>
          <w:rStyle w:val="FootnoteReference"/>
        </w:rPr>
        <w:footnoteReference w:id="38"/>
      </w:r>
      <w:r w:rsidRPr="007D7B32">
        <w:t>, a zejména na články 69, 260, 261 a 262 tohoto nařízení,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 xml:space="preserve">s ohledem na nařízení Rady (ES) č. 58/2003 ze dne 19. prosince 2002, kterým se stanoví statut výkonných agentur pověřených některými úkoly správy programů </w:t>
      </w:r>
      <w:r w:rsidRPr="007D7B32">
        <w:lastRenderedPageBreak/>
        <w:t>Společenství</w:t>
      </w:r>
      <w:r w:rsidRPr="007D7B32">
        <w:rPr>
          <w:rStyle w:val="FootnoteReference"/>
        </w:rPr>
        <w:footnoteReference w:id="39"/>
      </w:r>
      <w:r w:rsidRPr="007D7B32">
        <w:t>, a zejména na čl. 14 odst. 3 tohoto nařízení,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nařízení Komise (ES) č. 1653/2004 ze dne 21. září 2004 o typovém nařízení financování výkonných agentur na základě nařízení Rady (ES) č. 58/2003 stanovující status výkonných agentur pověřených určitými úkoly souvisejícími se správou programů Společenství</w:t>
      </w:r>
      <w:r w:rsidRPr="007D7B32">
        <w:rPr>
          <w:rStyle w:val="FootnoteReference"/>
        </w:rPr>
        <w:footnoteReference w:id="40"/>
      </w:r>
      <w:r w:rsidRPr="007D7B32">
        <w:t>, a zejména na čl. 66 první a druhý pododstavec tohoto nařízení,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prováděcí rozhodnutí Komise (EU) 2021/173 ze dne 12. února 2021, kterým se zřizuje Evropská výkonná agentura pro klima, infrastrukturu a životní prostředí, Evropská výkonná agentura pro zdraví a digitální oblast, Evropská výkonná agentura pro výzkum, Výkonná agentura Evropské rady pro inovace a pro malé a střední podniky, Výkonná agentura Evropské rady pro výzkum a Evropská výkonná agentura pro vzdělávání a kulturu a zrušují prováděcí rozhodnutí 2013/801/EU, 2013/771/EU, 2013/778/EU, 2013/779/EU, 2013/776/EU a 2013/770/EU</w:t>
      </w:r>
      <w:r w:rsidRPr="007D7B32">
        <w:rPr>
          <w:rStyle w:val="FootnoteReference"/>
        </w:rPr>
        <w:footnoteReference w:id="41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článek 99 a přílohu V jednacího řádu,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stanoviska Výboru pro zahraniční věci, Výboru pro rozvoj, Výboru pro zaměstnanost a sociální věci, Výboru pro životní prostředí, veřejné zdraví a bezpečnost potravin, Výboru pro dopravu a cestovní ruch, Výboru pro regionální rozvoj, Výboru pro kulturu a vzdělávání, Výboru pro občanské svobody, spravedlnost a vnitřní věci a Výboru pro práva žen a rovnost pohlaví,</w:t>
      </w:r>
    </w:p>
    <w:p w:rsidR="00FA2D6B" w:rsidRPr="007D7B32" w:rsidRDefault="00FA2D6B" w:rsidP="005E7441">
      <w:pPr>
        <w:pStyle w:val="NormalHanging12a"/>
        <w:rPr>
          <w:sz w:val="20"/>
        </w:rPr>
      </w:pPr>
      <w:r w:rsidRPr="007D7B32">
        <w:t>–</w:t>
      </w:r>
      <w:r w:rsidRPr="007D7B32">
        <w:tab/>
        <w:t>s ohledem na dopis Výboru pro zemědělství a rozvoj venkova,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zprávu Výboru pro rozpočtovou kontrolu (A9-0139/2024),</w:t>
      </w:r>
    </w:p>
    <w:p w:rsidR="00FA2D6B" w:rsidRPr="007D7B32" w:rsidRDefault="00FA2D6B" w:rsidP="005E7441">
      <w:pPr>
        <w:pStyle w:val="NormalHanging12a"/>
      </w:pPr>
      <w:r w:rsidRPr="007D7B32">
        <w:t>1.</w:t>
      </w:r>
      <w:r w:rsidRPr="007D7B32">
        <w:tab/>
        <w:t>uděluje absolutorium ředitel</w:t>
      </w:r>
      <w:r w:rsidR="0097382E" w:rsidRPr="007D7B32">
        <w:t>ce</w:t>
      </w:r>
      <w:r w:rsidRPr="007D7B32">
        <w:t xml:space="preserve"> Výkonné agentury Evropské rady pro výzkum za plnění rozpočtu výkonné agentury na rozpočtový rok 2022;</w:t>
      </w:r>
    </w:p>
    <w:p w:rsidR="00FA2D6B" w:rsidRPr="007D7B32" w:rsidRDefault="00FA2D6B" w:rsidP="005E7441">
      <w:pPr>
        <w:pStyle w:val="NormalHanging12a"/>
      </w:pPr>
      <w:r w:rsidRPr="007D7B32">
        <w:t>2.</w:t>
      </w:r>
      <w:r w:rsidRPr="007D7B32">
        <w:tab/>
        <w:t>předkládá své připomínky v usnesení, které je nedílnou součástí rozhodnutí o udělení absolutoria za plnění souhrnného rozpočtu Evropské unie na rozpočtový rok 2022, oddíl III – Komise a výkonné agentury;</w:t>
      </w:r>
    </w:p>
    <w:p w:rsidR="00FA2D6B" w:rsidRPr="007D7B32" w:rsidRDefault="00FA2D6B" w:rsidP="005E7441">
      <w:pPr>
        <w:pStyle w:val="NormalHanging12a"/>
      </w:pPr>
      <w:r w:rsidRPr="007D7B32">
        <w:t>3.</w:t>
      </w:r>
      <w:r w:rsidRPr="007D7B32">
        <w:tab/>
        <w:t>pověřuje svou předsedkyni, aby předala toto rozhodnutí, rozhodnutí o udělení absolutoria za plnění souhrnného rozpočtu Evropské unie na rozpočtový rok 2022, oddíl III – Komise a usnesení, které je nedílnou součástí těchto rozhodnutí, řediteli Evropské výkonné agentury pro výzkum, Radě, Komisi a Účetnímu dvoru a aby zajistila jejich zveřejnění v </w:t>
      </w:r>
      <w:r w:rsidRPr="007D7B32">
        <w:rPr>
          <w:i/>
          <w:iCs/>
        </w:rPr>
        <w:t>Úředním věstníku Evropské unie</w:t>
      </w:r>
      <w:r w:rsidRPr="007D7B32">
        <w:t xml:space="preserve"> (řada L).</w:t>
      </w:r>
    </w:p>
    <w:p w:rsidR="00FA2D6B" w:rsidRPr="007D7B32" w:rsidRDefault="00FA2D6B" w:rsidP="005E7441">
      <w:pPr>
        <w:spacing w:after="240"/>
      </w:pPr>
    </w:p>
    <w:p w:rsidR="00FA2D6B" w:rsidRPr="007D7B32" w:rsidRDefault="00FA2D6B" w:rsidP="005E7441">
      <w:pPr>
        <w:pStyle w:val="PageHeading"/>
        <w:spacing w:after="240"/>
        <w:sectPr w:rsidR="00FA2D6B" w:rsidRPr="007D7B32" w:rsidSect="00B23409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FA2D6B" w:rsidRPr="007D7B32" w:rsidRDefault="00423DA5" w:rsidP="005E7441">
      <w:pPr>
        <w:pStyle w:val="PageHeadingNoLeader"/>
        <w:numPr>
          <w:ilvl w:val="0"/>
          <w:numId w:val="0"/>
        </w:numPr>
        <w:tabs>
          <w:tab w:val="left" w:pos="0"/>
        </w:tabs>
        <w:spacing w:after="240"/>
        <w:jc w:val="left"/>
        <w:rPr>
          <w:rFonts w:ascii="Times New Roman" w:hAnsi="Times New Roman" w:cs="Times New Roman"/>
        </w:rPr>
      </w:pPr>
      <w:bookmarkStart w:id="1326" w:name="_Toc146613229"/>
      <w:bookmarkStart w:id="1327" w:name="_Toc146613248"/>
      <w:bookmarkStart w:id="1328" w:name="_Toc146613267"/>
      <w:bookmarkStart w:id="1329" w:name="_Toc146613286"/>
      <w:bookmarkStart w:id="1330" w:name="_Toc146613305"/>
      <w:bookmarkStart w:id="1331" w:name="_Toc146613324"/>
      <w:bookmarkStart w:id="1332" w:name="_Toc146613343"/>
      <w:bookmarkStart w:id="1333" w:name="_Toc146613378"/>
      <w:bookmarkStart w:id="1334" w:name="_Toc146613422"/>
      <w:bookmarkStart w:id="1335" w:name="_Toc146613472"/>
      <w:bookmarkStart w:id="1336" w:name="_Toc146613517"/>
      <w:bookmarkStart w:id="1337" w:name="_Toc146613548"/>
      <w:bookmarkStart w:id="1338" w:name="_Toc146613567"/>
      <w:bookmarkStart w:id="1339" w:name="_Toc146613586"/>
      <w:bookmarkStart w:id="1340" w:name="_Toc146613608"/>
      <w:bookmarkStart w:id="1341" w:name="_Toc146613651"/>
      <w:bookmarkStart w:id="1342" w:name="_Toc146613685"/>
      <w:bookmarkStart w:id="1343" w:name="_Toc146613704"/>
      <w:bookmarkStart w:id="1344" w:name="_Toc146613723"/>
      <w:bookmarkStart w:id="1345" w:name="_Toc146613742"/>
      <w:bookmarkStart w:id="1346" w:name="_Toc146613761"/>
      <w:bookmarkStart w:id="1347" w:name="_Toc146613780"/>
      <w:bookmarkStart w:id="1348" w:name="_Toc146613801"/>
      <w:bookmarkStart w:id="1349" w:name="_Toc146613820"/>
      <w:bookmarkStart w:id="1350" w:name="_Toc146614145"/>
      <w:bookmarkStart w:id="1351" w:name="_Toc146614543"/>
      <w:bookmarkStart w:id="1352" w:name="_Toc146614577"/>
      <w:bookmarkStart w:id="1353" w:name="_Toc146614701"/>
      <w:bookmarkStart w:id="1354" w:name="_Toc146614756"/>
      <w:bookmarkStart w:id="1355" w:name="_Toc146614775"/>
      <w:bookmarkStart w:id="1356" w:name="_Toc146614796"/>
      <w:bookmarkStart w:id="1357" w:name="_Toc146614815"/>
      <w:bookmarkStart w:id="1358" w:name="_Toc146614834"/>
      <w:bookmarkStart w:id="1359" w:name="_Toc146615081"/>
      <w:bookmarkStart w:id="1360" w:name="_Toc146615160"/>
      <w:bookmarkStart w:id="1361" w:name="_Toc146615196"/>
      <w:bookmarkStart w:id="1362" w:name="_Toc146615215"/>
      <w:bookmarkStart w:id="1363" w:name="_Toc146615234"/>
      <w:bookmarkStart w:id="1364" w:name="_Toc146615373"/>
      <w:bookmarkStart w:id="1365" w:name="_Toc146615397"/>
      <w:bookmarkStart w:id="1366" w:name="_Toc146615435"/>
      <w:bookmarkStart w:id="1367" w:name="_Toc146615466"/>
      <w:bookmarkStart w:id="1368" w:name="_Toc146615508"/>
      <w:bookmarkStart w:id="1369" w:name="_Toc146615527"/>
      <w:bookmarkStart w:id="1370" w:name="_Toc146615546"/>
      <w:bookmarkStart w:id="1371" w:name="_Toc146615565"/>
      <w:bookmarkStart w:id="1372" w:name="_Toc146615591"/>
      <w:bookmarkStart w:id="1373" w:name="_Toc146615625"/>
      <w:bookmarkStart w:id="1374" w:name="_Toc146615651"/>
      <w:bookmarkStart w:id="1375" w:name="_Toc146615670"/>
      <w:bookmarkStart w:id="1376" w:name="_Toc146615689"/>
      <w:bookmarkStart w:id="1377" w:name="_Toc146615708"/>
      <w:bookmarkStart w:id="1378" w:name="_Toc146615731"/>
      <w:bookmarkStart w:id="1379" w:name="_Toc146615760"/>
      <w:bookmarkStart w:id="1380" w:name="_Toc146615779"/>
      <w:bookmarkStart w:id="1381" w:name="_Toc146615798"/>
      <w:bookmarkStart w:id="1382" w:name="_Toc146615870"/>
      <w:bookmarkStart w:id="1383" w:name="_Toc146615895"/>
      <w:bookmarkStart w:id="1384" w:name="_Toc146615914"/>
      <w:bookmarkStart w:id="1385" w:name="_Toc146615933"/>
      <w:bookmarkStart w:id="1386" w:name="_Toc146615952"/>
      <w:bookmarkStart w:id="1387" w:name="_Toc146615982"/>
      <w:bookmarkStart w:id="1388" w:name="_Toc146616016"/>
      <w:bookmarkStart w:id="1389" w:name="_Toc146616078"/>
      <w:bookmarkStart w:id="1390" w:name="_Toc146616192"/>
      <w:bookmarkStart w:id="1391" w:name="_Toc146616276"/>
      <w:bookmarkStart w:id="1392" w:name="_Toc146616414"/>
      <w:bookmarkStart w:id="1393" w:name="_Toc146616441"/>
      <w:bookmarkStart w:id="1394" w:name="_Toc146616464"/>
      <w:bookmarkStart w:id="1395" w:name="_Toc146616483"/>
      <w:bookmarkStart w:id="1396" w:name="_Toc146616502"/>
      <w:bookmarkStart w:id="1397" w:name="_Toc146616531"/>
      <w:bookmarkStart w:id="1398" w:name="_Toc146616558"/>
      <w:bookmarkStart w:id="1399" w:name="_Toc146616576"/>
      <w:bookmarkStart w:id="1400" w:name="_Toc146616596"/>
      <w:bookmarkStart w:id="1401" w:name="_Toc146616631"/>
      <w:bookmarkStart w:id="1402" w:name="_Toc146616663"/>
      <w:bookmarkStart w:id="1403" w:name="_Toc146616681"/>
      <w:bookmarkStart w:id="1404" w:name="_Toc146616979"/>
      <w:bookmarkStart w:id="1405" w:name="_Toc146616997"/>
      <w:bookmarkStart w:id="1406" w:name="_Toc146617015"/>
      <w:bookmarkStart w:id="1407" w:name="_Toc146617033"/>
      <w:bookmarkStart w:id="1408" w:name="_Toc146617051"/>
      <w:bookmarkStart w:id="1409" w:name="_Toc146617069"/>
      <w:bookmarkStart w:id="1410" w:name="_Toc146617087"/>
      <w:bookmarkStart w:id="1411" w:name="_Toc146617105"/>
      <w:bookmarkStart w:id="1412" w:name="_Toc146617123"/>
      <w:bookmarkStart w:id="1413" w:name="_Toc146617141"/>
      <w:bookmarkStart w:id="1414" w:name="_Toc146617159"/>
      <w:bookmarkStart w:id="1415" w:name="_Toc146617177"/>
      <w:bookmarkStart w:id="1416" w:name="_Toc146617195"/>
      <w:bookmarkStart w:id="1417" w:name="_Toc146617213"/>
      <w:bookmarkStart w:id="1418" w:name="_Toc146617231"/>
      <w:bookmarkStart w:id="1419" w:name="_Toc146617249"/>
      <w:bookmarkStart w:id="1420" w:name="_Toc146617267"/>
      <w:bookmarkStart w:id="1421" w:name="_Toc146617285"/>
      <w:bookmarkStart w:id="1422" w:name="_Toc146617384"/>
      <w:bookmarkStart w:id="1423" w:name="_Toc146617402"/>
      <w:bookmarkStart w:id="1424" w:name="_Toc146618259"/>
      <w:bookmarkStart w:id="1425" w:name="_Toc146618277"/>
      <w:bookmarkStart w:id="1426" w:name="_Toc146618295"/>
      <w:bookmarkStart w:id="1427" w:name="_Toc146619959"/>
      <w:bookmarkStart w:id="1428" w:name="_Toc146701825"/>
      <w:bookmarkStart w:id="1429" w:name="_Toc146701843"/>
      <w:bookmarkStart w:id="1430" w:name="_Toc146701863"/>
      <w:bookmarkStart w:id="1431" w:name="_Toc146702213"/>
      <w:bookmarkStart w:id="1432" w:name="_Toc146702231"/>
      <w:bookmarkStart w:id="1433" w:name="_Toc147411186"/>
      <w:bookmarkStart w:id="1434" w:name="_Toc147411403"/>
      <w:bookmarkStart w:id="1435" w:name="_Toc147411421"/>
      <w:bookmarkStart w:id="1436" w:name="_Toc153353004"/>
      <w:bookmarkStart w:id="1437" w:name="_Toc153353053"/>
      <w:bookmarkStart w:id="1438" w:name="_Toc153353072"/>
      <w:bookmarkStart w:id="1439" w:name="_Toc153353091"/>
      <w:bookmarkStart w:id="1440" w:name="_Toc153353111"/>
      <w:bookmarkStart w:id="1441" w:name="_Toc153353130"/>
      <w:bookmarkStart w:id="1442" w:name="_Toc153353149"/>
      <w:bookmarkStart w:id="1443" w:name="_Toc153353168"/>
      <w:bookmarkStart w:id="1444" w:name="_Toc153353187"/>
      <w:bookmarkStart w:id="1445" w:name="_Toc153353206"/>
      <w:bookmarkStart w:id="1446" w:name="_Toc153353225"/>
      <w:bookmarkStart w:id="1447" w:name="_Toc153353480"/>
      <w:bookmarkStart w:id="1448" w:name="_Toc153353537"/>
      <w:bookmarkStart w:id="1449" w:name="_Toc153356093"/>
      <w:bookmarkStart w:id="1450" w:name="_Toc153356118"/>
      <w:bookmarkStart w:id="1451" w:name="_Toc153357308"/>
      <w:bookmarkStart w:id="1452" w:name="_Toc153357327"/>
      <w:bookmarkStart w:id="1453" w:name="_Toc153369182"/>
      <w:bookmarkStart w:id="1454" w:name="_Toc153369239"/>
      <w:bookmarkStart w:id="1455" w:name="_Toc155964100"/>
      <w:bookmarkStart w:id="1456" w:name="_Toc155964530"/>
      <w:bookmarkStart w:id="1457" w:name="_Toc155968913"/>
      <w:bookmarkStart w:id="1458" w:name="_Toc155969498"/>
      <w:bookmarkStart w:id="1459" w:name="_Toc155969575"/>
      <w:bookmarkStart w:id="1460" w:name="_Toc155969629"/>
      <w:bookmarkStart w:id="1461" w:name="_Toc155970016"/>
      <w:bookmarkStart w:id="1462" w:name="_Toc155970061"/>
      <w:bookmarkStart w:id="1463" w:name="_Toc155971416"/>
      <w:bookmarkStart w:id="1464" w:name="_Toc155976374"/>
      <w:bookmarkStart w:id="1465" w:name="_Toc155977152"/>
      <w:bookmarkStart w:id="1466" w:name="_Toc155977332"/>
      <w:bookmarkStart w:id="1467" w:name="_Toc155977352"/>
      <w:bookmarkStart w:id="1468" w:name="_Toc155977373"/>
      <w:bookmarkStart w:id="1469" w:name="_Toc155977417"/>
      <w:bookmarkStart w:id="1470" w:name="_Toc155977508"/>
      <w:bookmarkStart w:id="1471" w:name="_Toc156386190"/>
      <w:bookmarkStart w:id="1472" w:name="_Toc156387325"/>
      <w:bookmarkStart w:id="1473" w:name="_Toc156387365"/>
      <w:bookmarkStart w:id="1474" w:name="_Toc160526428"/>
      <w:bookmarkStart w:id="1475" w:name="_Toc160526605"/>
      <w:bookmarkStart w:id="1476" w:name="_Toc160526648"/>
      <w:bookmarkStart w:id="1477" w:name="_Toc160526710"/>
      <w:bookmarkStart w:id="1478" w:name="_Toc160527476"/>
      <w:bookmarkStart w:id="1479" w:name="_Toc160532327"/>
      <w:bookmarkStart w:id="1480" w:name="_Toc160533468"/>
      <w:bookmarkStart w:id="1481" w:name="_Toc160541857"/>
      <w:bookmarkStart w:id="1482" w:name="_Toc160545200"/>
      <w:bookmarkStart w:id="1483" w:name="_Toc160545360"/>
      <w:bookmarkStart w:id="1484" w:name="_Toc160545383"/>
      <w:bookmarkStart w:id="1485" w:name="_Toc160545406"/>
      <w:bookmarkStart w:id="1486" w:name="_Toc160545434"/>
      <w:bookmarkStart w:id="1487" w:name="_Toc160545458"/>
      <w:bookmarkStart w:id="1488" w:name="_Toc160545482"/>
      <w:bookmarkStart w:id="1489" w:name="_Toc160545506"/>
      <w:bookmarkStart w:id="1490" w:name="_Toc160545531"/>
      <w:bookmarkStart w:id="1491" w:name="_Toc160545556"/>
      <w:bookmarkStart w:id="1492" w:name="_Toc160545582"/>
      <w:bookmarkStart w:id="1493" w:name="_Toc160545608"/>
      <w:bookmarkStart w:id="1494" w:name="_Toc160545634"/>
      <w:bookmarkStart w:id="1495" w:name="_Toc160545660"/>
      <w:bookmarkStart w:id="1496" w:name="_Toc160545687"/>
      <w:bookmarkStart w:id="1497" w:name="_Toc160545714"/>
      <w:bookmarkStart w:id="1498" w:name="_Toc160545755"/>
      <w:bookmarkStart w:id="1499" w:name="_Toc160545783"/>
      <w:bookmarkStart w:id="1500" w:name="_Toc160545811"/>
      <w:bookmarkStart w:id="1501" w:name="_Toc160545848"/>
      <w:bookmarkStart w:id="1502" w:name="_Toc160545877"/>
      <w:bookmarkStart w:id="1503" w:name="_Toc160545906"/>
      <w:bookmarkStart w:id="1504" w:name="_Toc160545949"/>
      <w:bookmarkStart w:id="1505" w:name="_Toc160545979"/>
      <w:bookmarkStart w:id="1506" w:name="_Toc160546009"/>
      <w:bookmarkStart w:id="1507" w:name="_Toc160546046"/>
      <w:bookmarkStart w:id="1508" w:name="_Toc160546077"/>
      <w:bookmarkStart w:id="1509" w:name="_Toc160546108"/>
      <w:bookmarkStart w:id="1510" w:name="_Toc160546144"/>
      <w:bookmarkStart w:id="1511" w:name="_Toc160546176"/>
      <w:bookmarkStart w:id="1512" w:name="_Toc160546208"/>
      <w:bookmarkStart w:id="1513" w:name="_Toc160546240"/>
      <w:bookmarkStart w:id="1514" w:name="_Toc160546272"/>
      <w:bookmarkStart w:id="1515" w:name="_Toc160546831"/>
      <w:bookmarkStart w:id="1516" w:name="_Toc160546864"/>
      <w:bookmarkStart w:id="1517" w:name="_Toc160547013"/>
      <w:bookmarkStart w:id="1518" w:name="_Toc160547678"/>
      <w:bookmarkStart w:id="1519" w:name="_Toc160547798"/>
      <w:bookmarkStart w:id="1520" w:name="_Toc160548648"/>
      <w:bookmarkStart w:id="1521" w:name="_Toc160548795"/>
      <w:bookmarkStart w:id="1522" w:name="_Toc160548903"/>
      <w:bookmarkStart w:id="1523" w:name="_Toc160548938"/>
      <w:bookmarkStart w:id="1524" w:name="_Toc160548973"/>
      <w:bookmarkStart w:id="1525" w:name="_Toc160549008"/>
      <w:bookmarkStart w:id="1526" w:name="_Toc160549734"/>
      <w:bookmarkStart w:id="1527" w:name="_Toc160549845"/>
      <w:bookmarkStart w:id="1528" w:name="_Toc160550641"/>
      <w:bookmarkStart w:id="1529" w:name="_Toc160550756"/>
      <w:bookmarkStart w:id="1530" w:name="_Toc160551644"/>
      <w:bookmarkStart w:id="1531" w:name="_Toc160551677"/>
      <w:bookmarkStart w:id="1532" w:name="_Toc160551710"/>
      <w:bookmarkStart w:id="1533" w:name="_Toc160553744"/>
      <w:bookmarkStart w:id="1534" w:name="_Toc160553792"/>
      <w:bookmarkStart w:id="1535" w:name="_Toc160696576"/>
      <w:bookmarkStart w:id="1536" w:name="_Toc160697663"/>
      <w:bookmarkStart w:id="1537" w:name="_Toc160697725"/>
      <w:bookmarkStart w:id="1538" w:name="_Toc160697758"/>
      <w:bookmarkStart w:id="1539" w:name="_Toc160781864"/>
      <w:bookmarkStart w:id="1540" w:name="_Toc160782078"/>
      <w:bookmarkStart w:id="1541" w:name="_Toc160783896"/>
      <w:bookmarkStart w:id="1542" w:name="_Toc161041740"/>
      <w:bookmarkStart w:id="1543" w:name="_Toc161041773"/>
      <w:bookmarkStart w:id="1544" w:name="_Toc161042860"/>
      <w:bookmarkStart w:id="1545" w:name="_Toc161042899"/>
      <w:bookmarkStart w:id="1546" w:name="_Toc161042946"/>
      <w:bookmarkStart w:id="1547" w:name="_Toc161042979"/>
      <w:bookmarkStart w:id="1548" w:name="_Toc161043012"/>
      <w:bookmarkStart w:id="1549" w:name="_Toc161043684"/>
      <w:bookmarkStart w:id="1550" w:name="_Toc161043747"/>
      <w:bookmarkStart w:id="1551" w:name="_Toc161132043"/>
      <w:bookmarkStart w:id="1552" w:name="_Toc161132091"/>
      <w:bookmarkStart w:id="1553" w:name="_Toc161155085"/>
      <w:bookmarkStart w:id="1554" w:name="_Toc161156428"/>
      <w:bookmarkStart w:id="1555" w:name="_Toc161156522"/>
      <w:bookmarkStart w:id="1556" w:name="_Toc161213162"/>
      <w:bookmarkStart w:id="1557" w:name="_Toc161213298"/>
      <w:bookmarkStart w:id="1558" w:name="_Toc161213985"/>
      <w:bookmarkStart w:id="1559" w:name="_Toc161215236"/>
      <w:bookmarkStart w:id="1560" w:name="_Toc161215274"/>
      <w:bookmarkStart w:id="1561" w:name="_Toc161303010"/>
      <w:bookmarkStart w:id="1562" w:name="_Toc161303419"/>
      <w:bookmarkStart w:id="1563" w:name="_Toc161304704"/>
      <w:bookmarkStart w:id="1564" w:name="_Toc161306637"/>
      <w:bookmarkStart w:id="1565" w:name="_Toc161307205"/>
      <w:bookmarkStart w:id="1566" w:name="_Toc161307689"/>
      <w:bookmarkStart w:id="1567" w:name="_Toc161307732"/>
      <w:bookmarkStart w:id="1568" w:name="_Toc161310159"/>
      <w:bookmarkStart w:id="1569" w:name="_Toc161310192"/>
      <w:bookmarkStart w:id="1570" w:name="_Toc161311200"/>
      <w:bookmarkStart w:id="1571" w:name="_Toc161311233"/>
      <w:bookmarkStart w:id="1572" w:name="_Toc161320097"/>
      <w:bookmarkStart w:id="1573" w:name="_Toc161320167"/>
      <w:bookmarkStart w:id="1574" w:name="_Toc161320200"/>
      <w:bookmarkStart w:id="1575" w:name="_Toc161320629"/>
      <w:bookmarkStart w:id="1576" w:name="_Toc161322252"/>
      <w:bookmarkStart w:id="1577" w:name="_Toc161322450"/>
      <w:bookmarkStart w:id="1578" w:name="_Toc161322502"/>
      <w:bookmarkStart w:id="1579" w:name="_Toc161323818"/>
      <w:bookmarkStart w:id="1580" w:name="_Toc161323874"/>
      <w:bookmarkStart w:id="1581" w:name="_Toc161324223"/>
      <w:bookmarkStart w:id="1582" w:name="_Toc161324338"/>
      <w:bookmarkStart w:id="1583" w:name="_Toc161736496"/>
      <w:bookmarkStart w:id="1584" w:name="_Toc161738960"/>
      <w:bookmarkStart w:id="1585" w:name="_Toc161829867"/>
      <w:bookmarkStart w:id="1586" w:name="_Toc161833248"/>
      <w:bookmarkStart w:id="1587" w:name="_Toc161833873"/>
      <w:bookmarkStart w:id="1588" w:name="_Toc161834014"/>
      <w:bookmarkStart w:id="1589" w:name="_Toc161834089"/>
      <w:bookmarkStart w:id="1590" w:name="_Toc161834168"/>
      <w:bookmarkStart w:id="1591" w:name="_Toc161836811"/>
      <w:bookmarkStart w:id="1592" w:name="_Toc161836948"/>
      <w:bookmarkStart w:id="1593" w:name="_Toc161836980"/>
      <w:bookmarkStart w:id="1594" w:name="_Toc162944544"/>
      <w:bookmarkStart w:id="1595" w:name="_Toc163028730"/>
      <w:bookmarkStart w:id="1596" w:name="_Toc163029160"/>
      <w:bookmarkStart w:id="1597" w:name="_Toc163030870"/>
      <w:bookmarkStart w:id="1598" w:name="_Toc163031689"/>
      <w:bookmarkStart w:id="1599" w:name="_Toc163031713"/>
      <w:bookmarkStart w:id="1600" w:name="_Toc163031737"/>
      <w:bookmarkStart w:id="1601" w:name="_Toc163031861"/>
      <w:bookmarkStart w:id="1602" w:name="_Toc163032002"/>
      <w:bookmarkStart w:id="1603" w:name="_Toc163032056"/>
      <w:bookmarkStart w:id="1604" w:name="_Toc163032135"/>
      <w:bookmarkStart w:id="1605" w:name="_Toc163032184"/>
      <w:bookmarkStart w:id="1606" w:name="_Toc163032342"/>
      <w:bookmarkStart w:id="1607" w:name="_Toc163032670"/>
      <w:bookmarkStart w:id="1608" w:name="_Toc163032695"/>
      <w:bookmarkStart w:id="1609" w:name="_Toc163032720"/>
      <w:bookmarkStart w:id="1610" w:name="_Toc163032745"/>
      <w:bookmarkStart w:id="1611" w:name="_Toc163032812"/>
      <w:bookmarkStart w:id="1612" w:name="_Toc163032854"/>
      <w:bookmarkStart w:id="1613" w:name="_Toc163033184"/>
      <w:bookmarkStart w:id="1614" w:name="_Toc163033210"/>
      <w:bookmarkStart w:id="1615" w:name="_Toc163033236"/>
      <w:bookmarkStart w:id="1616" w:name="_Toc163033262"/>
      <w:bookmarkStart w:id="1617" w:name="_Toc163033289"/>
      <w:bookmarkStart w:id="1618" w:name="_Toc163033316"/>
      <w:bookmarkStart w:id="1619" w:name="_Toc163033343"/>
      <w:bookmarkStart w:id="1620" w:name="_Toc163033371"/>
      <w:bookmarkStart w:id="1621" w:name="_Toc163033399"/>
      <w:bookmarkStart w:id="1622" w:name="_Toc163033538"/>
      <w:bookmarkStart w:id="1623" w:name="_Toc163033567"/>
      <w:bookmarkStart w:id="1624" w:name="_Toc163033596"/>
      <w:bookmarkStart w:id="1625" w:name="_Toc163033625"/>
      <w:bookmarkStart w:id="1626" w:name="_Toc163033655"/>
      <w:bookmarkStart w:id="1627" w:name="_Toc163033685"/>
      <w:bookmarkStart w:id="1628" w:name="_Toc163033715"/>
      <w:bookmarkStart w:id="1629" w:name="_Toc163033745"/>
      <w:bookmarkStart w:id="1630" w:name="_Toc163033776"/>
      <w:bookmarkStart w:id="1631" w:name="_Toc163033807"/>
      <w:bookmarkStart w:id="1632" w:name="_Toc163033838"/>
      <w:bookmarkStart w:id="1633" w:name="_Toc163033870"/>
      <w:bookmarkStart w:id="1634" w:name="_Toc163033902"/>
      <w:bookmarkStart w:id="1635" w:name="_Toc163033934"/>
      <w:bookmarkStart w:id="1636" w:name="_Toc163033966"/>
      <w:bookmarkStart w:id="1637" w:name="_Toc163033999"/>
      <w:bookmarkStart w:id="1638" w:name="_Toc163034032"/>
      <w:bookmarkStart w:id="1639" w:name="_Toc163034065"/>
      <w:bookmarkStart w:id="1640" w:name="_Toc163034099"/>
      <w:bookmarkStart w:id="1641" w:name="_Toc163034133"/>
      <w:bookmarkStart w:id="1642" w:name="_Toc163034167"/>
      <w:bookmarkStart w:id="1643" w:name="_Toc163034258"/>
      <w:bookmarkStart w:id="1644" w:name="_Toc163034291"/>
      <w:bookmarkStart w:id="1645" w:name="_Toc163034324"/>
      <w:bookmarkStart w:id="1646" w:name="_Toc163034357"/>
      <w:bookmarkStart w:id="1647" w:name="_Toc163036612"/>
      <w:bookmarkStart w:id="1648" w:name="_Toc163036645"/>
      <w:bookmarkStart w:id="1649" w:name="_Toc163036724"/>
      <w:bookmarkStart w:id="1650" w:name="_Toc163036762"/>
      <w:bookmarkStart w:id="1651" w:name="_Toc163036803"/>
      <w:r w:rsidRPr="007D7B32">
        <w:rPr>
          <w:rFonts w:ascii="Times New Roman" w:hAnsi="Times New Roman" w:cs="Times New Roman"/>
        </w:rPr>
        <w:lastRenderedPageBreak/>
        <w:t xml:space="preserve">6. </w:t>
      </w:r>
      <w:bookmarkEnd w:id="1326"/>
      <w:bookmarkEnd w:id="1327"/>
      <w:bookmarkEnd w:id="1328"/>
      <w:bookmarkEnd w:id="1329"/>
      <w:bookmarkEnd w:id="1330"/>
      <w:bookmarkEnd w:id="1331"/>
      <w:bookmarkEnd w:id="1332"/>
      <w:bookmarkEnd w:id="1333"/>
      <w:bookmarkEnd w:id="1334"/>
      <w:bookmarkEnd w:id="1335"/>
      <w:bookmarkEnd w:id="1336"/>
      <w:bookmarkEnd w:id="1337"/>
      <w:bookmarkEnd w:id="1338"/>
      <w:bookmarkEnd w:id="1339"/>
      <w:bookmarkEnd w:id="1340"/>
      <w:bookmarkEnd w:id="1341"/>
      <w:bookmarkEnd w:id="1342"/>
      <w:bookmarkEnd w:id="1343"/>
      <w:bookmarkEnd w:id="1344"/>
      <w:bookmarkEnd w:id="1345"/>
      <w:bookmarkEnd w:id="1346"/>
      <w:bookmarkEnd w:id="1347"/>
      <w:bookmarkEnd w:id="1348"/>
      <w:bookmarkEnd w:id="1349"/>
      <w:bookmarkEnd w:id="1350"/>
      <w:bookmarkEnd w:id="1351"/>
      <w:bookmarkEnd w:id="1352"/>
      <w:bookmarkEnd w:id="1353"/>
      <w:bookmarkEnd w:id="1354"/>
      <w:bookmarkEnd w:id="1355"/>
      <w:bookmarkEnd w:id="1356"/>
      <w:bookmarkEnd w:id="1357"/>
      <w:bookmarkEnd w:id="1358"/>
      <w:bookmarkEnd w:id="1359"/>
      <w:bookmarkEnd w:id="1360"/>
      <w:bookmarkEnd w:id="1361"/>
      <w:bookmarkEnd w:id="1362"/>
      <w:bookmarkEnd w:id="1363"/>
      <w:bookmarkEnd w:id="1364"/>
      <w:bookmarkEnd w:id="1365"/>
      <w:bookmarkEnd w:id="1366"/>
      <w:bookmarkEnd w:id="1367"/>
      <w:bookmarkEnd w:id="1368"/>
      <w:bookmarkEnd w:id="1369"/>
      <w:bookmarkEnd w:id="1370"/>
      <w:bookmarkEnd w:id="1371"/>
      <w:bookmarkEnd w:id="1372"/>
      <w:bookmarkEnd w:id="1373"/>
      <w:bookmarkEnd w:id="1374"/>
      <w:bookmarkEnd w:id="1375"/>
      <w:bookmarkEnd w:id="1376"/>
      <w:bookmarkEnd w:id="1377"/>
      <w:bookmarkEnd w:id="1378"/>
      <w:bookmarkEnd w:id="1379"/>
      <w:bookmarkEnd w:id="1380"/>
      <w:bookmarkEnd w:id="1381"/>
      <w:bookmarkEnd w:id="1382"/>
      <w:bookmarkEnd w:id="1383"/>
      <w:bookmarkEnd w:id="1384"/>
      <w:bookmarkEnd w:id="1385"/>
      <w:bookmarkEnd w:id="1386"/>
      <w:bookmarkEnd w:id="1387"/>
      <w:bookmarkEnd w:id="1388"/>
      <w:bookmarkEnd w:id="1389"/>
      <w:bookmarkEnd w:id="1390"/>
      <w:bookmarkEnd w:id="1391"/>
      <w:bookmarkEnd w:id="1392"/>
      <w:bookmarkEnd w:id="1393"/>
      <w:bookmarkEnd w:id="1394"/>
      <w:bookmarkEnd w:id="1395"/>
      <w:bookmarkEnd w:id="1396"/>
      <w:bookmarkEnd w:id="1397"/>
      <w:bookmarkEnd w:id="1398"/>
      <w:bookmarkEnd w:id="1399"/>
      <w:bookmarkEnd w:id="1400"/>
      <w:bookmarkEnd w:id="1401"/>
      <w:bookmarkEnd w:id="1402"/>
      <w:bookmarkEnd w:id="1403"/>
      <w:bookmarkEnd w:id="1404"/>
      <w:bookmarkEnd w:id="1405"/>
      <w:bookmarkEnd w:id="1406"/>
      <w:bookmarkEnd w:id="1407"/>
      <w:bookmarkEnd w:id="1408"/>
      <w:bookmarkEnd w:id="1409"/>
      <w:bookmarkEnd w:id="1410"/>
      <w:bookmarkEnd w:id="1411"/>
      <w:bookmarkEnd w:id="1412"/>
      <w:bookmarkEnd w:id="1413"/>
      <w:bookmarkEnd w:id="1414"/>
      <w:bookmarkEnd w:id="1415"/>
      <w:bookmarkEnd w:id="1416"/>
      <w:bookmarkEnd w:id="1417"/>
      <w:bookmarkEnd w:id="1418"/>
      <w:bookmarkEnd w:id="1419"/>
      <w:bookmarkEnd w:id="1420"/>
      <w:bookmarkEnd w:id="1421"/>
      <w:bookmarkEnd w:id="1422"/>
      <w:bookmarkEnd w:id="1423"/>
      <w:bookmarkEnd w:id="1424"/>
      <w:bookmarkEnd w:id="1425"/>
      <w:bookmarkEnd w:id="1426"/>
      <w:bookmarkEnd w:id="1427"/>
      <w:bookmarkEnd w:id="1428"/>
      <w:bookmarkEnd w:id="1429"/>
      <w:bookmarkEnd w:id="1430"/>
      <w:bookmarkEnd w:id="1431"/>
      <w:bookmarkEnd w:id="1432"/>
      <w:bookmarkEnd w:id="1433"/>
      <w:bookmarkEnd w:id="1434"/>
      <w:bookmarkEnd w:id="1435"/>
      <w:bookmarkEnd w:id="1436"/>
      <w:bookmarkEnd w:id="1437"/>
      <w:bookmarkEnd w:id="1438"/>
      <w:bookmarkEnd w:id="1439"/>
      <w:bookmarkEnd w:id="1440"/>
      <w:bookmarkEnd w:id="1441"/>
      <w:bookmarkEnd w:id="1442"/>
      <w:bookmarkEnd w:id="1443"/>
      <w:bookmarkEnd w:id="1444"/>
      <w:bookmarkEnd w:id="1445"/>
      <w:bookmarkEnd w:id="1446"/>
      <w:bookmarkEnd w:id="1447"/>
      <w:bookmarkEnd w:id="1448"/>
      <w:bookmarkEnd w:id="1449"/>
      <w:bookmarkEnd w:id="1450"/>
      <w:bookmarkEnd w:id="1451"/>
      <w:bookmarkEnd w:id="1452"/>
      <w:bookmarkEnd w:id="1453"/>
      <w:bookmarkEnd w:id="1454"/>
      <w:bookmarkEnd w:id="1455"/>
      <w:bookmarkEnd w:id="1456"/>
      <w:bookmarkEnd w:id="1457"/>
      <w:bookmarkEnd w:id="1458"/>
      <w:bookmarkEnd w:id="1459"/>
      <w:bookmarkEnd w:id="1460"/>
      <w:bookmarkEnd w:id="1461"/>
      <w:bookmarkEnd w:id="1462"/>
      <w:bookmarkEnd w:id="1463"/>
      <w:bookmarkEnd w:id="1464"/>
      <w:bookmarkEnd w:id="1465"/>
      <w:bookmarkEnd w:id="1466"/>
      <w:bookmarkEnd w:id="1467"/>
      <w:bookmarkEnd w:id="1468"/>
      <w:bookmarkEnd w:id="1469"/>
      <w:bookmarkEnd w:id="1470"/>
      <w:bookmarkEnd w:id="1471"/>
      <w:bookmarkEnd w:id="1472"/>
      <w:bookmarkEnd w:id="1473"/>
      <w:bookmarkEnd w:id="1474"/>
      <w:bookmarkEnd w:id="1475"/>
      <w:bookmarkEnd w:id="1476"/>
      <w:bookmarkEnd w:id="1477"/>
      <w:bookmarkEnd w:id="1478"/>
      <w:bookmarkEnd w:id="1479"/>
      <w:bookmarkEnd w:id="1480"/>
      <w:bookmarkEnd w:id="1481"/>
      <w:bookmarkEnd w:id="1482"/>
      <w:bookmarkEnd w:id="1483"/>
      <w:bookmarkEnd w:id="1484"/>
      <w:bookmarkEnd w:id="1485"/>
      <w:bookmarkEnd w:id="1486"/>
      <w:bookmarkEnd w:id="1487"/>
      <w:bookmarkEnd w:id="1488"/>
      <w:bookmarkEnd w:id="1489"/>
      <w:bookmarkEnd w:id="1490"/>
      <w:bookmarkEnd w:id="1491"/>
      <w:bookmarkEnd w:id="1492"/>
      <w:bookmarkEnd w:id="1493"/>
      <w:bookmarkEnd w:id="1494"/>
      <w:bookmarkEnd w:id="1495"/>
      <w:bookmarkEnd w:id="1496"/>
      <w:bookmarkEnd w:id="1497"/>
      <w:bookmarkEnd w:id="1498"/>
      <w:bookmarkEnd w:id="1499"/>
      <w:bookmarkEnd w:id="1500"/>
      <w:bookmarkEnd w:id="1501"/>
      <w:bookmarkEnd w:id="1502"/>
      <w:bookmarkEnd w:id="1503"/>
      <w:bookmarkEnd w:id="1504"/>
      <w:bookmarkEnd w:id="1505"/>
      <w:bookmarkEnd w:id="1506"/>
      <w:bookmarkEnd w:id="1507"/>
      <w:bookmarkEnd w:id="1508"/>
      <w:bookmarkEnd w:id="1509"/>
      <w:bookmarkEnd w:id="1510"/>
      <w:bookmarkEnd w:id="1511"/>
      <w:bookmarkEnd w:id="1512"/>
      <w:bookmarkEnd w:id="1513"/>
      <w:bookmarkEnd w:id="1514"/>
      <w:bookmarkEnd w:id="1515"/>
      <w:bookmarkEnd w:id="1516"/>
      <w:bookmarkEnd w:id="1517"/>
      <w:bookmarkEnd w:id="1518"/>
      <w:bookmarkEnd w:id="1519"/>
      <w:bookmarkEnd w:id="1520"/>
      <w:bookmarkEnd w:id="1521"/>
      <w:bookmarkEnd w:id="1522"/>
      <w:bookmarkEnd w:id="1523"/>
      <w:bookmarkEnd w:id="1524"/>
      <w:bookmarkEnd w:id="1525"/>
      <w:bookmarkEnd w:id="1526"/>
      <w:bookmarkEnd w:id="1527"/>
      <w:bookmarkEnd w:id="1528"/>
      <w:bookmarkEnd w:id="1529"/>
      <w:bookmarkEnd w:id="1530"/>
      <w:bookmarkEnd w:id="1531"/>
      <w:bookmarkEnd w:id="1532"/>
      <w:bookmarkEnd w:id="1533"/>
      <w:bookmarkEnd w:id="1534"/>
      <w:bookmarkEnd w:id="1535"/>
      <w:bookmarkEnd w:id="1536"/>
      <w:bookmarkEnd w:id="1537"/>
      <w:bookmarkEnd w:id="1538"/>
      <w:bookmarkEnd w:id="1539"/>
      <w:bookmarkEnd w:id="1540"/>
      <w:bookmarkEnd w:id="1541"/>
      <w:bookmarkEnd w:id="1542"/>
      <w:bookmarkEnd w:id="1543"/>
      <w:bookmarkEnd w:id="1544"/>
      <w:bookmarkEnd w:id="1545"/>
      <w:bookmarkEnd w:id="1546"/>
      <w:bookmarkEnd w:id="1547"/>
      <w:bookmarkEnd w:id="1548"/>
      <w:bookmarkEnd w:id="1549"/>
      <w:bookmarkEnd w:id="1550"/>
      <w:bookmarkEnd w:id="1551"/>
      <w:bookmarkEnd w:id="1552"/>
      <w:bookmarkEnd w:id="1553"/>
      <w:bookmarkEnd w:id="1554"/>
      <w:bookmarkEnd w:id="1555"/>
      <w:bookmarkEnd w:id="1556"/>
      <w:bookmarkEnd w:id="1557"/>
      <w:bookmarkEnd w:id="1558"/>
      <w:bookmarkEnd w:id="1559"/>
      <w:bookmarkEnd w:id="1560"/>
      <w:bookmarkEnd w:id="1561"/>
      <w:bookmarkEnd w:id="1562"/>
      <w:bookmarkEnd w:id="1563"/>
      <w:bookmarkEnd w:id="1564"/>
      <w:bookmarkEnd w:id="1565"/>
      <w:bookmarkEnd w:id="1566"/>
      <w:bookmarkEnd w:id="1567"/>
      <w:bookmarkEnd w:id="1568"/>
      <w:bookmarkEnd w:id="1569"/>
      <w:bookmarkEnd w:id="1570"/>
      <w:bookmarkEnd w:id="1571"/>
      <w:bookmarkEnd w:id="1572"/>
      <w:bookmarkEnd w:id="1573"/>
      <w:bookmarkEnd w:id="1574"/>
      <w:bookmarkEnd w:id="1575"/>
      <w:bookmarkEnd w:id="1576"/>
      <w:bookmarkEnd w:id="1577"/>
      <w:bookmarkEnd w:id="1578"/>
      <w:bookmarkEnd w:id="1579"/>
      <w:bookmarkEnd w:id="1580"/>
      <w:bookmarkEnd w:id="1581"/>
      <w:bookmarkEnd w:id="1582"/>
      <w:bookmarkEnd w:id="1583"/>
      <w:bookmarkEnd w:id="1584"/>
      <w:bookmarkEnd w:id="1585"/>
      <w:bookmarkEnd w:id="1586"/>
      <w:bookmarkEnd w:id="1587"/>
      <w:bookmarkEnd w:id="1588"/>
      <w:bookmarkEnd w:id="1589"/>
      <w:bookmarkEnd w:id="1590"/>
      <w:bookmarkEnd w:id="1591"/>
      <w:bookmarkEnd w:id="1592"/>
      <w:bookmarkEnd w:id="1593"/>
      <w:bookmarkEnd w:id="1594"/>
      <w:bookmarkEnd w:id="1595"/>
      <w:bookmarkEnd w:id="1596"/>
      <w:bookmarkEnd w:id="1597"/>
      <w:bookmarkEnd w:id="1598"/>
      <w:bookmarkEnd w:id="1599"/>
      <w:bookmarkEnd w:id="1600"/>
      <w:bookmarkEnd w:id="1601"/>
      <w:bookmarkEnd w:id="1602"/>
      <w:bookmarkEnd w:id="1603"/>
      <w:bookmarkEnd w:id="1604"/>
      <w:bookmarkEnd w:id="1605"/>
      <w:bookmarkEnd w:id="1606"/>
      <w:bookmarkEnd w:id="1607"/>
      <w:bookmarkEnd w:id="1608"/>
      <w:bookmarkEnd w:id="1609"/>
      <w:bookmarkEnd w:id="1610"/>
      <w:bookmarkEnd w:id="1611"/>
      <w:bookmarkEnd w:id="1612"/>
      <w:bookmarkEnd w:id="1613"/>
      <w:bookmarkEnd w:id="1614"/>
      <w:bookmarkEnd w:id="1615"/>
      <w:bookmarkEnd w:id="1616"/>
      <w:bookmarkEnd w:id="1617"/>
      <w:bookmarkEnd w:id="1618"/>
      <w:bookmarkEnd w:id="1619"/>
      <w:bookmarkEnd w:id="1620"/>
      <w:bookmarkEnd w:id="1621"/>
      <w:bookmarkEnd w:id="1622"/>
      <w:bookmarkEnd w:id="1623"/>
      <w:bookmarkEnd w:id="1624"/>
      <w:bookmarkEnd w:id="1625"/>
      <w:bookmarkEnd w:id="1626"/>
      <w:bookmarkEnd w:id="1627"/>
      <w:bookmarkEnd w:id="1628"/>
      <w:bookmarkEnd w:id="1629"/>
      <w:bookmarkEnd w:id="1630"/>
      <w:bookmarkEnd w:id="1631"/>
      <w:bookmarkEnd w:id="1632"/>
      <w:bookmarkEnd w:id="1633"/>
      <w:bookmarkEnd w:id="1634"/>
      <w:bookmarkEnd w:id="1635"/>
      <w:bookmarkEnd w:id="1636"/>
      <w:bookmarkEnd w:id="1637"/>
      <w:bookmarkEnd w:id="1638"/>
      <w:bookmarkEnd w:id="1639"/>
      <w:bookmarkEnd w:id="1640"/>
      <w:bookmarkEnd w:id="1641"/>
      <w:bookmarkEnd w:id="1642"/>
      <w:bookmarkEnd w:id="1643"/>
      <w:bookmarkEnd w:id="1644"/>
      <w:bookmarkEnd w:id="1645"/>
      <w:bookmarkEnd w:id="1646"/>
      <w:bookmarkEnd w:id="1647"/>
      <w:bookmarkEnd w:id="1648"/>
      <w:bookmarkEnd w:id="1649"/>
      <w:bookmarkEnd w:id="1650"/>
      <w:bookmarkEnd w:id="1651"/>
      <w:r w:rsidRPr="007D7B32">
        <w:rPr>
          <w:rFonts w:ascii="Times New Roman" w:hAnsi="Times New Roman" w:cs="Times New Roman"/>
        </w:rPr>
        <w:t xml:space="preserve">Rozhodnutí Evropského parlamentu ze dne 11. dubna 2024 </w:t>
      </w:r>
      <w:bookmarkStart w:id="1652" w:name="_Toc162944545"/>
      <w:bookmarkStart w:id="1653" w:name="_Toc163036804"/>
      <w:r w:rsidR="00FA2D6B" w:rsidRPr="007D7B32">
        <w:rPr>
          <w:rFonts w:ascii="Times New Roman" w:hAnsi="Times New Roman" w:cs="Times New Roman"/>
        </w:rPr>
        <w:t>o udělení absolutoria za plnění rozpočtu Evropské výkonné agentury pro zdraví a digitální oblast na rozpočtový rok 2022</w:t>
      </w:r>
      <w:bookmarkEnd w:id="1652"/>
      <w:bookmarkEnd w:id="1653"/>
      <w:r w:rsidRPr="007D7B32">
        <w:rPr>
          <w:rFonts w:ascii="Times New Roman" w:hAnsi="Times New Roman" w:cs="Times New Roman"/>
        </w:rPr>
        <w:t xml:space="preserve"> </w:t>
      </w:r>
      <w:r w:rsidR="00FA2D6B" w:rsidRPr="007D7B32">
        <w:rPr>
          <w:rFonts w:ascii="Times New Roman" w:hAnsi="Times New Roman" w:cs="Times New Roman"/>
        </w:rPr>
        <w:t>(2023/2129(DEC))</w:t>
      </w:r>
    </w:p>
    <w:p w:rsidR="00FA2D6B" w:rsidRPr="007D7B32" w:rsidRDefault="00FA2D6B" w:rsidP="005E7441">
      <w:pPr>
        <w:pStyle w:val="EPComma"/>
        <w:spacing w:before="0"/>
      </w:pPr>
      <w:r w:rsidRPr="007D7B32">
        <w:rPr>
          <w:i/>
          <w:iCs/>
        </w:rPr>
        <w:t>Evropský parlament</w:t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souhrnný rozpočet Evropské unie na rozpočtový rok 2022</w:t>
      </w:r>
      <w:r w:rsidRPr="007D7B32">
        <w:rPr>
          <w:rStyle w:val="FootnoteReference"/>
        </w:rPr>
        <w:footnoteReference w:id="42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 ohledem na konsolidovanou účetní závěrku Evropské unie za rozpočtový rok 2022 (COM(2023)0391 – C9</w:t>
      </w:r>
      <w:r w:rsidRPr="007D7B32">
        <w:noBreakHyphen/>
        <w:t>0248/2023)</w:t>
      </w:r>
      <w:r w:rsidRPr="007D7B32">
        <w:rPr>
          <w:rStyle w:val="FootnoteReference"/>
        </w:rPr>
        <w:footnoteReference w:id="43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konečnou roční účetní závěrku Evropské výkonné agentury pro zdraví a digitální oblast za rozpočtový rok 2022</w:t>
      </w:r>
      <w:r w:rsidRPr="007D7B32">
        <w:rPr>
          <w:rStyle w:val="FootnoteReference"/>
        </w:rPr>
        <w:footnoteReference w:id="44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zprávu Komise o opatřeních přijatých v návaznosti na udělení absolutoria za rozpočtový rok 2021 (COM(2023)</w:t>
      </w:r>
      <w:r w:rsidR="00423DA5" w:rsidRPr="007D7B32">
        <w:t>0</w:t>
      </w:r>
      <w:r w:rsidRPr="007D7B32">
        <w:t>384) a na podrobné odpovědi na konkrétní žádosti Evropského parlamentu,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výroční zprávu Komise předkládanou orgánu udělujícímu absolutorium o interních auditech provedených v roce 2022 (COM(2023)</w:t>
      </w:r>
      <w:r w:rsidR="00423DA5" w:rsidRPr="007D7B32">
        <w:t>0</w:t>
      </w:r>
      <w:r w:rsidRPr="007D7B32">
        <w:t>323) a na připojený pracovní dokument útvarů Komise (SWD(2023)</w:t>
      </w:r>
      <w:r w:rsidR="00F35DA0">
        <w:t>0</w:t>
      </w:r>
      <w:r w:rsidRPr="007D7B32">
        <w:t>214),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výroční zprávu Účetního dvora o agenturách EU za rozpočtový rok 2022 spolu s odpověďmi agentur</w:t>
      </w:r>
      <w:r w:rsidRPr="007D7B32">
        <w:rPr>
          <w:rStyle w:val="FootnoteReference"/>
        </w:rPr>
        <w:footnoteReference w:id="45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prohlášení o věrohodnosti</w:t>
      </w:r>
      <w:r w:rsidRPr="007D7B32">
        <w:rPr>
          <w:rStyle w:val="FootnoteReference"/>
        </w:rPr>
        <w:footnoteReference w:id="46"/>
      </w:r>
      <w:r w:rsidRPr="007D7B32">
        <w:t xml:space="preserve"> účetnictví a o legalitě a správnosti uskutečněných operací, které předložil Účetní dvůr za rozpočtový rok 2022 podle článku 287 Smlouvy o fungování Evropské unie,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 ohledem na doporučení Rady ze dne 22. února 2024 o udělení absolutoria výkonným agenturám za plnění rozpočtu na rozpočtový rok 2022 (06181/2024 – C9</w:t>
      </w:r>
      <w:r w:rsidRPr="007D7B32">
        <w:noBreakHyphen/>
        <w:t>0125/2024),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články 317, 318 a 319 Smlouvy o fungování Evropské unie,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článek 106a Smlouvy o založení Evropského společenství pro atomovou energii,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7D7B32">
        <w:rPr>
          <w:rStyle w:val="FootnoteReference"/>
        </w:rPr>
        <w:footnoteReference w:id="47"/>
      </w:r>
      <w:r w:rsidRPr="007D7B32">
        <w:t>, a zejména na články 69, 260, 261 a 262 tohoto nařízení,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 xml:space="preserve">s ohledem na nařízení Rady (ES) č. 58/2003 ze dne 19. prosince 2002, kterým se stanoví statut výkonných agentur pověřených některými úkoly správy programů </w:t>
      </w:r>
      <w:r w:rsidRPr="007D7B32">
        <w:lastRenderedPageBreak/>
        <w:t>Společenství</w:t>
      </w:r>
      <w:r w:rsidRPr="007D7B32">
        <w:rPr>
          <w:rStyle w:val="FootnoteReference"/>
        </w:rPr>
        <w:footnoteReference w:id="48"/>
      </w:r>
      <w:r w:rsidRPr="007D7B32">
        <w:t>, a zejména na čl. 14 odst. 3 tohoto nařízení,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nařízení Komise (ES) č. 1653/2004 ze dne 21. září 2004 o typovém nařízení financování výkonných agentur na základě nařízení Rady (ES) č. 58/2003 stanovující status výkonných agentur pověřených určitými úkoly souvisejícími se správou programů Společenství</w:t>
      </w:r>
      <w:r w:rsidRPr="007D7B32">
        <w:rPr>
          <w:rStyle w:val="FootnoteReference"/>
        </w:rPr>
        <w:footnoteReference w:id="49"/>
      </w:r>
      <w:r w:rsidRPr="007D7B32">
        <w:t>, a zejména na čl. 66 první a druhý pododstavec tohoto nařízení,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prováděcí rozhodnutí Komise (EU) 2021/173 ze dne 12. února 2021, kterým se zřizuje Evropská výkonná agentura pro klima, infrastrukturu a životní prostředí, Evropská výkonná agentura pro zdraví a digitální oblast, Evropská výkonná agentura pro výzkum, Výkonná agentura Evropské rady pro inovace a pro malé a střední podniky, Výkonná agentura Evropské rady pro výzkum a Evropská výkonná agentura pro vzdělávání a kulturu a zrušují prováděcí rozhodnutí 2013/801/EU, 2013/771/EU, 2013/778/EU, 2013/779/EU, 2013/776/EU a 2013/770/EU</w:t>
      </w:r>
      <w:r w:rsidRPr="007D7B32">
        <w:rPr>
          <w:rStyle w:val="FootnoteReference"/>
        </w:rPr>
        <w:footnoteReference w:id="50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článek 99 a přílohu V jednacího řádu,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stanoviska Výboru pro zahraniční věci, Výboru pro rozvoj, Výboru pro zaměstnanost a sociální věci, Výboru pro životní prostředí, veřejné zdraví a bezpečnost potravin, Výboru pro dopravu a cestovní ruch, Výboru pro regionální rozvoj, Výboru pro kulturu a vzdělávání, Výboru pro občanské svobody, spravedlnost a vnitřní věci a Výboru pro práva žen a rovnost pohlaví,</w:t>
      </w:r>
    </w:p>
    <w:p w:rsidR="00FA2D6B" w:rsidRPr="007D7B32" w:rsidRDefault="00FA2D6B" w:rsidP="005E7441">
      <w:pPr>
        <w:pStyle w:val="NormalHanging12a"/>
        <w:rPr>
          <w:szCs w:val="24"/>
        </w:rPr>
      </w:pPr>
      <w:r w:rsidRPr="007D7B32">
        <w:t>–</w:t>
      </w:r>
      <w:r w:rsidRPr="007D7B32">
        <w:tab/>
        <w:t>s ohledem na dopis Výboru pro zemědělství a rozvoj venkova,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zprávu Výboru pro rozpočtovou kontrolu (A9-0139/2024),</w:t>
      </w:r>
    </w:p>
    <w:p w:rsidR="00FA2D6B" w:rsidRPr="007D7B32" w:rsidRDefault="00FA2D6B" w:rsidP="005E7441">
      <w:pPr>
        <w:pStyle w:val="NormalHanging12a"/>
      </w:pPr>
      <w:r w:rsidRPr="007D7B32">
        <w:t>1.</w:t>
      </w:r>
      <w:r w:rsidRPr="007D7B32">
        <w:tab/>
        <w:t>uděluje absolutorium ředitelce Evropské výkonné agentury pro zdraví a digitální oblast za plnění rozpočtu výkonné agentury na rozpočtový rok;</w:t>
      </w:r>
    </w:p>
    <w:p w:rsidR="00FA2D6B" w:rsidRPr="007D7B32" w:rsidRDefault="00FA2D6B" w:rsidP="005E7441">
      <w:pPr>
        <w:pStyle w:val="NormalHanging12a"/>
      </w:pPr>
      <w:r w:rsidRPr="007D7B32">
        <w:t>2.</w:t>
      </w:r>
      <w:r w:rsidRPr="007D7B32">
        <w:tab/>
        <w:t>předkládá své připomínky v usnesení, které je nedílnou součástí rozhodnutí o udělení absolutoria za plnění souhrnného rozpočtu Evropské unie na rozpočtový rok 2022, oddíl III – Komise a výkonné agentury;</w:t>
      </w:r>
    </w:p>
    <w:p w:rsidR="00FA2D6B" w:rsidRPr="007D7B32" w:rsidRDefault="00FA2D6B" w:rsidP="005E7441">
      <w:pPr>
        <w:pStyle w:val="NormalHanging12a"/>
      </w:pPr>
      <w:r w:rsidRPr="007D7B32">
        <w:t>3.</w:t>
      </w:r>
      <w:r w:rsidRPr="007D7B32">
        <w:tab/>
        <w:t>pověřuje svou předsedkyni, aby předala toto rozhodnutí, rozhodnutí o udělení absolutoria za plnění souhrnného rozpočtu Evropské unie na rozpočtový rok 2022, oddíl III – Komise a usnesení, které je nedílnou součástí těchto rozhodnutí, ředitelce Evropské výkonné agentury pro zdraví a digitální oblast, Radě, Komisi a Účetnímu dvoru a aby zajistila jejich zveřejnění v </w:t>
      </w:r>
      <w:r w:rsidRPr="007D7B32">
        <w:rPr>
          <w:i/>
          <w:iCs/>
        </w:rPr>
        <w:t>Úředním věstníku Evropské unie</w:t>
      </w:r>
      <w:r w:rsidRPr="007D7B32">
        <w:t xml:space="preserve"> (řada L).</w:t>
      </w:r>
    </w:p>
    <w:p w:rsidR="00FA2D6B" w:rsidRPr="007D7B32" w:rsidRDefault="00FA2D6B" w:rsidP="005E7441">
      <w:pPr>
        <w:spacing w:after="240"/>
      </w:pPr>
    </w:p>
    <w:p w:rsidR="00FA2D6B" w:rsidRPr="007D7B32" w:rsidRDefault="00FA2D6B" w:rsidP="005E7441">
      <w:pPr>
        <w:pStyle w:val="PageHeading"/>
        <w:spacing w:after="240"/>
        <w:sectPr w:rsidR="00FA2D6B" w:rsidRPr="007D7B32" w:rsidSect="00B23409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FA2D6B" w:rsidRPr="007D7B32" w:rsidRDefault="00423DA5" w:rsidP="005E7441">
      <w:pPr>
        <w:pStyle w:val="PageHeadingNoLeader"/>
        <w:numPr>
          <w:ilvl w:val="0"/>
          <w:numId w:val="0"/>
        </w:numPr>
        <w:tabs>
          <w:tab w:val="left" w:pos="0"/>
        </w:tabs>
        <w:spacing w:after="240"/>
        <w:jc w:val="left"/>
        <w:rPr>
          <w:rFonts w:ascii="Times New Roman" w:hAnsi="Times New Roman" w:cs="Times New Roman"/>
        </w:rPr>
      </w:pPr>
      <w:bookmarkStart w:id="1654" w:name="_Toc146613231"/>
      <w:bookmarkStart w:id="1655" w:name="_Toc146613250"/>
      <w:bookmarkStart w:id="1656" w:name="_Toc146613269"/>
      <w:bookmarkStart w:id="1657" w:name="_Toc146613288"/>
      <w:bookmarkStart w:id="1658" w:name="_Toc146613307"/>
      <w:bookmarkStart w:id="1659" w:name="_Toc146613326"/>
      <w:bookmarkStart w:id="1660" w:name="_Toc146613345"/>
      <w:bookmarkStart w:id="1661" w:name="_Toc146613380"/>
      <w:bookmarkStart w:id="1662" w:name="_Toc146613424"/>
      <w:bookmarkStart w:id="1663" w:name="_Toc146613474"/>
      <w:bookmarkStart w:id="1664" w:name="_Toc146613519"/>
      <w:bookmarkStart w:id="1665" w:name="_Toc146613550"/>
      <w:bookmarkStart w:id="1666" w:name="_Toc146613569"/>
      <w:bookmarkStart w:id="1667" w:name="_Toc146613588"/>
      <w:bookmarkStart w:id="1668" w:name="_Toc146613610"/>
      <w:bookmarkStart w:id="1669" w:name="_Toc146613653"/>
      <w:bookmarkStart w:id="1670" w:name="_Toc146613687"/>
      <w:bookmarkStart w:id="1671" w:name="_Toc146613706"/>
      <w:bookmarkStart w:id="1672" w:name="_Toc146613725"/>
      <w:bookmarkStart w:id="1673" w:name="_Toc146613744"/>
      <w:bookmarkStart w:id="1674" w:name="_Toc146613763"/>
      <w:bookmarkStart w:id="1675" w:name="_Toc146613782"/>
      <w:bookmarkStart w:id="1676" w:name="_Toc146613803"/>
      <w:bookmarkStart w:id="1677" w:name="_Toc146613822"/>
      <w:bookmarkStart w:id="1678" w:name="_Toc146614147"/>
      <w:bookmarkStart w:id="1679" w:name="_Toc146614545"/>
      <w:bookmarkStart w:id="1680" w:name="_Toc146614579"/>
      <w:bookmarkStart w:id="1681" w:name="_Toc146614703"/>
      <w:bookmarkStart w:id="1682" w:name="_Toc146614758"/>
      <w:bookmarkStart w:id="1683" w:name="_Toc146614777"/>
      <w:bookmarkStart w:id="1684" w:name="_Toc146614798"/>
      <w:bookmarkStart w:id="1685" w:name="_Toc146614817"/>
      <w:bookmarkStart w:id="1686" w:name="_Toc146614836"/>
      <w:bookmarkStart w:id="1687" w:name="_Toc146615083"/>
      <w:bookmarkStart w:id="1688" w:name="_Toc146615162"/>
      <w:bookmarkStart w:id="1689" w:name="_Toc146615198"/>
      <w:bookmarkStart w:id="1690" w:name="_Toc146615217"/>
      <w:bookmarkStart w:id="1691" w:name="_Toc146615236"/>
      <w:bookmarkStart w:id="1692" w:name="_Toc146615375"/>
      <w:bookmarkStart w:id="1693" w:name="_Toc146615399"/>
      <w:bookmarkStart w:id="1694" w:name="_Toc146615437"/>
      <w:bookmarkStart w:id="1695" w:name="_Toc146615468"/>
      <w:bookmarkStart w:id="1696" w:name="_Toc146615510"/>
      <w:bookmarkStart w:id="1697" w:name="_Toc146615529"/>
      <w:bookmarkStart w:id="1698" w:name="_Toc146615548"/>
      <w:bookmarkStart w:id="1699" w:name="_Toc146615567"/>
      <w:bookmarkStart w:id="1700" w:name="_Toc146615593"/>
      <w:bookmarkStart w:id="1701" w:name="_Toc146615627"/>
      <w:bookmarkStart w:id="1702" w:name="_Toc146615653"/>
      <w:bookmarkStart w:id="1703" w:name="_Toc146615672"/>
      <w:bookmarkStart w:id="1704" w:name="_Toc146615691"/>
      <w:bookmarkStart w:id="1705" w:name="_Toc146615710"/>
      <w:bookmarkStart w:id="1706" w:name="_Toc146615733"/>
      <w:bookmarkStart w:id="1707" w:name="_Toc146615762"/>
      <w:bookmarkStart w:id="1708" w:name="_Toc146615781"/>
      <w:bookmarkStart w:id="1709" w:name="_Toc146615800"/>
      <w:bookmarkStart w:id="1710" w:name="_Toc146615872"/>
      <w:bookmarkStart w:id="1711" w:name="_Toc146615897"/>
      <w:bookmarkStart w:id="1712" w:name="_Toc146615916"/>
      <w:bookmarkStart w:id="1713" w:name="_Toc146615935"/>
      <w:bookmarkStart w:id="1714" w:name="_Toc146615954"/>
      <w:bookmarkStart w:id="1715" w:name="_Toc146615984"/>
      <w:bookmarkStart w:id="1716" w:name="_Toc146616018"/>
      <w:bookmarkStart w:id="1717" w:name="_Toc146616080"/>
      <w:bookmarkStart w:id="1718" w:name="_Toc146616194"/>
      <w:bookmarkStart w:id="1719" w:name="_Toc146616278"/>
      <w:bookmarkStart w:id="1720" w:name="_Toc146616416"/>
      <w:bookmarkStart w:id="1721" w:name="_Toc146616443"/>
      <w:bookmarkStart w:id="1722" w:name="_Toc146616466"/>
      <w:bookmarkStart w:id="1723" w:name="_Toc146616485"/>
      <w:bookmarkStart w:id="1724" w:name="_Toc146616504"/>
      <w:bookmarkStart w:id="1725" w:name="_Toc146616533"/>
      <w:bookmarkStart w:id="1726" w:name="_Toc146616560"/>
      <w:bookmarkStart w:id="1727" w:name="_Toc146616578"/>
      <w:bookmarkStart w:id="1728" w:name="_Toc146616598"/>
      <w:bookmarkStart w:id="1729" w:name="_Toc146616633"/>
      <w:bookmarkStart w:id="1730" w:name="_Toc146616665"/>
      <w:bookmarkStart w:id="1731" w:name="_Toc146616683"/>
      <w:bookmarkStart w:id="1732" w:name="_Toc146616981"/>
      <w:bookmarkStart w:id="1733" w:name="_Toc146616999"/>
      <w:bookmarkStart w:id="1734" w:name="_Toc146617017"/>
      <w:bookmarkStart w:id="1735" w:name="_Toc146617035"/>
      <w:bookmarkStart w:id="1736" w:name="_Toc146617053"/>
      <w:bookmarkStart w:id="1737" w:name="_Toc146617071"/>
      <w:bookmarkStart w:id="1738" w:name="_Toc146617089"/>
      <w:bookmarkStart w:id="1739" w:name="_Toc146617107"/>
      <w:bookmarkStart w:id="1740" w:name="_Toc146617125"/>
      <w:bookmarkStart w:id="1741" w:name="_Toc146617143"/>
      <w:bookmarkStart w:id="1742" w:name="_Toc146617161"/>
      <w:bookmarkStart w:id="1743" w:name="_Toc146617179"/>
      <w:bookmarkStart w:id="1744" w:name="_Toc146617197"/>
      <w:bookmarkStart w:id="1745" w:name="_Toc146617215"/>
      <w:bookmarkStart w:id="1746" w:name="_Toc146617233"/>
      <w:bookmarkStart w:id="1747" w:name="_Toc146617251"/>
      <w:bookmarkStart w:id="1748" w:name="_Toc146617269"/>
      <w:bookmarkStart w:id="1749" w:name="_Toc146617287"/>
      <w:bookmarkStart w:id="1750" w:name="_Toc146617386"/>
      <w:bookmarkStart w:id="1751" w:name="_Toc146617404"/>
      <w:bookmarkStart w:id="1752" w:name="_Toc146618261"/>
      <w:bookmarkStart w:id="1753" w:name="_Toc146618279"/>
      <w:bookmarkStart w:id="1754" w:name="_Toc146618297"/>
      <w:bookmarkStart w:id="1755" w:name="_Toc146619961"/>
      <w:bookmarkStart w:id="1756" w:name="_Toc146701827"/>
      <w:bookmarkStart w:id="1757" w:name="_Toc146701845"/>
      <w:bookmarkStart w:id="1758" w:name="_Toc146701865"/>
      <w:bookmarkStart w:id="1759" w:name="_Toc146702215"/>
      <w:bookmarkStart w:id="1760" w:name="_Toc146702233"/>
      <w:bookmarkStart w:id="1761" w:name="_Toc147411188"/>
      <w:bookmarkStart w:id="1762" w:name="_Toc147411405"/>
      <w:bookmarkStart w:id="1763" w:name="_Toc147411423"/>
      <w:bookmarkStart w:id="1764" w:name="_Toc153353006"/>
      <w:bookmarkStart w:id="1765" w:name="_Toc153353055"/>
      <w:bookmarkStart w:id="1766" w:name="_Toc153353074"/>
      <w:bookmarkStart w:id="1767" w:name="_Toc153353093"/>
      <w:bookmarkStart w:id="1768" w:name="_Toc153353113"/>
      <w:bookmarkStart w:id="1769" w:name="_Toc153353132"/>
      <w:bookmarkStart w:id="1770" w:name="_Toc153353151"/>
      <w:bookmarkStart w:id="1771" w:name="_Toc153353170"/>
      <w:bookmarkStart w:id="1772" w:name="_Toc153353189"/>
      <w:bookmarkStart w:id="1773" w:name="_Toc153353208"/>
      <w:bookmarkStart w:id="1774" w:name="_Toc153353227"/>
      <w:bookmarkStart w:id="1775" w:name="_Toc153353482"/>
      <w:bookmarkStart w:id="1776" w:name="_Toc153353539"/>
      <w:bookmarkStart w:id="1777" w:name="_Toc153356095"/>
      <w:bookmarkStart w:id="1778" w:name="_Toc153356120"/>
      <w:bookmarkStart w:id="1779" w:name="_Toc153357310"/>
      <w:bookmarkStart w:id="1780" w:name="_Toc153357329"/>
      <w:bookmarkStart w:id="1781" w:name="_Toc153369184"/>
      <w:bookmarkStart w:id="1782" w:name="_Toc153369241"/>
      <w:bookmarkStart w:id="1783" w:name="_Toc155964102"/>
      <w:bookmarkStart w:id="1784" w:name="_Toc155964532"/>
      <w:bookmarkStart w:id="1785" w:name="_Toc155968915"/>
      <w:bookmarkStart w:id="1786" w:name="_Toc155969500"/>
      <w:bookmarkStart w:id="1787" w:name="_Toc155969577"/>
      <w:bookmarkStart w:id="1788" w:name="_Toc155969631"/>
      <w:bookmarkStart w:id="1789" w:name="_Toc155970018"/>
      <w:bookmarkStart w:id="1790" w:name="_Toc155970063"/>
      <w:bookmarkStart w:id="1791" w:name="_Toc155971418"/>
      <w:bookmarkStart w:id="1792" w:name="_Toc155976376"/>
      <w:bookmarkStart w:id="1793" w:name="_Toc155977154"/>
      <w:bookmarkStart w:id="1794" w:name="_Toc155977334"/>
      <w:bookmarkStart w:id="1795" w:name="_Toc155977354"/>
      <w:bookmarkStart w:id="1796" w:name="_Toc155977375"/>
      <w:bookmarkStart w:id="1797" w:name="_Toc155977419"/>
      <w:bookmarkStart w:id="1798" w:name="_Toc155977510"/>
      <w:bookmarkStart w:id="1799" w:name="_Toc156386192"/>
      <w:bookmarkStart w:id="1800" w:name="_Toc156387327"/>
      <w:bookmarkStart w:id="1801" w:name="_Toc156387367"/>
      <w:bookmarkStart w:id="1802" w:name="_Toc160526430"/>
      <w:bookmarkStart w:id="1803" w:name="_Toc160526607"/>
      <w:bookmarkStart w:id="1804" w:name="_Toc160526650"/>
      <w:bookmarkStart w:id="1805" w:name="_Toc160526712"/>
      <w:bookmarkStart w:id="1806" w:name="_Toc160527478"/>
      <w:bookmarkStart w:id="1807" w:name="_Toc160532329"/>
      <w:bookmarkStart w:id="1808" w:name="_Toc160533470"/>
      <w:bookmarkStart w:id="1809" w:name="_Toc160541859"/>
      <w:bookmarkStart w:id="1810" w:name="_Toc160545202"/>
      <w:bookmarkStart w:id="1811" w:name="_Toc160545362"/>
      <w:bookmarkStart w:id="1812" w:name="_Toc160545385"/>
      <w:bookmarkStart w:id="1813" w:name="_Toc160545408"/>
      <w:bookmarkStart w:id="1814" w:name="_Toc160545436"/>
      <w:bookmarkStart w:id="1815" w:name="_Toc160545460"/>
      <w:bookmarkStart w:id="1816" w:name="_Toc160545484"/>
      <w:bookmarkStart w:id="1817" w:name="_Toc160545508"/>
      <w:bookmarkStart w:id="1818" w:name="_Toc160545533"/>
      <w:bookmarkStart w:id="1819" w:name="_Toc160545558"/>
      <w:bookmarkStart w:id="1820" w:name="_Toc160545584"/>
      <w:bookmarkStart w:id="1821" w:name="_Toc160545610"/>
      <w:bookmarkStart w:id="1822" w:name="_Toc160545636"/>
      <w:bookmarkStart w:id="1823" w:name="_Toc160545662"/>
      <w:bookmarkStart w:id="1824" w:name="_Toc160545689"/>
      <w:bookmarkStart w:id="1825" w:name="_Toc160545716"/>
      <w:bookmarkStart w:id="1826" w:name="_Toc160545757"/>
      <w:bookmarkStart w:id="1827" w:name="_Toc160545785"/>
      <w:bookmarkStart w:id="1828" w:name="_Toc160545813"/>
      <w:bookmarkStart w:id="1829" w:name="_Toc160545850"/>
      <w:bookmarkStart w:id="1830" w:name="_Toc160545879"/>
      <w:bookmarkStart w:id="1831" w:name="_Toc160545908"/>
      <w:bookmarkStart w:id="1832" w:name="_Toc160545951"/>
      <w:bookmarkStart w:id="1833" w:name="_Toc160545981"/>
      <w:bookmarkStart w:id="1834" w:name="_Toc160546011"/>
      <w:bookmarkStart w:id="1835" w:name="_Toc160546048"/>
      <w:bookmarkStart w:id="1836" w:name="_Toc160546079"/>
      <w:bookmarkStart w:id="1837" w:name="_Toc160546110"/>
      <w:bookmarkStart w:id="1838" w:name="_Toc160546146"/>
      <w:bookmarkStart w:id="1839" w:name="_Toc160546178"/>
      <w:bookmarkStart w:id="1840" w:name="_Toc160546210"/>
      <w:bookmarkStart w:id="1841" w:name="_Toc160546242"/>
      <w:bookmarkStart w:id="1842" w:name="_Toc160546274"/>
      <w:bookmarkStart w:id="1843" w:name="_Toc160546833"/>
      <w:bookmarkStart w:id="1844" w:name="_Toc160546866"/>
      <w:bookmarkStart w:id="1845" w:name="_Toc160547015"/>
      <w:bookmarkStart w:id="1846" w:name="_Toc160547680"/>
      <w:bookmarkStart w:id="1847" w:name="_Toc160547800"/>
      <w:bookmarkStart w:id="1848" w:name="_Toc160548650"/>
      <w:bookmarkStart w:id="1849" w:name="_Toc160548797"/>
      <w:bookmarkStart w:id="1850" w:name="_Toc160548905"/>
      <w:bookmarkStart w:id="1851" w:name="_Toc160548940"/>
      <w:bookmarkStart w:id="1852" w:name="_Toc160548975"/>
      <w:bookmarkStart w:id="1853" w:name="_Toc160549010"/>
      <w:bookmarkStart w:id="1854" w:name="_Toc160549736"/>
      <w:bookmarkStart w:id="1855" w:name="_Toc160549847"/>
      <w:bookmarkStart w:id="1856" w:name="_Toc160550643"/>
      <w:bookmarkStart w:id="1857" w:name="_Toc160550758"/>
      <w:bookmarkStart w:id="1858" w:name="_Toc160551646"/>
      <w:bookmarkStart w:id="1859" w:name="_Toc160551679"/>
      <w:bookmarkStart w:id="1860" w:name="_Toc160551712"/>
      <w:bookmarkStart w:id="1861" w:name="_Toc160553746"/>
      <w:bookmarkStart w:id="1862" w:name="_Toc160553794"/>
      <w:bookmarkStart w:id="1863" w:name="_Toc160696578"/>
      <w:bookmarkStart w:id="1864" w:name="_Toc160697665"/>
      <w:bookmarkStart w:id="1865" w:name="_Toc160697727"/>
      <w:bookmarkStart w:id="1866" w:name="_Toc160697760"/>
      <w:bookmarkStart w:id="1867" w:name="_Toc160781866"/>
      <w:bookmarkStart w:id="1868" w:name="_Toc160782080"/>
      <w:bookmarkStart w:id="1869" w:name="_Toc160783898"/>
      <w:bookmarkStart w:id="1870" w:name="_Toc161041742"/>
      <w:bookmarkStart w:id="1871" w:name="_Toc161041775"/>
      <w:bookmarkStart w:id="1872" w:name="_Toc161042862"/>
      <w:bookmarkStart w:id="1873" w:name="_Toc161042901"/>
      <w:bookmarkStart w:id="1874" w:name="_Toc161042948"/>
      <w:bookmarkStart w:id="1875" w:name="_Toc161042981"/>
      <w:bookmarkStart w:id="1876" w:name="_Toc161043014"/>
      <w:bookmarkStart w:id="1877" w:name="_Toc161043686"/>
      <w:bookmarkStart w:id="1878" w:name="_Toc161043749"/>
      <w:bookmarkStart w:id="1879" w:name="_Toc161132045"/>
      <w:bookmarkStart w:id="1880" w:name="_Toc161132093"/>
      <w:bookmarkStart w:id="1881" w:name="_Toc161155087"/>
      <w:bookmarkStart w:id="1882" w:name="_Toc161156430"/>
      <w:bookmarkStart w:id="1883" w:name="_Toc161156524"/>
      <w:bookmarkStart w:id="1884" w:name="_Toc161213164"/>
      <w:bookmarkStart w:id="1885" w:name="_Toc161213300"/>
      <w:bookmarkStart w:id="1886" w:name="_Toc161213987"/>
      <w:bookmarkStart w:id="1887" w:name="_Toc161215238"/>
      <w:bookmarkStart w:id="1888" w:name="_Toc161215276"/>
      <w:bookmarkStart w:id="1889" w:name="_Toc161303012"/>
      <w:bookmarkStart w:id="1890" w:name="_Toc161303421"/>
      <w:bookmarkStart w:id="1891" w:name="_Toc161304706"/>
      <w:bookmarkStart w:id="1892" w:name="_Toc161306639"/>
      <w:bookmarkStart w:id="1893" w:name="_Toc161307207"/>
      <w:bookmarkStart w:id="1894" w:name="_Toc161307691"/>
      <w:bookmarkStart w:id="1895" w:name="_Toc161307734"/>
      <w:bookmarkStart w:id="1896" w:name="_Toc161310161"/>
      <w:bookmarkStart w:id="1897" w:name="_Toc161310194"/>
      <w:bookmarkStart w:id="1898" w:name="_Toc161311202"/>
      <w:bookmarkStart w:id="1899" w:name="_Toc161311235"/>
      <w:bookmarkStart w:id="1900" w:name="_Toc161320099"/>
      <w:bookmarkStart w:id="1901" w:name="_Toc161320169"/>
      <w:bookmarkStart w:id="1902" w:name="_Toc161320202"/>
      <w:bookmarkStart w:id="1903" w:name="_Toc161320631"/>
      <w:bookmarkStart w:id="1904" w:name="_Toc161322254"/>
      <w:bookmarkStart w:id="1905" w:name="_Toc161322452"/>
      <w:bookmarkStart w:id="1906" w:name="_Toc161322504"/>
      <w:bookmarkStart w:id="1907" w:name="_Toc161323820"/>
      <w:bookmarkStart w:id="1908" w:name="_Toc161323876"/>
      <w:bookmarkStart w:id="1909" w:name="_Toc161324225"/>
      <w:bookmarkStart w:id="1910" w:name="_Toc161324340"/>
      <w:bookmarkStart w:id="1911" w:name="_Toc161736498"/>
      <w:bookmarkStart w:id="1912" w:name="_Toc161738962"/>
      <w:bookmarkStart w:id="1913" w:name="_Toc161829869"/>
      <w:bookmarkStart w:id="1914" w:name="_Toc161833250"/>
      <w:bookmarkStart w:id="1915" w:name="_Toc161833875"/>
      <w:bookmarkStart w:id="1916" w:name="_Toc161834016"/>
      <w:bookmarkStart w:id="1917" w:name="_Toc161834091"/>
      <w:bookmarkStart w:id="1918" w:name="_Toc161834170"/>
      <w:bookmarkStart w:id="1919" w:name="_Toc161836813"/>
      <w:bookmarkStart w:id="1920" w:name="_Toc161836950"/>
      <w:bookmarkStart w:id="1921" w:name="_Toc161836982"/>
      <w:bookmarkStart w:id="1922" w:name="_Toc162944546"/>
      <w:bookmarkStart w:id="1923" w:name="_Toc163028732"/>
      <w:bookmarkStart w:id="1924" w:name="_Toc163029162"/>
      <w:bookmarkStart w:id="1925" w:name="_Toc163030872"/>
      <w:bookmarkStart w:id="1926" w:name="_Toc163031691"/>
      <w:bookmarkStart w:id="1927" w:name="_Toc163031715"/>
      <w:bookmarkStart w:id="1928" w:name="_Toc163031739"/>
      <w:bookmarkStart w:id="1929" w:name="_Toc163031863"/>
      <w:bookmarkStart w:id="1930" w:name="_Toc163032004"/>
      <w:bookmarkStart w:id="1931" w:name="_Toc163032058"/>
      <w:bookmarkStart w:id="1932" w:name="_Toc163032137"/>
      <w:bookmarkStart w:id="1933" w:name="_Toc163032186"/>
      <w:bookmarkStart w:id="1934" w:name="_Toc163032344"/>
      <w:bookmarkStart w:id="1935" w:name="_Toc163032672"/>
      <w:bookmarkStart w:id="1936" w:name="_Toc163032697"/>
      <w:bookmarkStart w:id="1937" w:name="_Toc163032722"/>
      <w:bookmarkStart w:id="1938" w:name="_Toc163032747"/>
      <w:bookmarkStart w:id="1939" w:name="_Toc163032814"/>
      <w:bookmarkStart w:id="1940" w:name="_Toc163032856"/>
      <w:bookmarkStart w:id="1941" w:name="_Toc163033186"/>
      <w:bookmarkStart w:id="1942" w:name="_Toc163033212"/>
      <w:bookmarkStart w:id="1943" w:name="_Toc163033238"/>
      <w:bookmarkStart w:id="1944" w:name="_Toc163033264"/>
      <w:bookmarkStart w:id="1945" w:name="_Toc163033291"/>
      <w:bookmarkStart w:id="1946" w:name="_Toc163033318"/>
      <w:bookmarkStart w:id="1947" w:name="_Toc163033345"/>
      <w:bookmarkStart w:id="1948" w:name="_Toc163033373"/>
      <w:bookmarkStart w:id="1949" w:name="_Toc163033401"/>
      <w:bookmarkStart w:id="1950" w:name="_Toc163033540"/>
      <w:bookmarkStart w:id="1951" w:name="_Toc163033569"/>
      <w:bookmarkStart w:id="1952" w:name="_Toc163033598"/>
      <w:bookmarkStart w:id="1953" w:name="_Toc163033627"/>
      <w:bookmarkStart w:id="1954" w:name="_Toc163033657"/>
      <w:bookmarkStart w:id="1955" w:name="_Toc163033687"/>
      <w:bookmarkStart w:id="1956" w:name="_Toc163033717"/>
      <w:bookmarkStart w:id="1957" w:name="_Toc163033747"/>
      <w:bookmarkStart w:id="1958" w:name="_Toc163033778"/>
      <w:bookmarkStart w:id="1959" w:name="_Toc163033809"/>
      <w:bookmarkStart w:id="1960" w:name="_Toc163033840"/>
      <w:bookmarkStart w:id="1961" w:name="_Toc163033872"/>
      <w:bookmarkStart w:id="1962" w:name="_Toc163033904"/>
      <w:bookmarkStart w:id="1963" w:name="_Toc163033936"/>
      <w:bookmarkStart w:id="1964" w:name="_Toc163033968"/>
      <w:bookmarkStart w:id="1965" w:name="_Toc163034001"/>
      <w:bookmarkStart w:id="1966" w:name="_Toc163034034"/>
      <w:bookmarkStart w:id="1967" w:name="_Toc163034067"/>
      <w:bookmarkStart w:id="1968" w:name="_Toc163034101"/>
      <w:bookmarkStart w:id="1969" w:name="_Toc163034135"/>
      <w:bookmarkStart w:id="1970" w:name="_Toc163034169"/>
      <w:bookmarkStart w:id="1971" w:name="_Toc163034260"/>
      <w:bookmarkStart w:id="1972" w:name="_Toc163034293"/>
      <w:bookmarkStart w:id="1973" w:name="_Toc163034326"/>
      <w:bookmarkStart w:id="1974" w:name="_Toc163034359"/>
      <w:bookmarkStart w:id="1975" w:name="_Toc163036614"/>
      <w:bookmarkStart w:id="1976" w:name="_Toc163036647"/>
      <w:bookmarkStart w:id="1977" w:name="_Toc163036726"/>
      <w:bookmarkStart w:id="1978" w:name="_Toc163036764"/>
      <w:bookmarkStart w:id="1979" w:name="_Toc163036805"/>
      <w:bookmarkStart w:id="1980" w:name="_Toc225761845"/>
      <w:bookmarkStart w:id="1981" w:name="_Toc225842295"/>
      <w:r w:rsidRPr="007D7B32">
        <w:rPr>
          <w:rFonts w:ascii="Times New Roman" w:hAnsi="Times New Roman" w:cs="Times New Roman"/>
        </w:rPr>
        <w:lastRenderedPageBreak/>
        <w:t>7. Rozhodnutí Evropského parlamentu</w:t>
      </w:r>
      <w:bookmarkEnd w:id="1654"/>
      <w:bookmarkEnd w:id="1655"/>
      <w:bookmarkEnd w:id="1656"/>
      <w:bookmarkEnd w:id="1657"/>
      <w:bookmarkEnd w:id="1658"/>
      <w:bookmarkEnd w:id="1659"/>
      <w:bookmarkEnd w:id="1660"/>
      <w:bookmarkEnd w:id="1661"/>
      <w:bookmarkEnd w:id="1662"/>
      <w:bookmarkEnd w:id="1663"/>
      <w:bookmarkEnd w:id="1664"/>
      <w:bookmarkEnd w:id="1665"/>
      <w:bookmarkEnd w:id="1666"/>
      <w:bookmarkEnd w:id="1667"/>
      <w:bookmarkEnd w:id="1668"/>
      <w:bookmarkEnd w:id="1669"/>
      <w:bookmarkEnd w:id="1670"/>
      <w:bookmarkEnd w:id="1671"/>
      <w:bookmarkEnd w:id="1672"/>
      <w:bookmarkEnd w:id="1673"/>
      <w:bookmarkEnd w:id="1674"/>
      <w:bookmarkEnd w:id="1675"/>
      <w:bookmarkEnd w:id="1676"/>
      <w:bookmarkEnd w:id="1677"/>
      <w:bookmarkEnd w:id="1678"/>
      <w:bookmarkEnd w:id="1679"/>
      <w:bookmarkEnd w:id="1680"/>
      <w:bookmarkEnd w:id="1681"/>
      <w:bookmarkEnd w:id="1682"/>
      <w:bookmarkEnd w:id="1683"/>
      <w:bookmarkEnd w:id="1684"/>
      <w:bookmarkEnd w:id="1685"/>
      <w:bookmarkEnd w:id="1686"/>
      <w:bookmarkEnd w:id="1687"/>
      <w:bookmarkEnd w:id="1688"/>
      <w:bookmarkEnd w:id="1689"/>
      <w:bookmarkEnd w:id="1690"/>
      <w:bookmarkEnd w:id="1691"/>
      <w:bookmarkEnd w:id="1692"/>
      <w:bookmarkEnd w:id="1693"/>
      <w:bookmarkEnd w:id="1694"/>
      <w:bookmarkEnd w:id="1695"/>
      <w:bookmarkEnd w:id="1696"/>
      <w:bookmarkEnd w:id="1697"/>
      <w:bookmarkEnd w:id="1698"/>
      <w:bookmarkEnd w:id="1699"/>
      <w:bookmarkEnd w:id="1700"/>
      <w:bookmarkEnd w:id="1701"/>
      <w:bookmarkEnd w:id="1702"/>
      <w:bookmarkEnd w:id="1703"/>
      <w:bookmarkEnd w:id="1704"/>
      <w:bookmarkEnd w:id="1705"/>
      <w:bookmarkEnd w:id="1706"/>
      <w:bookmarkEnd w:id="1707"/>
      <w:bookmarkEnd w:id="1708"/>
      <w:bookmarkEnd w:id="1709"/>
      <w:bookmarkEnd w:id="1710"/>
      <w:bookmarkEnd w:id="1711"/>
      <w:bookmarkEnd w:id="1712"/>
      <w:bookmarkEnd w:id="1713"/>
      <w:bookmarkEnd w:id="1714"/>
      <w:bookmarkEnd w:id="1715"/>
      <w:bookmarkEnd w:id="1716"/>
      <w:bookmarkEnd w:id="1717"/>
      <w:bookmarkEnd w:id="1718"/>
      <w:bookmarkEnd w:id="1719"/>
      <w:bookmarkEnd w:id="1720"/>
      <w:bookmarkEnd w:id="1721"/>
      <w:bookmarkEnd w:id="1722"/>
      <w:bookmarkEnd w:id="1723"/>
      <w:bookmarkEnd w:id="1724"/>
      <w:bookmarkEnd w:id="1725"/>
      <w:bookmarkEnd w:id="1726"/>
      <w:bookmarkEnd w:id="1727"/>
      <w:bookmarkEnd w:id="1728"/>
      <w:bookmarkEnd w:id="1729"/>
      <w:bookmarkEnd w:id="1730"/>
      <w:bookmarkEnd w:id="1731"/>
      <w:bookmarkEnd w:id="1732"/>
      <w:bookmarkEnd w:id="1733"/>
      <w:bookmarkEnd w:id="1734"/>
      <w:bookmarkEnd w:id="1735"/>
      <w:bookmarkEnd w:id="1736"/>
      <w:bookmarkEnd w:id="1737"/>
      <w:bookmarkEnd w:id="1738"/>
      <w:bookmarkEnd w:id="1739"/>
      <w:bookmarkEnd w:id="1740"/>
      <w:bookmarkEnd w:id="1741"/>
      <w:bookmarkEnd w:id="1742"/>
      <w:bookmarkEnd w:id="1743"/>
      <w:bookmarkEnd w:id="1744"/>
      <w:bookmarkEnd w:id="1745"/>
      <w:bookmarkEnd w:id="1746"/>
      <w:bookmarkEnd w:id="1747"/>
      <w:bookmarkEnd w:id="1748"/>
      <w:bookmarkEnd w:id="1749"/>
      <w:bookmarkEnd w:id="1750"/>
      <w:bookmarkEnd w:id="1751"/>
      <w:bookmarkEnd w:id="1752"/>
      <w:bookmarkEnd w:id="1753"/>
      <w:bookmarkEnd w:id="1754"/>
      <w:bookmarkEnd w:id="1755"/>
      <w:bookmarkEnd w:id="1756"/>
      <w:bookmarkEnd w:id="1757"/>
      <w:bookmarkEnd w:id="1758"/>
      <w:bookmarkEnd w:id="1759"/>
      <w:bookmarkEnd w:id="1760"/>
      <w:bookmarkEnd w:id="1761"/>
      <w:bookmarkEnd w:id="1762"/>
      <w:bookmarkEnd w:id="1763"/>
      <w:bookmarkEnd w:id="1764"/>
      <w:bookmarkEnd w:id="1765"/>
      <w:bookmarkEnd w:id="1766"/>
      <w:bookmarkEnd w:id="1767"/>
      <w:bookmarkEnd w:id="1768"/>
      <w:bookmarkEnd w:id="1769"/>
      <w:bookmarkEnd w:id="1770"/>
      <w:bookmarkEnd w:id="1771"/>
      <w:bookmarkEnd w:id="1772"/>
      <w:bookmarkEnd w:id="1773"/>
      <w:bookmarkEnd w:id="1774"/>
      <w:bookmarkEnd w:id="1775"/>
      <w:bookmarkEnd w:id="1776"/>
      <w:bookmarkEnd w:id="1777"/>
      <w:bookmarkEnd w:id="1778"/>
      <w:bookmarkEnd w:id="1779"/>
      <w:bookmarkEnd w:id="1780"/>
      <w:bookmarkEnd w:id="1781"/>
      <w:bookmarkEnd w:id="1782"/>
      <w:bookmarkEnd w:id="1783"/>
      <w:bookmarkEnd w:id="1784"/>
      <w:bookmarkEnd w:id="1785"/>
      <w:bookmarkEnd w:id="1786"/>
      <w:bookmarkEnd w:id="1787"/>
      <w:bookmarkEnd w:id="1788"/>
      <w:bookmarkEnd w:id="1789"/>
      <w:bookmarkEnd w:id="1790"/>
      <w:bookmarkEnd w:id="1791"/>
      <w:bookmarkEnd w:id="1792"/>
      <w:bookmarkEnd w:id="1793"/>
      <w:bookmarkEnd w:id="1794"/>
      <w:bookmarkEnd w:id="1795"/>
      <w:bookmarkEnd w:id="1796"/>
      <w:bookmarkEnd w:id="1797"/>
      <w:bookmarkEnd w:id="1798"/>
      <w:bookmarkEnd w:id="1799"/>
      <w:bookmarkEnd w:id="1800"/>
      <w:bookmarkEnd w:id="1801"/>
      <w:bookmarkEnd w:id="1802"/>
      <w:bookmarkEnd w:id="1803"/>
      <w:bookmarkEnd w:id="1804"/>
      <w:bookmarkEnd w:id="1805"/>
      <w:bookmarkEnd w:id="1806"/>
      <w:bookmarkEnd w:id="1807"/>
      <w:bookmarkEnd w:id="1808"/>
      <w:bookmarkEnd w:id="1809"/>
      <w:bookmarkEnd w:id="1810"/>
      <w:bookmarkEnd w:id="1811"/>
      <w:bookmarkEnd w:id="1812"/>
      <w:bookmarkEnd w:id="1813"/>
      <w:bookmarkEnd w:id="1814"/>
      <w:bookmarkEnd w:id="1815"/>
      <w:bookmarkEnd w:id="1816"/>
      <w:bookmarkEnd w:id="1817"/>
      <w:bookmarkEnd w:id="1818"/>
      <w:bookmarkEnd w:id="1819"/>
      <w:bookmarkEnd w:id="1820"/>
      <w:bookmarkEnd w:id="1821"/>
      <w:bookmarkEnd w:id="1822"/>
      <w:bookmarkEnd w:id="1823"/>
      <w:bookmarkEnd w:id="1824"/>
      <w:bookmarkEnd w:id="1825"/>
      <w:bookmarkEnd w:id="1826"/>
      <w:bookmarkEnd w:id="1827"/>
      <w:bookmarkEnd w:id="1828"/>
      <w:bookmarkEnd w:id="1829"/>
      <w:bookmarkEnd w:id="1830"/>
      <w:bookmarkEnd w:id="1831"/>
      <w:bookmarkEnd w:id="1832"/>
      <w:bookmarkEnd w:id="1833"/>
      <w:bookmarkEnd w:id="1834"/>
      <w:bookmarkEnd w:id="1835"/>
      <w:bookmarkEnd w:id="1836"/>
      <w:bookmarkEnd w:id="1837"/>
      <w:bookmarkEnd w:id="1838"/>
      <w:bookmarkEnd w:id="1839"/>
      <w:bookmarkEnd w:id="1840"/>
      <w:bookmarkEnd w:id="1841"/>
      <w:bookmarkEnd w:id="1842"/>
      <w:bookmarkEnd w:id="1843"/>
      <w:bookmarkEnd w:id="1844"/>
      <w:bookmarkEnd w:id="1845"/>
      <w:bookmarkEnd w:id="1846"/>
      <w:bookmarkEnd w:id="1847"/>
      <w:bookmarkEnd w:id="1848"/>
      <w:bookmarkEnd w:id="1849"/>
      <w:bookmarkEnd w:id="1850"/>
      <w:bookmarkEnd w:id="1851"/>
      <w:bookmarkEnd w:id="1852"/>
      <w:bookmarkEnd w:id="1853"/>
      <w:bookmarkEnd w:id="1854"/>
      <w:bookmarkEnd w:id="1855"/>
      <w:bookmarkEnd w:id="1856"/>
      <w:bookmarkEnd w:id="1857"/>
      <w:bookmarkEnd w:id="1858"/>
      <w:bookmarkEnd w:id="1859"/>
      <w:bookmarkEnd w:id="1860"/>
      <w:bookmarkEnd w:id="1861"/>
      <w:bookmarkEnd w:id="1862"/>
      <w:bookmarkEnd w:id="1863"/>
      <w:bookmarkEnd w:id="1864"/>
      <w:bookmarkEnd w:id="1865"/>
      <w:bookmarkEnd w:id="1866"/>
      <w:bookmarkEnd w:id="1867"/>
      <w:bookmarkEnd w:id="1868"/>
      <w:bookmarkEnd w:id="1869"/>
      <w:bookmarkEnd w:id="1870"/>
      <w:bookmarkEnd w:id="1871"/>
      <w:bookmarkEnd w:id="1872"/>
      <w:bookmarkEnd w:id="1873"/>
      <w:bookmarkEnd w:id="1874"/>
      <w:bookmarkEnd w:id="1875"/>
      <w:bookmarkEnd w:id="1876"/>
      <w:bookmarkEnd w:id="1877"/>
      <w:bookmarkEnd w:id="1878"/>
      <w:bookmarkEnd w:id="1879"/>
      <w:bookmarkEnd w:id="1880"/>
      <w:bookmarkEnd w:id="1881"/>
      <w:bookmarkEnd w:id="1882"/>
      <w:bookmarkEnd w:id="1883"/>
      <w:bookmarkEnd w:id="1884"/>
      <w:bookmarkEnd w:id="1885"/>
      <w:bookmarkEnd w:id="1886"/>
      <w:bookmarkEnd w:id="1887"/>
      <w:bookmarkEnd w:id="1888"/>
      <w:bookmarkEnd w:id="1889"/>
      <w:bookmarkEnd w:id="1890"/>
      <w:bookmarkEnd w:id="1891"/>
      <w:bookmarkEnd w:id="1892"/>
      <w:bookmarkEnd w:id="1893"/>
      <w:bookmarkEnd w:id="1894"/>
      <w:bookmarkEnd w:id="1895"/>
      <w:bookmarkEnd w:id="1896"/>
      <w:bookmarkEnd w:id="1897"/>
      <w:bookmarkEnd w:id="1898"/>
      <w:bookmarkEnd w:id="1899"/>
      <w:bookmarkEnd w:id="1900"/>
      <w:bookmarkEnd w:id="1901"/>
      <w:bookmarkEnd w:id="1902"/>
      <w:bookmarkEnd w:id="1903"/>
      <w:bookmarkEnd w:id="1904"/>
      <w:bookmarkEnd w:id="1905"/>
      <w:bookmarkEnd w:id="1906"/>
      <w:bookmarkEnd w:id="1907"/>
      <w:bookmarkEnd w:id="1908"/>
      <w:bookmarkEnd w:id="1909"/>
      <w:bookmarkEnd w:id="1910"/>
      <w:bookmarkEnd w:id="1911"/>
      <w:bookmarkEnd w:id="1912"/>
      <w:bookmarkEnd w:id="1913"/>
      <w:bookmarkEnd w:id="1914"/>
      <w:bookmarkEnd w:id="1915"/>
      <w:bookmarkEnd w:id="1916"/>
      <w:bookmarkEnd w:id="1917"/>
      <w:bookmarkEnd w:id="1918"/>
      <w:bookmarkEnd w:id="1919"/>
      <w:bookmarkEnd w:id="1920"/>
      <w:bookmarkEnd w:id="1921"/>
      <w:bookmarkEnd w:id="1922"/>
      <w:bookmarkEnd w:id="1923"/>
      <w:bookmarkEnd w:id="1924"/>
      <w:bookmarkEnd w:id="1925"/>
      <w:bookmarkEnd w:id="1926"/>
      <w:bookmarkEnd w:id="1927"/>
      <w:bookmarkEnd w:id="1928"/>
      <w:bookmarkEnd w:id="1929"/>
      <w:bookmarkEnd w:id="1930"/>
      <w:bookmarkEnd w:id="1931"/>
      <w:bookmarkEnd w:id="1932"/>
      <w:bookmarkEnd w:id="1933"/>
      <w:bookmarkEnd w:id="1934"/>
      <w:bookmarkEnd w:id="1935"/>
      <w:bookmarkEnd w:id="1936"/>
      <w:bookmarkEnd w:id="1937"/>
      <w:bookmarkEnd w:id="1938"/>
      <w:bookmarkEnd w:id="1939"/>
      <w:bookmarkEnd w:id="1940"/>
      <w:bookmarkEnd w:id="1941"/>
      <w:bookmarkEnd w:id="1942"/>
      <w:bookmarkEnd w:id="1943"/>
      <w:bookmarkEnd w:id="1944"/>
      <w:bookmarkEnd w:id="1945"/>
      <w:bookmarkEnd w:id="1946"/>
      <w:bookmarkEnd w:id="1947"/>
      <w:bookmarkEnd w:id="1948"/>
      <w:bookmarkEnd w:id="1949"/>
      <w:bookmarkEnd w:id="1950"/>
      <w:bookmarkEnd w:id="1951"/>
      <w:bookmarkEnd w:id="1952"/>
      <w:bookmarkEnd w:id="1953"/>
      <w:bookmarkEnd w:id="1954"/>
      <w:bookmarkEnd w:id="1955"/>
      <w:bookmarkEnd w:id="1956"/>
      <w:bookmarkEnd w:id="1957"/>
      <w:bookmarkEnd w:id="1958"/>
      <w:bookmarkEnd w:id="1959"/>
      <w:bookmarkEnd w:id="1960"/>
      <w:bookmarkEnd w:id="1961"/>
      <w:bookmarkEnd w:id="1962"/>
      <w:bookmarkEnd w:id="1963"/>
      <w:bookmarkEnd w:id="1964"/>
      <w:bookmarkEnd w:id="1965"/>
      <w:bookmarkEnd w:id="1966"/>
      <w:bookmarkEnd w:id="1967"/>
      <w:bookmarkEnd w:id="1968"/>
      <w:bookmarkEnd w:id="1969"/>
      <w:bookmarkEnd w:id="1970"/>
      <w:bookmarkEnd w:id="1971"/>
      <w:bookmarkEnd w:id="1972"/>
      <w:bookmarkEnd w:id="1973"/>
      <w:bookmarkEnd w:id="1974"/>
      <w:bookmarkEnd w:id="1975"/>
      <w:bookmarkEnd w:id="1976"/>
      <w:bookmarkEnd w:id="1977"/>
      <w:bookmarkEnd w:id="1978"/>
      <w:bookmarkEnd w:id="1979"/>
      <w:r w:rsidRPr="007D7B32">
        <w:rPr>
          <w:rFonts w:ascii="Times New Roman" w:hAnsi="Times New Roman" w:cs="Times New Roman"/>
        </w:rPr>
        <w:t xml:space="preserve"> ze dne 11. dubna 2024 </w:t>
      </w:r>
      <w:bookmarkStart w:id="1982" w:name="_Toc162944547"/>
      <w:bookmarkStart w:id="1983" w:name="_Toc163036806"/>
      <w:r w:rsidR="00FA2D6B" w:rsidRPr="007D7B32">
        <w:rPr>
          <w:rFonts w:ascii="Times New Roman" w:hAnsi="Times New Roman" w:cs="Times New Roman"/>
        </w:rPr>
        <w:t>o udělení absolutoria za plnění rozpočtu Evropské výkonné agentury pro výzkum na rozpočtový rok 2022</w:t>
      </w:r>
      <w:bookmarkEnd w:id="1982"/>
      <w:bookmarkEnd w:id="1983"/>
      <w:r w:rsidRPr="007D7B32">
        <w:rPr>
          <w:rFonts w:ascii="Times New Roman" w:hAnsi="Times New Roman" w:cs="Times New Roman"/>
        </w:rPr>
        <w:t xml:space="preserve"> </w:t>
      </w:r>
      <w:r w:rsidR="00FA2D6B" w:rsidRPr="007D7B32">
        <w:rPr>
          <w:rFonts w:ascii="Times New Roman" w:hAnsi="Times New Roman" w:cs="Times New Roman"/>
        </w:rPr>
        <w:t>(2023/2129(DEC))</w:t>
      </w:r>
    </w:p>
    <w:p w:rsidR="00FA2D6B" w:rsidRPr="007D7B32" w:rsidRDefault="00FA2D6B" w:rsidP="005E7441">
      <w:pPr>
        <w:pStyle w:val="EPComma"/>
        <w:spacing w:before="0"/>
      </w:pPr>
      <w:r w:rsidRPr="007D7B32">
        <w:rPr>
          <w:i/>
          <w:iCs/>
        </w:rPr>
        <w:t>Evropský parlament</w:t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souhrnný rozpočet Evropské unie na rozpočtový rok 2022</w:t>
      </w:r>
      <w:r w:rsidRPr="007D7B32">
        <w:rPr>
          <w:rStyle w:val="FootnoteReference"/>
        </w:rPr>
        <w:footnoteReference w:id="51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 ohledem na konsolidovanou účetní závěrku Evropské unie za rozpočtový rok 2022 (COM(2023)0391 – C9</w:t>
      </w:r>
      <w:r w:rsidRPr="007D7B32">
        <w:noBreakHyphen/>
        <w:t>0248/2023)</w:t>
      </w:r>
      <w:r w:rsidRPr="007D7B32">
        <w:rPr>
          <w:rStyle w:val="FootnoteReference"/>
        </w:rPr>
        <w:footnoteReference w:id="52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 ohledem na konečnou roční účetní závěrku Evropské výkonné agentury pro výzkum za rozpočtový rok 2022</w:t>
      </w:r>
      <w:r w:rsidRPr="007D7B32">
        <w:rPr>
          <w:rStyle w:val="FootnoteReference"/>
        </w:rPr>
        <w:footnoteReference w:id="53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zprávu Komise o opatřeních přijatých v návaznosti na udělení absolutoria za rozpočtový rok 2021 (COM(2023)</w:t>
      </w:r>
      <w:r w:rsidR="00423DA5" w:rsidRPr="007D7B32">
        <w:t>0</w:t>
      </w:r>
      <w:r w:rsidRPr="007D7B32">
        <w:t>384) a na podrobné odpovědi na konkrétní žádosti Evropského parlamentu,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výroční zprávu Komise předkládanou orgánu udělujícímu absolutorium o interních auditech provedených v roce 2022 (COM(2023)</w:t>
      </w:r>
      <w:r w:rsidR="00423DA5" w:rsidRPr="007D7B32">
        <w:t>0</w:t>
      </w:r>
      <w:r w:rsidRPr="007D7B32">
        <w:t>323) a na připojený pracovní dokument útvarů Komise (SWD(2023)</w:t>
      </w:r>
      <w:r w:rsidR="00F35DA0">
        <w:t>0</w:t>
      </w:r>
      <w:r w:rsidRPr="007D7B32">
        <w:t>214),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výroční zprávu Účetního dvora o agenturách EU za rozpočtový rok 2022 spolu s odpověďmi agentur</w:t>
      </w:r>
      <w:r w:rsidRPr="007D7B32">
        <w:rPr>
          <w:rStyle w:val="FootnoteReference"/>
        </w:rPr>
        <w:footnoteReference w:id="54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prohlášení o věrohodnosti</w:t>
      </w:r>
      <w:r w:rsidRPr="007D7B32">
        <w:rPr>
          <w:rStyle w:val="FootnoteReference"/>
        </w:rPr>
        <w:footnoteReference w:id="55"/>
      </w:r>
      <w:r w:rsidRPr="007D7B32">
        <w:t xml:space="preserve"> účetnictví a o legalitě a správnosti uskutečněných operací, které předložil Účetní dvůr za rozpočtový rok 2022 podle článku 287 Smlouvy o fungování Evropské unie,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 ohledem na doporučení Rady ze dne 22. února 2024 o udělení absolutoria výkonným agenturám za plnění rozpočtu na rozpočtový rok 2022 (06181/2024 – C9</w:t>
      </w:r>
      <w:r w:rsidRPr="007D7B32">
        <w:noBreakHyphen/>
        <w:t>0125/2024),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články 317, 318 a 319 Smlouvy o fungování Evropské unie,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článek 106a Smlouvy o založení Evropského společenství pro atomovou energii,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7D7B32">
        <w:rPr>
          <w:rStyle w:val="FootnoteReference"/>
        </w:rPr>
        <w:footnoteReference w:id="56"/>
      </w:r>
      <w:r w:rsidRPr="007D7B32">
        <w:t>, a zejména na články 69, 260, 261 a 262 tohoto nařízení,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 xml:space="preserve">s ohledem na nařízení Rady (ES) č. 58/2003 ze dne 19. prosince 2002, kterým se stanoví statut výkonných agentur pověřených některými úkoly správy programů </w:t>
      </w:r>
      <w:r w:rsidRPr="007D7B32">
        <w:lastRenderedPageBreak/>
        <w:t>Společenství</w:t>
      </w:r>
      <w:r w:rsidRPr="007D7B32">
        <w:rPr>
          <w:rStyle w:val="FootnoteReference"/>
        </w:rPr>
        <w:footnoteReference w:id="57"/>
      </w:r>
      <w:r w:rsidRPr="007D7B32">
        <w:t>, a zejména na čl. 14 odst. 3 tohoto nařízení,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nařízení Komise (ES) č. 1653/2004 ze dne 21. září 2004 o typovém nařízení financování výkonných agentur na základě nařízení Rady (ES) č. 58/2003 stanovující status výkonných agentur pověřených určitými úkoly souvisejícími se správou programů Společenství</w:t>
      </w:r>
      <w:r w:rsidRPr="007D7B32">
        <w:rPr>
          <w:rStyle w:val="FootnoteReference"/>
        </w:rPr>
        <w:footnoteReference w:id="58"/>
      </w:r>
      <w:r w:rsidRPr="007D7B32">
        <w:t>, a zejména na čl. 66 první a druhý pododstavec tohoto nařízení,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prováděcí rozhodnutí Komise (EU) 2021/173 ze dne 12. února 2021, kterým se zřizuje Evropská výkonná agentura pro klima, infrastrukturu a životní prostředí, Evropská výkonná agentura pro zdraví a digitální oblast, Evropská výkonná agentura pro výzkum, Výkonná agentura Evropské rady pro inovace a pro malé a střední podniky, Výkonná agentura Evropské rady pro výzkum a Evropská výkonná agentura pro vzdělávání a kulturu a zrušují prováděcí rozhodnutí 2013/801/EU, 2013/771/EU, 2013/778/EU, 2013/779/EU, 2013/776/EU a 2013/770/EU</w:t>
      </w:r>
      <w:r w:rsidRPr="007D7B32">
        <w:rPr>
          <w:rStyle w:val="FootnoteReference"/>
        </w:rPr>
        <w:footnoteReference w:id="59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článek 99 a přílohu V jednacího řádu,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stanoviska Výboru pro zahraniční věci, Výboru pro rozvoj, Výboru pro zaměstnanost a sociální věci, Výboru pro životní prostředí, veřejné zdraví a bezpečnost potravin, Výboru pro dopravu a cestovní ruch, Výboru pro regionální rozvoj, Výboru pro kulturu a vzdělávání, Výboru pro občanské svobody, spravedlnost a vnitřní věci a Výboru pro práva žen a rovnost pohlaví,</w:t>
      </w:r>
    </w:p>
    <w:p w:rsidR="00FA2D6B" w:rsidRPr="007D7B32" w:rsidRDefault="00FA2D6B" w:rsidP="005E7441">
      <w:pPr>
        <w:pStyle w:val="NormalHanging12a"/>
        <w:rPr>
          <w:szCs w:val="24"/>
        </w:rPr>
      </w:pPr>
      <w:r w:rsidRPr="007D7B32">
        <w:t>–</w:t>
      </w:r>
      <w:r w:rsidRPr="007D7B32">
        <w:tab/>
        <w:t>s ohledem na dopis Výboru pro zemědělství a rozvoj venkova,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zprávu Výboru pro rozpočtovou kontrolu (A9-0139/2024),</w:t>
      </w:r>
    </w:p>
    <w:p w:rsidR="00FA2D6B" w:rsidRPr="007D7B32" w:rsidRDefault="00FA2D6B" w:rsidP="005E7441">
      <w:pPr>
        <w:pStyle w:val="NormalHanging12a"/>
      </w:pPr>
      <w:r w:rsidRPr="007D7B32">
        <w:t>1.</w:t>
      </w:r>
      <w:r w:rsidRPr="007D7B32">
        <w:tab/>
        <w:t>uděluje absolutorium řediteli Evropské výkonné agentury pro výzkum za plnění rozpočtu výkonné agentury na rozpočtový rok 2022;</w:t>
      </w:r>
    </w:p>
    <w:p w:rsidR="00FA2D6B" w:rsidRPr="007D7B32" w:rsidRDefault="00FA2D6B" w:rsidP="005E7441">
      <w:pPr>
        <w:pStyle w:val="NormalHanging12a"/>
      </w:pPr>
      <w:r w:rsidRPr="007D7B32">
        <w:t>2.</w:t>
      </w:r>
      <w:r w:rsidRPr="007D7B32">
        <w:tab/>
        <w:t>předkládá své připomínky v usnesení, které je nedílnou součástí rozhodnutí o udělení absolutoria za plnění souhrnného rozpočtu Evropské unie na rozpočtový rok 2022, oddíl III – Komise a výkonné agentury;</w:t>
      </w:r>
    </w:p>
    <w:p w:rsidR="00FA2D6B" w:rsidRPr="007D7B32" w:rsidRDefault="00FA2D6B" w:rsidP="005E7441">
      <w:pPr>
        <w:pStyle w:val="NormalHanging12a"/>
      </w:pPr>
      <w:r w:rsidRPr="007D7B32">
        <w:t>3.</w:t>
      </w:r>
      <w:r w:rsidRPr="007D7B32">
        <w:tab/>
        <w:t>pověřuje svou předsedkyni, aby předala toto rozhodnutí, rozhodnutí o udělení absolutoria za plnění souhrnného rozpočtu Evropské unie na rozpočtový rok 2022, oddíl III – Komise a usnesení, které je nedílnou součástí těchto rozhodnutí, ředitelce Evropské výkonné agentury pro výzkum, Radě, Komisi a Účetnímu dvoru a aby zajistila jejich zveřejnění v </w:t>
      </w:r>
      <w:r w:rsidRPr="007D7B32">
        <w:rPr>
          <w:i/>
          <w:iCs/>
        </w:rPr>
        <w:t>Úředním věstníku Evropské unie</w:t>
      </w:r>
      <w:r w:rsidRPr="007D7B32">
        <w:t xml:space="preserve"> (řada L).</w:t>
      </w:r>
    </w:p>
    <w:p w:rsidR="00FA2D6B" w:rsidRPr="007D7B32" w:rsidRDefault="00FA2D6B" w:rsidP="005E7441">
      <w:pPr>
        <w:spacing w:after="240"/>
      </w:pPr>
    </w:p>
    <w:p w:rsidR="00FA2D6B" w:rsidRPr="007D7B32" w:rsidRDefault="00FA2D6B" w:rsidP="005E7441">
      <w:pPr>
        <w:pStyle w:val="PageHeading"/>
        <w:spacing w:after="240"/>
        <w:sectPr w:rsidR="00FA2D6B" w:rsidRPr="007D7B32" w:rsidSect="00B23409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FA2D6B" w:rsidRPr="007D7B32" w:rsidRDefault="00423DA5" w:rsidP="005E7441">
      <w:pPr>
        <w:pStyle w:val="PageHeadingNoLeader"/>
        <w:numPr>
          <w:ilvl w:val="0"/>
          <w:numId w:val="0"/>
        </w:numPr>
        <w:tabs>
          <w:tab w:val="left" w:pos="0"/>
        </w:tabs>
        <w:spacing w:after="240"/>
        <w:jc w:val="left"/>
        <w:rPr>
          <w:rFonts w:ascii="Times New Roman" w:hAnsi="Times New Roman" w:cs="Times New Roman"/>
        </w:rPr>
      </w:pPr>
      <w:bookmarkStart w:id="1984" w:name="_Toc146613233"/>
      <w:bookmarkStart w:id="1985" w:name="_Toc146613252"/>
      <w:bookmarkStart w:id="1986" w:name="_Toc146613271"/>
      <w:bookmarkStart w:id="1987" w:name="_Toc146613290"/>
      <w:bookmarkStart w:id="1988" w:name="_Toc146613309"/>
      <w:bookmarkStart w:id="1989" w:name="_Toc146613328"/>
      <w:bookmarkStart w:id="1990" w:name="_Toc146613347"/>
      <w:bookmarkStart w:id="1991" w:name="_Toc146613382"/>
      <w:bookmarkStart w:id="1992" w:name="_Toc146613426"/>
      <w:bookmarkStart w:id="1993" w:name="_Toc146613476"/>
      <w:bookmarkStart w:id="1994" w:name="_Toc146613521"/>
      <w:bookmarkStart w:id="1995" w:name="_Toc146613552"/>
      <w:bookmarkStart w:id="1996" w:name="_Toc146613571"/>
      <w:bookmarkStart w:id="1997" w:name="_Toc146613590"/>
      <w:bookmarkStart w:id="1998" w:name="_Toc146613612"/>
      <w:bookmarkStart w:id="1999" w:name="_Toc146613655"/>
      <w:bookmarkStart w:id="2000" w:name="_Toc146613689"/>
      <w:bookmarkStart w:id="2001" w:name="_Toc146613708"/>
      <w:bookmarkStart w:id="2002" w:name="_Toc146613727"/>
      <w:bookmarkStart w:id="2003" w:name="_Toc146613746"/>
      <w:bookmarkStart w:id="2004" w:name="_Toc146613765"/>
      <w:bookmarkStart w:id="2005" w:name="_Toc146613784"/>
      <w:bookmarkStart w:id="2006" w:name="_Toc146613805"/>
      <w:bookmarkStart w:id="2007" w:name="_Toc146613824"/>
      <w:bookmarkStart w:id="2008" w:name="_Toc146614149"/>
      <w:bookmarkStart w:id="2009" w:name="_Toc146614547"/>
      <w:bookmarkStart w:id="2010" w:name="_Toc146614581"/>
      <w:bookmarkStart w:id="2011" w:name="_Toc146614705"/>
      <w:bookmarkStart w:id="2012" w:name="_Toc146614760"/>
      <w:bookmarkStart w:id="2013" w:name="_Toc146614779"/>
      <w:bookmarkStart w:id="2014" w:name="_Toc146614800"/>
      <w:bookmarkStart w:id="2015" w:name="_Toc146614819"/>
      <w:bookmarkStart w:id="2016" w:name="_Toc146614838"/>
      <w:bookmarkStart w:id="2017" w:name="_Toc146615085"/>
      <w:bookmarkStart w:id="2018" w:name="_Toc146615164"/>
      <w:bookmarkStart w:id="2019" w:name="_Toc146615200"/>
      <w:bookmarkStart w:id="2020" w:name="_Toc146615219"/>
      <w:bookmarkStart w:id="2021" w:name="_Toc146615238"/>
      <w:bookmarkStart w:id="2022" w:name="_Toc146615377"/>
      <w:bookmarkStart w:id="2023" w:name="_Toc146615401"/>
      <w:bookmarkStart w:id="2024" w:name="_Toc146615439"/>
      <w:bookmarkStart w:id="2025" w:name="_Toc146615470"/>
      <w:bookmarkStart w:id="2026" w:name="_Toc146615512"/>
      <w:bookmarkStart w:id="2027" w:name="_Toc146615531"/>
      <w:bookmarkStart w:id="2028" w:name="_Toc146615550"/>
      <w:bookmarkStart w:id="2029" w:name="_Toc146615569"/>
      <w:bookmarkStart w:id="2030" w:name="_Toc146615595"/>
      <w:bookmarkStart w:id="2031" w:name="_Toc146615629"/>
      <w:bookmarkStart w:id="2032" w:name="_Toc146615655"/>
      <w:bookmarkStart w:id="2033" w:name="_Toc146615674"/>
      <w:bookmarkStart w:id="2034" w:name="_Toc146615693"/>
      <w:bookmarkStart w:id="2035" w:name="_Toc146615712"/>
      <w:bookmarkStart w:id="2036" w:name="_Toc146615735"/>
      <w:bookmarkStart w:id="2037" w:name="_Toc146615764"/>
      <w:bookmarkStart w:id="2038" w:name="_Toc146615783"/>
      <w:bookmarkStart w:id="2039" w:name="_Toc146615802"/>
      <w:bookmarkStart w:id="2040" w:name="_Toc146615874"/>
      <w:bookmarkStart w:id="2041" w:name="_Toc146615899"/>
      <w:bookmarkStart w:id="2042" w:name="_Toc146615918"/>
      <w:bookmarkStart w:id="2043" w:name="_Toc146615937"/>
      <w:bookmarkStart w:id="2044" w:name="_Toc146615956"/>
      <w:bookmarkStart w:id="2045" w:name="_Toc146615986"/>
      <w:bookmarkStart w:id="2046" w:name="_Toc146616020"/>
      <w:bookmarkStart w:id="2047" w:name="_Toc146616082"/>
      <w:bookmarkStart w:id="2048" w:name="_Toc146616196"/>
      <w:bookmarkStart w:id="2049" w:name="_Toc146616280"/>
      <w:bookmarkStart w:id="2050" w:name="_Toc146616418"/>
      <w:bookmarkStart w:id="2051" w:name="_Toc146616445"/>
      <w:bookmarkStart w:id="2052" w:name="_Toc146616468"/>
      <w:bookmarkStart w:id="2053" w:name="_Toc146616487"/>
      <w:bookmarkStart w:id="2054" w:name="_Toc146616506"/>
      <w:bookmarkStart w:id="2055" w:name="_Toc146616535"/>
      <w:bookmarkStart w:id="2056" w:name="_Toc146616562"/>
      <w:bookmarkStart w:id="2057" w:name="_Toc146616580"/>
      <w:bookmarkStart w:id="2058" w:name="_Toc146616600"/>
      <w:bookmarkStart w:id="2059" w:name="_Toc146616635"/>
      <w:bookmarkStart w:id="2060" w:name="_Toc146616667"/>
      <w:bookmarkStart w:id="2061" w:name="_Toc146616685"/>
      <w:bookmarkStart w:id="2062" w:name="_Toc146616983"/>
      <w:bookmarkStart w:id="2063" w:name="_Toc146617001"/>
      <w:bookmarkStart w:id="2064" w:name="_Toc146617019"/>
      <w:bookmarkStart w:id="2065" w:name="_Toc146617037"/>
      <w:bookmarkStart w:id="2066" w:name="_Toc146617055"/>
      <w:bookmarkStart w:id="2067" w:name="_Toc146617073"/>
      <w:bookmarkStart w:id="2068" w:name="_Toc146617091"/>
      <w:bookmarkStart w:id="2069" w:name="_Toc146617109"/>
      <w:bookmarkStart w:id="2070" w:name="_Toc146617127"/>
      <w:bookmarkStart w:id="2071" w:name="_Toc146617145"/>
      <w:bookmarkStart w:id="2072" w:name="_Toc146617163"/>
      <w:bookmarkStart w:id="2073" w:name="_Toc146617181"/>
      <w:bookmarkStart w:id="2074" w:name="_Toc146617199"/>
      <w:bookmarkStart w:id="2075" w:name="_Toc146617217"/>
      <w:bookmarkStart w:id="2076" w:name="_Toc146617235"/>
      <w:bookmarkStart w:id="2077" w:name="_Toc146617253"/>
      <w:bookmarkStart w:id="2078" w:name="_Toc146617271"/>
      <w:bookmarkStart w:id="2079" w:name="_Toc146617289"/>
      <w:bookmarkStart w:id="2080" w:name="_Toc146617388"/>
      <w:bookmarkStart w:id="2081" w:name="_Toc146617406"/>
      <w:bookmarkStart w:id="2082" w:name="_Toc146618263"/>
      <w:bookmarkStart w:id="2083" w:name="_Toc146618281"/>
      <w:bookmarkStart w:id="2084" w:name="_Toc146618299"/>
      <w:bookmarkStart w:id="2085" w:name="_Toc146619963"/>
      <w:bookmarkStart w:id="2086" w:name="_Toc146701829"/>
      <w:bookmarkStart w:id="2087" w:name="_Toc146701847"/>
      <w:bookmarkStart w:id="2088" w:name="_Toc146701867"/>
      <w:bookmarkStart w:id="2089" w:name="_Toc146702217"/>
      <w:bookmarkStart w:id="2090" w:name="_Toc146702235"/>
      <w:bookmarkStart w:id="2091" w:name="_Toc147411190"/>
      <w:bookmarkStart w:id="2092" w:name="_Toc147411407"/>
      <w:bookmarkStart w:id="2093" w:name="_Toc147411425"/>
      <w:bookmarkStart w:id="2094" w:name="_Toc153353008"/>
      <w:bookmarkStart w:id="2095" w:name="_Toc153353057"/>
      <w:bookmarkStart w:id="2096" w:name="_Toc153353076"/>
      <w:bookmarkStart w:id="2097" w:name="_Toc153353095"/>
      <w:bookmarkStart w:id="2098" w:name="_Toc153353115"/>
      <w:bookmarkStart w:id="2099" w:name="_Toc153353134"/>
      <w:bookmarkStart w:id="2100" w:name="_Toc153353153"/>
      <w:bookmarkStart w:id="2101" w:name="_Toc153353172"/>
      <w:bookmarkStart w:id="2102" w:name="_Toc153353191"/>
      <w:bookmarkStart w:id="2103" w:name="_Toc153353210"/>
      <w:bookmarkStart w:id="2104" w:name="_Toc153353229"/>
      <w:bookmarkStart w:id="2105" w:name="_Toc153353484"/>
      <w:bookmarkStart w:id="2106" w:name="_Toc153353541"/>
      <w:bookmarkStart w:id="2107" w:name="_Toc153356097"/>
      <w:bookmarkStart w:id="2108" w:name="_Toc153356122"/>
      <w:bookmarkStart w:id="2109" w:name="_Toc153357312"/>
      <w:bookmarkStart w:id="2110" w:name="_Toc153357331"/>
      <w:bookmarkStart w:id="2111" w:name="_Toc153369186"/>
      <w:bookmarkStart w:id="2112" w:name="_Toc153369243"/>
      <w:bookmarkStart w:id="2113" w:name="_Toc155964104"/>
      <w:bookmarkStart w:id="2114" w:name="_Toc155964534"/>
      <w:bookmarkStart w:id="2115" w:name="_Toc155968917"/>
      <w:bookmarkStart w:id="2116" w:name="_Toc155969502"/>
      <w:bookmarkStart w:id="2117" w:name="_Toc155969579"/>
      <w:bookmarkStart w:id="2118" w:name="_Toc155969633"/>
      <w:bookmarkStart w:id="2119" w:name="_Toc155970020"/>
      <w:bookmarkStart w:id="2120" w:name="_Toc155970065"/>
      <w:bookmarkStart w:id="2121" w:name="_Toc155971420"/>
      <w:bookmarkStart w:id="2122" w:name="_Toc155976378"/>
      <w:bookmarkStart w:id="2123" w:name="_Toc155977156"/>
      <w:bookmarkStart w:id="2124" w:name="_Toc155977336"/>
      <w:bookmarkStart w:id="2125" w:name="_Toc155977356"/>
      <w:bookmarkStart w:id="2126" w:name="_Toc155977377"/>
      <w:bookmarkStart w:id="2127" w:name="_Toc155977421"/>
      <w:bookmarkStart w:id="2128" w:name="_Toc155977512"/>
      <w:bookmarkStart w:id="2129" w:name="_Toc156386194"/>
      <w:bookmarkStart w:id="2130" w:name="_Toc156387329"/>
      <w:bookmarkStart w:id="2131" w:name="_Toc156387369"/>
      <w:bookmarkStart w:id="2132" w:name="_Toc160526432"/>
      <w:bookmarkStart w:id="2133" w:name="_Toc160526609"/>
      <w:bookmarkStart w:id="2134" w:name="_Toc160526652"/>
      <w:bookmarkStart w:id="2135" w:name="_Toc160526714"/>
      <w:bookmarkStart w:id="2136" w:name="_Toc160527480"/>
      <w:bookmarkStart w:id="2137" w:name="_Toc160532331"/>
      <w:bookmarkStart w:id="2138" w:name="_Toc160533472"/>
      <w:bookmarkStart w:id="2139" w:name="_Toc160541861"/>
      <w:bookmarkStart w:id="2140" w:name="_Toc160545204"/>
      <w:bookmarkStart w:id="2141" w:name="_Toc160545364"/>
      <w:bookmarkStart w:id="2142" w:name="_Toc160545387"/>
      <w:bookmarkStart w:id="2143" w:name="_Toc160545410"/>
      <w:bookmarkStart w:id="2144" w:name="_Toc160545438"/>
      <w:bookmarkStart w:id="2145" w:name="_Toc160545462"/>
      <w:bookmarkStart w:id="2146" w:name="_Toc160545486"/>
      <w:bookmarkStart w:id="2147" w:name="_Toc160545510"/>
      <w:bookmarkStart w:id="2148" w:name="_Toc160545535"/>
      <w:bookmarkStart w:id="2149" w:name="_Toc160545560"/>
      <w:bookmarkStart w:id="2150" w:name="_Toc160545586"/>
      <w:bookmarkStart w:id="2151" w:name="_Toc160545612"/>
      <w:bookmarkStart w:id="2152" w:name="_Toc160545638"/>
      <w:bookmarkStart w:id="2153" w:name="_Toc160545664"/>
      <w:bookmarkStart w:id="2154" w:name="_Toc160545691"/>
      <w:bookmarkStart w:id="2155" w:name="_Toc160545718"/>
      <w:bookmarkStart w:id="2156" w:name="_Toc160545759"/>
      <w:bookmarkStart w:id="2157" w:name="_Toc160545787"/>
      <w:bookmarkStart w:id="2158" w:name="_Toc160545815"/>
      <w:bookmarkStart w:id="2159" w:name="_Toc160545852"/>
      <w:bookmarkStart w:id="2160" w:name="_Toc160545881"/>
      <w:bookmarkStart w:id="2161" w:name="_Toc160545910"/>
      <w:bookmarkStart w:id="2162" w:name="_Toc160545953"/>
      <w:bookmarkStart w:id="2163" w:name="_Toc160545983"/>
      <w:bookmarkStart w:id="2164" w:name="_Toc160546013"/>
      <w:bookmarkStart w:id="2165" w:name="_Toc160546050"/>
      <w:bookmarkStart w:id="2166" w:name="_Toc160546081"/>
      <w:bookmarkStart w:id="2167" w:name="_Toc160546112"/>
      <w:bookmarkStart w:id="2168" w:name="_Toc160546148"/>
      <w:bookmarkStart w:id="2169" w:name="_Toc160546180"/>
      <w:bookmarkStart w:id="2170" w:name="_Toc160546212"/>
      <w:bookmarkStart w:id="2171" w:name="_Toc160546244"/>
      <w:bookmarkStart w:id="2172" w:name="_Toc160546276"/>
      <w:bookmarkStart w:id="2173" w:name="_Toc160546835"/>
      <w:bookmarkStart w:id="2174" w:name="_Toc160546868"/>
      <w:bookmarkStart w:id="2175" w:name="_Toc160547017"/>
      <w:bookmarkStart w:id="2176" w:name="_Toc160547682"/>
      <w:bookmarkStart w:id="2177" w:name="_Toc160547802"/>
      <w:bookmarkStart w:id="2178" w:name="_Toc160548652"/>
      <w:bookmarkStart w:id="2179" w:name="_Toc160548799"/>
      <w:bookmarkStart w:id="2180" w:name="_Toc160548907"/>
      <w:bookmarkStart w:id="2181" w:name="_Toc160548942"/>
      <w:bookmarkStart w:id="2182" w:name="_Toc160548977"/>
      <w:bookmarkStart w:id="2183" w:name="_Toc160549012"/>
      <w:bookmarkStart w:id="2184" w:name="_Toc160549738"/>
      <w:bookmarkStart w:id="2185" w:name="_Toc160549849"/>
      <w:bookmarkStart w:id="2186" w:name="_Toc160550645"/>
      <w:bookmarkStart w:id="2187" w:name="_Toc160550760"/>
      <w:bookmarkStart w:id="2188" w:name="_Toc160551648"/>
      <w:bookmarkStart w:id="2189" w:name="_Toc160551681"/>
      <w:bookmarkStart w:id="2190" w:name="_Toc160551714"/>
      <w:bookmarkStart w:id="2191" w:name="_Toc160553748"/>
      <w:bookmarkStart w:id="2192" w:name="_Toc160553796"/>
      <w:bookmarkStart w:id="2193" w:name="_Toc160696580"/>
      <w:bookmarkStart w:id="2194" w:name="_Toc160697667"/>
      <w:bookmarkStart w:id="2195" w:name="_Toc160697729"/>
      <w:bookmarkStart w:id="2196" w:name="_Toc160697762"/>
      <w:bookmarkStart w:id="2197" w:name="_Toc160781868"/>
      <w:bookmarkStart w:id="2198" w:name="_Toc160782082"/>
      <w:bookmarkStart w:id="2199" w:name="_Toc160783900"/>
      <w:bookmarkStart w:id="2200" w:name="_Toc161041744"/>
      <w:bookmarkStart w:id="2201" w:name="_Toc161041777"/>
      <w:bookmarkStart w:id="2202" w:name="_Toc161042864"/>
      <w:bookmarkStart w:id="2203" w:name="_Toc161042903"/>
      <w:bookmarkStart w:id="2204" w:name="_Toc161042950"/>
      <w:bookmarkStart w:id="2205" w:name="_Toc161042983"/>
      <w:bookmarkStart w:id="2206" w:name="_Toc161043016"/>
      <w:bookmarkStart w:id="2207" w:name="_Toc161043688"/>
      <w:bookmarkStart w:id="2208" w:name="_Toc161043751"/>
      <w:bookmarkStart w:id="2209" w:name="_Toc161132047"/>
      <w:bookmarkStart w:id="2210" w:name="_Toc161132095"/>
      <w:bookmarkStart w:id="2211" w:name="_Toc161155089"/>
      <w:bookmarkStart w:id="2212" w:name="_Toc161156432"/>
      <w:bookmarkStart w:id="2213" w:name="_Toc161156526"/>
      <w:bookmarkStart w:id="2214" w:name="_Toc161213166"/>
      <w:bookmarkStart w:id="2215" w:name="_Toc161213302"/>
      <w:bookmarkStart w:id="2216" w:name="_Toc161213989"/>
      <w:bookmarkStart w:id="2217" w:name="_Toc161215240"/>
      <w:bookmarkStart w:id="2218" w:name="_Toc161215278"/>
      <w:bookmarkStart w:id="2219" w:name="_Toc161303014"/>
      <w:bookmarkStart w:id="2220" w:name="_Toc161303423"/>
      <w:bookmarkStart w:id="2221" w:name="_Toc161304708"/>
      <w:bookmarkStart w:id="2222" w:name="_Toc161306641"/>
      <w:bookmarkStart w:id="2223" w:name="_Toc161307209"/>
      <w:bookmarkStart w:id="2224" w:name="_Toc161307693"/>
      <w:bookmarkStart w:id="2225" w:name="_Toc161307736"/>
      <w:bookmarkStart w:id="2226" w:name="_Toc161310163"/>
      <w:bookmarkStart w:id="2227" w:name="_Toc161310196"/>
      <w:bookmarkStart w:id="2228" w:name="_Toc161311204"/>
      <w:bookmarkStart w:id="2229" w:name="_Toc161311237"/>
      <w:bookmarkStart w:id="2230" w:name="_Toc161320101"/>
      <w:bookmarkStart w:id="2231" w:name="_Toc161320171"/>
      <w:bookmarkStart w:id="2232" w:name="_Toc161320204"/>
      <w:bookmarkStart w:id="2233" w:name="_Toc161320633"/>
      <w:bookmarkStart w:id="2234" w:name="_Toc161322256"/>
      <w:bookmarkStart w:id="2235" w:name="_Toc161322454"/>
      <w:bookmarkStart w:id="2236" w:name="_Toc161322506"/>
      <w:bookmarkStart w:id="2237" w:name="_Toc161323822"/>
      <w:bookmarkStart w:id="2238" w:name="_Toc161323878"/>
      <w:bookmarkStart w:id="2239" w:name="_Toc161324227"/>
      <w:bookmarkStart w:id="2240" w:name="_Toc161324342"/>
      <w:bookmarkStart w:id="2241" w:name="_Toc161736500"/>
      <w:bookmarkStart w:id="2242" w:name="_Toc161738964"/>
      <w:bookmarkStart w:id="2243" w:name="_Toc161829871"/>
      <w:bookmarkStart w:id="2244" w:name="_Toc161833252"/>
      <w:bookmarkStart w:id="2245" w:name="_Toc161833877"/>
      <w:bookmarkStart w:id="2246" w:name="_Toc161834018"/>
      <w:bookmarkStart w:id="2247" w:name="_Toc161834093"/>
      <w:bookmarkStart w:id="2248" w:name="_Toc161834172"/>
      <w:bookmarkStart w:id="2249" w:name="_Toc161836815"/>
      <w:bookmarkStart w:id="2250" w:name="_Toc161836952"/>
      <w:bookmarkStart w:id="2251" w:name="_Toc161836984"/>
      <w:bookmarkStart w:id="2252" w:name="_Toc162944548"/>
      <w:bookmarkStart w:id="2253" w:name="_Toc163028734"/>
      <w:bookmarkStart w:id="2254" w:name="_Toc163029164"/>
      <w:bookmarkStart w:id="2255" w:name="_Toc163030874"/>
      <w:bookmarkStart w:id="2256" w:name="_Toc163031693"/>
      <w:bookmarkStart w:id="2257" w:name="_Toc163031717"/>
      <w:bookmarkStart w:id="2258" w:name="_Toc163031741"/>
      <w:bookmarkStart w:id="2259" w:name="_Toc163031865"/>
      <w:bookmarkStart w:id="2260" w:name="_Toc163032006"/>
      <w:bookmarkStart w:id="2261" w:name="_Toc163032060"/>
      <w:bookmarkStart w:id="2262" w:name="_Toc163032139"/>
      <w:bookmarkStart w:id="2263" w:name="_Toc163032188"/>
      <w:bookmarkStart w:id="2264" w:name="_Toc163032346"/>
      <w:bookmarkStart w:id="2265" w:name="_Toc163032674"/>
      <w:bookmarkStart w:id="2266" w:name="_Toc163032699"/>
      <w:bookmarkStart w:id="2267" w:name="_Toc163032724"/>
      <w:bookmarkStart w:id="2268" w:name="_Toc163032749"/>
      <w:bookmarkStart w:id="2269" w:name="_Toc163032816"/>
      <w:bookmarkStart w:id="2270" w:name="_Toc163032858"/>
      <w:bookmarkStart w:id="2271" w:name="_Toc163033188"/>
      <w:bookmarkStart w:id="2272" w:name="_Toc163033214"/>
      <w:bookmarkStart w:id="2273" w:name="_Toc163033240"/>
      <w:bookmarkStart w:id="2274" w:name="_Toc163033266"/>
      <w:bookmarkStart w:id="2275" w:name="_Toc163033293"/>
      <w:bookmarkStart w:id="2276" w:name="_Toc163033320"/>
      <w:bookmarkStart w:id="2277" w:name="_Toc163033347"/>
      <w:bookmarkStart w:id="2278" w:name="_Toc163033375"/>
      <w:bookmarkStart w:id="2279" w:name="_Toc163033403"/>
      <w:bookmarkStart w:id="2280" w:name="_Toc163033542"/>
      <w:bookmarkStart w:id="2281" w:name="_Toc163033571"/>
      <w:bookmarkStart w:id="2282" w:name="_Toc163033600"/>
      <w:bookmarkStart w:id="2283" w:name="_Toc163033629"/>
      <w:bookmarkStart w:id="2284" w:name="_Toc163033659"/>
      <w:bookmarkStart w:id="2285" w:name="_Toc163033689"/>
      <w:bookmarkStart w:id="2286" w:name="_Toc163033719"/>
      <w:bookmarkStart w:id="2287" w:name="_Toc163033749"/>
      <w:bookmarkStart w:id="2288" w:name="_Toc163033780"/>
      <w:bookmarkStart w:id="2289" w:name="_Toc163033811"/>
      <w:bookmarkStart w:id="2290" w:name="_Toc163033842"/>
      <w:bookmarkStart w:id="2291" w:name="_Toc163033874"/>
      <w:bookmarkStart w:id="2292" w:name="_Toc163033906"/>
      <w:bookmarkStart w:id="2293" w:name="_Toc163033938"/>
      <w:bookmarkStart w:id="2294" w:name="_Toc163033970"/>
      <w:bookmarkStart w:id="2295" w:name="_Toc163034003"/>
      <w:bookmarkStart w:id="2296" w:name="_Toc163034036"/>
      <w:bookmarkStart w:id="2297" w:name="_Toc163034069"/>
      <w:bookmarkStart w:id="2298" w:name="_Toc163034103"/>
      <w:bookmarkStart w:id="2299" w:name="_Toc163034137"/>
      <w:bookmarkStart w:id="2300" w:name="_Toc163034171"/>
      <w:bookmarkStart w:id="2301" w:name="_Toc163034262"/>
      <w:bookmarkStart w:id="2302" w:name="_Toc163034295"/>
      <w:bookmarkStart w:id="2303" w:name="_Toc163034328"/>
      <w:bookmarkStart w:id="2304" w:name="_Toc163034361"/>
      <w:bookmarkStart w:id="2305" w:name="_Toc163036616"/>
      <w:bookmarkStart w:id="2306" w:name="_Toc163036649"/>
      <w:bookmarkStart w:id="2307" w:name="_Toc163036728"/>
      <w:bookmarkStart w:id="2308" w:name="_Toc163036766"/>
      <w:bookmarkStart w:id="2309" w:name="_Toc163036807"/>
      <w:bookmarkEnd w:id="335"/>
      <w:bookmarkEnd w:id="336"/>
      <w:bookmarkEnd w:id="337"/>
      <w:bookmarkEnd w:id="338"/>
      <w:bookmarkEnd w:id="339"/>
      <w:bookmarkEnd w:id="1980"/>
      <w:bookmarkEnd w:id="1981"/>
      <w:r w:rsidRPr="007D7B32">
        <w:rPr>
          <w:rFonts w:ascii="Times New Roman" w:hAnsi="Times New Roman" w:cs="Times New Roman"/>
        </w:rPr>
        <w:lastRenderedPageBreak/>
        <w:t>8. Rozhodnutí Evropského parlamentu</w:t>
      </w:r>
      <w:bookmarkEnd w:id="1984"/>
      <w:bookmarkEnd w:id="1985"/>
      <w:bookmarkEnd w:id="1986"/>
      <w:bookmarkEnd w:id="1987"/>
      <w:bookmarkEnd w:id="1988"/>
      <w:bookmarkEnd w:id="1989"/>
      <w:bookmarkEnd w:id="1990"/>
      <w:bookmarkEnd w:id="1991"/>
      <w:bookmarkEnd w:id="1992"/>
      <w:bookmarkEnd w:id="1993"/>
      <w:bookmarkEnd w:id="1994"/>
      <w:bookmarkEnd w:id="1995"/>
      <w:bookmarkEnd w:id="1996"/>
      <w:bookmarkEnd w:id="1997"/>
      <w:bookmarkEnd w:id="1998"/>
      <w:bookmarkEnd w:id="1999"/>
      <w:bookmarkEnd w:id="2000"/>
      <w:bookmarkEnd w:id="2001"/>
      <w:bookmarkEnd w:id="2002"/>
      <w:bookmarkEnd w:id="2003"/>
      <w:bookmarkEnd w:id="2004"/>
      <w:bookmarkEnd w:id="2005"/>
      <w:bookmarkEnd w:id="2006"/>
      <w:bookmarkEnd w:id="2007"/>
      <w:bookmarkEnd w:id="2008"/>
      <w:bookmarkEnd w:id="2009"/>
      <w:bookmarkEnd w:id="2010"/>
      <w:bookmarkEnd w:id="2011"/>
      <w:bookmarkEnd w:id="2012"/>
      <w:bookmarkEnd w:id="2013"/>
      <w:bookmarkEnd w:id="2014"/>
      <w:bookmarkEnd w:id="2015"/>
      <w:bookmarkEnd w:id="2016"/>
      <w:bookmarkEnd w:id="2017"/>
      <w:bookmarkEnd w:id="2018"/>
      <w:bookmarkEnd w:id="2019"/>
      <w:bookmarkEnd w:id="2020"/>
      <w:bookmarkEnd w:id="2021"/>
      <w:bookmarkEnd w:id="2022"/>
      <w:bookmarkEnd w:id="2023"/>
      <w:bookmarkEnd w:id="2024"/>
      <w:bookmarkEnd w:id="2025"/>
      <w:bookmarkEnd w:id="2026"/>
      <w:bookmarkEnd w:id="2027"/>
      <w:bookmarkEnd w:id="2028"/>
      <w:bookmarkEnd w:id="2029"/>
      <w:bookmarkEnd w:id="2030"/>
      <w:bookmarkEnd w:id="2031"/>
      <w:bookmarkEnd w:id="2032"/>
      <w:bookmarkEnd w:id="2033"/>
      <w:bookmarkEnd w:id="2034"/>
      <w:bookmarkEnd w:id="2035"/>
      <w:bookmarkEnd w:id="2036"/>
      <w:bookmarkEnd w:id="2037"/>
      <w:bookmarkEnd w:id="2038"/>
      <w:bookmarkEnd w:id="2039"/>
      <w:bookmarkEnd w:id="2040"/>
      <w:bookmarkEnd w:id="2041"/>
      <w:bookmarkEnd w:id="2042"/>
      <w:bookmarkEnd w:id="2043"/>
      <w:bookmarkEnd w:id="2044"/>
      <w:bookmarkEnd w:id="2045"/>
      <w:bookmarkEnd w:id="2046"/>
      <w:bookmarkEnd w:id="2047"/>
      <w:bookmarkEnd w:id="2048"/>
      <w:bookmarkEnd w:id="2049"/>
      <w:bookmarkEnd w:id="2050"/>
      <w:bookmarkEnd w:id="2051"/>
      <w:bookmarkEnd w:id="2052"/>
      <w:bookmarkEnd w:id="2053"/>
      <w:bookmarkEnd w:id="2054"/>
      <w:bookmarkEnd w:id="2055"/>
      <w:bookmarkEnd w:id="2056"/>
      <w:bookmarkEnd w:id="2057"/>
      <w:bookmarkEnd w:id="2058"/>
      <w:bookmarkEnd w:id="2059"/>
      <w:bookmarkEnd w:id="2060"/>
      <w:bookmarkEnd w:id="2061"/>
      <w:bookmarkEnd w:id="2062"/>
      <w:bookmarkEnd w:id="2063"/>
      <w:bookmarkEnd w:id="2064"/>
      <w:bookmarkEnd w:id="2065"/>
      <w:bookmarkEnd w:id="2066"/>
      <w:bookmarkEnd w:id="2067"/>
      <w:bookmarkEnd w:id="2068"/>
      <w:bookmarkEnd w:id="2069"/>
      <w:bookmarkEnd w:id="2070"/>
      <w:bookmarkEnd w:id="2071"/>
      <w:bookmarkEnd w:id="2072"/>
      <w:bookmarkEnd w:id="2073"/>
      <w:bookmarkEnd w:id="2074"/>
      <w:bookmarkEnd w:id="2075"/>
      <w:bookmarkEnd w:id="2076"/>
      <w:bookmarkEnd w:id="2077"/>
      <w:bookmarkEnd w:id="2078"/>
      <w:bookmarkEnd w:id="2079"/>
      <w:bookmarkEnd w:id="2080"/>
      <w:bookmarkEnd w:id="2081"/>
      <w:bookmarkEnd w:id="2082"/>
      <w:bookmarkEnd w:id="2083"/>
      <w:bookmarkEnd w:id="2084"/>
      <w:bookmarkEnd w:id="2085"/>
      <w:bookmarkEnd w:id="2086"/>
      <w:bookmarkEnd w:id="2087"/>
      <w:bookmarkEnd w:id="2088"/>
      <w:bookmarkEnd w:id="2089"/>
      <w:bookmarkEnd w:id="2090"/>
      <w:bookmarkEnd w:id="2091"/>
      <w:bookmarkEnd w:id="2092"/>
      <w:bookmarkEnd w:id="2093"/>
      <w:bookmarkEnd w:id="2094"/>
      <w:bookmarkEnd w:id="2095"/>
      <w:bookmarkEnd w:id="2096"/>
      <w:bookmarkEnd w:id="2097"/>
      <w:bookmarkEnd w:id="2098"/>
      <w:bookmarkEnd w:id="2099"/>
      <w:bookmarkEnd w:id="2100"/>
      <w:bookmarkEnd w:id="2101"/>
      <w:bookmarkEnd w:id="2102"/>
      <w:bookmarkEnd w:id="2103"/>
      <w:bookmarkEnd w:id="2104"/>
      <w:bookmarkEnd w:id="2105"/>
      <w:bookmarkEnd w:id="2106"/>
      <w:bookmarkEnd w:id="2107"/>
      <w:bookmarkEnd w:id="2108"/>
      <w:bookmarkEnd w:id="2109"/>
      <w:bookmarkEnd w:id="2110"/>
      <w:bookmarkEnd w:id="2111"/>
      <w:bookmarkEnd w:id="2112"/>
      <w:bookmarkEnd w:id="2113"/>
      <w:bookmarkEnd w:id="2114"/>
      <w:bookmarkEnd w:id="2115"/>
      <w:bookmarkEnd w:id="2116"/>
      <w:bookmarkEnd w:id="2117"/>
      <w:bookmarkEnd w:id="2118"/>
      <w:bookmarkEnd w:id="2119"/>
      <w:bookmarkEnd w:id="2120"/>
      <w:bookmarkEnd w:id="2121"/>
      <w:bookmarkEnd w:id="2122"/>
      <w:bookmarkEnd w:id="2123"/>
      <w:bookmarkEnd w:id="2124"/>
      <w:bookmarkEnd w:id="2125"/>
      <w:bookmarkEnd w:id="2126"/>
      <w:bookmarkEnd w:id="2127"/>
      <w:bookmarkEnd w:id="2128"/>
      <w:bookmarkEnd w:id="2129"/>
      <w:bookmarkEnd w:id="2130"/>
      <w:bookmarkEnd w:id="2131"/>
      <w:bookmarkEnd w:id="2132"/>
      <w:bookmarkEnd w:id="2133"/>
      <w:bookmarkEnd w:id="2134"/>
      <w:bookmarkEnd w:id="2135"/>
      <w:bookmarkEnd w:id="2136"/>
      <w:bookmarkEnd w:id="2137"/>
      <w:bookmarkEnd w:id="2138"/>
      <w:bookmarkEnd w:id="2139"/>
      <w:bookmarkEnd w:id="2140"/>
      <w:bookmarkEnd w:id="2141"/>
      <w:bookmarkEnd w:id="2142"/>
      <w:bookmarkEnd w:id="2143"/>
      <w:bookmarkEnd w:id="2144"/>
      <w:bookmarkEnd w:id="2145"/>
      <w:bookmarkEnd w:id="2146"/>
      <w:bookmarkEnd w:id="2147"/>
      <w:bookmarkEnd w:id="2148"/>
      <w:bookmarkEnd w:id="2149"/>
      <w:bookmarkEnd w:id="2150"/>
      <w:bookmarkEnd w:id="2151"/>
      <w:bookmarkEnd w:id="2152"/>
      <w:bookmarkEnd w:id="2153"/>
      <w:bookmarkEnd w:id="2154"/>
      <w:bookmarkEnd w:id="2155"/>
      <w:bookmarkEnd w:id="2156"/>
      <w:bookmarkEnd w:id="2157"/>
      <w:bookmarkEnd w:id="2158"/>
      <w:bookmarkEnd w:id="2159"/>
      <w:bookmarkEnd w:id="2160"/>
      <w:bookmarkEnd w:id="2161"/>
      <w:bookmarkEnd w:id="2162"/>
      <w:bookmarkEnd w:id="2163"/>
      <w:bookmarkEnd w:id="2164"/>
      <w:bookmarkEnd w:id="2165"/>
      <w:bookmarkEnd w:id="2166"/>
      <w:bookmarkEnd w:id="2167"/>
      <w:bookmarkEnd w:id="2168"/>
      <w:bookmarkEnd w:id="2169"/>
      <w:bookmarkEnd w:id="2170"/>
      <w:bookmarkEnd w:id="2171"/>
      <w:bookmarkEnd w:id="2172"/>
      <w:bookmarkEnd w:id="2173"/>
      <w:bookmarkEnd w:id="2174"/>
      <w:bookmarkEnd w:id="2175"/>
      <w:bookmarkEnd w:id="2176"/>
      <w:bookmarkEnd w:id="2177"/>
      <w:bookmarkEnd w:id="2178"/>
      <w:bookmarkEnd w:id="2179"/>
      <w:bookmarkEnd w:id="2180"/>
      <w:bookmarkEnd w:id="2181"/>
      <w:bookmarkEnd w:id="2182"/>
      <w:bookmarkEnd w:id="2183"/>
      <w:bookmarkEnd w:id="2184"/>
      <w:bookmarkEnd w:id="2185"/>
      <w:bookmarkEnd w:id="2186"/>
      <w:bookmarkEnd w:id="2187"/>
      <w:bookmarkEnd w:id="2188"/>
      <w:bookmarkEnd w:id="2189"/>
      <w:bookmarkEnd w:id="2190"/>
      <w:bookmarkEnd w:id="2191"/>
      <w:bookmarkEnd w:id="2192"/>
      <w:bookmarkEnd w:id="2193"/>
      <w:bookmarkEnd w:id="2194"/>
      <w:bookmarkEnd w:id="2195"/>
      <w:bookmarkEnd w:id="2196"/>
      <w:bookmarkEnd w:id="2197"/>
      <w:bookmarkEnd w:id="2198"/>
      <w:bookmarkEnd w:id="2199"/>
      <w:bookmarkEnd w:id="2200"/>
      <w:bookmarkEnd w:id="2201"/>
      <w:bookmarkEnd w:id="2202"/>
      <w:bookmarkEnd w:id="2203"/>
      <w:bookmarkEnd w:id="2204"/>
      <w:bookmarkEnd w:id="2205"/>
      <w:bookmarkEnd w:id="2206"/>
      <w:bookmarkEnd w:id="2207"/>
      <w:bookmarkEnd w:id="2208"/>
      <w:bookmarkEnd w:id="2209"/>
      <w:bookmarkEnd w:id="2210"/>
      <w:bookmarkEnd w:id="2211"/>
      <w:bookmarkEnd w:id="2212"/>
      <w:bookmarkEnd w:id="2213"/>
      <w:bookmarkEnd w:id="2214"/>
      <w:bookmarkEnd w:id="2215"/>
      <w:bookmarkEnd w:id="2216"/>
      <w:bookmarkEnd w:id="2217"/>
      <w:bookmarkEnd w:id="2218"/>
      <w:bookmarkEnd w:id="2219"/>
      <w:bookmarkEnd w:id="2220"/>
      <w:bookmarkEnd w:id="2221"/>
      <w:bookmarkEnd w:id="2222"/>
      <w:bookmarkEnd w:id="2223"/>
      <w:bookmarkEnd w:id="2224"/>
      <w:bookmarkEnd w:id="2225"/>
      <w:bookmarkEnd w:id="2226"/>
      <w:bookmarkEnd w:id="2227"/>
      <w:bookmarkEnd w:id="2228"/>
      <w:bookmarkEnd w:id="2229"/>
      <w:bookmarkEnd w:id="2230"/>
      <w:bookmarkEnd w:id="2231"/>
      <w:bookmarkEnd w:id="2232"/>
      <w:bookmarkEnd w:id="2233"/>
      <w:bookmarkEnd w:id="2234"/>
      <w:bookmarkEnd w:id="2235"/>
      <w:bookmarkEnd w:id="2236"/>
      <w:bookmarkEnd w:id="2237"/>
      <w:bookmarkEnd w:id="2238"/>
      <w:bookmarkEnd w:id="2239"/>
      <w:bookmarkEnd w:id="2240"/>
      <w:bookmarkEnd w:id="2241"/>
      <w:bookmarkEnd w:id="2242"/>
      <w:bookmarkEnd w:id="2243"/>
      <w:bookmarkEnd w:id="2244"/>
      <w:bookmarkEnd w:id="2245"/>
      <w:bookmarkEnd w:id="2246"/>
      <w:bookmarkEnd w:id="2247"/>
      <w:bookmarkEnd w:id="2248"/>
      <w:bookmarkEnd w:id="2249"/>
      <w:bookmarkEnd w:id="2250"/>
      <w:bookmarkEnd w:id="2251"/>
      <w:bookmarkEnd w:id="2252"/>
      <w:bookmarkEnd w:id="2253"/>
      <w:bookmarkEnd w:id="2254"/>
      <w:bookmarkEnd w:id="2255"/>
      <w:bookmarkEnd w:id="2256"/>
      <w:bookmarkEnd w:id="2257"/>
      <w:bookmarkEnd w:id="2258"/>
      <w:bookmarkEnd w:id="2259"/>
      <w:bookmarkEnd w:id="2260"/>
      <w:bookmarkEnd w:id="2261"/>
      <w:bookmarkEnd w:id="2262"/>
      <w:bookmarkEnd w:id="2263"/>
      <w:bookmarkEnd w:id="2264"/>
      <w:bookmarkEnd w:id="2265"/>
      <w:bookmarkEnd w:id="2266"/>
      <w:bookmarkEnd w:id="2267"/>
      <w:bookmarkEnd w:id="2268"/>
      <w:bookmarkEnd w:id="2269"/>
      <w:bookmarkEnd w:id="2270"/>
      <w:bookmarkEnd w:id="2271"/>
      <w:bookmarkEnd w:id="2272"/>
      <w:bookmarkEnd w:id="2273"/>
      <w:bookmarkEnd w:id="2274"/>
      <w:bookmarkEnd w:id="2275"/>
      <w:bookmarkEnd w:id="2276"/>
      <w:bookmarkEnd w:id="2277"/>
      <w:bookmarkEnd w:id="2278"/>
      <w:bookmarkEnd w:id="2279"/>
      <w:bookmarkEnd w:id="2280"/>
      <w:bookmarkEnd w:id="2281"/>
      <w:bookmarkEnd w:id="2282"/>
      <w:bookmarkEnd w:id="2283"/>
      <w:bookmarkEnd w:id="2284"/>
      <w:bookmarkEnd w:id="2285"/>
      <w:bookmarkEnd w:id="2286"/>
      <w:bookmarkEnd w:id="2287"/>
      <w:bookmarkEnd w:id="2288"/>
      <w:bookmarkEnd w:id="2289"/>
      <w:bookmarkEnd w:id="2290"/>
      <w:bookmarkEnd w:id="2291"/>
      <w:bookmarkEnd w:id="2292"/>
      <w:bookmarkEnd w:id="2293"/>
      <w:bookmarkEnd w:id="2294"/>
      <w:bookmarkEnd w:id="2295"/>
      <w:bookmarkEnd w:id="2296"/>
      <w:bookmarkEnd w:id="2297"/>
      <w:bookmarkEnd w:id="2298"/>
      <w:bookmarkEnd w:id="2299"/>
      <w:bookmarkEnd w:id="2300"/>
      <w:bookmarkEnd w:id="2301"/>
      <w:bookmarkEnd w:id="2302"/>
      <w:bookmarkEnd w:id="2303"/>
      <w:bookmarkEnd w:id="2304"/>
      <w:bookmarkEnd w:id="2305"/>
      <w:bookmarkEnd w:id="2306"/>
      <w:bookmarkEnd w:id="2307"/>
      <w:bookmarkEnd w:id="2308"/>
      <w:bookmarkEnd w:id="2309"/>
      <w:r w:rsidRPr="007D7B32">
        <w:rPr>
          <w:rFonts w:ascii="Times New Roman" w:hAnsi="Times New Roman" w:cs="Times New Roman"/>
        </w:rPr>
        <w:t xml:space="preserve"> ze dne 11. dubna 2024 </w:t>
      </w:r>
      <w:bookmarkStart w:id="2310" w:name="_Toc162944549"/>
      <w:bookmarkStart w:id="2311" w:name="_Toc163036808"/>
      <w:r w:rsidR="00FA2D6B" w:rsidRPr="007D7B32">
        <w:rPr>
          <w:rFonts w:ascii="Times New Roman" w:hAnsi="Times New Roman" w:cs="Times New Roman"/>
        </w:rPr>
        <w:t>o uzavření účtů souhrnného rozpočtu Evropské unie za rozpočtový rok 2022, oddíl III – Komise</w:t>
      </w:r>
      <w:bookmarkEnd w:id="2310"/>
      <w:bookmarkEnd w:id="2311"/>
      <w:r w:rsidRPr="007D7B32">
        <w:rPr>
          <w:rFonts w:ascii="Times New Roman" w:hAnsi="Times New Roman" w:cs="Times New Roman"/>
        </w:rPr>
        <w:t xml:space="preserve"> </w:t>
      </w:r>
      <w:r w:rsidR="00FA2D6B" w:rsidRPr="007D7B32">
        <w:rPr>
          <w:rFonts w:ascii="Times New Roman" w:hAnsi="Times New Roman" w:cs="Times New Roman"/>
        </w:rPr>
        <w:t>(2023/2129(DEC))</w:t>
      </w:r>
    </w:p>
    <w:p w:rsidR="00FA2D6B" w:rsidRPr="007D7B32" w:rsidRDefault="00FA2D6B" w:rsidP="005E7441">
      <w:pPr>
        <w:pStyle w:val="EPComma"/>
        <w:spacing w:before="0"/>
      </w:pPr>
      <w:r w:rsidRPr="007D7B32">
        <w:rPr>
          <w:i/>
          <w:iCs/>
        </w:rPr>
        <w:t>Evropský parlament</w:t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souhrnný rozpočet Evropské unie na rozpočtový rok 2022</w:t>
      </w:r>
      <w:r w:rsidRPr="007D7B32">
        <w:rPr>
          <w:rStyle w:val="FootnoteReference"/>
        </w:rPr>
        <w:footnoteReference w:id="60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 ohledem na konsolidovanou účetní závěrku Evropské unie za rozpočtový rok 2022 (COM(2023)0391 – C9</w:t>
      </w:r>
      <w:r w:rsidRPr="007D7B32">
        <w:noBreakHyphen/>
        <w:t>0248/2023)</w:t>
      </w:r>
      <w:r w:rsidRPr="007D7B32">
        <w:rPr>
          <w:rStyle w:val="FootnoteReference"/>
        </w:rPr>
        <w:footnoteReference w:id="61"/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zprávu Komise o opatřeních přijatých v návaznosti na udělení absolutoria za rozpočtový rok 2021 (COM(2023)</w:t>
      </w:r>
      <w:r w:rsidR="00423DA5" w:rsidRPr="007D7B32">
        <w:t>0</w:t>
      </w:r>
      <w:r w:rsidRPr="007D7B32">
        <w:t>384) a na podrobné odpovědi na konkrétní žádosti Evropského parlamentu,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výroční zprávu Komise o řízení a výkonnosti rozpočtu EU za rok 2022 (COM(2023)</w:t>
      </w:r>
      <w:r w:rsidR="00423DA5" w:rsidRPr="007D7B32">
        <w:t>0</w:t>
      </w:r>
      <w:r w:rsidRPr="007D7B32">
        <w:t>401),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výroční zprávu Komise předkládanou orgánu udělujícímu absolutorium o interních auditech provedených v roce 2022 (COM(2023)</w:t>
      </w:r>
      <w:r w:rsidR="00423DA5" w:rsidRPr="007D7B32">
        <w:t>0</w:t>
      </w:r>
      <w:r w:rsidRPr="007D7B32">
        <w:t>323) a na připojený pracovní dokument útvarů Komise (SWD(2023)</w:t>
      </w:r>
      <w:r w:rsidR="00F35DA0">
        <w:t>0</w:t>
      </w:r>
      <w:r w:rsidRPr="007D7B32">
        <w:t>214),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výroční zprávu Účetního dvora o plnění rozpočtu na rozpočtový rok 2022 spolu s odpověďmi orgánů</w:t>
      </w:r>
      <w:r w:rsidRPr="007D7B32">
        <w:rPr>
          <w:rStyle w:val="FootnoteReference"/>
        </w:rPr>
        <w:footnoteReference w:id="62"/>
      </w:r>
      <w:r w:rsidRPr="007D7B32">
        <w:t xml:space="preserve"> a na zvláštní zprávy Účetního dvora,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prohlášení o věrohodnosti</w:t>
      </w:r>
      <w:r w:rsidRPr="007D7B32">
        <w:rPr>
          <w:rStyle w:val="FootnoteReference"/>
        </w:rPr>
        <w:footnoteReference w:id="63"/>
      </w:r>
      <w:r w:rsidRPr="007D7B32">
        <w:t xml:space="preserve"> účetnictví a o legalitě a správnosti uskutečněných operací, které předložil Účetní dvůr za rozpočtový rok 2022 podle článku 287 Smlouvy o fungování Evropské unie,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doporučení Rady ze dne 22. února 2024 o absolutoriu, které má být uděleno Komisi za plnění souhrnného rozpočtu Evropské unie za rozpočtový rok 2022 (06179/2024 – C9</w:t>
      </w:r>
      <w:r w:rsidRPr="007D7B32">
        <w:noBreakHyphen/>
        <w:t>0066/2024),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 ohledem na doporučení Rady ze dne 22. února 2024 o udělení absolutoria výkonným agenturám za plnění rozpočtu na rozpočtový rok 2022 (06181/2024 – C9</w:t>
      </w:r>
      <w:r w:rsidRPr="007D7B32">
        <w:noBreakHyphen/>
        <w:t>0125/2024),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články 317, 318 a 319 Smlouvy o fungování Evropské unie,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článek 106a Smlouvy o založení Evropského společenství pro atomovou energii,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7D7B32">
        <w:rPr>
          <w:rStyle w:val="FootnoteReference"/>
        </w:rPr>
        <w:footnoteReference w:id="64"/>
      </w:r>
      <w:r w:rsidRPr="007D7B32">
        <w:t xml:space="preserve">, a zejména </w:t>
      </w:r>
      <w:r w:rsidRPr="007D7B32">
        <w:lastRenderedPageBreak/>
        <w:t>na články 69, 260, 261 a 262 tohoto nařízení,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nařízení Rady (ES) č. 58/2003 ze dne 19. prosince 2002, kterým se stanoví statut výkonných agentur pověřených některými úkoly správy programů Společenství</w:t>
      </w:r>
      <w:r w:rsidRPr="007D7B32">
        <w:rPr>
          <w:rStyle w:val="FootnoteReference"/>
        </w:rPr>
        <w:footnoteReference w:id="65"/>
      </w:r>
      <w:r w:rsidRPr="007D7B32">
        <w:t>, a zejména na čl. 14 odst. 2 a 3 tohoto nařízení,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článek 99 a přílohu V jednacího řádu,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stanoviska Výboru pro zahraniční věci, Výboru pro rozvoj, Výboru pro zaměstnanost a sociální věci, Výboru pro životní prostředí, veřejné zdraví a bezpečnost potravin, Výboru pro dopravu a cestovní ruch, Výboru pro regionální rozvoj, Výboru pro kulturu a vzdělávání, Výboru pro občanské svobody, spravedlnost a vnitřní věci a Výboru pro práva žen a rovnost pohlaví,</w:t>
      </w:r>
    </w:p>
    <w:p w:rsidR="00FA2D6B" w:rsidRPr="007D7B32" w:rsidRDefault="00FA2D6B" w:rsidP="005E7441">
      <w:pPr>
        <w:pStyle w:val="NormalHanging12a"/>
        <w:rPr>
          <w:szCs w:val="24"/>
        </w:rPr>
      </w:pPr>
      <w:r w:rsidRPr="007D7B32">
        <w:t>–</w:t>
      </w:r>
      <w:r w:rsidRPr="007D7B32">
        <w:tab/>
        <w:t>s ohledem na dopis Výboru pro zemědělství a rozvoj venkova,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zprávu Výboru pro rozpočtovou kontrolu (A9-0139/2024),</w:t>
      </w:r>
    </w:p>
    <w:p w:rsidR="00FA2D6B" w:rsidRPr="007D7B32" w:rsidRDefault="00FA2D6B" w:rsidP="005E7441">
      <w:pPr>
        <w:pStyle w:val="NormalHanging12a"/>
      </w:pPr>
      <w:r w:rsidRPr="007D7B32">
        <w:t>1.</w:t>
      </w:r>
      <w:r w:rsidRPr="007D7B32">
        <w:tab/>
        <w:t>schvaluje uzavření účtů týkajících se plnění souhrnného rozpočtu Evropské unie za rozpočtový rok 2022;</w:t>
      </w:r>
    </w:p>
    <w:p w:rsidR="00FA2D6B" w:rsidRPr="007D7B32" w:rsidRDefault="00FA2D6B" w:rsidP="005E7441">
      <w:pPr>
        <w:pStyle w:val="NormalHanging12a"/>
      </w:pPr>
      <w:r w:rsidRPr="007D7B32">
        <w:t>2.</w:t>
      </w:r>
      <w:r w:rsidRPr="007D7B32">
        <w:tab/>
        <w:t>předkládá své připomínky v usnesení, které je nedílnou součástí rozhodnutí o udělení absolutoria za plnění souhrnného rozpočtu Evropské unie na rozpočtový rok 2022, oddíl III – Komise a výkonné agentury;</w:t>
      </w:r>
    </w:p>
    <w:p w:rsidR="00FA2D6B" w:rsidRPr="007D7B32" w:rsidRDefault="00FA2D6B" w:rsidP="005E7441">
      <w:pPr>
        <w:pStyle w:val="NormalHanging12a"/>
      </w:pPr>
      <w:r w:rsidRPr="007D7B32">
        <w:t>3.</w:t>
      </w:r>
      <w:r w:rsidRPr="007D7B32">
        <w:tab/>
        <w:t>pověřuje svou předsedkyni, aby předala toto rozhodnutí Radě, Komisi, Soudnímu dvoru Evropské unie, Účetnímu dvoru a Evropské investiční bance, jakož i vnitrostátním parlamentům a kontrolním orgánům členských států na celostátní a regionální úrovni a aby zajistila jeho zveřejnění v </w:t>
      </w:r>
      <w:r w:rsidRPr="007D7B32">
        <w:rPr>
          <w:i/>
          <w:iCs/>
        </w:rPr>
        <w:t>Úředním věstníku Evropské unie</w:t>
      </w:r>
      <w:r w:rsidRPr="007D7B32">
        <w:t xml:space="preserve"> (řada L).</w:t>
      </w:r>
    </w:p>
    <w:p w:rsidR="00FA2D6B" w:rsidRPr="007D7B32" w:rsidRDefault="00FA2D6B" w:rsidP="005E7441">
      <w:pPr>
        <w:spacing w:after="240"/>
      </w:pPr>
    </w:p>
    <w:p w:rsidR="00FA2D6B" w:rsidRPr="007D7B32" w:rsidRDefault="00FA2D6B" w:rsidP="005E7441">
      <w:pPr>
        <w:pStyle w:val="PageHeading"/>
        <w:spacing w:after="240"/>
        <w:sectPr w:rsidR="00FA2D6B" w:rsidRPr="007D7B32" w:rsidSect="00B23409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FA2D6B" w:rsidRPr="007D7B32" w:rsidRDefault="00423DA5" w:rsidP="005E7441">
      <w:pPr>
        <w:pStyle w:val="PageHeadingNoLeader"/>
        <w:numPr>
          <w:ilvl w:val="0"/>
          <w:numId w:val="0"/>
        </w:numPr>
        <w:tabs>
          <w:tab w:val="left" w:pos="0"/>
        </w:tabs>
        <w:spacing w:after="240"/>
        <w:jc w:val="left"/>
        <w:rPr>
          <w:rFonts w:ascii="Times New Roman" w:hAnsi="Times New Roman" w:cs="Times New Roman"/>
        </w:rPr>
      </w:pPr>
      <w:bookmarkStart w:id="2312" w:name="_Toc146613235"/>
      <w:bookmarkStart w:id="2313" w:name="_Toc146613254"/>
      <w:bookmarkStart w:id="2314" w:name="_Toc146613273"/>
      <w:bookmarkStart w:id="2315" w:name="_Toc146613292"/>
      <w:bookmarkStart w:id="2316" w:name="_Toc146613311"/>
      <w:bookmarkStart w:id="2317" w:name="_Toc146613330"/>
      <w:bookmarkStart w:id="2318" w:name="_Toc146613349"/>
      <w:bookmarkStart w:id="2319" w:name="_Toc146613384"/>
      <w:bookmarkStart w:id="2320" w:name="_Toc146613428"/>
      <w:bookmarkStart w:id="2321" w:name="_Toc146613478"/>
      <w:bookmarkStart w:id="2322" w:name="_Toc146613523"/>
      <w:bookmarkStart w:id="2323" w:name="_Toc146613554"/>
      <w:bookmarkStart w:id="2324" w:name="_Toc146613573"/>
      <w:bookmarkStart w:id="2325" w:name="_Toc146613592"/>
      <w:bookmarkStart w:id="2326" w:name="_Toc146613614"/>
      <w:bookmarkStart w:id="2327" w:name="_Toc146613657"/>
      <w:bookmarkStart w:id="2328" w:name="_Toc146613691"/>
      <w:bookmarkStart w:id="2329" w:name="_Toc146613710"/>
      <w:bookmarkStart w:id="2330" w:name="_Toc146613729"/>
      <w:bookmarkStart w:id="2331" w:name="_Toc146613748"/>
      <w:bookmarkStart w:id="2332" w:name="_Toc146613767"/>
      <w:bookmarkStart w:id="2333" w:name="_Toc146613786"/>
      <w:bookmarkStart w:id="2334" w:name="_Toc146613807"/>
      <w:bookmarkStart w:id="2335" w:name="_Toc146613826"/>
      <w:bookmarkStart w:id="2336" w:name="_Toc146614151"/>
      <w:bookmarkStart w:id="2337" w:name="_Toc146614549"/>
      <w:bookmarkStart w:id="2338" w:name="_Toc146614583"/>
      <w:bookmarkStart w:id="2339" w:name="_Toc146614707"/>
      <w:bookmarkStart w:id="2340" w:name="_Toc146614762"/>
      <w:bookmarkStart w:id="2341" w:name="_Toc146614781"/>
      <w:bookmarkStart w:id="2342" w:name="_Toc146614802"/>
      <w:bookmarkStart w:id="2343" w:name="_Toc146614821"/>
      <w:bookmarkStart w:id="2344" w:name="_Toc146614840"/>
      <w:bookmarkStart w:id="2345" w:name="_Toc146615087"/>
      <w:bookmarkStart w:id="2346" w:name="_Toc146615166"/>
      <w:bookmarkStart w:id="2347" w:name="_Toc146615202"/>
      <w:bookmarkStart w:id="2348" w:name="_Toc146615221"/>
      <w:bookmarkStart w:id="2349" w:name="_Toc146615240"/>
      <w:bookmarkStart w:id="2350" w:name="_Toc146615379"/>
      <w:bookmarkStart w:id="2351" w:name="_Toc146615403"/>
      <w:bookmarkStart w:id="2352" w:name="_Toc146615441"/>
      <w:bookmarkStart w:id="2353" w:name="_Toc146615472"/>
      <w:bookmarkStart w:id="2354" w:name="_Toc146615514"/>
      <w:bookmarkStart w:id="2355" w:name="_Toc146615533"/>
      <w:bookmarkStart w:id="2356" w:name="_Toc146615552"/>
      <w:bookmarkStart w:id="2357" w:name="_Toc146615571"/>
      <w:bookmarkStart w:id="2358" w:name="_Toc146615597"/>
      <w:bookmarkStart w:id="2359" w:name="_Toc146615631"/>
      <w:bookmarkStart w:id="2360" w:name="_Toc146615657"/>
      <w:bookmarkStart w:id="2361" w:name="_Toc146615676"/>
      <w:bookmarkStart w:id="2362" w:name="_Toc146615695"/>
      <w:bookmarkStart w:id="2363" w:name="_Toc146615714"/>
      <w:bookmarkStart w:id="2364" w:name="_Toc146615737"/>
      <w:bookmarkStart w:id="2365" w:name="_Toc146615766"/>
      <w:bookmarkStart w:id="2366" w:name="_Toc146615785"/>
      <w:bookmarkStart w:id="2367" w:name="_Toc146615804"/>
      <w:bookmarkStart w:id="2368" w:name="_Toc146615876"/>
      <w:bookmarkStart w:id="2369" w:name="_Toc146615901"/>
      <w:bookmarkStart w:id="2370" w:name="_Toc146615920"/>
      <w:bookmarkStart w:id="2371" w:name="_Toc146615939"/>
      <w:bookmarkStart w:id="2372" w:name="_Toc146615958"/>
      <w:bookmarkStart w:id="2373" w:name="_Toc146615988"/>
      <w:bookmarkStart w:id="2374" w:name="_Toc146616022"/>
      <w:bookmarkStart w:id="2375" w:name="_Toc146616084"/>
      <w:bookmarkStart w:id="2376" w:name="_Toc146616198"/>
      <w:bookmarkStart w:id="2377" w:name="_Toc146616282"/>
      <w:bookmarkStart w:id="2378" w:name="_Toc146616420"/>
      <w:bookmarkStart w:id="2379" w:name="_Toc146616447"/>
      <w:bookmarkStart w:id="2380" w:name="_Toc146616470"/>
      <w:bookmarkStart w:id="2381" w:name="_Toc146616489"/>
      <w:bookmarkStart w:id="2382" w:name="_Toc146616508"/>
      <w:bookmarkStart w:id="2383" w:name="_Toc146616537"/>
      <w:bookmarkStart w:id="2384" w:name="_Toc146616564"/>
      <w:bookmarkStart w:id="2385" w:name="_Toc146616582"/>
      <w:bookmarkStart w:id="2386" w:name="_Toc146616602"/>
      <w:bookmarkStart w:id="2387" w:name="_Toc146616637"/>
      <w:bookmarkStart w:id="2388" w:name="_Toc146616669"/>
      <w:bookmarkStart w:id="2389" w:name="_Toc146616687"/>
      <w:bookmarkStart w:id="2390" w:name="_Toc146616985"/>
      <w:bookmarkStart w:id="2391" w:name="_Toc146617003"/>
      <w:bookmarkStart w:id="2392" w:name="_Toc146617021"/>
      <w:bookmarkStart w:id="2393" w:name="_Toc146617039"/>
      <w:bookmarkStart w:id="2394" w:name="_Toc146617057"/>
      <w:bookmarkStart w:id="2395" w:name="_Toc146617075"/>
      <w:bookmarkStart w:id="2396" w:name="_Toc146617093"/>
      <w:bookmarkStart w:id="2397" w:name="_Toc146617111"/>
      <w:bookmarkStart w:id="2398" w:name="_Toc146617129"/>
      <w:bookmarkStart w:id="2399" w:name="_Toc146617147"/>
      <w:bookmarkStart w:id="2400" w:name="_Toc146617165"/>
      <w:bookmarkStart w:id="2401" w:name="_Toc146617183"/>
      <w:bookmarkStart w:id="2402" w:name="_Toc146617201"/>
      <w:bookmarkStart w:id="2403" w:name="_Toc146617219"/>
      <w:bookmarkStart w:id="2404" w:name="_Toc146617237"/>
      <w:bookmarkStart w:id="2405" w:name="_Toc146617255"/>
      <w:bookmarkStart w:id="2406" w:name="_Toc146617273"/>
      <w:bookmarkStart w:id="2407" w:name="_Toc146617291"/>
      <w:bookmarkStart w:id="2408" w:name="_Toc146617390"/>
      <w:bookmarkStart w:id="2409" w:name="_Toc146617408"/>
      <w:bookmarkStart w:id="2410" w:name="_Toc146618265"/>
      <w:bookmarkStart w:id="2411" w:name="_Toc146618283"/>
      <w:bookmarkStart w:id="2412" w:name="_Toc146618301"/>
      <w:bookmarkStart w:id="2413" w:name="_Toc146619965"/>
      <w:bookmarkStart w:id="2414" w:name="_Toc146701831"/>
      <w:bookmarkStart w:id="2415" w:name="_Toc146701849"/>
      <w:bookmarkStart w:id="2416" w:name="_Toc146701869"/>
      <w:bookmarkStart w:id="2417" w:name="_Toc146702219"/>
      <w:bookmarkStart w:id="2418" w:name="_Toc146702237"/>
      <w:bookmarkStart w:id="2419" w:name="_Toc147411192"/>
      <w:bookmarkStart w:id="2420" w:name="_Toc147411409"/>
      <w:bookmarkStart w:id="2421" w:name="_Toc147411427"/>
      <w:bookmarkStart w:id="2422" w:name="_Toc153353010"/>
      <w:bookmarkStart w:id="2423" w:name="_Toc153353059"/>
      <w:bookmarkStart w:id="2424" w:name="_Toc153353078"/>
      <w:bookmarkStart w:id="2425" w:name="_Toc153353097"/>
      <w:bookmarkStart w:id="2426" w:name="_Toc153353117"/>
      <w:bookmarkStart w:id="2427" w:name="_Toc153353136"/>
      <w:bookmarkStart w:id="2428" w:name="_Toc153353155"/>
      <w:bookmarkStart w:id="2429" w:name="_Toc153353174"/>
      <w:bookmarkStart w:id="2430" w:name="_Toc153353193"/>
      <w:bookmarkStart w:id="2431" w:name="_Toc153353212"/>
      <w:bookmarkStart w:id="2432" w:name="_Toc153353231"/>
      <w:bookmarkStart w:id="2433" w:name="_Toc153353486"/>
      <w:bookmarkStart w:id="2434" w:name="_Toc153353543"/>
      <w:bookmarkStart w:id="2435" w:name="_Toc153356099"/>
      <w:bookmarkStart w:id="2436" w:name="_Toc153356124"/>
      <w:bookmarkStart w:id="2437" w:name="_Toc153357314"/>
      <w:bookmarkStart w:id="2438" w:name="_Toc153357333"/>
      <w:bookmarkStart w:id="2439" w:name="_Toc153369188"/>
      <w:bookmarkStart w:id="2440" w:name="_Toc153369245"/>
      <w:bookmarkStart w:id="2441" w:name="_Toc155964106"/>
      <w:bookmarkStart w:id="2442" w:name="_Toc155964536"/>
      <w:bookmarkStart w:id="2443" w:name="_Toc155968919"/>
      <w:bookmarkStart w:id="2444" w:name="_Toc155969504"/>
      <w:bookmarkStart w:id="2445" w:name="_Toc155969581"/>
      <w:bookmarkStart w:id="2446" w:name="_Toc155969635"/>
      <w:bookmarkStart w:id="2447" w:name="_Toc155970022"/>
      <w:bookmarkStart w:id="2448" w:name="_Toc155970067"/>
      <w:bookmarkStart w:id="2449" w:name="_Toc155971422"/>
      <w:bookmarkStart w:id="2450" w:name="_Toc155976380"/>
      <w:bookmarkStart w:id="2451" w:name="_Toc155977158"/>
      <w:bookmarkStart w:id="2452" w:name="_Toc155977338"/>
      <w:bookmarkStart w:id="2453" w:name="_Toc155977358"/>
      <w:bookmarkStart w:id="2454" w:name="_Toc155977379"/>
      <w:bookmarkStart w:id="2455" w:name="_Toc155977423"/>
      <w:bookmarkStart w:id="2456" w:name="_Toc155977514"/>
      <w:bookmarkStart w:id="2457" w:name="_Toc156386196"/>
      <w:bookmarkStart w:id="2458" w:name="_Toc156387331"/>
      <w:bookmarkStart w:id="2459" w:name="_Toc156387371"/>
      <w:bookmarkStart w:id="2460" w:name="_Toc160526434"/>
      <w:bookmarkStart w:id="2461" w:name="_Toc160526611"/>
      <w:bookmarkStart w:id="2462" w:name="_Toc160526654"/>
      <w:bookmarkStart w:id="2463" w:name="_Toc160526716"/>
      <w:bookmarkStart w:id="2464" w:name="_Toc160527482"/>
      <w:bookmarkStart w:id="2465" w:name="_Toc160532333"/>
      <w:bookmarkStart w:id="2466" w:name="_Toc160533474"/>
      <w:bookmarkStart w:id="2467" w:name="_Toc160541863"/>
      <w:bookmarkStart w:id="2468" w:name="_Toc160545206"/>
      <w:bookmarkStart w:id="2469" w:name="_Toc160545366"/>
      <w:bookmarkStart w:id="2470" w:name="_Toc160545389"/>
      <w:bookmarkStart w:id="2471" w:name="_Toc160545412"/>
      <w:bookmarkStart w:id="2472" w:name="_Toc160545440"/>
      <w:bookmarkStart w:id="2473" w:name="_Toc160545464"/>
      <w:bookmarkStart w:id="2474" w:name="_Toc160545488"/>
      <w:bookmarkStart w:id="2475" w:name="_Toc160545512"/>
      <w:bookmarkStart w:id="2476" w:name="_Toc160545537"/>
      <w:bookmarkStart w:id="2477" w:name="_Toc160545562"/>
      <w:bookmarkStart w:id="2478" w:name="_Toc160545588"/>
      <w:bookmarkStart w:id="2479" w:name="_Toc160545614"/>
      <w:bookmarkStart w:id="2480" w:name="_Toc160545640"/>
      <w:bookmarkStart w:id="2481" w:name="_Toc160545666"/>
      <w:bookmarkStart w:id="2482" w:name="_Toc160545693"/>
      <w:bookmarkStart w:id="2483" w:name="_Toc160545720"/>
      <w:bookmarkStart w:id="2484" w:name="_Toc160545761"/>
      <w:bookmarkStart w:id="2485" w:name="_Toc160545789"/>
      <w:bookmarkStart w:id="2486" w:name="_Toc160545817"/>
      <w:bookmarkStart w:id="2487" w:name="_Toc160545854"/>
      <w:bookmarkStart w:id="2488" w:name="_Toc160545883"/>
      <w:bookmarkStart w:id="2489" w:name="_Toc160545912"/>
      <w:bookmarkStart w:id="2490" w:name="_Toc160545955"/>
      <w:bookmarkStart w:id="2491" w:name="_Toc160545985"/>
      <w:bookmarkStart w:id="2492" w:name="_Toc160546015"/>
      <w:bookmarkStart w:id="2493" w:name="_Toc160546052"/>
      <w:bookmarkStart w:id="2494" w:name="_Toc160546083"/>
      <w:bookmarkStart w:id="2495" w:name="_Toc160546114"/>
      <w:bookmarkStart w:id="2496" w:name="_Toc160546150"/>
      <w:bookmarkStart w:id="2497" w:name="_Toc160546182"/>
      <w:bookmarkStart w:id="2498" w:name="_Toc160546214"/>
      <w:bookmarkStart w:id="2499" w:name="_Toc160546246"/>
      <w:bookmarkStart w:id="2500" w:name="_Toc160546278"/>
      <w:bookmarkStart w:id="2501" w:name="_Toc160546837"/>
      <w:bookmarkStart w:id="2502" w:name="_Toc160546870"/>
      <w:bookmarkStart w:id="2503" w:name="_Toc160547019"/>
      <w:bookmarkStart w:id="2504" w:name="_Toc160547684"/>
      <w:bookmarkStart w:id="2505" w:name="_Toc160547804"/>
      <w:bookmarkStart w:id="2506" w:name="_Toc160548654"/>
      <w:bookmarkStart w:id="2507" w:name="_Toc160548801"/>
      <w:bookmarkStart w:id="2508" w:name="_Toc160548909"/>
      <w:bookmarkStart w:id="2509" w:name="_Toc160548944"/>
      <w:bookmarkStart w:id="2510" w:name="_Toc160548979"/>
      <w:bookmarkStart w:id="2511" w:name="_Toc160549014"/>
      <w:bookmarkStart w:id="2512" w:name="_Toc160549740"/>
      <w:bookmarkStart w:id="2513" w:name="_Toc160549851"/>
      <w:bookmarkStart w:id="2514" w:name="_Toc160550647"/>
      <w:bookmarkStart w:id="2515" w:name="_Toc160550762"/>
      <w:bookmarkStart w:id="2516" w:name="_Toc160551650"/>
      <w:bookmarkStart w:id="2517" w:name="_Toc160551683"/>
      <w:bookmarkStart w:id="2518" w:name="_Toc160551716"/>
      <w:bookmarkStart w:id="2519" w:name="_Toc160553750"/>
      <w:bookmarkStart w:id="2520" w:name="_Toc160553798"/>
      <w:bookmarkStart w:id="2521" w:name="_Toc160696582"/>
      <w:bookmarkStart w:id="2522" w:name="_Toc160697669"/>
      <w:bookmarkStart w:id="2523" w:name="_Toc160697731"/>
      <w:bookmarkStart w:id="2524" w:name="_Toc160697764"/>
      <w:bookmarkStart w:id="2525" w:name="_Toc160781870"/>
      <w:bookmarkStart w:id="2526" w:name="_Toc160782084"/>
      <w:bookmarkStart w:id="2527" w:name="_Toc160783902"/>
      <w:bookmarkStart w:id="2528" w:name="_Toc161041746"/>
      <w:bookmarkStart w:id="2529" w:name="_Toc161041779"/>
      <w:bookmarkStart w:id="2530" w:name="_Toc161042866"/>
      <w:bookmarkStart w:id="2531" w:name="_Toc161042905"/>
      <w:bookmarkStart w:id="2532" w:name="_Toc161042952"/>
      <w:bookmarkStart w:id="2533" w:name="_Toc161042985"/>
      <w:bookmarkStart w:id="2534" w:name="_Toc161043018"/>
      <w:bookmarkStart w:id="2535" w:name="_Toc161043690"/>
      <w:bookmarkStart w:id="2536" w:name="_Toc161043753"/>
      <w:bookmarkStart w:id="2537" w:name="_Toc161132049"/>
      <w:bookmarkStart w:id="2538" w:name="_Toc161132097"/>
      <w:bookmarkStart w:id="2539" w:name="_Toc161155091"/>
      <w:bookmarkStart w:id="2540" w:name="_Toc161156434"/>
      <w:bookmarkStart w:id="2541" w:name="_Toc161156528"/>
      <w:bookmarkStart w:id="2542" w:name="_Toc161213168"/>
      <w:bookmarkStart w:id="2543" w:name="_Toc161213304"/>
      <w:bookmarkStart w:id="2544" w:name="_Toc161213991"/>
      <w:bookmarkStart w:id="2545" w:name="_Toc161215242"/>
      <w:bookmarkStart w:id="2546" w:name="_Toc161215280"/>
      <w:bookmarkStart w:id="2547" w:name="_Toc161303016"/>
      <w:bookmarkStart w:id="2548" w:name="_Toc161303425"/>
      <w:bookmarkStart w:id="2549" w:name="_Toc161304710"/>
      <w:bookmarkStart w:id="2550" w:name="_Toc161306643"/>
      <w:bookmarkStart w:id="2551" w:name="_Toc161307211"/>
      <w:bookmarkStart w:id="2552" w:name="_Toc161307695"/>
      <w:bookmarkStart w:id="2553" w:name="_Toc161307738"/>
      <w:bookmarkStart w:id="2554" w:name="_Toc161310165"/>
      <w:bookmarkStart w:id="2555" w:name="_Toc161310198"/>
      <w:bookmarkStart w:id="2556" w:name="_Toc161311206"/>
      <w:bookmarkStart w:id="2557" w:name="_Toc161311239"/>
      <w:bookmarkStart w:id="2558" w:name="_Toc161320103"/>
      <w:bookmarkStart w:id="2559" w:name="_Toc161320173"/>
      <w:bookmarkStart w:id="2560" w:name="_Toc161320206"/>
      <w:bookmarkStart w:id="2561" w:name="_Toc161320635"/>
      <w:bookmarkStart w:id="2562" w:name="_Toc161322258"/>
      <w:bookmarkStart w:id="2563" w:name="_Toc161322456"/>
      <w:bookmarkStart w:id="2564" w:name="_Toc161322508"/>
      <w:bookmarkStart w:id="2565" w:name="_Toc161323824"/>
      <w:bookmarkStart w:id="2566" w:name="_Toc161323880"/>
      <w:bookmarkStart w:id="2567" w:name="_Toc161324229"/>
      <w:bookmarkStart w:id="2568" w:name="_Toc161324344"/>
      <w:bookmarkStart w:id="2569" w:name="_Toc161736502"/>
      <w:bookmarkStart w:id="2570" w:name="_Toc161738966"/>
      <w:bookmarkStart w:id="2571" w:name="_Toc161829873"/>
      <w:bookmarkStart w:id="2572" w:name="_Toc161833254"/>
      <w:bookmarkStart w:id="2573" w:name="_Toc161833879"/>
      <w:bookmarkStart w:id="2574" w:name="_Toc161834020"/>
      <w:bookmarkStart w:id="2575" w:name="_Toc161834095"/>
      <w:bookmarkStart w:id="2576" w:name="_Toc161834174"/>
      <w:bookmarkStart w:id="2577" w:name="_Toc161836817"/>
      <w:bookmarkStart w:id="2578" w:name="_Toc161836954"/>
      <w:bookmarkStart w:id="2579" w:name="_Toc161836986"/>
      <w:bookmarkStart w:id="2580" w:name="_Toc162944550"/>
      <w:bookmarkStart w:id="2581" w:name="_Toc163028736"/>
      <w:bookmarkStart w:id="2582" w:name="_Toc163029166"/>
      <w:bookmarkStart w:id="2583" w:name="_Toc163030876"/>
      <w:bookmarkStart w:id="2584" w:name="_Toc163031695"/>
      <w:bookmarkStart w:id="2585" w:name="_Toc163031719"/>
      <w:bookmarkStart w:id="2586" w:name="_Toc163031743"/>
      <w:bookmarkStart w:id="2587" w:name="_Toc163031867"/>
      <w:bookmarkStart w:id="2588" w:name="_Toc163032008"/>
      <w:bookmarkStart w:id="2589" w:name="_Toc163032062"/>
      <w:bookmarkStart w:id="2590" w:name="_Toc163032141"/>
      <w:bookmarkStart w:id="2591" w:name="_Toc163032190"/>
      <w:bookmarkStart w:id="2592" w:name="_Toc163032348"/>
      <w:bookmarkStart w:id="2593" w:name="_Toc163032676"/>
      <w:bookmarkStart w:id="2594" w:name="_Toc163032701"/>
      <w:bookmarkStart w:id="2595" w:name="_Toc163032726"/>
      <w:bookmarkStart w:id="2596" w:name="_Toc163032751"/>
      <w:bookmarkStart w:id="2597" w:name="_Toc163032818"/>
      <w:bookmarkStart w:id="2598" w:name="_Toc163032860"/>
      <w:bookmarkStart w:id="2599" w:name="_Toc163033190"/>
      <w:bookmarkStart w:id="2600" w:name="_Toc163033216"/>
      <w:bookmarkStart w:id="2601" w:name="_Toc163033242"/>
      <w:bookmarkStart w:id="2602" w:name="_Toc163033268"/>
      <w:bookmarkStart w:id="2603" w:name="_Toc163033295"/>
      <w:bookmarkStart w:id="2604" w:name="_Toc163033322"/>
      <w:bookmarkStart w:id="2605" w:name="_Toc163033349"/>
      <w:bookmarkStart w:id="2606" w:name="_Toc163033377"/>
      <w:bookmarkStart w:id="2607" w:name="_Toc163033405"/>
      <w:bookmarkStart w:id="2608" w:name="_Toc163033544"/>
      <w:bookmarkStart w:id="2609" w:name="_Toc163033573"/>
      <w:bookmarkStart w:id="2610" w:name="_Toc163033602"/>
      <w:bookmarkStart w:id="2611" w:name="_Toc163033631"/>
      <w:bookmarkStart w:id="2612" w:name="_Toc163033661"/>
      <w:bookmarkStart w:id="2613" w:name="_Toc163033691"/>
      <w:bookmarkStart w:id="2614" w:name="_Toc163033721"/>
      <w:bookmarkStart w:id="2615" w:name="_Toc163033751"/>
      <w:bookmarkStart w:id="2616" w:name="_Toc163033782"/>
      <w:bookmarkStart w:id="2617" w:name="_Toc163033813"/>
      <w:bookmarkStart w:id="2618" w:name="_Toc163033844"/>
      <w:bookmarkStart w:id="2619" w:name="_Toc163033876"/>
      <w:bookmarkStart w:id="2620" w:name="_Toc163033908"/>
      <w:bookmarkStart w:id="2621" w:name="_Toc163033940"/>
      <w:bookmarkStart w:id="2622" w:name="_Toc163033972"/>
      <w:bookmarkStart w:id="2623" w:name="_Toc163034005"/>
      <w:bookmarkStart w:id="2624" w:name="_Toc163034038"/>
      <w:bookmarkStart w:id="2625" w:name="_Toc163034071"/>
      <w:bookmarkStart w:id="2626" w:name="_Toc163034105"/>
      <w:bookmarkStart w:id="2627" w:name="_Toc163034139"/>
      <w:bookmarkStart w:id="2628" w:name="_Toc163034173"/>
      <w:bookmarkStart w:id="2629" w:name="_Toc163034264"/>
      <w:bookmarkStart w:id="2630" w:name="_Toc163034297"/>
      <w:bookmarkStart w:id="2631" w:name="_Toc163034330"/>
      <w:bookmarkStart w:id="2632" w:name="_Toc163034363"/>
      <w:bookmarkStart w:id="2633" w:name="_Toc163036618"/>
      <w:bookmarkStart w:id="2634" w:name="_Toc163036651"/>
      <w:bookmarkStart w:id="2635" w:name="_Toc163036730"/>
      <w:bookmarkStart w:id="2636" w:name="_Toc163036768"/>
      <w:bookmarkStart w:id="2637" w:name="_Toc163036809"/>
      <w:r w:rsidRPr="007D7B32">
        <w:rPr>
          <w:rFonts w:ascii="Times New Roman" w:hAnsi="Times New Roman" w:cs="Times New Roman"/>
        </w:rPr>
        <w:lastRenderedPageBreak/>
        <w:t>9. Usnesení Evropského parlamentu</w:t>
      </w:r>
      <w:bookmarkEnd w:id="2312"/>
      <w:bookmarkEnd w:id="2313"/>
      <w:bookmarkEnd w:id="2314"/>
      <w:bookmarkEnd w:id="2315"/>
      <w:bookmarkEnd w:id="2316"/>
      <w:bookmarkEnd w:id="2317"/>
      <w:bookmarkEnd w:id="2318"/>
      <w:bookmarkEnd w:id="2319"/>
      <w:bookmarkEnd w:id="2320"/>
      <w:bookmarkEnd w:id="2321"/>
      <w:bookmarkEnd w:id="2322"/>
      <w:bookmarkEnd w:id="2323"/>
      <w:bookmarkEnd w:id="2324"/>
      <w:bookmarkEnd w:id="2325"/>
      <w:bookmarkEnd w:id="2326"/>
      <w:bookmarkEnd w:id="2327"/>
      <w:bookmarkEnd w:id="2328"/>
      <w:bookmarkEnd w:id="2329"/>
      <w:bookmarkEnd w:id="2330"/>
      <w:bookmarkEnd w:id="2331"/>
      <w:bookmarkEnd w:id="2332"/>
      <w:bookmarkEnd w:id="2333"/>
      <w:bookmarkEnd w:id="2334"/>
      <w:bookmarkEnd w:id="2335"/>
      <w:bookmarkEnd w:id="2336"/>
      <w:bookmarkEnd w:id="2337"/>
      <w:bookmarkEnd w:id="2338"/>
      <w:bookmarkEnd w:id="2339"/>
      <w:bookmarkEnd w:id="2340"/>
      <w:bookmarkEnd w:id="2341"/>
      <w:bookmarkEnd w:id="2342"/>
      <w:bookmarkEnd w:id="2343"/>
      <w:bookmarkEnd w:id="2344"/>
      <w:bookmarkEnd w:id="2345"/>
      <w:bookmarkEnd w:id="2346"/>
      <w:bookmarkEnd w:id="2347"/>
      <w:bookmarkEnd w:id="2348"/>
      <w:bookmarkEnd w:id="2349"/>
      <w:bookmarkEnd w:id="2350"/>
      <w:bookmarkEnd w:id="2351"/>
      <w:bookmarkEnd w:id="2352"/>
      <w:bookmarkEnd w:id="2353"/>
      <w:bookmarkEnd w:id="2354"/>
      <w:bookmarkEnd w:id="2355"/>
      <w:bookmarkEnd w:id="2356"/>
      <w:bookmarkEnd w:id="2357"/>
      <w:bookmarkEnd w:id="2358"/>
      <w:bookmarkEnd w:id="2359"/>
      <w:bookmarkEnd w:id="2360"/>
      <w:bookmarkEnd w:id="2361"/>
      <w:bookmarkEnd w:id="2362"/>
      <w:bookmarkEnd w:id="2363"/>
      <w:bookmarkEnd w:id="2364"/>
      <w:bookmarkEnd w:id="2365"/>
      <w:bookmarkEnd w:id="2366"/>
      <w:bookmarkEnd w:id="2367"/>
      <w:bookmarkEnd w:id="2368"/>
      <w:bookmarkEnd w:id="2369"/>
      <w:bookmarkEnd w:id="2370"/>
      <w:bookmarkEnd w:id="2371"/>
      <w:bookmarkEnd w:id="2372"/>
      <w:bookmarkEnd w:id="2373"/>
      <w:bookmarkEnd w:id="2374"/>
      <w:bookmarkEnd w:id="2375"/>
      <w:bookmarkEnd w:id="2376"/>
      <w:bookmarkEnd w:id="2377"/>
      <w:bookmarkEnd w:id="2378"/>
      <w:bookmarkEnd w:id="2379"/>
      <w:bookmarkEnd w:id="2380"/>
      <w:bookmarkEnd w:id="2381"/>
      <w:bookmarkEnd w:id="2382"/>
      <w:bookmarkEnd w:id="2383"/>
      <w:bookmarkEnd w:id="2384"/>
      <w:bookmarkEnd w:id="2385"/>
      <w:bookmarkEnd w:id="2386"/>
      <w:bookmarkEnd w:id="2387"/>
      <w:bookmarkEnd w:id="2388"/>
      <w:bookmarkEnd w:id="2389"/>
      <w:bookmarkEnd w:id="2390"/>
      <w:bookmarkEnd w:id="2391"/>
      <w:bookmarkEnd w:id="2392"/>
      <w:bookmarkEnd w:id="2393"/>
      <w:bookmarkEnd w:id="2394"/>
      <w:bookmarkEnd w:id="2395"/>
      <w:bookmarkEnd w:id="2396"/>
      <w:bookmarkEnd w:id="2397"/>
      <w:bookmarkEnd w:id="2398"/>
      <w:bookmarkEnd w:id="2399"/>
      <w:bookmarkEnd w:id="2400"/>
      <w:bookmarkEnd w:id="2401"/>
      <w:bookmarkEnd w:id="2402"/>
      <w:bookmarkEnd w:id="2403"/>
      <w:bookmarkEnd w:id="2404"/>
      <w:bookmarkEnd w:id="2405"/>
      <w:bookmarkEnd w:id="2406"/>
      <w:bookmarkEnd w:id="2407"/>
      <w:bookmarkEnd w:id="2408"/>
      <w:bookmarkEnd w:id="2409"/>
      <w:bookmarkEnd w:id="2410"/>
      <w:bookmarkEnd w:id="2411"/>
      <w:bookmarkEnd w:id="2412"/>
      <w:bookmarkEnd w:id="2413"/>
      <w:bookmarkEnd w:id="2414"/>
      <w:bookmarkEnd w:id="2415"/>
      <w:bookmarkEnd w:id="2416"/>
      <w:bookmarkEnd w:id="2417"/>
      <w:bookmarkEnd w:id="2418"/>
      <w:bookmarkEnd w:id="2419"/>
      <w:bookmarkEnd w:id="2420"/>
      <w:bookmarkEnd w:id="2421"/>
      <w:bookmarkEnd w:id="2422"/>
      <w:bookmarkEnd w:id="2423"/>
      <w:bookmarkEnd w:id="2424"/>
      <w:bookmarkEnd w:id="2425"/>
      <w:bookmarkEnd w:id="2426"/>
      <w:bookmarkEnd w:id="2427"/>
      <w:bookmarkEnd w:id="2428"/>
      <w:bookmarkEnd w:id="2429"/>
      <w:bookmarkEnd w:id="2430"/>
      <w:bookmarkEnd w:id="2431"/>
      <w:bookmarkEnd w:id="2432"/>
      <w:bookmarkEnd w:id="2433"/>
      <w:bookmarkEnd w:id="2434"/>
      <w:bookmarkEnd w:id="2435"/>
      <w:bookmarkEnd w:id="2436"/>
      <w:bookmarkEnd w:id="2437"/>
      <w:bookmarkEnd w:id="2438"/>
      <w:bookmarkEnd w:id="2439"/>
      <w:bookmarkEnd w:id="2440"/>
      <w:bookmarkEnd w:id="2441"/>
      <w:bookmarkEnd w:id="2442"/>
      <w:bookmarkEnd w:id="2443"/>
      <w:bookmarkEnd w:id="2444"/>
      <w:bookmarkEnd w:id="2445"/>
      <w:bookmarkEnd w:id="2446"/>
      <w:bookmarkEnd w:id="2447"/>
      <w:bookmarkEnd w:id="2448"/>
      <w:bookmarkEnd w:id="2449"/>
      <w:bookmarkEnd w:id="2450"/>
      <w:bookmarkEnd w:id="2451"/>
      <w:bookmarkEnd w:id="2452"/>
      <w:bookmarkEnd w:id="2453"/>
      <w:bookmarkEnd w:id="2454"/>
      <w:bookmarkEnd w:id="2455"/>
      <w:bookmarkEnd w:id="2456"/>
      <w:bookmarkEnd w:id="2457"/>
      <w:bookmarkEnd w:id="2458"/>
      <w:bookmarkEnd w:id="2459"/>
      <w:bookmarkEnd w:id="2460"/>
      <w:bookmarkEnd w:id="2461"/>
      <w:bookmarkEnd w:id="2462"/>
      <w:bookmarkEnd w:id="2463"/>
      <w:bookmarkEnd w:id="2464"/>
      <w:bookmarkEnd w:id="2465"/>
      <w:bookmarkEnd w:id="2466"/>
      <w:bookmarkEnd w:id="2467"/>
      <w:bookmarkEnd w:id="2468"/>
      <w:bookmarkEnd w:id="2469"/>
      <w:bookmarkEnd w:id="2470"/>
      <w:bookmarkEnd w:id="2471"/>
      <w:bookmarkEnd w:id="2472"/>
      <w:bookmarkEnd w:id="2473"/>
      <w:bookmarkEnd w:id="2474"/>
      <w:bookmarkEnd w:id="2475"/>
      <w:bookmarkEnd w:id="2476"/>
      <w:bookmarkEnd w:id="2477"/>
      <w:bookmarkEnd w:id="2478"/>
      <w:bookmarkEnd w:id="2479"/>
      <w:bookmarkEnd w:id="2480"/>
      <w:bookmarkEnd w:id="2481"/>
      <w:bookmarkEnd w:id="2482"/>
      <w:bookmarkEnd w:id="2483"/>
      <w:bookmarkEnd w:id="2484"/>
      <w:bookmarkEnd w:id="2485"/>
      <w:bookmarkEnd w:id="2486"/>
      <w:bookmarkEnd w:id="2487"/>
      <w:bookmarkEnd w:id="2488"/>
      <w:bookmarkEnd w:id="2489"/>
      <w:bookmarkEnd w:id="2490"/>
      <w:bookmarkEnd w:id="2491"/>
      <w:bookmarkEnd w:id="2492"/>
      <w:bookmarkEnd w:id="2493"/>
      <w:bookmarkEnd w:id="2494"/>
      <w:bookmarkEnd w:id="2495"/>
      <w:bookmarkEnd w:id="2496"/>
      <w:bookmarkEnd w:id="2497"/>
      <w:bookmarkEnd w:id="2498"/>
      <w:bookmarkEnd w:id="2499"/>
      <w:bookmarkEnd w:id="2500"/>
      <w:bookmarkEnd w:id="2501"/>
      <w:bookmarkEnd w:id="2502"/>
      <w:bookmarkEnd w:id="2503"/>
      <w:bookmarkEnd w:id="2504"/>
      <w:bookmarkEnd w:id="2505"/>
      <w:bookmarkEnd w:id="2506"/>
      <w:bookmarkEnd w:id="2507"/>
      <w:bookmarkEnd w:id="2508"/>
      <w:bookmarkEnd w:id="2509"/>
      <w:bookmarkEnd w:id="2510"/>
      <w:bookmarkEnd w:id="2511"/>
      <w:bookmarkEnd w:id="2512"/>
      <w:bookmarkEnd w:id="2513"/>
      <w:bookmarkEnd w:id="2514"/>
      <w:bookmarkEnd w:id="2515"/>
      <w:bookmarkEnd w:id="2516"/>
      <w:bookmarkEnd w:id="2517"/>
      <w:bookmarkEnd w:id="2518"/>
      <w:bookmarkEnd w:id="2519"/>
      <w:bookmarkEnd w:id="2520"/>
      <w:bookmarkEnd w:id="2521"/>
      <w:bookmarkEnd w:id="2522"/>
      <w:bookmarkEnd w:id="2523"/>
      <w:bookmarkEnd w:id="2524"/>
      <w:bookmarkEnd w:id="2525"/>
      <w:bookmarkEnd w:id="2526"/>
      <w:bookmarkEnd w:id="2527"/>
      <w:bookmarkEnd w:id="2528"/>
      <w:bookmarkEnd w:id="2529"/>
      <w:bookmarkEnd w:id="2530"/>
      <w:bookmarkEnd w:id="2531"/>
      <w:bookmarkEnd w:id="2532"/>
      <w:bookmarkEnd w:id="2533"/>
      <w:bookmarkEnd w:id="2534"/>
      <w:bookmarkEnd w:id="2535"/>
      <w:bookmarkEnd w:id="2536"/>
      <w:bookmarkEnd w:id="2537"/>
      <w:bookmarkEnd w:id="2538"/>
      <w:bookmarkEnd w:id="2539"/>
      <w:bookmarkEnd w:id="2540"/>
      <w:bookmarkEnd w:id="2541"/>
      <w:bookmarkEnd w:id="2542"/>
      <w:bookmarkEnd w:id="2543"/>
      <w:bookmarkEnd w:id="2544"/>
      <w:bookmarkEnd w:id="2545"/>
      <w:bookmarkEnd w:id="2546"/>
      <w:bookmarkEnd w:id="2547"/>
      <w:bookmarkEnd w:id="2548"/>
      <w:bookmarkEnd w:id="2549"/>
      <w:bookmarkEnd w:id="2550"/>
      <w:bookmarkEnd w:id="2551"/>
      <w:bookmarkEnd w:id="2552"/>
      <w:bookmarkEnd w:id="2553"/>
      <w:bookmarkEnd w:id="2554"/>
      <w:bookmarkEnd w:id="2555"/>
      <w:bookmarkEnd w:id="2556"/>
      <w:bookmarkEnd w:id="2557"/>
      <w:bookmarkEnd w:id="2558"/>
      <w:bookmarkEnd w:id="2559"/>
      <w:bookmarkEnd w:id="2560"/>
      <w:bookmarkEnd w:id="2561"/>
      <w:bookmarkEnd w:id="2562"/>
      <w:bookmarkEnd w:id="2563"/>
      <w:bookmarkEnd w:id="2564"/>
      <w:bookmarkEnd w:id="2565"/>
      <w:bookmarkEnd w:id="2566"/>
      <w:bookmarkEnd w:id="2567"/>
      <w:bookmarkEnd w:id="2568"/>
      <w:bookmarkEnd w:id="2569"/>
      <w:bookmarkEnd w:id="2570"/>
      <w:bookmarkEnd w:id="2571"/>
      <w:bookmarkEnd w:id="2572"/>
      <w:bookmarkEnd w:id="2573"/>
      <w:bookmarkEnd w:id="2574"/>
      <w:bookmarkEnd w:id="2575"/>
      <w:bookmarkEnd w:id="2576"/>
      <w:bookmarkEnd w:id="2577"/>
      <w:bookmarkEnd w:id="2578"/>
      <w:bookmarkEnd w:id="2579"/>
      <w:bookmarkEnd w:id="2580"/>
      <w:bookmarkEnd w:id="2581"/>
      <w:bookmarkEnd w:id="2582"/>
      <w:bookmarkEnd w:id="2583"/>
      <w:bookmarkEnd w:id="2584"/>
      <w:bookmarkEnd w:id="2585"/>
      <w:bookmarkEnd w:id="2586"/>
      <w:bookmarkEnd w:id="2587"/>
      <w:bookmarkEnd w:id="2588"/>
      <w:bookmarkEnd w:id="2589"/>
      <w:bookmarkEnd w:id="2590"/>
      <w:bookmarkEnd w:id="2591"/>
      <w:bookmarkEnd w:id="2592"/>
      <w:bookmarkEnd w:id="2593"/>
      <w:bookmarkEnd w:id="2594"/>
      <w:bookmarkEnd w:id="2595"/>
      <w:bookmarkEnd w:id="2596"/>
      <w:bookmarkEnd w:id="2597"/>
      <w:bookmarkEnd w:id="2598"/>
      <w:bookmarkEnd w:id="2599"/>
      <w:bookmarkEnd w:id="2600"/>
      <w:bookmarkEnd w:id="2601"/>
      <w:bookmarkEnd w:id="2602"/>
      <w:bookmarkEnd w:id="2603"/>
      <w:bookmarkEnd w:id="2604"/>
      <w:bookmarkEnd w:id="2605"/>
      <w:bookmarkEnd w:id="2606"/>
      <w:bookmarkEnd w:id="2607"/>
      <w:bookmarkEnd w:id="2608"/>
      <w:bookmarkEnd w:id="2609"/>
      <w:bookmarkEnd w:id="2610"/>
      <w:bookmarkEnd w:id="2611"/>
      <w:bookmarkEnd w:id="2612"/>
      <w:bookmarkEnd w:id="2613"/>
      <w:bookmarkEnd w:id="2614"/>
      <w:bookmarkEnd w:id="2615"/>
      <w:bookmarkEnd w:id="2616"/>
      <w:bookmarkEnd w:id="2617"/>
      <w:bookmarkEnd w:id="2618"/>
      <w:bookmarkEnd w:id="2619"/>
      <w:bookmarkEnd w:id="2620"/>
      <w:bookmarkEnd w:id="2621"/>
      <w:bookmarkEnd w:id="2622"/>
      <w:bookmarkEnd w:id="2623"/>
      <w:bookmarkEnd w:id="2624"/>
      <w:bookmarkEnd w:id="2625"/>
      <w:bookmarkEnd w:id="2626"/>
      <w:bookmarkEnd w:id="2627"/>
      <w:bookmarkEnd w:id="2628"/>
      <w:bookmarkEnd w:id="2629"/>
      <w:bookmarkEnd w:id="2630"/>
      <w:bookmarkEnd w:id="2631"/>
      <w:bookmarkEnd w:id="2632"/>
      <w:bookmarkEnd w:id="2633"/>
      <w:bookmarkEnd w:id="2634"/>
      <w:bookmarkEnd w:id="2635"/>
      <w:bookmarkEnd w:id="2636"/>
      <w:bookmarkEnd w:id="2637"/>
      <w:r w:rsidRPr="007D7B32">
        <w:rPr>
          <w:rFonts w:ascii="Times New Roman" w:hAnsi="Times New Roman" w:cs="Times New Roman"/>
        </w:rPr>
        <w:t xml:space="preserve"> ze dne 11. dubna 2024 </w:t>
      </w:r>
      <w:bookmarkStart w:id="2638" w:name="_Toc162944551"/>
      <w:bookmarkStart w:id="2639" w:name="_Toc163036810"/>
      <w:r w:rsidRPr="007D7B32">
        <w:rPr>
          <w:rFonts w:ascii="Times New Roman" w:hAnsi="Times New Roman" w:cs="Times New Roman"/>
        </w:rPr>
        <w:t>obsahující</w:t>
      </w:r>
      <w:r w:rsidR="00FA2D6B" w:rsidRPr="007D7B32">
        <w:rPr>
          <w:rFonts w:ascii="Times New Roman" w:hAnsi="Times New Roman" w:cs="Times New Roman"/>
        </w:rPr>
        <w:t xml:space="preserve"> připomínky, které jsou nedílnou součástí rozhodnutí o udělení absolutoria za plnění souhrnného rozpočtu Evropské unie na rozpočtový rok 2022, oddíl III – Komise a výkonné agentury</w:t>
      </w:r>
      <w:bookmarkEnd w:id="2638"/>
      <w:bookmarkEnd w:id="2639"/>
      <w:r w:rsidRPr="007D7B32">
        <w:rPr>
          <w:rFonts w:ascii="Times New Roman" w:hAnsi="Times New Roman" w:cs="Times New Roman"/>
        </w:rPr>
        <w:t xml:space="preserve"> </w:t>
      </w:r>
      <w:r w:rsidR="00FA2D6B" w:rsidRPr="007D7B32">
        <w:rPr>
          <w:rFonts w:ascii="Times New Roman" w:hAnsi="Times New Roman" w:cs="Times New Roman"/>
        </w:rPr>
        <w:t>(2023/2129(DEC))</w:t>
      </w:r>
    </w:p>
    <w:p w:rsidR="00FA2D6B" w:rsidRPr="007D7B32" w:rsidRDefault="00FA2D6B" w:rsidP="005E7441">
      <w:pPr>
        <w:pStyle w:val="EPComma"/>
        <w:spacing w:before="0"/>
      </w:pPr>
      <w:r w:rsidRPr="007D7B32">
        <w:rPr>
          <w:i/>
          <w:iCs/>
        </w:rPr>
        <w:t>Evropský parlament</w:t>
      </w:r>
      <w:r w:rsidRPr="007D7B32">
        <w:t>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své rozhodnutí o udělení absolutoria za plnění souhrnného rozpočtu Evropské unie na rozpočtový rok 2022, oddíl III – Komise,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svá rozhodnutí o udělení absolutoria za plnění rozpočtu výkonných agentur na rozpočtový rok 2022,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článek 99 a přílohu V jednacího řádu,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stanoviska Výboru pro zahraniční věci, Výboru pro rozvoj, Výboru pro zaměstnanost a sociální věci, Výboru pro životní prostředí, veřejné zdraví a bezpečnost potravin, Výboru pro dopravu a cestovní ruch, Výboru pro regionální rozvoj, Výboru pro kulturu a vzdělávání, Výboru pro občanské svobody, spravedlnost a vnitřní věci a Výboru pro práva žen a rovnost pohlaví,</w:t>
      </w:r>
    </w:p>
    <w:p w:rsidR="00FA2D6B" w:rsidRPr="007D7B32" w:rsidRDefault="00FA2D6B" w:rsidP="005E7441">
      <w:pPr>
        <w:pStyle w:val="NormalHanging12a"/>
        <w:rPr>
          <w:szCs w:val="24"/>
        </w:rPr>
      </w:pPr>
      <w:r w:rsidRPr="007D7B32">
        <w:t>–</w:t>
      </w:r>
      <w:r w:rsidRPr="007D7B32">
        <w:tab/>
        <w:t>s ohledem na dopis Výboru pro zemědělství a rozvoj venkova,</w:t>
      </w:r>
    </w:p>
    <w:p w:rsidR="00FA2D6B" w:rsidRPr="007D7B32" w:rsidRDefault="00FA2D6B" w:rsidP="005E7441">
      <w:pPr>
        <w:pStyle w:val="NormalHanging12a"/>
      </w:pPr>
      <w:r w:rsidRPr="007D7B32">
        <w:t>–</w:t>
      </w:r>
      <w:r w:rsidRPr="007D7B32">
        <w:tab/>
        <w:t>s ohledem na zprávu Výboru pro rozpočtovou kontrolu (A9-0139/2024),</w:t>
      </w:r>
    </w:p>
    <w:p w:rsidR="00FA2D6B" w:rsidRPr="007D7B32" w:rsidRDefault="00FA2D6B" w:rsidP="005E7441">
      <w:pPr>
        <w:spacing w:after="240"/>
        <w:ind w:left="567" w:hanging="567"/>
        <w:rPr>
          <w:szCs w:val="24"/>
        </w:rPr>
      </w:pPr>
      <w:r w:rsidRPr="007D7B32">
        <w:t>–</w:t>
      </w:r>
      <w:r w:rsidRPr="007D7B32">
        <w:tab/>
        <w:t>s ohledem na interinstitucionální dohodu ze dne 16. prosince 2020 o rozpočtových záležitostech a řádném finančním řízení, jakož i o nových vlastních zdrojích, včetně plánu na zavedení nových vlastních zdrojů,</w:t>
      </w:r>
    </w:p>
    <w:p w:rsidR="00FA2D6B" w:rsidRPr="007D7B32" w:rsidRDefault="00FA2D6B" w:rsidP="005E7441">
      <w:pPr>
        <w:widowControl/>
        <w:spacing w:after="240"/>
        <w:ind w:left="567" w:hanging="567"/>
        <w:textAlignment w:val="baseline"/>
        <w:rPr>
          <w:rFonts w:ascii="Segoe UI" w:hAnsi="Segoe UI" w:cs="Segoe UI"/>
          <w:i/>
          <w:sz w:val="18"/>
          <w:szCs w:val="18"/>
        </w:rPr>
      </w:pPr>
      <w:r w:rsidRPr="007D7B32">
        <w:rPr>
          <w:b/>
          <w:i/>
          <w:shd w:val="clear" w:color="auto" w:fill="FFFFFF"/>
        </w:rPr>
        <w:t>Politické priority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1.</w:t>
      </w:r>
      <w:r w:rsidRPr="007D7B32">
        <w:tab/>
        <w:t>připomíná, že je pevně odhodlán dodržovat základní zásady a hodnoty zakotvené ve Smlouvě o Evropské unii (</w:t>
      </w:r>
      <w:r w:rsidR="007D6122" w:rsidRPr="007D7B32">
        <w:t>dále jen „</w:t>
      </w:r>
      <w:r w:rsidRPr="007D7B32">
        <w:t>S</w:t>
      </w:r>
      <w:r w:rsidR="007D6122" w:rsidRPr="007D7B32">
        <w:t xml:space="preserve">mlouva o </w:t>
      </w:r>
      <w:r w:rsidRPr="007D7B32">
        <w:t>EU</w:t>
      </w:r>
      <w:r w:rsidR="007D6122" w:rsidRPr="007D7B32">
        <w:t>“</w:t>
      </w:r>
      <w:r w:rsidRPr="007D7B32">
        <w:t>) a Smlouvě o fungování Evropské unie (</w:t>
      </w:r>
      <w:r w:rsidR="007D6122" w:rsidRPr="007D7B32">
        <w:t>dále jen „</w:t>
      </w:r>
      <w:r w:rsidRPr="007D7B32">
        <w:t>S</w:t>
      </w:r>
      <w:r w:rsidR="007D6122" w:rsidRPr="007D7B32">
        <w:t xml:space="preserve">mlouva o fungování </w:t>
      </w:r>
      <w:r w:rsidRPr="007D7B32">
        <w:t>EU</w:t>
      </w:r>
      <w:r w:rsidR="007D6122" w:rsidRPr="007D7B32">
        <w:t>“</w:t>
      </w:r>
      <w:r w:rsidRPr="007D7B32">
        <w:t>), včetně řádného finančního řízení v souladu s ustanovením článku 317 S</w:t>
      </w:r>
      <w:r w:rsidR="007D6122" w:rsidRPr="007D7B32">
        <w:t xml:space="preserve">mlouvy o fungování </w:t>
      </w:r>
      <w:r w:rsidRPr="007D7B32">
        <w:t>EU a boje proti podvodům a ochrany finančních zájmů Unie v souladu s ustanovením článku 325 S</w:t>
      </w:r>
      <w:r w:rsidR="007D6122" w:rsidRPr="007D7B32">
        <w:t xml:space="preserve">mlouvy o fungování </w:t>
      </w:r>
      <w:r w:rsidRPr="007D7B32">
        <w:t>EU;</w:t>
      </w:r>
    </w:p>
    <w:p w:rsidR="00FA2D6B" w:rsidRPr="007D7B32" w:rsidRDefault="00FA2D6B" w:rsidP="005E7441">
      <w:pPr>
        <w:pStyle w:val="NormalHanging12a"/>
      </w:pPr>
      <w:r w:rsidRPr="007D7B32">
        <w:t>2.</w:t>
      </w:r>
      <w:r w:rsidRPr="007D7B32">
        <w:tab/>
        <w:t>zdůrazňuje, že rozpočet Unie je důležitý pro plnění jejích politických priorit a hraje významnou úlohu při poskytování pomoci členským státům za nepředvídaných okolností, jako jsou pandemie COVID-19, mezinárodní konflikty či krize a jejich důsledky; konstatuje v tomto ohledu, že i nadále jsou významné investice a podpora z rozpočtu Unie pro snižování rozdílů mezi členskými státy a regiony, pro podporu hospodářského růstu a zaměstnanosti, pro boj proti chudobě a sociálnímu vyloučení, a tím pro zlepšení každodenního života občanů Unie a hospodářského dopadu v rámci Unie; naléhavě vyzývá Komisi, aby nezpomalovala tempo a neoslabovala ambice potřebné k dosažení cílů v oblasti klimatu stanovených v Zelené dohodě pro Evropu, a zdůrazňuje, že je třeba zvýšit investice, které jsou za tím účelem nezbytné; zdůrazňuje skutečnost, že v roce 2022 Unie zdaleka nedosáhla úrovně účinnosti potřebné k dosažení cílů v oblasti klimatu stanovených pro roky 2030, 2040 a 2050;</w:t>
      </w:r>
    </w:p>
    <w:p w:rsidR="00FA2D6B" w:rsidRPr="007D7B32" w:rsidRDefault="00FA2D6B" w:rsidP="005E7441">
      <w:pPr>
        <w:pStyle w:val="NormalHanging12a"/>
      </w:pPr>
      <w:r w:rsidRPr="007D7B32">
        <w:t>3.</w:t>
      </w:r>
      <w:r w:rsidRPr="007D7B32">
        <w:tab/>
        <w:t xml:space="preserve">zdůrazňuje, že řádné a včasné plnění rozpočtu přispívá k tomu, že potřeby a výzvy v různých politických oblastech budou řešeny efektivněji a účinněji; zdůrazňuje, že </w:t>
      </w:r>
      <w:r w:rsidRPr="007D7B32">
        <w:lastRenderedPageBreak/>
        <w:t>souběžné provádění více nástrojů s různými pravidly pod časovým tlakem, a to kromě tlaku ohledně konečného uzavření VFR na období 2014–2020, může vést ke zpoždění při provádění a nárůstu chyb, nesrovnalostí a podvodů; připomíná úlohu Komise jakožto strážkyně Smluv při ochraně finančních zájmů Unie;</w:t>
      </w:r>
    </w:p>
    <w:p w:rsidR="00FA2D6B" w:rsidRPr="007D7B32" w:rsidRDefault="00FA2D6B" w:rsidP="005E7441">
      <w:pPr>
        <w:pStyle w:val="NormalHanging12a"/>
      </w:pPr>
      <w:r w:rsidRPr="007D7B32">
        <w:t>4.</w:t>
      </w:r>
      <w:r w:rsidRPr="007D7B32">
        <w:tab/>
        <w:t xml:space="preserve">zdůrazňuje přínos Nástroje pro oživení a odolnost k podpoře členských států při zotavení z hospodářských a sociálních důsledků pandemie COVID-19 a při vytváření odolné Unie, která dokáže obstát před výzvami budoucnosti; poukazuje na přínos Nástroje pro oživení a odolnost a plánu </w:t>
      </w:r>
      <w:proofErr w:type="spellStart"/>
      <w:r w:rsidRPr="007D7B32">
        <w:t>REPowerEU</w:t>
      </w:r>
      <w:proofErr w:type="spellEnd"/>
      <w:r w:rsidRPr="007D7B32">
        <w:t xml:space="preserve"> pro řešení problémů souvisejících s energetikou, které vyvolala ruská útočná válka proti Ukrajině; vyjadřuje politování nad tím, že milníky nebyly lépe definovány, a vyzývá Komisi, aby sledovala provádění souvisejících opatření členskými státy v souladu s dohodnutými milníky a cíli;</w:t>
      </w:r>
    </w:p>
    <w:p w:rsidR="00FA2D6B" w:rsidRPr="007D7B32" w:rsidRDefault="00FA2D6B" w:rsidP="005E7441">
      <w:pPr>
        <w:widowControl/>
        <w:spacing w:after="240"/>
        <w:ind w:left="567" w:hanging="567"/>
        <w:rPr>
          <w:szCs w:val="24"/>
        </w:rPr>
      </w:pPr>
      <w:r w:rsidRPr="007D7B32">
        <w:t>5.</w:t>
      </w:r>
      <w:r w:rsidRPr="007D7B32">
        <w:tab/>
        <w:t xml:space="preserve">vyzdvihuje zásadní úlohu, kterou rozpočet Unie sehrál v roce 2022 při řešení následků ruské útočné války proti Ukrajině, konkrétně pro zabezpečení potravinových řetězců, řešení problémů souvisejících s energetikou, podporu členských států při přijímání ukrajinských uprchlíků a poskytnutí pomoci Ukrajině při péči o její občany; konstatuje, že tato situace vyvolala tlak na rozpočet a že byla využita všechna opatření k zajištění flexibility; bere v tomto ohledu na vědomí přijetí přezkumu víceletého finančního rámce (VFR) v polovině období, který přeorientuje finanční prostředky a získá prostředky nové; zdůrazňuje, že je důležité, aby Komise předložila jasný a realistický plán, jak splatit dluh EU; </w:t>
      </w:r>
    </w:p>
    <w:p w:rsidR="00FA2D6B" w:rsidRPr="007D7B32" w:rsidRDefault="00FA2D6B" w:rsidP="005E7441">
      <w:pPr>
        <w:pStyle w:val="NormalHanging12a"/>
      </w:pPr>
      <w:r w:rsidRPr="007D7B32">
        <w:t>6.</w:t>
      </w:r>
      <w:r w:rsidRPr="007D7B32">
        <w:tab/>
        <w:t>připomíná, že je důležité přísně uplatňovat finanční pravidla Unie ve všech programech a na všechny příjemce, aby se zabránilo veškerým formám podvodů, střetů zájmů, korupce, dvojího financování a praní peněz; připomíná v tomto rámci klíčovou úlohu celé struktury Unie pro boj proti podvodům a vyjadřuje určité obavy ohledně toho, že některé členské státy odmítají spolupracovat s jedním z jejích prvků, zejména s Úřadem evropského veřejného žalobce;</w:t>
      </w:r>
    </w:p>
    <w:p w:rsidR="00FA2D6B" w:rsidRPr="007D7B32" w:rsidRDefault="00FA2D6B" w:rsidP="005E7441">
      <w:pPr>
        <w:pStyle w:val="NormalHanging12a"/>
      </w:pPr>
      <w:r w:rsidRPr="007D7B32">
        <w:t>7.</w:t>
      </w:r>
      <w:r w:rsidRPr="007D7B32">
        <w:tab/>
        <w:t>připomíná, že je důležité provádět hodnocení ex post a v polovině období u finančních programů vytvořených v reakci na krizi, pokud jde o jejich význam, soudržnost a evropskou přidanou hodnotu, a to kromě dodržování souladu a správnosti, účinnosti, efektivnosti, výkonu a dlouhodobého hospodářského dopadu; konstatuje, že rozhodnutí týkající se nástrojů reakce na COVID-19 byla přijímána pod obrovským časovým tlakem, ačkoli tyto nástroje budou prováděny až do roku 2026; zdůrazňuje, že rychlá reakce by neměla být na úkor řádné kontroly výdajů, a žádá proto Komisi, aby z těchto nástrojů vyvodila ponaučení;</w:t>
      </w:r>
    </w:p>
    <w:p w:rsidR="00FA2D6B" w:rsidRPr="007D7B32" w:rsidRDefault="00FA2D6B" w:rsidP="005E7441">
      <w:pPr>
        <w:pStyle w:val="NormalHanging12a"/>
      </w:pPr>
      <w:r w:rsidRPr="007D7B32">
        <w:t>8.</w:t>
      </w:r>
      <w:r w:rsidRPr="007D7B32">
        <w:tab/>
        <w:t xml:space="preserve">připomíná význam Nástroje pro oživení a odolnost při řešení hospodářského útlumu po pandemii COVID-19, připomíná, že model provádění Nástroje pro oživení a odolnost klade na Komisi mnohem mírnější požadavky a snižuje kontrolní zátěž Komise vůči členským státům; </w:t>
      </w:r>
      <w:r w:rsidR="00AF284C" w:rsidRPr="007D7B32">
        <w:t>se znepokojením konstatuje, že Účetní dvůr v rámci posouzení Nástroje pro oživení a odolnost zjistil nedostatky v předběžném posouzení a v auditech ex post vypracovaných Komisí, a domnívá se, že v systémech členských států pro podávání zpráv a kontroly přetrvávají nedostatky; je znepokojen tím, že tyto nedostatky vedly k zavedení kontrolních milníků, což naznačuje, že příslušné systémy členských států nebyly při zahájení provádění plánů plně funkční, což představuje riziko pro správnost výdajů Nástroje pro oživení a odolnost a pro ochranu finančních zájmů Unie;</w:t>
      </w:r>
    </w:p>
    <w:p w:rsidR="00FA2D6B" w:rsidRPr="007D7B32" w:rsidRDefault="00FA2D6B" w:rsidP="005E7441">
      <w:pPr>
        <w:pStyle w:val="NormalHanging12a"/>
      </w:pPr>
      <w:r w:rsidRPr="007D7B32">
        <w:t>9.</w:t>
      </w:r>
      <w:r w:rsidRPr="007D7B32">
        <w:tab/>
        <w:t xml:space="preserve">zdůrazňuje riziko střetu zájmů v případech, kdy by všechny subjekty zapojené do plnění </w:t>
      </w:r>
      <w:r w:rsidRPr="007D7B32">
        <w:lastRenderedPageBreak/>
        <w:t xml:space="preserve">rozpočtu Unie na jakékoli úrovni mohly být ohroženy z důvodů, které přesahují ekonomické zájmy, bere na vědomí velmi roztříštěný právní rámec týkající se střetu zájmů napříč členskými státy a regiony a </w:t>
      </w:r>
      <w:r w:rsidR="00AF284C" w:rsidRPr="007D7B32">
        <w:t xml:space="preserve">vyzývá k tomu, aby </w:t>
      </w:r>
      <w:r w:rsidRPr="007D7B32">
        <w:t xml:space="preserve">pokyny Komise </w:t>
      </w:r>
      <w:r w:rsidR="00AF284C" w:rsidRPr="007D7B32">
        <w:t>zajistily právní jasnost a podpořily jednotný výklad</w:t>
      </w:r>
      <w:r w:rsidRPr="007D7B32">
        <w:t xml:space="preserve"> a uplatňování; podporuje připomínku Účetního dvora uvedenou v jeho zvláštní zprávě č. 6/2023, že „vytěžování údajů může porovnáním informací z různých zdrojů pomoci odhalit možné střety zájmů“;</w:t>
      </w:r>
    </w:p>
    <w:p w:rsidR="00FA2D6B" w:rsidRPr="007D7B32" w:rsidRDefault="00FA2D6B" w:rsidP="005E7441">
      <w:pPr>
        <w:pStyle w:val="NormalHanging12a"/>
      </w:pPr>
      <w:r w:rsidRPr="007D7B32">
        <w:t>10.</w:t>
      </w:r>
      <w:r w:rsidRPr="007D7B32">
        <w:tab/>
        <w:t>zdůrazňuje úlohu Evropského úřadu pro boj proti podvodům (OLAF), Úřadu evropského veřejného žalobce (EPPO), Agentury Evropské unie pro justiční spolupráci v trestních věcech (</w:t>
      </w:r>
      <w:proofErr w:type="spellStart"/>
      <w:r w:rsidRPr="007D7B32">
        <w:t>Eurojust</w:t>
      </w:r>
      <w:proofErr w:type="spellEnd"/>
      <w:r w:rsidRPr="007D7B32">
        <w:t>) a Agentury Evropské unie pro spolupráci v oblasti prosazování práva (</w:t>
      </w:r>
      <w:proofErr w:type="spellStart"/>
      <w:r w:rsidRPr="007D7B32">
        <w:t>Europol</w:t>
      </w:r>
      <w:proofErr w:type="spellEnd"/>
      <w:r w:rsidRPr="007D7B32">
        <w:t>) v boji proti korupci; vyzývá k dalšímu posílení kapacit Úřadu evropského veřejného žalobce a úřadu OLAF a spolupráce mezi nimi a k lepší definici jejich pravomocí; oceňuje úsilí Úřadu evropského veřejného žalobce při vyšetřování a stíhání podvodů a jiných trestných činů poškozujících finanční zájmy Unie a zdůrazňuje, že má-li tento úřad účinně vykonávat své úkoly, je důležité, aby byl zcela nezávislý a nestranný; připomíná, že je důležité poskytnout úřadům EPPO a OLAF dostatečné finanční a lidské zdroje; vyzývá k přijetí společných protikorupčních pravidel pro všechny zaměstnance orgánů Unie a vyzývá k tomu, aby byl interinstitucionální rejstřík transparentnosti povinný pro všechny orgány a agentury EU, aby se zajistilo, že není dotčena nezávislost vyžadovaná od některých orgánů EU; znovu opakuje, že je třeba zvýšit úsilí v boji proti podvodům jak na úrovni Unie, tak na úrovni členských států, a to v úzké spolupráci s Úřadem evropského veřejného žalobce a úřadem OLAF;</w:t>
      </w:r>
    </w:p>
    <w:p w:rsidR="00FA2D6B" w:rsidRPr="007D7B32" w:rsidRDefault="00FA2D6B" w:rsidP="005E7441">
      <w:pPr>
        <w:pStyle w:val="NormalHanging12a"/>
      </w:pPr>
      <w:r w:rsidRPr="007D7B32">
        <w:t>11.</w:t>
      </w:r>
      <w:r w:rsidRPr="007D7B32">
        <w:tab/>
        <w:t>poukazuje na zhoršení stavu právního státu v některých členských státech a zdůrazňuje zásadní význam mechanismu podmíněnosti dodržováním zásad právního státu pro ochranu rozpočtu Unie; vyzývá Komisi, aby plně využívala dostupné nástroje k řešení zřejmého rizika závažného porušení hodnot Unie a aby urychleně uplatnila nařízení o podmíněnosti v případech, kdy hrozí riziko, že porušení zásad právního státu bude mít dopad na finanční zájmy Unie; podporuje zablokování finančních prostředků Unie, pokud nebudou zcela splněny příslušné podmínky, a nepodvolení se vydírání; naléhavě vyzývá Komisi, aby zaručila jednotný, komplexní a integrovaný přístup napříč různými fondy a legislativními nástroji a aby se vyhnula technokratickému a rozporuplnému přístupu napříč různými finančními nástroji;</w:t>
      </w:r>
    </w:p>
    <w:p w:rsidR="00AF284C" w:rsidRPr="007D7B32" w:rsidRDefault="00532512" w:rsidP="005E7441">
      <w:pPr>
        <w:pStyle w:val="NormalHanging12a"/>
      </w:pPr>
      <w:r w:rsidRPr="007D7B32">
        <w:t>12</w:t>
      </w:r>
      <w:r w:rsidR="00AF284C" w:rsidRPr="007D7B32">
        <w:t>.</w:t>
      </w:r>
      <w:r w:rsidR="00AF284C" w:rsidRPr="007D7B32">
        <w:tab/>
        <w:t>zdůrazňuje, že v souvislosti se zásadou právního státu je třeba zajistit jasné normy a účinné oddělení pravomocí; zdůrazňuje, že všechny orgány a instituce Unie by měly plně dodržovat zásadu právního státu a nezávislost soudnictví a měly by se zdržet jednání coby kárná komora mimo nezávislý soudní systém; zdůrazňuje, že v případě porušení práva by měly nést odpovědnost příslušné orgány nebo instituce Unie nebo vnitrostátní orgány; zdůrazňuje, že je třeba vyhnout se nespravedlivým postupům výpovědí nebo oznamování a že tyto postupy by měly být založeny na jasných normách právního státu;</w:t>
      </w:r>
    </w:p>
    <w:p w:rsidR="00FA2D6B" w:rsidRPr="007D7B32" w:rsidRDefault="00FA2D6B" w:rsidP="005E7441">
      <w:pPr>
        <w:pStyle w:val="NormalHanging12a"/>
      </w:pPr>
      <w:r w:rsidRPr="007D7B32">
        <w:t>1</w:t>
      </w:r>
      <w:r w:rsidR="00532512" w:rsidRPr="007D7B32">
        <w:t>3</w:t>
      </w:r>
      <w:r w:rsidRPr="007D7B32">
        <w:t>.</w:t>
      </w:r>
      <w:r w:rsidRPr="007D7B32">
        <w:tab/>
        <w:t>bere na vědomí opatření, která Komise přijala v roce 2022 podle nařízení o podmíněnosti, avšak domnívá se, že byla zavedena se značným zpožděním a na základě dlouhodobých politických úvah; žádá Komisi, aby provedla důkladné posouzení a zajistila odpovídající kontrolní mechanismy, které zaručí řádné finanční řízení a ochranu rozpočtu Unie v současných i budoucích případech, kdy nedostatečné dodržování hodnot Unie a zásad právního státu ovlivňuje nebo hrozí, že bude ovlivňovat, finanční zájmy Unie;</w:t>
      </w:r>
    </w:p>
    <w:p w:rsidR="00FA2D6B" w:rsidRPr="007D7B32" w:rsidRDefault="00FA2D6B" w:rsidP="005E7441">
      <w:pPr>
        <w:pStyle w:val="NormalHanging12a"/>
      </w:pPr>
      <w:r w:rsidRPr="007D7B32">
        <w:lastRenderedPageBreak/>
        <w:t>1</w:t>
      </w:r>
      <w:r w:rsidR="00532512" w:rsidRPr="007D7B32">
        <w:t>4</w:t>
      </w:r>
      <w:r w:rsidRPr="007D7B32">
        <w:t>.</w:t>
      </w:r>
      <w:r w:rsidRPr="007D7B32">
        <w:tab/>
        <w:t>vítá dohodu, které bylo dosaženo během jednání o revidovaných finančních pravidlech Unie v prosinci 2023; vítá zejména zlepšení související se sledováním finančních prostředků Unie prostřednictvím digitálních nástrojů a interoperability, která posílí ochranu finančních zájmů Unie, cílené rozšíření systému včasného odhalování rizik a vylučování hospodářských subjektů (EDES) na sdílené řízení po skončení VFR 2027, odkaz na mechanismus podmíněnosti dodržováním zásad právního státu a hodnoty Unie zakotvené v článku 2 S</w:t>
      </w:r>
      <w:r w:rsidR="007D6122" w:rsidRPr="007D7B32">
        <w:t xml:space="preserve">mlouvy o </w:t>
      </w:r>
      <w:r w:rsidRPr="007D7B32">
        <w:t>EU, jakož i příležitost zefektivnit podporu malých a středních podniků a jednotlivých žadatelů zavedením grantů velmi nízké hodnoty;</w:t>
      </w:r>
    </w:p>
    <w:p w:rsidR="00FA2D6B" w:rsidRPr="007D7B32" w:rsidRDefault="00FA2D6B" w:rsidP="005E7441">
      <w:pPr>
        <w:pStyle w:val="NormalHanging12a"/>
      </w:pPr>
      <w:r w:rsidRPr="007D7B32">
        <w:t>1</w:t>
      </w:r>
      <w:r w:rsidR="00532512" w:rsidRPr="007D7B32">
        <w:t>5</w:t>
      </w:r>
      <w:r w:rsidRPr="007D7B32">
        <w:t>.</w:t>
      </w:r>
      <w:r w:rsidRPr="007D7B32">
        <w:tab/>
        <w:t>připomíná Komisi, že všechny legislativní návrhy, které mají významný hospodářský, sociální a environmentální dopad, musí být doprovázeny spolehlivým a důkladným posouzením dopadů, včetně jejich dopadu na životní náklady občanů Unie, úrovně byrokratizace příjemců a správních orgánů, jakož i otázek souvisejících s rovností žen a mužů, aby bylo zaručeno spravedlivé rozdělení rozpočtu Unie; zdůrazňuje, že to je součástí programu Komise pro zlepšování právní úpravy; zdůrazňuje, že Komise by měla provádět posouzení dopadů zcela neutrálním a nestranným způsobem; dále očekává, že Komise zlepší analýzu nákladů a přínosů dotčených možností tím, že zvýší míru účasti různých zúčastněných stran s různými názory v otevřených veřejných konzultacích;</w:t>
      </w:r>
    </w:p>
    <w:p w:rsidR="00AF284C" w:rsidRPr="007D7B32" w:rsidRDefault="00532512" w:rsidP="005E7441">
      <w:pPr>
        <w:pStyle w:val="NormalHanging12a"/>
      </w:pPr>
      <w:r w:rsidRPr="007D7B32">
        <w:t>16</w:t>
      </w:r>
      <w:r w:rsidR="00AF284C" w:rsidRPr="007D7B32">
        <w:t>.</w:t>
      </w:r>
      <w:r w:rsidR="00AF284C" w:rsidRPr="007D7B32">
        <w:tab/>
        <w:t>zdůrazňuje, že genderová rovnost je jednou ze základních hodnot Unie a je zakotvena v Listině základních práv EU; připomíná dlouhodobý závazek Unie k začleňování genderového hlediska do své tvorby politik s cílem rozpoznat a napravit nerovnosti, jakož i nezbytnou podmínku pro dosažení cílů Unie v oblasti růstu, zaměstnanosti a sociální soudržnosti; zdůrazňuje, že je důležité pokračovat v úsilí vyvíjeném zejména v oblasti genderového rozpočtování, jako je pilotní metodika pro sledování výdajů na genderovou rovnost ve víceletém finančním rámci, s cílem zajistit úspěch začleňování genderového hlediska do rozpočtu Unie;</w:t>
      </w:r>
    </w:p>
    <w:p w:rsidR="00FA2D6B" w:rsidRPr="007D7B32" w:rsidRDefault="00FA2D6B" w:rsidP="005E7441">
      <w:pPr>
        <w:pStyle w:val="NormalHanging12a"/>
      </w:pPr>
      <w:r w:rsidRPr="007D7B32">
        <w:t>1</w:t>
      </w:r>
      <w:r w:rsidR="00532512" w:rsidRPr="007D7B32">
        <w:t>7</w:t>
      </w:r>
      <w:r w:rsidRPr="007D7B32">
        <w:t>.</w:t>
      </w:r>
      <w:r w:rsidRPr="007D7B32">
        <w:tab/>
        <w:t>připomíná, že výdajové oblasti podléhající složitějším pravidlům a kritériím způsobilosti jsou vystaveny vyššímu riziku chyb a vytvářejí nadměrnou administrativní zátěž pro příjemce podpory, zejména pro nové účastníky; opakuje, že je třeba v co největší míře zjednodušit výdajové programy Unie a dosáhnout rovnováhy se spolehlivými kontrolami a řízením; zdůrazňuje, že digitalizace správy, podávání zpráv a auditu finančních prostředků Unie má zásadní význam pro spravedlivé zlepšení přístupu potenciálních příjemců a pro zefektivnění a transparentnost správy finančních prostředků pro všechny občany;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1</w:t>
      </w:r>
      <w:r w:rsidR="00532512" w:rsidRPr="007D7B32">
        <w:t>8</w:t>
      </w:r>
      <w:r w:rsidRPr="007D7B32">
        <w:t>.</w:t>
      </w:r>
      <w:r w:rsidRPr="007D7B32">
        <w:tab/>
        <w:t xml:space="preserve">je znepokojen tím, že pozdní přijetí několika odvětvových nařízení upravujících různé politiky Unie, jako je politika soudržnosti, vedlo k významnému zpoždění v provádění programového období 2021–2027; znovu apeluje na Komisi a členské státy, aby přijaly veškerá nezbytná opatření k dalšímu urychlení provádění politik v praxi s lepší zeměpisnou rovnováhou a zároveň zachovaly velký důraz na dodržování pravidel, kvalitu projektů, dosahování výsledků a ochranu finančních zájmů Unie; v této souvislosti zdůrazňuje riziko, že neuhrazené závazky zatěžují rozpočet Unie, což může vést k rozsáhlému rušení závazků, které by zase snížilo jeho dopad; vyzývá Komisi, aby orgánu příslušnému k udělení absolutoria sdělila, jaká opatření plánuje učinit, aby této situaci předešla; </w:t>
      </w:r>
    </w:p>
    <w:p w:rsidR="00FA2D6B" w:rsidRPr="007D7B32" w:rsidRDefault="00FA2D6B" w:rsidP="005E7441">
      <w:pPr>
        <w:pStyle w:val="NormalHanging12a"/>
      </w:pPr>
      <w:r w:rsidRPr="007D7B32">
        <w:t>1</w:t>
      </w:r>
      <w:r w:rsidR="00532512" w:rsidRPr="007D7B32">
        <w:t>9</w:t>
      </w:r>
      <w:r w:rsidRPr="007D7B32">
        <w:t>.</w:t>
      </w:r>
      <w:r w:rsidRPr="007D7B32">
        <w:tab/>
        <w:t xml:space="preserve">vyzývá Komisi, aby přijala iniciativy, jako je technická pomoc, s cílem trvale zvýšit míru čerpání v členských státech; vyzývá Komisi, aby bedlivě sledovala pokrok při </w:t>
      </w:r>
      <w:r w:rsidRPr="007D7B32">
        <w:lastRenderedPageBreak/>
        <w:t>provádění v členských státech, zejména v případech nedostatečného plnění a nízké míry čerpání, a aby orgánu příslušnému k udělení absolutoria předložila analýzu situace v jednotlivých zemích, v níž budou identifikovány opakující se problémy, jakož i opatření přijatá s cílem optimalizovat situaci;</w:t>
      </w:r>
    </w:p>
    <w:p w:rsidR="00FA2D6B" w:rsidRPr="007D7B32" w:rsidRDefault="00532512" w:rsidP="005E7441">
      <w:pPr>
        <w:autoSpaceDE w:val="0"/>
        <w:autoSpaceDN w:val="0"/>
        <w:adjustRightInd w:val="0"/>
        <w:spacing w:after="240"/>
        <w:ind w:left="567" w:hanging="567"/>
      </w:pPr>
      <w:r w:rsidRPr="007D7B32">
        <w:t>20</w:t>
      </w:r>
      <w:r w:rsidR="00FA2D6B" w:rsidRPr="007D7B32">
        <w:t>.</w:t>
      </w:r>
      <w:r w:rsidR="00FA2D6B" w:rsidRPr="007D7B32">
        <w:tab/>
        <w:t>zdůrazňuje význam politiky soudržnosti Unie pro hospodářskou a územní konvergenci a rozvoj v regionech Unie, jakož i pro podporu provádění evropského pilíře sociálních práv; zdůrazňuje součinnost fondů soudržnosti v koordinaci s dalšími programy Unie, zejména s Nástrojem pro oživení a odolnost, s cílem maximalizovat dopad a účinnost veřejných výdajů;</w:t>
      </w:r>
    </w:p>
    <w:p w:rsidR="00FA2D6B" w:rsidRPr="007D7B32" w:rsidRDefault="00FA2D6B" w:rsidP="005E7441">
      <w:pPr>
        <w:pStyle w:val="PageSubHeading"/>
        <w:spacing w:after="240"/>
        <w:rPr>
          <w:rFonts w:ascii="Segoe UI" w:hAnsi="Segoe UI" w:cs="Segoe UI"/>
          <w:sz w:val="18"/>
          <w:szCs w:val="18"/>
        </w:rPr>
      </w:pPr>
      <w:r w:rsidRPr="007D7B32">
        <w:br w:type="page"/>
      </w:r>
      <w:bookmarkStart w:id="2640" w:name="_Toc162944552"/>
      <w:bookmarkStart w:id="2641" w:name="_Toc163036811"/>
      <w:r w:rsidRPr="007D7B32">
        <w:lastRenderedPageBreak/>
        <w:t>KAPITOLA I – Víceletý finanční rámec (VFR)</w:t>
      </w:r>
      <w:bookmarkEnd w:id="2640"/>
      <w:bookmarkEnd w:id="2641"/>
    </w:p>
    <w:p w:rsidR="00FA2D6B" w:rsidRPr="007D7B32" w:rsidRDefault="00FA2D6B" w:rsidP="005E7441">
      <w:pPr>
        <w:widowControl/>
        <w:spacing w:after="240"/>
        <w:textAlignment w:val="baseline"/>
        <w:rPr>
          <w:rFonts w:ascii="Segoe UI" w:hAnsi="Segoe UI" w:cs="Segoe UI"/>
          <w:sz w:val="18"/>
          <w:szCs w:val="18"/>
        </w:rPr>
      </w:pPr>
      <w:r w:rsidRPr="007D7B32">
        <w:rPr>
          <w:b/>
          <w:shd w:val="clear" w:color="auto" w:fill="FFFFFF"/>
        </w:rPr>
        <w:t>Prohlášení Evropského účetního dvora o věrohodnosti a rozpočtové a finanční řízení</w:t>
      </w:r>
    </w:p>
    <w:p w:rsidR="00FA2D6B" w:rsidRPr="007D7B32" w:rsidRDefault="00FA2D6B" w:rsidP="005E7441">
      <w:pPr>
        <w:widowControl/>
        <w:spacing w:after="240"/>
        <w:ind w:left="567" w:hanging="567"/>
        <w:textAlignment w:val="baseline"/>
        <w:rPr>
          <w:rFonts w:ascii="Segoe UI" w:hAnsi="Segoe UI" w:cs="Segoe UI"/>
          <w:sz w:val="18"/>
          <w:szCs w:val="18"/>
        </w:rPr>
      </w:pPr>
      <w:r w:rsidRPr="007D7B32">
        <w:rPr>
          <w:i/>
          <w:shd w:val="clear" w:color="auto" w:fill="FFFFFF"/>
        </w:rPr>
        <w:t>Spolehlivost účetní závěrky</w:t>
      </w:r>
      <w:r w:rsidRPr="007D7B32">
        <w:t xml:space="preserve"> </w:t>
      </w:r>
    </w:p>
    <w:p w:rsidR="00FA2D6B" w:rsidRPr="007D7B32" w:rsidRDefault="00532512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21</w:t>
      </w:r>
      <w:r w:rsidR="00FA2D6B" w:rsidRPr="007D7B32">
        <w:t>.</w:t>
      </w:r>
      <w:r w:rsidR="00FA2D6B" w:rsidRPr="007D7B32">
        <w:tab/>
        <w:t>vítá, že Účetní dvůr ve své výroční zprávě o plnění rozpočtu na rozpočtový rok 2022</w:t>
      </w:r>
      <w:r w:rsidR="00FA2D6B" w:rsidRPr="007D7B32">
        <w:rPr>
          <w:rStyle w:val="FootnoteReference"/>
        </w:rPr>
        <w:footnoteReference w:id="66"/>
      </w:r>
      <w:r w:rsidR="00FA2D6B" w:rsidRPr="007D7B32">
        <w:t xml:space="preserve"> dospěl k závěru, že konsolidovaná účetní závěrka Evropské unie za rok 2022 je spolehlivá; s uspokojením konstatuje, že Účetní dvůr od roku 2007 každoročně vydává výrok bez výhrad o spolehlivosti účetní závěrky;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2</w:t>
      </w:r>
      <w:r w:rsidR="00532512" w:rsidRPr="007D7B32">
        <w:t>2</w:t>
      </w:r>
      <w:r w:rsidRPr="007D7B32">
        <w:t>.</w:t>
      </w:r>
      <w:r w:rsidRPr="007D7B32">
        <w:tab/>
        <w:t>konstatuje, že ke dni 31. prosince 2022 činila celková pasiva 577,2 miliardy EUR ve srovnání s 445,9 miliardy EUR celkových aktiv; konstatuje, že rozdíl ve výši 131,3 miliardy EUR připadá na (negativní) čistá aktiva, která zahrnují rezervy a tu část výdajů, která Unii vznikla do 31. prosince 2022 a která musí být financována z budoucích rozpočtů;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2</w:t>
      </w:r>
      <w:r w:rsidR="00532512" w:rsidRPr="007D7B32">
        <w:t>3</w:t>
      </w:r>
      <w:r w:rsidRPr="007D7B32">
        <w:t>.</w:t>
      </w:r>
      <w:r w:rsidRPr="007D7B32">
        <w:tab/>
        <w:t>konstatuje, že na konci roku 2022 činila odhadovaná hodnota vzniklých, ale dosud neuplatněných způsobilých výdajů vůči příjemcům, vykázaných jako výdaje příštích období, 148,7 miliardy EUR (2021: 129,9 miliardy EUR), z čehož 22,6 miliardy EUR souvisí s výdaji příštích období Nástroje pro oživení a odolnost;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2</w:t>
      </w:r>
      <w:r w:rsidR="00532512" w:rsidRPr="007D7B32">
        <w:t>4</w:t>
      </w:r>
      <w:r w:rsidRPr="007D7B32">
        <w:t>.</w:t>
      </w:r>
      <w:r w:rsidRPr="007D7B32">
        <w:tab/>
        <w:t>konstatuje, že po skončení přechodného období následujícího po vystoupení Spojeného království z EU Komise odhadla, že k rozvahovému dni vykazovaly účty Unie čistou pohledávku za Spojeným královstvím ve výši 23,9 miliardy EUR (2021: 41,8 miliardy EUR), z čehož se odhaduje, že 9,1 miliardy EUR bude uhrazeno během 12 měsíců následujících po datu vykázání;</w:t>
      </w:r>
      <w:r w:rsidR="00AF284C" w:rsidRPr="007D7B32">
        <w:t xml:space="preserve"> domnívá se, že jakákoli částka přesahující odhadovanou částku 9,1 miliardy EUR obdržená od Spojeného království by měla být použita na snížení dluhu vzniklého v důsledku výpůjčních a úvěrových činností Komise;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2</w:t>
      </w:r>
      <w:r w:rsidR="00532512" w:rsidRPr="007D7B32">
        <w:t>5</w:t>
      </w:r>
      <w:r w:rsidRPr="007D7B32">
        <w:t>.</w:t>
      </w:r>
      <w:r w:rsidRPr="007D7B32">
        <w:tab/>
        <w:t>konstatuje, že Účetní dvůr posoudil dopad nevyprovokované a neodůvodněné útočné války Ruska vůči Ukrajině na účetní závěrku Unie; vítá závěr Účetního dvora, že tento dopad byl řádně zaúčtován a zveřejněn v konsolidované účetní závěrce;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2</w:t>
      </w:r>
      <w:r w:rsidR="00532512" w:rsidRPr="007D7B32">
        <w:t>6</w:t>
      </w:r>
      <w:r w:rsidRPr="007D7B32">
        <w:t>.</w:t>
      </w:r>
      <w:r w:rsidRPr="007D7B32">
        <w:tab/>
        <w:t>vítá závěr Účetního dvora, že aktiva, pasiva, příjmy a náklady, včetně těch souvisejících s Nástrojem na podporu oživení „</w:t>
      </w:r>
      <w:proofErr w:type="spellStart"/>
      <w:r w:rsidRPr="007D7B32">
        <w:t>NextGenerationEU</w:t>
      </w:r>
      <w:proofErr w:type="spellEnd"/>
      <w:r w:rsidRPr="007D7B32">
        <w:t>“ (dále jen „NGEU“), jsou v konsolidované účetní závěrce prezentovány věrně;</w:t>
      </w:r>
    </w:p>
    <w:p w:rsidR="00FA2D6B" w:rsidRPr="007D7B32" w:rsidRDefault="00FA2D6B" w:rsidP="005E7441">
      <w:pPr>
        <w:spacing w:after="240"/>
        <w:ind w:left="567" w:hanging="567"/>
        <w:rPr>
          <w:i/>
          <w:szCs w:val="24"/>
        </w:rPr>
      </w:pPr>
      <w:r w:rsidRPr="007D7B32">
        <w:rPr>
          <w:i/>
        </w:rPr>
        <w:t>Legalita a správnost příjmů a výdajů Unie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532512" w:rsidRPr="007D7B32">
        <w:t>7</w:t>
      </w:r>
      <w:r w:rsidRPr="007D7B32">
        <w:t>.</w:t>
      </w:r>
      <w:r w:rsidRPr="007D7B32">
        <w:tab/>
        <w:t>vyjadřuje politování nad negativním stanoviskem k legalitě a správnosti výdajů rozpočtu Unie, které Účetní dvůr vydal již čtvrtý rok v řadě; zdůrazňuje význam posílení kontrolních mechanismů Komise a členských států, které Účetní dvůr považuje za nespolehlivé, což zpochybňuje spolehlivost výroční zprávy o řízení a výkonnosti; bere na vědomí závěr Účetního dvora, že příjmy nevykazují věcné chyby a že systémy řízení, které zkoumal, byly obecně účinné;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532512" w:rsidRPr="007D7B32">
        <w:t>8</w:t>
      </w:r>
      <w:r w:rsidRPr="007D7B32">
        <w:t>.</w:t>
      </w:r>
      <w:r w:rsidRPr="007D7B32">
        <w:tab/>
        <w:t xml:space="preserve">je znepokojen tím, že Účetním dvorem odhadovaná míra chyb u výdajů za rok 2022 činila 4,2 %, což je více než dvojnásobek prahu významnosti; konstatuje, že se jedná o </w:t>
      </w:r>
      <w:r w:rsidRPr="007D7B32">
        <w:lastRenderedPageBreak/>
        <w:t>další zhoršení ve srovnání s předchozími dvěma roky (3,0 % v roce 2021 a 2,7 % v roce 2020); se znepokojením konstatuje, že Účetní dvůr zjistil významné problémy u úhrad nákladů, které představují 66 % základního kontrolovaného souboru Účetního dvora a u kterých se míra chyb odhaduje na 6 %; konstatuje, že dopady chyb zjištěných Účetním dvorem jsou ve schválených výdajích za tento rok považovány za jednak významné a jednak že mají rozsáhlý dopad;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532512" w:rsidRPr="007D7B32">
        <w:t>9</w:t>
      </w:r>
      <w:r w:rsidRPr="007D7B32">
        <w:t>.</w:t>
      </w:r>
      <w:r w:rsidRPr="007D7B32">
        <w:tab/>
        <w:t>konstatuje, že vlastní odhad Komise, pokud jde o riziko při platbě, je 1,9 % pro rok 2022 (podobně jako v letech 2020 a 2021), což je pod prahem významnosti; konstatuje, že Komise odhaduje riziko při uzavření, po provedení následných kontrol a oprav, na 0,9 %; bere na vědomí rozdíl mezi celkovou mírou chybovosti Účetního dvora a rizikem Komise v době platby, který je patrný u celkových výdajů z rozpočtu Unie v roce 2022, i když ne ve všech výdajových oblastech, konstatuje, že je to stejně jako v minulosti zjevné zejména v okruhu 1 a 2; a připomíná skutečnost, že odhady Komise, pokud jde o riziko při platbách, jsou setrvale v nižším rozpětí nebo pod statistickými odhady Účetního dvora; vítá odhad Účetního dvora, pokud jde o míru chyb, jako důležitý ukazatel stávajících rizik; požaduje nalezení jednotného chápání, aby se zabránilo takovému rozdílu mezi celkovou mírou chyb Účetního dvora a rizikem Komise při platbě;</w:t>
      </w:r>
    </w:p>
    <w:p w:rsidR="00FA2D6B" w:rsidRPr="007D7B32" w:rsidRDefault="00532512" w:rsidP="005E7441">
      <w:pPr>
        <w:pStyle w:val="NormalHanging12a"/>
      </w:pPr>
      <w:r w:rsidRPr="007D7B32">
        <w:t>30</w:t>
      </w:r>
      <w:r w:rsidR="00FA2D6B" w:rsidRPr="007D7B32">
        <w:t>.</w:t>
      </w:r>
      <w:r w:rsidR="00FA2D6B" w:rsidRPr="007D7B32">
        <w:tab/>
        <w:t>opakuje své obavy ohledně připomínky Účetního dvora, že posouzení rizik provedené Komisí úroveň rizika pravděpodobně podhodnocuje v několika oblastech; je rovněž znepokojen opakujícími se nedostatky, které Účetní dvůr zjistil v souvislosti s kontrolami členských států ex post v okruhu 2, které omezují spolehnutí se na jejich práci;</w:t>
      </w:r>
    </w:p>
    <w:p w:rsidR="00FA2D6B" w:rsidRPr="007D7B32" w:rsidRDefault="00532512" w:rsidP="005E7441">
      <w:pPr>
        <w:pStyle w:val="NormalHanging12a"/>
      </w:pPr>
      <w:r w:rsidRPr="007D7B32">
        <w:t>31</w:t>
      </w:r>
      <w:r w:rsidR="00FA2D6B" w:rsidRPr="007D7B32">
        <w:t>.</w:t>
      </w:r>
      <w:r w:rsidR="00FA2D6B" w:rsidRPr="007D7B32">
        <w:tab/>
        <w:t>zdůrazňuje, že obecný odhad míry chyb v rozpočtu Unie, jak je uveden v prohlášení o věrohodnosti Účetního dvora, představuje odhad prostředků, které neměly být vyplaceny, protože nebyly využity v souladu s platnými pravidly a předpisy, a nikoliv ukazatel podvodu či korupce; vyjadřuje politování nad tím, že obecný odhad míry chyb v rozpočtu Unie by mohl každý rok vést k tomu, že občané získají špatný dojem;</w:t>
      </w:r>
    </w:p>
    <w:p w:rsidR="00FA2D6B" w:rsidRPr="007D7B32" w:rsidRDefault="00FA2D6B" w:rsidP="005E7441">
      <w:pPr>
        <w:pStyle w:val="NormalHanging12a"/>
      </w:pPr>
      <w:r w:rsidRPr="007D7B32">
        <w:t>3</w:t>
      </w:r>
      <w:r w:rsidR="00532512" w:rsidRPr="007D7B32">
        <w:t>2</w:t>
      </w:r>
      <w:r w:rsidRPr="007D7B32">
        <w:t>.</w:t>
      </w:r>
      <w:r w:rsidRPr="007D7B32">
        <w:tab/>
        <w:t xml:space="preserve">připomíná, že koncepce auditu a metodika Účetního dvora jsou založeny na mezinárodních auditorských standardech, které vyžadují testování náhodného reprezentativního vzorku transakcí, jehož výsledkem je odhad míry chyb; připomíná, že Účetní dvůr rozlišuje mezi výdaji s nízkým rizikem, tj. nárokovými platbami podle zjednodušených pravidel, a výdaji s vysokým rizikem, tj. úhradovými platbami, na které se vztahují složitá pravidla; konstatuje, že pro výdaje za rok 2022 si Účetní dvůr vybral 66 % kontrolovaného souboru z výdajů s vysokým rizikem (63,2 % v roce 2021), přičemž tato část dosahuje výše 110,1 miliardy EUR, a 34 % z výdajů s nízkým rizikem, a to ve výši 56,7 miliardy EUR; konstatuje, že míra chyb odhadovaná Účetním dvorem pro rok 2022 (4,2 %) je dána zejména oblastmi „Soudržnost, odolnost a hodnoty“ (2,5 % celkové míry chyb), „Přírodní zdroje a životní prostředí“ (0,8 %), „Sousedství a svět“ (0,4 % a „Jednotný trh, inovace a digitální agenda“ (0,3 %), které Účetní dvůr z větší části považuje za oblasti vysoce rizikových výdajů; konstatuje, že Komise ve své výroční zprávě o řízení a výkonnosti rozděluje výdaje na výdaje s vyšším rizikem, středním rizikem a nižším rizikem; konstatuje, že Účetní dvůr používá kategorie rizik z velké části k určení velikosti vzorku, aby v konečném důsledku podpořil svůj výrok o legalitě a správnosti výdajů, zatímco použití kategorií rizik ze strany Komise slouží k určení oblastí, v nichž je k nápravě chyb zapotřebí další manažerské pozornosti; zdůrazňuje, že používání odlišných kategorií rizik ze strany </w:t>
      </w:r>
      <w:r w:rsidRPr="007D7B32">
        <w:lastRenderedPageBreak/>
        <w:t>Účetního dvora a Komise brání tomu, aby mohl orgán příslušný k udělení absolutoria provést srovnávací analýzu chyb v administrativních formulářích a významných administrativních chyb;</w:t>
      </w:r>
    </w:p>
    <w:p w:rsidR="00FA2D6B" w:rsidRPr="007D7B32" w:rsidRDefault="00FA2D6B" w:rsidP="005E7441">
      <w:pPr>
        <w:pStyle w:val="NormalHanging12a"/>
      </w:pPr>
      <w:r w:rsidRPr="007D7B32">
        <w:t>3</w:t>
      </w:r>
      <w:r w:rsidR="00532512" w:rsidRPr="007D7B32">
        <w:t>3</w:t>
      </w:r>
      <w:r w:rsidRPr="007D7B32">
        <w:t>.</w:t>
      </w:r>
      <w:r w:rsidRPr="007D7B32">
        <w:tab/>
        <w:t>připomíná, že zpráva Účetního dvora o auditu se zaměřuje na rok, který je předmětem přezkumu; má však za to, že Účetní dvůr ve své výroční zprávě zohledňuje zjištění z několika let a v rámci svých zvláštních zpráv prohlubuje zaměření na konkrétní témata; konstatuje, že na rozdíl od této metody bere Komise v úvahu celý životní cyklus programů a fondů Unie pokrývající několik let, jakož i opravy a zpětné získávání prostředků po skončení přezkoumávaného roku; domnívá se však, že tyto odlišné přístupy zcela nevysvětlují velký rozdíl v odhadu míry chyb;</w:t>
      </w:r>
    </w:p>
    <w:p w:rsidR="00FA2D6B" w:rsidRPr="007D7B32" w:rsidRDefault="00FA2D6B" w:rsidP="005E7441">
      <w:pPr>
        <w:pStyle w:val="NormalHanging12a"/>
      </w:pPr>
      <w:r w:rsidRPr="007D7B32">
        <w:t>3</w:t>
      </w:r>
      <w:r w:rsidR="00532512" w:rsidRPr="007D7B32">
        <w:t>4</w:t>
      </w:r>
      <w:r w:rsidRPr="007D7B32">
        <w:t>.</w:t>
      </w:r>
      <w:r w:rsidRPr="007D7B32">
        <w:tab/>
        <w:t>připomíná, že výdajové programy Unie jsou ze své podstaty víceleté a s nimi související kontrolní systémy a cykly řízení proto také pokrývají více let; připomíná, že odhad rizika při uzavření, který provádí Komise, má víceletou perspektivu, která zohledňuje opravy a zpětně získané částky po dobu několika let; konstatuje, že přístup Komise je založen na testech definovaných ve strategiích kontrol, jejichž cílem je ověřit dodržování pravidel Unie, aby se nakonec zjistilo, zda je třeba získat zpět finanční prostředky od příjemců; konstatuje, že rozsah rizika v době platby stanovený v rámci tohoto přístupu se z větší části podobá míře chyb odhadované Účetním dvorem a Komise jej považuje za nejlepší odhad pro vyjádření rizika pro rozpočet Unie;</w:t>
      </w:r>
    </w:p>
    <w:p w:rsidR="00FA2D6B" w:rsidRPr="007D7B32" w:rsidRDefault="00FA2D6B" w:rsidP="005E7441">
      <w:pPr>
        <w:pStyle w:val="NormalHanging12a"/>
      </w:pPr>
      <w:r w:rsidRPr="007D7B32">
        <w:t>3</w:t>
      </w:r>
      <w:r w:rsidR="00532512" w:rsidRPr="007D7B32">
        <w:t>5</w:t>
      </w:r>
      <w:r w:rsidRPr="007D7B32">
        <w:t>.</w:t>
      </w:r>
      <w:r w:rsidRPr="007D7B32">
        <w:tab/>
        <w:t xml:space="preserve">má za to, že oba přístupy slouží k různým účelům a mají své výhody, nevýhody, silné i slabé stránky a měly by se vzájemně doplňovat, přičemž je třeba chápat rozdíly a zvláštnosti, například různé koncepce chyb a kategorizace rizik používané jednotlivými orgány; považuje míru chyb podle Účetního dvora za důležitý ukazatel dodržování legality a správnosti plnění rozpočtu Unie; je znepokojen velkými rozdíly v mírách poskytovaných Účetním dvorem a Komisí ve vztahu k nedostatkům zjištěným na straně Komise; vítá v tomto ohledu zjištění, připomínky a doporučení Účetního dvora jako velmi užitečný příspěvek k dalšímu zlepšení řízení a plnění rozpočtu v rámci různých způsobů řízení a všemi příslušnými zúčastněnými stranami; vyjadřuje politování nad tím, že analýza samotného rizika opomíjí skutečnou výkonnost, kvalitu, udržitelnost a evropskou přidanou hodnotu realizovaných projektů; </w:t>
      </w:r>
      <w:r w:rsidR="00532512" w:rsidRPr="007D7B32">
        <w:t xml:space="preserve">znovu vyjadřuje podporu přístupu a metodice auditu Účetního dvora, které by měly posoudit dopad nápravných opatření na celkovou míru chyb, a </w:t>
      </w:r>
      <w:r w:rsidRPr="007D7B32">
        <w:t>vyzývá Komisi, aby spolupracovala s Účetním dvorem s cílem zvýšit harmonizaci a poskytovat tak srovnatelnější údaje;</w:t>
      </w:r>
    </w:p>
    <w:p w:rsidR="00FA2D6B" w:rsidRPr="007D7B32" w:rsidRDefault="00FA2D6B" w:rsidP="005E7441">
      <w:pPr>
        <w:pStyle w:val="NormalHanging12a"/>
      </w:pPr>
      <w:r w:rsidRPr="007D7B32">
        <w:t>3</w:t>
      </w:r>
      <w:r w:rsidR="00532512" w:rsidRPr="007D7B32">
        <w:t>6</w:t>
      </w:r>
      <w:r w:rsidRPr="007D7B32">
        <w:t>.</w:t>
      </w:r>
      <w:r w:rsidRPr="007D7B32">
        <w:tab/>
        <w:t xml:space="preserve">konstatuje, že v několika otázkách se zjištění Účetního dvora a Komise shodují, zejména pokud jde o hlavní zdroje nesrovnalostí v oblasti „Soudržnost“ a vyšší rizika pro tržní opatření a rozvoj venkova v oblasti „Přírodní zdroje a životní prostředí“; konstatuje, že konkrétně v oblasti „Soudržnost“ některé případy chyb ve způsobilosti zjištěné a vyčíslené Účetním dvorem nejsou Komisí nutně považovány za nezpůsobilé; Komise nenachází právní základ pro kvalifikaci chyby jako nesrovnalosti, kterou je třeba opravit v souladu s definicí stanovenou v čl. 2 odst. 36 nařízení (EU) </w:t>
      </w:r>
      <w:r w:rsidR="00B90D3B">
        <w:t>2021/</w:t>
      </w:r>
      <w:r w:rsidRPr="007D7B32">
        <w:t>1060 (dále jen „nařízení o společných ustanoveních“)</w:t>
      </w:r>
      <w:r w:rsidRPr="007D7B32">
        <w:rPr>
          <w:vertAlign w:val="superscript"/>
        </w:rPr>
        <w:footnoteReference w:id="67"/>
      </w:r>
      <w:r w:rsidRPr="007D7B32">
        <w:t>, a proto Komise nemůže provádět postupy finančních oprav a tyto chyby by nevstupovaly do odhadu rizika při platbě, který provedla Komise;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3</w:t>
      </w:r>
      <w:r w:rsidR="00532512" w:rsidRPr="007D7B32">
        <w:t>7</w:t>
      </w:r>
      <w:r w:rsidRPr="007D7B32">
        <w:t>.</w:t>
      </w:r>
      <w:r w:rsidRPr="007D7B32">
        <w:tab/>
        <w:t xml:space="preserve">vítá, že Komise zlepšila své podávání zpráv o preventivních a nápravných opatřeních na </w:t>
      </w:r>
      <w:r w:rsidRPr="007D7B32">
        <w:lastRenderedPageBreak/>
        <w:t>ochranu rozpočtu Unie před nelegálními a neoprávněnými výdaji; konstatuje, že Komise vyjasnila, že celková částka vykázaná ve výroční zprávě o řízení a výkonnosti (AMPR) jako finanční opravy a zpětně získané částky (4,95 miliardy EUR) zahrnuje preventivní a nápravná opatření přijatá Komisí a členskými státy; konstatuje, že Komise vykázala čisté opravy ve výši 734 milionů EUR a částky neoprávněných plateb zpětně získané od konečných příjemců ve výši 195 milionů EUR;</w:t>
      </w:r>
    </w:p>
    <w:p w:rsidR="00FA2D6B" w:rsidRPr="007D7B32" w:rsidRDefault="00FA2D6B" w:rsidP="005E7441">
      <w:pPr>
        <w:pStyle w:val="NormalHanging12a"/>
      </w:pPr>
      <w:r w:rsidRPr="007D7B32">
        <w:t>3</w:t>
      </w:r>
      <w:r w:rsidR="00532512" w:rsidRPr="007D7B32">
        <w:t>8</w:t>
      </w:r>
      <w:r w:rsidRPr="007D7B32">
        <w:t>.</w:t>
      </w:r>
      <w:r w:rsidRPr="007D7B32">
        <w:tab/>
        <w:t>konstatuje, že Účetní dvůr při výkonu svého mandátu nevyšetřuje podvody, ale bere v úvahu riziko podvodu; konstatuje, že Účetní dvůr postupuje úřadu EPPO podezření ze spáchání trestného činu spadající do jeho pravomocí a úřadu OLAF podezření z podvodu, korupce či jiné nezákonné činnosti s dopadem na finanční zájmy Unie zjištěné při provádění auditů; konstatuje, že v roce 2022 Účetní dvůr ohlásil úřadu OLAF 14 případů podezření z podvodu a souběžně také šest z těchto případů úřadu EPPO, což doposud vedlo k šesti vyšetřováním úřadem OLAF a ke třem vyšetřováním úřadem EPPO;</w:t>
      </w:r>
    </w:p>
    <w:p w:rsidR="00FA2D6B" w:rsidRPr="007D7B32" w:rsidRDefault="00FA2D6B" w:rsidP="005E7441">
      <w:pPr>
        <w:spacing w:after="240"/>
        <w:ind w:left="567" w:hanging="567"/>
        <w:rPr>
          <w:i/>
          <w:szCs w:val="24"/>
        </w:rPr>
      </w:pPr>
      <w:r w:rsidRPr="007D7B32">
        <w:rPr>
          <w:i/>
        </w:rPr>
        <w:t xml:space="preserve">Rozpočtové a finanční řízení </w:t>
      </w:r>
    </w:p>
    <w:p w:rsidR="00FA2D6B" w:rsidRPr="007D7B32" w:rsidRDefault="00FA2D6B" w:rsidP="005E7441">
      <w:pPr>
        <w:pStyle w:val="NormalHanging12a"/>
      </w:pPr>
      <w:r w:rsidRPr="007D7B32">
        <w:t>3</w:t>
      </w:r>
      <w:r w:rsidR="00532512" w:rsidRPr="007D7B32">
        <w:t>9</w:t>
      </w:r>
      <w:r w:rsidRPr="007D7B32">
        <w:t>.</w:t>
      </w:r>
      <w:r w:rsidRPr="007D7B32">
        <w:tab/>
        <w:t>zdůrazňuje, že v roce 2022 bylo využito 98,5 % prostředků na závazky (179,4 miliardy EUR ze 182,2 miliardy EUR); konstatuje, že dostupné prostředky byly vyšší než strop VFR ve výši 179,9 miliardy EUR, a to z důvodu použití zvláštních nástrojů, což bylo odůvodněno nepředvídanými událostmi, přičemž byla využita veškerá flexibilita dostupná v rámci VFR; konstatuje, že bylo využito 98,1 % prostředků na platby (167,3 miliardy EUR ze 170,6 miliardy EUR); chválí Komisi a rozpočtový orgán za jejich rozhodnou a flexibilní rozpočtovou reakci na výzvy, jimž čelily v roce 2022;</w:t>
      </w:r>
    </w:p>
    <w:p w:rsidR="00FA2D6B" w:rsidRPr="007D7B32" w:rsidRDefault="00532512" w:rsidP="005E7441">
      <w:pPr>
        <w:pStyle w:val="NormalHanging12a"/>
      </w:pPr>
      <w:r w:rsidRPr="007D7B32">
        <w:t>40</w:t>
      </w:r>
      <w:r w:rsidR="00FA2D6B" w:rsidRPr="007D7B32">
        <w:t>.</w:t>
      </w:r>
      <w:r w:rsidR="00FA2D6B" w:rsidRPr="007D7B32">
        <w:tab/>
        <w:t>se znepokojením konstatuje, že celkové zbývající závazky, které představují budoucí dluhy, pokud nebudou zrušeny, dosáhly v roce 2022 historického maxima 450 miliard EUR, což bylo způsobeno jednak navýšením závazků souvisejících s NGEU (v roce 2022 byly přijaty všechny národní plány pro oživení a odolnost) a jednak pomalým začátkem provádění programového období 2021–2027; konstatuje, že Komise očekává, že se tato částka za rok 2023 ještě zvýší směrem k 460 miliardám EUR, a předpokládá její pokles mezi lety 2024 až 2027, kdy by měly být vyplaceny částky na závazky pro NGEU i pro programové období 2021–2027; konstatuje, že nebudou využity úvěry ve výši přibližně 90 miliard EUR, a připomíná, že Komise a členské státy v současné době zaostávají za harmonogramem plateb stanoveným v prováděcím rozhodnutí o schválení jejich národních plánů pro oživení a odolnost; konstatuje, že závazky v rámci VFR stále narůstají a budou v nadcházejících letech vzhledem k pomalému začátku programového období nadále růst a platby budou následovat ještě později;</w:t>
      </w:r>
    </w:p>
    <w:p w:rsidR="00FA2D6B" w:rsidRPr="007D7B32" w:rsidRDefault="00532512" w:rsidP="005E7441">
      <w:pPr>
        <w:pStyle w:val="NormalHanging12a"/>
      </w:pPr>
      <w:r w:rsidRPr="007D7B32">
        <w:t>41</w:t>
      </w:r>
      <w:r w:rsidR="00FA2D6B" w:rsidRPr="007D7B32">
        <w:t>.</w:t>
      </w:r>
      <w:r w:rsidR="00FA2D6B" w:rsidRPr="007D7B32">
        <w:tab/>
        <w:t xml:space="preserve">zdůrazňuje, že doba, která je k dispozici pro provádění fondů ve sdíleném řízení v rámci VFR na období 2021–2027, je kratší než v předchozích VFR kvůli pravidlu n+2 pro poslední rok období; je si vědom problémů spojených s řízením a kontrolou kombinovaných fondů VFR a NGEU kvůli jejich objemu a různým mechanismům řízení, programování, provádění a kontroly; se znepokojením si všímá významných rozdílů v míře čerpání jednotlivých členských států; vyjadřuje politování nad tím, že Komise ve spolupráci s členskými státy nepřijala dostatečné iniciativy ke zvýšení absorpční kapacity programů, a tím k prudkému a trvalému snížení zbývajících závazků; žádá Komisi, aby přijala veškerá nezbytná opatření a zajistila administrativní </w:t>
      </w:r>
      <w:r w:rsidR="00FA2D6B" w:rsidRPr="007D7B32">
        <w:lastRenderedPageBreak/>
        <w:t>podporu členským státům, zejména s cílem zlepšit jejich absorpční kapacitu;</w:t>
      </w:r>
    </w:p>
    <w:p w:rsidR="00FA2D6B" w:rsidRPr="007D7B32" w:rsidRDefault="00FA2D6B" w:rsidP="005E7441">
      <w:pPr>
        <w:pStyle w:val="NormalHanging12a"/>
      </w:pPr>
      <w:r w:rsidRPr="007D7B32">
        <w:t>4</w:t>
      </w:r>
      <w:r w:rsidR="00532512" w:rsidRPr="007D7B32">
        <w:t>2</w:t>
      </w:r>
      <w:r w:rsidRPr="007D7B32">
        <w:t>.</w:t>
      </w:r>
      <w:r w:rsidRPr="007D7B32">
        <w:tab/>
        <w:t>zdůrazňuje, že prognózy Komise týkající se snížení zbývajících závazků vycházejí z předpokladů, že členské státy účinně usilují o urychlení čerpání prostředků ze sdíleného řízení na období 2021–2027 a že automatické technické úpravy stropu plateb jsou dostatečné k pokrytí potřeb plateb; je znepokojen tím, že tyto dva předpoklady nemusí být splněny, což vytváří velmi nebezpečnou situaci pro rozpočet Unie;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4</w:t>
      </w:r>
      <w:r w:rsidR="00532512" w:rsidRPr="007D7B32">
        <w:t>3</w:t>
      </w:r>
      <w:r w:rsidRPr="007D7B32">
        <w:t>.</w:t>
      </w:r>
      <w:r w:rsidRPr="007D7B32">
        <w:tab/>
        <w:t>bere na vědomí upozornění Účetního dvora, že v případě fondů se sdíleným řízením na období 2021–2027 v rámci nařízení o společných ustanoveních se riziko zrušení přidělení prostředku na závazek výrazně zvýšilo v důsledku řady faktorů, konkrétně pomalého začátku z důvodu pozdního přijetí odvětvových nařízení, upřednostnění zbývajících evropských strukturálních a investičních fondů (ESI) a financování NGEU, skutečnosti, že tyto fondy mají o jeden rok kratší lhůtu pro platby ve srovnání s předchozím obdobím VFR, a překrývání s platbami NGEU do roku 2026; zdůrazňuje proto doporučení Účetního dvora z roku 2021, aby Komise zajistila dodatečnou poradenskou podporu pro vnitrostátní orgány, aby všechny subjekty odpovědné za řízení a kontrolu těchto fondů mohly zajistit řádné finanční řízení;</w:t>
      </w:r>
    </w:p>
    <w:p w:rsidR="00FA2D6B" w:rsidRPr="007D7B32" w:rsidRDefault="00FA2D6B" w:rsidP="005E7441">
      <w:pPr>
        <w:pStyle w:val="NormalHanging12a"/>
      </w:pPr>
      <w:r w:rsidRPr="007D7B32">
        <w:t>4</w:t>
      </w:r>
      <w:r w:rsidR="00532512" w:rsidRPr="007D7B32">
        <w:t>4</w:t>
      </w:r>
      <w:r w:rsidRPr="007D7B32">
        <w:t>.</w:t>
      </w:r>
      <w:r w:rsidRPr="007D7B32">
        <w:tab/>
        <w:t>vítá zásadní úlohu nevládních organizací při zastupování občanské společnosti a při prosazování a obraně hodnot zakotvených ve Smlouvách a v Listině základních práv Evropské unie (dále jen „Listina“) při provádění programů a projektů financovaných z rozpočtu Unie při plném dodržování finančních pravidel Unie a ochrany jejích finančních zájmů; požaduje, aby bylo zajištěno, aby všichni příjemci finančních prostředků Unie, včetně nevládních organizací, kteří zneužili nebo neoprávněně získali finanční prostředky Unie nebo se zapojili do činností odporujících hodnotám Unie, včetně podněcování k terorismu a nenávistným verbálním projevům, podpory nebo oslavování násilí, politického a náboženského extremismu, byli zapsáni do systému včasného odhalování rizik a vylučování hospodářských subjektů a byl jim zablokován přístup do orgánů Unie a k programům financování; domnívá se, že je třeba předcházet podvodům, střetům zájmů, dvojímu financování, korupci a praní peněz nebo zpronevěře a řešit je ve všech situacích a v případě všech příjemců bez ohledu na jejich povahu a právní postavení (jak je uvedeno v usnesení Evropského parlamentu ze dne 17. ledna 2024 o transparentnosti a odpovědnosti nevládních organizací financovaných z rozpočtu EU); vyzývá Komisi, aby provedla doporučení obsažená v tomto usnesení;</w:t>
      </w:r>
    </w:p>
    <w:p w:rsidR="00FA2D6B" w:rsidRPr="007D7B32" w:rsidRDefault="00FA2D6B" w:rsidP="005E7441">
      <w:pPr>
        <w:pStyle w:val="NormalHanging12a"/>
      </w:pPr>
      <w:r w:rsidRPr="007D7B32">
        <w:t>4</w:t>
      </w:r>
      <w:r w:rsidR="00532512" w:rsidRPr="007D7B32">
        <w:t>5</w:t>
      </w:r>
      <w:r w:rsidRPr="007D7B32">
        <w:t>.</w:t>
      </w:r>
      <w:r w:rsidRPr="007D7B32">
        <w:tab/>
        <w:t>se znepokojením konstatuje, že dluh Unie se zvýšil z 236,7 miliardy EUR v roce 2021 na 344,3 miliardy EUR v roce 2022; konstatuje, že z celého dluhu představuje pro rozpočet Unie úvěrové riziko pouze podíl nevratné podpory NGEU (185,6 miliardy EUR, 53,9 %); konstatuje, že v důsledku rostoucích tržních úrokových sazeb vzrostly náklady na nové financování NGEU z 0,14 % ve druhé polovině roku 2021 na 1,24 % v první polovině roku 2022 a dále vzrostly na 2,60 % ve druhé polovině roku 2022, což pro NGEU v roce 2022 znamenalo úrokové platby ve výši 0,5 miliardy EUR, přičemž pro rok 2023 se předpokládal značný nárůst; je znepokojen silným nárůstem úrokových sazeb od roku 2020, což vede k vyšší finanční zátěži pro roční rozpočet; připomíná, že splácení půjček NGEU by navíc mělo začít v roce 2028 a musí být dokončeno do roku 2058, což bude vyžadovat dostatečné finanční zdroje; konstatuje, že maximální využití rozpočtu Unie v roce 2022 s využitím veškeré dostupné flexibility neumožňuje splácení dluhů, pokud nebudou provedeny škrty v jiných oblastech výdajů Unie; vyzývá členské státy, aby vypracovaly a schválily splátkový plán z nových vlastních zdrojů, aniž by byl zasažen nový VFR;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lastRenderedPageBreak/>
        <w:t>4</w:t>
      </w:r>
      <w:r w:rsidR="00532512" w:rsidRPr="007D7B32">
        <w:t>6</w:t>
      </w:r>
      <w:r w:rsidRPr="007D7B32">
        <w:t>.</w:t>
      </w:r>
      <w:r w:rsidRPr="007D7B32">
        <w:tab/>
        <w:t xml:space="preserve">konstatuje, že od prosince 2022 má Komise novou strategii řízení dluhu, konkrétně „diverzifikovanou strategii financování“, která se skládá z technik a finančních nástrojů používaných veřejnoprávními emitenty; připomíná zvláštní zprávu Účetního dvora 16/2023 o správě dluhu nástroje EU na podporu oživení (NGEU), která dospěla k závěru, že Komise rychle zavedla systém řízení dluhu, který umožnil včasné zahájení výpůjčních operací a který splňoval všechny regulační požadavky týkající se dluhového portfolia a řízení rizik; </w:t>
      </w:r>
    </w:p>
    <w:p w:rsidR="00FA2D6B" w:rsidRPr="007D7B32" w:rsidRDefault="00FA2D6B" w:rsidP="005E7441">
      <w:pPr>
        <w:pStyle w:val="NormalHanging12a"/>
      </w:pPr>
      <w:r w:rsidRPr="007D7B32">
        <w:t>4</w:t>
      </w:r>
      <w:r w:rsidR="00532512" w:rsidRPr="007D7B32">
        <w:t>7</w:t>
      </w:r>
      <w:r w:rsidRPr="007D7B32">
        <w:t>.</w:t>
      </w:r>
      <w:r w:rsidRPr="007D7B32">
        <w:tab/>
        <w:t>podporuje doporučení Účetního dvora, aby Komise jednala proaktivněji s cílem zajistit, aby dostupné nástroje ke zmírnění expozičních rizik měly dostatečnou kapacitu;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4</w:t>
      </w:r>
      <w:r w:rsidR="00532512" w:rsidRPr="007D7B32">
        <w:t>8</w:t>
      </w:r>
      <w:r w:rsidRPr="007D7B32">
        <w:t>.</w:t>
      </w:r>
      <w:r w:rsidRPr="007D7B32">
        <w:tab/>
        <w:t>konstatuje, že celková expozice rozpočtu Unie kvůli zárukám a podmíněným závazkům za půjčky vzrostla na 248,3 miliardy EUR, z čehož 57,8 miliardy EUR na další ochranná opatření bylo poskytnuto ze společného rezervního fondu; upozorňuje, že vyšší úrokové sazby vyžadují v budoucnu také vyšší míru tvorby rezerv;</w:t>
      </w:r>
    </w:p>
    <w:p w:rsidR="00FA2D6B" w:rsidRPr="007D7B32" w:rsidRDefault="00FA2D6B" w:rsidP="005E7441">
      <w:pPr>
        <w:pStyle w:val="NormalHanging12a"/>
      </w:pPr>
      <w:r w:rsidRPr="007D7B32">
        <w:t>4</w:t>
      </w:r>
      <w:r w:rsidR="00532512" w:rsidRPr="007D7B32">
        <w:t>9</w:t>
      </w:r>
      <w:r w:rsidRPr="007D7B32">
        <w:t>.</w:t>
      </w:r>
      <w:r w:rsidRPr="007D7B32">
        <w:tab/>
        <w:t>konstatuje, že v roce 2022 Komise změnila zveřejňování podmíněných závazků ve své konsolidované účetní závěrce, takže meziroční srovnání je mimořádně složité a dlouhé; vyzývá Komisi, aby jasněji informovala o své roční účetní závěrce s cílem usnadnit závěry a analýzu i s ohledem na postup udělování absolutoria;</w:t>
      </w:r>
    </w:p>
    <w:p w:rsidR="00FA2D6B" w:rsidRPr="007D7B32" w:rsidRDefault="00532512" w:rsidP="005E7441">
      <w:pPr>
        <w:pStyle w:val="NormalHanging12a"/>
      </w:pPr>
      <w:r w:rsidRPr="007D7B32">
        <w:t>50</w:t>
      </w:r>
      <w:r w:rsidR="00FA2D6B" w:rsidRPr="007D7B32">
        <w:t>.</w:t>
      </w:r>
      <w:r w:rsidR="00FA2D6B" w:rsidRPr="007D7B32">
        <w:tab/>
        <w:t xml:space="preserve">konstatuje, že expozice rozpočtu Unie vůči Ukrajině se se souvisejícími ustanoveními v roce 2022 zvýšila na 15,6 miliardy EUR; se znepokojením konstatuje, že na podporu Ukrajiny v rámci nástroje </w:t>
      </w:r>
      <w:proofErr w:type="spellStart"/>
      <w:r w:rsidR="00FA2D6B" w:rsidRPr="007D7B32">
        <w:t>makrofinanční</w:t>
      </w:r>
      <w:proofErr w:type="spellEnd"/>
      <w:r w:rsidR="00FA2D6B" w:rsidRPr="007D7B32">
        <w:t xml:space="preserve"> pomoci+ v hodnotě 18 miliard EUR, který byl dohodnut na konci roku 2022 a vyplácen v průběhu roku 2023, nebyly v rámci společného rezervního fondu požadovány žádné rezervy na pokrytí rizik selhání, což, jak je uvedeno ve stanovisku 07/2022, pro rozpočet Unie představuje vážné riziko; upozorňuje, že případné ztráty související s nástrojem </w:t>
      </w:r>
      <w:proofErr w:type="spellStart"/>
      <w:r w:rsidR="00FA2D6B" w:rsidRPr="007D7B32">
        <w:t>makrofinanční</w:t>
      </w:r>
      <w:proofErr w:type="spellEnd"/>
      <w:r w:rsidR="00FA2D6B" w:rsidRPr="007D7B32">
        <w:t xml:space="preserve"> pomoci+ budou muset být pokryty z budoucích rozpočtů Unie nebo z rozpočtového „manévrovacího prostoru“ mezi stropem VFR a stropem vlastních zdrojů; vyzývá Komisi, aby poskytla dodatečná opatření na ochranu rozpočtu Unie před budoucími ztrátami souvisejícími s </w:t>
      </w:r>
      <w:proofErr w:type="spellStart"/>
      <w:r w:rsidR="00FA2D6B" w:rsidRPr="007D7B32">
        <w:t>makrofinanční</w:t>
      </w:r>
      <w:proofErr w:type="spellEnd"/>
      <w:r w:rsidR="00FA2D6B" w:rsidRPr="007D7B32">
        <w:t xml:space="preserve"> pomocí+;</w:t>
      </w:r>
    </w:p>
    <w:p w:rsidR="00FA2D6B" w:rsidRPr="007D7B32" w:rsidRDefault="00532512" w:rsidP="005E7441">
      <w:pPr>
        <w:pStyle w:val="NormalHanging12a"/>
      </w:pPr>
      <w:r w:rsidRPr="007D7B32">
        <w:t>51</w:t>
      </w:r>
      <w:r w:rsidR="00FA2D6B" w:rsidRPr="007D7B32">
        <w:t>.</w:t>
      </w:r>
      <w:r w:rsidR="00FA2D6B" w:rsidRPr="007D7B32">
        <w:tab/>
        <w:t>konstatuje, že v průběhu roku 2022 se inflace spotřebitelských cen výrazně zvýšila, což ovlivnilo rozpočet Unie několika způsoby, a to snížením relativní velikosti rozpočtu Unie a snížením efektivity fondů Unie, pokud jde o dosažení cílů ve stejném rozsahu, v jakém se původně plánovalo; domnívá se, že vysoká inflace ovlivňuje podíl příjmů z různých zdrojů s čistým snížením podílu vlastních zdrojů odvozených z HND; důrazně podporuje doporučení Účetního dvora, aby Komise posoudila dopad rostoucí inflace na rozpočet Unie s cílem proaktivně uplatňovat zmírňující opatření;</w:t>
      </w:r>
    </w:p>
    <w:p w:rsidR="00FA2D6B" w:rsidRPr="007D7B32" w:rsidRDefault="00FA2D6B" w:rsidP="005E7441">
      <w:pPr>
        <w:pStyle w:val="NormalHanging12a"/>
      </w:pPr>
      <w:r w:rsidRPr="007D7B32">
        <w:t>5</w:t>
      </w:r>
      <w:r w:rsidR="00532512" w:rsidRPr="007D7B32">
        <w:t>2</w:t>
      </w:r>
      <w:r w:rsidRPr="007D7B32">
        <w:t>.</w:t>
      </w:r>
      <w:r w:rsidRPr="007D7B32">
        <w:tab/>
        <w:t xml:space="preserve">vítá online platformy pro transparentnost vytvořené a spravované Komisí, které poskytují údaje o provádění výdajových programů Unie a umožňují vyhledávat u příjemců finančních prostředků a projektů Unie, jako je systém finanční transparentnosti poskytující informace o financování Unie v rámci přímého a nepřímého řízení, srovnávací přehled Nástroje pro oživení a odolnost, platforma veřejně přístupných dat o soudržnosti a platforma </w:t>
      </w:r>
      <w:proofErr w:type="spellStart"/>
      <w:r w:rsidRPr="007D7B32">
        <w:t>Kohesio</w:t>
      </w:r>
      <w:proofErr w:type="spellEnd"/>
      <w:r w:rsidRPr="007D7B32">
        <w:t>;</w:t>
      </w:r>
    </w:p>
    <w:p w:rsidR="00FA2D6B" w:rsidRPr="007D7B32" w:rsidRDefault="00FA2D6B" w:rsidP="005E7441">
      <w:pPr>
        <w:spacing w:after="240"/>
        <w:ind w:left="567" w:hanging="567"/>
        <w:rPr>
          <w:szCs w:val="24"/>
        </w:rPr>
      </w:pPr>
      <w:r w:rsidRPr="007D7B32">
        <w:t>5</w:t>
      </w:r>
      <w:r w:rsidR="00532512" w:rsidRPr="007D7B32">
        <w:t>3</w:t>
      </w:r>
      <w:r w:rsidRPr="007D7B32">
        <w:t>.</w:t>
      </w:r>
      <w:r w:rsidRPr="007D7B32">
        <w:tab/>
        <w:t xml:space="preserve">bere na vědomí metodiku Komise pro sledování genderových aspektů výdajů od roku 2023; připomíná, že pouze u 2 % rozpočtu Unie bylo vyhodnoceno, že se jedná o rozpočet, jehož hlavním cílem je zlepšit rovnost žen a mužů; vyzývá Komisi, aby toto </w:t>
      </w:r>
      <w:r w:rsidRPr="007D7B32">
        <w:lastRenderedPageBreak/>
        <w:t>skóre zlepšila začleňováním hlediska rovnosti žen a mužů od počátku navrhování programu; opakuje, že k plnému pochopení většiny výdajů (73 %), které jsou v současné době hodnoceny jako výdaje s nulovým potenciálem přispět k rovnosti žen a mužů, je zapotřebí dalších informací; se znepokojením konstatuje, že zvláštní zpráva č. 10/2021 zveřejněná Účetním dvorem potvrdila, že rozpočtový cyklus Unie dosud dostatečně nezohledňuje rovnost žen a mužů, neboť hlavní prvky, jako je genderová analýza, genderové cíle a ukazatele a odpovědnost zohledňující rovnost žen a mužů prostřednictvím podávání zpráv, z velké části chybí;</w:t>
      </w:r>
    </w:p>
    <w:p w:rsidR="00FA2D6B" w:rsidRPr="007D7B32" w:rsidRDefault="00FA2D6B" w:rsidP="005E7441">
      <w:pPr>
        <w:pStyle w:val="NormalHanging12a"/>
        <w:rPr>
          <w:szCs w:val="24"/>
        </w:rPr>
      </w:pPr>
      <w:r w:rsidRPr="007D7B32">
        <w:t>5</w:t>
      </w:r>
      <w:r w:rsidR="00532512" w:rsidRPr="007D7B32">
        <w:t>4</w:t>
      </w:r>
      <w:r w:rsidRPr="007D7B32">
        <w:t>.</w:t>
      </w:r>
      <w:r w:rsidRPr="007D7B32">
        <w:tab/>
        <w:t xml:space="preserve">opakuje svou výzvu k vytvoření zvláštní rozpočtové položky pro rovnost žen a mužů, zejména v rámci programu </w:t>
      </w:r>
      <w:proofErr w:type="spellStart"/>
      <w:r w:rsidRPr="007D7B32">
        <w:t>Daphne</w:t>
      </w:r>
      <w:proofErr w:type="spellEnd"/>
      <w:r w:rsidRPr="007D7B32">
        <w:t xml:space="preserve">, a to s ohledem na kritickou situaci v oblasti </w:t>
      </w:r>
      <w:proofErr w:type="spellStart"/>
      <w:r w:rsidRPr="007D7B32">
        <w:t>genderově</w:t>
      </w:r>
      <w:proofErr w:type="spellEnd"/>
      <w:r w:rsidRPr="007D7B32">
        <w:t xml:space="preserve"> podmíněného násilí, jíž Unie čelí; zdůrazňuje, že je důležité posílit konkrétně zaměřenou iniciativu </w:t>
      </w:r>
      <w:proofErr w:type="spellStart"/>
      <w:r w:rsidRPr="007D7B32">
        <w:t>Daphne</w:t>
      </w:r>
      <w:proofErr w:type="spellEnd"/>
      <w:r w:rsidRPr="007D7B32">
        <w:t xml:space="preserve"> navýšením jejích zdrojů, zejména opatření, jejichž cílem je bojovat proti všem úrovním a všem formám </w:t>
      </w:r>
      <w:proofErr w:type="spellStart"/>
      <w:r w:rsidRPr="007D7B32">
        <w:t>genderově</w:t>
      </w:r>
      <w:proofErr w:type="spellEnd"/>
      <w:r w:rsidRPr="007D7B32">
        <w:t xml:space="preserve"> podmíněného násilí páchaného na ženách a dívkách a domácího násilí v souladu s čl. 7 odst. 6 nařízení (EU) 2021/692 a náležitě podporovat oběti; dále zdůrazňuje, že je důležité využívat evropské strukturální a investiční fondy, jako je Evropský sociální fond plus (ESF+), na podporu rovnosti žen a mužů, zaměstnanosti žen, posílení postavení žen, zapojení žen do podnikání, vedení a řízení, jakož i zařízení dlouhodobé péče; konstatuje, že studie, kterou si vyžádal výbor FEMM</w:t>
      </w:r>
      <w:r w:rsidRPr="007D7B32">
        <w:rPr>
          <w:vertAlign w:val="superscript"/>
        </w:rPr>
        <w:footnoteReference w:id="68"/>
      </w:r>
      <w:r w:rsidRPr="007D7B32">
        <w:t xml:space="preserve">, ukazuje, že muži jsou často upřednostňováni před ženami a </w:t>
      </w:r>
      <w:proofErr w:type="spellStart"/>
      <w:r w:rsidRPr="007D7B32">
        <w:t>marginalizovanými</w:t>
      </w:r>
      <w:proofErr w:type="spellEnd"/>
      <w:r w:rsidRPr="007D7B32">
        <w:t xml:space="preserve"> skupinami, pokud jde o koncepci dotací a podpory v rámci balíčku „Fit </w:t>
      </w:r>
      <w:proofErr w:type="spellStart"/>
      <w:r w:rsidRPr="007D7B32">
        <w:t>for</w:t>
      </w:r>
      <w:proofErr w:type="spellEnd"/>
      <w:r w:rsidRPr="007D7B32">
        <w:t xml:space="preserve"> 55“, jakož i v jiných politikách, programech a financování ekologické transformace;</w:t>
      </w:r>
    </w:p>
    <w:p w:rsidR="00FA2D6B" w:rsidRPr="007D7B32" w:rsidRDefault="00FA2D6B" w:rsidP="005E7441">
      <w:pPr>
        <w:spacing w:after="240"/>
        <w:ind w:left="567" w:hanging="567"/>
        <w:rPr>
          <w:i/>
          <w:szCs w:val="24"/>
        </w:rPr>
      </w:pPr>
      <w:r w:rsidRPr="007D7B32">
        <w:rPr>
          <w:i/>
        </w:rPr>
        <w:t>Doporučení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5</w:t>
      </w:r>
      <w:r w:rsidR="00532512" w:rsidRPr="007D7B32">
        <w:t>5</w:t>
      </w:r>
      <w:r w:rsidRPr="007D7B32">
        <w:t>.</w:t>
      </w:r>
      <w:r w:rsidRPr="007D7B32">
        <w:tab/>
        <w:t>důrazně podporuje doporučení Účetního dvora obsažená v jeho výroční zprávě o plnění rozpočtu za rozpočtový rok 2022 (dále jen „výroční zpráva za rozpočtový rok 2022“)</w:t>
      </w:r>
      <w:r w:rsidRPr="007D7B32">
        <w:rPr>
          <w:rStyle w:val="FootnoteReference"/>
          <w:szCs w:val="24"/>
        </w:rPr>
        <w:footnoteReference w:id="69"/>
      </w:r>
      <w:r w:rsidRPr="007D7B32">
        <w:t>, jakož i v souvisejících zvláštních zprávách; vyzývá Komisi, aby je neprodleně provedla a informovala orgán příslušný k udělení absolutoria o pokroku při provádění;</w:t>
      </w:r>
    </w:p>
    <w:p w:rsidR="00FA2D6B" w:rsidRPr="007D7B32" w:rsidRDefault="00FA2D6B" w:rsidP="005E7441">
      <w:pPr>
        <w:pStyle w:val="NormalHanging12a"/>
      </w:pPr>
      <w:r w:rsidRPr="007D7B32">
        <w:t>5</w:t>
      </w:r>
      <w:r w:rsidR="00532512" w:rsidRPr="007D7B32">
        <w:t>6</w:t>
      </w:r>
      <w:r w:rsidR="005E7441">
        <w:t>.</w:t>
      </w:r>
      <w:r w:rsidR="005E7441">
        <w:tab/>
      </w:r>
      <w:r w:rsidRPr="007D7B32">
        <w:t>vyzývá Účetní dvůr, aby:</w:t>
      </w:r>
    </w:p>
    <w:p w:rsidR="00FA2D6B" w:rsidRPr="007D7B32" w:rsidRDefault="00FA2D6B" w:rsidP="005E7441">
      <w:pPr>
        <w:pStyle w:val="NormalHanging12a"/>
        <w:ind w:left="1134"/>
      </w:pPr>
      <w:r w:rsidRPr="007D7B32">
        <w:t>i)</w:t>
      </w:r>
      <w:r w:rsidRPr="007D7B32">
        <w:tab/>
        <w:t>rozlišoval druhy chyb a zvýšil transparentnost míry chyb způsobených závažným zneužitím, podvodem nebo jinou trestnou činností a chyb způsobených správním dohledem nebo nesprávným uplatňováním pravidel;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ii</w:t>
      </w:r>
      <w:proofErr w:type="spellEnd"/>
      <w:r w:rsidRPr="007D7B32">
        <w:t>)</w:t>
      </w:r>
      <w:r w:rsidRPr="007D7B32">
        <w:tab/>
        <w:t>intenzivněji posuzoval také kvalitu, evropskou přidanou hodnotu, udržitelnost, výkonnost a proveditelnost prováděných projektů;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5</w:t>
      </w:r>
      <w:r w:rsidR="00532512" w:rsidRPr="007D7B32">
        <w:t>7</w:t>
      </w:r>
      <w:r w:rsidRPr="007D7B32">
        <w:t>.</w:t>
      </w:r>
      <w:r w:rsidRPr="007D7B32">
        <w:tab/>
        <w:t>vyzývá Komisi, aby zejména:</w:t>
      </w:r>
    </w:p>
    <w:p w:rsidR="00FA2D6B" w:rsidRPr="007D7B32" w:rsidRDefault="00FA2D6B" w:rsidP="005E7441">
      <w:pPr>
        <w:pStyle w:val="NormalHanging12a"/>
        <w:ind w:left="1134"/>
      </w:pPr>
      <w:r w:rsidRPr="007D7B32">
        <w:t>i)</w:t>
      </w:r>
      <w:r w:rsidRPr="007D7B32">
        <w:tab/>
        <w:t>spolupracovala s Účetním dvorem s cílem zlepšit pochopení, sbližování a srovnatelnost obou přístupů k řešení nesrovnalostí;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ii</w:t>
      </w:r>
      <w:proofErr w:type="spellEnd"/>
      <w:r w:rsidRPr="007D7B32">
        <w:t>)</w:t>
      </w:r>
      <w:r w:rsidRPr="007D7B32">
        <w:tab/>
        <w:t xml:space="preserve">podstoupila následné hodnocení spolehlivosti vlastního odhadu rizika při uzávěrce za rozpočtový rok, pro který byly programy uzavřeny, a výsledky tohoto </w:t>
      </w:r>
      <w:r w:rsidRPr="007D7B32">
        <w:lastRenderedPageBreak/>
        <w:t>hodnocení předložila orgánu příslušnému k udělení absolutoria;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iii</w:t>
      </w:r>
      <w:proofErr w:type="spellEnd"/>
      <w:r w:rsidRPr="007D7B32">
        <w:t>)</w:t>
      </w:r>
      <w:r w:rsidRPr="007D7B32">
        <w:tab/>
        <w:t>nadále zjednodušovala pravidla a postupy, aniž by ohrozila kvalitu kontrol, a pokračovala v digitalizaci auditních postupů;</w:t>
      </w:r>
    </w:p>
    <w:p w:rsidR="00FA2D6B" w:rsidRPr="007D7B32" w:rsidRDefault="00FA2D6B" w:rsidP="005E7441">
      <w:pPr>
        <w:tabs>
          <w:tab w:val="left" w:pos="665"/>
        </w:tabs>
        <w:spacing w:after="240"/>
        <w:ind w:left="1134" w:hanging="567"/>
        <w:rPr>
          <w:spacing w:val="-6"/>
          <w:szCs w:val="24"/>
        </w:rPr>
      </w:pPr>
      <w:proofErr w:type="spellStart"/>
      <w:r w:rsidRPr="007D7B32">
        <w:t>iv</w:t>
      </w:r>
      <w:proofErr w:type="spellEnd"/>
      <w:r w:rsidRPr="007D7B32">
        <w:t>)</w:t>
      </w:r>
      <w:r w:rsidRPr="007D7B32">
        <w:tab/>
        <w:t>zintenzivnila úsilí o zlepšení transparentnosti využívání finančních prostředků, včetně informací o konečných příjemcích;</w:t>
      </w:r>
    </w:p>
    <w:p w:rsidR="00FA2D6B" w:rsidRPr="007D7B32" w:rsidRDefault="00FA2D6B" w:rsidP="005E7441">
      <w:pPr>
        <w:pStyle w:val="NormalHanging12a"/>
        <w:ind w:left="1134"/>
      </w:pPr>
      <w:r w:rsidRPr="007D7B32">
        <w:t>v)</w:t>
      </w:r>
      <w:r w:rsidRPr="007D7B32">
        <w:tab/>
        <w:t>nadále podporovala správní kapacitu orgánů členských států; určila způsoby, jak pomoci členským státům urychlit využívání finančních prostředků Unie a snížit úroveň zbývajících závazků, zejména ve fondech se sdíleným řízením podle nařízení o společných ustanoveních;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vi</w:t>
      </w:r>
      <w:proofErr w:type="spellEnd"/>
      <w:r w:rsidRPr="007D7B32">
        <w:t>)</w:t>
      </w:r>
      <w:r w:rsidRPr="007D7B32">
        <w:tab/>
        <w:t>v rámci zveřejňování informací informovala o podmíněných závazcích a o tom, jaká je roční expozice rozpočtu Unie vyplývající z rozpočtových záruk a z finanční pomoci třetím zemím, a zveřejnila svůj odhad celkové roční expozice;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vii</w:t>
      </w:r>
      <w:proofErr w:type="spellEnd"/>
      <w:r w:rsidRPr="007D7B32">
        <w:t>)</w:t>
      </w:r>
      <w:r w:rsidRPr="007D7B32">
        <w:tab/>
        <w:t>zajistila dostatečná opatření na ochranu rozpočtu Unie před různými zjištěnými riziky, zejména před nevypořádanými závazky, rostoucím zadlužením, zvýšenou rozpočtovou expozicí, včetně Ukrajiny, rostoucí inflací atd.;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viii</w:t>
      </w:r>
      <w:proofErr w:type="spellEnd"/>
      <w:r w:rsidRPr="007D7B32">
        <w:t>)</w:t>
      </w:r>
      <w:r w:rsidRPr="007D7B32">
        <w:tab/>
        <w:t xml:space="preserve">nadále monitorovala možné riziko korupce a podvodu napříč všemi fondy s využitím zpětné vazby z vyšetřování provedených úřady EPPO a OLAF a podporovala systematické využívání databázových systémů </w:t>
      </w:r>
      <w:proofErr w:type="spellStart"/>
      <w:r w:rsidRPr="007D7B32">
        <w:t>Arachne</w:t>
      </w:r>
      <w:proofErr w:type="spellEnd"/>
      <w:r w:rsidRPr="007D7B32">
        <w:t xml:space="preserve"> a EDES;</w:t>
      </w:r>
    </w:p>
    <w:p w:rsidR="00532512" w:rsidRPr="007D7B32" w:rsidRDefault="00532512" w:rsidP="005E7441">
      <w:pPr>
        <w:pStyle w:val="NormalHanging12a"/>
        <w:ind w:left="1134"/>
      </w:pPr>
      <w:proofErr w:type="spellStart"/>
      <w:r w:rsidRPr="007D7B32">
        <w:t>ix</w:t>
      </w:r>
      <w:proofErr w:type="spellEnd"/>
      <w:r w:rsidRPr="007D7B32">
        <w:t>)</w:t>
      </w:r>
      <w:r w:rsidRPr="007D7B32">
        <w:tab/>
        <w:t>zajišťovala a financovala infrastrukturu IT pro úřad EPPO tak dlouho, jak to bude nezbytné, aby úřad mohl zavést nezávislý a odpovídající IT systém s cílem zajistit hladký přechod a zabránit ztrátě údajů;</w:t>
      </w:r>
    </w:p>
    <w:p w:rsidR="00FA2D6B" w:rsidRPr="007D7B32" w:rsidRDefault="00FA2D6B" w:rsidP="005E7441">
      <w:pPr>
        <w:pStyle w:val="NormalHanging12a"/>
        <w:ind w:left="1134"/>
      </w:pPr>
      <w:r w:rsidRPr="007D7B32">
        <w:t>x)</w:t>
      </w:r>
      <w:r w:rsidRPr="007D7B32">
        <w:tab/>
        <w:t xml:space="preserve">zajistila ochranu rozpočtu Unie prostřednictvím všeobecného a systematického využívání digitálních a automatizovaných systémů pro podávání zpráv, monitorování a audit a urychleně zavedla povinný integrovaný a interoperabilní systém, který bude mimo jiné vycházet ze stávajících nástrojů a databází v kontextu dokončeného přepracovaného znění finančního nařízení; 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x</w:t>
      </w:r>
      <w:r w:rsidR="00532512" w:rsidRPr="007D7B32">
        <w:t>i</w:t>
      </w:r>
      <w:proofErr w:type="spellEnd"/>
      <w:r w:rsidRPr="007D7B32">
        <w:t>)</w:t>
      </w:r>
      <w:r w:rsidRPr="007D7B32">
        <w:tab/>
        <w:t xml:space="preserve">upravila a zlepšila srovnávací přehled oživení a odolnosti, jakož i příslušné internetové stránky Komise věnované Nástroji pro oživení a odolnost, aby bylo zajištěno, že provádění, výkonnost a plnění ukazatelů budou pravidelně aktualizovány, přesné a jasně strukturované a transparentní; 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xi</w:t>
      </w:r>
      <w:r w:rsidR="00532512" w:rsidRPr="007D7B32">
        <w:t>i</w:t>
      </w:r>
      <w:proofErr w:type="spellEnd"/>
      <w:r w:rsidRPr="007D7B32">
        <w:t>)</w:t>
      </w:r>
      <w:r w:rsidRPr="007D7B32">
        <w:tab/>
        <w:t xml:space="preserve">zajistila transparentnost výsledku auditů; 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xii</w:t>
      </w:r>
      <w:r w:rsidR="00532512" w:rsidRPr="007D7B32">
        <w:t>i</w:t>
      </w:r>
      <w:proofErr w:type="spellEnd"/>
      <w:r w:rsidRPr="007D7B32">
        <w:t>)</w:t>
      </w:r>
      <w:r w:rsidRPr="007D7B32">
        <w:tab/>
        <w:t>zajistila, aby všechny členské státy používaly systémy a centrální registry k podávání zpráv o skutečných majitelích a konečných příjemcích;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xi</w:t>
      </w:r>
      <w:r w:rsidR="00532512" w:rsidRPr="007D7B32">
        <w:t>v</w:t>
      </w:r>
      <w:proofErr w:type="spellEnd"/>
      <w:r w:rsidRPr="007D7B32">
        <w:t>)</w:t>
      </w:r>
      <w:r w:rsidRPr="007D7B32">
        <w:tab/>
        <w:t>posoudila dopad vysoké inflace trvající několik let na rozpočet EU a určila nástroje ke zmírnění výsledných klíčových rizik;</w:t>
      </w:r>
    </w:p>
    <w:p w:rsidR="00FA2D6B" w:rsidRPr="007D7B32" w:rsidRDefault="00FA2D6B" w:rsidP="005E7441">
      <w:pPr>
        <w:pStyle w:val="Title"/>
        <w:spacing w:after="240"/>
        <w:ind w:left="567" w:hanging="567"/>
        <w:rPr>
          <w:i/>
        </w:rPr>
      </w:pPr>
      <w:r w:rsidRPr="007D7B32">
        <w:rPr>
          <w:i/>
        </w:rPr>
        <w:t>Výkonnost rozpočtu Unie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5</w:t>
      </w:r>
      <w:r w:rsidR="00532512" w:rsidRPr="007D7B32">
        <w:t>8</w:t>
      </w:r>
      <w:r w:rsidRPr="007D7B32">
        <w:t>.</w:t>
      </w:r>
      <w:r w:rsidRPr="007D7B32">
        <w:tab/>
        <w:t xml:space="preserve">bere na vědomí opětovné začlenění práce Účetního dvora týkající se plnění rozpočtu Unie do jeho výroční zprávy; s politováním konstatuje, že obsah související kapitoly je </w:t>
      </w:r>
      <w:r w:rsidRPr="007D7B32">
        <w:lastRenderedPageBreak/>
        <w:t>podstatně méně podrobný než výroční zpráva o plnění rozpočtu za předchozí rok; vyjadřuje politování zejména nad tím, že v současném uspořádání je mnohem méně patrná vazba na cíle udržitelného rozvoje; konstatuje, že práce Účetního dvora v oblasti plnění obsažená ve výroční zprávě za rok 2022 spočívá především ve shrnutí zjištění ze zvláštních zpráv;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5</w:t>
      </w:r>
      <w:r w:rsidR="00532512" w:rsidRPr="007D7B32">
        <w:t>9</w:t>
      </w:r>
      <w:r w:rsidRPr="007D7B32">
        <w:t>.</w:t>
      </w:r>
      <w:r w:rsidRPr="007D7B32">
        <w:tab/>
        <w:t>konstatuje, že Účetní dvůr provedl následné kroky v souvislosti s prováděním 213 svých doporučení vydaných v roce 2019, z nichž 179 bylo adresováno Komisi; konstatuje, že čtyři ze 179 doporučení neměla být v době provádění následného přezkumu ještě provedena a že ze zbývajících 175 doporučení jich Komise provedla 101 v plném rozsahu (58 %), 26 ve většině ohledů (15 %), 24 v některých ohledech (13 %) a 17 (10 %) jich neprovedla vůbec, přičemž v 7 případech (4 %) nemohl Účetní dvůr dospět k závěru, neboť auditovaný subjekt doporučení nepřijal nebo bylo na posouzení jejich provedení příliš brzy;</w:t>
      </w:r>
    </w:p>
    <w:p w:rsidR="00FA2D6B" w:rsidRPr="007D7B32" w:rsidRDefault="00532512" w:rsidP="005E7441">
      <w:pPr>
        <w:pStyle w:val="NormalHanging12a"/>
      </w:pPr>
      <w:r w:rsidRPr="007D7B32">
        <w:t>60</w:t>
      </w:r>
      <w:r w:rsidR="00FA2D6B" w:rsidRPr="007D7B32">
        <w:t>.</w:t>
      </w:r>
      <w:r w:rsidR="00FA2D6B" w:rsidRPr="007D7B32">
        <w:tab/>
        <w:t>má za to, že přehled zvláštních zpráv, který zabírá největší část třetí kapitoly výroční zprávy Účetního dvora, poskytuje dobrý přehled zpráv předložených Účetním dvorem, které se týkají strategických oblastí roku 2022; domnívá se, že důkladná analýza plnění rozpočtu Unie by mohla být přidanou hodnotou pro opatření navazující na doporučení auditorů; bere na vědomí otázku načasování zveřejnění výroční zprávy o řízení a výkonnosti;</w:t>
      </w:r>
    </w:p>
    <w:p w:rsidR="00FA2D6B" w:rsidRPr="007D7B32" w:rsidRDefault="00532512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61</w:t>
      </w:r>
      <w:r w:rsidR="00FA2D6B" w:rsidRPr="007D7B32">
        <w:t>.</w:t>
      </w:r>
      <w:r w:rsidR="00FA2D6B" w:rsidRPr="007D7B32">
        <w:tab/>
        <w:t>konstatuje, že Komise zveřejňuje „Prohlášení o výkonnosti programu“, což je přehled informací o plnění programů rozpočtu Unie na období 2021–2027, a „Horizontální priority“, oddíl o tom, jak Komise sleduje, jaké prostředky se vynakládají na ekologické sestavování rozpočtu, začleňování rovnosti žen a mužů, digitální sledování a cíle udržitelného rozvoje, a podává o tom zprávy;</w:t>
      </w:r>
    </w:p>
    <w:p w:rsidR="00FA2D6B" w:rsidRPr="007D7B32" w:rsidRDefault="00FA2D6B" w:rsidP="005E7441">
      <w:pPr>
        <w:pStyle w:val="NormalHanging12a"/>
      </w:pPr>
      <w:r w:rsidRPr="007D7B32">
        <w:t>6</w:t>
      </w:r>
      <w:r w:rsidR="00532512" w:rsidRPr="007D7B32">
        <w:t>2</w:t>
      </w:r>
      <w:r w:rsidRPr="007D7B32">
        <w:t>.</w:t>
      </w:r>
      <w:r w:rsidRPr="007D7B32">
        <w:tab/>
        <w:t>bere na vědomí přezkum Účetního dvora 06/2023 týkající se výroční zprávy Komise o řízení a výkonnosti rozpočtu (AMPR) za rok 2022 a jeho závěr, že svazek I AMPR za rok 2022 se řídil strategickými pokyny řídící rady Komise, když uváděl skutečnosti a výsledky v souvislosti s rozpočtovým řízením za rok 2022, a konstatuje, že existuje prostor pro zlepšení kvality údajů o výkonnosti; bere na vědomí odpovědi Komise na písemné otázky o auditu Útvaru interního auditu (IAS) ohledně kontrolního systému Komise v souvislosti se spolehlivostí informací o plnění a ujištěním, že zjištěný problém se řeší;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6</w:t>
      </w:r>
      <w:r w:rsidR="00532512" w:rsidRPr="007D7B32">
        <w:t>3</w:t>
      </w:r>
      <w:r w:rsidRPr="007D7B32">
        <w:t>.</w:t>
      </w:r>
      <w:r w:rsidRPr="007D7B32">
        <w:tab/>
        <w:t>vítá, že Komise do své výroční zprávy o řízení a výkonnosti rozpočtu zahrnula informace o ekologickém sestavování rozpočtu, digitálním sledování a rozměru rovnosti žen a mužů v rozpočtu Unie; konstatuje, že počet programů, u nichž není znám přínos k rovnosti žen a mužů, klesl na 72 %; podporuje postoj Komise, že tento počet je třeba ještě více snížit;</w:t>
      </w:r>
    </w:p>
    <w:p w:rsidR="00FA2D6B" w:rsidRPr="007D7B32" w:rsidRDefault="00FA2D6B" w:rsidP="005E7441">
      <w:pPr>
        <w:pStyle w:val="NormalHanging12a"/>
      </w:pPr>
      <w:r w:rsidRPr="007D7B32">
        <w:t>6</w:t>
      </w:r>
      <w:r w:rsidR="00532512" w:rsidRPr="007D7B32">
        <w:t>4</w:t>
      </w:r>
      <w:r w:rsidRPr="007D7B32">
        <w:t>.</w:t>
      </w:r>
      <w:r w:rsidRPr="007D7B32">
        <w:tab/>
        <w:t xml:space="preserve">připomíná zjištění zvláštní zprávy Účetního dvora č. 09/2022 „Výdaje v rozpočtu EU na období 2014–2020 související s klimatem“; dále bere na vědomí zvláštní zprávu Účetního dvora č. 26/2023 o rámci pro sledování výkonnosti Nástroje pro oživení a odolnost; dochází k závěru, že Účetní dvůr v obou zvláštních zprávách zjistil problémy s metodou, kterou Komise předkládá informace o výkonnosti, a to jak ve VFR, tak v rámci Nástroje pro oživení a odolnost; konstatuje zejména, že zveřejňování nedostatků v metodikách sledování výkonnosti vykazuje nedostatky, zejména kvůli kombinaci odhadů se skutečným počtem dosažených výsledků a realizovaných projektů nebo </w:t>
      </w:r>
      <w:r w:rsidRPr="007D7B32">
        <w:lastRenderedPageBreak/>
        <w:t>kombinování rozpočtových částek se skutečně vyplacenými částkami; domnívá se, že údaje o výkonnosti předložené Komisí by neměly zahrnovat odhady, ale pouze údaje o uskutečněných opatřeních; zůstává znepokojen zjištěními Účetního dvora, že ve vykazování informací o klimatu na období 2021–2027 se očekávají jen omezená zlepšení; vyjadřuje politování nad tím, že Komise se dosud nezabývala nedostatky ve vykázaných údajích ve své nové metodice;</w:t>
      </w:r>
    </w:p>
    <w:p w:rsidR="00FA2D6B" w:rsidRPr="007D7B32" w:rsidRDefault="00FA2D6B" w:rsidP="005E7441">
      <w:pPr>
        <w:pStyle w:val="Title"/>
        <w:spacing w:after="240"/>
        <w:ind w:left="567" w:hanging="567"/>
        <w:rPr>
          <w:i/>
        </w:rPr>
      </w:pPr>
      <w:r w:rsidRPr="007D7B32">
        <w:rPr>
          <w:i/>
        </w:rPr>
        <w:t>Příjmy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6</w:t>
      </w:r>
      <w:r w:rsidR="00532512" w:rsidRPr="007D7B32">
        <w:t>5</w:t>
      </w:r>
      <w:r w:rsidRPr="007D7B32">
        <w:t>.</w:t>
      </w:r>
      <w:r w:rsidRPr="007D7B32">
        <w:tab/>
        <w:t>konstatuje, že příjmy rozpočtu Unie zahrnují vlastní zdroje, vnější účelově vázané příjmy a ostatní příjmy; uvádí, že v roce 2022 připadalo na vlastní zdroje vycházející z hrubého národního důchodu (HND) 103,9 miliardy EUR (42,3 %), na vnější účelově vázané příjmy 62,2 miliardy EUR (25,4 %) a na tradiční vlastní zdroje (TVZ) 25,9 miliardy EUR (10,6 %), příspěvky a náhrady související s dohodami a programy Unie představovaly 20,9 miliardy EUR (8,5 %), vlastní zdroje vycházející z daně z přidané hodnoty (DPH) 19,7 miliardy EUR (8,0 %), vlastní zdroje z nerecyklovaných plastových obalových odpadů 6,3 miliardy EUR (2,6 %) a ostatní příjmy 6,4 miliardy EUR (2,6 %);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6</w:t>
      </w:r>
      <w:r w:rsidR="00532512" w:rsidRPr="007D7B32">
        <w:t>6</w:t>
      </w:r>
      <w:r w:rsidRPr="007D7B32">
        <w:t>.</w:t>
      </w:r>
      <w:r w:rsidRPr="007D7B32">
        <w:tab/>
        <w:t>bere na vědomí zvláštní zprávu Účetního dvora č. 25/2022 o ověřování hrubého národního důchodu (HND) pro účely financování rozpočtu Unie; připomíná, že údaje o HND vykázané členskými státy jsou základem pro výpočet příspěvků členských států, a proto považuje za nezbytné, aby Komise v návaznosti na doporučení Účetního dvora zlepšila účinnost cyklu ověřování; vítá závěry Účetního dvora, že proces ověřování údajů o HND, který provedl Statistický úřad Evropské unie (</w:t>
      </w:r>
      <w:proofErr w:type="spellStart"/>
      <w:r w:rsidRPr="007D7B32">
        <w:t>Eurostat</w:t>
      </w:r>
      <w:proofErr w:type="spellEnd"/>
      <w:r w:rsidRPr="007D7B32">
        <w:t xml:space="preserve">), byl účinný; vítá, že </w:t>
      </w:r>
      <w:proofErr w:type="spellStart"/>
      <w:r w:rsidRPr="007D7B32">
        <w:t>Eurostat</w:t>
      </w:r>
      <w:proofErr w:type="spellEnd"/>
      <w:r w:rsidRPr="007D7B32">
        <w:t xml:space="preserve"> vypracoval akční plán k řešení doporučení s cílem provést je po skončení cyklu 2020–2024;</w:t>
      </w:r>
    </w:p>
    <w:p w:rsidR="00FA2D6B" w:rsidRPr="007D7B32" w:rsidRDefault="00FA2D6B" w:rsidP="005E7441">
      <w:pPr>
        <w:pStyle w:val="NormalHanging12a"/>
      </w:pPr>
      <w:r w:rsidRPr="007D7B32">
        <w:t>6</w:t>
      </w:r>
      <w:r w:rsidR="00532512" w:rsidRPr="007D7B32">
        <w:t>7</w:t>
      </w:r>
      <w:r w:rsidRPr="007D7B32">
        <w:t>.</w:t>
      </w:r>
      <w:r w:rsidRPr="007D7B32">
        <w:tab/>
        <w:t>konstatuje, že rozpočet Unie musí reagovat na četné výzvy prostřednictvím dalších finančních programů, jako je nástroj na podporu oživení NGEU; konstatuje, že v roce 2022 zůstaly příjmy z tradičních vlastních zdrojů relativně stabilní, zatímco rozpočtové záruky za výpůjční a úvěrové operace tvořily podstatnou část příjmů; v této souvislosti připomíná usnesení Parlamentu ze dne 10. května 2023 o vlastních zdrojích: nový začátek pro finance EU, nový začátek pro Evropu;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6</w:t>
      </w:r>
      <w:r w:rsidR="00532512" w:rsidRPr="007D7B32">
        <w:t>8</w:t>
      </w:r>
      <w:r w:rsidRPr="007D7B32">
        <w:t>.</w:t>
      </w:r>
      <w:r w:rsidRPr="007D7B32">
        <w:tab/>
        <w:t>vítá závěr Účetního dvora v jeho výroční zprávě za rok 2022, že míra chyb v příjmových transakcích nebyla významná a že systémy pro řízení příjmů jsou obecně účinné; je znepokojen nedostatky, které Účetní dvůr zjistil v účetnictví a správě TVZ v některých členských státech a v opatřeních Unie přijatých ke snížení celních mezer a zajištění úplnosti TVZ; vítá opatření, která v tomto ohledu přijala Komise a členské státy;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6</w:t>
      </w:r>
      <w:r w:rsidR="00532512" w:rsidRPr="007D7B32">
        <w:t>9</w:t>
      </w:r>
      <w:r w:rsidRPr="007D7B32">
        <w:t>.</w:t>
      </w:r>
      <w:r w:rsidRPr="007D7B32">
        <w:tab/>
        <w:t>z výroční zprávy o ochraně finančních zájmů Unie (zpráva PIF</w:t>
      </w:r>
      <w:r w:rsidR="0097382E" w:rsidRPr="007D7B32">
        <w:rPr>
          <w:rStyle w:val="FootnoteReference"/>
        </w:rPr>
        <w:footnoteReference w:id="70"/>
      </w:r>
      <w:r w:rsidRPr="007D7B32">
        <w:t xml:space="preserve">) vyplývá, že v roce 2022 klesl počet podvodných nesrovnalostí týkajících se TVZ (454) o 6,8 % a počet nepodvodných nesrovnalostí (4 207) vzrostl o 9,4 % ve srovnání s pětiletým průměrem za období 2018–2022; konstatuje, že většina případů podvodů nahlášených v roce 2022 se týká nesprávné hodnoty a nesprávného zařazení nebo popisu zboží, zatímco pašování zůstává jedním z hlavních modů </w:t>
      </w:r>
      <w:proofErr w:type="spellStart"/>
      <w:r w:rsidRPr="007D7B32">
        <w:t>operandi</w:t>
      </w:r>
      <w:proofErr w:type="spellEnd"/>
      <w:r w:rsidRPr="007D7B32">
        <w:t xml:space="preserve">; konstatuje, že většina případů podvodů je odhalena při kontrolách prováděných vnitrostátními službami pro boj proti podvodům </w:t>
      </w:r>
      <w:r w:rsidRPr="007D7B32">
        <w:lastRenderedPageBreak/>
        <w:t>spolu s celními kontrolami při propouštění zboží; konstatuje, že v současné době je míra vymáhání 48 %, i když lze očekávat, že se v budoucnu vzhledem k délce procesu zvýší;</w:t>
      </w:r>
    </w:p>
    <w:p w:rsidR="00FA2D6B" w:rsidRPr="007D7B32" w:rsidRDefault="00532512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70</w:t>
      </w:r>
      <w:r w:rsidR="00FA2D6B" w:rsidRPr="007D7B32">
        <w:t>.</w:t>
      </w:r>
      <w:r w:rsidR="00FA2D6B" w:rsidRPr="007D7B32">
        <w:tab/>
        <w:t>bere na vědomí přehled o upuštění od inkasa a stanovení pohledávek v příloze 9 AMPR za rok 2022; konstatuje, že celková obecná hodnota inkas, od nichž bylo upuštěno, činila 40,4 milionu EUR, což představuje nárůst o 28 % ve srovnání s rokem 2021 (31,4 milionu EUR), a domnívá se, že se jedná o ztrátu příjmů pro rozpočet Unie;</w:t>
      </w:r>
    </w:p>
    <w:p w:rsidR="00FA2D6B" w:rsidRPr="007D7B32" w:rsidRDefault="00532512" w:rsidP="005E7441">
      <w:pPr>
        <w:pStyle w:val="NormalHanging12a"/>
      </w:pPr>
      <w:r w:rsidRPr="007D7B32">
        <w:t>71</w:t>
      </w:r>
      <w:r w:rsidR="00FA2D6B" w:rsidRPr="007D7B32">
        <w:t>.</w:t>
      </w:r>
      <w:r w:rsidR="00FA2D6B" w:rsidRPr="007D7B32">
        <w:tab/>
        <w:t xml:space="preserve">vyzývá Komisi, aby provedla hloubkovou analýzu všech částek získaných zpět na základě oznámení Úřadu evropského veřejného žalobce (EPPO) a aby o výsledcích informovala orgán příslušný k udělení absolutoria; připomíná, že </w:t>
      </w:r>
      <w:r w:rsidRPr="007D7B32">
        <w:t>členské státy hrají</w:t>
      </w:r>
      <w:r w:rsidR="00FA2D6B" w:rsidRPr="007D7B32">
        <w:t xml:space="preserve"> prvořadou úlohu při následných opatřeních a náhradě škod způsobených rozpočtu EU</w:t>
      </w:r>
      <w:r w:rsidRPr="007D7B32">
        <w:t xml:space="preserve"> v rámci sdíleného řízení, včetně náhrad v návaznosti na oznámení EPPO, a Komise může uložit finanční opravy</w:t>
      </w:r>
      <w:r w:rsidR="00FA2D6B" w:rsidRPr="007D7B32">
        <w:t xml:space="preserve">; vyjadřuje politování nad tím, že EPPO dosud nezná mechanismy, které Komise za tímto účelem zavedla; konstatuje, že otázka oznámení EPPO byla vznesena na interinstitucionální výměně názorů na </w:t>
      </w:r>
      <w:r w:rsidR="007D6122" w:rsidRPr="007D7B32">
        <w:t>nařízení (EU, Euratom) 2020/2223</w:t>
      </w:r>
      <w:r w:rsidR="004457C8" w:rsidRPr="007D7B32">
        <w:rPr>
          <w:rStyle w:val="FootnoteReference"/>
        </w:rPr>
        <w:footnoteReference w:id="71"/>
      </w:r>
      <w:r w:rsidR="004457C8" w:rsidRPr="007D7B32">
        <w:t>;</w:t>
      </w:r>
      <w:r w:rsidR="00FA2D6B" w:rsidRPr="007D7B32">
        <w:t xml:space="preserve"> vítá pracovní ujednání EPPO a zřízení pracovní skupiny s cílem zajistit, aby oznámení EPPO umožnila Komisi maximalizovat zpětné získání prostředků do rozpočtu EU;</w:t>
      </w:r>
    </w:p>
    <w:p w:rsidR="00FA2D6B" w:rsidRPr="007D7B32" w:rsidRDefault="00FA2D6B" w:rsidP="005E7441">
      <w:pPr>
        <w:pStyle w:val="NormalHanging12a"/>
      </w:pPr>
      <w:r w:rsidRPr="007D7B32">
        <w:t>7</w:t>
      </w:r>
      <w:r w:rsidR="00532512" w:rsidRPr="007D7B32">
        <w:t>2</w:t>
      </w:r>
      <w:r w:rsidRPr="007D7B32">
        <w:t>.</w:t>
      </w:r>
      <w:r w:rsidRPr="007D7B32">
        <w:tab/>
        <w:t>vítá vývoj, který vedl ke zrušení kvantifikované i nekvantifikované výhrady v oblasti textilu a obuvi dovážených z Číny; s uspokojením konstatuje, že Spojené království nyní uhradilo celou dlužnou částku (konečná platba ve výši 1,57 miliardy EUR v lednu 2023) včetně úroků (1,4 miliardy EUR v únoru 2023); konstatuje, že do konce roku 2023 provedlo 27 členských států významné předběžné platby svých očekávaných částek splatných do rozpočtu Unie a že v souladu s rozsudkem Soudního dvora EU ve věci C-213/19 použije Komise u těchto členských států stejnou metodu vyčíslení jako u Spojeného království, což povede k přepočtu částek a umožní Komisi zcela dokončit tuto činnost;</w:t>
      </w:r>
    </w:p>
    <w:p w:rsidR="00FA2D6B" w:rsidRPr="007D7B32" w:rsidRDefault="00FA2D6B" w:rsidP="005E7441">
      <w:pPr>
        <w:spacing w:after="240"/>
        <w:ind w:left="567" w:hanging="567"/>
        <w:rPr>
          <w:i/>
          <w:szCs w:val="24"/>
        </w:rPr>
      </w:pPr>
      <w:r w:rsidRPr="007D7B32">
        <w:rPr>
          <w:i/>
        </w:rPr>
        <w:t>Doporučení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7</w:t>
      </w:r>
      <w:r w:rsidR="00532512" w:rsidRPr="007D7B32">
        <w:t>3</w:t>
      </w:r>
      <w:r w:rsidRPr="007D7B32">
        <w:t>.</w:t>
      </w:r>
      <w:r w:rsidRPr="007D7B32">
        <w:tab/>
        <w:t>vyzývá Komisi, aby:</w:t>
      </w:r>
    </w:p>
    <w:p w:rsidR="00FA2D6B" w:rsidRPr="007D7B32" w:rsidRDefault="00FA2D6B" w:rsidP="005E7441">
      <w:pPr>
        <w:pStyle w:val="NormalHanging12a"/>
        <w:ind w:left="1134"/>
      </w:pPr>
      <w:r w:rsidRPr="007D7B32">
        <w:t>i)</w:t>
      </w:r>
      <w:r w:rsidRPr="007D7B32">
        <w:tab/>
        <w:t>převzala návrhy Evropského parlamentu v jeho usneseních o vlastních zdrojích s cílem zajistit dostatečné zdroje na splácení investic uskutečněných v rámci NGEU;</w:t>
      </w:r>
    </w:p>
    <w:p w:rsidR="00FA2D6B" w:rsidRPr="007D7B32" w:rsidRDefault="00FA2D6B" w:rsidP="005E7441">
      <w:pPr>
        <w:tabs>
          <w:tab w:val="left" w:pos="665"/>
        </w:tabs>
        <w:spacing w:after="240"/>
        <w:ind w:left="1134" w:hanging="567"/>
      </w:pPr>
      <w:proofErr w:type="spellStart"/>
      <w:r w:rsidRPr="007D7B32">
        <w:t>ii</w:t>
      </w:r>
      <w:proofErr w:type="spellEnd"/>
      <w:r w:rsidRPr="007D7B32">
        <w:t>)</w:t>
      </w:r>
      <w:r w:rsidRPr="007D7B32">
        <w:tab/>
        <w:t xml:space="preserve">využila všech dostupných prostředků ke stimulaci spolupráce mezi útvary pro boj proti podvodům a celními orgány za účelem odhalování, prevence a nápravy podvodů poškozujících příjmy Unie; </w:t>
      </w:r>
    </w:p>
    <w:p w:rsidR="00FA2D6B" w:rsidRPr="007D7B32" w:rsidRDefault="00FA2D6B" w:rsidP="005E7441">
      <w:pPr>
        <w:tabs>
          <w:tab w:val="left" w:pos="665"/>
        </w:tabs>
        <w:spacing w:after="240"/>
        <w:ind w:left="1134" w:hanging="567"/>
      </w:pPr>
      <w:proofErr w:type="spellStart"/>
      <w:r w:rsidRPr="007D7B32">
        <w:t>iii</w:t>
      </w:r>
      <w:proofErr w:type="spellEnd"/>
      <w:r w:rsidRPr="007D7B32">
        <w:t>)</w:t>
      </w:r>
      <w:r w:rsidRPr="007D7B32">
        <w:tab/>
        <w:t>informovala orgán příslušný k udělení absolutoria o výsledcích přezkumu vybraných vlastních zdrojů;</w:t>
      </w:r>
    </w:p>
    <w:p w:rsidR="00FA2D6B" w:rsidRPr="007D7B32" w:rsidRDefault="00FA2D6B" w:rsidP="005E7441">
      <w:pPr>
        <w:tabs>
          <w:tab w:val="left" w:pos="665"/>
        </w:tabs>
        <w:spacing w:after="240"/>
        <w:ind w:left="1134" w:hanging="567"/>
        <w:rPr>
          <w:spacing w:val="-6"/>
          <w:szCs w:val="24"/>
        </w:rPr>
      </w:pPr>
      <w:proofErr w:type="spellStart"/>
      <w:r w:rsidRPr="007D7B32">
        <w:t>iv</w:t>
      </w:r>
      <w:proofErr w:type="spellEnd"/>
      <w:r w:rsidRPr="007D7B32">
        <w:t>)</w:t>
      </w:r>
      <w:r w:rsidRPr="007D7B32">
        <w:tab/>
        <w:t xml:space="preserve">pečlivě prozkoumala rozdíly v míře vymáhání v jednotlivých členských státech, </w:t>
      </w:r>
      <w:r w:rsidRPr="007D7B32">
        <w:lastRenderedPageBreak/>
        <w:t>aby zjistila případné specifické nedostatky;</w:t>
      </w:r>
    </w:p>
    <w:p w:rsidR="00FA2D6B" w:rsidRPr="007D7B32" w:rsidRDefault="00FA2D6B" w:rsidP="005E7441">
      <w:pPr>
        <w:pStyle w:val="NormalHanging12a"/>
        <w:ind w:left="1134"/>
      </w:pPr>
      <w:r w:rsidRPr="007D7B32">
        <w:t>v)</w:t>
      </w:r>
      <w:r w:rsidRPr="007D7B32">
        <w:tab/>
        <w:t>poskytla orgánu příslušnému k udělení absolutoria podrobné vysvětlení důvodů, proč Komise realizovala pouze částečně 13 % doporučení Účetního dvora z roku 2019 a neprovedla dalších 10 % doporučení;</w:t>
      </w:r>
    </w:p>
    <w:p w:rsidR="00FA2D6B" w:rsidRPr="007D7B32" w:rsidRDefault="00FA2D6B" w:rsidP="005E7441">
      <w:pPr>
        <w:pStyle w:val="Title"/>
        <w:spacing w:after="240"/>
        <w:ind w:left="567" w:hanging="567"/>
        <w:rPr>
          <w:i/>
        </w:rPr>
      </w:pPr>
      <w:r w:rsidRPr="007D7B32">
        <w:rPr>
          <w:i/>
        </w:rPr>
        <w:t xml:space="preserve">Jednotný trh, inovace a digitální technologie 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  <w:shd w:val="clear" w:color="auto" w:fill="FFFFFF"/>
        </w:rPr>
      </w:pPr>
      <w:r w:rsidRPr="007D7B32">
        <w:rPr>
          <w:shd w:val="clear" w:color="auto" w:fill="FFFFFF"/>
        </w:rPr>
        <w:t>7</w:t>
      </w:r>
      <w:r w:rsidR="00FA5FCD" w:rsidRPr="007D7B32">
        <w:rPr>
          <w:shd w:val="clear" w:color="auto" w:fill="FFFFFF"/>
        </w:rPr>
        <w:t>4</w:t>
      </w:r>
      <w:r w:rsidRPr="007D7B32">
        <w:rPr>
          <w:shd w:val="clear" w:color="auto" w:fill="FFFFFF"/>
        </w:rPr>
        <w:t>.</w:t>
      </w:r>
      <w:r w:rsidRPr="007D7B32">
        <w:rPr>
          <w:shd w:val="clear" w:color="auto" w:fill="FFFFFF"/>
        </w:rPr>
        <w:tab/>
        <w:t xml:space="preserve">konstatuje, že rozpočet na programy v rámci okruhu 1 VFR „Jednotný trh, inovace a digitální technologie“ činil 25,2 miliardy EUR (12,9 % rozpočtu Unie) a byl rozdělen takto: 15,8 miliardy EUR (62,8 %) na výzkum, 3,5 miliardy EUR (14,0 %) na dopravu, energetiku a digitální technologie, 2,7 miliardy EUR (10,6 %) na program </w:t>
      </w:r>
      <w:proofErr w:type="spellStart"/>
      <w:r w:rsidRPr="007D7B32">
        <w:rPr>
          <w:shd w:val="clear" w:color="auto" w:fill="FFFFFF"/>
        </w:rPr>
        <w:t>InvestEU</w:t>
      </w:r>
      <w:proofErr w:type="spellEnd"/>
      <w:r w:rsidRPr="007D7B32">
        <w:rPr>
          <w:shd w:val="clear" w:color="auto" w:fill="FFFFFF"/>
        </w:rPr>
        <w:t xml:space="preserve">, 2 miliardy EUR (8,0 %) na vesmír a 1,2 miliardy EUR (4,6 %) na ostatní oblasti; konstatuje, že k 31. prosinci 2022 činily konečné schválené prostředky na rozpočtové závazky 21 845,08 milionu EUR a 99,99 % z nich bylo realizováno (21 842,58 milionu EUR); dále konstatuje, že konečné schválené rozpočtové prostředky na platby činily 20 605,64 milionu EUR a 99,35 % z nich bylo realizováno (20 471,31 milionu EUR); </w:t>
      </w:r>
    </w:p>
    <w:p w:rsidR="00FA2D6B" w:rsidRPr="007D7B32" w:rsidRDefault="00FA2D6B" w:rsidP="005E7441">
      <w:pPr>
        <w:spacing w:after="240"/>
        <w:ind w:left="567" w:hanging="567"/>
        <w:rPr>
          <w:i/>
          <w:szCs w:val="24"/>
        </w:rPr>
      </w:pPr>
      <w:r w:rsidRPr="007D7B32">
        <w:rPr>
          <w:i/>
        </w:rPr>
        <w:t>Inovace a výzkum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bCs/>
          <w:szCs w:val="24"/>
          <w:shd w:val="clear" w:color="auto" w:fill="FFFFFF"/>
        </w:rPr>
      </w:pPr>
      <w:r w:rsidRPr="007D7B32">
        <w:rPr>
          <w:shd w:val="clear" w:color="auto" w:fill="FFFFFF"/>
        </w:rPr>
        <w:t>7</w:t>
      </w:r>
      <w:r w:rsidR="00FA5FCD" w:rsidRPr="007D7B32">
        <w:rPr>
          <w:shd w:val="clear" w:color="auto" w:fill="FFFFFF"/>
        </w:rPr>
        <w:t>5</w:t>
      </w:r>
      <w:r w:rsidRPr="007D7B32">
        <w:rPr>
          <w:shd w:val="clear" w:color="auto" w:fill="FFFFFF"/>
        </w:rPr>
        <w:t>.</w:t>
      </w:r>
      <w:r w:rsidRPr="007D7B32">
        <w:rPr>
          <w:shd w:val="clear" w:color="auto" w:fill="FFFFFF"/>
        </w:rPr>
        <w:tab/>
        <w:t>zdůrazňuje význam unijních programů financování výzkumu a inovací pro vědecký, společenský a technologický/hospodářský rozvoj Unie, pro snižování nerovností, pro oživení ekonomiky, ekologickou a digitální transformaci a potřebu snížit energetickou závislost Unie na Rusku; připomíná, že program Horizont Evropa je nejvýznamnějším výzkumným a inovačním programem v Evropě s celkovým rozpočtem 95,5 miliardy EUR, včetně 5,4 miliardy EUR z nástroje NGEU;</w:t>
      </w:r>
      <w:r w:rsidR="005E7441">
        <w:rPr>
          <w:shd w:val="clear" w:color="auto" w:fill="FFFFFF"/>
        </w:rPr>
        <w:t xml:space="preserve"> </w:t>
      </w:r>
      <w:r w:rsidRPr="007D7B32">
        <w:rPr>
          <w:shd w:val="clear" w:color="auto" w:fill="FFFFFF"/>
        </w:rPr>
        <w:t>konstatuje, že Nástroj pro oživení a odolnost vyčlenil na investice do výzkumu a inovací přibližně 48 miliard EUR;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bCs/>
          <w:szCs w:val="24"/>
          <w:shd w:val="clear" w:color="auto" w:fill="FFFFFF"/>
        </w:rPr>
      </w:pPr>
      <w:r w:rsidRPr="007D7B32">
        <w:rPr>
          <w:shd w:val="clear" w:color="auto" w:fill="FFFFFF"/>
        </w:rPr>
        <w:t>7</w:t>
      </w:r>
      <w:r w:rsidR="004457C8" w:rsidRPr="007D7B32">
        <w:rPr>
          <w:shd w:val="clear" w:color="auto" w:fill="FFFFFF"/>
        </w:rPr>
        <w:t>6</w:t>
      </w:r>
      <w:r w:rsidRPr="007D7B32">
        <w:rPr>
          <w:shd w:val="clear" w:color="auto" w:fill="FFFFFF"/>
        </w:rPr>
        <w:t>.</w:t>
      </w:r>
      <w:r w:rsidRPr="007D7B32">
        <w:rPr>
          <w:shd w:val="clear" w:color="auto" w:fill="FFFFFF"/>
        </w:rPr>
        <w:tab/>
        <w:t>bere na vědomí pozdní přijetí právních základů programu Horizont Evropa v roce 2021 a vítá, že se Komisi podařilo dosáhnout téměř 100 % plnění rozpočtu v letech 2021 a 2022; konstatuje, že počet grantových dohod podepsaných do konce roku 2022 činil 5 509; konstatuje, že navzdory skutečnosti, že se průměrná míra úspěšnosti návrhů zvýšila z 11,9 % v programu Horizont 2020 na 15,9 % v programu Horizont Evropa, 7 z 10 vysoce kvalitních návrhů stále nemůže být financováno a na financování těchto návrhů by bylo zapotřebí dalších 34,3 miliardy EUR;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bCs/>
          <w:szCs w:val="24"/>
          <w:shd w:val="clear" w:color="auto" w:fill="FFFFFF"/>
        </w:rPr>
      </w:pPr>
      <w:r w:rsidRPr="007D7B32">
        <w:rPr>
          <w:shd w:val="clear" w:color="auto" w:fill="FFFFFF"/>
        </w:rPr>
        <w:t>7</w:t>
      </w:r>
      <w:r w:rsidR="004457C8" w:rsidRPr="007D7B32">
        <w:rPr>
          <w:shd w:val="clear" w:color="auto" w:fill="FFFFFF"/>
        </w:rPr>
        <w:t>7</w:t>
      </w:r>
      <w:r w:rsidRPr="007D7B32">
        <w:rPr>
          <w:shd w:val="clear" w:color="auto" w:fill="FFFFFF"/>
        </w:rPr>
        <w:t>.</w:t>
      </w:r>
      <w:r w:rsidRPr="007D7B32">
        <w:rPr>
          <w:shd w:val="clear" w:color="auto" w:fill="FFFFFF"/>
        </w:rPr>
        <w:tab/>
        <w:t>konstatuje, že Účetní dvůr přezkoumal 127 operací, které pokrývají celou škálu výdajů v rámci tohoto okruhu VFR, zejména program Horizont2020, Nástroj pro propojení Evropy (CEF), finanční nástroje a Kosmický program EU, včetně informací o správnosti ve výročních zprávách o činnosti Generálního ředitelství pro výzkum a inovace (GŘ RTD) a Generálního ředitelství pro obranný průmysl a vesmír (GŘ DEFIS);</w:t>
      </w:r>
    </w:p>
    <w:p w:rsidR="00FA2D6B" w:rsidRPr="007D7B32" w:rsidRDefault="00FA2D6B" w:rsidP="005E7441">
      <w:pPr>
        <w:pStyle w:val="NormalHanging12a"/>
      </w:pPr>
      <w:r w:rsidRPr="007D7B32">
        <w:t>7</w:t>
      </w:r>
      <w:r w:rsidR="004457C8" w:rsidRPr="007D7B32">
        <w:t>8</w:t>
      </w:r>
      <w:r w:rsidRPr="007D7B32">
        <w:t>.</w:t>
      </w:r>
      <w:r w:rsidRPr="007D7B32">
        <w:tab/>
        <w:t xml:space="preserve">konstatuje, že Účetní dvůr odhaduje, že míra chyb ve výdajích na oblast „Jednotný trh, inovace a digitální technologie“ v roce 2022 byla významná a činila 2,7 %; s uspokojením konstatuje, že se jedná o výrazný pokles oproti 4,4 % v roce 2021; bere na vědomí připomínku Účetního dvora, že výdaje na výzkum a inovace jsou nejvíce ovlivněny chybami, zejména v oblasti personálních nákladů; je znepokojen tím, že Komise pro tento okruh vypočítala chybovost ve výši 1,5 %, což je v dolní polovině </w:t>
      </w:r>
      <w:r w:rsidRPr="007D7B32">
        <w:lastRenderedPageBreak/>
        <w:t>odhadu Účetního dvora; je znepokojen tím, že připomínky Účetního dvora týkající se podhodnocení míry chyb ze strany Komise přetrvávají již několik let, přičemž v následných auditech Komise byl zjištěn konkrétní nedostatek;</w:t>
      </w:r>
    </w:p>
    <w:p w:rsidR="00FA2D6B" w:rsidRPr="007D7B32" w:rsidRDefault="00FA2D6B" w:rsidP="005E7441">
      <w:pPr>
        <w:pStyle w:val="NormalHanging12a"/>
      </w:pPr>
      <w:r w:rsidRPr="007D7B32">
        <w:t>7</w:t>
      </w:r>
      <w:r w:rsidR="004457C8" w:rsidRPr="007D7B32">
        <w:t>9</w:t>
      </w:r>
      <w:r w:rsidRPr="007D7B32">
        <w:t>.</w:t>
      </w:r>
      <w:r w:rsidRPr="007D7B32">
        <w:tab/>
        <w:t>konstatuje, že vyčíslitelné chyby týkající se nezpůsobilých nákladů představují 98 % odhadované míry chyb Účetního dvora ve výši 2,7 % v roce 2022; se znepokojením konstatuje zejména to, že pravidla pro vykazování personálních nákladů v rámci programu Horizont 2020 zůstávají složitá a že jejich výpočet je i nadále významným zdrojem chyb (67 % odhadované míry chyb v roce 2022); konstatuje, že Komise vyvinula a podporuje používání nástroje „</w:t>
      </w:r>
      <w:proofErr w:type="spellStart"/>
      <w:r w:rsidRPr="007D7B32">
        <w:t>Personnel</w:t>
      </w:r>
      <w:proofErr w:type="spellEnd"/>
      <w:r w:rsidRPr="007D7B32">
        <w:t xml:space="preserve"> </w:t>
      </w:r>
      <w:proofErr w:type="spellStart"/>
      <w:r w:rsidRPr="007D7B32">
        <w:t>Costs</w:t>
      </w:r>
      <w:proofErr w:type="spellEnd"/>
      <w:r w:rsidRPr="007D7B32">
        <w:t xml:space="preserve"> </w:t>
      </w:r>
      <w:proofErr w:type="spellStart"/>
      <w:r w:rsidRPr="007D7B32">
        <w:t>Wizard</w:t>
      </w:r>
      <w:proofErr w:type="spellEnd"/>
      <w:r w:rsidRPr="007D7B32">
        <w:t>“ (Průvodce personálními náklady), který má příjemcům pomoci správně vykázat jejich personální náklady;</w:t>
      </w:r>
    </w:p>
    <w:p w:rsidR="00FA2D6B" w:rsidRPr="007D7B32" w:rsidRDefault="004457C8" w:rsidP="005E7441">
      <w:pPr>
        <w:tabs>
          <w:tab w:val="left" w:pos="665"/>
        </w:tabs>
        <w:spacing w:after="240"/>
        <w:ind w:left="567" w:hanging="567"/>
        <w:rPr>
          <w:bCs/>
          <w:szCs w:val="24"/>
          <w:shd w:val="clear" w:color="auto" w:fill="FFFFFF"/>
        </w:rPr>
      </w:pPr>
      <w:r w:rsidRPr="007D7B32">
        <w:rPr>
          <w:shd w:val="clear" w:color="auto" w:fill="FFFFFF"/>
        </w:rPr>
        <w:t>80</w:t>
      </w:r>
      <w:r w:rsidR="00FA2D6B" w:rsidRPr="007D7B32">
        <w:rPr>
          <w:shd w:val="clear" w:color="auto" w:fill="FFFFFF"/>
        </w:rPr>
        <w:t>.</w:t>
      </w:r>
      <w:r w:rsidR="00FA2D6B" w:rsidRPr="007D7B32">
        <w:rPr>
          <w:shd w:val="clear" w:color="auto" w:fill="FFFFFF"/>
        </w:rPr>
        <w:tab/>
        <w:t>konstatuje, že program Horizont 2020 nadále představuje velkou většinu projektů ve vzorku Účetního dvora, přičemž ve vzorku z roku 2022 je pouze jeden projekt programu Horizont Evropa; zdůrazňuje, že podle Účetního dvora některá zjednodušení v programu Horizont 2020, zejména zavedení paušální sazby pro nepřímé náklady, snížila administrativní zátěž příjemců a mají potenciál snížit riziko chyb;</w:t>
      </w:r>
    </w:p>
    <w:p w:rsidR="00FA2D6B" w:rsidRPr="007D7B32" w:rsidRDefault="004457C8" w:rsidP="005E7441">
      <w:pPr>
        <w:pStyle w:val="NormalHanging12a"/>
      </w:pPr>
      <w:r w:rsidRPr="007D7B32">
        <w:t>81</w:t>
      </w:r>
      <w:r w:rsidR="00FA2D6B" w:rsidRPr="007D7B32">
        <w:t>.</w:t>
      </w:r>
      <w:r w:rsidR="00FA2D6B" w:rsidRPr="007D7B32">
        <w:tab/>
        <w:t>bere na vědomí vyjádření generálního ředitele pro výzkum a inovace při udělování absolutoria, že Komise má v úmyslu zvýšit vyplácení prostředků z programu Horizont Evropa prostřednictvím jednorázových částek z 2 % v roce 2022 na 50 % v roce 2027; v této souvislosti poukazuje na zvláštní přezkum postupů a pokynů Komise týkajících se paušálně financovaných grantů v oblasti výzkumu, který provedl Účetní dvůr; bere na vědomí prohlášení Komise, že úroveň kontroly z hlediska hospodárnosti, účinnosti a účelnosti je vyšší při hodnocení návrhů jednorázových částek; zdůrazňuje, že je třeba kontrolovat skutečné provádění projektů financovaných prostřednictvím jednorázových částek;</w:t>
      </w:r>
    </w:p>
    <w:p w:rsidR="00FA2D6B" w:rsidRPr="007D7B32" w:rsidRDefault="00FA2D6B" w:rsidP="005E7441">
      <w:pPr>
        <w:pStyle w:val="NormalHanging12a"/>
      </w:pPr>
      <w:r w:rsidRPr="007D7B32">
        <w:t>8</w:t>
      </w:r>
      <w:r w:rsidR="004457C8" w:rsidRPr="007D7B32">
        <w:t>2</w:t>
      </w:r>
      <w:r w:rsidRPr="007D7B32">
        <w:t>.</w:t>
      </w:r>
      <w:r w:rsidRPr="007D7B32">
        <w:tab/>
        <w:t>zdůrazňuje zásadní úlohu soukromého sektoru při řešení nedostatku inovací v Unii a při zlepšování její konkurenceschopnosti a růstu; je zejména přesvědčen, že je nezbytné nadále podporovat a co nejvíce usnadňovat účast malých a středních podniků (MSP) v programech financování výzkumu a inovací Unie; bere na vědomí závěr Účetního dvora, že malé a střední podniky a noví příjemci jsou náchylnější k chybám než ostatní příjemci, protože nemají zkušenosti a zdroje pro správu finančních prostředků, a vítá úsilí, které Komise vyvinula na jejich zvláštní podporu, například prostřednictvím informačních kampaní, kontaktů se systémem vnitrostátních kontaktních míst a specializovaným asistenčním pracovištěm Výzkumné informační služby; domnívá se, že zjednodušení pravidel a postupů je nejdůležitější hnací silou zvýšené účasti malých a středních podniků;</w:t>
      </w:r>
    </w:p>
    <w:p w:rsidR="00FA2D6B" w:rsidRPr="007D7B32" w:rsidRDefault="00FA2D6B" w:rsidP="005E7441">
      <w:pPr>
        <w:pStyle w:val="NormalHanging12a"/>
      </w:pPr>
      <w:r w:rsidRPr="007D7B32">
        <w:t>8</w:t>
      </w:r>
      <w:r w:rsidR="004457C8" w:rsidRPr="007D7B32">
        <w:t>3</w:t>
      </w:r>
      <w:r w:rsidRPr="007D7B32">
        <w:t>.</w:t>
      </w:r>
      <w:r w:rsidRPr="007D7B32">
        <w:tab/>
        <w:t>zdůrazňuje, že je důležité, aby se na výběrové řízení a na postupy zadávání veřejných zakázek ve všech výkonných agenturách uplatňovala transparentní a jasná pravidla; vyjadřuje politování nad nárůstem stížností výzkumných pracovníků na netransparentnost, zejména v případě Výkonné agentury pro výzkum (REA); připomíná, že v rámci dlouhodobého rozpočtu Unie na období 2021–2027 spravuje REA několik programů a podpůrných služeb Unie; vyzývá Komisi, aby v souladu s čl. 3 odst. 1 nařízení Rady (ES</w:t>
      </w:r>
      <w:r w:rsidR="00DE6AA8">
        <w:t>)</w:t>
      </w:r>
      <w:r w:rsidRPr="007D7B32">
        <w:t xml:space="preserve"> č. 58/2003 ze dne 19. prosince 2002, kterým se stanoví statut výkonných agentur pověřených některými úkoly správy programů Společenství) provedla hodnocení všech postupů a hodnocení ex post přidané hodnoty všech svých výkonných agentur (</w:t>
      </w:r>
      <w:proofErr w:type="spellStart"/>
      <w:r w:rsidRPr="007D7B32">
        <w:t>Úř</w:t>
      </w:r>
      <w:proofErr w:type="spellEnd"/>
      <w:r w:rsidR="00DE6AA8">
        <w:t xml:space="preserve">. </w:t>
      </w:r>
      <w:proofErr w:type="spellStart"/>
      <w:r w:rsidRPr="007D7B32">
        <w:t>věst</w:t>
      </w:r>
      <w:proofErr w:type="spellEnd"/>
      <w:r w:rsidR="00DE6AA8">
        <w:t>.</w:t>
      </w:r>
      <w:r w:rsidRPr="007D7B32">
        <w:t xml:space="preserve"> L 11, 16.1.2003, s. 1);</w:t>
      </w:r>
    </w:p>
    <w:p w:rsidR="00FA2D6B" w:rsidRPr="007D7B32" w:rsidRDefault="00FA2D6B" w:rsidP="005E7441">
      <w:pPr>
        <w:pStyle w:val="NormalHanging12a"/>
      </w:pPr>
      <w:r w:rsidRPr="007D7B32">
        <w:lastRenderedPageBreak/>
        <w:t>8</w:t>
      </w:r>
      <w:r w:rsidR="004457C8" w:rsidRPr="007D7B32">
        <w:t>4</w:t>
      </w:r>
      <w:r w:rsidRPr="007D7B32">
        <w:t>.</w:t>
      </w:r>
      <w:r w:rsidRPr="007D7B32">
        <w:tab/>
        <w:t>bere na vědomí, že posouzení rizik podvodů v oblasti výzkumu a vývoje bylo aktualizováno v roce 2022 jako práce předcházející aktualizaci společné strategie boje proti podvodům v roce 2023; bere na vědomí vypracování a přijetí „Pokynů pro předběžné kontroly v rámci programu Horizont Evropa zaměřené na boj proti podvodům“ v roce 2022, které jsou součástí strategie předběžných kontrol programu Horizont Evropa; konstatuje, že hlavním fórem subjektů pro výzkum a inovace pro otázky boje proti podvodům je Výbor pro podvody a nesrovnalosti ve výzkumu (výbor FAIR), který se v roce 2022 sešel dvakrát; konstatuje, že GŘ RTD v roce 2022 rovněž aktualizovalo svou strategii boje proti podvodům; domnívá se, že politika nulové tolerance vůči podvodům je nezbytná i v oblasti výzkumu; s ohledem na pokračující snahy o zjednodušení je důležité zaručit, aby všechny evropské granty a dotace byly přínosem pro plánované cíle, a vyvinout účinné nástroje k identifikaci podvodů a vzorů podvodů v souvislosti s jednorázovými částkami; konstatuje, že jedním z důležitých prvků, jak zabránit podvodnému zneužívání, je postoupení příslušných případů výboru pro systém včasného odhalování rizik a vylučování hospodářských subjektů;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bCs/>
          <w:szCs w:val="24"/>
          <w:shd w:val="clear" w:color="auto" w:fill="FFFFFF"/>
        </w:rPr>
      </w:pPr>
      <w:r w:rsidRPr="007D7B32">
        <w:rPr>
          <w:shd w:val="clear" w:color="auto" w:fill="FFFFFF"/>
        </w:rPr>
        <w:t>8</w:t>
      </w:r>
      <w:r w:rsidR="004457C8" w:rsidRPr="007D7B32">
        <w:rPr>
          <w:shd w:val="clear" w:color="auto" w:fill="FFFFFF"/>
        </w:rPr>
        <w:t>5</w:t>
      </w:r>
      <w:r w:rsidRPr="007D7B32">
        <w:rPr>
          <w:shd w:val="clear" w:color="auto" w:fill="FFFFFF"/>
        </w:rPr>
        <w:t>.</w:t>
      </w:r>
      <w:r w:rsidRPr="007D7B32">
        <w:rPr>
          <w:shd w:val="clear" w:color="auto" w:fill="FFFFFF"/>
        </w:rPr>
        <w:tab/>
        <w:t xml:space="preserve">připomíná, že podpora, přilákání a udržení talentů je jednou z pěti stěžejních iniciativ, které tvoří Nový evropský program inovací (NEIA) přijatý 5. července 2022; bere na vědomí prohlášení komisařky Ivanovové v rámci slyšení o udělení absolutoria o úsilí Komise o zvýšení </w:t>
      </w:r>
      <w:proofErr w:type="spellStart"/>
      <w:r w:rsidRPr="007D7B32">
        <w:rPr>
          <w:shd w:val="clear" w:color="auto" w:fill="FFFFFF"/>
        </w:rPr>
        <w:t>inkluzivity</w:t>
      </w:r>
      <w:proofErr w:type="spellEnd"/>
      <w:r w:rsidRPr="007D7B32">
        <w:rPr>
          <w:shd w:val="clear" w:color="auto" w:fill="FFFFFF"/>
        </w:rPr>
        <w:t xml:space="preserve"> v programech Horizont 2020 a Horizont Evropa; bere na vědomí, že komisařka uznává, že je třeba vyvinout další úsilí, aby se zvýšila účast žen a mladých lidí v programech Unie v oblasti výzkumu a inovací; v této souvislosti bere na vědomí úsilí Komise o provádění ustanovení o plánech na rovnost žen a mužů v programu Horizont Evropa a společné úsilí RTD-EAC o přilákání talentovaných žen do STEM; vítá, že kromě dalších iniciativ Unie zaměřených na podporu a posílení postavení žen v oblasti technologií a inovací Komise v roce 2022 vyhlásila druhý ročník výzvy </w:t>
      </w:r>
      <w:proofErr w:type="spellStart"/>
      <w:r w:rsidRPr="007D7B32">
        <w:rPr>
          <w:shd w:val="clear" w:color="auto" w:fill="FFFFFF"/>
        </w:rPr>
        <w:t>Women</w:t>
      </w:r>
      <w:proofErr w:type="spellEnd"/>
      <w:r w:rsidRPr="007D7B32">
        <w:rPr>
          <w:shd w:val="clear" w:color="auto" w:fill="FFFFFF"/>
        </w:rPr>
        <w:t xml:space="preserve"> </w:t>
      </w:r>
      <w:proofErr w:type="spellStart"/>
      <w:r w:rsidRPr="007D7B32">
        <w:rPr>
          <w:shd w:val="clear" w:color="auto" w:fill="FFFFFF"/>
        </w:rPr>
        <w:t>TechEU</w:t>
      </w:r>
      <w:proofErr w:type="spellEnd"/>
      <w:r w:rsidRPr="007D7B32">
        <w:rPr>
          <w:shd w:val="clear" w:color="auto" w:fill="FFFFFF"/>
        </w:rPr>
        <w:t xml:space="preserve"> s navýšeným rozpočtem ve výši 10 milionů EUR, který přilákal rekordní počet zájemců s 467 žádostmi z 35 členských států a zemí přidružených k programu Horizont Evropa;</w:t>
      </w:r>
    </w:p>
    <w:p w:rsidR="00FA2D6B" w:rsidRPr="007D7B32" w:rsidRDefault="00FA2D6B" w:rsidP="005E7441">
      <w:pPr>
        <w:pStyle w:val="NormalHanging12a"/>
      </w:pPr>
      <w:r w:rsidRPr="007D7B32">
        <w:t>8</w:t>
      </w:r>
      <w:r w:rsidR="004457C8" w:rsidRPr="007D7B32">
        <w:t>6</w:t>
      </w:r>
      <w:r w:rsidRPr="007D7B32">
        <w:t>.</w:t>
      </w:r>
      <w:r w:rsidRPr="007D7B32">
        <w:tab/>
        <w:t xml:space="preserve">vítá úlohu Evropské rady pro výzkum (ERV) při podpoře špičkových výzkumných pracovníků v Evropě, kterou podtrhují četná ocenění, včetně 14 Nobelových cen, 6 Fieldsových medailí a 11 Wolfových cen; vítá 2 300 patentových přihlášek a 400 nově založených společností, které vznikly díky projektům ERV; </w:t>
      </w:r>
    </w:p>
    <w:p w:rsidR="00FA2D6B" w:rsidRPr="007D7B32" w:rsidRDefault="00FA2D6B" w:rsidP="005E7441">
      <w:pPr>
        <w:pStyle w:val="NormalHanging12a"/>
      </w:pPr>
      <w:r w:rsidRPr="007D7B32">
        <w:t>8</w:t>
      </w:r>
      <w:r w:rsidR="004457C8" w:rsidRPr="007D7B32">
        <w:t>7</w:t>
      </w:r>
      <w:r w:rsidRPr="007D7B32">
        <w:t>.</w:t>
      </w:r>
      <w:r w:rsidRPr="007D7B32">
        <w:tab/>
        <w:t>zdůrazňuje nezávislost a autonomii ERV při plnění její úlohy podporovat vynikající výzkum v Unii; připomíná, že ERV potřebuje pro zaměstnance Výkonné rady ERV (ERCEA), vědeckou radu ERV a odborníky odpovědné za hodnocení v rámci panelů jedinečné uspořádání a že toto uspořádání je pro její práci nezbytné; je překvapen plánem Komise přesunout několik výkonných agentur a ERCEA do nových budov bez řádných konzultací s nimi a jejich souhlasu, aniž by byly brány v potaz jejich skutečné potřeby v oblasti kanceláří, čímž je ohrožena kontinuita činnosti; zdůrazňuje, že ani některé útvary Komise nebyly o těchto plánech dostatečně informovány; zdůrazňuje, že ERCEA má právo podepisovat nájemní smlouvy samostatně a bez souhlasu Komise, aby zachovala svůj mimořádný obchodní model; zdůrazňuje, že Komise musí včas plánovat a spolupracovat s ERCEA, aby nalezla vhodné kancelářské prostory, které splňují její požadavky a neohrožují její činnost;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bCs/>
          <w:szCs w:val="24"/>
          <w:shd w:val="clear" w:color="auto" w:fill="FFFFFF"/>
        </w:rPr>
      </w:pPr>
      <w:r w:rsidRPr="007D7B32">
        <w:rPr>
          <w:shd w:val="clear" w:color="auto" w:fill="FFFFFF"/>
        </w:rPr>
        <w:t>8</w:t>
      </w:r>
      <w:r w:rsidR="004457C8" w:rsidRPr="007D7B32">
        <w:rPr>
          <w:shd w:val="clear" w:color="auto" w:fill="FFFFFF"/>
        </w:rPr>
        <w:t>8</w:t>
      </w:r>
      <w:r w:rsidRPr="007D7B32">
        <w:rPr>
          <w:shd w:val="clear" w:color="auto" w:fill="FFFFFF"/>
        </w:rPr>
        <w:t>.</w:t>
      </w:r>
      <w:r w:rsidRPr="007D7B32">
        <w:rPr>
          <w:shd w:val="clear" w:color="auto" w:fill="FFFFFF"/>
        </w:rPr>
        <w:tab/>
        <w:t xml:space="preserve">bere na vědomí rozdíly v rozvoji výzkumu a inovací v rámci Unie a vítá různá opatření, která Komise přijala na podporu investic členských států do výzkumu a inovací, zejména v zemích s nízkou výkonností v oblasti výzkumu a inovací, včetně přibližně </w:t>
      </w:r>
      <w:r w:rsidRPr="007D7B32">
        <w:rPr>
          <w:shd w:val="clear" w:color="auto" w:fill="FFFFFF"/>
        </w:rPr>
        <w:lastRenderedPageBreak/>
        <w:t xml:space="preserve">48 miliard EUR z Nástroje pro oživení a odolnost spolu se 43 miliardami EUR z politiky soudržnosti a 3 miliardami EUR ze složky </w:t>
      </w:r>
      <w:r w:rsidRPr="007D7B32">
        <w:t>„</w:t>
      </w:r>
      <w:r w:rsidRPr="007D7B32">
        <w:rPr>
          <w:shd w:val="clear" w:color="auto" w:fill="FFFFFF"/>
        </w:rPr>
        <w:t xml:space="preserve">Rozšiřování účasti a šíření excelence“ programu Horizont Evropa; konstatuje, že navzdory snahám Komise o navýšení finančních prostředků určených pro výzkumné pracovníky v zemích, kde se počet výzkumných pracovníků rozšiřuje, některé „dohánějící země“ zatím nevykazují žádný pokrok; 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bCs/>
          <w:szCs w:val="24"/>
          <w:shd w:val="clear" w:color="auto" w:fill="FFFFFF"/>
        </w:rPr>
      </w:pPr>
      <w:r w:rsidRPr="007D7B32">
        <w:rPr>
          <w:shd w:val="clear" w:color="auto" w:fill="FFFFFF"/>
        </w:rPr>
        <w:t>8</w:t>
      </w:r>
      <w:r w:rsidR="004457C8" w:rsidRPr="007D7B32">
        <w:rPr>
          <w:shd w:val="clear" w:color="auto" w:fill="FFFFFF"/>
        </w:rPr>
        <w:t>9</w:t>
      </w:r>
      <w:r w:rsidRPr="007D7B32">
        <w:rPr>
          <w:shd w:val="clear" w:color="auto" w:fill="FFFFFF"/>
        </w:rPr>
        <w:t>.</w:t>
      </w:r>
      <w:r w:rsidRPr="007D7B32">
        <w:rPr>
          <w:shd w:val="clear" w:color="auto" w:fill="FFFFFF"/>
        </w:rPr>
        <w:tab/>
        <w:t>konstatuje, že v návaznosti na ruskou útočnou válku proti Ukrajině zastavila Komise účast ruských veřejných subjektů na probíhajících projektech programu Horizont 2020 a budoucích projektech programu Horizont Evropa; konstatuje, že poslední změna „hlavního“ pracovního programu Horizontu Evropa na období 2021–2022, přijatá 10. května 2022, zahrnula opatření na podporu výzkumných pracovníků, kteří dříve působili na Ukrajině; konstatuje, že Komise poskytla finanční podporu ve formě grantu ve výši 1,5 milionu EUR ukrajinské Národní výzkumné nadaci na zřízení kanceláře programu Horizont Evropa na Ukrajině (Kyjev), která bude propagovat možnosti financování a nabízet podporu při vypracovávání návrhů a hledání partnerů v Evropě;</w:t>
      </w:r>
    </w:p>
    <w:p w:rsidR="00FA2D6B" w:rsidRPr="007D7B32" w:rsidRDefault="004457C8" w:rsidP="005E7441">
      <w:pPr>
        <w:spacing w:after="240"/>
        <w:ind w:left="567" w:hanging="567"/>
      </w:pPr>
      <w:r w:rsidRPr="007D7B32">
        <w:t>90</w:t>
      </w:r>
      <w:r w:rsidR="00FA2D6B" w:rsidRPr="007D7B32">
        <w:t>.</w:t>
      </w:r>
      <w:r w:rsidR="00FA2D6B" w:rsidRPr="007D7B32">
        <w:tab/>
        <w:t>oceňuje, že Nástroj pro propojení Evropy (CEF) vstoupil v roce 2022 do fáze plného provádění, a považuje to za úspěch; vyjadřuje politování nad tím, že v rámci nástroje financování CEF – doprava 2022 se oproti roku 2021 snížilo financování výzev k podávání návrhů na projekty, které se věnují budování nové evropské dopravní infrastruktury a její modernizaci a zlepšování; bere na vědomí, že výzvy, které byly prostřednictvím nástroje CEF – doprava 2022 zveřejněny ve třetím čtvrtletí roku 2022, otevřely další možnosti financování ve výši 6 miliard EUR formou spolufinancování Evropskou unií; je pevně přesvědčen o tom, že dostatečně vysoký rozpočet nástroje CEF vyhrazený na dopravu má zásadní význam pro realizaci transevropské dopravní sítě, včetně jejího rozšíření ve východním regionu, jež má zajistit spojení s východními partnery, např. Ukrajinou, dále pro ekologizaci evropské dopravy, zvýšenou vojenskou mobilitu a vyrovnávání inflace, která dosahuje bezprecedentních hodnot;</w:t>
      </w:r>
    </w:p>
    <w:p w:rsidR="00FA2D6B" w:rsidRPr="007D7B32" w:rsidRDefault="004457C8" w:rsidP="005E7441">
      <w:pPr>
        <w:spacing w:after="240"/>
        <w:ind w:left="567" w:hanging="567"/>
        <w:rPr>
          <w:szCs w:val="24"/>
        </w:rPr>
      </w:pPr>
      <w:r w:rsidRPr="007D7B32">
        <w:t>91</w:t>
      </w:r>
      <w:r w:rsidR="00FA2D6B" w:rsidRPr="007D7B32">
        <w:t>.</w:t>
      </w:r>
      <w:r w:rsidR="00FA2D6B" w:rsidRPr="007D7B32">
        <w:tab/>
        <w:t xml:space="preserve">oceňuje iniciativu Evropského dobrovolného fondu solidarity v oblasti uspořádání letového provozu pro Ukrajinu a Moldavsko, za niž odpovídá organizace </w:t>
      </w:r>
      <w:proofErr w:type="spellStart"/>
      <w:r w:rsidR="00FA2D6B" w:rsidRPr="007D7B32">
        <w:t>Eurocontrol</w:t>
      </w:r>
      <w:proofErr w:type="spellEnd"/>
      <w:r w:rsidR="00FA2D6B" w:rsidRPr="007D7B32">
        <w:t xml:space="preserve"> a jejímž cílem je financovat náklady na zaměstnance / odborné vzdělávání a veškeré další náklady na zajištění operační připravenosti při obnově letového provozu; vítá i další mechanismus solidarity </w:t>
      </w:r>
      <w:proofErr w:type="spellStart"/>
      <w:r w:rsidR="00FA2D6B" w:rsidRPr="007D7B32">
        <w:t>Eurocontrolu</w:t>
      </w:r>
      <w:proofErr w:type="spellEnd"/>
      <w:r w:rsidR="00FA2D6B" w:rsidRPr="007D7B32">
        <w:t xml:space="preserve">, který má pomoci státům v přední linii překonat následky prudkého poklesu letového provozu; poukazuje na to, že členové organizace </w:t>
      </w:r>
      <w:proofErr w:type="spellStart"/>
      <w:r w:rsidR="00FA2D6B" w:rsidRPr="007D7B32">
        <w:t>Eurocontrol</w:t>
      </w:r>
      <w:proofErr w:type="spellEnd"/>
      <w:r w:rsidR="00FA2D6B" w:rsidRPr="007D7B32">
        <w:t xml:space="preserve"> se rozhodly zřídit dva zvláštní fondy: jeden ve formě daru Ukrajině a Moldavsku ve výši 46,5 milionu EUR a druhý ve formě půjčky ve výši 46,1 milionu EUR Estonsku, Lotyšsku, Litvě a Polsku;</w:t>
      </w:r>
    </w:p>
    <w:p w:rsidR="00FA2D6B" w:rsidRPr="007D7B32" w:rsidRDefault="00FA2D6B" w:rsidP="005E7441">
      <w:pPr>
        <w:spacing w:after="240"/>
        <w:ind w:left="567" w:hanging="567"/>
        <w:rPr>
          <w:i/>
          <w:szCs w:val="24"/>
        </w:rPr>
      </w:pPr>
      <w:r w:rsidRPr="007D7B32">
        <w:rPr>
          <w:i/>
        </w:rPr>
        <w:t>Energetika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bCs/>
          <w:szCs w:val="24"/>
          <w:shd w:val="clear" w:color="auto" w:fill="FFFFFF"/>
        </w:rPr>
      </w:pPr>
      <w:r w:rsidRPr="007D7B32">
        <w:rPr>
          <w:shd w:val="clear" w:color="auto" w:fill="FFFFFF"/>
        </w:rPr>
        <w:t>9</w:t>
      </w:r>
      <w:r w:rsidR="004457C8" w:rsidRPr="007D7B32">
        <w:rPr>
          <w:shd w:val="clear" w:color="auto" w:fill="FFFFFF"/>
        </w:rPr>
        <w:t>2</w:t>
      </w:r>
      <w:r w:rsidRPr="007D7B32">
        <w:rPr>
          <w:shd w:val="clear" w:color="auto" w:fill="FFFFFF"/>
        </w:rPr>
        <w:t>.</w:t>
      </w:r>
      <w:r w:rsidRPr="007D7B32">
        <w:rPr>
          <w:shd w:val="clear" w:color="auto" w:fill="FFFFFF"/>
        </w:rPr>
        <w:tab/>
        <w:t>konstatuje složitost rámce energetické politiky v Unii a zdůrazňuje, že základem trhu s energií v Unii je zajištění lepšího propojení; vítá přijetí nového nařízení o transevropské energetické síti (EU) 2022/869 („nařízení TEN-E“)</w:t>
      </w:r>
      <w:r w:rsidRPr="007D7B32">
        <w:rPr>
          <w:rStyle w:val="FootnoteReference"/>
          <w:bCs/>
          <w:szCs w:val="24"/>
          <w:shd w:val="clear" w:color="auto" w:fill="FFFFFF"/>
        </w:rPr>
        <w:footnoteReference w:id="72"/>
      </w:r>
      <w:r w:rsidRPr="007D7B32">
        <w:rPr>
          <w:shd w:val="clear" w:color="auto" w:fill="FFFFFF"/>
        </w:rPr>
        <w:t xml:space="preserve">; domnívá se, že Unie prostřednictvím sítě TEN-E, Nástroje pro propojení Evropy a Nástroje pro oživení a </w:t>
      </w:r>
      <w:r w:rsidRPr="007D7B32">
        <w:rPr>
          <w:shd w:val="clear" w:color="auto" w:fill="FFFFFF"/>
        </w:rPr>
        <w:lastRenderedPageBreak/>
        <w:t xml:space="preserve">odolnost / plánu </w:t>
      </w:r>
      <w:proofErr w:type="spellStart"/>
      <w:r w:rsidRPr="007D7B32">
        <w:rPr>
          <w:shd w:val="clear" w:color="auto" w:fill="FFFFFF"/>
        </w:rPr>
        <w:t>REPowerEU</w:t>
      </w:r>
      <w:proofErr w:type="spellEnd"/>
      <w:r w:rsidRPr="007D7B32">
        <w:rPr>
          <w:shd w:val="clear" w:color="auto" w:fill="FFFFFF"/>
        </w:rPr>
        <w:t xml:space="preserve"> vytvořila pevný právní rámec pro investice do energetické sítě, který řeší problémy dekarbonizace a snižování závislosti na dovozu fosilních paliv; bere na vědomí úsilí vynaložené na koordinaci výstavby vysoce prioritní elektrické infrastruktury ve všech členských státech, digitalizaci energetického systému Unie a stimulaci investic do rozvodné sítě s patřičným prostředím správnosti, zejména prostřednictvím Nástroje pro propojení Evropy – Energetika (CEF-E);</w:t>
      </w:r>
    </w:p>
    <w:p w:rsidR="00FA2D6B" w:rsidRPr="007D7B32" w:rsidRDefault="00FA2D6B" w:rsidP="005E7441">
      <w:pPr>
        <w:pStyle w:val="NormalHanging12a"/>
      </w:pPr>
      <w:r w:rsidRPr="007D7B32">
        <w:t>9</w:t>
      </w:r>
      <w:r w:rsidR="004457C8" w:rsidRPr="007D7B32">
        <w:t>3</w:t>
      </w:r>
      <w:r w:rsidRPr="007D7B32">
        <w:t>.</w:t>
      </w:r>
      <w:r w:rsidRPr="007D7B32">
        <w:tab/>
        <w:t xml:space="preserve">konstatuje, že v rámci programů CEF-E 1 a 2 (2014–2022) bylo na energetické projekty poskytnuto celkem 6,24 miliardy EUR (5,74 miliardy EUR na práce, 0,5 miliardy EUR na studie) na 118 projektů společného zájmu (PCI) a do konce roku 2022 bylo dokončeno 123 akcí, které získaly podporu z programu CEF-1 </w:t>
      </w:r>
      <w:proofErr w:type="spellStart"/>
      <w:r w:rsidRPr="007D7B32">
        <w:t>Energy</w:t>
      </w:r>
      <w:proofErr w:type="spellEnd"/>
      <w:r w:rsidRPr="007D7B32">
        <w:t>;</w:t>
      </w:r>
    </w:p>
    <w:p w:rsidR="00FA2D6B" w:rsidRPr="007D7B32" w:rsidRDefault="00FA2D6B" w:rsidP="005E7441">
      <w:pPr>
        <w:pStyle w:val="NormalHanging12a"/>
      </w:pPr>
      <w:r w:rsidRPr="007D7B32">
        <w:t>9</w:t>
      </w:r>
      <w:r w:rsidR="004457C8" w:rsidRPr="007D7B32">
        <w:t>4</w:t>
      </w:r>
      <w:r w:rsidRPr="007D7B32">
        <w:t>.</w:t>
      </w:r>
      <w:r w:rsidRPr="007D7B32">
        <w:tab/>
        <w:t xml:space="preserve">konstatuje, že ruská útočná válka proti Ukrajině a zneužívání energie jako zbraně rozvrátily v roce 2022 trhy s energií, což vyvolalo kolísání cen a energetickou nejistotu v energetickém systému Unie; zdůrazňuje reakci Komise na krizi vypracováním plánu </w:t>
      </w:r>
      <w:proofErr w:type="spellStart"/>
      <w:r w:rsidRPr="007D7B32">
        <w:t>REPowerEU</w:t>
      </w:r>
      <w:proofErr w:type="spellEnd"/>
      <w:r w:rsidRPr="007D7B32">
        <w:t xml:space="preserve"> zaměřeného na snížení závislosti na ruských fosilních palivech a postupné ukončení dovozu ruské energie do roku 2030; konstatuje, že plán </w:t>
      </w:r>
      <w:proofErr w:type="spellStart"/>
      <w:r w:rsidRPr="007D7B32">
        <w:t>REPowerEU</w:t>
      </w:r>
      <w:proofErr w:type="spellEnd"/>
      <w:r w:rsidRPr="007D7B32">
        <w:t xml:space="preserve"> mobilizuje téměř 300 miliard EUR, přibližně 72 miliard EUR ve formě grantů a 225 miliard EUR ve formě úvěrů; konstatuje, že plán </w:t>
      </w:r>
      <w:proofErr w:type="spellStart"/>
      <w:r w:rsidRPr="007D7B32">
        <w:t>REPowerEU</w:t>
      </w:r>
      <w:proofErr w:type="spellEnd"/>
      <w:r w:rsidRPr="007D7B32">
        <w:t xml:space="preserve"> navíc poskytuje jak členským státům, tak Komisi právní základ pro změnu národních plánů pro oživení a odolnost a pro kontrolu toho, zda jsou milníky a cíle dobře definovány, aby je v případě potřeby vyjasnily;</w:t>
      </w:r>
    </w:p>
    <w:p w:rsidR="00FA2D6B" w:rsidRPr="007D7B32" w:rsidRDefault="00FA2D6B" w:rsidP="005E7441">
      <w:pPr>
        <w:spacing w:after="240"/>
        <w:ind w:left="567" w:hanging="567"/>
        <w:rPr>
          <w:i/>
          <w:szCs w:val="24"/>
        </w:rPr>
      </w:pPr>
      <w:r w:rsidRPr="007D7B32">
        <w:rPr>
          <w:i/>
        </w:rPr>
        <w:t>Doporučení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  <w:shd w:val="clear" w:color="auto" w:fill="FFFFFF"/>
        </w:rPr>
      </w:pPr>
      <w:r w:rsidRPr="007D7B32">
        <w:rPr>
          <w:shd w:val="clear" w:color="auto" w:fill="FFFFFF"/>
        </w:rPr>
        <w:t>9</w:t>
      </w:r>
      <w:r w:rsidR="004457C8" w:rsidRPr="007D7B32">
        <w:rPr>
          <w:shd w:val="clear" w:color="auto" w:fill="FFFFFF"/>
        </w:rPr>
        <w:t>5</w:t>
      </w:r>
      <w:r w:rsidRPr="007D7B32">
        <w:rPr>
          <w:shd w:val="clear" w:color="auto" w:fill="FFFFFF"/>
        </w:rPr>
        <w:t>.</w:t>
      </w:r>
      <w:r w:rsidRPr="007D7B32">
        <w:rPr>
          <w:shd w:val="clear" w:color="auto" w:fill="FFFFFF"/>
        </w:rPr>
        <w:tab/>
        <w:t>vyzývá Komisi, aby:</w:t>
      </w:r>
    </w:p>
    <w:p w:rsidR="00FA2D6B" w:rsidRPr="007D7B32" w:rsidRDefault="00FA2D6B" w:rsidP="005E7441">
      <w:pPr>
        <w:pStyle w:val="NormalHanging12a"/>
        <w:ind w:left="1134"/>
      </w:pPr>
      <w:r w:rsidRPr="007D7B32">
        <w:t>i)</w:t>
      </w:r>
      <w:r w:rsidRPr="007D7B32">
        <w:tab/>
        <w:t>zahrnula do návrhu rozpočtu na rok 2025 dodatečné finanční prostředky potřebné pro programy Horizont 2020 a Horizont Evropa s cílem zlepšit současný stav, kdy 7 z 10 vysoce kvalitních návrhů stále nelze financovat;</w:t>
      </w:r>
    </w:p>
    <w:p w:rsidR="00FA2D6B" w:rsidRPr="007D7B32" w:rsidRDefault="00FA2D6B" w:rsidP="005E7441">
      <w:pPr>
        <w:tabs>
          <w:tab w:val="left" w:pos="665"/>
        </w:tabs>
        <w:spacing w:after="240"/>
        <w:ind w:left="1134" w:hanging="567"/>
        <w:rPr>
          <w:spacing w:val="-6"/>
          <w:szCs w:val="24"/>
        </w:rPr>
      </w:pPr>
      <w:proofErr w:type="spellStart"/>
      <w:r w:rsidRPr="007D7B32">
        <w:t>ii</w:t>
      </w:r>
      <w:proofErr w:type="spellEnd"/>
      <w:r w:rsidRPr="007D7B32">
        <w:t>)</w:t>
      </w:r>
      <w:r w:rsidRPr="007D7B32">
        <w:tab/>
        <w:t>pokračovala v uplatňování zjednodušených pravidel a postupů, opatření v oblasti digitalizace a zjednodušeného vykazování nákladů a zároveň řešila zejména riziko nesrovnalostí a podvodů a náklady na kontroly;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iii</w:t>
      </w:r>
      <w:proofErr w:type="spellEnd"/>
      <w:r w:rsidRPr="007D7B32">
        <w:t>)</w:t>
      </w:r>
      <w:r w:rsidRPr="007D7B32">
        <w:tab/>
        <w:t>pokračovala ve zjednodušování pravidel a postupů v souladu s novým finančním nařízením, podporovala školení a praktické informace pro žadatele v členských státech, zejména pro malé a střední podniky, osamostatněné podniky, začínající podniky, regionální nevládní organizace nebo místní akční skupiny;</w:t>
      </w:r>
    </w:p>
    <w:p w:rsidR="00FA2D6B" w:rsidRPr="007D7B32" w:rsidRDefault="00FA2D6B" w:rsidP="005E7441">
      <w:pPr>
        <w:tabs>
          <w:tab w:val="left" w:pos="665"/>
        </w:tabs>
        <w:spacing w:after="240"/>
        <w:ind w:left="1134" w:hanging="567"/>
      </w:pPr>
      <w:proofErr w:type="spellStart"/>
      <w:r w:rsidRPr="007D7B32">
        <w:t>iv</w:t>
      </w:r>
      <w:proofErr w:type="spellEnd"/>
      <w:r w:rsidRPr="007D7B32">
        <w:t>)</w:t>
      </w:r>
      <w:r w:rsidRPr="007D7B32">
        <w:tab/>
        <w:t>pokračovala v propagaci používání nástroje „</w:t>
      </w:r>
      <w:proofErr w:type="spellStart"/>
      <w:r w:rsidRPr="007D7B32">
        <w:t>Personnel</w:t>
      </w:r>
      <w:proofErr w:type="spellEnd"/>
      <w:r w:rsidRPr="007D7B32">
        <w:t xml:space="preserve"> </w:t>
      </w:r>
      <w:proofErr w:type="spellStart"/>
      <w:r w:rsidRPr="007D7B32">
        <w:t>Costs</w:t>
      </w:r>
      <w:proofErr w:type="spellEnd"/>
      <w:r w:rsidRPr="007D7B32">
        <w:t xml:space="preserve"> </w:t>
      </w:r>
      <w:proofErr w:type="spellStart"/>
      <w:r w:rsidRPr="007D7B32">
        <w:t>Wizard</w:t>
      </w:r>
      <w:proofErr w:type="spellEnd"/>
      <w:r w:rsidRPr="007D7B32">
        <w:t>“ u příjemců, zejména u nových příjemců a malých a středních podniků, s cílem snížit míru chyb v oblasti personálních nákladů;</w:t>
      </w:r>
    </w:p>
    <w:p w:rsidR="00FA2D6B" w:rsidRPr="007D7B32" w:rsidRDefault="00FA2D6B" w:rsidP="005E7441">
      <w:pPr>
        <w:tabs>
          <w:tab w:val="left" w:pos="665"/>
        </w:tabs>
        <w:spacing w:after="240"/>
        <w:ind w:left="1134" w:hanging="567"/>
      </w:pPr>
      <w:r w:rsidRPr="007D7B32">
        <w:t>v)</w:t>
      </w:r>
      <w:r w:rsidRPr="007D7B32">
        <w:tab/>
        <w:t>pokračovala ve svém úsilí o dosažení inkluzivnějšího výzkumného programu Unie poskytováním podpory, stanovením jasných cílů a organizováním zvláštních výzkumných programů pro nedostatečně zastoupené cílové skupiny, jako jsou ženy a mladí lidé, a usilovala rovněž o vyvážené zeměpisné rozložení v celé Unii;</w:t>
      </w:r>
    </w:p>
    <w:p w:rsidR="00FA2D6B" w:rsidRPr="007D7B32" w:rsidRDefault="00FA2D6B" w:rsidP="005E7441">
      <w:pPr>
        <w:tabs>
          <w:tab w:val="left" w:pos="665"/>
        </w:tabs>
        <w:spacing w:after="240"/>
        <w:ind w:left="1134" w:hanging="567"/>
      </w:pPr>
      <w:proofErr w:type="spellStart"/>
      <w:r w:rsidRPr="007D7B32">
        <w:t>vi</w:t>
      </w:r>
      <w:proofErr w:type="spellEnd"/>
      <w:r w:rsidRPr="007D7B32">
        <w:t>)</w:t>
      </w:r>
      <w:r w:rsidRPr="007D7B32">
        <w:tab/>
        <w:t xml:space="preserve">povzbuzovala a podporovala členské státy, zejména tzv. dohánějící země, aby plně využívaly synergie mezi dostupnými fondy Unie, včetně Nástroje pro oživení a odolnost a Fondu soudržnosti, ke zvýšení počtu výzkumných a inovačních </w:t>
      </w:r>
      <w:r w:rsidRPr="007D7B32">
        <w:lastRenderedPageBreak/>
        <w:t>činností v těchto zemích; a</w:t>
      </w:r>
    </w:p>
    <w:p w:rsidR="00FA2D6B" w:rsidRPr="007D7B32" w:rsidRDefault="00FA2D6B" w:rsidP="005E7441">
      <w:pPr>
        <w:tabs>
          <w:tab w:val="left" w:pos="665"/>
        </w:tabs>
        <w:spacing w:after="240"/>
        <w:ind w:left="1134" w:hanging="567"/>
        <w:rPr>
          <w:spacing w:val="-6"/>
          <w:szCs w:val="24"/>
        </w:rPr>
      </w:pPr>
      <w:proofErr w:type="spellStart"/>
      <w:r w:rsidRPr="007D7B32">
        <w:t>vii</w:t>
      </w:r>
      <w:proofErr w:type="spellEnd"/>
      <w:r w:rsidRPr="007D7B32">
        <w:t>)</w:t>
      </w:r>
      <w:r w:rsidRPr="007D7B32">
        <w:tab/>
        <w:t>pokračovala ve financování s cílem vytvořit integrovanou, inovativní a odolnou energetickou unii, která podporuje bezpečnou, udržitelnou, konkurenceschopnou a cenově dostupnou energii pro všechny, zejména pro malé a střední podniky a zranitelné a energeticky chudé spotřebitele, a zároveň urychlila přechod Evropy na čistou a spravedlivou energii, aby se do roku 2050 stala prvním klimaticky neutrálním kontinentem;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viii</w:t>
      </w:r>
      <w:proofErr w:type="spellEnd"/>
      <w:r w:rsidRPr="007D7B32">
        <w:t>)</w:t>
      </w:r>
      <w:r w:rsidRPr="007D7B32">
        <w:tab/>
        <w:t>zvýšila informovanost, soudržnost a udržitelnost podpory internacionalizace malých a středních podniků;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ix</w:t>
      </w:r>
      <w:proofErr w:type="spellEnd"/>
      <w:r w:rsidRPr="007D7B32">
        <w:t>)</w:t>
      </w:r>
      <w:r w:rsidRPr="007D7B32">
        <w:tab/>
        <w:t>kontrolovala skutečné provádění projektů financovaných prostřednictvím jednorázových částek;</w:t>
      </w:r>
    </w:p>
    <w:p w:rsidR="00FA2D6B" w:rsidRPr="007D7B32" w:rsidRDefault="00FA2D6B" w:rsidP="005E7441">
      <w:pPr>
        <w:pStyle w:val="NormalHanging12a"/>
        <w:ind w:left="1134"/>
      </w:pPr>
      <w:r w:rsidRPr="007D7B32">
        <w:t>x)</w:t>
      </w:r>
      <w:r w:rsidRPr="007D7B32">
        <w:tab/>
        <w:t>podala zprávu orgánu příslušnému k udělení absolutoria o následujícím:</w:t>
      </w:r>
    </w:p>
    <w:p w:rsidR="00FA2D6B" w:rsidRPr="007D7B32" w:rsidRDefault="00FA2D6B" w:rsidP="005E7441">
      <w:pPr>
        <w:pStyle w:val="NormalHanging12a"/>
        <w:ind w:left="1701"/>
      </w:pPr>
      <w:r w:rsidRPr="007D7B32">
        <w:t>a</w:t>
      </w:r>
      <w:r w:rsidR="007D6122" w:rsidRPr="007D7B32">
        <w:t>)</w:t>
      </w:r>
      <w:r w:rsidRPr="007D7B32">
        <w:tab/>
        <w:t>kolik případů podezření z podvodu postoupily příslušné útvary Komise do systému EDES, z jakých důvodů a kolik z těchto případů vedlo 1. k rozhodnutí o včasném odhalení, 2. k rozhodnutí panelu o vyloučení;</w:t>
      </w:r>
    </w:p>
    <w:p w:rsidR="00FA2D6B" w:rsidRPr="007D7B32" w:rsidRDefault="00FA2D6B" w:rsidP="005E7441">
      <w:pPr>
        <w:pStyle w:val="NormalHanging12a"/>
        <w:ind w:left="1701"/>
      </w:pPr>
      <w:r w:rsidRPr="007D7B32">
        <w:t>b</w:t>
      </w:r>
      <w:r w:rsidR="007D6122" w:rsidRPr="007D7B32">
        <w:t>)</w:t>
      </w:r>
      <w:r w:rsidRPr="007D7B32">
        <w:tab/>
        <w:t>na jak dlouhou dobu byly subjekty vyloučeny z účasti na finančních prostředcích Unie;</w:t>
      </w:r>
    </w:p>
    <w:p w:rsidR="00FA2D6B" w:rsidRPr="007D7B32" w:rsidRDefault="00FA2D6B" w:rsidP="005E7441">
      <w:pPr>
        <w:pStyle w:val="NormalHanging12a"/>
        <w:ind w:left="1701"/>
      </w:pPr>
      <w:r w:rsidRPr="007D7B32">
        <w:t>c</w:t>
      </w:r>
      <w:r w:rsidR="007D6122" w:rsidRPr="007D7B32">
        <w:t>)</w:t>
      </w:r>
      <w:r w:rsidRPr="007D7B32">
        <w:tab/>
        <w:t>pokud některý z vyloučených subjektů obdržel finanční prostředky Unie po skončení platnosti rozhodnutí o vyloučení;</w:t>
      </w:r>
    </w:p>
    <w:p w:rsidR="00FA2D6B" w:rsidRPr="007D7B32" w:rsidRDefault="00FA2D6B" w:rsidP="005E7441">
      <w:pPr>
        <w:pStyle w:val="Title"/>
        <w:spacing w:after="240"/>
        <w:ind w:left="567" w:hanging="567"/>
        <w:rPr>
          <w:i/>
        </w:rPr>
      </w:pPr>
      <w:r w:rsidRPr="007D7B32">
        <w:rPr>
          <w:i/>
        </w:rPr>
        <w:t xml:space="preserve">Soudržnost, odolnost a hodnoty 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  <w:shd w:val="clear" w:color="auto" w:fill="FFFFFF"/>
        </w:rPr>
      </w:pPr>
      <w:r w:rsidRPr="007D7B32">
        <w:rPr>
          <w:shd w:val="clear" w:color="auto" w:fill="FFFFFF"/>
        </w:rPr>
        <w:t>9</w:t>
      </w:r>
      <w:r w:rsidR="004457C8" w:rsidRPr="007D7B32">
        <w:rPr>
          <w:shd w:val="clear" w:color="auto" w:fill="FFFFFF"/>
        </w:rPr>
        <w:t>6</w:t>
      </w:r>
      <w:r w:rsidRPr="007D7B32">
        <w:rPr>
          <w:shd w:val="clear" w:color="auto" w:fill="FFFFFF"/>
        </w:rPr>
        <w:t>.</w:t>
      </w:r>
      <w:r w:rsidRPr="007D7B32">
        <w:rPr>
          <w:shd w:val="clear" w:color="auto" w:fill="FFFFFF"/>
        </w:rPr>
        <w:tab/>
        <w:t>konstatuje, že rozpočet na programy v rámci okruhu 2 VFR „Soudržnost, odolnost a hodnoty“ činil 79,1 miliardy EUR (40,4 % rozpočtu Unie) a byl rozdělen takto: 53,6 % pro Evropský fond pro regionální rozvoj (EFRR) a další regionální operace, 23,6 % pro Evropský sociální fond (ESF), 12,6 % pro Fond soudržnosti (FS), 4,4 % pro Erasmus+, 2,3 % pro CEF – doprava, 0,6 % pro ESI a 2,9 % pro ostatní oblasti; konstatuje, že k 31. prosinci 2022 činily konečné schválené prostředky na rozpočtové závazky 67 805,19 milionu EUR a 98,29 % z nich bylo realizováno (66 644,24 milionu EUR); dále konstatuje, že konečné schválené rozpočtové prostředky na platby činily 63 104,31 milionu EUR a 99,86 % z nich bylo realizováno (63 054,76 milionu EUR);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  <w:shd w:val="clear" w:color="auto" w:fill="FFFFFF"/>
        </w:rPr>
      </w:pPr>
      <w:r w:rsidRPr="007D7B32">
        <w:rPr>
          <w:shd w:val="clear" w:color="auto" w:fill="FFFFFF"/>
        </w:rPr>
        <w:t>9</w:t>
      </w:r>
      <w:r w:rsidR="004457C8" w:rsidRPr="007D7B32">
        <w:rPr>
          <w:shd w:val="clear" w:color="auto" w:fill="FFFFFF"/>
        </w:rPr>
        <w:t>7</w:t>
      </w:r>
      <w:r w:rsidRPr="007D7B32">
        <w:rPr>
          <w:shd w:val="clear" w:color="auto" w:fill="FFFFFF"/>
        </w:rPr>
        <w:t>.</w:t>
      </w:r>
      <w:r w:rsidRPr="007D7B32">
        <w:rPr>
          <w:shd w:val="clear" w:color="auto" w:fill="FFFFFF"/>
        </w:rPr>
        <w:tab/>
        <w:t xml:space="preserve">konstatuje, že v roce 2022 pokračovalo provádění politiky soudržnosti v rámci programového období 2014–2020 a že pro období 2021–2027 Komise ukončila jednání o všech programech a provedla pouze zálohové platby, které činily 6,5 miliardy EUR; </w:t>
      </w:r>
    </w:p>
    <w:p w:rsidR="00FA2D6B" w:rsidRPr="007D7B32" w:rsidRDefault="00FA2D6B" w:rsidP="005E7441">
      <w:pPr>
        <w:pStyle w:val="NormalHanging12a"/>
        <w:rPr>
          <w:szCs w:val="24"/>
        </w:rPr>
      </w:pPr>
      <w:r w:rsidRPr="007D7B32">
        <w:t>9</w:t>
      </w:r>
      <w:r w:rsidR="004457C8" w:rsidRPr="007D7B32">
        <w:t>8</w:t>
      </w:r>
      <w:r w:rsidRPr="007D7B32">
        <w:t>.</w:t>
      </w:r>
      <w:r w:rsidRPr="007D7B32">
        <w:tab/>
        <w:t xml:space="preserve">připomíná, že výdaje v rámci </w:t>
      </w:r>
      <w:proofErr w:type="spellStart"/>
      <w:r w:rsidRPr="007D7B32">
        <w:t>podokruhu</w:t>
      </w:r>
      <w:proofErr w:type="spellEnd"/>
      <w:r w:rsidRPr="007D7B32">
        <w:t xml:space="preserve"> 2a – „Hospodářská, sociální a územní soudržnost“ – se zaměřují na snižování rozdílů v rozvoji jednotlivých členských států a regionů Unie; poukazuje na význam unijní politiky soudržnosti při podpoře uplatňování evropského pilíře sociálních práv, dosahování jeho hlavních cílů a při pomoci členským státům a regionům s využíváním nových příležitostí a zvládáním výzev, jako je globalizace, nezaměstnanost, chudoba a sociální vyloučení, průmyslové změny, digitalizace a podpora prohlubování dovedností a změny kvalifikace pracovníků a celoživotního vzdělávání;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lastRenderedPageBreak/>
        <w:t>9</w:t>
      </w:r>
      <w:r w:rsidR="004457C8" w:rsidRPr="007D7B32">
        <w:t>9</w:t>
      </w:r>
      <w:r w:rsidRPr="007D7B32">
        <w:t>.</w:t>
      </w:r>
      <w:r w:rsidRPr="007D7B32">
        <w:tab/>
        <w:t>připomíná zvláštní zprávu Účetního dvora 27/2021 „Podpora cestovního ruchu v EU: Potřeba nové strategické orientace a lepšího způsobu financování“; připomíná, že Účetní dvůr Komisi doporučil, aby ve spolupráci s členskými státy vytvořila novou konsolidovanou strategii pro ekosystém cestovního ruchu Unie, na jejímž základě by měl být vypracován účinný program pro cestovní ruch pro rok 2030, a aby uspořádala výběrová řízení na investice do cestovního ruchu financované z EFRR na podporu této nové strategické orientace; zdůrazňuje, že Komise má členským státům pomáhat s podporou investic do cestovního ruchu v souladu se strategickou agendou;</w:t>
      </w:r>
    </w:p>
    <w:p w:rsidR="00FA2D6B" w:rsidRPr="007D7B32" w:rsidRDefault="004457C8" w:rsidP="005E7441">
      <w:pPr>
        <w:pStyle w:val="NormalHanging12a"/>
      </w:pPr>
      <w:r w:rsidRPr="007D7B32">
        <w:t>100</w:t>
      </w:r>
      <w:r w:rsidR="00FA2D6B" w:rsidRPr="007D7B32">
        <w:t>.</w:t>
      </w:r>
      <w:r w:rsidR="00FA2D6B" w:rsidRPr="007D7B32">
        <w:tab/>
        <w:t>bere na vědomí, že míra čerpání prostředků politiky soudržnosti v rámci programového období 2014–2020 dosáhla na konci roku 2022 výše 79,2 % (86 % na konci roku 2023, včetně nově přidané pomoci při oživení pro soudržnost a území Evropy (REACT-EU) v letech 2021–2022), přičemž ve stejném časovém období dosáhla podobné úrovně jako v období 2007–2013; je znepokojen tím, že této úrovně čerpání bylo dosaženo pouze dočasnou 100% mírou spolufinancování ze strany Unie a upuštěním od požadavku na vnitrostátní spolufinancování projektů, což je dlouhodobou zásadou poskytování financí Unie; konstatuje, že programy na období 2014–2020 zahrnují více než 1 milion projektů a že dosud podpořily 2,4 milionu podniků, vytvořily 370 000 nových pracovních míst, zvýšily energetickou účinnost více než 540 000 domácností, vytvořily 6 000 megawattů nových obnovitelných zdrojů energie a že 6,3 milionu domácností využívalo širokopásmové připojení; konstatuje, že čerpání v roce 2022 se z velké části zlepšilo v důsledku iniciativ CRII, CRII+, CARE a FAST-CARE pro účely reakce na krize, což omezilo projekty na podporu cílů strukturální soudržnosti spočívající ve vytváření konvergence a soudržnosti v Unii;</w:t>
      </w:r>
    </w:p>
    <w:p w:rsidR="00FA2D6B" w:rsidRPr="007D7B32" w:rsidRDefault="004457C8" w:rsidP="005E7441">
      <w:pPr>
        <w:pStyle w:val="Normal12a"/>
        <w:ind w:left="567" w:hanging="567"/>
      </w:pPr>
      <w:r w:rsidRPr="007D7B32">
        <w:t>101</w:t>
      </w:r>
      <w:r w:rsidR="00FA2D6B" w:rsidRPr="007D7B32">
        <w:t>.</w:t>
      </w:r>
      <w:r w:rsidR="00FA2D6B" w:rsidRPr="007D7B32">
        <w:tab/>
        <w:t>vítá finanční flexibilitu při využívání fondů soudržnosti a zdůrazňuje, že díky této flexibilitě hrála politika soudržnosti přední úlohu při řešení krize COVID-19, mimořádných událostí souvisejících s válkou a energetické krize; připomíná však, že účelem této politiky je zajistit dlouhodobé plánování opatření, která by měla posílit hospodářskou, sociální a územní soudržnost mezi evropskými regiony; domnívá se, že politika soudržnosti po roce 2027 musí zajistit potřebnou flexibilitu při využívání finančních prostředků, aby mohly členské státy a regionální a místní orgány směrovat zdroje vhodným a spolehlivým způsobem, v plném souladu s dlouhodobými cíli politiky soudržnosti;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  <w:shd w:val="clear" w:color="auto" w:fill="FFFFFF"/>
        </w:rPr>
      </w:pPr>
      <w:r w:rsidRPr="007D7B32">
        <w:rPr>
          <w:shd w:val="clear" w:color="auto" w:fill="FFFFFF"/>
        </w:rPr>
        <w:t>10</w:t>
      </w:r>
      <w:r w:rsidR="004457C8" w:rsidRPr="007D7B32">
        <w:rPr>
          <w:shd w:val="clear" w:color="auto" w:fill="FFFFFF"/>
        </w:rPr>
        <w:t>2</w:t>
      </w:r>
      <w:r w:rsidRPr="007D7B32">
        <w:rPr>
          <w:shd w:val="clear" w:color="auto" w:fill="FFFFFF"/>
        </w:rPr>
        <w:t>.</w:t>
      </w:r>
      <w:r w:rsidRPr="007D7B32">
        <w:rPr>
          <w:shd w:val="clear" w:color="auto" w:fill="FFFFFF"/>
        </w:rPr>
        <w:tab/>
        <w:t>dále konstatuje, že v roce 2022 bylo v rámci Akce v rámci politiky soudržnosti na podporu uprchlíků v Evropě (CARE) a flexibilní pomoci územím (FAST-CARE) mobilizováno více než 1,3 miliardy EUR na pomoc členským státům a regionům při podpoře milionů ukrajinských uprchlíků, kteří hledají útočiště na území Unie, včetně hlavních programů sociální integrace, zdravotní péče, potravinové či základní pomoci a orientace na trhu práce; vítá, že navrhovaná opatření podléhají stejným povinnostem, pokud jde o odpovídající systémy řízení a kontroly a řádné finanční řízení, které se vztahují na fondy politiky soudržnosti;</w:t>
      </w:r>
    </w:p>
    <w:p w:rsidR="00FA2D6B" w:rsidRPr="007D7B32" w:rsidRDefault="00FA2D6B" w:rsidP="005E7441">
      <w:pPr>
        <w:pStyle w:val="NormalHanging12a"/>
      </w:pPr>
      <w:r w:rsidRPr="007D7B32">
        <w:t>10</w:t>
      </w:r>
      <w:r w:rsidR="006B01DD" w:rsidRPr="007D7B32">
        <w:t>3</w:t>
      </w:r>
      <w:r w:rsidRPr="007D7B32">
        <w:t>.</w:t>
      </w:r>
      <w:r w:rsidRPr="007D7B32">
        <w:tab/>
        <w:t xml:space="preserve">konstatuje, že Účetní dvůr prověřil vzorek 260 transakcí, který zahrnuje celou škálu výdajů v rámci okruhu 2 VFR; se znepokojením konstatuje, že celková míra chyb odhadovaná Účetním dvorem v oblasti „Soudržnost, odolnost a hodnoty“ v roce 2022 vzrostla na 6,4 %, což je výrazně nad prahem významnosti, přičemž již zohledňuje opravy v celkové hodnotě 618 milionů EUR, které členské státy uplatnily v roce 2022; upozorňuje na výrazný nárůst celkové míry chyb odhadované Účetním dvorem v roce 2022 ve srovnání s předchozími roky (3,6 % v roce 2021, 3,5 % v roce 2020), zatímco </w:t>
      </w:r>
      <w:r w:rsidRPr="007D7B32">
        <w:lastRenderedPageBreak/>
        <w:t>Komise odhaduje riziko plateb pro rok 2022 v rozmezí 1,9 % až 2,7 %, podobně jako v předchozích letech (1,9 % – 2,5 % v roce 2021, 2,1 % – 2,6 % v roce 2020); upozorňuje na zprávu Účetního dvora, že k významné části chyb (3 % z 6,4 %) došlo ve výdajích pocházejících z CRII a CRII+;</w:t>
      </w:r>
    </w:p>
    <w:p w:rsidR="00FA2D6B" w:rsidRPr="007D7B32" w:rsidRDefault="00FA2D6B" w:rsidP="005E7441">
      <w:pPr>
        <w:pStyle w:val="NormalHanging12a"/>
      </w:pPr>
      <w:r w:rsidRPr="007D7B32">
        <w:t>10</w:t>
      </w:r>
      <w:r w:rsidR="006B01DD" w:rsidRPr="007D7B32">
        <w:t>4</w:t>
      </w:r>
      <w:r w:rsidRPr="007D7B32">
        <w:t>.</w:t>
      </w:r>
      <w:r w:rsidRPr="007D7B32">
        <w:tab/>
        <w:t>je znepokojen zjištěním Účetního dvora, že blížící se konec období způsobilosti pro programy 2014–2020 (31. prosince 2023) zvýšil tlak na čerpání a že v období pandemie COVID-19 se mohla snížit účinnost kontrol a ověřování prováděných řídicími a auditními orgány, což mohlo zvýšit riziko neodhalených chyb a nesrovnalostí; bere na vědomí, že Komise uznává, že specifická situace a flexibilita poskytnutá během pandemie COVID-19 mohly hrát roli v rámci rizika nesrovnalostí v důsledku potřeby najít alternativní (vzdálené) způsoby kontroly výdajů; zdůrazňuje však, že podle Komise zjištěná rizika a nesrovnalosti souvisejí spíše s typem opatření prováděných v období pandemie COVID-19 nebo s uplatňováním či chápáním flexibility zavedené do pravidel pro zadávání veřejných zakázek;</w:t>
      </w:r>
    </w:p>
    <w:p w:rsidR="00FA2D6B" w:rsidRPr="007D7B32" w:rsidRDefault="00FA2D6B" w:rsidP="005E7441">
      <w:pPr>
        <w:pStyle w:val="NormalHanging12a"/>
      </w:pPr>
      <w:r w:rsidRPr="007D7B32">
        <w:t>10</w:t>
      </w:r>
      <w:r w:rsidR="006B01DD" w:rsidRPr="007D7B32">
        <w:t>5</w:t>
      </w:r>
      <w:r w:rsidRPr="007D7B32">
        <w:t>.</w:t>
      </w:r>
      <w:r w:rsidRPr="007D7B32">
        <w:tab/>
        <w:t>bere na vědomí vysvětlení Účetního dvora, že jeho míra chyb se týká podílu vykázaných výdajů, u nichž se domnívá, že podmínky pro platby stanovené v nařízení (EU, Euratom) 2018/1046 (dále jen „finanční nařízení“)</w:t>
      </w:r>
      <w:r w:rsidRPr="007D7B32">
        <w:rPr>
          <w:rStyle w:val="FootnoteReference"/>
        </w:rPr>
        <w:footnoteReference w:id="73"/>
      </w:r>
      <w:r w:rsidRPr="007D7B32">
        <w:t>, nařízení o společných ustanoveních a ve směrnici (EU) 2017/1371 o ochraně finančních zájmů Unie</w:t>
      </w:r>
      <w:r w:rsidRPr="007D7B32">
        <w:rPr>
          <w:rStyle w:val="FootnoteReference"/>
        </w:rPr>
        <w:footnoteReference w:id="74"/>
      </w:r>
      <w:r w:rsidRPr="007D7B32">
        <w:t xml:space="preserve"> nebyly zcela dodrženy, což vedlo k přímému a měřitelnému finančnímu dopadu na částku platby z rozpočtu Unie, která byla tehdy schválena; bere na vědomí upřesnění Účetního dvora, že chybovost by neměla být vykládána jako ekvivalent potenciální výše finančních oprav, které může Komise uložit v souladu s platnými pravidly; domnívá se, že vysoká míra chyb naznačuje plýtvání zdroji, zejména v politice soudržnosti, kde se mnoho řídicích orgánů potýká se souběžným prováděním Nástroje pro oživení a odolnost;</w:t>
      </w:r>
    </w:p>
    <w:p w:rsidR="00FA2D6B" w:rsidRPr="007D7B32" w:rsidRDefault="00FA2D6B" w:rsidP="005E7441">
      <w:pPr>
        <w:pStyle w:val="NormalHanging12a"/>
      </w:pPr>
      <w:r w:rsidRPr="007D7B32">
        <w:t>10</w:t>
      </w:r>
      <w:r w:rsidR="006B01DD" w:rsidRPr="007D7B32">
        <w:t>6</w:t>
      </w:r>
      <w:r w:rsidRPr="007D7B32">
        <w:t>.</w:t>
      </w:r>
      <w:r w:rsidRPr="007D7B32">
        <w:tab/>
        <w:t>konstatuje, že ve výročních zprávách o činnosti Komise uvádí riziko chybných plateb pro každý program a celkově pro fondy, které se týká nesrovnalostí vedoucích k finančním opravám; konstatuje, že pro uložení finančních oprav musí Komise dospět k závěru, že došlo k nesrovnalosti ve smyslu čl. 2 odst. 36 nařízení o společných ustanoveních, přičemž ne všechna formální porušení a chyby, které Účetní dvůr zahrnul do své odhadované míry chybovosti jako vyčíslitelné chyby, vedou k nezpůsobilým výdajům, protože je nelze považovat za nesrovnalost ve smyslu čl. 2 odst. 36 nařízení o společných ustanoveních; konstatuje, že pro orgán příslušný k udělení absolutoria je užitečné, aby měl manažerský pohled na zjištěné chyby;</w:t>
      </w:r>
    </w:p>
    <w:p w:rsidR="00532512" w:rsidRPr="007D7B32" w:rsidRDefault="006B01DD" w:rsidP="005E7441">
      <w:pPr>
        <w:pStyle w:val="NormalHanging12a"/>
      </w:pPr>
      <w:r w:rsidRPr="007D7B32">
        <w:t>107</w:t>
      </w:r>
      <w:r w:rsidR="00532512" w:rsidRPr="007D7B32">
        <w:t>.</w:t>
      </w:r>
      <w:r w:rsidR="00532512" w:rsidRPr="007D7B32">
        <w:tab/>
        <w:t xml:space="preserve">konstatuje, že Komise přijímá všechna doporučení Účetního dvora v rámci okruhu 2 VFR „Soudržnost, odolnost a hodnoty“, ačkoli přetrvávají rozdíly v klasifikaci chyb zjištěných oběma orgány; vyzývá Komisi, aby s Účetním dvorem a všemi příslušnými </w:t>
      </w:r>
      <w:r w:rsidR="00532512" w:rsidRPr="007D7B32">
        <w:lastRenderedPageBreak/>
        <w:t>zúčastněnými stranami úzce spolupracovala s cílem dále vyjasnit platná pravidla a zmenšit rozdíly a zároveň zajistit, aby audity nevedly k nadměrné administrativní zátěži pro příjemce;</w:t>
      </w:r>
    </w:p>
    <w:p w:rsidR="00FA2D6B" w:rsidRPr="007D7B32" w:rsidRDefault="00FA2D6B" w:rsidP="005E7441">
      <w:pPr>
        <w:pStyle w:val="NormalHanging12a"/>
      </w:pPr>
      <w:r w:rsidRPr="007D7B32">
        <w:t>10</w:t>
      </w:r>
      <w:r w:rsidR="006B01DD" w:rsidRPr="007D7B32">
        <w:t>8</w:t>
      </w:r>
      <w:r w:rsidRPr="007D7B32">
        <w:t>.</w:t>
      </w:r>
      <w:r w:rsidRPr="007D7B32">
        <w:tab/>
        <w:t xml:space="preserve">se znepokojením konstatuje, že Účetní dvůr zjistil nárůst specifických typů chyb, jako jsou nezpůsobilé náklady a projekty a porušování pravidel vnitřního trhu, včetně pravidel zadávání veřejných zakázek a státní podpory, a zdůrazňuje, že tyto typy chyb by mohly souviset se špatnou správou věcí veřejných; konstatuje, že 3 % z 6,4% míry chyb odhadované Účetním dvorem v okruhu 2 souvisí se 100% spolufinancováním priorit v rámci investiční iniciativy pro reakci na </w:t>
      </w:r>
      <w:proofErr w:type="spellStart"/>
      <w:r w:rsidRPr="007D7B32">
        <w:t>koronavirus</w:t>
      </w:r>
      <w:proofErr w:type="spellEnd"/>
      <w:r w:rsidRPr="007D7B32">
        <w:t xml:space="preserve"> (CRII+), která umožnila pružnější čerpání; opakuje, že větší flexibilita by nikdy neměla vést k ohrožení kvality a kontrol; žádá Komisi, aby přezkoumala současnou situaci s cílem zabránit podobným situacím v budoucnu; konstatuje, že Komise při auditu nezjistila důkazy o celkovém významném dopadu nových typů opatření a zavedených flexibilit na míru chybovosti programů, a bere na vědomí skutečnost, že Komise přijala opatření, aby tomuto riziku předešla;</w:t>
      </w:r>
    </w:p>
    <w:p w:rsidR="00FA2D6B" w:rsidRPr="007D7B32" w:rsidRDefault="00FA2D6B" w:rsidP="005E7441">
      <w:pPr>
        <w:pStyle w:val="NormalHanging12a"/>
      </w:pPr>
      <w:r w:rsidRPr="007D7B32">
        <w:t>10</w:t>
      </w:r>
      <w:r w:rsidR="006B01DD" w:rsidRPr="007D7B32">
        <w:t>9</w:t>
      </w:r>
      <w:r w:rsidRPr="007D7B32">
        <w:t>.</w:t>
      </w:r>
      <w:r w:rsidRPr="007D7B32">
        <w:tab/>
        <w:t>konstatuje, že Účetní dvůr zjistil případy projektů, u nichž byly schváleny nezpůsobilé výdaje, jakož i jejich příspěvek k celkové odhadované míře chyb; zdůrazňuje, že je důležité napravit systémové základní příčiny a že je třeba, aby auditní orgány účinně posuzovaly kritéria způsobilosti;</w:t>
      </w:r>
    </w:p>
    <w:p w:rsidR="00FA2D6B" w:rsidRPr="007D7B32" w:rsidRDefault="00FA2D6B" w:rsidP="005E7441">
      <w:pPr>
        <w:pStyle w:val="NormalHanging12a"/>
      </w:pPr>
      <w:r w:rsidRPr="007D7B32">
        <w:t>1</w:t>
      </w:r>
      <w:r w:rsidR="006B01DD" w:rsidRPr="007D7B32">
        <w:t>10</w:t>
      </w:r>
      <w:r w:rsidRPr="007D7B32">
        <w:t>.</w:t>
      </w:r>
      <w:r w:rsidRPr="007D7B32">
        <w:tab/>
        <w:t>konstatuje, že Komise se domnívá, že vlastní prohlášení jsou užitečným nástrojem k poskytnutí jistoty, pokud by nalezení alternativních podpůrných důkazů bylo pro příjemce obtížné nebo administrativně příliš nákladné; podporuje doporučení Účetního dvora zlepšit kontroly vlastních prohlášení vydaných příjemci finančních prostředků ze strany auditních orgánů s cílem zajistit jejich platnost a spolehlivost;</w:t>
      </w:r>
    </w:p>
    <w:p w:rsidR="00FA2D6B" w:rsidRPr="007D7B32" w:rsidRDefault="00FA2D6B" w:rsidP="005E7441">
      <w:pPr>
        <w:pStyle w:val="NormalHanging12a"/>
      </w:pPr>
      <w:r w:rsidRPr="007D7B32">
        <w:t>1</w:t>
      </w:r>
      <w:r w:rsidR="006B01DD" w:rsidRPr="007D7B32">
        <w:t>11</w:t>
      </w:r>
      <w:r w:rsidRPr="007D7B32">
        <w:t>.</w:t>
      </w:r>
      <w:r w:rsidRPr="007D7B32">
        <w:tab/>
        <w:t>konstatuje, že v případě EFRR a FS provedla Komise v průběhu programového období finanční opravy a odnětí ve výši 11 miliard EUR, včetně 2,4 miliardy EUR na účetní rok 2021–2022; konstatuje, že tyto finanční opravy dosud nevedly k žádné ztrátě financování pro členské státy, neboť Komise v období 2014–2020 dosud neprovedla žádnou čistou finanční opravu; dále konstatuje, že Komise pokračuje v provádění cíleného „akčního plánu pro zadávání veřejných zakázek a státní podporu“ ve spolupráci s členskými státy; uznává, že za provádění finančních oprav, o nichž rozhoduje Komise, jsou primárně odpovědné vnitrostátní orgány, domnívá se však, že by měly být provedeny dodatečné kontroly s cílem potvrdit, že všechny opravy byly provedeny správně;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hd w:val="clear" w:color="auto" w:fill="FFFFFF"/>
        </w:rPr>
      </w:pPr>
      <w:r w:rsidRPr="007D7B32">
        <w:rPr>
          <w:shd w:val="clear" w:color="auto" w:fill="FFFFFF"/>
        </w:rPr>
        <w:t>1</w:t>
      </w:r>
      <w:r w:rsidR="006B01DD" w:rsidRPr="007D7B32">
        <w:rPr>
          <w:shd w:val="clear" w:color="auto" w:fill="FFFFFF"/>
        </w:rPr>
        <w:t>12</w:t>
      </w:r>
      <w:r w:rsidRPr="007D7B32">
        <w:rPr>
          <w:shd w:val="clear" w:color="auto" w:fill="FFFFFF"/>
        </w:rPr>
        <w:t>.</w:t>
      </w:r>
      <w:r w:rsidRPr="007D7B32">
        <w:rPr>
          <w:shd w:val="clear" w:color="auto" w:fill="FFFFFF"/>
        </w:rPr>
        <w:tab/>
        <w:t>bere na vědomí poznámku Účetního dvora, že překrývání programových období spolu s dostupností dalších nástrojů financování v rámci NGEU (REACT-EU a Nástroj pro oživení a odolnost) s omezenější dobou trvání mohlo v programovém období a na začátku provádění programů soudržnosti na období 2021–2027 zatížit správní kapacitu členských států; konstatuje, že v roce 2022 se vnitrostátní a regionální orgány musely zaměřit na přeprogramování programů politiky soudržnosti na období 2014–2020, včetně zavedení opatření financovaných v rámci CRII(+), REACT-EU, flexibilní pomoci územím (FAST-CARE) a podpory cenově dostupné energie (SAFE), jakož i na provádění národních plánů v rámci Nástroje pro oživení a odolnost s cílem řešit různá krizová, ozdravná a záchranná opatření; bere na vědomí, že Generální ředitelství pro regionální a městskou politiku (GŘ REGIO) poskytuje podporu vnitrostátním a regionálním orgánům s cílem zajistit úplné provádění programů na období 2014–2020;</w:t>
      </w:r>
    </w:p>
    <w:p w:rsidR="00532512" w:rsidRPr="007D7B32" w:rsidRDefault="006B01DD" w:rsidP="005E7441">
      <w:pPr>
        <w:tabs>
          <w:tab w:val="left" w:pos="665"/>
        </w:tabs>
        <w:spacing w:after="240"/>
        <w:ind w:left="567" w:hanging="567"/>
        <w:rPr>
          <w:szCs w:val="24"/>
          <w:shd w:val="clear" w:color="auto" w:fill="FFFFFF"/>
        </w:rPr>
      </w:pPr>
      <w:r w:rsidRPr="007D7B32">
        <w:rPr>
          <w:szCs w:val="24"/>
          <w:shd w:val="clear" w:color="auto" w:fill="FFFFFF"/>
        </w:rPr>
        <w:lastRenderedPageBreak/>
        <w:t>113</w:t>
      </w:r>
      <w:r w:rsidR="00532512" w:rsidRPr="007D7B32">
        <w:rPr>
          <w:szCs w:val="24"/>
          <w:shd w:val="clear" w:color="auto" w:fill="FFFFFF"/>
        </w:rPr>
        <w:t>.</w:t>
      </w:r>
      <w:r w:rsidR="00532512" w:rsidRPr="007D7B32">
        <w:rPr>
          <w:szCs w:val="24"/>
          <w:shd w:val="clear" w:color="auto" w:fill="FFFFFF"/>
        </w:rPr>
        <w:tab/>
        <w:t>vyjadřuje hluboké znepokojení nad nedávným případem údajného zneužití finančních prostředků Unie ve smlouvách týkajících se nákupu ochranných roušek známým jako „případ Koldo“; je znepokojen tím, že toto zneužití finančních prostředků Unie a peněz daňových poplatníků Unie zahrnovalo 14,6 milionu EUR z Evropského fondu pro regionální rozvoj (EFRR) a 3,1 milionu EUR z Fondu solidarity EU; vyjadřuje politování nad tím, že úřad EPPO obdržel příslušné informace od soukromé osoby, a nikoli od příslušného vnitrostátního orgánu; naléhavě vyzývá členské státy, aby v souladu s článkem 24 nařízení o Úřadu evropského veřejného žalobce oznamovaly úřadu EPPO neprodleně jakékoli podezření na zneužití finančních prostředků Unie; vybízí Komisi, aby pro účely auditu využívala externích odborníků, pokud je v členském státě zjištěn závažný nedostatek kapacit; konstatuje, že v tomto případě Komise navzdory provedeným auditům údajné zneužití finančních prostředků nezjistila; vybízí k používání zásady čtyř očí a k vícestupňovému ověřování při zadávání zakázek v krizových situacích, pokud v důsledku krize nejsou možná zadávací řízení, aby se zabránilo možnému zneužití finančních prostředků Unie; zdůrazňuje, že by Komise měla provádět hloubkové audity ex post u zakázek zadaných bez zadávacích řízení během krizí ve všech dotčených členských státech; dále konstatuje, že k podobným situacím došlo i v jiných členských státech, včetně nedávno odhaleného případu údajného podvodu v Portugalsku s finančními prostředky EFRR a několika případů v České republice ohledně údajného zneužití finančních prostředků REACT-EU při nákupu zdravotnického vybavení;</w:t>
      </w:r>
    </w:p>
    <w:p w:rsidR="00FA2D6B" w:rsidRPr="007D7B32" w:rsidRDefault="00FA2D6B" w:rsidP="005E7441">
      <w:pPr>
        <w:pStyle w:val="NormalHanging12a"/>
      </w:pPr>
      <w:r w:rsidRPr="007D7B32">
        <w:t>11</w:t>
      </w:r>
      <w:r w:rsidR="006B01DD" w:rsidRPr="007D7B32">
        <w:t>4</w:t>
      </w:r>
      <w:r w:rsidRPr="007D7B32">
        <w:t>.</w:t>
      </w:r>
      <w:r w:rsidRPr="007D7B32">
        <w:tab/>
        <w:t>konstatuje, že vztah mezi fondy politiky soudržnosti a ostatními nástroji financování Unie se vyznačuje doplňkovostí; připomíná, že ačkoli se fondy politiky soudržnosti a Nástroj pro oživení a odolnost teoreticky liší, pokud jde o obecné cíle, harmonogram, způsob řízení a financování, současné zkušenosti ukazují, že několik plánů pro oživení a odolnost předpokládá investice, které by byly způsobilé pro financování v rámci politiky soudržnosti; zdůrazňuje, že doplňkovost mezi fondy politiky soudržností a Nástrojem pro oživení a odolnost je možná a očekává se, pokud Nástroj pro oživení a odolnost přináší skutečnou přidanou hodnotu a tytéž náklady nejsou pokryty dvakrát; zdůrazňuje, že riziko překrývání se ke konci doby trvání Nástroje pro oživení a odolnost zvýší, a zdůrazňuje, že je třeba, aby Komise učinila maximum s cílem snížit tato rizika;</w:t>
      </w:r>
    </w:p>
    <w:p w:rsidR="00FA2D6B" w:rsidRPr="007D7B32" w:rsidRDefault="00FA2D6B" w:rsidP="005E7441">
      <w:pPr>
        <w:pStyle w:val="NormalHanging12a"/>
      </w:pPr>
      <w:r w:rsidRPr="007D7B32">
        <w:t>11</w:t>
      </w:r>
      <w:r w:rsidR="006B01DD" w:rsidRPr="007D7B32">
        <w:t>5</w:t>
      </w:r>
      <w:r w:rsidRPr="007D7B32">
        <w:t>.</w:t>
      </w:r>
      <w:r w:rsidRPr="007D7B32">
        <w:tab/>
        <w:t>žádá, aby Komise pečlivě sledovala situaci, zejména pokud jsou vnitrostátní orgány pro koordinaci Nástroje pro oživení a odolnost stejné jako v případě fondů politiky soudržnosti, a trvá na tom, aby byla pro různé složky financování Unie přidělena dostatečná dodatečná správní kapacita a lidské zdroje; poukazuje však na možná rizika, že tato souběžnost může vést k neidentifikovaným případům dvojího financování; vyzývá Komisi, aby se poučila ze zkušeností se dvěma různými modely financování;</w:t>
      </w:r>
    </w:p>
    <w:p w:rsidR="00FA2D6B" w:rsidRPr="007D7B32" w:rsidRDefault="00FA2D6B" w:rsidP="005E7441">
      <w:pPr>
        <w:pStyle w:val="NormalHanging12a"/>
      </w:pPr>
      <w:r w:rsidRPr="007D7B32">
        <w:t>11</w:t>
      </w:r>
      <w:r w:rsidR="006B01DD" w:rsidRPr="007D7B32">
        <w:t>6</w:t>
      </w:r>
      <w:r w:rsidRPr="007D7B32">
        <w:t>.</w:t>
      </w:r>
      <w:r w:rsidRPr="007D7B32">
        <w:tab/>
        <w:t>vítá, že Účetní dvůr ani Komise zatím neidentifikovaly žádný případ, kdy by povinné vnitrostátní spolufinancování projektu soudržnosti bylo hrazeno z prostředků Nástroje pro oživení a odolnost v rámci vyplácení prostředků z tohoto nástroje v roce 2022; naléhavě vyzývá Komisi, aby i nadále monitorovala situaci a zabránila takovému financování;</w:t>
      </w:r>
    </w:p>
    <w:p w:rsidR="00FA2D6B" w:rsidRPr="007D7B32" w:rsidRDefault="00FA2D6B" w:rsidP="005E7441">
      <w:pPr>
        <w:pStyle w:val="NormalHanging12a"/>
      </w:pPr>
      <w:r w:rsidRPr="007D7B32">
        <w:t>11</w:t>
      </w:r>
      <w:r w:rsidR="006B01DD" w:rsidRPr="007D7B32">
        <w:t>7</w:t>
      </w:r>
      <w:r w:rsidRPr="007D7B32">
        <w:t>.</w:t>
      </w:r>
      <w:r w:rsidRPr="007D7B32">
        <w:tab/>
        <w:t xml:space="preserve">je znepokojen přetrvávajícími připomínkami Účetního dvora k nedostatkům zjištěným ve způsobu práce auditních a řídicích orgánů, zejména ohledně nedostatků v následných kontrolách prováděných auditními orgány a v kontrolách prováděných řídicími orgány, které ne vždy účinně zabraňují nesrovnalostem ve výdajích vykázaných příjemci nebo je neodhalují, a nadměrné závislosti Komise na kvalitě práce programových orgánů </w:t>
      </w:r>
      <w:r w:rsidRPr="007D7B32">
        <w:lastRenderedPageBreak/>
        <w:t>související s vnitřními omezeními přezkumů dokumentace prováděných Komisí;</w:t>
      </w:r>
    </w:p>
    <w:p w:rsidR="00FA2D6B" w:rsidRPr="007D7B32" w:rsidRDefault="00FA2D6B" w:rsidP="005E7441">
      <w:pPr>
        <w:pStyle w:val="NormalHanging12a"/>
      </w:pPr>
      <w:r w:rsidRPr="007D7B32">
        <w:t>11</w:t>
      </w:r>
      <w:r w:rsidR="006B01DD" w:rsidRPr="007D7B32">
        <w:t>8</w:t>
      </w:r>
      <w:r w:rsidRPr="007D7B32">
        <w:t>.</w:t>
      </w:r>
      <w:r w:rsidRPr="007D7B32">
        <w:tab/>
        <w:t>bere na vědomí odpověď Komise, že její hodnocení založené na kombinaci auditů dokumentů a auditů na místě, které se týkají různých jednotlivých programů a balíčků záruk, jí umožňuje stanovit přiměřený a spravedlivý odhad míry chyb pro každý program, každý rok a kumulativně pro fondy politiky soudržnosti; souhlasí s Účetním dvorem ohledně toho, že přezkumy dokumentace prováděné Komisí mají při potvrzování platnosti zbytkové celkové míry chyb vykázané auditními orgány svá vnitřní omezení; konstatuje, že tyto nedostatky by rovněž mohly mít dopad na odhadované riziko Komise při uzávěrce, neboť Komise ve všech případech nemusí provést nezbytné opravy, aby snížila míru zbytkových chyb pod práh významnosti (</w:t>
      </w:r>
      <w:proofErr w:type="spellStart"/>
      <w:r w:rsidRPr="007D7B32">
        <w:t>materiality</w:t>
      </w:r>
      <w:proofErr w:type="spellEnd"/>
      <w:r w:rsidRPr="007D7B32">
        <w:t>);</w:t>
      </w:r>
    </w:p>
    <w:p w:rsidR="00FA2D6B" w:rsidRPr="007D7B32" w:rsidRDefault="00FA2D6B" w:rsidP="005E7441">
      <w:pPr>
        <w:pStyle w:val="NormalHanging12a"/>
      </w:pPr>
      <w:r w:rsidRPr="007D7B32">
        <w:t>11</w:t>
      </w:r>
      <w:r w:rsidR="006B01DD" w:rsidRPr="007D7B32">
        <w:t>9</w:t>
      </w:r>
      <w:r w:rsidRPr="007D7B32">
        <w:t>.</w:t>
      </w:r>
      <w:r w:rsidRPr="007D7B32">
        <w:tab/>
        <w:t>se znepokojením zdůrazňuje zjištění Účetního dvora, že podíl balíčků pro poskytnutí jistoty se zbytkovou chybovostí nad 2 % dosáhl v roce 2022 nejvyšší hodnoty 61 % výdajů ve vzorku Účetního dvora ve srovnání s 39 % v předchozím roce, což odráží přetrvávající nedostatky v práci auditních orgánů; se znepokojením zdůrazňuje, že výsledky auditu Účetního dvora za posledních šest let ukazují, že v současnosti zavedené kontroly ještě dostatečně nevyvažují vysoké inherentní riziko chyb v oblasti soudržnosti a že řídicí orgány ne vždy účinně zabraňují nesrovnalostem ve výdajích vykázaných příjemci nebo je neodhalují; se znepokojením konstatuje, že chyby zjištěné Účetním dvorem představují významné nedostatky v práci auditních orgánů při ověřování způsobilosti výdajů a projektů a dodržování pravidel vnitřního trhu; konstatuje, že část zbytkové chybovosti, kterou Účetní dvůr přepočítal na více než 2 % v auditovaných balíčcích pro poskytnutí jistoty, lze přičíst výše uvedeným odchylkám;</w:t>
      </w:r>
    </w:p>
    <w:p w:rsidR="00FA2D6B" w:rsidRPr="007D7B32" w:rsidRDefault="00FA2D6B" w:rsidP="005E7441">
      <w:pPr>
        <w:pStyle w:val="NormalHanging12a"/>
      </w:pPr>
      <w:r w:rsidRPr="007D7B32">
        <w:t>1</w:t>
      </w:r>
      <w:r w:rsidR="006B01DD" w:rsidRPr="007D7B32">
        <w:t>20</w:t>
      </w:r>
      <w:r w:rsidRPr="007D7B32">
        <w:t>.</w:t>
      </w:r>
      <w:r w:rsidRPr="007D7B32">
        <w:tab/>
        <w:t>je znepokojen přetrvávajícími nedostatky, které Účetní dvůr zaznamenal při vnitrostátních auditech a které mohou být způsobeny nedostatečným rozsahem, nejasnou dokumentací auditů a filtrováním vzorků prováděným vnitrostátními kontrolními orgány, jakož i problémy se zdroji, jako je nedostatečné financování a nedostatek kvalifikovaných odborníků; zdůrazňuje své znepokojení nad tím, že Účetní dvůr zjistil nedostatky v široké škále auditů, například případy nedostatečné kontroly informací poskytnutých příjemci o způsobilosti projektů, souladu s pravidly vnitřního trhu a rizika podvodů a střetu zájmů; konstatuje, že Komise považuje na druhé straně práci většiny auditních orgánů za spolehlivou a že pouze 10 ze 116 auditních orgánů potřebuje významná zlepšení; připomíná svá doporučení obsažená v usnesení Parlamentu ze dne 21. listopadu 2023 o možnostech zvýšení spolehlivosti auditů a kontrol prováděných vnitrostátními orgány v rámci sdíleného řízení;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t>1</w:t>
      </w:r>
      <w:r w:rsidR="006B01DD" w:rsidRPr="007D7B32">
        <w:t>21</w:t>
      </w:r>
      <w:r w:rsidRPr="007D7B32">
        <w:t>.</w:t>
      </w:r>
      <w:r w:rsidRPr="007D7B32">
        <w:tab/>
        <w:t>bere na vědomí závazek Komise, že bude pokračovat v úzké spolupráci s auditními orgány, aby se posílila jejich schopnost předcházet chybám a napravovat je, lépe dokumentovat svou auditní práci a přispívat tak k procesu získávání jistoty;</w:t>
      </w:r>
    </w:p>
    <w:p w:rsidR="00FA2D6B" w:rsidRPr="007D7B32" w:rsidRDefault="00FA2D6B" w:rsidP="005E7441">
      <w:pPr>
        <w:pStyle w:val="NormalHanging12a"/>
      </w:pPr>
      <w:r w:rsidRPr="007D7B32">
        <w:t>1</w:t>
      </w:r>
      <w:r w:rsidR="006B01DD" w:rsidRPr="007D7B32">
        <w:t>22</w:t>
      </w:r>
      <w:r w:rsidRPr="007D7B32">
        <w:t>.</w:t>
      </w:r>
      <w:r w:rsidRPr="007D7B32">
        <w:tab/>
        <w:t xml:space="preserve">bere na vědomí zjištění Účetního dvora, že příjemci finančních prostředků v rámci politiky soudržnosti použili pro 77 transakcí, tj. pro 30 % vzorku, zjednodušené vykazování nákladů, a to buď paušální sazby, standardní stupnici jednotkových nákladů nebo kombinaci obojího; zdůrazňuje, že zjednodušená vykazování nákladů jsou jedním z nejdůležitějších opatření ke snížení administrativních nákladů a zátěže pro příjemce, a tím k usnadnění přístupu malých příjemců k financování a k většímu zaměření na dosažení cílů při současném snížení chybovosti; zdůrazňuje, že Účetní dvůr se domnívá, že zjednodušené vykazování nákladů není vždy náležitě prováděno, a sdílí závěr auditu </w:t>
      </w:r>
      <w:r w:rsidRPr="007D7B32">
        <w:lastRenderedPageBreak/>
        <w:t>Účetního dvora, že zjednodušené vykazování nákladů by nemělo vést k nadměrnému finančnímu prospěchu pro členský stát; na druhé straně by zjednodušené vykazování nákladů mělo v praxi vést ke skutečnému snížení byrokratické zátěže, a nikoli k vyčerpávající kontrole ex ante a ex post; konstatuje, že mírné kolísání cen v odhadech zjednodušeného vykazování nákladů ve srovnání s cenami zjištěnými při kontrolách ex post by mělo být přijatelné;</w:t>
      </w:r>
    </w:p>
    <w:p w:rsidR="00FA2D6B" w:rsidRPr="007D7B32" w:rsidRDefault="00FA2D6B" w:rsidP="005E7441">
      <w:pPr>
        <w:pStyle w:val="NormalHanging12a"/>
      </w:pPr>
      <w:r w:rsidRPr="007D7B32">
        <w:t>1</w:t>
      </w:r>
      <w:r w:rsidR="006B01DD" w:rsidRPr="007D7B32">
        <w:t>23</w:t>
      </w:r>
      <w:r w:rsidRPr="007D7B32">
        <w:t>.</w:t>
      </w:r>
      <w:r w:rsidRPr="007D7B32">
        <w:tab/>
        <w:t xml:space="preserve">konstatuje, že pro programy na období 2021–2027 Komise podpořila programové orgány, aby využívaly zjednodušující opatření předpokládaná v nařízení o společných ustanoveních, zejména využívání zjednodušeného vykazování nákladů a financování nesouvisejícího s náklady (FNLC), aby se vyřešily otázky způsobilosti, usnadnilo ověřování řízení a kontrolovala zátěž příjemců; konstatuje, že v důsledku tohoto úsilí bylo např. pro EFRR a FS dosud přijato 120 systémů zjednodušeného vykazování nákladů na programové úrovni v 11 členských státech a pro programy </w:t>
      </w:r>
      <w:proofErr w:type="spellStart"/>
      <w:r w:rsidRPr="007D7B32">
        <w:t>Interreg</w:t>
      </w:r>
      <w:proofErr w:type="spellEnd"/>
      <w:r w:rsidRPr="007D7B32">
        <w:t xml:space="preserve"> (5,7 miliardy EUR celkového příspěvku) a 4 programy FNLC ve 4 členských státech (za 1,2 miliardy EUR celkového příspěvku); zdůrazňuje, že je naléhavě zapotřebí dalšího zjednodušení a flexibility; vyzývá Komisi, aby nalezla správnou rovnováhu mezi nezbytnou flexibilitou pro mírné kolísání cen a nevhodným úmyslným nadhodnocením nákladů a cen;</w:t>
      </w:r>
    </w:p>
    <w:p w:rsidR="00FA2D6B" w:rsidRPr="007D7B32" w:rsidRDefault="00FA2D6B" w:rsidP="005E7441">
      <w:pPr>
        <w:pStyle w:val="NormalHanging12a"/>
      </w:pPr>
      <w:r w:rsidRPr="007D7B32">
        <w:t>12</w:t>
      </w:r>
      <w:r w:rsidR="006B01DD" w:rsidRPr="007D7B32">
        <w:t>4</w:t>
      </w:r>
      <w:r w:rsidRPr="007D7B32">
        <w:t>.</w:t>
      </w:r>
      <w:r w:rsidRPr="007D7B32">
        <w:tab/>
        <w:t>je znepokojen zjištěním Účetního dvora ohledně programu EFRR na Slovensku zaměřeného na renovaci vnitřního prostoru veřejné budovy, přestože v rámci tohoto programu byla způsobilá pouze opatření v oblasti energetické účinnosti; bere na vědomí připomínku Účetního dvora, že tento projekt neměl projít fází hodnocení, neboť v žádosti nebyla splněna prahová hodnota alespoň 25 % výdajů na projekt souvisejících s energetickou účinností; bere na vědomí podobné případy zjištěné Účetním dvorem, které postrádají odpověď Komise;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  <w:shd w:val="clear" w:color="auto" w:fill="FFFFFF"/>
        </w:rPr>
      </w:pPr>
      <w:r w:rsidRPr="007D7B32">
        <w:rPr>
          <w:shd w:val="clear" w:color="auto" w:fill="FFFFFF"/>
        </w:rPr>
        <w:t>12</w:t>
      </w:r>
      <w:r w:rsidR="006B01DD" w:rsidRPr="007D7B32">
        <w:rPr>
          <w:shd w:val="clear" w:color="auto" w:fill="FFFFFF"/>
        </w:rPr>
        <w:t>5</w:t>
      </w:r>
      <w:r w:rsidRPr="007D7B32">
        <w:rPr>
          <w:shd w:val="clear" w:color="auto" w:fill="FFFFFF"/>
        </w:rPr>
        <w:t>.</w:t>
      </w:r>
      <w:r w:rsidRPr="007D7B32">
        <w:rPr>
          <w:shd w:val="clear" w:color="auto" w:fill="FFFFFF"/>
        </w:rPr>
        <w:tab/>
        <w:t>připomíná, že v období 2021–2027 musí členské státy splňovat určité horizontální nebo tematické podmínky nařízení o společných ustanoveních, které jsou předpokladem pro účinné a efektivní provádění specifických cílů fondů; připomíná, že pokud v době předložení žádosti o platbu Komisi pro daný specifický cíl nejsou splněny podmínky pro poskytnutí podpory, nebudou související výdaje proplaceny z rozpočtu Unie, dokud se Komise nepřesvědčí, že podmínky pro poskytnutí podpory byly splněny;</w:t>
      </w:r>
    </w:p>
    <w:p w:rsidR="00FA2D6B" w:rsidRPr="007D7B32" w:rsidRDefault="00FA2D6B" w:rsidP="005E7441">
      <w:pPr>
        <w:pStyle w:val="NormalHanging12a"/>
      </w:pPr>
      <w:r w:rsidRPr="007D7B32">
        <w:t>12</w:t>
      </w:r>
      <w:r w:rsidR="006B01DD" w:rsidRPr="007D7B32">
        <w:t>6</w:t>
      </w:r>
      <w:r w:rsidRPr="007D7B32">
        <w:t>.</w:t>
      </w:r>
      <w:r w:rsidRPr="007D7B32">
        <w:tab/>
        <w:t>připomíná, že dne 15. prosince 2022 přijala Rada na základě návrhu Komise prováděcí rozhodnutí (EU) 2022/2506 o opatřeních na ochranu rozpočtu Unie před porušováním zásad právního státu v Maďarsku; zdůrazňuje, že rozhodnutí bylo založeno na obavách Komise ohledně závažných problémů souvisejících se systémem zadávání veřejných zakázek v Maďarsku; vítá dočasné pozastavení 55 % závazků na některé programy politiky soudržnosti na období 2021–2027; konstatuje, že Komise sleduje provádění nápravných opatření navržených Maďarskem v rámci „nařízení o podmíněnosti“; konstatuje, že v prosinci 2023 Komise z vlastního podnětu znovu posoudila situaci v Maďarsku a dospěla k závěru, že rozpočet Unie zůstává na stejné úrovni rizika, neboť stále existují závazky, které nebyly řádně ani včas splněny;</w:t>
      </w:r>
    </w:p>
    <w:p w:rsidR="00FA2D6B" w:rsidRPr="007D7B32" w:rsidRDefault="00FA2D6B" w:rsidP="005E7441">
      <w:pPr>
        <w:pStyle w:val="NormalHanging12a"/>
      </w:pPr>
      <w:r w:rsidRPr="007D7B32">
        <w:t>12</w:t>
      </w:r>
      <w:r w:rsidR="006B01DD" w:rsidRPr="007D7B32">
        <w:t>7</w:t>
      </w:r>
      <w:r w:rsidRPr="007D7B32">
        <w:t>.</w:t>
      </w:r>
      <w:r w:rsidRPr="007D7B32">
        <w:tab/>
        <w:t xml:space="preserve">konstatuje, že v prosinci 2022 dospěla Komise k závěru, že Maďarsko neplní horizontální základní podmínky podle nařízení o společných ustanoveních o Listině, pokud jde o nezávislost soudnictví a ustanovení několika právních předpisů, které představují závažné riziko pro práva LGBTIQ+ osob, akademickou svobodu a právo na </w:t>
      </w:r>
      <w:r w:rsidRPr="007D7B32">
        <w:lastRenderedPageBreak/>
        <w:t>azyl; vyjadřuje hluboké politování nad rozhodnutím Komise ze dne 13. prosince 2023</w:t>
      </w:r>
      <w:r w:rsidRPr="007D7B32">
        <w:rPr>
          <w:rStyle w:val="FootnoteReference"/>
        </w:rPr>
        <w:footnoteReference w:id="75"/>
      </w:r>
      <w:r w:rsidRPr="007D7B32">
        <w:t>, které uznává, že Maďarsko splnilo horizontální základní podmínku týkající se nezávislosti soudnictví, což maďarským orgánům umožňuje předkládat žádosti o úhradu až do výše 10,2 miliardy EUR bez odpovídajících kontrolních mechanismů nebo postupů zadávání veřejných zakázek s cílem zaručit řádné finanční řízení a ochranu rozpočtu Unie; domnívá se, že toto rozhodnutí je politicky v rozporu s prodloužením opatření přijatých podle nařízení o podmíněnosti, a vyjadřuje zklamání nad tím, že Parlament nebyl během tohoto procesu dostatečně informován; opakuje své obavy ohledně nezávislosti soudnictví, a to i po nedávných reformách, které vyjádřil ve svém usnesení ze dne 18. ledna 2024 o situaci v Maďarsku a zmrazení finančních prostředků EU;</w:t>
      </w:r>
    </w:p>
    <w:p w:rsidR="00FA2D6B" w:rsidRPr="007D7B32" w:rsidRDefault="00FA2D6B" w:rsidP="005E7441">
      <w:pPr>
        <w:pStyle w:val="NormalHanging12a"/>
      </w:pPr>
      <w:r w:rsidRPr="007D7B32">
        <w:t>12</w:t>
      </w:r>
      <w:r w:rsidR="006B01DD" w:rsidRPr="007D7B32">
        <w:t>8</w:t>
      </w:r>
      <w:r w:rsidRPr="007D7B32">
        <w:t xml:space="preserve">. </w:t>
      </w:r>
      <w:r w:rsidRPr="007D7B32">
        <w:tab/>
        <w:t>opakuje, že je třeba považovat všechna opatření požadovaná pro uvolnění finančních prostředků Unie podle nařízení o podmíněnosti, nařízení o společných ustanoveních a nařízení o Nástroji pro oživení a odolnost za jediný, integrovaný balíček; zdůrazňuje význam ochrany finančních zájmů Unie také pro vyplácení předběžného financování;</w:t>
      </w:r>
    </w:p>
    <w:p w:rsidR="00FA2D6B" w:rsidRPr="007D7B32" w:rsidRDefault="00FA2D6B" w:rsidP="005E7441">
      <w:pPr>
        <w:pStyle w:val="NormalHanging12a"/>
      </w:pPr>
      <w:r w:rsidRPr="007D7B32">
        <w:t>12</w:t>
      </w:r>
      <w:r w:rsidR="006B01DD" w:rsidRPr="007D7B32">
        <w:t>9</w:t>
      </w:r>
      <w:r w:rsidRPr="007D7B32">
        <w:t>.</w:t>
      </w:r>
      <w:r w:rsidRPr="007D7B32">
        <w:tab/>
        <w:t xml:space="preserve">konstatuje </w:t>
      </w:r>
      <w:r w:rsidR="0097382E" w:rsidRPr="007D7B32">
        <w:t xml:space="preserve">že </w:t>
      </w:r>
      <w:r w:rsidRPr="007D7B32">
        <w:t>na základě zpráv</w:t>
      </w:r>
      <w:r w:rsidR="0097382E" w:rsidRPr="007D7B32">
        <w:t>y</w:t>
      </w:r>
      <w:r w:rsidRPr="007D7B32">
        <w:t xml:space="preserve"> PIF</w:t>
      </w:r>
      <w:r w:rsidR="0097382E" w:rsidRPr="007D7B32">
        <w:t xml:space="preserve"> za rok 2022 se</w:t>
      </w:r>
      <w:r w:rsidRPr="007D7B32">
        <w:t xml:space="preserve"> od roku 2021 do roku 2022 počet podvodných nesrovnalostí týkajících se politiky soudržnosti snížil o 11,6 % (233 hlášených v roce 2021 ve srovnání s 206 hlášenými v roce 2022), zatímco počet nepodvodných nesrovnalostí vzrostl o 9,3 %; konstatuje, že Komise požádala auditní orgány, aby věnovaly zvláštní pozornost novým rizikům spojeným s multiplikací fondů a dodatečným financováním v rámci NGEU, zejména „dvojímu financování“, střetu zájmů, podvodům nebo korupci; bere na vědomí úsilí Komise o podporu používání nástroje ARACHNE pro hodnocení rizik v členských státech, které se zdráhají tento nástroj používat, a o jeho zdokonalení; konstatuje, že auditní orgány se výslovně zabývaly rizikem podvodů u 65 % auditovaných operací v období 2014–2020, což je zlepšení oproti 38 %, které Účetní dvůr zjistil v roce 2021;</w:t>
      </w:r>
    </w:p>
    <w:p w:rsidR="00FA2D6B" w:rsidRPr="007D7B32" w:rsidRDefault="00FA2D6B" w:rsidP="005E7441">
      <w:pPr>
        <w:pStyle w:val="NormalHanging12a"/>
      </w:pPr>
      <w:r w:rsidRPr="007D7B32">
        <w:t>1</w:t>
      </w:r>
      <w:r w:rsidR="006B01DD" w:rsidRPr="007D7B32">
        <w:t>30</w:t>
      </w:r>
      <w:r w:rsidRPr="007D7B32">
        <w:t>.</w:t>
      </w:r>
      <w:r w:rsidRPr="007D7B32">
        <w:tab/>
        <w:t>zdůrazňuje, že Účetní dvůr, úřad OLAF a Úřad evropského veřejného žalobce by měly mít přístup k jednotnému integrovanému informačnímu systému pro vytěžování údajů a hodnocení rizik, který poskytuje Komise, přiměřeným způsobem v rámci výkonu svých příslušných pravomocí, jak předpokládá přepracované znění finančního nařízení;</w:t>
      </w:r>
    </w:p>
    <w:p w:rsidR="00FA2D6B" w:rsidRPr="007D7B32" w:rsidRDefault="00FA2D6B" w:rsidP="005E7441">
      <w:pPr>
        <w:pStyle w:val="Normal12a"/>
        <w:ind w:left="567" w:hanging="567"/>
      </w:pPr>
      <w:r w:rsidRPr="007D7B32">
        <w:t>1</w:t>
      </w:r>
      <w:r w:rsidR="006B01DD" w:rsidRPr="007D7B32">
        <w:t>31</w:t>
      </w:r>
      <w:r w:rsidRPr="007D7B32">
        <w:t>.</w:t>
      </w:r>
      <w:r w:rsidRPr="007D7B32">
        <w:tab/>
        <w:t>poukazuje na význam legality a správnosti výdajů na soudržnost a na klíčovou úlohu, kterou v tomto ohledu hrají řídicí a auditní orgány; připomíná, že je třeba zjednodušit a racionalizovat audity a soustředit se na to, co je pro boj proti podvodům nezbytné; mimoto připomíná, že podle nařízení o společných ustanoveních na období 2021–2027 by měly orgány členských států hlásit všechny případy podezření na podvod nebo zjištěné podvody související s projekty financovanými Unií, které zjistí, a že by tyto případy měly hlásit i v případě, že je zjistí před vykázáním výdajů Komisi;</w:t>
      </w:r>
    </w:p>
    <w:p w:rsidR="00FA2D6B" w:rsidRPr="007D7B32" w:rsidRDefault="00FA2D6B" w:rsidP="005E7441">
      <w:pPr>
        <w:pStyle w:val="Normal12a"/>
        <w:ind w:left="567" w:hanging="567"/>
      </w:pPr>
      <w:r w:rsidRPr="007D7B32">
        <w:t>1</w:t>
      </w:r>
      <w:r w:rsidR="006B01DD" w:rsidRPr="007D7B32">
        <w:t>32</w:t>
      </w:r>
      <w:r w:rsidRPr="007D7B32">
        <w:t>.</w:t>
      </w:r>
      <w:r w:rsidRPr="007D7B32">
        <w:tab/>
        <w:t xml:space="preserve">zdůrazňuje důležitou úlohu Evropského úřadu pro boj proti podvodům a Úřadu evropského veřejného žalobce (EPPO) při ochraně rozpočtu Unie; vyzývá všechny členské státy, aby se k úřadu EPPO připojily; připomíná, že evropská veřejná žalobkyně při svém vystoupení ve Výboru pro regionální rozvoj dne 25. května 2023 konstatovala, </w:t>
      </w:r>
      <w:r w:rsidRPr="007D7B32">
        <w:lastRenderedPageBreak/>
        <w:t>že stávající systém řízení a kontroly výdajů Unie není určen k odhalování podvodů a že audity nebo správní vyšetřování jen zřídka odhalí finanční trestnou činnost, která má často přeshraniční podobu; zdůrazňuje, že je třeba poskytnout úřadu EPPO nezbytné prostředky k plnění jeho povinností; je toho názoru, že posílení úřadu EPPO by zákonodárci umožnilo dále zjednodušit regulační rámec pro soudržnost s cílem zlepšit využívání prostředků;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t>1</w:t>
      </w:r>
      <w:r w:rsidR="006B01DD" w:rsidRPr="007D7B32">
        <w:t>33</w:t>
      </w:r>
      <w:r w:rsidRPr="007D7B32">
        <w:t>.</w:t>
      </w:r>
      <w:r w:rsidRPr="007D7B32">
        <w:tab/>
        <w:t>žádá úřad OLAF, aby důkladně vyšetřil možné zneužívání finančních prostředků Unie prostřednictvím programu Erasmus+ a Evropského sboru solidarity sítěmi sdružení, které předkládají falešné projekty, a ověřil nedávné zprávy některých vnitrostátních agentur v této věci a zjistil, jaký měly tyto podvody rozsah a význam a jak je příslušné orgány v členských státech řešily;</w:t>
      </w:r>
    </w:p>
    <w:p w:rsidR="00FA2D6B" w:rsidRPr="007D7B32" w:rsidRDefault="00FA2D6B" w:rsidP="005E7441">
      <w:pPr>
        <w:spacing w:after="240"/>
        <w:ind w:left="567" w:hanging="567"/>
        <w:rPr>
          <w:i/>
          <w:szCs w:val="24"/>
        </w:rPr>
      </w:pPr>
      <w:r w:rsidRPr="007D7B32">
        <w:rPr>
          <w:i/>
        </w:rPr>
        <w:t>Doporučení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rPr>
          <w:shd w:val="clear" w:color="auto" w:fill="FFFFFF"/>
        </w:rPr>
        <w:t>13</w:t>
      </w:r>
      <w:r w:rsidR="006B01DD" w:rsidRPr="007D7B32">
        <w:rPr>
          <w:shd w:val="clear" w:color="auto" w:fill="FFFFFF"/>
        </w:rPr>
        <w:t>4</w:t>
      </w:r>
      <w:r w:rsidRPr="007D7B32">
        <w:rPr>
          <w:shd w:val="clear" w:color="auto" w:fill="FFFFFF"/>
        </w:rPr>
        <w:t>.</w:t>
      </w:r>
      <w:r w:rsidRPr="007D7B32">
        <w:rPr>
          <w:shd w:val="clear" w:color="auto" w:fill="FFFFFF"/>
        </w:rPr>
        <w:tab/>
        <w:t>vyzývá</w:t>
      </w:r>
      <w:r w:rsidRPr="007D7B32">
        <w:t xml:space="preserve"> Komisi, aby:</w:t>
      </w:r>
    </w:p>
    <w:p w:rsidR="00FA2D6B" w:rsidRPr="007D7B32" w:rsidRDefault="00FA2D6B" w:rsidP="005E7441">
      <w:pPr>
        <w:pStyle w:val="NormalHanging12a"/>
        <w:ind w:left="1134"/>
      </w:pPr>
      <w:r w:rsidRPr="007D7B32">
        <w:t>i)</w:t>
      </w:r>
      <w:r w:rsidRPr="007D7B32">
        <w:tab/>
        <w:t>aktivně se zapojovala do konstruktivního dialogu s Účetním dvorem s cílem překonat rostoucí počet situací, kdy oficiální reakce Komise na zjištění Účetního dvora spočívá v tom, že „souhlasí, že nesouhlasí“, a pokračovala ve spolupráci s Účetním dvorem s cílem sjednotit výsledky jejich odhadovaných chybovostí a výklad právních textů;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ii</w:t>
      </w:r>
      <w:proofErr w:type="spellEnd"/>
      <w:r w:rsidRPr="007D7B32">
        <w:t>)</w:t>
      </w:r>
      <w:r w:rsidRPr="007D7B32">
        <w:tab/>
        <w:t>sladila zjištění Účetního dvora týkající se prohlášení členských států s informacemi pocházejícími z hodnocení rizika při platbě a rizika při uzávěrce, které se týkají řídicích orgánů, provedeného Komisí s cílem určit místa výskytu chyb, která je třeba naléhavě řešit;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iii</w:t>
      </w:r>
      <w:proofErr w:type="spellEnd"/>
      <w:r w:rsidRPr="007D7B32">
        <w:t>)</w:t>
      </w:r>
      <w:r w:rsidRPr="007D7B32">
        <w:tab/>
        <w:t>pokračovala v úzké spolupráci s auditními orgány, aby se posílila jejich schopnost předcházet chybám a napravovat je a aby lépe dokumentovala svou auditní práci a přispívala tak k procesu získávání jistoty;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iv</w:t>
      </w:r>
      <w:proofErr w:type="spellEnd"/>
      <w:r w:rsidRPr="007D7B32">
        <w:t>)</w:t>
      </w:r>
      <w:r w:rsidRPr="007D7B32">
        <w:tab/>
        <w:t>zlepšila a posílila řídicí a kontrolní systém členských států s cílem zajistit, aby členské státy vykazovaly Komisi pouze způsobilé výdaje;</w:t>
      </w:r>
    </w:p>
    <w:p w:rsidR="00FA2D6B" w:rsidRPr="007D7B32" w:rsidRDefault="00FA2D6B" w:rsidP="005E7441">
      <w:pPr>
        <w:pStyle w:val="NormalHanging12a"/>
        <w:ind w:left="1134"/>
      </w:pPr>
      <w:r w:rsidRPr="007D7B32">
        <w:t>v)</w:t>
      </w:r>
      <w:r w:rsidRPr="007D7B32">
        <w:tab/>
        <w:t>zajistila, aby auditní orgány měly zavedeny vhodné metody kontroly vlastních prohlášení určením osvědčených postupů a vydáváním pokynů členským státům;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vi</w:t>
      </w:r>
      <w:proofErr w:type="spellEnd"/>
      <w:r w:rsidRPr="007D7B32">
        <w:t>)</w:t>
      </w:r>
      <w:r w:rsidRPr="007D7B32">
        <w:tab/>
        <w:t>prováděla zvláštní cílené kontroly v rámci závěrečných auditů s cílem zajistit, aby členské státy uplatnily u zjištěných chyb nezbytné finanční opravy;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vii</w:t>
      </w:r>
      <w:proofErr w:type="spellEnd"/>
      <w:r w:rsidRPr="007D7B32">
        <w:t>)</w:t>
      </w:r>
      <w:r w:rsidRPr="007D7B32">
        <w:tab/>
        <w:t>věnovala při svých auditech zvláštní pozornost rizikům spojeným s flexibilitou, která byla zavedena změnami CRII/CRII+; zahájila okamžitý přezkum výdajů v rámci těchto programů s cílem zjistit a napravit systémové problémy, které vedly k náhlému zvýšení míry chyb;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viii</w:t>
      </w:r>
      <w:proofErr w:type="spellEnd"/>
      <w:r w:rsidRPr="007D7B32">
        <w:t>)</w:t>
      </w:r>
      <w:r w:rsidRPr="007D7B32">
        <w:tab/>
        <w:t>pokračovala v podpoře členských států a zároveň připravila akční plán, jak co nejlépe zabránit nadměrnému administrativnímu zatížení ke konci VFR, který přesáhne rámec plánovaného období způsobilosti Nástroje pro oživení a odolnost vzhledem k ukončení programového období 2014–2020 a provádění současného programového období, zejména podporou budování administrativních kapacit;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lastRenderedPageBreak/>
        <w:t>ix</w:t>
      </w:r>
      <w:proofErr w:type="spellEnd"/>
      <w:r w:rsidRPr="007D7B32">
        <w:t>)</w:t>
      </w:r>
      <w:r w:rsidRPr="007D7B32">
        <w:tab/>
        <w:t>pokračovala v provádění své čtvrté revize „akčního plánu pro zadávání veřejných zakázek“ ve spolupráci s členskými státy s cílem pomoci programovým orgánům a veřejným zadavatelům zlepšit jejich postupy v oblasti zadávání veřejných zakázek, včetně toho, jak se vyhnout nejčastějším chybám při zadávání veřejných zakázek souvisejících s řízením ESI fondů, jakož i cílených školení pro úředníky členských států;</w:t>
      </w:r>
    </w:p>
    <w:p w:rsidR="00FA2D6B" w:rsidRPr="007D7B32" w:rsidRDefault="00FA2D6B" w:rsidP="005E7441">
      <w:pPr>
        <w:pStyle w:val="NormalHanging12a"/>
        <w:ind w:left="1134"/>
      </w:pPr>
      <w:r w:rsidRPr="007D7B32">
        <w:t>x)</w:t>
      </w:r>
      <w:r w:rsidRPr="007D7B32">
        <w:tab/>
        <w:t>dostála svému slibu poskytnout orgánu příslušnému k udělení absolutoria i široké veřejnosti seznam největších konečných příjemců finančních prostředků Unie, pokud tento seznam považuje za konečného příjemce fyzickou osobu nebo subjekt, který jako poslední v řetězci příjemců obdrží finanční prostředky Unie;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xi</w:t>
      </w:r>
      <w:proofErr w:type="spellEnd"/>
      <w:r w:rsidRPr="007D7B32">
        <w:t>)</w:t>
      </w:r>
      <w:r w:rsidRPr="007D7B32">
        <w:tab/>
        <w:t>dále zjednodušovala provádění programů soudržnosti; dále vybízí Komisi, aby zavedla nástroje pro digitalizaci zadávání veřejných zakázek na základě modelu elektronického zadávání veřejných zakázek a aby členským státům v této transformaci pomohla;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xii</w:t>
      </w:r>
      <w:proofErr w:type="spellEnd"/>
      <w:r w:rsidRPr="007D7B32">
        <w:t>)</w:t>
      </w:r>
      <w:r w:rsidRPr="007D7B32">
        <w:tab/>
        <w:t>spolupracovala se všemi zúčastněnými stranami na harmonizaci metodiky a ověřování, aby existovala dostatečná předvídatelnost pro příjemce ohledně toho, jak se očekává, že budou tyto možnosti prováděny, za účelem úspěšného zavedení systémů zjednodušeného vykazování nákladů; a zajistila, aby audity nevedly k další byrokratizaci provádění a zbytečnému zatížení příjemců auditem; zajistila, aby zjednodušené vykazování nákladů nebylo prováděno tak, aby členské státy získaly nadměrný finanční prospěch, a zároveň byla zaručena přiměřená flexibilita v odhadech nákladů a cen;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xiii</w:t>
      </w:r>
      <w:proofErr w:type="spellEnd"/>
      <w:r w:rsidRPr="007D7B32">
        <w:t>)</w:t>
      </w:r>
      <w:r w:rsidRPr="007D7B32">
        <w:tab/>
        <w:t>spolupracovala s auditními orgány členských států, aby bylo zajištěno, že specifické riziko dvojího financování, zejména financování z Nástroje pro oživení a odolnost, bude sníženo odpovídajícími vnitrostátními kontrolami a audity; trvá na tom, aby Komise prováděla tematické audity a audity dodržování právních předpisů, které budou uzpůsobeny tak, aby cílily na oblasti a členské státy s vysokým rizikem; a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xiv</w:t>
      </w:r>
      <w:proofErr w:type="spellEnd"/>
      <w:r w:rsidRPr="007D7B32">
        <w:t>)</w:t>
      </w:r>
      <w:r w:rsidRPr="007D7B32">
        <w:tab/>
        <w:t>zavedla komplexní mechanismus pro využívání fondů soudržnosti v případě výjimečných nebo nepředvídaných okolností s využitím hlavních ustanovení o jejich rozsahu, dostupnosti financování, řízení, auditu a kontrole a uplatňování; zdůrazňuje, že takové použití za výjimečných okolností by mělo být omezeno na konkrétní a přesně vymezené situace, časově i rozsahem, a se zvýšeným stupněm kontrol za účelem zmírnění rizik;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xv</w:t>
      </w:r>
      <w:proofErr w:type="spellEnd"/>
      <w:r w:rsidRPr="007D7B32">
        <w:t>) vyzývá Komisi, aby znovu posoudila své rozhodnutí „odmrazit“ 10,2 miliardy EUR z fondů soudržnosti pro Maďarsko a aby nevyplácela žádné finanční prostředky, dokud nebudou provedeny příslušné právní předpisy a dokud přijatá opatření neprokáží svou účinnost v praxi;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xvi</w:t>
      </w:r>
      <w:proofErr w:type="spellEnd"/>
      <w:r w:rsidRPr="007D7B32">
        <w:t>)</w:t>
      </w:r>
      <w:r w:rsidRPr="007D7B32">
        <w:tab/>
        <w:t>učinila používání nástrojů IT, jako je systém EDES a ARACHNE, povinným a systematickým pro všechny fondy Unie, včetně sdíleného řízení, a zajistila lepší využívání nových technologií s cílem zvýšit kontroly a chránit rozpočet Unie před podvody a zneužíváním finančních prostředků v souvislosti s dokončenou revizí finančního nařízení;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lastRenderedPageBreak/>
        <w:t>xvii</w:t>
      </w:r>
      <w:proofErr w:type="spellEnd"/>
      <w:r w:rsidRPr="007D7B32">
        <w:t>)</w:t>
      </w:r>
      <w:r w:rsidRPr="007D7B32">
        <w:tab/>
        <w:t>umožnila Účetnímu dvoru, úřadu OLAF a Úřadu evropského veřejného žalobce přístup k jednotnému integrovanému informačnímu systému pro vytěžování údajů a hodnocení rizik, který poskytuje Komise, za podmínek dohodnutých v přepracovaném znění finančního nařízení;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xviii</w:t>
      </w:r>
      <w:proofErr w:type="spellEnd"/>
      <w:r w:rsidRPr="007D7B32">
        <w:t>)</w:t>
      </w:r>
      <w:r w:rsidRPr="007D7B32">
        <w:tab/>
        <w:t>podala zprávy o auditech systému včasné prevence (EPSA) provedených na začátku programového období s cílem potvrdit účinnost kontrolních systémů v členských státech, včetně zavedeného systému k prevenci nesrovnalostí;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xix</w:t>
      </w:r>
      <w:proofErr w:type="spellEnd"/>
      <w:r w:rsidRPr="007D7B32">
        <w:t>)</w:t>
      </w:r>
      <w:r w:rsidRPr="007D7B32">
        <w:tab/>
        <w:t>informovala orgán příslušný k udělení absolutoria o tom, jak využívání opatření flexibility v politice soudržnosti zlepšujících čerpání ovlivnilo cíle strukturální soudržnosti v oblasti konvergence a soudržnosti;</w:t>
      </w:r>
    </w:p>
    <w:p w:rsidR="00FA2D6B" w:rsidRPr="007D7B32" w:rsidRDefault="00FA2D6B" w:rsidP="005E7441">
      <w:pPr>
        <w:pStyle w:val="Title"/>
        <w:spacing w:after="240"/>
        <w:ind w:left="567" w:hanging="567"/>
        <w:rPr>
          <w:b w:val="0"/>
          <w:i/>
        </w:rPr>
      </w:pPr>
      <w:r w:rsidRPr="007D7B32">
        <w:rPr>
          <w:b w:val="0"/>
          <w:i/>
        </w:rPr>
        <w:t>Kultura a vzdělávání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t>13</w:t>
      </w:r>
      <w:r w:rsidR="006B01DD" w:rsidRPr="007D7B32">
        <w:t>5</w:t>
      </w:r>
      <w:r w:rsidRPr="007D7B32">
        <w:t>.</w:t>
      </w:r>
      <w:r w:rsidRPr="007D7B32">
        <w:tab/>
        <w:t>oceňuje úsilí Komise a Evropské výkonné agentury pro vzdělávání a kulturu (EACEA) o přizpůsobení programu Erasmus+, Evropského sboru solidarity a programu Kreativní Evropa měnící se realitě, například úpravou sazeb individuální podpory pro granty směrem vzhůru, aby byl zachován jejich inkluzivní charakter, prodloužením lhůt pro podávání žádostí a doby trvání projektů a dobrovolným zaměřením činnosti na Ukrajinu, a očekává, že bude vyvinuto větší úsilí na další posílení sociálního začleňování a že bude podpořena účast zranitelných skupin;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t>13</w:t>
      </w:r>
      <w:r w:rsidR="006B01DD" w:rsidRPr="007D7B32">
        <w:t>6</w:t>
      </w:r>
      <w:r w:rsidRPr="007D7B32">
        <w:t>.</w:t>
      </w:r>
      <w:r w:rsidRPr="007D7B32">
        <w:tab/>
        <w:t>oceňuje, že se Komisi a agentuře EACEA podařilo v roce 2022 dosáhnout téměř plného plnění rozpočtu programu Erasmus+ a plného plnění rozpočtu Evropského sboru solidarity, takže bylo dokonce nutné přerozdělit prostředky z jiných programů na pokrytí potřeb v oblasti plateb; bere na vědomí problémy s prováděním plateb programu Kreativní Evropa v roce 2022, kdy bylo přibližně 50 milionů EUR přesunuto na rok 2023 v důsledku provozních problémů a zpoždění v postupech udělování grantů; bere na vědomí úsilí generálního ředitelství pro vzdělávání, mládež, sport a kulturu (GŘ EAC) a agentury EACEA o omezení dopadu těchto zpoždění a o návrat k normálnímu tempu v roce 2023;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t>13</w:t>
      </w:r>
      <w:r w:rsidR="006B01DD" w:rsidRPr="007D7B32">
        <w:t>7</w:t>
      </w:r>
      <w:r w:rsidRPr="007D7B32">
        <w:t>.</w:t>
      </w:r>
      <w:r w:rsidRPr="007D7B32">
        <w:tab/>
        <w:t>připomíná, že je třeba dále navýšit rozpočtové prostředky určené na unijní programy zaměřené na mládež, kulturu a vzdělávání, zejména s cílem posílit dosah a zapojení mladých lidí, umělců a odborníků s omezenými příležitostmi a podpořit výchovu k občanství; v této souvislosti žádá Komisi, aby pokračovala v úzké spolupráci s členskými státy;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t>13</w:t>
      </w:r>
      <w:r w:rsidR="006B01DD" w:rsidRPr="007D7B32">
        <w:t>8</w:t>
      </w:r>
      <w:r w:rsidRPr="007D7B32">
        <w:t>.</w:t>
      </w:r>
      <w:r w:rsidRPr="007D7B32">
        <w:tab/>
        <w:t>vítá skutečnost, že díky tomu, že na naléhání Parlamentu byly zvýšeny prostředky na Evropský rok mládeže 2022 o 3 miliony EUR, bylo možné v tomto tematickém roce posílit řadu opatření, jako jsou solidární projekty, dobrovolnická činnost a vytváření sítí; zdůrazňuje, že je nyní třeba udržitelným způsobem rozvíjet úspěšné výsledky Evropského roku mládeže, aby byl zajištěn jeho trvalý odkaz;</w:t>
      </w:r>
    </w:p>
    <w:p w:rsidR="00FA2D6B" w:rsidRPr="007D7B32" w:rsidRDefault="00FA2D6B" w:rsidP="005E7441">
      <w:pPr>
        <w:pStyle w:val="NormalHanging12a"/>
      </w:pPr>
      <w:r w:rsidRPr="007D7B32">
        <w:t>13</w:t>
      </w:r>
      <w:r w:rsidR="006B01DD" w:rsidRPr="007D7B32">
        <w:t>9</w:t>
      </w:r>
      <w:r w:rsidRPr="007D7B32">
        <w:t>.</w:t>
      </w:r>
      <w:r w:rsidRPr="007D7B32">
        <w:tab/>
        <w:t xml:space="preserve">bere na vědomí trvalé předsunutí rozpočtu programu Kreativní Evropa v roce 2022 s cílem zmírnit přetrvávající dopad pandemie onemocnění COVID-19 na kulturní a tvůrčí odvětví; konstatuje, že díky tomuto předsunutí finančních prostředků mohl být v roce 2022 vybrán větší počet projektů evropské kulturní spolupráce než kdykoli předtím; je však znepokojen tím, že předsunutí finančních prostředků na roky 2021 a 2022 může vést k nedostatku finančních prostředků od roku 2023, a vyjadřuje politování nad tím, </w:t>
      </w:r>
      <w:r w:rsidRPr="007D7B32">
        <w:lastRenderedPageBreak/>
        <w:t>že program jako celek zůstává podfinancován, pokud jde o cíle, jichž má být dosaženo, zejména kvůli vysokému počtu žádostí;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t>1</w:t>
      </w:r>
      <w:r w:rsidR="006B01DD" w:rsidRPr="007D7B32">
        <w:t>40</w:t>
      </w:r>
      <w:r w:rsidRPr="007D7B32">
        <w:t>.</w:t>
      </w:r>
      <w:r w:rsidRPr="007D7B32">
        <w:tab/>
        <w:t>se znepokojením bere na vědomí přetrvávající problémy v roce 2022, pokud jde o nástroje pro elektronické granty pro příjemce v rámci výzev spravovaných agenturou EACEA; důrazně vyzývá Komisi a agenturu EACEA, aby tyto problémy v oblasti informačních technologií jednou provždy vyřešily, a předešly tak jejich nepříznivému dopadu na dosahování příslušných cílů, snížily riziko chyb a zjednodušily postupy; domnívá se, že účinnější a přístupnější IT infrastruktura by rovněž usnadnila přístup k programovým zdrojům malým příjemcům;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t>1</w:t>
      </w:r>
      <w:r w:rsidR="006B01DD" w:rsidRPr="007D7B32">
        <w:t>41</w:t>
      </w:r>
      <w:r w:rsidRPr="007D7B32">
        <w:t>.</w:t>
      </w:r>
      <w:r w:rsidRPr="007D7B32">
        <w:tab/>
        <w:t>bere na vědomí pozitivní vývoj personální situace agentury EACEA, kdy na konci roku 2022 došlo k výraznému zvýšení počtu zaměstnanců;</w:t>
      </w:r>
    </w:p>
    <w:p w:rsidR="00FA2D6B" w:rsidRPr="007D7B32" w:rsidRDefault="00FA2D6B" w:rsidP="005E7441">
      <w:pPr>
        <w:pStyle w:val="Title"/>
        <w:spacing w:after="240"/>
        <w:ind w:left="567" w:hanging="567"/>
        <w:rPr>
          <w:i/>
        </w:rPr>
      </w:pPr>
      <w:r w:rsidRPr="007D7B32">
        <w:rPr>
          <w:i/>
        </w:rPr>
        <w:t>Přírodní zdroje</w:t>
      </w:r>
    </w:p>
    <w:p w:rsidR="00FA2D6B" w:rsidRPr="007D7B32" w:rsidRDefault="00FA2D6B" w:rsidP="005E7441">
      <w:pPr>
        <w:pStyle w:val="NormalHanging12a"/>
      </w:pPr>
      <w:r w:rsidRPr="007D7B32">
        <w:t>1</w:t>
      </w:r>
      <w:r w:rsidR="006B01DD" w:rsidRPr="007D7B32">
        <w:t>42</w:t>
      </w:r>
      <w:r w:rsidRPr="007D7B32">
        <w:t>.</w:t>
      </w:r>
      <w:r w:rsidRPr="007D7B32">
        <w:tab/>
        <w:t>konstatuje, že rozpočet na programy v rámci okruhu 3 VFR „Přírodní zdroje“ činil 58,3 miliardy EUR (29,7 % rozpočtu Unie) a byl rozdělen takto: 65,9 % na přímé platby v rámci Evropského zemědělského záručního fondu (EZZF), 26,2 % na Evropský zemědělský fond pro rozvoj venkova (EZFRV), 4,7 % na tržní výdaje v rámci EZZF, 1,8 % na námořní a rybářské záležitosti, 0,9 % na životní prostředí a klima (LIFE) a 0,5 % na ostatní oblasti; konstatuje, že k 31. prosinci 2022 činily konečné schválené prostředky na rozpočtové závazky v okruhu 3 VFR „Přírodní zdroje a životní prostředí“ 56 681,11 milionů EUR a 98,92 % z nich bylo realizováno (56 069,86 milionů EUR); dále konstatuje, že konečné schválené rozpočtové prostředky na platby činily 55 826,77 milionu EUR a 98,89 % z nich bylo realizováno (55 205,48 milionu EUR);</w:t>
      </w:r>
    </w:p>
    <w:p w:rsidR="00FA2D6B" w:rsidRPr="007D7B32" w:rsidRDefault="00FA2D6B" w:rsidP="005E7441">
      <w:pPr>
        <w:pStyle w:val="NormalHanging12a"/>
      </w:pPr>
      <w:r w:rsidRPr="007D7B32">
        <w:t>1</w:t>
      </w:r>
      <w:r w:rsidR="006B01DD" w:rsidRPr="007D7B32">
        <w:t>43</w:t>
      </w:r>
      <w:r w:rsidRPr="007D7B32">
        <w:t>.</w:t>
      </w:r>
      <w:r w:rsidRPr="007D7B32">
        <w:tab/>
        <w:t xml:space="preserve">konstatuje, že rok 2022 byl druhým a posledním rokem přechodného období, během něhož mohly členské státy v očekávání vstupu nové SZP v platnost dne 1. ledna 2023 využít prostředky z rozpočtových prostředků společné zemědělské politiky (SZP) na období 2021–2027 a dalších 8 miliard EUR vnějších účelově vázaných příjmů z fondů </w:t>
      </w:r>
      <w:proofErr w:type="spellStart"/>
      <w:r w:rsidRPr="007D7B32">
        <w:t>NextGenerationEU</w:t>
      </w:r>
      <w:proofErr w:type="spellEnd"/>
      <w:r w:rsidRPr="007D7B32">
        <w:t xml:space="preserve"> pro Evropský zemědělský fond pro rozvoj venkova (EZFRV), a že související platby členských států zemědělcům a dalším příjemcům SZP mohou být prováděny do 31. prosince 2025;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14</w:t>
      </w:r>
      <w:r w:rsidR="006B01DD" w:rsidRPr="007D7B32">
        <w:t>4</w:t>
      </w:r>
      <w:r w:rsidRPr="007D7B32">
        <w:t>.</w:t>
      </w:r>
      <w:r w:rsidRPr="007D7B32">
        <w:tab/>
        <w:t>konstatuje, že v rozpočtovém roce 2022 bylo více než 5,9 milionu příjemců režimů přímé podpory, přibližně 3,5 milionu příjemců opatření pro rozvoj venkova a přibližně 0,11 milionu příjemců tržních opatření; zdůrazňuje, že odolnost zemědělců a potravinového systému Unie i nadále zajišťuje potravinové zabezpečení v Unii i mimo ni, a to navzdory výzvám, kterým čelili v roce 2022;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14</w:t>
      </w:r>
      <w:r w:rsidR="006B01DD" w:rsidRPr="007D7B32">
        <w:t>5</w:t>
      </w:r>
      <w:r w:rsidRPr="007D7B32">
        <w:t>.</w:t>
      </w:r>
      <w:r w:rsidRPr="007D7B32">
        <w:tab/>
        <w:t>konstatuje, že nevyprovokovaná ruská útočná válka proti Ukrajině vedla mimo jiné k aktivaci krizové rezervy v podobě balíčku podpory ve výši 500 milionů EUR, z nichž 350 milionů EUR bylo poskytnuto postiženým výrobcům z rezervy a dalších 150 milionů EUR z EZZF; vítá vysokou míru čerpání (více než 492 milionů EUR) a rychlou realizaci; konstatuje, že členským státům byla poskytnuta flexibilita při rozhodování o odvětvích, která považují za nejvíce zasažená narušením trhu, a také o druzích režimů podpory, které určují použitý systém kontroly;</w:t>
      </w:r>
    </w:p>
    <w:p w:rsidR="00FA2D6B" w:rsidRPr="007D7B32" w:rsidRDefault="00FA2D6B" w:rsidP="005E7441">
      <w:pPr>
        <w:pStyle w:val="NormalHanging12a"/>
      </w:pPr>
      <w:r w:rsidRPr="007D7B32">
        <w:t>14</w:t>
      </w:r>
      <w:r w:rsidR="006B01DD" w:rsidRPr="007D7B32">
        <w:t>6</w:t>
      </w:r>
      <w:r w:rsidRPr="007D7B32">
        <w:t>.</w:t>
      </w:r>
      <w:r w:rsidRPr="007D7B32">
        <w:tab/>
        <w:t xml:space="preserve">konstatuje, že Účetní dvůr prověřil vzorek 218 transakcí, který pokrývá celou škálu výdajů v rámci tohoto okruhu VFR; konstatuje, že Účetní dvůr rovněž přezkoumal </w:t>
      </w:r>
      <w:r w:rsidRPr="007D7B32">
        <w:lastRenderedPageBreak/>
        <w:t>informace o správnosti uvedené ve výročních zprávách o činnosti Generálního ředitelství pro zemědělství a rozvoj venkova (GŘ AGRI) a Generálního ředitelství pro opatření v oblasti klimatu (GŘ CLIMA), jakož i vybrané systémy v 17 členských státech a ve Spojeném království; konstatuje, že Účetní dvůr odhaduje míru chyb v oblasti „Přírodní zdroje“ na 2,2 % (1,8 % v roce 2021) a že většina zjištěných chyb se týkala operací v oblasti rozvoje venkova; konstatuje, že GŘ AGRI odhaduje riziko při platbě na 1,76 %;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14</w:t>
      </w:r>
      <w:r w:rsidR="006B01DD" w:rsidRPr="007D7B32">
        <w:t>7</w:t>
      </w:r>
      <w:r w:rsidRPr="007D7B32">
        <w:t>.</w:t>
      </w:r>
      <w:r w:rsidRPr="007D7B32">
        <w:tab/>
        <w:t>konstatuje, že Účetní dvůr zjistil 21 vyčíslitelných chyb v oblasti rozvoje venkova, 7 chyb v přímých platbách, 2 chyby ve výdajích souvisejících s tržními opatřeními a 2 chyby ve výdajích nesouvisejících se SZP; je uklidněn skutečností, že Komise uvedla, že 8 z vyčíslitelných chyb má finanční dopad nižší než 100 EUR (ohlášení větší plochy) a u většiny z nich je nesprávně vynaložená částka nižší než 1 000 EUR;</w:t>
      </w:r>
    </w:p>
    <w:p w:rsidR="00FA2D6B" w:rsidRPr="007D7B32" w:rsidRDefault="00FA2D6B" w:rsidP="005E7441">
      <w:pPr>
        <w:pStyle w:val="NormalHanging12a"/>
      </w:pPr>
      <w:r w:rsidRPr="007D7B32">
        <w:t>14</w:t>
      </w:r>
      <w:r w:rsidR="006B01DD" w:rsidRPr="007D7B32">
        <w:t>8</w:t>
      </w:r>
      <w:r w:rsidRPr="007D7B32">
        <w:t>.</w:t>
      </w:r>
      <w:r w:rsidRPr="007D7B32">
        <w:tab/>
        <w:t>konstatuje, že většina chyb zjištěných Účetním dvorem se týkala poskytování nepřesných informací o oblastech nebo zvířatech (42 %) a nezpůsobilých výdajů příjemců, činností a projektů; stejně jako v roce 2021 se znepokojením konstatuje, že Účetní dvůr v několika případech zjistil, že orgány členských států a Komise měly dostatek informací k tomu, aby chybám předešly, odhalily je a napravily ještě před schválením výdajů, a že pokud by orgány členských států a Komise řádně využily všechny informace, které měly k dispozici, odhadovaná míra chyb u této kapitoly by byla o 1,3 procentního bodu nižší;</w:t>
      </w:r>
    </w:p>
    <w:p w:rsidR="00FA2D6B" w:rsidRPr="007D7B32" w:rsidRDefault="00FA2D6B" w:rsidP="005E7441">
      <w:pPr>
        <w:pStyle w:val="Normal12a"/>
        <w:autoSpaceDE w:val="0"/>
        <w:autoSpaceDN w:val="0"/>
        <w:adjustRightInd w:val="0"/>
        <w:ind w:left="567" w:hanging="567"/>
        <w:rPr>
          <w:szCs w:val="24"/>
        </w:rPr>
      </w:pPr>
      <w:r w:rsidRPr="007D7B32">
        <w:t>14</w:t>
      </w:r>
      <w:r w:rsidR="006B01DD" w:rsidRPr="007D7B32">
        <w:t>9</w:t>
      </w:r>
      <w:r w:rsidRPr="007D7B32">
        <w:t>.</w:t>
      </w:r>
      <w:r w:rsidRPr="007D7B32">
        <w:tab/>
        <w:t xml:space="preserve">připomíná, že za řešení podvodů ve výdajích na SZP jsou odpovědné jak Komise, tak členské státy; poukazuje na to, že opatření proti podvodům by měla mít pro Unii a členské státy i nadále vysokou prioritu, neboť podvody brání dosažení politických cílů pomocí prostředků Unie. </w:t>
      </w:r>
    </w:p>
    <w:p w:rsidR="00FA2D6B" w:rsidRPr="007D7B32" w:rsidRDefault="00FA2D6B" w:rsidP="005E7441">
      <w:pPr>
        <w:pStyle w:val="NormalHanging12a"/>
      </w:pPr>
      <w:r w:rsidRPr="007D7B32">
        <w:t>1</w:t>
      </w:r>
      <w:r w:rsidR="006B01DD" w:rsidRPr="007D7B32">
        <w:t>50</w:t>
      </w:r>
      <w:r w:rsidRPr="007D7B32">
        <w:t>.</w:t>
      </w:r>
      <w:r w:rsidRPr="007D7B32">
        <w:tab/>
        <w:t>bere na vědomí prohlášení Komise, že model provádění SZP na období 2023–2027 má za cíl zjednodušit pravidla a klást důraz na využívání nových technologií, jako je systém monitorování ploch, který pomůže snížit počet chyb; konstatuje, že systém evidence půdy (LPIS) je spolu s chybami zemědělců základem pro geoprostorovou žádost o podporu, a připomíná významné potenciální přínosy technologií pro monitorování podpor na plochu pro zemědělce, správní orgány a životní prostředí;</w:t>
      </w:r>
    </w:p>
    <w:p w:rsidR="00FA2D6B" w:rsidRPr="007D7B32" w:rsidRDefault="00FA2D6B" w:rsidP="005E7441">
      <w:pPr>
        <w:pStyle w:val="NormalHanging12a"/>
      </w:pPr>
      <w:r w:rsidRPr="007D7B32">
        <w:t>1</w:t>
      </w:r>
      <w:r w:rsidR="006B01DD" w:rsidRPr="007D7B32">
        <w:t>51</w:t>
      </w:r>
      <w:r w:rsidRPr="007D7B32">
        <w:t>.</w:t>
      </w:r>
      <w:r w:rsidRPr="007D7B32">
        <w:tab/>
        <w:t>poukazuje na příklad nesprávného prohlášení o zemědělské činnosti, který Účetní dvůr uvedl ve své výroční zprávě a který byl v některých médiích citován jako „případ citronovníků“, kdy zemědělec prohlásil, že pěstuje trvalé kultury, ačkoli ve skutečnosti pozemek již několik let neobdělával; bere na vědomí finanční dopad této chyby ve výši 8 349,06 EUR, jak uvedla Komise, a nápravná opatření přijatá odpovědnými vnitrostátními orgány, včetně zpětného získání nárokované částky; oceňuje důkladnou práci Účetního dvora a Komise při provádění auditů a rychlé následné kroky ze strany příslušné platební agentury; zdůrazňuje však, že tento případ by neměl být chápán jako vzácná a individuální náhoda, ale spíše jako riziko systematického způsobu, který umožňuje podvodně získávat finanční prostředky Unie, a proto by neměl být podceňován;</w:t>
      </w:r>
    </w:p>
    <w:p w:rsidR="00FA2D6B" w:rsidRPr="007D7B32" w:rsidRDefault="00FA2D6B" w:rsidP="005E7441">
      <w:pPr>
        <w:pStyle w:val="NormalHanging12a"/>
      </w:pPr>
      <w:r w:rsidRPr="007D7B32">
        <w:t>1</w:t>
      </w:r>
      <w:r w:rsidR="006B01DD" w:rsidRPr="007D7B32">
        <w:t>52</w:t>
      </w:r>
      <w:r w:rsidRPr="007D7B32">
        <w:t>.</w:t>
      </w:r>
      <w:r w:rsidRPr="007D7B32">
        <w:tab/>
        <w:t xml:space="preserve">konstatuje, že zjednodušená vykazování nákladů se uplatňují v rámci celé SZP, a to i v oblasti rozvoje venkova, kde jsou podmínky způsobilosti složitější a riziko chyb je vyšší, a že stále existuje potenciál pro zjednodušení opatření, která nejsou založena na prohlášeních o ploše nebo zvířatech a kde se členské státy mohou rozhodnout, zda </w:t>
      </w:r>
      <w:r w:rsidRPr="007D7B32">
        <w:lastRenderedPageBreak/>
        <w:t>uhradí skutečné náklady, nebo budou platit podle předem stanovených výstupů; konstatuje, že Komise uvádí, že téměř 92 % programů rozvoje venkova využívá zjednodušeného vykazování nákladů; vyzývá Komisi, aby zveřejnila částku vyplacenou prostřednictvím zjednodušeného vykazování nákladů;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1</w:t>
      </w:r>
      <w:r w:rsidR="006B01DD" w:rsidRPr="007D7B32">
        <w:t>53</w:t>
      </w:r>
      <w:r w:rsidRPr="007D7B32">
        <w:t>.</w:t>
      </w:r>
      <w:r w:rsidRPr="007D7B32">
        <w:tab/>
        <w:t xml:space="preserve">připomíná, že model míry jistoty uplatňovaný na SZP zahrnuje kontroly první úrovně prováděné platebními agenturami, auditní činnost prováděnou nezávislými certifikačními orgány, které vydávají roční stanoviska k legalitě a správnosti výdajů platebních agentur, a činnost Komise prostřednictvím schvalování účetních závěrek; vítá, že i přes některé nesrovnalosti způsobené rozdílnými harmonogramy aktualizace souborů kontrolních a platebních údajů Účetní dvůr zjistil, že systémy vybraných platebních agentur spolehlivě vypočítaly platby podpory, což svědčí o celkové kvalitě a soudržnosti kontrolních statistik a údajů o platbách, které členské státy vykazují Komisi; </w:t>
      </w:r>
    </w:p>
    <w:p w:rsidR="00FA2D6B" w:rsidRPr="007D7B32" w:rsidRDefault="00FA2D6B" w:rsidP="005E7441">
      <w:pPr>
        <w:pStyle w:val="NormalHanging12a"/>
      </w:pPr>
      <w:r w:rsidRPr="007D7B32">
        <w:t>15</w:t>
      </w:r>
      <w:r w:rsidR="006B01DD" w:rsidRPr="007D7B32">
        <w:t>4</w:t>
      </w:r>
      <w:r w:rsidRPr="007D7B32">
        <w:t>.</w:t>
      </w:r>
      <w:r w:rsidRPr="007D7B32">
        <w:tab/>
        <w:t>vítá zvýšený zájem členských států o integrovaný IT nástroj pro vytěžování dat ARACHNE a jeho využívání, neboť 13 členských států používá tento nástroj alespoň pro některá opatření a pět členských států se zúčastnilo obecného úvodního semináře o ARACHNE; vyjadřuje politování nad tím, že používání integrovaného nástroje IT pro vytěžování dat ARACHNE členskými státy není povinné; bere na vědomí překážky, o nichž informovaly členské státy, a pokračující úsilí Komise o zlepšení systému ARACHNE; vyjadřuje politování nad selektivním přijetím ARACHNE členskými státy;</w:t>
      </w:r>
    </w:p>
    <w:p w:rsidR="00FA2D6B" w:rsidRPr="007D7B32" w:rsidRDefault="00FA2D6B" w:rsidP="005E7441">
      <w:pPr>
        <w:pStyle w:val="NormalHanging12a"/>
      </w:pPr>
      <w:r w:rsidRPr="007D7B32">
        <w:t>15</w:t>
      </w:r>
      <w:r w:rsidR="006B01DD" w:rsidRPr="007D7B32">
        <w:t>5</w:t>
      </w:r>
      <w:r w:rsidRPr="007D7B32">
        <w:t>.</w:t>
      </w:r>
      <w:r w:rsidRPr="007D7B32">
        <w:tab/>
        <w:t>konstatuje, že v roce 2022 vykázala Komise u závazků v rámci Evropského námořního, rybářského a akvakulturního fondu (EMFAF) míru plnění ve výši 99,69 %, což je výrazné zlepšení oproti míře plnění EMFAF ve výši 15,98 % v roce 2021; konstatuje však, že ke konci příslušného roku zůstalo nevyplaceno 94,76 % z 1 135,74 milionu EUR prostředků na závazky v roce 2022 a 97,06 % ze 148,12 milionu EUR v roce 2021; dále konstatuje, že míra čerpání schválených prostředků na platby pro EMFAF v roce 2022 činila 99,99 % a pro EMFF v roce 2021 pak 86,55 %;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15</w:t>
      </w:r>
      <w:r w:rsidR="006B01DD" w:rsidRPr="007D7B32">
        <w:t>6</w:t>
      </w:r>
      <w:r w:rsidRPr="007D7B32">
        <w:t>.</w:t>
      </w:r>
      <w:r w:rsidRPr="007D7B32">
        <w:tab/>
        <w:t>bere na vědomí zvláštní zprávu Účetního dvora 09/2023 o zabezpečení dodavatelských řetězců zemědělských produktů během pandemie COVID-19 a její závěr, že reakce Komise na hrozbu, kterou pandemie COVID-19 představovala pro dodavatelské řetězce zemědělských produktů, byla ve většině ohledů přiměřená, ale nedostatečně cílená; připomíná, že přímá podpora s rozpočtem ve výši 712 milionů EUR byla rychle provedena prostřednictvím přerozdělení nevyužitých prostředků z EZFRV, což vedlo k tomu, že toto opatření bylo většinou převzato členskými státy, přičemž značná část rozpočtu EZFRV nebyla na konci roku 2019 využita; dále připomíná, že 5 ze 14 členských států poskytlo finanční prostředky Unie všem zemědělcům, kteří utrpěli ztráty, zatímco zbylých 9 zaměřilo podporu na vybraná odvětví a vyplácelo podporu příjemcům bez ohledu na to, zda utrpěli ztráty;</w:t>
      </w:r>
    </w:p>
    <w:p w:rsidR="00FA2D6B" w:rsidRPr="007D7B32" w:rsidRDefault="00FA2D6B" w:rsidP="005E7441">
      <w:pPr>
        <w:pStyle w:val="Normal12Hanging"/>
        <w:rPr>
          <w:lang w:val="cs-CZ"/>
        </w:rPr>
      </w:pPr>
      <w:r w:rsidRPr="007D7B32">
        <w:rPr>
          <w:lang w:val="cs-CZ"/>
        </w:rPr>
        <w:t>15</w:t>
      </w:r>
      <w:r w:rsidR="006B01DD" w:rsidRPr="007D7B32">
        <w:rPr>
          <w:lang w:val="cs-CZ"/>
        </w:rPr>
        <w:t>7</w:t>
      </w:r>
      <w:r w:rsidRPr="007D7B32">
        <w:rPr>
          <w:lang w:val="cs-CZ"/>
        </w:rPr>
        <w:t>.</w:t>
      </w:r>
      <w:r w:rsidRPr="007D7B32">
        <w:rPr>
          <w:lang w:val="cs-CZ"/>
        </w:rPr>
        <w:tab/>
        <w:t xml:space="preserve">konstatuje, že předběžné odhady (založené na prostředcích na závazky) příspěvku hlavních programů na oblast klimatu ukazují, že na opatření v oblasti klimatu bylo v roce 2022 věnováno 34,8 % rozpočtu Unie, a to v souladu s plány interinstitucionální dohody, neboť pro tento účel má být použito nejméně 30 % prostředků VFR na období 2021–2027; 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t>15</w:t>
      </w:r>
      <w:r w:rsidR="006B01DD" w:rsidRPr="007D7B32">
        <w:t>8</w:t>
      </w:r>
      <w:r w:rsidRPr="007D7B32">
        <w:t>.</w:t>
      </w:r>
      <w:r w:rsidRPr="007D7B32">
        <w:tab/>
        <w:t xml:space="preserve">bere na vědomí změny metodiky Komise pro sledování klimatu provedené v roce 2022 v reakci na obavy vyjádřené v souvislosti se zjištěním uvedeným ve zvláštní zprávě </w:t>
      </w:r>
      <w:r w:rsidRPr="007D7B32">
        <w:lastRenderedPageBreak/>
        <w:t>Účetního dvora č. 09/2022</w:t>
      </w:r>
      <w:r w:rsidRPr="007D7B32">
        <w:rPr>
          <w:vertAlign w:val="superscript"/>
        </w:rPr>
        <w:footnoteReference w:id="76"/>
      </w:r>
      <w:r w:rsidRPr="007D7B32">
        <w:t xml:space="preserve">, že vykázané výdaje nebyly pro opatření v oblasti klimatu vždy relevantní a že částka vykázaná jako vynaložená za tímto účelem byla nadhodnocena nejméně o 72 miliard EUR, což znamená, že na účely související s klimatem bylo vynaloženo pouze asi 13 % rozpočtu na období 2014–2020; je toho názoru, že tato skutečnost slouží jako varování; naléhavě vyzývá Komisi, aby v metodice sledování rozlišovala mezi zmírňováním změny klimatu a přizpůsobováním se této změně, a to rozdělením kategorií monitorování a vykazování na část přizpůsobování se změně klimatu a část zmírňování změny klimatu; 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t>15</w:t>
      </w:r>
      <w:r w:rsidR="006B01DD" w:rsidRPr="007D7B32">
        <w:t>9</w:t>
      </w:r>
      <w:r w:rsidRPr="007D7B32">
        <w:t>.</w:t>
      </w:r>
      <w:r w:rsidRPr="007D7B32">
        <w:tab/>
        <w:t>zdůrazňuje význam řádné kontroly výdajů v oblasti klimatu a biologické rozmanitosti v rozpočtu Unie a připomíná odpovědnost Komise za provádění důkladné a spolehlivé metodiky v souladu se závazky přijatými v dohodě o VFR a v bodu 16d IIA ze dne 16. prosince 2020; vyzývá Komisi, aby se vyvarovala zavádějící aproximace příspěvku výdajů k cílům v oblasti klimatu a biologické rozmanitosti, absence výslovných cílů a pouze částečného pokrytí potenciálních negativních nebo nejasných dopadů na klima a biologickou rozmanitost; uznává, že existují intervence se společnými přínosy, zdůrazňuje však, že je třeba zabránit dvojímu započítávání;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t>1</w:t>
      </w:r>
      <w:r w:rsidR="006B01DD" w:rsidRPr="007D7B32">
        <w:t>60</w:t>
      </w:r>
      <w:r w:rsidRPr="007D7B32">
        <w:t>.</w:t>
      </w:r>
      <w:r w:rsidRPr="007D7B32">
        <w:tab/>
        <w:t xml:space="preserve">vyzývá Komisi, aby Parlamentu každoročně předkládala zprávu s podrobným rozpisem toho, jak každá rozpočtová položka přispívá k cílům v oblasti zohledňování změny klimatu a biologické rozmanitosti, aby se tak usnadnilo sledování plnění těchto cílů; dále Komisi vyzývá, aby upozorňovala, že některá z rozpočtových položek nesplňuje kritérium „významně nepoškozovat“ uvedené v nařízení o taxonomii; 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t>1</w:t>
      </w:r>
      <w:r w:rsidR="006B01DD" w:rsidRPr="007D7B32">
        <w:t>61</w:t>
      </w:r>
      <w:r w:rsidRPr="007D7B32">
        <w:t>.</w:t>
      </w:r>
      <w:r w:rsidRPr="007D7B32">
        <w:tab/>
        <w:t xml:space="preserve">konstatuje, že Úřad pro připravenost a reakci na mimořádné situace v oblasti zdraví (HERA) poté, co byl dne 1. října 2021 zřízen jako interní útvar Komise, v průběhu roku 2022 rozšířil svou činnost a že jeho posláním je podporovat priority Komise v oblasti veřejného zdraví, připravenosti a řešení krizí v odvětvích zdraví, výzkumu a inovací a průmyslu; se znepokojením sleduje překrývání povinností a zdvojování úsilí mezi mandáty GŘ HERA a GŘ SANTE a ECDC; vyzývá Komisi, aby zajistila přidanou hodnotu úřadu HERA jakožto nedílné součásti Komise a aby zabránila zdvojování práce a zdrojů; 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t>1</w:t>
      </w:r>
      <w:r w:rsidR="006B01DD" w:rsidRPr="007D7B32">
        <w:t>62</w:t>
      </w:r>
      <w:r w:rsidRPr="007D7B32">
        <w:t>.</w:t>
      </w:r>
      <w:r w:rsidRPr="007D7B32">
        <w:tab/>
        <w:t xml:space="preserve">vyjadřuje politování nad tím, že rozhodnutí Komise o financování úřadu HERA se do značné míry spoléhalo na program EU4Health, přičemž v letech 2021 až 2027 byl jeho rozpočet snížen o více než polovinu a příspěvek programu EU4Health úřadu HERA činil 2,795 miliardy EUR; se znepokojením konstatuje, že toto snížení ovlivnilo schopnost programu EU4Health ambiciózně financovat další činnosti stanovené v nařízení (EU) 2021/522 a ohrožuje mimo jiné opatření v rámci Evropského plánu boje proti rakovině a nezbytnou podporu pro vytvoření evropského prostoru pro zdravotní data; vyjadřuje politování nad tím, že přidělením takto významných částek úřadu HERA Komise porušila dohodnuté stropy financování pro minimální a maximální výdaje stanovené v nařízení o programu EU4Health; </w:t>
      </w:r>
    </w:p>
    <w:p w:rsidR="00FA2D6B" w:rsidRPr="007D7B32" w:rsidRDefault="00FA2D6B" w:rsidP="005E7441">
      <w:pPr>
        <w:spacing w:after="240"/>
        <w:ind w:left="567" w:hanging="567"/>
        <w:rPr>
          <w:i/>
          <w:szCs w:val="24"/>
        </w:rPr>
      </w:pPr>
      <w:r w:rsidRPr="007D7B32">
        <w:rPr>
          <w:i/>
        </w:rPr>
        <w:t>Doporučení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1</w:t>
      </w:r>
      <w:r w:rsidR="006B01DD" w:rsidRPr="007D7B32">
        <w:t>63</w:t>
      </w:r>
      <w:r w:rsidRPr="007D7B32">
        <w:t>.</w:t>
      </w:r>
      <w:r w:rsidRPr="007D7B32">
        <w:tab/>
        <w:t>vyzývá Komisi, aby:</w:t>
      </w:r>
    </w:p>
    <w:p w:rsidR="00FA2D6B" w:rsidRPr="007D7B32" w:rsidRDefault="00FA2D6B" w:rsidP="005E7441">
      <w:pPr>
        <w:spacing w:after="240"/>
        <w:ind w:left="1134" w:hanging="567"/>
        <w:rPr>
          <w:spacing w:val="-6"/>
          <w:szCs w:val="24"/>
        </w:rPr>
      </w:pPr>
      <w:r w:rsidRPr="007D7B32">
        <w:lastRenderedPageBreak/>
        <w:t>i)</w:t>
      </w:r>
      <w:r w:rsidRPr="007D7B32">
        <w:tab/>
        <w:t>věnovala v následném hodnocení SZP 2014–2020 výslovnou pozornost přechodnému období 2021–2022 a dodatečným požadavkům obsaženým v přechodných ustanoveních nařízení (EU) 2020/2220</w:t>
      </w:r>
      <w:r w:rsidRPr="007D7B32">
        <w:rPr>
          <w:rStyle w:val="FootnoteReference"/>
          <w:spacing w:val="-6"/>
          <w:szCs w:val="24"/>
        </w:rPr>
        <w:footnoteReference w:id="77"/>
      </w:r>
      <w:r w:rsidRPr="007D7B32">
        <w:t>;</w:t>
      </w:r>
    </w:p>
    <w:p w:rsidR="00FA2D6B" w:rsidRPr="007D7B32" w:rsidRDefault="00FA2D6B" w:rsidP="005E7441">
      <w:pPr>
        <w:spacing w:after="240"/>
        <w:ind w:left="1134" w:hanging="567"/>
        <w:rPr>
          <w:spacing w:val="-6"/>
          <w:szCs w:val="24"/>
        </w:rPr>
      </w:pPr>
      <w:proofErr w:type="spellStart"/>
      <w:r w:rsidRPr="007D7B32">
        <w:t>ii</w:t>
      </w:r>
      <w:proofErr w:type="spellEnd"/>
      <w:r w:rsidRPr="007D7B32">
        <w:t>)</w:t>
      </w:r>
      <w:r w:rsidRPr="007D7B32">
        <w:tab/>
        <w:t>průběžně informovala orgán příslušný k udělení absolutoria o využívání systémů zjednodušeného vykazování nákladů v současné a nové SZP a vyhodnocovala jejich využívání s orgány členských států a (potenciálními) příjemci, aby bylo možné pochopit relativně pomalé využívání těchto možností;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iii</w:t>
      </w:r>
      <w:proofErr w:type="spellEnd"/>
      <w:r w:rsidRPr="007D7B32">
        <w:t>)</w:t>
      </w:r>
      <w:r w:rsidRPr="007D7B32">
        <w:tab/>
        <w:t>nadále podporovala využívání programu ARACHNE s cílem zvýšit počet členských států, které systém využívají, a zvýšit rozsah jeho využívání tak, aby zahrnoval všechny programy v souvislosti s dokončenou revizí finančního nařízení;</w:t>
      </w:r>
    </w:p>
    <w:p w:rsidR="00FA2D6B" w:rsidRPr="007D7B32" w:rsidRDefault="00FA2D6B" w:rsidP="005E7441">
      <w:pPr>
        <w:spacing w:after="240"/>
        <w:ind w:left="1134" w:hanging="567"/>
        <w:rPr>
          <w:spacing w:val="-6"/>
          <w:szCs w:val="24"/>
        </w:rPr>
      </w:pPr>
      <w:proofErr w:type="spellStart"/>
      <w:r w:rsidRPr="007D7B32">
        <w:t>iv</w:t>
      </w:r>
      <w:proofErr w:type="spellEnd"/>
      <w:r w:rsidRPr="007D7B32">
        <w:t>)</w:t>
      </w:r>
      <w:r w:rsidRPr="007D7B32">
        <w:tab/>
        <w:t>pečlivě zvážila ukazatele rizik v systému ARACHNE s cílem snížit počet falešných ukazatelů a zefektivnit zbývající ukazatele při odhalování situací s vysokým rizikem pro ochranu finančních zájmů Unie; a</w:t>
      </w:r>
    </w:p>
    <w:p w:rsidR="00FA2D6B" w:rsidRPr="007D7B32" w:rsidRDefault="00FA2D6B" w:rsidP="005E7441">
      <w:pPr>
        <w:pStyle w:val="NormalHanging12a"/>
        <w:ind w:left="1134"/>
      </w:pPr>
      <w:r w:rsidRPr="007D7B32">
        <w:t>v)</w:t>
      </w:r>
      <w:r w:rsidRPr="007D7B32">
        <w:tab/>
        <w:t xml:space="preserve">propagovala a podporovala platební agentury členských států v používání IT nástrojů, jako jsou satelitní snímky programu </w:t>
      </w:r>
      <w:proofErr w:type="spellStart"/>
      <w:r w:rsidRPr="007D7B32">
        <w:t>Copernicus</w:t>
      </w:r>
      <w:proofErr w:type="spellEnd"/>
      <w:r w:rsidRPr="007D7B32">
        <w:t xml:space="preserve"> a další zobrazovací technologie v oblasti </w:t>
      </w:r>
      <w:proofErr w:type="spellStart"/>
      <w:r w:rsidRPr="007D7B32">
        <w:t>agrokontroly</w:t>
      </w:r>
      <w:proofErr w:type="spellEnd"/>
      <w:r w:rsidRPr="007D7B32">
        <w:t>, a poskytovala jim pobídky;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vi</w:t>
      </w:r>
      <w:proofErr w:type="spellEnd"/>
      <w:r w:rsidRPr="007D7B32">
        <w:t>)</w:t>
      </w:r>
      <w:r w:rsidRPr="007D7B32">
        <w:tab/>
        <w:t xml:space="preserve">lépe využívala umělou inteligenci a data z nových technologií, jako jsou družice Unie </w:t>
      </w:r>
      <w:proofErr w:type="spellStart"/>
      <w:r w:rsidRPr="007D7B32">
        <w:t>Copernicus</w:t>
      </w:r>
      <w:proofErr w:type="spellEnd"/>
      <w:r w:rsidRPr="007D7B32">
        <w:t xml:space="preserve"> Sentinel, ke sledování a kontrole správného využívání finančních prostředků SZP, a podporovala jejich využívání v tomto směru;</w:t>
      </w:r>
    </w:p>
    <w:p w:rsidR="00FA2D6B" w:rsidRPr="007D7B32" w:rsidRDefault="00FA2D6B" w:rsidP="005E7441">
      <w:pPr>
        <w:pStyle w:val="Title"/>
        <w:spacing w:after="240"/>
        <w:ind w:left="567" w:hanging="567"/>
        <w:rPr>
          <w:i/>
        </w:rPr>
      </w:pPr>
      <w:r w:rsidRPr="007D7B32">
        <w:rPr>
          <w:i/>
        </w:rPr>
        <w:t>Migrace a správa hranic, bezpečnost a obrana</w:t>
      </w:r>
    </w:p>
    <w:p w:rsidR="00FA2D6B" w:rsidRPr="007D7B32" w:rsidRDefault="00FA2D6B" w:rsidP="005E7441">
      <w:pPr>
        <w:pStyle w:val="NormalHanging12a"/>
      </w:pPr>
      <w:r w:rsidRPr="007D7B32">
        <w:t>16</w:t>
      </w:r>
      <w:r w:rsidR="006B01DD" w:rsidRPr="007D7B32">
        <w:t>4</w:t>
      </w:r>
      <w:r w:rsidRPr="007D7B32">
        <w:t>.</w:t>
      </w:r>
      <w:r w:rsidRPr="007D7B32">
        <w:tab/>
        <w:t>konstatuje, že rozpočet na programy v rámci okruhu 4 VFR „Migrace a správa hranic“ činil 3,4 miliardy EUR (1,7 % rozpočtu Unie) a byl rozdělen takto: 43,9 % pro Azylový, migrační a integrační fond (AMIF), 23,1 % pro Fond pro integrovanou správu hranic (IBMF) a 33 % pro tři decentralizované agentury: Evropskou agenturu pro pohraniční a pobřežní stráž (FRONTEX), Agenturu Evropské unie pro azyl (EUAA) a Agenturu Evropské unie pro provozní řízení rozsáhlých informačních systémů v prostoru svobody, bezpečnosti a práva (EU-LISA); konstatuje, že k 31. prosinci 2022 činily konečné schválené prostředky na rozpočtové závazky 3 410,39 milionu EUR a 99,54 % z nich bylo realizováno (3 394,69 milionu EUR); dále konstatuje, že konečné schválené rozpočtové prostředky na platby činily 3 372,54 milionu EUR a 97,61 % z nich bylo realizováno (3 292,03 milionu EUR);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16</w:t>
      </w:r>
      <w:r w:rsidR="006B01DD" w:rsidRPr="007D7B32">
        <w:t>5</w:t>
      </w:r>
      <w:r w:rsidRPr="007D7B32">
        <w:t>.</w:t>
      </w:r>
      <w:r w:rsidRPr="007D7B32">
        <w:tab/>
        <w:t xml:space="preserve">konstatuje, že rozpočet na programy v rámci okruhu 5 VFR „Bezpečnost a obrana“ činil 1,2 miliardy EUR a byl rozdělen takto: 45,6 % pro Evropský obranný fond (EDF), 17 % pro Fond pro vnitřní bezpečnost (ISF), 19,2 % pro decentralizované agentury Evropské monitorovací centrum pro drogy a drogovou závislost (EMCDDA), </w:t>
      </w:r>
      <w:proofErr w:type="spellStart"/>
      <w:r w:rsidRPr="007D7B32">
        <w:t>Europol</w:t>
      </w:r>
      <w:proofErr w:type="spellEnd"/>
      <w:r w:rsidRPr="007D7B32">
        <w:t xml:space="preserve"> a Agenturu </w:t>
      </w:r>
      <w:r w:rsidRPr="007D7B32">
        <w:lastRenderedPageBreak/>
        <w:t xml:space="preserve">Evropské unie pro vzdělávání a výcvik v oblasti prosazování práva (CEPOL), 6,8 % pro jadernou bezpečnost a vyřazování jaderných zařízení z provozu a 11,4 % pro ostatní oblasti; konstatuje, že k 31. prosinci 2022 činily konečné schválené prostředky na rozpočtové závazky 1 813,03 milionu EUR a 99,8 % z nich bylo realizováno (1 809,43 milionu EUR); dále konstatuje, že konečné schválené rozpočtové prostředky na platby činily 1 158,67 milionu EUR a 97,54 % z nich bylo realizováno (1 130,20 milionu EUR); 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16</w:t>
      </w:r>
      <w:r w:rsidR="006B01DD" w:rsidRPr="007D7B32">
        <w:t>6</w:t>
      </w:r>
      <w:r w:rsidRPr="007D7B32">
        <w:t>.</w:t>
      </w:r>
      <w:r w:rsidRPr="007D7B32">
        <w:tab/>
        <w:t>konstatuje, že značná část výdajů v rámci okruhů 4 a 5 VFR v roce 2022 se týkala dokončení projektů zbývajících z VFR na období 2014–2020; konstatuje, že značné částky vnitrostátních programů Azylového a migračního fondu (AMIF) a Fondu pro vnitřní bezpečnost (ISF) na období 2014–2020 zůstávají nevyplacené (26 % pro AMIF a 33 % pro ISF na konci roku 2022), ačkoli finanční prostředky na období 2014–2020 musí být vyčerpány do června 2024;</w:t>
      </w:r>
    </w:p>
    <w:p w:rsidR="00FA2D6B" w:rsidRPr="007D7B32" w:rsidRDefault="00FA2D6B" w:rsidP="005E7441">
      <w:pPr>
        <w:pStyle w:val="NormalHanging12a"/>
      </w:pPr>
      <w:r w:rsidRPr="007D7B32">
        <w:t>16</w:t>
      </w:r>
      <w:r w:rsidR="006B01DD" w:rsidRPr="007D7B32">
        <w:t>7</w:t>
      </w:r>
      <w:r w:rsidRPr="007D7B32">
        <w:t>.</w:t>
      </w:r>
      <w:r w:rsidRPr="007D7B32">
        <w:tab/>
        <w:t>konstatuje, že Účetní dvůr zkoumal vzorek 23 transakcí, který není dostatečně reprezentativní pro výdaje v rámci okruhů 4 a 5 VFR, a proto nemůže poskytnout odhad míry chyb; s obavami zdůrazňuje, že výsledky auditu Účetního dvora ukazují, že výdaje jsou ovlivněny problémy se způsobilostí a zadáváním veřejných zakázek a že se jedná o vysoce rizikovou oblast (11 z 23 auditovaných operací, tj. 48 %, bylo ovlivněno chybami), a proto vyzývá Účetní dvůr, aby poskytl jasný odhad míry chyb pro tuto kapitolu; konstatuje, že Účetní dvůr vyčíslil devět chyb, které měly dopad na částky účtované do rozpočtu Unie, a že rovněž zjistil čtyři případy nedodržení právních a finančních ustanovení, které neměly dopad na rozpočet Unie; konstatuje, že Komise dospěla k závěru, že riziko v době platby je nižší než 2 % u výdajů na migraci a správu hranic, jakož i na bezpečnost a obranu;</w:t>
      </w:r>
    </w:p>
    <w:p w:rsidR="00FA2D6B" w:rsidRPr="007D7B32" w:rsidRDefault="00FA2D6B" w:rsidP="005E7441">
      <w:pPr>
        <w:pStyle w:val="NormalHanging12a"/>
      </w:pPr>
      <w:r w:rsidRPr="007D7B32">
        <w:t>16</w:t>
      </w:r>
      <w:r w:rsidR="006B01DD" w:rsidRPr="007D7B32">
        <w:t>8</w:t>
      </w:r>
      <w:r w:rsidRPr="007D7B32">
        <w:t>.</w:t>
      </w:r>
      <w:r w:rsidRPr="007D7B32">
        <w:tab/>
        <w:t>vítá pokrok, který Účetní dvůr zjistil při přezkumu práce vykonané auditními orgány šesti členských států při přípravě AMIF na období 2021–2027, Nástroje pro finanční podporu správy hranic a vízové politiky (BMVI) a roční účetní závěrky ISF; bere na vědomí zjištění Účetního dvora, že v době jeho návštěv (mezi zářím 2022 a únorem 2023) ještě nebyly přijaty strategie auditu šesti členských států, což je předpokladem pro předložení „balíčku pro poskytnutí jistoty“; konstatuje, že v době návštěvy Účetního dvora byly IT systémy pro uchovávání informací a dokumentace potřebné pro audity řídicích orgánů šesti členských států buď ve fázi vývoje, nebo dosud nebyly vyvinuty;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16</w:t>
      </w:r>
      <w:r w:rsidR="006B01DD" w:rsidRPr="007D7B32">
        <w:t>9</w:t>
      </w:r>
      <w:r w:rsidRPr="007D7B32">
        <w:t>.</w:t>
      </w:r>
      <w:r w:rsidRPr="007D7B32">
        <w:tab/>
        <w:t>bere na vědomí, že strategie GŘ DEFIS pro boj proti podvodům byla aktualizována v únoru 2022 a její provádění je monitorováno a každoročně je o něm podávána zpráva vedení; vítá, že bylo provedeno 100 % doporučení úřadu OLAF týkajících se GŘ DEFIS a že na úrovni Komise ani jejích partnerů nebyly hlášeny žádné případy podvodu; konstatuje, že poslední aktualizace strategie Generálního ředitelství pro migraci a vnitřní věci (GŘ HOME) pro boj proti podvodům proběhla v říjnu 2021 a v současné době se provádí; vítá, že do konce roku 2022 bylo plně provedeno 72 % finančních doporučení úřadu OLAF z předchozího roku a 28 % bylo ve fázi provádění;</w:t>
      </w:r>
    </w:p>
    <w:p w:rsidR="00FA2D6B" w:rsidRPr="007D7B32" w:rsidRDefault="00FA2D6B" w:rsidP="005E7441">
      <w:pPr>
        <w:spacing w:after="240"/>
        <w:ind w:left="567" w:hanging="567"/>
        <w:rPr>
          <w:i/>
          <w:szCs w:val="24"/>
        </w:rPr>
      </w:pPr>
      <w:r w:rsidRPr="007D7B32">
        <w:rPr>
          <w:i/>
        </w:rPr>
        <w:t xml:space="preserve">Migrace a správa hranic 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1</w:t>
      </w:r>
      <w:r w:rsidR="006B01DD" w:rsidRPr="007D7B32">
        <w:t>70</w:t>
      </w:r>
      <w:r w:rsidRPr="007D7B32">
        <w:t>.</w:t>
      </w:r>
      <w:r w:rsidRPr="007D7B32">
        <w:tab/>
        <w:t xml:space="preserve">konstatuje, že v roce 2022 byly finanční prostředky v rámci okruhu 4 VFR nápomocny při řešení dopadů ruské útočné války proti Ukrajině; bere na vědomí, že v rámci fondů na období 2014–2020 byla zavedena větší flexibilita, aby se zvýšily možnosti členských států směřovat finanční prostředky na nové potřeby, a že v rámci tematických nástrojů </w:t>
      </w:r>
      <w:r w:rsidRPr="007D7B32">
        <w:lastRenderedPageBreak/>
        <w:t>byla spuštěna mimořádná pomoc ve výši 400 milionů EUR; konstatuje, že přijetí programů členských států na období 2021–2027 jim umožnilo přístup k více než 10 miliardám EUR v rámci nových fondů pro programové období;</w:t>
      </w:r>
    </w:p>
    <w:p w:rsidR="00FA2D6B" w:rsidRPr="007D7B32" w:rsidRDefault="00FA2D6B" w:rsidP="005E7441">
      <w:pPr>
        <w:pStyle w:val="NormalHanging12a"/>
      </w:pPr>
      <w:r w:rsidRPr="007D7B32">
        <w:t>1</w:t>
      </w:r>
      <w:r w:rsidR="006B01DD" w:rsidRPr="007D7B32">
        <w:t>71</w:t>
      </w:r>
      <w:r w:rsidRPr="007D7B32">
        <w:t>.</w:t>
      </w:r>
      <w:r w:rsidRPr="007D7B32">
        <w:tab/>
        <w:t>konstatuje, že od začátku ruské útočné války proti Ukrajině bylo zaznamenáno více než 16 milionů osob z Ukrajiny a Moldavska, které vstoupily na území Unie, a více než 4 miliony osob, které před válkou uprchly, získaly v Unii ochranu; konstatuje, že Komise poskytla finanční podporu Mezinárodní organizaci pro migraci na podporu tohoto procesu v rámci projektu v hodnotě 15 milionů EUR, který usnadňuje transfery zranitelných osob prchajících z Ukrajiny z Moldavska; dále bere na vědomí, že Komise dne 30. listopadu 2022 oznámila rozhodnutí poskytnout finanční podporu ve výši 5,5 milionu EUR na projekt, který má realizovat Mezinárodní federace společností Červeného kříže a půlměsíce (IFRC) na podporu hostitelů a všech subjektů zapojených do poskytování ubytování v soukromí vysídleným osobám a který má shromáždit osvědčené postupy pro budoucí potřeby; bere na vědomí, že v roce 2022 přijala Komise v souvislosti s financováním Ukrajiny rozhodnutí, kterými povolila využití finančních prostředků, které nejsou spojeny s náklady, ve výši 248 milionů EUR (květen 2022) a 137 milionů EUR (srpen 2022), jakož i pro menší granty, bezpečné domovy a psychosociální podporu ve výši 15 milionů EUR;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1</w:t>
      </w:r>
      <w:r w:rsidR="006B01DD" w:rsidRPr="007D7B32">
        <w:t>72</w:t>
      </w:r>
      <w:r w:rsidRPr="007D7B32">
        <w:t>.</w:t>
      </w:r>
      <w:r w:rsidRPr="007D7B32">
        <w:tab/>
        <w:t>konstatuje, že v roce 2022 poskytlo GŘ HOME 27 milionů EUR na výměnu informací týkajících se bezpečnosti a 25,5 milionu EUR na boj proti trestné činnosti, včetně terorismu, a její prevenci; dále konstatuje, že v červenci 2022 Komise prostřednictvím Fondu pro vnitřní bezpečnost (ISF) přidělila členským státům 15,7 milionu EUR na další podporu dlouhodobých projektů a činností v rámci Evropské multidisciplinární platformy proti hrozbám trestné činnosti (EMPACT), bezpečnostního nástroje „řízeného“ členskými státy s cílem identifikovat, upřednostňovat a řešit hrozby, které představuje organizovaná a závažná mezinárodní trestná činnost,</w:t>
      </w:r>
    </w:p>
    <w:p w:rsidR="00FA2D6B" w:rsidRPr="007D7B32" w:rsidRDefault="00FA2D6B" w:rsidP="005E7441">
      <w:pPr>
        <w:spacing w:after="240"/>
        <w:ind w:left="567" w:hanging="567"/>
        <w:rPr>
          <w:i/>
          <w:szCs w:val="24"/>
        </w:rPr>
      </w:pPr>
      <w:r w:rsidRPr="007D7B32">
        <w:rPr>
          <w:i/>
        </w:rPr>
        <w:t>Bezpečnost a obrana</w:t>
      </w:r>
    </w:p>
    <w:p w:rsidR="00FA2D6B" w:rsidRPr="007D7B32" w:rsidRDefault="00FA2D6B" w:rsidP="005E7441">
      <w:pPr>
        <w:pStyle w:val="NormalHanging12a"/>
      </w:pPr>
      <w:r w:rsidRPr="007D7B32">
        <w:t>1</w:t>
      </w:r>
      <w:r w:rsidR="006B01DD" w:rsidRPr="007D7B32">
        <w:t>73</w:t>
      </w:r>
      <w:r w:rsidRPr="007D7B32">
        <w:t>.</w:t>
      </w:r>
      <w:r w:rsidRPr="007D7B32">
        <w:tab/>
        <w:t>vítá, že účast malých a středních podniků v EDF (Evropský obranný fond), zejména přeshraniční účast malých a středních podniků v průmyslových konsorciích, je usnadňována prostřednictvím cílených výzev EDF, finančních bonusů, specifických kritérií pro udělování grantů a využívání systémů zjednodušeného vykazování nákladů ke snížení administrativní zátěže; konstatuje, že ve výzvách EDF na rok 2022 tvořily malé a střední podniky 38,2 % zúčastněných subjektů a 20 % z celkového objemu finančních prostředků, které jsou v rámci těchto výzev k dispozici, bude určeno pro malé a střední podniky (166 milionů EUR);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17</w:t>
      </w:r>
      <w:r w:rsidR="006B01DD" w:rsidRPr="007D7B32">
        <w:t>4</w:t>
      </w:r>
      <w:r w:rsidRPr="007D7B32">
        <w:t>.</w:t>
      </w:r>
      <w:r w:rsidRPr="007D7B32">
        <w:tab/>
        <w:t>připomíná, že přípravná akce zaměřená na obranný výzkum (PADR) byla předchůdcem EDF s rozpočtem 90 milionů EUR, který financoval 18 výzkumných projektů vybraných na základě výzev k předkládání návrhů v letech 2017 až 2019; se znepokojením konstatuje, že Účetní dvůr ve své zvláštní zprávě č. 10/2023 „Přípravná akce zaměřená na obranný výzkum“ uvádí, že Unii stále chybí dlouhodobá strategie pro projekty v rámci EDF, zejména pokud jde o dopad, další výzkum, vývoj, výrobu, zadávání veřejných zakázek a další aspekty; vítá, že Komise přijala všechna doporučení Účetního dvora;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17</w:t>
      </w:r>
      <w:r w:rsidR="006B01DD" w:rsidRPr="007D7B32">
        <w:t>5</w:t>
      </w:r>
      <w:r w:rsidRPr="007D7B32">
        <w:t>.</w:t>
      </w:r>
      <w:r w:rsidRPr="007D7B32">
        <w:tab/>
        <w:t xml:space="preserve">bere na vědomí připomínky Účetního dvora ve zvláštní zprávě č. 10/2023 týkající se omezené dostupnosti lidských zdrojů v Komisi a následného rizika pro EDF; konstatuje, </w:t>
      </w:r>
      <w:r w:rsidRPr="007D7B32">
        <w:lastRenderedPageBreak/>
        <w:t>že v důsledku bezpečnostních otázek je počet zaměstnanců potřebných k řízení obranných projektů vyšší než u jiných projektů; konstatuje, že stále rostoucí počet návrhů, které je třeba vyhodnotit, a projektů, které je třeba řídit, vytváří značný tlak na lidské zdroje a představuje výzvu, pokud jde o nábor kvalifikovaných a dostatečně zkušených pracovníků;</w:t>
      </w:r>
    </w:p>
    <w:p w:rsidR="00FA2D6B" w:rsidRPr="007D7B32" w:rsidRDefault="00FA2D6B" w:rsidP="005E7441">
      <w:pPr>
        <w:spacing w:after="240"/>
        <w:ind w:left="567" w:hanging="567"/>
        <w:rPr>
          <w:i/>
          <w:szCs w:val="24"/>
        </w:rPr>
      </w:pPr>
      <w:r w:rsidRPr="007D7B32">
        <w:rPr>
          <w:i/>
        </w:rPr>
        <w:t>Doporučení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17</w:t>
      </w:r>
      <w:r w:rsidR="006B01DD" w:rsidRPr="007D7B32">
        <w:t>6</w:t>
      </w:r>
      <w:r w:rsidRPr="007D7B32">
        <w:t>.</w:t>
      </w:r>
      <w:r w:rsidRPr="007D7B32">
        <w:tab/>
        <w:t>vyzývá Komisi, aby:</w:t>
      </w:r>
    </w:p>
    <w:p w:rsidR="00FA2D6B" w:rsidRPr="007D7B32" w:rsidRDefault="00FA2D6B" w:rsidP="005E7441">
      <w:pPr>
        <w:pStyle w:val="NormalHanging12a"/>
        <w:ind w:left="1134"/>
      </w:pPr>
      <w:r w:rsidRPr="007D7B32">
        <w:t>i)</w:t>
      </w:r>
      <w:r w:rsidRPr="007D7B32">
        <w:tab/>
        <w:t>vypracovala dlouhodobější strategii pro EDF na základě zkušeností s programem PADR a doporučení Účetního dvora;</w:t>
      </w:r>
    </w:p>
    <w:p w:rsidR="00FA2D6B" w:rsidRPr="007D7B32" w:rsidRDefault="00FA2D6B" w:rsidP="005E7441">
      <w:pPr>
        <w:tabs>
          <w:tab w:val="left" w:pos="665"/>
        </w:tabs>
        <w:spacing w:after="240"/>
        <w:ind w:left="1134" w:hanging="567"/>
        <w:rPr>
          <w:spacing w:val="-6"/>
          <w:szCs w:val="24"/>
        </w:rPr>
      </w:pPr>
      <w:proofErr w:type="spellStart"/>
      <w:r w:rsidRPr="007D7B32">
        <w:t>ii</w:t>
      </w:r>
      <w:proofErr w:type="spellEnd"/>
      <w:r w:rsidRPr="007D7B32">
        <w:t>)</w:t>
      </w:r>
      <w:r w:rsidRPr="007D7B32">
        <w:tab/>
        <w:t>zajistila odpovídající rozpočet a kvalifikované lidské zdroje pro posílení spolupráce a investic v oblasti obrany a pro provádění EDF; a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iii</w:t>
      </w:r>
      <w:proofErr w:type="spellEnd"/>
      <w:r w:rsidRPr="007D7B32">
        <w:t>)</w:t>
      </w:r>
      <w:r w:rsidRPr="007D7B32">
        <w:tab/>
        <w:t>zaměřila své kontroly na výdaje, u nichž Účetní dvůr v roce 2022 zjistil, že jsou vysoce ovlivněny otázkami způsobilosti a zadáváním veřejných zakázek, a požádala Účetní dvůr, aby rozšířil vzorek kontrolovaných operací, aby mohl poskytnout odhad míry chyb;</w:t>
      </w:r>
    </w:p>
    <w:p w:rsidR="00FA2D6B" w:rsidRPr="007D7B32" w:rsidRDefault="00FA2D6B" w:rsidP="005E7441">
      <w:pPr>
        <w:tabs>
          <w:tab w:val="left" w:pos="665"/>
        </w:tabs>
        <w:spacing w:after="240"/>
        <w:ind w:left="1134" w:hanging="567"/>
        <w:rPr>
          <w:spacing w:val="-6"/>
          <w:szCs w:val="24"/>
        </w:rPr>
      </w:pPr>
      <w:proofErr w:type="spellStart"/>
      <w:r w:rsidRPr="007D7B32">
        <w:t>iv</w:t>
      </w:r>
      <w:proofErr w:type="spellEnd"/>
      <w:r w:rsidRPr="007D7B32">
        <w:t>)</w:t>
      </w:r>
      <w:r w:rsidRPr="007D7B32">
        <w:tab/>
        <w:t>sledovala provádění zbývajících finančních doporučení úřadu OLAF;</w:t>
      </w:r>
    </w:p>
    <w:p w:rsidR="00FA2D6B" w:rsidRPr="007D7B32" w:rsidRDefault="00FA2D6B" w:rsidP="005E7441">
      <w:pPr>
        <w:pStyle w:val="Title"/>
        <w:spacing w:after="240"/>
        <w:ind w:left="567" w:hanging="567"/>
        <w:rPr>
          <w:i/>
        </w:rPr>
      </w:pPr>
      <w:r w:rsidRPr="007D7B32">
        <w:rPr>
          <w:i/>
        </w:rPr>
        <w:t>Sousedství a svět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17</w:t>
      </w:r>
      <w:r w:rsidR="006B01DD" w:rsidRPr="007D7B32">
        <w:t>7</w:t>
      </w:r>
      <w:r w:rsidRPr="007D7B32">
        <w:t>.</w:t>
      </w:r>
      <w:r w:rsidRPr="007D7B32">
        <w:tab/>
        <w:t>konstatuje, že rozpočet na programy v rámci okruhu 6 VFR „Sousedství a svět“ činil 14,5 miliardy EUR (7,4 % rozpočtu Unie) a byl rozdělen takto: 64,8 % na Nástroj pro sousedství a rozvojovou a mezinárodní spolupráci – Globální Evropa (NDICI-</w:t>
      </w:r>
      <w:proofErr w:type="spellStart"/>
      <w:r w:rsidRPr="007D7B32">
        <w:t>Global</w:t>
      </w:r>
      <w:proofErr w:type="spellEnd"/>
      <w:r w:rsidRPr="007D7B32">
        <w:t xml:space="preserve"> </w:t>
      </w:r>
      <w:proofErr w:type="spellStart"/>
      <w:r w:rsidRPr="007D7B32">
        <w:t>Europe</w:t>
      </w:r>
      <w:proofErr w:type="spellEnd"/>
      <w:r w:rsidRPr="007D7B32">
        <w:t>), 16,8 % na humanitární pomoc (HUMA), 14,4 % na předvstupní pomoc (NPP III) a 4 % na ostatní akce a programy; konstatuje, že k 31. prosinci 2022 činily konečné schválené prostředky na rozpočtové závazky 17 670,49 milionu EUR a 99,79 % z nich bylo realizováno (17 632,52 milionu EUR); dále konstatuje, že konečné schválené rozpočtové prostředky na platby činily 13 156,10 milionu EUR a 99,19 % z nich bylo realizováno (13 049,50 milionu EUR);</w:t>
      </w:r>
    </w:p>
    <w:p w:rsidR="00FA2D6B" w:rsidRPr="007D7B32" w:rsidRDefault="00FA2D6B" w:rsidP="005E7441">
      <w:pPr>
        <w:pStyle w:val="NormalHanging12a"/>
      </w:pPr>
      <w:r w:rsidRPr="007D7B32">
        <w:t>17</w:t>
      </w:r>
      <w:r w:rsidR="006B01DD" w:rsidRPr="007D7B32">
        <w:t>8</w:t>
      </w:r>
      <w:r w:rsidRPr="007D7B32">
        <w:t>.</w:t>
      </w:r>
      <w:r w:rsidRPr="007D7B32">
        <w:tab/>
        <w:t>konstatuje, že Účetní dvůr prověřil vzorek 72 transakcí, který není dostatečně reprezentativní pro výdaje v rámci této položky VFR, a proto nemůže poskytnout odhad míry chybovosti; vzhledem k tomu, že výsledky auditu Účetního dvora ukazují, že se jedná o vysoce rizikovou oblast (34 ze 72 kontrolovaných transakcí, tj. 47 %, bylo zatíženo chybami), vyzývá Účetní dvůr, aby poskytl jasný odhad míry chyb pro tuto kapitolu; konstatuje, že Účetní dvůr zjistil 25 chyb s finančním dopadem na rozpočet Unie, které se týkaly nezpůsobilých nákladů, chybějících podkladů, veřejných zakázek a nevzniklých výdajů, a také oblastí, které by mohly poukazovat na rizika nespolehlivého fungování kontrolního mechanismu vnitrostátních orgánů nebo dokonce na správní či politickou neochotu řádně provádět finanční pravidla Unie;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17</w:t>
      </w:r>
      <w:r w:rsidR="006B01DD" w:rsidRPr="007D7B32">
        <w:t>9</w:t>
      </w:r>
      <w:r w:rsidRPr="007D7B32">
        <w:t>.</w:t>
      </w:r>
      <w:r w:rsidRPr="007D7B32">
        <w:tab/>
        <w:t xml:space="preserve">připomíná, že Generální ředitelství pro politiku sousedství a jednání o rozšíření (GŘ NEAR) ve svých výročních zprávách o činnosti uvádí riziko při uzavření na základě studie provedené externím dodavatelem, známé jako míra zbytkových chyb (RER), jejímž cílem je odhadnout míru chyb nezjištěných systémem vnitřní kontroly a dospět k závěru, zda je tento systém účinný, či nikoli; bere na vědomí výsledky studie míry zbytkových chyb pro rok 2022, podle nichž je míra zbytkových chyb v roce 2022 1 %, a </w:t>
      </w:r>
      <w:r w:rsidRPr="007D7B32">
        <w:lastRenderedPageBreak/>
        <w:t>tedy pod prahem významnosti 2 %;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1</w:t>
      </w:r>
      <w:r w:rsidR="006B01DD" w:rsidRPr="007D7B32">
        <w:t>80</w:t>
      </w:r>
      <w:r w:rsidRPr="007D7B32">
        <w:t>.</w:t>
      </w:r>
      <w:r w:rsidRPr="007D7B32">
        <w:tab/>
        <w:t xml:space="preserve">konstatuje, že Účetní dvůr zjistil omezení týkající se metodiky použité pro stanovení míry zbytkových chyb, která mohou přispívat k jejímu podhodnocení, zejména skutečnost, že se dodavatel může v některých případech zcela spolehnout na výsledky předchozí kontrolní činnosti, a skutečnost, že odhad zbytkové chybovosti u grantů v rámci přímého řízení není zahrnut do výpočtu celkové míry zbytkových chyb GŘ NEAR; konstatuje, že Komise potvrzuje, že se na ni tato omezení nevztahují, protože i) spoléhání se na předchozí kontrolní činnost podléhá přísným podmínkám a </w:t>
      </w:r>
      <w:proofErr w:type="spellStart"/>
      <w:r w:rsidRPr="007D7B32">
        <w:t>ii</w:t>
      </w:r>
      <w:proofErr w:type="spellEnd"/>
      <w:r w:rsidRPr="007D7B32">
        <w:t>) celková míra chybovosti zahrnuje granty v rámci přímého řízení;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1</w:t>
      </w:r>
      <w:r w:rsidR="006B01DD" w:rsidRPr="007D7B32">
        <w:t>81</w:t>
      </w:r>
      <w:r w:rsidRPr="007D7B32">
        <w:t>.</w:t>
      </w:r>
      <w:r w:rsidRPr="007D7B32">
        <w:tab/>
        <w:t>vítá, že Komise provedla doporučení Účetního dvora, aby od roku 2021 zveřejňovala omezení studie míry zbytkových chyb ve výročních zprávách o činnosti GŘ NEAR, aby posílila kontroly tím, že bude identifikovat opakující se chyby a předcházet jim, a aby GŘ NEAR stanovilo povinnost dodavatele studie míry zbytkových chyb hlásit Komisi jakékoli podezření na podvody proti rozpočtu Unie zjištěné během jeho práce na studii míry zbytkových chyb;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1</w:t>
      </w:r>
      <w:r w:rsidR="006B01DD" w:rsidRPr="007D7B32">
        <w:t>82</w:t>
      </w:r>
      <w:r w:rsidRPr="007D7B32">
        <w:t>.</w:t>
      </w:r>
      <w:r w:rsidRPr="007D7B32">
        <w:tab/>
        <w:t>se znepokojením konstatuje, že výroční zprávy o činnosti GŘ NEAR a Generálního ředitelství pro mezinárodní partnerství (GŘ INTPA) uvádějí potíže při zavádění nového operačního informačního systému OPSYS, který byl občas nestabilní, nesplňoval očekávání a vyžadoval časté zásahy podpůrných týmů GŘ DIGIT, což vedlo k tomu, že byl v rámci hodnocení rizik GŘ NEAR označen za kritické riziko;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1</w:t>
      </w:r>
      <w:r w:rsidR="006B01DD" w:rsidRPr="007D7B32">
        <w:t>83</w:t>
      </w:r>
      <w:r w:rsidRPr="007D7B32">
        <w:t>.</w:t>
      </w:r>
      <w:r w:rsidRPr="007D7B32">
        <w:tab/>
        <w:t>konstatuje, že Účetní dvůr hodnotil zvyšování povědomí zaměstnanců delegací Unie v oblasti prevence podvodů, etiky a integrity; se znepokojením konstatuje, že někteří zaměstnanci, s nimiž Účetní dvůr hovořil, nebyli v posledních pěti letech proškoleni v oblasti prevence podvodů; konstatuje, že GŘ NEAR dává svým zaměstnancům k dispozici řadu nástrojů a zdrojů pro řešení otázek souvisejících s podvody, jako jsou školení, síť pro boj proti podvodům s kontaktními místy a pokyny; bere na vědomí pozitivní výsledky průzkumů, které provedlo GŘ NEAR s cílem sledovat úroveň povědomí zaměstnanců o podvodech, a také to, že byly zjištěny některé oblasti, které je třeba zlepšit, a že je prováděn akční plán;</w:t>
      </w:r>
    </w:p>
    <w:p w:rsidR="00FA2D6B" w:rsidRPr="007D7B32" w:rsidRDefault="00FA2D6B" w:rsidP="005E7441">
      <w:pPr>
        <w:pStyle w:val="NormalHanging12a"/>
      </w:pPr>
      <w:r w:rsidRPr="007D7B32">
        <w:t>18</w:t>
      </w:r>
      <w:r w:rsidR="006B01DD" w:rsidRPr="007D7B32">
        <w:t>4</w:t>
      </w:r>
      <w:r w:rsidRPr="007D7B32">
        <w:t>.</w:t>
      </w:r>
      <w:r w:rsidRPr="007D7B32">
        <w:tab/>
        <w:t>uznává význam nevládních organizací při zajišťování toho, aby Unie jako největší dárce rozvojové pomoci na světě nadále přispívala k podpoře stability a míru, překonávání chudoby a podpoře udržitelného rozvoje; oceňuje zejména činnost nevládních organizací v oblastech konfliktů při zajišťování toho, aby se humanitární pomoc dostala k civilnímu obyvatelstvu rychle a účinně; bere na vědomí požadavky na kontrolu a audit, transparentnost a odpovědnost, které se vztahují na veškeré financování Unie a různé zúčastněné strany, ale domnívá se, že vždy existuje prostor pro zlepšení, zejména pokud jde o maximální využití digitalizace;</w:t>
      </w:r>
    </w:p>
    <w:p w:rsidR="00FA2D6B" w:rsidRPr="007D7B32" w:rsidRDefault="00FA2D6B" w:rsidP="005E7441">
      <w:pPr>
        <w:spacing w:after="240"/>
        <w:ind w:left="567" w:hanging="567"/>
        <w:rPr>
          <w:szCs w:val="24"/>
        </w:rPr>
      </w:pPr>
      <w:r w:rsidRPr="007D7B32">
        <w:t>18</w:t>
      </w:r>
      <w:r w:rsidR="00487FB5" w:rsidRPr="007D7B32">
        <w:t>5</w:t>
      </w:r>
      <w:r w:rsidRPr="007D7B32">
        <w:t>.</w:t>
      </w:r>
      <w:r w:rsidRPr="007D7B32">
        <w:tab/>
        <w:t xml:space="preserve">zdůrazňuje úlohu místních nevládních organizací a partnerů při poskytování služeb a podpory místním komunitám; zdůrazňuje, že je důležité posílit jejich schopnost řídit a provádět opatření financovaná Unií, a vyzývá Komisi, aby usnadnila odpovídající odbornou přípravu zaměřenou na dosažení tohoto cíle; je znepokojen přetrvávajícími obtížemi, s nimiž se potýkají malé místní organizace, pokud jde o přístup k finančním prostředkům Unie; vybízí Komisi, aby tyto postupy financování zlepšila a aby systematicky upřednostňovala místní organizace s cílem zajistit lepší budování kapacit v praxi; zdůrazňuje účinnost místní odpovědnosti při provádění projektů, pokud jde o </w:t>
      </w:r>
      <w:r w:rsidRPr="007D7B32">
        <w:lastRenderedPageBreak/>
        <w:t>stanovení priorit, přidělování zdrojů a budování místního know-how;</w:t>
      </w:r>
    </w:p>
    <w:p w:rsidR="00FA2D6B" w:rsidRPr="007D7B32" w:rsidRDefault="00FA2D6B" w:rsidP="005E7441">
      <w:pPr>
        <w:spacing w:after="240"/>
        <w:ind w:left="567" w:hanging="567"/>
        <w:rPr>
          <w:szCs w:val="24"/>
        </w:rPr>
      </w:pPr>
      <w:r w:rsidRPr="007D7B32">
        <w:t>18</w:t>
      </w:r>
      <w:r w:rsidR="00487FB5" w:rsidRPr="007D7B32">
        <w:t>6</w:t>
      </w:r>
      <w:r w:rsidRPr="007D7B32">
        <w:t>.</w:t>
      </w:r>
      <w:r w:rsidRPr="007D7B32">
        <w:tab/>
        <w:t>zdůrazňuje, že legitimita a účinnost rozvojové spolupráce Unie závisí na správném provádění činností a jejich řádném financování; uznává práci Komise při uplatňování kontrol s cílem zajistit, aby transakce byly prováděny zákonným způsobem a aby činnosti probíhaly v souladu s prioritami stanovenými zákonodárcem; vyzývá Komisi, aby dále zlepšovala kontroly s cílem snížit počet chyb v operacích, aby reagovala na doporučení EÚD, která nebyla provedena, a aby zesílila úsilí o nalezení způsobilých projektů a zajistila dostatečnou výši plateb v rámci stávajícího výdajového stropu; vítá zjištění zprávy Účetního dvora o rozpočtu Unie na rok 2022, že GŘ ECHO jeho doporučení provedlo a zavedlo postup zajišťující, aby partnerské organizace při přidělování sdílených nákladů vycházely ze skutečně vynaložených výdajů;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t>18</w:t>
      </w:r>
      <w:r w:rsidR="00487FB5" w:rsidRPr="007D7B32">
        <w:t>7</w:t>
      </w:r>
      <w:r w:rsidRPr="007D7B32">
        <w:t>.</w:t>
      </w:r>
      <w:r w:rsidRPr="007D7B32">
        <w:tab/>
        <w:t>vyzývá Komisi, aby vyslala jasné signály těm kandidátským zemím, v nichž odmítavý postoj k normám právního státu – včetně omezování svobody projevu, svobody tisku, práv žen a menšin, šikanování nevládních organizací a obránců lidských práv – ohrožuje nebo oddaluje jejich přistoupení k Unii; vyzývá Komisi, aby posoudila účinnost finančních prostředků vynakládaných na zlepšování stavu právního státu v přistupujících zemích a podala o tom zprávu výborům AFET a CONT;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18</w:t>
      </w:r>
      <w:r w:rsidR="00487FB5" w:rsidRPr="007D7B32">
        <w:t>8</w:t>
      </w:r>
      <w:r w:rsidRPr="007D7B32">
        <w:t>.</w:t>
      </w:r>
      <w:r w:rsidRPr="007D7B32">
        <w:tab/>
        <w:t>vítá, že Komise zavedla několik mechanismů ke zmírnění rizik a zajištění řádného využívání finančních prostředků Unie vynaložených v nestabilních nebo konfliktních oblastech; konstatuje, že Komise systematicky vyhodnocuje korupční rizika v partnerských zemích a využívá řadu nástrojů k jejich zmírnění, přičemž zároveň uplatňuje podmínky a ukazatele výkonnosti, aby prostřednictvím své rozpočtové podpory prosazovala fiskální transparentnost a odpovědnost; vítá skutečnost, že podle údajů Světové banky se v zemích, které čerpají rozpočtovou podporu Unie, kontrola korupce v průběhu času zlepšila;</w:t>
      </w:r>
    </w:p>
    <w:p w:rsidR="00FA2D6B" w:rsidRPr="007D7B32" w:rsidRDefault="00FA2D6B" w:rsidP="005E7441">
      <w:pPr>
        <w:pStyle w:val="NormalHanging12a"/>
      </w:pPr>
      <w:r w:rsidRPr="007D7B32">
        <w:t>18</w:t>
      </w:r>
      <w:r w:rsidR="00487FB5" w:rsidRPr="007D7B32">
        <w:t>9</w:t>
      </w:r>
      <w:r w:rsidRPr="007D7B32">
        <w:t>.</w:t>
      </w:r>
      <w:r w:rsidRPr="007D7B32">
        <w:tab/>
        <w:t>se znepokojením konstatuje, že Účetní dvůr ve své zvláštní zprávě č. 14/2023 „Programování Nástroje pro sousedství a rozvojovou a mezinárodní spolupráci – Globální Evropa“ zjistil, že ačkoli Komise a ESVČ sloučily financování do jediného nástroje, nástroje NDICI – Globální Evropa, který pokrývá více než 70 % finančních prostředků Unie vyčleněných na vnější činnost ve finančním období 2021–2027, řídily se dvěma různými metodikami přidělování finančních prostředků pro sousední a nesousední země a že víceleté orientační programy nezajistily, aby vybraná odvětví intervence byla těmi, v nichž by financování Unie mohlo mít silný dopad;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t>1</w:t>
      </w:r>
      <w:r w:rsidR="00487FB5" w:rsidRPr="007D7B32">
        <w:t>90</w:t>
      </w:r>
      <w:r w:rsidRPr="007D7B32">
        <w:t>.</w:t>
      </w:r>
      <w:r w:rsidRPr="007D7B32">
        <w:tab/>
        <w:t>zdůrazňuje, že je důležité splnit všechny cíle týkající se výdajů a programu stanovené v nástroji NDICI - Globální Evropa, a požaduje poskytnutí komplexních informací o dosaženém pokroku; vyjadřuje politování nad značnými nedostatky při dosahování cíle nástroje v oblasti klimatu ve výši 30 %, přispívání k cíli v oblasti biologické rozmanitosti ve výši 10 % ve VFR pro roky 2026 a 2027 a při zajišťování plnění globálních finančních závazků Unie podle rámce OSN, zejména pokud jde o příspěvek do Fondu pro ztráty a škody; upozorňuje na stále se zvyšující tlak změny klimatu na produkci potravin a přístup k nim, zejména ve zranitelných regionech, což má dopad na potravinové zabezpečení a výživu; připomíná, že biologická rozmanitost má pro boj proti změně klimatu klíčový význam a že její ubývání omezuje pokrok u přibližně 80 % posuzovaných cílů udržitelného rozvoje; žádá Komisi o vypracování podrobného plánu, který by nastiňoval, jak zamýšlí do konce VFR splnit své cíle v oblasti výdajů a rovnosti žen a mužů;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lastRenderedPageBreak/>
        <w:t>1</w:t>
      </w:r>
      <w:r w:rsidR="00487FB5" w:rsidRPr="007D7B32">
        <w:t>91</w:t>
      </w:r>
      <w:r w:rsidRPr="007D7B32">
        <w:t>.</w:t>
      </w:r>
      <w:r w:rsidRPr="007D7B32">
        <w:tab/>
        <w:t>naléhavě vyzývá Komisi, aby zvýšila transparentnost a odpovědnost za plánování a provádění fondů v oblasti vnitřních věcí ve třetích zemích a financování nástroje NDICI, například v zemích, jako je Tunisko a Libye; vyzývá Komisi, aby vytvořila veřejně dostupný přehled všech výdajů souvisejících s migrací ve třetích zemích, a naléhavě ji žádá, aby vypracovávala předběžná posouzení dopadu výdajů na migraci ve třetích zemích na lidská práva a aby tato hodnocení sdílela s Parlamentem, vyžadují-li to příslušná pravidla;</w:t>
      </w:r>
    </w:p>
    <w:p w:rsidR="00FA2D6B" w:rsidRPr="007D7B32" w:rsidRDefault="00FA2D6B" w:rsidP="005E7441">
      <w:pPr>
        <w:pStyle w:val="NormalHanging12a"/>
      </w:pPr>
      <w:r w:rsidRPr="007D7B32">
        <w:t>1</w:t>
      </w:r>
      <w:r w:rsidR="00487FB5" w:rsidRPr="007D7B32">
        <w:t>92</w:t>
      </w:r>
      <w:r w:rsidRPr="007D7B32">
        <w:t>.</w:t>
      </w:r>
      <w:r w:rsidRPr="007D7B32">
        <w:tab/>
        <w:t xml:space="preserve">zdůrazňuje, že v návaznosti na podlé teroristické útoky, které 7. října 2023 provedl </w:t>
      </w:r>
      <w:proofErr w:type="spellStart"/>
      <w:r w:rsidRPr="007D7B32">
        <w:t>Hamás</w:t>
      </w:r>
      <w:proofErr w:type="spellEnd"/>
      <w:r w:rsidRPr="007D7B32">
        <w:t xml:space="preserve"> proti Izraeli, oznámila Komise 9. října 2023 své rozhodnutí přezkoumat pomoc Unie Palestině; konstatuje, že přezkum, který byl dokončen 21. listopadu 2023, ukázal, že Komise uplatňuje přiměřené kontroly ex ante a ex post a že ochranná opatření, která jsou zavedena, dobře fungují, a že doposud nebyly zjištěny žádné důkazy o tom, že by peníze byly přesměrovány na nezamýšlené účely; trvá na tom, že je třeba, aby evropské finanční prostředky směřovaly pouze k příjemcům, kteří sdílejí hodnoty Unie týkající se právního státu, demokracie a lidských práv; v této souvislosti připomíná zprávu Parlamentu 2023/2122</w:t>
      </w:r>
      <w:r w:rsidR="00DE6AA8">
        <w:t>(</w:t>
      </w:r>
      <w:r w:rsidRPr="007D7B32">
        <w:t>INI</w:t>
      </w:r>
      <w:r w:rsidR="00DE6AA8">
        <w:t>)</w:t>
      </w:r>
      <w:r w:rsidRPr="007D7B32">
        <w:t xml:space="preserve"> přijatou dne 17. ledna 2024 o transparentnosti a odpovědnosti nevládních organizací financovaných z rozpočtu Unie, v níž vyzývá k posílení kontrolních mechanismů Komise a k vytvoření harmonizovaného monitorovacího systému zaměřeného na sledování finančních prostředků Unie až ke konečným příjemcům;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t>1</w:t>
      </w:r>
      <w:r w:rsidR="00487FB5" w:rsidRPr="007D7B32">
        <w:t>93</w:t>
      </w:r>
      <w:r w:rsidRPr="007D7B32">
        <w:t>.</w:t>
      </w:r>
      <w:r w:rsidRPr="007D7B32">
        <w:tab/>
        <w:t>zdůrazňuje, že rozpočet Unie musí i nadále podporovat budování míru a stability na Blízkém východě, boj proti nenávisti a fundamentalismu a prosazování lidských práv; čeká na výsledky přezkumu Komise týkajícího se využívání finančních prostředků Unie; zdůrazňuje vzájemné vazby mezi stabilitou a udržitelným rozvojem, zejména v nestabilních zemích a regionech;</w:t>
      </w:r>
    </w:p>
    <w:p w:rsidR="00FA2D6B" w:rsidRPr="007D7B32" w:rsidRDefault="00FA2D6B" w:rsidP="005E7441">
      <w:pPr>
        <w:pStyle w:val="NormalHanging12a"/>
      </w:pPr>
      <w:r w:rsidRPr="007D7B32">
        <w:t>19</w:t>
      </w:r>
      <w:r w:rsidR="00487FB5" w:rsidRPr="007D7B32">
        <w:t>4</w:t>
      </w:r>
      <w:r w:rsidRPr="007D7B32">
        <w:t>.</w:t>
      </w:r>
      <w:r w:rsidRPr="007D7B32">
        <w:tab/>
        <w:t xml:space="preserve">zdůrazňuje, že pomoc Unie by za žádných okolností neměla – přímo nebo nepřímo – financovat terorismus, a proto by neměla podporovat žádný subjekt napojený na </w:t>
      </w:r>
      <w:proofErr w:type="spellStart"/>
      <w:r w:rsidRPr="007D7B32">
        <w:t>Hamás</w:t>
      </w:r>
      <w:proofErr w:type="spellEnd"/>
      <w:r w:rsidRPr="007D7B32">
        <w:t xml:space="preserve"> nebo jakoukoli jinou teroristickou organizaci; zdůrazňuje, že Unie by měla pomáhat palestinskému civilnímu obyvatelstvu a měla by podporovat mír v regionu; žádá Komisi, aby Parlament průběžně informovala o novém vývoji a úsilí vynaloženém s cílem poskytnout přímou podporu palestinským civilistům a uprchlíkům a zabránit teroristům ve zneužívání finančních prostředků;</w:t>
      </w:r>
    </w:p>
    <w:p w:rsidR="00FA2D6B" w:rsidRPr="007D7B32" w:rsidRDefault="00FA2D6B" w:rsidP="005E7441">
      <w:pPr>
        <w:pStyle w:val="NormalHanging12a"/>
      </w:pPr>
      <w:r w:rsidRPr="007D7B32">
        <w:t>19</w:t>
      </w:r>
      <w:r w:rsidR="00487FB5" w:rsidRPr="007D7B32">
        <w:t>5</w:t>
      </w:r>
      <w:r w:rsidRPr="007D7B32">
        <w:t xml:space="preserve">. </w:t>
      </w:r>
      <w:r w:rsidR="00532512" w:rsidRPr="007D7B32">
        <w:t xml:space="preserve">je znepokojen věrohodnými zprávami o tom, že teroristická organizace </w:t>
      </w:r>
      <w:proofErr w:type="spellStart"/>
      <w:r w:rsidR="00532512" w:rsidRPr="007D7B32">
        <w:t>Hamás</w:t>
      </w:r>
      <w:proofErr w:type="spellEnd"/>
      <w:r w:rsidR="00532512" w:rsidRPr="007D7B32">
        <w:t xml:space="preserve"> mohla částečně zneužívat peníze daňových poplatníků Unie nebo finanční prostředky jiných dárců; zdůrazňuje, že příslušné finanční prostředky Unie by měly být ku prospěchu palestinského civilního obyvatelstva a měly by zajišťovat potraviny, zdravotnický materiál, bydlení a základní infrastrukturu trpícímu obyvatelstvu, zejména dětem, ženám, starším osobám a osobám se zdravotním postižením; naléhavě vyzývá Komisi, aby v souvislosti s poskytováním podpory a humanitární pomoci palestinskému obyvatelstvu diverzifikovala důvěryhodné partnery, jako jsou WHO, UNICEF nebo různé organizace Červeného půlměsíce; navíc je znepokojen dalšími důvěryhodnými zprávami, že někteří zaměstnanci UNWRA mohli být zapojeni do teroristických činů teroristické organizace </w:t>
      </w:r>
      <w:proofErr w:type="spellStart"/>
      <w:r w:rsidR="00532512" w:rsidRPr="007D7B32">
        <w:t>Hamás</w:t>
      </w:r>
      <w:proofErr w:type="spellEnd"/>
      <w:r w:rsidR="00532512" w:rsidRPr="007D7B32">
        <w:t xml:space="preserve"> nebo s nimi spojeni; naléhavě vyzývá Komisi, aby zaručila nezávislé kontroly agentury UNRWA externími odborníky, Evropským účetním dvorem a zkušenými mezinárodními partnery, jako jsou mimo jiné </w:t>
      </w:r>
      <w:proofErr w:type="spellStart"/>
      <w:r w:rsidR="00532512" w:rsidRPr="007D7B32">
        <w:t>Global</w:t>
      </w:r>
      <w:proofErr w:type="spellEnd"/>
      <w:r w:rsidR="00532512" w:rsidRPr="007D7B32">
        <w:t xml:space="preserve"> </w:t>
      </w:r>
      <w:proofErr w:type="spellStart"/>
      <w:r w:rsidR="00532512" w:rsidRPr="007D7B32">
        <w:t>Affairs</w:t>
      </w:r>
      <w:proofErr w:type="spellEnd"/>
      <w:r w:rsidR="00532512" w:rsidRPr="007D7B32">
        <w:t xml:space="preserve"> </w:t>
      </w:r>
      <w:proofErr w:type="spellStart"/>
      <w:r w:rsidR="00532512" w:rsidRPr="007D7B32">
        <w:t>Canada</w:t>
      </w:r>
      <w:proofErr w:type="spellEnd"/>
      <w:r w:rsidR="00532512" w:rsidRPr="007D7B32">
        <w:t xml:space="preserve"> nebo </w:t>
      </w:r>
      <w:proofErr w:type="spellStart"/>
      <w:r w:rsidR="00532512" w:rsidRPr="007D7B32">
        <w:t>AusAid</w:t>
      </w:r>
      <w:proofErr w:type="spellEnd"/>
      <w:r w:rsidR="00532512" w:rsidRPr="007D7B32">
        <w:t>;</w:t>
      </w:r>
    </w:p>
    <w:p w:rsidR="00FA2D6B" w:rsidRPr="007D7B32" w:rsidRDefault="00FA2D6B" w:rsidP="005E7441">
      <w:pPr>
        <w:pStyle w:val="NormalHanging12a"/>
      </w:pPr>
      <w:r w:rsidRPr="007D7B32">
        <w:lastRenderedPageBreak/>
        <w:t>19</w:t>
      </w:r>
      <w:r w:rsidR="00487FB5" w:rsidRPr="007D7B32">
        <w:t>6</w:t>
      </w:r>
      <w:r w:rsidRPr="007D7B32">
        <w:t>. vyjadřuje hluboké znepokojení nad nedávným oznámením některých zemí o pozastavení financování Agentury OSN pro pomoc a práci ve prospěch palestinských uprchlíků (UNRWA) až do výsledku vyšetřování; vyzývá k navýšení a trvalému financování jako uznání klíčové úlohy agentury v humanitární reakci v Gaze a k zajištění nepřetržitého poskytování životně důležitých služeb zranitelnému obyvatelstvu na Blízkém východě; připomíná zásadní úlohu humanitární pomoci poskytované palestinským uprchlíkům na celém Blízkém východě;</w:t>
      </w:r>
    </w:p>
    <w:p w:rsidR="00DE6AA8" w:rsidRDefault="00FA2D6B" w:rsidP="005E7441">
      <w:pPr>
        <w:pStyle w:val="NormalHanging12a"/>
      </w:pPr>
      <w:r w:rsidRPr="007D7B32">
        <w:t>19</w:t>
      </w:r>
      <w:r w:rsidR="00487FB5" w:rsidRPr="007D7B32">
        <w:t>7</w:t>
      </w:r>
      <w:r w:rsidRPr="007D7B32">
        <w:t>. zdůrazňuje význam vzdělávání a zásadní potřebu odsuzovat a odstraňovat všechny nenávistné projevy a násilné činy na obou stranách; zdůrazňuje, že k pozastavení financování by nemělo docházet svévolně nebo bez transparentních a nezávislých d</w:t>
      </w:r>
      <w:r w:rsidR="00DE6AA8">
        <w:t>ůkazů o zneužití prostředků;</w:t>
      </w:r>
    </w:p>
    <w:p w:rsidR="00FA2D6B" w:rsidRPr="007D7B32" w:rsidRDefault="00FA2D6B" w:rsidP="005E7441">
      <w:pPr>
        <w:pStyle w:val="NormalHanging12a"/>
      </w:pPr>
      <w:r w:rsidRPr="007D7B32">
        <w:t>19</w:t>
      </w:r>
      <w:r w:rsidR="00487FB5" w:rsidRPr="007D7B32">
        <w:t>8</w:t>
      </w:r>
      <w:r w:rsidRPr="007D7B32">
        <w:t xml:space="preserve">. připomíná, že zjištění studie o palestinských učebnicích, kterou Komise zadala institutu Georga Eckerta, odhalila komplexní situaci, kdy učebnice i) dodržují normy UNESCO a přijímají kritéria, která jsou významná v mezinárodní vzdělávací diskusi, včetně jasného zaměření na lidská práva, </w:t>
      </w:r>
      <w:proofErr w:type="spellStart"/>
      <w:r w:rsidRPr="007D7B32">
        <w:t>ii</w:t>
      </w:r>
      <w:proofErr w:type="spellEnd"/>
      <w:r w:rsidRPr="007D7B32">
        <w:t xml:space="preserve">) vyjadřují odpor v souvislosti s izraelsko-palestinským konfliktem a </w:t>
      </w:r>
      <w:proofErr w:type="spellStart"/>
      <w:r w:rsidRPr="007D7B32">
        <w:t>iii</w:t>
      </w:r>
      <w:proofErr w:type="spellEnd"/>
      <w:r w:rsidRPr="007D7B32">
        <w:t xml:space="preserve">) projevují antagonismus vůči Izraeli; konstatuje, že Unie nefinancuje palestinské učebnice a že za ně nenese odpovědnost ani agentura UNRWA, která usiluje o poskytování kvalitního vzdělávání s důrazem na podporu kultury lidských práv, a to i v náročné době; zdůrazňuje, že vzdělávání a přístup žáků k nenásilným a nestranným učebnicím mají zásadní význam; zdůrazňuje postoj Parlamentu, že učebnice vypracované z fondů Unie musí být podmíněny plným dodržováním norem UNESCO v oblasti míru a tolerance; jak již Parlament rozhodl ve svém doporučení o vztazích s Palestinskou správou z roku 2023 a jak opakovaně požadoval ve svých posledních přijatých usneseních o perspektivách </w:t>
      </w:r>
      <w:proofErr w:type="spellStart"/>
      <w:r w:rsidRPr="007D7B32">
        <w:t>dvoustátního</w:t>
      </w:r>
      <w:proofErr w:type="spellEnd"/>
      <w:r w:rsidRPr="007D7B32">
        <w:t xml:space="preserve"> řešení;</w:t>
      </w:r>
    </w:p>
    <w:p w:rsidR="00FA2D6B" w:rsidRPr="007D7B32" w:rsidRDefault="00FA2D6B" w:rsidP="005E7441">
      <w:pPr>
        <w:pStyle w:val="NormalHanging12a"/>
      </w:pPr>
      <w:r w:rsidRPr="007D7B32">
        <w:t>19</w:t>
      </w:r>
      <w:r w:rsidR="00487FB5" w:rsidRPr="007D7B32">
        <w:t>9</w:t>
      </w:r>
      <w:r w:rsidRPr="007D7B32">
        <w:t>.</w:t>
      </w:r>
      <w:r w:rsidRPr="007D7B32">
        <w:tab/>
        <w:t xml:space="preserve">připomíná strategii Unie na podporu a zajištění kvalitního vzdělávání dětí na celém světě, zejména pokud je poskytována zvláštní finanční podpora Unie; odsuzuje problematický a nenávistný obsah, který podporuje násilí, šíří antisemitismus a podněcuje k nenávisti v palestinských školních učebnicích vypracovaných úředníky financovanými Unií, jakož i v doplňkových vzdělávacích materiálech vypracovaných zaměstnanci agentury UNRWA a vyučovaných v jejích školách; v souvislosti se zavrženíhodnými teroristickými útoky </w:t>
      </w:r>
      <w:proofErr w:type="spellStart"/>
      <w:r w:rsidRPr="007D7B32">
        <w:t>Hamásu</w:t>
      </w:r>
      <w:proofErr w:type="spellEnd"/>
      <w:r w:rsidRPr="007D7B32">
        <w:t xml:space="preserve"> ze dne 7. října 2023 znovu potvrzuje, že vzdělávání k nenávisti má přímé a dramatické důsledky pro bezpečnost Izraelců i pro vyhlídky na lepší budoucnost pro mladé Palestince; žádá proto Komisi, aby důkladně kontrolovala, aby žádné finanční prostředky nebyly přímo či nepřímo přidělovány ani spojeny s používáním těchto vzdělávacích materiálů a aby Palestinská správa urychleně upravila úplné osnovy, jak bylo opakovaně požadováno v rozhodnutích o udělení absolutoria za plnění souhrnného rozpočtu Unie na rozpočtové roky 2016, 2018, 2019, 2020 a 2021; zdůrazňuje, že finanční podpora Unie Palestinské správě v oblasti vzdělávání musí být poskytována pod podmínkou, že budou k dispozici národní palestinské osnovy s referenčními učebnicemi a vzdělávacími materiály, které nebudou obsahovat antisemitský obsah a podněcovat k násilí a budou v souladu s kvalitním vzděláním; vyzývá v této souvislosti Komisi a členské státy, aby poskytovaly odborné znalosti, sdílely znalosti, pokyny a technickou podporu s cílem posílit postavení palestinských učitelů, školitelů a odborníků ve vztahu k provádění vzdělávání, které je plně v souladu s normami UNESCO;</w:t>
      </w:r>
    </w:p>
    <w:p w:rsidR="00FA2D6B" w:rsidRPr="007D7B32" w:rsidRDefault="00487FB5" w:rsidP="005E7441">
      <w:pPr>
        <w:pStyle w:val="NormalHanging12a"/>
      </w:pPr>
      <w:r w:rsidRPr="007D7B32">
        <w:t>200</w:t>
      </w:r>
      <w:r w:rsidR="00FA2D6B" w:rsidRPr="007D7B32">
        <w:t>.</w:t>
      </w:r>
      <w:r w:rsidR="00FA2D6B" w:rsidRPr="007D7B32">
        <w:tab/>
        <w:t xml:space="preserve">zdůrazňuje, že podle odpovědí komisaře pro sousedství a rozšíření na zprávu o udělení absolutoria za rok 2021 činí portfolio probíhajícího rozvoje pro Palestince podle </w:t>
      </w:r>
      <w:r w:rsidR="00FA2D6B" w:rsidRPr="007D7B32">
        <w:lastRenderedPageBreak/>
        <w:t xml:space="preserve">nařízení o nástroji sousedství, rozvoje a mezinárodní spolupráce (NDICI) v letech 2021 až 2023 celkem 681 milionů EUR pro Palestinskou správu, agenturu UNRWA a rozvojové projekty na Západním břehu Jordánu a v Gaze; konstatuje, že přibližně jedna třetina finančních prostředků byla využita na projekty v Gaze a dvě třetiny na Západním břehu Jordánu; zdůrazňuje, že Unie poskytla UNRWA 271 milionů EUR na poskytování sociálních služeb palestinským uprchlíkům a kromě toho Unie poskytla podporu na opakované výdaje palestinské samosprávy, zejména na platy a důchody státních zaměstnanců, sociální dávky vyplácené prostřednictvím programu převodu hotovosti a část nákladů na doporučení do nemocnic ve východním Jeruzalémě prostřednictvím mechanismu PEGASE; </w:t>
      </w:r>
    </w:p>
    <w:p w:rsidR="00532512" w:rsidRPr="007D7B32" w:rsidRDefault="00487FB5" w:rsidP="005E7441">
      <w:pPr>
        <w:pStyle w:val="NormalHanging12a"/>
      </w:pPr>
      <w:r w:rsidRPr="007D7B32">
        <w:t>201</w:t>
      </w:r>
      <w:r w:rsidR="00532512" w:rsidRPr="007D7B32">
        <w:t>.</w:t>
      </w:r>
      <w:r w:rsidR="00532512" w:rsidRPr="007D7B32">
        <w:tab/>
        <w:t xml:space="preserve">vyjadřuje šok nad teroristickými útoky ze dne 7. října 2023, při nichž se </w:t>
      </w:r>
      <w:proofErr w:type="spellStart"/>
      <w:r w:rsidR="00532512" w:rsidRPr="007D7B32">
        <w:t>Hamás</w:t>
      </w:r>
      <w:proofErr w:type="spellEnd"/>
      <w:r w:rsidR="00532512" w:rsidRPr="007D7B32">
        <w:t xml:space="preserve"> dopustil násilí, znásilňování a dalších forem sexuálního mučení žen, dospívajících dívek a děvčat z Izraele a dalších zemí; zdůrazňuje, že tato cílená forma sexuálního násilí a mučení páchaného na ženách je systematicky využívána jako válečný zločin a terorismus; vyjadřuje politování nad nedostatečným zaměřením ESVČ a Komise na sexuální násilí páchané na ženách v průběhu konfliktů; požaduje vytvoření mechanismu pro identifikaci obětí a poskytování podpory obětem, shromažďování svědectví, identifikaci pachatelů a přijímání včasných opatření s cílem zajistit, aby v budoucnu k podobným situacím nedocházelo; požaduje vytvoření platformy, která by zviditelnila oběti a jejich utrpení; vyzývá k větší podpoře subjektů, jako je Sdružení krizových center pro oběti znásilnění v Izraeli nebo podobné subjekty v oblastech konfliktů; zdůrazňuje, že obětem sexuálního násilí souvisejícího s konflikty a na příslušné vzdělávací činnosti by měly být poskytnuty dodatečné finanční prostředky Unie; konstatuje, že ve výročních zprávách o činnosti chybí údaje o výši finančních prostředků Unie vyčleněných na podporu těchto obětí a příslušných subjektů; doporučuje Komisi, aby poskytla jasnější zprávy o pomoci Unie poskytované těmto obětem a příslušným subjektům;</w:t>
      </w:r>
    </w:p>
    <w:p w:rsidR="00FA2D6B" w:rsidRPr="007D7B32" w:rsidRDefault="00487FB5" w:rsidP="005E7441">
      <w:pPr>
        <w:pStyle w:val="NormalHanging12a"/>
      </w:pPr>
      <w:r w:rsidRPr="007D7B32">
        <w:t>202</w:t>
      </w:r>
      <w:r w:rsidR="00FA2D6B" w:rsidRPr="007D7B32">
        <w:t>.</w:t>
      </w:r>
      <w:r w:rsidR="00FA2D6B" w:rsidRPr="007D7B32">
        <w:tab/>
        <w:t>zdůrazňuje, že výroční zpráva EÚD za rok 2022 poukazuje na příklad nezpůsobilých výdajů zahrnutých do výkazu nákladů na projekt v Palestině týkající se udržitelného využívání přírodních zdrojů na podporu přechodu Palestiny na zelenou ekonomiku s pobídkovou složkou, která byla určena na podporu malých a středních podniků ve formě grantů na „zelené“ projekty v oblasti energetické účinnosti, obnovitelné energie a snižování znečištění; zdůrazňuje, že 190 500 EUR bylo schváleno a vyplaceno rozvojové agentuře, která měla za úkol sledovat provádění projektu konečným příjemcem, ale projekt nebyl realizován</w:t>
      </w:r>
      <w:r w:rsidR="00FA2D6B" w:rsidRPr="007D7B32">
        <w:rPr>
          <w:vertAlign w:val="superscript"/>
        </w:rPr>
        <w:footnoteReference w:id="78"/>
      </w:r>
      <w:r w:rsidR="00FA2D6B" w:rsidRPr="007D7B32">
        <w:t>;</w:t>
      </w:r>
    </w:p>
    <w:p w:rsidR="00FA2D6B" w:rsidRPr="007D7B32" w:rsidRDefault="00487FB5" w:rsidP="005E7441">
      <w:pPr>
        <w:pStyle w:val="NormalHanging12a"/>
      </w:pPr>
      <w:r w:rsidRPr="007D7B32">
        <w:t>203</w:t>
      </w:r>
      <w:r w:rsidR="00FA2D6B" w:rsidRPr="007D7B32">
        <w:t>.</w:t>
      </w:r>
      <w:r w:rsidR="00FA2D6B" w:rsidRPr="007D7B32">
        <w:tab/>
        <w:t>je znepokojen ničením a konfiskací projektů financovaných Unií na Západním břehu Jordánu a konstatuje, že v roce 2022 Izrael zničil nebo zabavil 101 struktur financovaných Unií nebo členskými státy v hodnotě 337 019 EUR, což představuje třetí nejvyšší finanční újmu od roku 2016; připomíná, že zástupci orgánů Unie, dotčených členských států a dalších dárců několikrát požádali o vrácení nebo kompenzaci majetku financovaného Unií, který byl zničen, zrušen nebo zkonfiskován; připomíná postoj Rady, která vyjádřila svůj závazek zajistit, aby ve všech dohodách mezi Izraelem a Unií bylo jednoznačně a výslovně uvedeno, že neplatí na územích okupovaných Izraelem od roku 1967, a pokračovat v účinném provádění stávajících právních předpisů Unie a dvoustranných ujednání týkajících se produktů pocházejících z osad;</w:t>
      </w:r>
    </w:p>
    <w:p w:rsidR="00FA2D6B" w:rsidRPr="007D7B32" w:rsidRDefault="00487FB5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204</w:t>
      </w:r>
      <w:r w:rsidR="00FA2D6B" w:rsidRPr="007D7B32">
        <w:t>.</w:t>
      </w:r>
      <w:r w:rsidR="00FA2D6B" w:rsidRPr="007D7B32">
        <w:tab/>
        <w:t xml:space="preserve">konstatuje, že v roce 2022 vyplatilo GŘ NEAR Ukrajině 910,8 milionu EUR v rámci </w:t>
      </w:r>
      <w:r w:rsidR="00FA2D6B" w:rsidRPr="007D7B32">
        <w:lastRenderedPageBreak/>
        <w:t>dvoustranné pomoci, z čehož 698 milionů EUR bylo vyplaceno prostřednictvím rozpočtové podpory; konstatuje, že téměř 200 milionů EUR z probíhajících projektů bylo úspěšně použito k tomu, aby se dostaly k příjemcům dříve, než humanitární partneři mohli mobilizovat své programy pomoci; konstatuje, že omezení týkající se náležitého monitorování projektů na Ukrajině vedla k výhradě ve výroční zprávě o činnosti GŘ NEAR za rok 2022 a že jsou prováděna nápravná opatření, jako je monitorování pokroku při provádění projektů prostřednictvím přezkumů dokumentace, řešení na dálku a využívání poskytovatele služeb;</w:t>
      </w:r>
    </w:p>
    <w:p w:rsidR="00FA2D6B" w:rsidRPr="007D7B32" w:rsidRDefault="00FA2D6B" w:rsidP="005E7441">
      <w:pPr>
        <w:pStyle w:val="NormalHanging12a"/>
      </w:pPr>
      <w:r w:rsidRPr="007D7B32">
        <w:t>20</w:t>
      </w:r>
      <w:r w:rsidR="00487FB5" w:rsidRPr="007D7B32">
        <w:t>5</w:t>
      </w:r>
      <w:r w:rsidRPr="007D7B32">
        <w:t>.</w:t>
      </w:r>
      <w:r w:rsidRPr="007D7B32">
        <w:tab/>
        <w:t>poukazuje na plán růstu reforem pro západní Balkán, který Komise navrhla s cílem dále podpořit úsilí o konvergenci v tomto regionu; zdůrazňuje, že je třeba vyjasnit využívání různých finančních nástrojů vůči tomuto regionu, zejména v rámci NPP III, hospodářského a investičního plánu a plánu růstu reforem; naléhavě vyzývá Komisi, aby na nižší než celostátní úrovni zajistila přímější přístup k finančním prostředkům Unie;</w:t>
      </w:r>
    </w:p>
    <w:p w:rsidR="00FA2D6B" w:rsidRPr="007D7B32" w:rsidRDefault="00FA2D6B" w:rsidP="005E7441">
      <w:pPr>
        <w:pStyle w:val="NormalHanging12a"/>
      </w:pPr>
      <w:r w:rsidRPr="007D7B32">
        <w:t>20</w:t>
      </w:r>
      <w:r w:rsidR="00487FB5" w:rsidRPr="007D7B32">
        <w:t>6</w:t>
      </w:r>
      <w:r w:rsidRPr="007D7B32">
        <w:t>.</w:t>
      </w:r>
      <w:r w:rsidRPr="007D7B32">
        <w:tab/>
        <w:t>vítá skutečnost, že nástroj pro Ukrajinu obsahuje ustanovení k zajištění účinných kontrol; připomíná, že dne 7. dubna 2022 Parlament vyzval ke konfiskaci ruského majetku vlastněného ruskými osobami a subjekty, který byl zmrazen v důsledku omezujících opatření Unie, s cílem financovat obnovu Ukrajiny;</w:t>
      </w:r>
    </w:p>
    <w:p w:rsidR="00FA2D6B" w:rsidRPr="007D7B32" w:rsidRDefault="00FA2D6B" w:rsidP="005E7441">
      <w:pPr>
        <w:pStyle w:val="NormalHanging12a"/>
      </w:pPr>
      <w:r w:rsidRPr="007D7B32">
        <w:t>20</w:t>
      </w:r>
      <w:r w:rsidR="00487FB5" w:rsidRPr="007D7B32">
        <w:t>7</w:t>
      </w:r>
      <w:r w:rsidRPr="007D7B32">
        <w:t>.</w:t>
      </w:r>
      <w:r w:rsidRPr="007D7B32">
        <w:tab/>
        <w:t xml:space="preserve">vítá strategii </w:t>
      </w:r>
      <w:proofErr w:type="spellStart"/>
      <w:r w:rsidRPr="007D7B32">
        <w:t>Global</w:t>
      </w:r>
      <w:proofErr w:type="spellEnd"/>
      <w:r w:rsidRPr="007D7B32">
        <w:t xml:space="preserve"> </w:t>
      </w:r>
      <w:proofErr w:type="spellStart"/>
      <w:r w:rsidRPr="007D7B32">
        <w:t>Gateway</w:t>
      </w:r>
      <w:proofErr w:type="spellEnd"/>
      <w:r w:rsidRPr="007D7B32">
        <w:t xml:space="preserve"> jako společnou reakci Unie na globální výzvy, která spojuje veřejné a soukromé investice; konstatuje, že rok 2022 byl prvním úplným rokem provádění strategie </w:t>
      </w:r>
      <w:proofErr w:type="spellStart"/>
      <w:r w:rsidRPr="007D7B32">
        <w:t>Global</w:t>
      </w:r>
      <w:proofErr w:type="spellEnd"/>
      <w:r w:rsidRPr="007D7B32">
        <w:t xml:space="preserve"> </w:t>
      </w:r>
      <w:proofErr w:type="spellStart"/>
      <w:r w:rsidRPr="007D7B32">
        <w:t>Gateway</w:t>
      </w:r>
      <w:proofErr w:type="spellEnd"/>
      <w:r w:rsidRPr="007D7B32">
        <w:t xml:space="preserve">; zdůrazňuje, že je třeba zajistit větší transparentnost, odpovědnost a pravidelná hodnocení provádění strategie </w:t>
      </w:r>
      <w:proofErr w:type="spellStart"/>
      <w:r w:rsidRPr="007D7B32">
        <w:t>Global</w:t>
      </w:r>
      <w:proofErr w:type="spellEnd"/>
      <w:r w:rsidRPr="007D7B32">
        <w:t xml:space="preserve"> </w:t>
      </w:r>
      <w:proofErr w:type="spellStart"/>
      <w:r w:rsidRPr="007D7B32">
        <w:t>Gateway</w:t>
      </w:r>
      <w:proofErr w:type="spellEnd"/>
      <w:r w:rsidRPr="007D7B32">
        <w:t>, jakož i větší zapojení Parlamentu, pokud jde o jeho demokratickou kontrolní úlohu;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20</w:t>
      </w:r>
      <w:r w:rsidR="00487FB5" w:rsidRPr="007D7B32">
        <w:t>8</w:t>
      </w:r>
      <w:r w:rsidRPr="007D7B32">
        <w:t>.</w:t>
      </w:r>
      <w:r w:rsidRPr="007D7B32">
        <w:tab/>
        <w:t>vítá, že úřad OLAF podepsal 11. února 2021 dohody o správní spolupráci s Generální prokuraturou Ukrajiny a v březnu 2023 se Státní kontrolní službou Ukrajiny; bere na vědomí, že se očekává, že Ukrajina bude brzy připojena k Programu Unie pro boj proti podvodům (UAFP), a vítá, že úřad OLAF poskytuje podporu ukrajinským orgánům v jejich úsilí a strategiích v oblasti boje proti podvodům na národní úrovni; vítá, že úřad EPPO podepsal v červenci 2023 pracovní ujednání s ukrajinským Národním protikorupčním úřadem, jehož cílem je usnadnit spolupráci při vyšetřování případů korupce, a v březnu 2022 s ukrajinskou generální prokuraturou s cílem chránit finanční zájmy Unie a Ukrajiny prostřednictvím účinného vyšetřování a stíhání;</w:t>
      </w:r>
    </w:p>
    <w:p w:rsidR="00FA2D6B" w:rsidRPr="007D7B32" w:rsidRDefault="00FA2D6B" w:rsidP="005E7441">
      <w:pPr>
        <w:spacing w:after="240"/>
        <w:ind w:left="567" w:hanging="567"/>
        <w:rPr>
          <w:i/>
          <w:szCs w:val="24"/>
        </w:rPr>
      </w:pPr>
      <w:r w:rsidRPr="007D7B32">
        <w:rPr>
          <w:i/>
        </w:rPr>
        <w:t>Doporučení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20</w:t>
      </w:r>
      <w:r w:rsidR="00487FB5" w:rsidRPr="007D7B32">
        <w:t>9</w:t>
      </w:r>
      <w:r w:rsidRPr="007D7B32">
        <w:t>.</w:t>
      </w:r>
      <w:r w:rsidRPr="007D7B32">
        <w:tab/>
        <w:t>vyzývá Komisi, aby:</w:t>
      </w:r>
    </w:p>
    <w:p w:rsidR="00FA2D6B" w:rsidRPr="007D7B32" w:rsidRDefault="00FA2D6B" w:rsidP="005E7441">
      <w:pPr>
        <w:tabs>
          <w:tab w:val="left" w:pos="665"/>
        </w:tabs>
        <w:spacing w:after="240"/>
        <w:ind w:left="1134" w:hanging="567"/>
        <w:rPr>
          <w:spacing w:val="-6"/>
          <w:szCs w:val="24"/>
        </w:rPr>
      </w:pPr>
      <w:r w:rsidRPr="007D7B32">
        <w:t>i)</w:t>
      </w:r>
      <w:r w:rsidRPr="007D7B32">
        <w:tab/>
        <w:t>pokud jde o aplikační systém OPSYS, zlepšila kvalitu nového softwaru, stabilizovala aplikaci a zlepšila rozhraní mezi jednotlivými moduly OPSYS a přidělila zdroje potřebné ke zvýšení jeho vyspělosti/odolnosti;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ii</w:t>
      </w:r>
      <w:proofErr w:type="spellEnd"/>
      <w:r w:rsidRPr="007D7B32">
        <w:t>)</w:t>
      </w:r>
      <w:r w:rsidRPr="007D7B32">
        <w:tab/>
        <w:t xml:space="preserve">i nadále zajišťovala, aby všechny smlouvy zahrnující financování Unií plně respektovaly příslušné hodnoty Unie, včetně odpovědnosti, transparentnosti a ochrany finančních prostředků Unie; zajistila, aby přísné monitorovací mechanismy a mechanismy kontroly ex ante a ex post zajistily, že všechny osoby zapojené do akcí financovaných Unií budou sledovat výhradně cíle Unie a </w:t>
      </w:r>
      <w:r w:rsidRPr="007D7B32">
        <w:lastRenderedPageBreak/>
        <w:t>činnosti schválené pro financování Unií, a je-li to nezbytné, požadovala navrácení majetku financovaného Unií nebo jeho náhradu, pokud byl tento majetek zlikvidován, rozebrán nebo zkonfiskován;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iii</w:t>
      </w:r>
      <w:proofErr w:type="spellEnd"/>
      <w:r w:rsidRPr="007D7B32">
        <w:t>)</w:t>
      </w:r>
      <w:r w:rsidRPr="007D7B32">
        <w:tab/>
        <w:t>podnikla kroky, jimiž zajistí, aby mezinárodní organizace poskytovaly Účetnímu dvoru úplný, neomezený a včasný přístup k dokumentům, které jsou nezbytné k plnění její úlohy podle S</w:t>
      </w:r>
      <w:r w:rsidR="00EC63EA" w:rsidRPr="007D7B32">
        <w:t xml:space="preserve">mlouvy o fungování </w:t>
      </w:r>
      <w:r w:rsidRPr="007D7B32">
        <w:t>EU, tedy nikoliv jen ve formátu určeném pouze ke čtení.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iv</w:t>
      </w:r>
      <w:proofErr w:type="spellEnd"/>
      <w:r w:rsidRPr="007D7B32">
        <w:t>)</w:t>
      </w:r>
      <w:r w:rsidRPr="007D7B32">
        <w:tab/>
        <w:t>zavedla odpovídající opatření v oblasti kontrol ex ante a ex post v nestabilních nebo konfliktních oblastech s cílem zajistit řádnou kontrolu vynakládání finančních prostředků Unie a zpětného vymáhání finančních prostředků Unie;</w:t>
      </w:r>
    </w:p>
    <w:p w:rsidR="00FA2D6B" w:rsidRPr="007D7B32" w:rsidRDefault="00FA2D6B" w:rsidP="005E7441">
      <w:pPr>
        <w:pStyle w:val="NormalHanging12a"/>
        <w:ind w:left="1134"/>
      </w:pPr>
      <w:r w:rsidRPr="007D7B32">
        <w:t>v)</w:t>
      </w:r>
      <w:r w:rsidRPr="007D7B32">
        <w:tab/>
        <w:t>zajišťovala řádný, včasný a důkladný audit všech finančních prostředků poskytnutých v rámci nástroje pro Ukrajinu a nadcházejícího nástroje pro západní Balkán, a to i se zapojením Úřadu evropského veřejného žalobce a Evropského účetního dvora;</w:t>
      </w:r>
    </w:p>
    <w:p w:rsidR="00FA2D6B" w:rsidRPr="007D7B32" w:rsidRDefault="00FA2D6B" w:rsidP="005E7441">
      <w:pPr>
        <w:pStyle w:val="Title"/>
        <w:spacing w:after="240"/>
        <w:ind w:left="567" w:hanging="567"/>
        <w:rPr>
          <w:i/>
        </w:rPr>
      </w:pPr>
      <w:r w:rsidRPr="007D7B32">
        <w:rPr>
          <w:i/>
        </w:rPr>
        <w:t>Evropská veřejná správa</w:t>
      </w:r>
    </w:p>
    <w:p w:rsidR="00FA2D6B" w:rsidRPr="007D7B32" w:rsidRDefault="00FA2D6B" w:rsidP="005E7441">
      <w:pPr>
        <w:spacing w:after="240"/>
        <w:ind w:left="567" w:hanging="567"/>
        <w:rPr>
          <w:i/>
          <w:szCs w:val="24"/>
        </w:rPr>
      </w:pPr>
      <w:r w:rsidRPr="007D7B32">
        <w:rPr>
          <w:i/>
        </w:rPr>
        <w:t>Lidské zdroje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2</w:t>
      </w:r>
      <w:r w:rsidR="00487FB5" w:rsidRPr="007D7B32">
        <w:t>10</w:t>
      </w:r>
      <w:r w:rsidRPr="007D7B32">
        <w:t>.</w:t>
      </w:r>
      <w:r w:rsidRPr="007D7B32">
        <w:tab/>
        <w:t>konstatuje, že rozpočet na programy v rámci okruhu 7 VFR „Evropská veřejná správa“ činil 11,6 miliardy EUR (5,9 % rozpočtu Unie), což zahrnuje výdaje orgánů a institucí Unie na lidské zdroje a důchody (přibližně 70 % z celkové částky), budovy, vybavení, energii, komunikace a informační technologie; konstatuje, že 58,6 % z celkové částky (6,7 miliardy EUR) vynakládá Komise; bere na vědomí, že k 31. prosinci 2022 činily konečné přijaté prostředky na rozpočtové závazky pro Evropskou komisi 6 298,13 milionu EUR (99,84 % z nich bylo realizováno, tj. 6 288,14 milionu EUR), jakož i že konečné přijaté prostředky na rozpočtové platby činily 6 298,22 milionu EUR (94,66 % z nich bylo realizováno, tj. 5 961,72 milionu EUR);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2</w:t>
      </w:r>
      <w:r w:rsidR="00487FB5" w:rsidRPr="007D7B32">
        <w:t>11</w:t>
      </w:r>
      <w:r w:rsidRPr="007D7B32">
        <w:t>.</w:t>
      </w:r>
      <w:r w:rsidRPr="007D7B32">
        <w:tab/>
        <w:t>konstatuje, že Účetní dvůr prověřil vzorek 60 transakcí, který pokrývá celou škálu výdajů v rámci okruhu 7 VFR, které se týkaly všech orgánů a institucí Unie; konstatuje, že Účetní dvůr rovněž přezkoumal informace o správnosti uvedené ve výročních zprávách o činnosti všech orgánů a institucí, včetně generálních ředitelství a úřadů Komise, které jsou primárně odpovědné za správní výdaje, a které byly následně zahrnuty do výroční zprávy Komise o řízení a výkonnosti (AMPR); s uspokojením konstatuje, že Účetní dvůr odhaduje, že míra chyb v okruhu 7 VFR nebyla významná, a konstatuje, že Komisi nebyla adresována žádná nová doporučení;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2</w:t>
      </w:r>
      <w:r w:rsidR="00487FB5" w:rsidRPr="007D7B32">
        <w:t>12</w:t>
      </w:r>
      <w:r w:rsidRPr="007D7B32">
        <w:t>.</w:t>
      </w:r>
      <w:r w:rsidRPr="007D7B32">
        <w:tab/>
        <w:t>bere na vědomí, že Komise přijala v dubnu 2022 novou strategii v oblasti lidských zdrojů (dále jen „strategie v oblasti lidských zdrojů“), která se zaměřuje na řešení nových potřeb po krizi COVID-19 a soustředí se na dosažení atraktivního pracoviště, rychlejšího a agilnějšího výběru a náboru a flexibilní a uspokojivé kariéry pro všechny zaměstnance; konstatuje, že dokument je souborem záměrů na změnu a zlepšení, které by měly být postupně realizovány, a že část jeho obsahu bude nejprve projednána v sociálním dialogu se zástupci zaměstnanců;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2</w:t>
      </w:r>
      <w:r w:rsidR="00487FB5" w:rsidRPr="007D7B32">
        <w:t>13</w:t>
      </w:r>
      <w:r w:rsidRPr="007D7B32">
        <w:t>.</w:t>
      </w:r>
      <w:r w:rsidRPr="007D7B32">
        <w:tab/>
        <w:t xml:space="preserve">konstatuje, že Komise stále častěji přijímá smluvní nebo dočasné zaměstnance na stálá pracovní místa, aby plnili nové úkoly vyplývající z rychle se vyvíjejících priorit, </w:t>
      </w:r>
      <w:r w:rsidRPr="007D7B32">
        <w:lastRenderedPageBreak/>
        <w:t>reagovali na zvláštní nebo naléhavé situace a dokonce kompenzovali geograficky nevyvážený nábor; připomíná své obavy ze ztráty znalostí v orgánech a z negativního dopadu na perspektivu a jistotu zaměstnání dotčených zaměstnanců; zdůrazňuje, že nábor smluvních nebo dočasných zaměstnanců není udržitelným řešením klesajícího a geograficky nevyrovnaného počtu uchazečů o výběrová řízení Unie a především dlouhodobě identifikovaného a komplexního problému poklesu atraktivity Unie jako zaměstnavatele;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2</w:t>
      </w:r>
      <w:r w:rsidR="00487FB5" w:rsidRPr="007D7B32">
        <w:t>14</w:t>
      </w:r>
      <w:r w:rsidRPr="007D7B32">
        <w:t>.</w:t>
      </w:r>
      <w:r w:rsidRPr="007D7B32">
        <w:tab/>
        <w:t>s uspokojením konstatuje, že od počátku mandátu se výrazně zvýšil podíl žen ve vedoucích funkcích: v červenci 2023 činil podíl žen ve vedoucích funkcích 45,2 % na úrovni vyššího managementu (nárůst o téměř 9 procentních bodů od počátku mandátu) a 47,5 % na úrovni středního managementu (nárůst o 6 procentních bodů);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21</w:t>
      </w:r>
      <w:r w:rsidR="00487FB5" w:rsidRPr="007D7B32">
        <w:t>5</w:t>
      </w:r>
      <w:r w:rsidRPr="007D7B32">
        <w:t>.</w:t>
      </w:r>
      <w:r w:rsidRPr="007D7B32">
        <w:tab/>
        <w:t>uznává, že pro zajištění náboru na co nejširším zeměpisném základě je nutné řešit příčiny nedostatečného zastoupení již při prvním náboru; vítá, že v zájmu posílení zeměpisné vyváženosti různých kategorií zaměstnanců Komise se Generální ředitelství pro lidské zdroje a bezpečnost (GŘ HR) sešlo se všemi členskými státy, aby projednalo jejich zastoupení, a dokončilo všechny společné akční plány s přihlédnutím ke specifikům jednotlivých členských států, aby společně řešilo možné příčiny nedostatečného zastoupení;</w:t>
      </w:r>
    </w:p>
    <w:p w:rsidR="00FA2D6B" w:rsidRPr="007D7B32" w:rsidRDefault="00FA2D6B" w:rsidP="005E7441">
      <w:pPr>
        <w:pStyle w:val="NormalHanging12a"/>
      </w:pPr>
      <w:r w:rsidRPr="007D7B32">
        <w:t>21</w:t>
      </w:r>
      <w:r w:rsidR="00487FB5" w:rsidRPr="007D7B32">
        <w:t>6</w:t>
      </w:r>
      <w:r w:rsidRPr="007D7B32">
        <w:t>.</w:t>
      </w:r>
      <w:r w:rsidRPr="007D7B32">
        <w:tab/>
        <w:t>bere na vědomí přijetí a provádění akčního plánu na zvýšení přitažlivosti kariéry v Lucembursku; bere na vědomí úvahy Komise proti zavedení opravného koeficientu pro Lucembursko v této fázi ve své zprávě hodnotící vývoj kupní síly odměn a důchodů úředníků Unie (COM(2022)</w:t>
      </w:r>
      <w:r w:rsidR="007D6122" w:rsidRPr="007D7B32">
        <w:t>0</w:t>
      </w:r>
      <w:r w:rsidRPr="007D7B32">
        <w:t>180); připomíná své opakované žádosti, aby Komise nalezla způsoby, jak zmírnit rostoucí problém rozdílů v kupní síle, kterým čelí zaměstnanci vyslaní do Lucemburska, což je způsobeno především životními náklady;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21</w:t>
      </w:r>
      <w:r w:rsidR="00487FB5" w:rsidRPr="007D7B32">
        <w:t>7</w:t>
      </w:r>
      <w:r w:rsidRPr="007D7B32">
        <w:t>.</w:t>
      </w:r>
      <w:r w:rsidRPr="007D7B32">
        <w:tab/>
        <w:t>připomíná audit Účetního dvora týkající se činnosti Evropského úřadu pro výběr personálu (EPSO) a připomínky k jeho účinnosti a efektivitě</w:t>
      </w:r>
      <w:r w:rsidRPr="007D7B32">
        <w:rPr>
          <w:vertAlign w:val="superscript"/>
        </w:rPr>
        <w:footnoteReference w:id="79"/>
      </w:r>
      <w:r w:rsidRPr="007D7B32">
        <w:t>; konstatuje, že v letech 2022–2023 úřad EPSO zavedl testování na dálku, a lituje, že tento systém je nyní přehodnocován kvůli četným technickým potížím, s nimiž se setkalo mnoho uchazečů; vyjadřuje politování nad nepříjemnostmi způsobenými uchazečům, nad přímými rozpočtovými náklady spojenými s pozastavením externích výběrových řízení a nad dodatečným úsilím náborového útvaru Komise při hledání odpovídající náhrady;</w:t>
      </w:r>
    </w:p>
    <w:p w:rsidR="00FA2D6B" w:rsidRPr="007D7B32" w:rsidRDefault="00FA2D6B" w:rsidP="005E7441">
      <w:pPr>
        <w:pStyle w:val="NormalHanging12a"/>
      </w:pPr>
      <w:r w:rsidRPr="007D7B32">
        <w:t>21</w:t>
      </w:r>
      <w:r w:rsidR="00487FB5" w:rsidRPr="007D7B32">
        <w:t>8</w:t>
      </w:r>
      <w:r w:rsidRPr="007D7B32">
        <w:t>.</w:t>
      </w:r>
      <w:r w:rsidRPr="007D7B32">
        <w:tab/>
        <w:t>připomíná závěr Účetního dvora v jeho zvláštní zprávě 13/2019 o tom, že „jakékoli neetické chování zaměstnanců a členů orgánů a institucí EU je nepřijatelné a – i kdyby bylo pouze údajné – přitahuje velký zájem veřejnosti a snižuje důvěru v EU“; vyjadřuje politování nad dvěma případy potenciálních střetů zájmů týkajících se vysoce postavených úředníků v GŘ MOVE pro služební cesty a GŘ NEAR, které zveřejnili novináři v roce 2022; konstatuje, že Komise zavádí účinný systém vnitřní kontroly v záležitostech etického řízení podle zprávy Účetního dvora za rok 2019 a rozhodnutí evropské veřejné ochránkyně práv o šetření týkajícím se efektu otáčivých dveří; poukazuje na to, že neetické chování má pro dotčený orgán rovněž rozpočtové náklady, a opakuje svůj postoj a očekávání orgánu Unie pro etiku;</w:t>
      </w:r>
    </w:p>
    <w:p w:rsidR="00532512" w:rsidRPr="007D7B32" w:rsidRDefault="00487FB5" w:rsidP="005E7441">
      <w:pPr>
        <w:pStyle w:val="NormalHanging12a"/>
      </w:pPr>
      <w:r w:rsidRPr="007D7B32">
        <w:t>219</w:t>
      </w:r>
      <w:r w:rsidR="00532512" w:rsidRPr="007D7B32">
        <w:t>.</w:t>
      </w:r>
      <w:r w:rsidR="00532512" w:rsidRPr="007D7B32">
        <w:tab/>
        <w:t xml:space="preserve">bere na vědomí vytvoření a následný nábor zmocněnce EU pro malé a střední podniky, </w:t>
      </w:r>
      <w:r w:rsidR="00532512" w:rsidRPr="007D7B32">
        <w:lastRenderedPageBreak/>
        <w:t xml:space="preserve">který je dočasným zaměstnancem třídy AD15; vyjadřuje politování nad tím, že řada sdělovacích prostředků uvedla, že byl nakonec jmenován úspěšný uchazeč, přestože v hodnoceních náboru jej obě zbývající kandidátky z nedostatečně zastoupených členských států předčily, co se týče kvalifikace, což zpochybňuje, zda byly zohledněny zásady zásluh, rovnosti žen a mužů a zeměpisné vyváženosti; se znepokojením konstatuje, že úspěšný kandidát je odstupujícím členem německé politické strany předsedkyně von der </w:t>
      </w:r>
      <w:proofErr w:type="spellStart"/>
      <w:r w:rsidR="00532512" w:rsidRPr="007D7B32">
        <w:t>Leyenové</w:t>
      </w:r>
      <w:proofErr w:type="spellEnd"/>
      <w:r w:rsidR="00532512" w:rsidRPr="007D7B32">
        <w:t>; vyzývá Komisi, aby tuto situaci napravila tím, že zruší jmenování a zahájí skutečně transparentní a otevřený proces výběru zmocněnce EU pro malé a střední podniky;</w:t>
      </w:r>
    </w:p>
    <w:p w:rsidR="00FA2D6B" w:rsidRPr="007D7B32" w:rsidRDefault="00FA2D6B" w:rsidP="005E7441">
      <w:pPr>
        <w:spacing w:after="240"/>
        <w:ind w:left="567" w:hanging="567"/>
        <w:rPr>
          <w:i/>
          <w:szCs w:val="24"/>
        </w:rPr>
      </w:pPr>
      <w:r w:rsidRPr="007D7B32">
        <w:rPr>
          <w:i/>
        </w:rPr>
        <w:t>Budovy a administrativa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487FB5" w:rsidRPr="007D7B32">
        <w:t>20</w:t>
      </w:r>
      <w:r w:rsidRPr="007D7B32">
        <w:t>.</w:t>
      </w:r>
      <w:r w:rsidRPr="007D7B32">
        <w:tab/>
        <w:t xml:space="preserve">konstatuje, že vytvoření nového centrálního korporátního finančního systému Komise SUMMA bylo plánováno na konec roku 2023 a pokročilo v souladu s cílem spustit jej na začátku roku 2024; vyjadřuje politování nad tím, že lhůta pro zavedení nového účetního systému byla prodloužena o jeden rok, protože se ukázalo, že současné propojení operačních programů (sdílené řízení, elektronické granty, elektronické zadávání veřejných zakázek, platby zaměstnancům) se systémem SUMMA je složitější, než se očekávalo; se znepokojením zdůrazňuje, že náklady na program SUMMA od jeho zahájení na začátku roku 2018 do konce roku 2022 činily přibližně 95 milionů EUR a že prodloužení jeho časového harmonogramu si v roce 2024 </w:t>
      </w:r>
      <w:proofErr w:type="spellStart"/>
      <w:r w:rsidRPr="007D7B32">
        <w:t>vyžádádalší</w:t>
      </w:r>
      <w:proofErr w:type="spellEnd"/>
      <w:r w:rsidRPr="007D7B32">
        <w:t xml:space="preserve"> zdroje, jejichž výše se odhaduje na přibližně 7 milionů EUR;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487FB5" w:rsidRPr="007D7B32">
        <w:t>21</w:t>
      </w:r>
      <w:r w:rsidRPr="007D7B32">
        <w:t>.</w:t>
      </w:r>
      <w:r w:rsidRPr="007D7B32">
        <w:tab/>
        <w:t>bere na vědomí, že dne 5. dubna 2022 bylo přijato sdělení o ekologizaci Komise, jehož cílem je dosáhnout do roku 2030 klimatické neutrality, včetně akčního plánu na snížení emisí skleníkových plynů; bere na vědomí, že Komise má v úmyslu těchto cílů dosáhnout pořízením energeticky účinnějších a ekologičtějších budov, přechodem k dynamickým sdíleným pracovním prostorám a snížením počtu kanceláří, a opakuje své varování, že při všech budoucích rozhodnutích v tomto ohledu by měly být zohledněny duševní pohoda a spokojenost zaměstnanců;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2</w:t>
      </w:r>
      <w:r w:rsidR="00487FB5" w:rsidRPr="007D7B32">
        <w:t>22</w:t>
      </w:r>
      <w:r w:rsidRPr="007D7B32">
        <w:t>.</w:t>
      </w:r>
      <w:r w:rsidRPr="007D7B32">
        <w:tab/>
        <w:t xml:space="preserve">bere na vědomí zprávy v médiích o jednáních mezi belgickou vládou a Komisí o transakci s nemovitostmi v hodnotě téměř 1 miliardy EUR a rovněž o plánech Komise pronajmout si kancelářské prostory v severní části Bruselu, včetně neochoty dotčených zaměstnanců; zdůrazňuje, že jakýkoli vývoj v politice Komise v oblasti nemovitostí by neměl zhoršit pracovní podmínky jejích zaměstnanců; 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487FB5" w:rsidRPr="007D7B32">
        <w:t>23</w:t>
      </w:r>
      <w:r w:rsidRPr="007D7B32">
        <w:t>.</w:t>
      </w:r>
      <w:r w:rsidRPr="007D7B32">
        <w:tab/>
        <w:t>je znepokojen tím, že Komise odmítla poskytnout záznamy o jednání s farmaceutickou společností, a lituje chybějící transparentnosti, pokud jde o textové zprávy mezi předsedkyní Komise a farmaceutickými společnostmi ohledně nákupu očkovacích látek proti COVID-19; konstatuje, že rozhodnutí evropské veřejné ochránkyně práv o související věci 1316/2021/MIG, podle něhož nezaznamenání textových zpráv ve svém rejstříku dokumentů představuje „nesprávný úřední postup“, a je znepokojen tím, že Komise nereagovala na její doporučení, aby znovu hledala příslušné textové zprávy; konstatuje, že Komise dosud poslancům Evropského parlamentu nezpřístupnila neredigované verze podepsaných smluv;</w:t>
      </w:r>
      <w:r w:rsidR="005E7441">
        <w:t xml:space="preserve"> </w:t>
      </w:r>
      <w:r w:rsidRPr="007D7B32">
        <w:t>připomíná usnesení Evropského parlamentu ze dne 13. července 2023 o přístupu veřejnosti k dokumentům – výroční zprávy za období 2019–2021;</w:t>
      </w:r>
    </w:p>
    <w:p w:rsidR="00FA2D6B" w:rsidRPr="007D7B32" w:rsidRDefault="00FA2D6B" w:rsidP="005E7441">
      <w:pPr>
        <w:spacing w:after="240"/>
        <w:ind w:left="567" w:hanging="567"/>
        <w:rPr>
          <w:i/>
          <w:szCs w:val="24"/>
        </w:rPr>
      </w:pPr>
      <w:r w:rsidRPr="007D7B32">
        <w:rPr>
          <w:i/>
        </w:rPr>
        <w:t>Evropské školy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lastRenderedPageBreak/>
        <w:t>2</w:t>
      </w:r>
      <w:r w:rsidR="00487FB5" w:rsidRPr="007D7B32">
        <w:t>24</w:t>
      </w:r>
      <w:r w:rsidRPr="007D7B32">
        <w:t>.</w:t>
      </w:r>
      <w:r w:rsidRPr="007D7B32">
        <w:tab/>
        <w:t>s uspokojením konstatuje, že Účetní dvůr ve své výroční zprávě o ověření účetní závěrky Evropských škol za rozpočtový rok 2022 neshledal v konečné konsolidované účetní závěrce Evropských škol za rok 2022 žádné významné chyby; vítá další zlepšení kvality konečné individuální a konsolidované účetní závěrky, na které Účetní dvůr upozornil ve srovnání s předchozími roky;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2</w:t>
      </w:r>
      <w:r w:rsidR="00487FB5" w:rsidRPr="007D7B32">
        <w:t>25</w:t>
      </w:r>
      <w:r w:rsidRPr="007D7B32">
        <w:t>.</w:t>
      </w:r>
      <w:r w:rsidRPr="007D7B32">
        <w:tab/>
        <w:t>se znepokojením konstatuje, že Účetní dvůr i externí auditor zjistili nevýznamné chyby, které se týkaly především výpočtu rezerv na zaměstnanecké požitky po skončení pracovního poměru, a že auditorské výroky externího auditora nebyly v souladu s rámcovou smlouvou uzavřenou s Úřadem generálního tajemníka (dále jen „ústřední úřad“);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22</w:t>
      </w:r>
      <w:r w:rsidR="00487FB5" w:rsidRPr="007D7B32">
        <w:t>6</w:t>
      </w:r>
      <w:r w:rsidRPr="007D7B32">
        <w:t>.</w:t>
      </w:r>
      <w:r w:rsidRPr="007D7B32">
        <w:tab/>
        <w:t>konstatuje, že Účetní dvůr sice chválí zlepšení postupů přijímání zaměstnanců a zadávání veřejných zakázek v ústředním úřadu, ale u dvou ze sedmi škol, které přezkoumával (Frankfurt a Lucemburk I), zjistil nedostatky v těchto postupech; se znepokojením konstatuje, že Účetní dvůr opět zjistil nedostatky v platebních postupech jak u ústředního úřadu, tak u dvou kontrolovaných škol;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22</w:t>
      </w:r>
      <w:r w:rsidR="00487FB5" w:rsidRPr="007D7B32">
        <w:t>7</w:t>
      </w:r>
      <w:r w:rsidRPr="007D7B32">
        <w:t>.</w:t>
      </w:r>
      <w:r w:rsidRPr="007D7B32">
        <w:tab/>
        <w:t>připomíná, že Parlament ve svém usnesení ze dne 12. září 2023 o Systému evropských škol: současný stav, výzvy a perspektivy</w:t>
      </w:r>
      <w:r w:rsidRPr="007D7B32">
        <w:rPr>
          <w:rStyle w:val="FootnoteReference"/>
          <w:szCs w:val="24"/>
        </w:rPr>
        <w:footnoteReference w:id="80"/>
      </w:r>
      <w:r w:rsidRPr="007D7B32">
        <w:t xml:space="preserve"> zdůraznil, že současný systém náboru učitelů v systému Evropských škol (ESS) má vážné nedostatky, což vede k nesouladu mezi potřebami na místě a pracovníky skutečně vysílanými členskými státy, k problémům s ročními náborovými plány, obtížím při hledání kvalifikovaných učitelů a zaměstnanců, nejistým pracovním podmínkám místních učitelů a dalších pedagogických pracovníků a problémům s trvalým profesním rozvojem;</w:t>
      </w:r>
    </w:p>
    <w:p w:rsidR="00FA2D6B" w:rsidRPr="007D7B32" w:rsidRDefault="00FA2D6B" w:rsidP="005E7441">
      <w:pPr>
        <w:spacing w:after="240"/>
        <w:ind w:left="567" w:hanging="567"/>
        <w:rPr>
          <w:i/>
          <w:szCs w:val="24"/>
        </w:rPr>
      </w:pPr>
      <w:r w:rsidRPr="007D7B32">
        <w:rPr>
          <w:i/>
        </w:rPr>
        <w:t>Doporučení</w:t>
      </w:r>
    </w:p>
    <w:p w:rsidR="00FA2D6B" w:rsidRPr="007D7B32" w:rsidRDefault="00FA2D6B" w:rsidP="005E7441">
      <w:pPr>
        <w:tabs>
          <w:tab w:val="left" w:pos="665"/>
        </w:tabs>
        <w:spacing w:after="240"/>
        <w:ind w:left="567" w:hanging="567"/>
        <w:rPr>
          <w:szCs w:val="24"/>
        </w:rPr>
      </w:pPr>
      <w:r w:rsidRPr="007D7B32">
        <w:t>22</w:t>
      </w:r>
      <w:r w:rsidR="00487FB5" w:rsidRPr="007D7B32">
        <w:t>8</w:t>
      </w:r>
      <w:r w:rsidRPr="007D7B32">
        <w:t>.</w:t>
      </w:r>
      <w:r w:rsidRPr="007D7B32">
        <w:tab/>
        <w:t>vyzývá Komisi, aby:</w:t>
      </w:r>
    </w:p>
    <w:p w:rsidR="00FA2D6B" w:rsidRPr="007D7B32" w:rsidRDefault="00FA2D6B" w:rsidP="005E7441">
      <w:pPr>
        <w:tabs>
          <w:tab w:val="left" w:pos="665"/>
        </w:tabs>
        <w:spacing w:after="240"/>
        <w:ind w:left="1134" w:hanging="567"/>
      </w:pPr>
      <w:r w:rsidRPr="007D7B32">
        <w:t>i)</w:t>
      </w:r>
      <w:r w:rsidRPr="007D7B32">
        <w:tab/>
        <w:t>při zavádění nové strategie v oblasti lidských zdrojů, zejména pokud jde o osoby se zdravotním postižením, rovnocenně zohledňovala efektivní využívání kancelářských prostor a zdraví a pohodu zaměstnanců a při změnách pracovních podmínek řádně zapojovala zástupce zaměstnanců;</w:t>
      </w:r>
    </w:p>
    <w:p w:rsidR="00FA2D6B" w:rsidRPr="007D7B32" w:rsidRDefault="00FA2D6B" w:rsidP="005E7441">
      <w:pPr>
        <w:tabs>
          <w:tab w:val="left" w:pos="665"/>
        </w:tabs>
        <w:spacing w:after="240"/>
        <w:ind w:left="1134" w:hanging="567"/>
      </w:pPr>
      <w:proofErr w:type="spellStart"/>
      <w:r w:rsidRPr="007D7B32">
        <w:t>ii</w:t>
      </w:r>
      <w:proofErr w:type="spellEnd"/>
      <w:r w:rsidRPr="007D7B32">
        <w:t>)</w:t>
      </w:r>
      <w:r w:rsidRPr="007D7B32">
        <w:tab/>
        <w:t>zůstala ostražitá, pokud jde o prevenci, identifikaci a adekvátní řešení případů vyhoření v širším kontextu personálního zajištění, pracovní zátěže a pohody zaměstnanců;</w:t>
      </w:r>
    </w:p>
    <w:p w:rsidR="00FA2D6B" w:rsidRPr="007D7B32" w:rsidRDefault="00FA2D6B" w:rsidP="005E7441">
      <w:pPr>
        <w:tabs>
          <w:tab w:val="left" w:pos="665"/>
        </w:tabs>
        <w:spacing w:after="240"/>
        <w:ind w:left="1134" w:hanging="567"/>
      </w:pPr>
      <w:proofErr w:type="spellStart"/>
      <w:r w:rsidRPr="007D7B32">
        <w:t>iii</w:t>
      </w:r>
      <w:proofErr w:type="spellEnd"/>
      <w:r w:rsidRPr="007D7B32">
        <w:t>)</w:t>
      </w:r>
      <w:r w:rsidRPr="007D7B32">
        <w:tab/>
        <w:t>posílila opatření na podporu žen, které se snaží o kariéru ve vedení, aby se zvýšil počet žádostí vysoce kvalifikovaných žen o místa ve středním a vyšším managementu v Komisi i v agenturách Unie;</w:t>
      </w:r>
    </w:p>
    <w:p w:rsidR="00FA2D6B" w:rsidRPr="007D7B32" w:rsidRDefault="00FA2D6B" w:rsidP="005E7441">
      <w:pPr>
        <w:tabs>
          <w:tab w:val="left" w:pos="665"/>
        </w:tabs>
        <w:spacing w:after="240"/>
        <w:ind w:left="1134" w:hanging="567"/>
        <w:rPr>
          <w:spacing w:val="-6"/>
          <w:szCs w:val="24"/>
        </w:rPr>
      </w:pPr>
      <w:proofErr w:type="spellStart"/>
      <w:r w:rsidRPr="007D7B32">
        <w:t>iv</w:t>
      </w:r>
      <w:proofErr w:type="spellEnd"/>
      <w:r w:rsidRPr="007D7B32">
        <w:t>)</w:t>
      </w:r>
      <w:r w:rsidRPr="007D7B32">
        <w:tab/>
        <w:t>pokračovala v práci, jejímž cílem je posílit mezi zaměstnanci na všech úrovních zeměpisnou vyváženost, a současně plnila požadavky služebního řádu týkající se schopností a zásluh kandidátů;</w:t>
      </w:r>
    </w:p>
    <w:p w:rsidR="00FA2D6B" w:rsidRPr="007D7B32" w:rsidRDefault="00FA2D6B" w:rsidP="005E7441">
      <w:pPr>
        <w:pStyle w:val="NormalHanging12a"/>
        <w:ind w:left="1134"/>
      </w:pPr>
      <w:r w:rsidRPr="007D7B32">
        <w:t>v)</w:t>
      </w:r>
      <w:r w:rsidRPr="007D7B32">
        <w:tab/>
        <w:t>bez dalšího odkladu a účinným způsobem řešila problémy, s nimiž se potýkají zaměstnanci, kteří jsou přiděleni do Lucemburska a mají v této zemi bydliště;</w:t>
      </w:r>
    </w:p>
    <w:p w:rsidR="00FA2D6B" w:rsidRPr="007D7B32" w:rsidRDefault="00FA2D6B" w:rsidP="005E7441">
      <w:pPr>
        <w:tabs>
          <w:tab w:val="left" w:pos="665"/>
        </w:tabs>
        <w:spacing w:after="240"/>
        <w:ind w:left="1134" w:hanging="567"/>
        <w:rPr>
          <w:spacing w:val="-6"/>
          <w:szCs w:val="24"/>
        </w:rPr>
      </w:pPr>
      <w:proofErr w:type="spellStart"/>
      <w:r w:rsidRPr="007D7B32">
        <w:lastRenderedPageBreak/>
        <w:t>vi</w:t>
      </w:r>
      <w:proofErr w:type="spellEnd"/>
      <w:r w:rsidRPr="007D7B32">
        <w:t>)</w:t>
      </w:r>
      <w:r w:rsidRPr="007D7B32">
        <w:tab/>
        <w:t>prováděla odpovídající investice do budování kapacit a zdrojů informačních technologií pro úřad EPSO, aby se zvýšila jeho účinnost a účelnost a zejména aby zajišťoval optimální podmínky pro testování v budoucích výběrových řízeních; a</w:t>
      </w:r>
    </w:p>
    <w:p w:rsidR="00FA2D6B" w:rsidRPr="007D7B32" w:rsidRDefault="00FA2D6B" w:rsidP="005E7441">
      <w:pPr>
        <w:tabs>
          <w:tab w:val="left" w:pos="665"/>
        </w:tabs>
        <w:spacing w:after="240"/>
        <w:ind w:left="1134" w:hanging="567"/>
        <w:rPr>
          <w:spacing w:val="-6"/>
          <w:szCs w:val="24"/>
        </w:rPr>
      </w:pPr>
      <w:proofErr w:type="spellStart"/>
      <w:r w:rsidRPr="007D7B32">
        <w:t>vii</w:t>
      </w:r>
      <w:proofErr w:type="spellEnd"/>
      <w:r w:rsidRPr="007D7B32">
        <w:t>)</w:t>
      </w:r>
      <w:r w:rsidRPr="007D7B32">
        <w:tab/>
        <w:t>zajistila lepší a přísnější přístup k řízení rizik v souvislosti s připraveností na zavedení systému SUMMA a zabránila významným rizikům dočasného narušení, dokud nebude nový účetní systém plně funkční;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viii</w:t>
      </w:r>
      <w:proofErr w:type="spellEnd"/>
      <w:r w:rsidRPr="007D7B32">
        <w:t>)</w:t>
      </w:r>
      <w:r w:rsidR="0097382E" w:rsidRPr="007D7B32">
        <w:tab/>
      </w:r>
      <w:r w:rsidRPr="007D7B32">
        <w:t>reagovala na doporučení evropské veřejné ochránkyně práv ve věci 1316/2021/MIG a zajistila, aby její interní pokyny pro registraci dokumentů byly v souladu s nařízením (ES) č. 1049/2001</w:t>
      </w:r>
      <w:r w:rsidRPr="007D7B32">
        <w:rPr>
          <w:rStyle w:val="FootnoteReference"/>
        </w:rPr>
        <w:footnoteReference w:id="81"/>
      </w:r>
      <w:r w:rsidRPr="007D7B32">
        <w:t xml:space="preserve">; </w:t>
      </w:r>
    </w:p>
    <w:p w:rsidR="00FA2D6B" w:rsidRPr="007D7B32" w:rsidRDefault="00FA2D6B" w:rsidP="005E7441">
      <w:pPr>
        <w:pStyle w:val="NormalHanging12a"/>
      </w:pPr>
      <w:r w:rsidRPr="007D7B32">
        <w:t>22</w:t>
      </w:r>
      <w:r w:rsidR="00487FB5" w:rsidRPr="007D7B32">
        <w:t>9</w:t>
      </w:r>
      <w:r w:rsidRPr="007D7B32">
        <w:t>.</w:t>
      </w:r>
      <w:r w:rsidRPr="007D7B32">
        <w:tab/>
        <w:t>dále vyzývá Komisi, aby nadále podporovala evropské školy, aby:</w:t>
      </w:r>
    </w:p>
    <w:p w:rsidR="00FA2D6B" w:rsidRPr="007D7B32" w:rsidRDefault="00FA2D6B" w:rsidP="005E7441">
      <w:pPr>
        <w:tabs>
          <w:tab w:val="left" w:pos="665"/>
        </w:tabs>
        <w:spacing w:after="240"/>
        <w:ind w:left="1134" w:hanging="567"/>
        <w:rPr>
          <w:spacing w:val="-6"/>
          <w:szCs w:val="24"/>
        </w:rPr>
      </w:pPr>
      <w:r w:rsidRPr="007D7B32">
        <w:t>i)</w:t>
      </w:r>
      <w:r w:rsidRPr="007D7B32">
        <w:tab/>
        <w:t>neprodleně provedly doporučení Účetního dvora obsažená v jeho zprávě o ověření účetní závěrky Evropských škol za rozpočtový rok 2022 a průběžně informovaly orgán příslušný k udělení absolutoria o dosaženém pokroku;</w:t>
      </w:r>
    </w:p>
    <w:p w:rsidR="00FA2D6B" w:rsidRPr="007D7B32" w:rsidRDefault="00FA2D6B" w:rsidP="005E7441">
      <w:pPr>
        <w:tabs>
          <w:tab w:val="left" w:pos="665"/>
        </w:tabs>
        <w:spacing w:after="240"/>
        <w:ind w:left="1134" w:hanging="567"/>
        <w:rPr>
          <w:spacing w:val="-6"/>
          <w:szCs w:val="24"/>
        </w:rPr>
      </w:pPr>
      <w:proofErr w:type="spellStart"/>
      <w:r w:rsidRPr="007D7B32">
        <w:t>ii</w:t>
      </w:r>
      <w:proofErr w:type="spellEnd"/>
      <w:r w:rsidRPr="007D7B32">
        <w:t>)</w:t>
      </w:r>
      <w:r w:rsidRPr="007D7B32">
        <w:tab/>
        <w:t>urychleně vyřešily přetrvávající nedostatek učitelů a zajistily stabilní a spravedlivou situaci v oblasti zaměstnanosti pro všechny tím, že si udrží zaměstnance a sníží fluktuaci, čímž také zabrání odlivu mozků; a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iii</w:t>
      </w:r>
      <w:proofErr w:type="spellEnd"/>
      <w:r w:rsidRPr="007D7B32">
        <w:t>)</w:t>
      </w:r>
      <w:r w:rsidRPr="007D7B32">
        <w:tab/>
        <w:t>pod nezávislým předsedou provedly hloubkový přezkum správních a řídicích struktur v rámci systému evropských škol a zapojily Generální ředitelství Komise pro vzdělávání, mládež, sport a kulturu;</w:t>
      </w:r>
    </w:p>
    <w:p w:rsidR="00FA2D6B" w:rsidRPr="007D7B32" w:rsidRDefault="00FA2D6B" w:rsidP="005E7441">
      <w:pPr>
        <w:widowControl/>
        <w:spacing w:after="240"/>
        <w:rPr>
          <w:rStyle w:val="normaltextrun"/>
          <w:b/>
          <w:bCs/>
        </w:rPr>
      </w:pPr>
      <w:r w:rsidRPr="007D7B32">
        <w:br w:type="page"/>
      </w:r>
    </w:p>
    <w:p w:rsidR="00FA2D6B" w:rsidRPr="007D7B32" w:rsidRDefault="00FA2D6B" w:rsidP="005E7441">
      <w:pPr>
        <w:pStyle w:val="PageSubHeading"/>
        <w:spacing w:after="240"/>
      </w:pPr>
      <w:bookmarkStart w:id="2642" w:name="_Toc162944553"/>
      <w:bookmarkStart w:id="2643" w:name="_Toc163036812"/>
      <w:r w:rsidRPr="007D7B32">
        <w:rPr>
          <w:rStyle w:val="normaltextrun"/>
        </w:rPr>
        <w:lastRenderedPageBreak/>
        <w:t>KAPITOLA II – Nástroj pro oživení a odolnost (RRF)</w:t>
      </w:r>
      <w:bookmarkEnd w:id="2642"/>
      <w:bookmarkEnd w:id="2643"/>
    </w:p>
    <w:p w:rsidR="00FA2D6B" w:rsidRPr="007D7B32" w:rsidRDefault="00FA2D6B" w:rsidP="005E7441">
      <w:pPr>
        <w:pStyle w:val="paragraph"/>
        <w:spacing w:before="0" w:beforeAutospacing="0" w:after="240" w:afterAutospacing="0"/>
        <w:ind w:left="567" w:hanging="567"/>
        <w:textAlignment w:val="baseline"/>
      </w:pPr>
      <w:r w:rsidRPr="007D7B32">
        <w:rPr>
          <w:rStyle w:val="normaltextrun"/>
          <w:i/>
          <w:shd w:val="clear" w:color="auto" w:fill="FFFFFF"/>
        </w:rPr>
        <w:t>Obecné připomínky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t>2</w:t>
      </w:r>
      <w:r w:rsidR="00487FB5" w:rsidRPr="007D7B32">
        <w:t>30</w:t>
      </w:r>
      <w:r w:rsidRPr="007D7B32">
        <w:t>.</w:t>
      </w:r>
      <w:r w:rsidRPr="007D7B32">
        <w:tab/>
        <w:t>připomíná, že vypuknutí pandemie COVID-19 v roce 2020 náhle změnilo hospodářské a sociální vyhlídky Unie a vedlo k jednotnému úsilí o spuštění balíčku na oživení Evropy, který se skládá z VFR na období 2021–2027 a NGEU, jehož základním kamenem je Nástroj pro oživení a odolnost; připomíná, že cílem Nástroje pro oživení a odolnost je poskytnout členským státům finanční podporu na zmírnění závažných hospodářských a sociálních dopadů pandemie COVID-19 a na to, aby evropské ekonomiky a společnosti byly udržitelnější, odolnější, inkluzivnější a lépe připravené na výzvy a příležitosti ekologické a digitální transformace; připomíná, že Nástroj pro oživení a odolnost je inovativní, dočasný nástroj založený na výkonnosti, což znamená, že platby jsou vázány na uspokojivé plnění milníků a cílů, které odrážejí pokrok v reformách a investicích zahrnutých do národních plánů pro oživení a odolnost, jež jsou stanoveny v prováděcím rozhodnutí Rady;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t>2</w:t>
      </w:r>
      <w:r w:rsidR="00487FB5" w:rsidRPr="007D7B32">
        <w:t>31</w:t>
      </w:r>
      <w:r w:rsidRPr="007D7B32">
        <w:t>.</w:t>
      </w:r>
      <w:r w:rsidRPr="007D7B32">
        <w:tab/>
        <w:t>konstatuje, že do konce roku 2022 bylo přijato všech 27 národních plánů pro oživení a odolnost, na něž bylo přiděleno 335,1 miliardy EUR v grantech a 165,3 miliardy EUR v půjčkách, které budou vyplaceny po splnění 2 557 opatření (z nichž přibližně jedna třetina se týká reforem a dvě třetiny investic) a s nimi souvisejících 6 237 milníků a cílů do roku 2026; konstatuje, že v roce 2022 Komise vyplatila včetně předběžného financování celkem 74,4 miliardy EUR (47,2 miliardy EUR v grantech a 27,2 miliardy EUR v půjčkách);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t>2</w:t>
      </w:r>
      <w:r w:rsidR="00487FB5" w:rsidRPr="007D7B32">
        <w:t>32</w:t>
      </w:r>
      <w:r w:rsidRPr="007D7B32">
        <w:t>.</w:t>
      </w:r>
      <w:r w:rsidRPr="007D7B32">
        <w:tab/>
        <w:t xml:space="preserve">konstatuje, že plán </w:t>
      </w:r>
      <w:proofErr w:type="spellStart"/>
      <w:r w:rsidRPr="007D7B32">
        <w:t>REPowerEU</w:t>
      </w:r>
      <w:proofErr w:type="spellEnd"/>
      <w:r w:rsidRPr="007D7B32">
        <w:t xml:space="preserve"> byl zahájen v květnu 2022 s cílem pomoci Unii snížit její závislost na ruských fosilních palivech prostřednictvím úspor energie, výroby čisté energie a diverzifikace dodávek energie, což je v souladu s ekologickou transformací; bere na vědomí, že změny zavedené do nařízení (EU) 2021/241 (dále jen „nařízení o Nástroji pro oživení a odolnost“)</w:t>
      </w:r>
      <w:r w:rsidRPr="007D7B32">
        <w:rPr>
          <w:rStyle w:val="FootnoteReference"/>
        </w:rPr>
        <w:footnoteReference w:id="82"/>
      </w:r>
      <w:r w:rsidRPr="007D7B32">
        <w:t xml:space="preserve"> nařízením (EU) 2023/435 o plánu </w:t>
      </w:r>
      <w:proofErr w:type="spellStart"/>
      <w:r w:rsidRPr="007D7B32">
        <w:t>REPowerEU</w:t>
      </w:r>
      <w:proofErr w:type="spellEnd"/>
      <w:r w:rsidRPr="007D7B32">
        <w:rPr>
          <w:rStyle w:val="FootnoteReference"/>
        </w:rPr>
        <w:footnoteReference w:id="83"/>
      </w:r>
      <w:r w:rsidRPr="007D7B32">
        <w:t xml:space="preserve"> doplnily Nástroj pro oživení a odolnost o další financování a priority; konstatuje, že všech 27 členských států předložilo upravené národní plány pro oživení a odolnost, aby do nich zahrnuly kapitoly </w:t>
      </w:r>
      <w:proofErr w:type="spellStart"/>
      <w:r w:rsidRPr="007D7B32">
        <w:t>REPowerEU</w:t>
      </w:r>
      <w:proofErr w:type="spellEnd"/>
      <w:r w:rsidRPr="007D7B32">
        <w:t xml:space="preserve">, ale také aby požádaly o dodatečnou úvěrovou podporu, provedly úpravy v návaznosti na aktualizaci maximálního finančního příspěvku nebo provedly změny v důsledku objektivních okolností, jak to umožňuje nařízení o Nástroji pro oživení a odolnost; bere na vědomí, že revidované národní plány pro oživení a odolnost podléhají stejným kritériím hodnocení jako původní plány spolu se specifickými požadavky platnými pro kapitoly </w:t>
      </w:r>
      <w:proofErr w:type="spellStart"/>
      <w:r w:rsidRPr="007D7B32">
        <w:t>REPowerEU</w:t>
      </w:r>
      <w:proofErr w:type="spellEnd"/>
      <w:r w:rsidRPr="007D7B32">
        <w:t>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487FB5" w:rsidRPr="007D7B32">
        <w:t>33</w:t>
      </w:r>
      <w:r w:rsidRPr="007D7B32">
        <w:t>.</w:t>
      </w:r>
      <w:r w:rsidRPr="007D7B32">
        <w:tab/>
        <w:t xml:space="preserve">připomíná, že v rámci NGEU může Komise v období od poloviny roku 2021 do roku 2026 získat prostřednictvím emise dluhopisů Unie až 806,9 miliardy EUR; konstatuje, že v červnu 2022 Komise oznámila plán financování na období od června do konce prosince 2022 a získala dalších 50 miliard EUR v rámci dlouhodobého financování NGEU, které doplnila emisemi krátkodobých dluhopisů EU, čímž celková nesplacená </w:t>
      </w:r>
      <w:r w:rsidRPr="007D7B32">
        <w:lastRenderedPageBreak/>
        <w:t>částka dluhopisů NGEU dosáhla 171 miliard EUR, z čehož 36,5 miliardy EUR bylo získáno vydáním zelených dluhopisů; konstatuje, že tento dluh se skládá z vypůjčených částek s různou splatností v rozmezí od jednoho roku do více než 25 let; konstatuje, že splácení dluhu NGEU začne až po roce 2028;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487FB5" w:rsidRPr="007D7B32">
        <w:t>34</w:t>
      </w:r>
      <w:r w:rsidRPr="007D7B32">
        <w:t>.</w:t>
      </w:r>
      <w:r w:rsidRPr="007D7B32">
        <w:tab/>
        <w:t>bere na vědomí úspěšné snahy Komise o získání finančních prostředků na finančních trzích s cílem zajistit finanční prostředky pro Nástroj pro oživení a odolnost; konstatuje, že v roce 2020 byla ve VFR na období 2021–2027 plánována částka 14,9 miliardy EUR na pokrytí úrokových plateb za nevratnou podporu NGEU; je znepokojen dopadem vyšších úrokových sazeb na kupní sílu rozpočtu Unie, neboť úrokové sazby desetiletých dluhopisů EU se zvýší z 0,09 % v roce 2021 na 3,2 % v roce 2023; konstatuje, že výpůjční náklady Komise s ratingem AAA jsou vyšší než v případě některých členských států s nižším ratingem; konstatuje, že vypůjčené částky je třeba splácet a výpůjční činnosti jsou i nadále zapotřebí nejen k získání nových finančních prostředků, ale také k nahrazení stávajícího dluhu; je znepokojen rostoucími úrokovými sazbami, zejména v roce 2022, a výslednými dluhy a nejistou schopností splácet úvěry, a to s ohledem na velký objem peněz, které si Komise půjčuje na financování Nástroje pro oživení a odolnost; konstatuje však, že dluh je v současnosti o 90 miliard EUR nižší, než se původně předpokládalo; bere na vědomí dlouhodobý plán Komise týkající se splácení dluhu a vyzývá Komisi, aby jej pravidelně aktualizovala a informovala orgán příslušný k udělení absolutoria o veškerých nových rizicích, která by mohla ovlivnit jeho provádění; bere na vědomí prohlášení Komise, že Unie za všech okolností splní své závazky vůči držitelům dluhopisů, a její návrh na technickou úpravu VFR s cílem optimalizovat rozpočtové zacházení s výpůjčními náklady NGEU; konstatuje, že informace o dluhu EU a plánovaném splácení jsou součástí pravidelného podávání zpráv v rámci dialogu o NGEU; žádá Komisi, aby Evropskému parlamentu nadále poskytovala více informací o tom, jak bude probíhat splácení a od kterých institucí jsou půjčovány finanční prostředky; zdůrazňuje, že tento dluh zatěžuje rozpočet EU;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487FB5" w:rsidRPr="007D7B32">
        <w:t>35</w:t>
      </w:r>
      <w:r w:rsidRPr="007D7B32">
        <w:t>.</w:t>
      </w:r>
      <w:r w:rsidRPr="007D7B32">
        <w:tab/>
        <w:t>vítá odhad Komise, že plné provedení kvantifikovatelných milníků a cílů do konce roku 2026 financovaných ze zelených dluhopisů NGEU, které odpovídají 57 % způsobilých výdajů na zelené dluhopisy NGEU, může snížit emise skleníkových plynů o 44 milionů tun CO2 ročně, což odpovídá 1,2 % celkových emisí skleníkových plynů v Unii v roce 2022, a trvá na řádném provádění; dále zdůrazňuje, že je důležité, aby reformy a investice v rámci plánů na podporu oživení a odolnosti splňovaly cíle nařízení v oblasti klimatu a plně dodržovaly zásadu „významně nepoškozovat“;</w:t>
      </w:r>
    </w:p>
    <w:p w:rsidR="00FA2D6B" w:rsidRPr="007D7B32" w:rsidRDefault="00FA2D6B" w:rsidP="005E7441">
      <w:pPr>
        <w:spacing w:after="240"/>
        <w:ind w:left="567" w:hanging="567"/>
        <w:rPr>
          <w:i/>
        </w:rPr>
      </w:pPr>
      <w:r w:rsidRPr="007D7B32">
        <w:rPr>
          <w:i/>
        </w:rPr>
        <w:t>Připomínky Účetního dvora</w:t>
      </w:r>
    </w:p>
    <w:p w:rsidR="00FA2D6B" w:rsidRPr="007D7B32" w:rsidRDefault="00FA2D6B" w:rsidP="005E7441">
      <w:pPr>
        <w:pStyle w:val="NormalHanging12a"/>
      </w:pPr>
      <w:r w:rsidRPr="007D7B32">
        <w:t>23</w:t>
      </w:r>
      <w:r w:rsidR="00487FB5" w:rsidRPr="007D7B32">
        <w:t>6</w:t>
      </w:r>
      <w:r w:rsidRPr="007D7B32">
        <w:t>.</w:t>
      </w:r>
      <w:r w:rsidRPr="007D7B32">
        <w:tab/>
        <w:t>konstatuje, že Účetní dvůr vydal výrok s výhradou o legalitě a správnosti výdajů Nástroje pro oživení a odolnost v roce 2022; je znepokojen tím, že Účetní dvůr došel k závěru, že 11 ze 13 plateb z Nástroje pro oživení a odolnost provedených v roce 2022 bylo ovlivněno kvantitativními zjištěními a že 6 z těchto plateb bylo zatíženo významnou (materiální) mírou chyb; konstatuje, že podle názoru Účetního dvora jsou s výjimkou těchto záležitostí výdaje z Nástroje pro oživení a odolnost schválené v účetní závěrce za rok 2022 ve všech významných (materiálních) ohledech legální a správné; poznamenává, že povaha modelu výdajů Nástroje pro oživení a odolnost závisí na posouzeních, která má provádět Komise, a proto Účetní dvůr neuvádí míru chybovosti, ale odhaduje minimální finanční dopad svých zjištění pod prahem významnosti, avšak blízko němu;</w:t>
      </w:r>
    </w:p>
    <w:p w:rsidR="00FA2D6B" w:rsidRPr="007D7B32" w:rsidRDefault="00FA2D6B" w:rsidP="005E7441">
      <w:pPr>
        <w:pStyle w:val="NormalHanging12a"/>
      </w:pPr>
      <w:r w:rsidRPr="007D7B32">
        <w:lastRenderedPageBreak/>
        <w:t>23</w:t>
      </w:r>
      <w:r w:rsidR="00487FB5" w:rsidRPr="007D7B32">
        <w:t>7</w:t>
      </w:r>
      <w:r w:rsidRPr="007D7B32">
        <w:t>.</w:t>
      </w:r>
      <w:r w:rsidRPr="007D7B32">
        <w:tab/>
        <w:t>konstatuje, že Účetní dvůr zkontroloval 244 z 274 milníků a všech 37 cílů zahrnutých do žádostí o platbu v roce 2022 u grantů; lituje, že Účetní dvůr se domnívá, že 15 z nich bylo ovlivněno problémy se správností (méně než 5 % z celkového počtu); konstatuje, že Účetní dvůr má za to, že požadavky nebyly uspokojivě splněny u 8 milníků a cílů v 8 platbách a že Komise provedla odpovídající platby; konstatuje, že závěry Účetního dvora vycházejí z rozsáhlé auditní práce a že Komise zpochybňuje výklad Účetního dvora týkající se právních požadavků stanovených Radou nebo kvalitativní posouzení odlišná od posouzení Komise; konstatuje, že všechny platby Nástroje pro oživení a odolnost musí být posouzeny na základě rámce, který Komise sdělila a uplatňuje, přičemž u každé platby musí zohlednit stanovisko Hospodářského a finančního výboru a kontrolu odborníky z členských států v rámci postupu projednávání ve výborech;</w:t>
      </w:r>
    </w:p>
    <w:p w:rsidR="00FA2D6B" w:rsidRPr="007D7B32" w:rsidRDefault="00FA2D6B" w:rsidP="005E7441">
      <w:pPr>
        <w:pStyle w:val="NormalHanging12a"/>
      </w:pPr>
      <w:r w:rsidRPr="007D7B32">
        <w:t>23</w:t>
      </w:r>
      <w:r w:rsidR="00487FB5" w:rsidRPr="007D7B32">
        <w:t>8</w:t>
      </w:r>
      <w:r w:rsidRPr="007D7B32">
        <w:t>.</w:t>
      </w:r>
      <w:r w:rsidRPr="007D7B32">
        <w:tab/>
        <w:t>konstatuje, že Účetní dvůr určil, co považuje za dva případy pokračování již existujícího projektu, který byl zahájen před obdobím způsobilosti, a cíle, které nahradily opakující se vnitrostátní rozpočtové výdaje; je znepokojen takovými situacemi, ačkoli tento závěr nesouhlasí s názorem Účetního dvora, že opakující se akce se týkají typů výdajů, jako jsou náklady na zaměstnance a provozní náklady vládních subjektů; připomíná, že Nástroj pro oživení a odolnost nemá být využíván k financování opakujících se rozpočtových výdajů, a požaduje, aby byla přijata vhodná opatření, včetně částečných plateb, pokud Komise zjistí takové případy;</w:t>
      </w:r>
    </w:p>
    <w:p w:rsidR="00FA2D6B" w:rsidRPr="007D7B32" w:rsidRDefault="00FA2D6B" w:rsidP="005E7441">
      <w:pPr>
        <w:pStyle w:val="NormalHanging12a"/>
      </w:pPr>
      <w:r w:rsidRPr="007D7B32">
        <w:t>23</w:t>
      </w:r>
      <w:r w:rsidR="00487FB5" w:rsidRPr="007D7B32">
        <w:t>9</w:t>
      </w:r>
      <w:r w:rsidRPr="007D7B32">
        <w:t>.</w:t>
      </w:r>
      <w:r w:rsidRPr="007D7B32">
        <w:tab/>
        <w:t>připomíná připomínku Účetního dvora ve zvláštní zprávě č. 21/2022 a jeho výroční zprávě za rok 2021, že milníky a cíle často nejsou jasné a nejsou dobře definovány, a že Účetní dvůr uvádí stejnou připomínku ve své výroční zprávě za rok 2022; vyzývá Komisi, aby při navrhování budoucích nástrojů založených na výkonnosti vycházela ze získaných zkušeností;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487FB5" w:rsidRPr="007D7B32">
        <w:t>40</w:t>
      </w:r>
      <w:r w:rsidRPr="007D7B32">
        <w:t>.</w:t>
      </w:r>
      <w:r w:rsidRPr="007D7B32">
        <w:tab/>
        <w:t>je znepokojen zjištěními Účetního dvora ve zvláštní zprávě č. 26/2023, že milníky a cíle se v jednotlivých členských státech liší, pokud jde o ambice, a domnívá se, že se jedná o další příklad, kdy Komise nezachází s členskými státy stejně; konstatuje, že Komise tyto rozdíly potvrdila a bude se snažit zlepšit rovné zacházení během prováděcí fáze; domnívá se, že s členskými státy by se mělo standardně zacházet stejně, a vyjadřuje politování nad tím, že tomu tak nebylo při jednáních o plánech pro oživení a odolnost; trvá na tom, že při hodnocení plnění milníků a cílů by mělo být zajištěno rovné zacházení;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487FB5" w:rsidRPr="007D7B32">
        <w:t>41</w:t>
      </w:r>
      <w:r w:rsidRPr="007D7B32">
        <w:t>.</w:t>
      </w:r>
      <w:r w:rsidRPr="007D7B32">
        <w:tab/>
        <w:t>se znepokojením konstatuje, že Účetní dvůr se domnívá, že v roce 2022 došlo k dvojímu financování, přestože s daným opatřením nejsou v rámci Nástroje pro oživení a odolnost spojeny žádné náklady; bere na vědomí připomínku Komise, že podle nařízení o Nástroji pro oživení a odolnost je „dvojí financování“ výslovně spojeno s náklady, a proto nemůže dojít k „dvojímu financování", pokud členský stát v rámci svého národního plánu nepředložil žádný odhad nákladů; konstatuje, že Komise zdůrazňuje, že beznákladové reformy nezvyšují finanční krytí, jsou však základním kritériem pro kladné hodnocení plánů pro oživení a odolnost ze strany Komise, stejně jako je jejich plné provedení základním kritériem pro příslušné platby;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487FB5" w:rsidRPr="007D7B32">
        <w:t>42</w:t>
      </w:r>
      <w:r w:rsidRPr="007D7B32">
        <w:t>.</w:t>
      </w:r>
      <w:r w:rsidRPr="007D7B32">
        <w:tab/>
        <w:t xml:space="preserve">se znepokojením konstatuje, že Účetní dvůr rovněž zjistil několik případů nedostatečné koncepce milníků a cílů a problémy se spolehlivostí informací, které členské státy uvedly ve svých prohlášeních o řízení; konstatuje, že Komise souhlasí s přezkumem milníků a cílů za předpokladu, že existuje právní důvod pro změnu prvků prováděcího rozhodnutí Rady, tj. že členský stát předloží pozměněný plán a právní </w:t>
      </w:r>
      <w:r w:rsidRPr="007D7B32">
        <w:lastRenderedPageBreak/>
        <w:t>základ odůvodňující změny;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487FB5" w:rsidRPr="007D7B32">
        <w:t>43</w:t>
      </w:r>
      <w:r w:rsidRPr="007D7B32">
        <w:t>.</w:t>
      </w:r>
      <w:r w:rsidRPr="007D7B32">
        <w:tab/>
        <w:t>zdůrazňuje, že do konce roku 2022 nahlásila Komise úřadu OLAF 6 případů možných nesrovnalostí zjištěných při následných auditech nebo z otevřených zdrojů v souvislosti s akcemi podporovanými z Nástroje pro oživení a odolnost; vítá, že v roce 2022 úřad OLAF rozšířil rámec rizik pro Nástroj pro oživení a odolnost a poskytl více než 50 školení zaměřených na zvyšování povědomí o podvodech pro útvary Komise, agentury a další externí partnery, včetně orgánů členských států;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487FB5" w:rsidRPr="007D7B32">
        <w:t>44</w:t>
      </w:r>
      <w:r w:rsidRPr="007D7B32">
        <w:t>.</w:t>
      </w:r>
      <w:r w:rsidRPr="007D7B32">
        <w:tab/>
        <w:t>zdůrazňuje, že ochrana finančních zájmů Unie je hlavní prioritou a že přesnější provádění a monitorování výkonnosti pomůže předcházet podvodům a omezovat je v raných fázích; zdůrazňuje, že zejména milníky a cíle související s právním státem a bojem proti korupci mají zásadní význam jako překážky, které brání korupci jednotlivců, organizací, vlád nebo vzniku zločineckých systémů; vyzývá Komisi, aby pozorně sledovala plnění milníků a cílů v oblasti právního státu a boje proti korupci a podávala zprávy o možných zrušeních;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487FB5" w:rsidRPr="007D7B32">
        <w:t>45</w:t>
      </w:r>
      <w:r w:rsidRPr="007D7B32">
        <w:t>.</w:t>
      </w:r>
      <w:r w:rsidRPr="007D7B32">
        <w:tab/>
        <w:t>vyjadřuje znepokojení nad zjištěním Účetního dvora, že oznamování podvodů týkajících se výdajů v rámci Nástroje pro oživení a odolnost postrádá standardizovaný přístup s důslednou koordinací a spoluprací členských států; vítá skutečnost, že Komise již upravila systém pro řízení nesrovnalostí tak, aby jej mohly příslušné vnitrostátní orgány používat pro účely Nástroje pro oživení a odolnost; vybízí Komisi, Úřad evropského veřejného žalobce a další příslušné subjekty na úrovni Unie a vnitrostátní úrovni, aby se zapojily do strukturované spolupráce s cílem identifikovat v souladu se svými příslušnými pravomocemi případy a možné vzorce podvodů a trestných činů proti finančním zájmům Unie a podávat o nich zprávy s cílem lépe chránit peníze daňových poplatníků; žádá členské státy, aby posílily své kapacity pro odhalování trestných činů v této oblasti;</w:t>
      </w:r>
    </w:p>
    <w:p w:rsidR="00FA2D6B" w:rsidRPr="007D7B32" w:rsidRDefault="00FA2D6B" w:rsidP="005E7441">
      <w:pPr>
        <w:pStyle w:val="NormalHanging12a"/>
      </w:pPr>
      <w:r w:rsidRPr="007D7B32">
        <w:t>24</w:t>
      </w:r>
      <w:r w:rsidR="00487FB5" w:rsidRPr="007D7B32">
        <w:t>6</w:t>
      </w:r>
      <w:r w:rsidRPr="007D7B32">
        <w:t>.</w:t>
      </w:r>
      <w:r w:rsidRPr="007D7B32">
        <w:tab/>
        <w:t xml:space="preserve">vítá úsilí odvedené v rámci systematické a komplexní auditní činnosti Účetního dvora týkající se Nástroje pro oživení a odolnost s důrazem na ochranu finančních zájmů Unie, která poskytuje důkladnou analýzu příslušných aspektů tohoto nástroje a cenný vhled do jeho provádění; s uspokojením bere na vědomí, že Komise obecně přijímá a uplatňuje doporučení Účetního dvora, a uznává, že mnohé z problémů, které Účetní dvůr identifikoval, se týkají právního základu Nástroje pro oživení a odolnost; domnívá se, že doporučení Účetního dvora vyplývající z jeho auditu Nástroje pro oživení a odolnost jsou pro </w:t>
      </w:r>
      <w:proofErr w:type="spellStart"/>
      <w:r w:rsidRPr="007D7B32">
        <w:t>spolunormotvůrce</w:t>
      </w:r>
      <w:proofErr w:type="spellEnd"/>
      <w:r w:rsidRPr="007D7B32">
        <w:t xml:space="preserve"> zvláště důležitá, pokud jde o budoucí nástroje Unie pro financování založené na výkonnosti;</w:t>
      </w:r>
    </w:p>
    <w:p w:rsidR="00FA2D6B" w:rsidRPr="007D7B32" w:rsidRDefault="00FA2D6B" w:rsidP="005E7441">
      <w:pPr>
        <w:pStyle w:val="NormalHanging12a"/>
      </w:pPr>
      <w:r w:rsidRPr="007D7B32">
        <w:t>24</w:t>
      </w:r>
      <w:r w:rsidR="00487FB5" w:rsidRPr="007D7B32">
        <w:t>7</w:t>
      </w:r>
      <w:r w:rsidRPr="007D7B32">
        <w:t>.</w:t>
      </w:r>
      <w:r w:rsidRPr="007D7B32">
        <w:tab/>
        <w:t>zdůrazňuje skutečnost, že Nástroj pro oživení a odolnost byl zřízen jako společný nástroj Unie ke zmírnění vážného hospodářského a sociálního dopadu pandemie COVID-19 a k tomu, aby se evropské ekonomiky a společnosti staly udržitelnějšími, odolnějšími, inkluzivnějšími a lépe připravenými na výzvy a příležitosti ekologické a digitální transformace, a jeho finanční prostředky tudíž nelze chápat jako vlastní rozpočtové zdroje členských států; zdůrazňuje klíčovou úlohu Účetního dvora a Komise v jejich proaktivních kontrolách ex ante a ex post při zajišťování toho, aby byly finanční prostředky vynakládány účinně s uspokojivým plněním milníků a cílů;</w:t>
      </w:r>
    </w:p>
    <w:p w:rsidR="00FA2D6B" w:rsidRPr="007D7B32" w:rsidRDefault="00FA2D6B" w:rsidP="005E7441">
      <w:pPr>
        <w:spacing w:after="240"/>
        <w:ind w:left="567" w:hanging="567"/>
        <w:rPr>
          <w:i/>
        </w:rPr>
      </w:pPr>
      <w:r w:rsidRPr="007D7B32">
        <w:rPr>
          <w:i/>
        </w:rPr>
        <w:t>Audit a kontrola</w:t>
      </w:r>
    </w:p>
    <w:p w:rsidR="00FA2D6B" w:rsidRPr="007D7B32" w:rsidRDefault="00FA2D6B" w:rsidP="005E7441">
      <w:pPr>
        <w:pStyle w:val="NormalHanging12a"/>
      </w:pPr>
      <w:r w:rsidRPr="007D7B32">
        <w:t>24</w:t>
      </w:r>
      <w:r w:rsidR="00487FB5" w:rsidRPr="007D7B32">
        <w:t>8</w:t>
      </w:r>
      <w:r w:rsidRPr="007D7B32">
        <w:t>.</w:t>
      </w:r>
      <w:r w:rsidRPr="007D7B32">
        <w:tab/>
        <w:t xml:space="preserve">zdůrazňuje, že kontrolní rámec je přizpůsoben jedinečné povaze Nástroje pro oživení a </w:t>
      </w:r>
      <w:r w:rsidRPr="007D7B32">
        <w:lastRenderedPageBreak/>
        <w:t xml:space="preserve">odolnost a je postaven na dvou typech kontrol, a to i) na kontrolách Komise, které mají poskytnout přiměřenou jistotu ohledně legality a správnosti závazků a plateb na základě uspokojivého dosažení milníků a cílů stanovených v prováděcích rozhodnutích Rady, kterými se schvalují národní plány pro oživení a odolnost, a </w:t>
      </w:r>
      <w:proofErr w:type="spellStart"/>
      <w:r w:rsidRPr="007D7B32">
        <w:t>ii</w:t>
      </w:r>
      <w:proofErr w:type="spellEnd"/>
      <w:r w:rsidRPr="007D7B32">
        <w:t>) na kontrolách členských států, které mají zajistit odpovídající ochranu finančních zájmů Unie, jak je stanoveno v článku 22 nařízení o Nástroji pro oživení a odolnost;</w:t>
      </w:r>
    </w:p>
    <w:p w:rsidR="00FA2D6B" w:rsidRPr="007D7B32" w:rsidRDefault="00FA2D6B" w:rsidP="005E7441">
      <w:pPr>
        <w:pStyle w:val="NormalHanging12a"/>
      </w:pPr>
      <w:r w:rsidRPr="007D7B32">
        <w:t>24</w:t>
      </w:r>
      <w:r w:rsidR="00487FB5" w:rsidRPr="007D7B32">
        <w:t>9</w:t>
      </w:r>
      <w:r w:rsidRPr="007D7B32">
        <w:t>.</w:t>
      </w:r>
      <w:r w:rsidRPr="007D7B32">
        <w:tab/>
        <w:t xml:space="preserve">konstatuje, že Komise na základě doporučení Účetního dvora a získaných zkušeností předložila své metodiky i) posuzování uspokojivého plnění milníků a cílů, </w:t>
      </w:r>
      <w:proofErr w:type="spellStart"/>
      <w:r w:rsidRPr="007D7B32">
        <w:t>ii</w:t>
      </w:r>
      <w:proofErr w:type="spellEnd"/>
      <w:r w:rsidRPr="007D7B32">
        <w:t xml:space="preserve">) výpočtu pozastavených částek v případě nesplnění milníku nebo cíle a </w:t>
      </w:r>
      <w:proofErr w:type="spellStart"/>
      <w:r w:rsidRPr="007D7B32">
        <w:t>iii</w:t>
      </w:r>
      <w:proofErr w:type="spellEnd"/>
      <w:r w:rsidRPr="007D7B32">
        <w:t>) řešení možných situací, kdy byly milníky a cíle, které Komise původně vyhodnotila jako uspokojivě splněné, následně členským státem zrušeny;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487FB5" w:rsidRPr="007D7B32">
        <w:t>50</w:t>
      </w:r>
      <w:r w:rsidRPr="007D7B32">
        <w:t>.</w:t>
      </w:r>
      <w:r w:rsidRPr="007D7B32">
        <w:tab/>
        <w:t>konstatuje, že rámec pro posuzování milníků a cílů postrádá vysvětlení, mimo jiné důvody, proč by ověřovací mechanismus popsaný v operačním ujednání neměl být pro posouzení zohledněn; konstatuje, že definice „uspokojivého plnění“ příslušných milníků a cílů jsou stanoveny pomocí pojmů, jež postrádají jasnou definici a zahrnují možnost volného uvážení, jako je „minimální odchylka od požadavku“ nebo „přiměřené prodlevy“, a že metodika určení částečné platby neposkytuje vysvětlení hodnot zvolených jako koeficientů; žádá, aby byla poskytnuta další vysvětlení;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487FB5" w:rsidRPr="007D7B32">
        <w:t>51</w:t>
      </w:r>
      <w:r w:rsidRPr="007D7B32">
        <w:t>.</w:t>
      </w:r>
      <w:r w:rsidRPr="007D7B32">
        <w:tab/>
        <w:t>vyjadřuje znepokojení nad tím, že Komise je závislá na informacích poskytovaných členskými státy, a doporučuje aktivnější komunikaci s cílem proaktivně identifikovat jakékoli případné zrušení milníků a cílů; vítá, že Komise přijímá doporučení provést revizi svých postupů následných auditů za účelem ověření případného zrušení milníků a cílů po provedení platby, lituje však toho, že neplánuje žádné monitorování možných zrušení po roce 2026; je obzvláště znepokojen tím, že nařízení o Nástroji pro oživení a odolnost neobsahuje žádné právní ustanovení, které by se zabývalo zrušením milníků a cílů po posledním datu pro platby z Nástroje pro oživení a odolnost, a že metodika Komise v důsledku toho neposkytuje právní jasnost v případě, že dojde ke zrušení milníku nebo cíle po období provádění Nástroje pro oživení a odolnost, když byly všechny platby provedeny, zejména vzhledem k tomu, že některé důležité milníky a cíle obsažené v plánech pro oživení a odolnost budou pravděpodobně splněny v poslední části doby trvání Nástroje pro oživení a odolnost;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487FB5" w:rsidRPr="007D7B32">
        <w:t>52</w:t>
      </w:r>
      <w:r w:rsidRPr="007D7B32">
        <w:t>.</w:t>
      </w:r>
      <w:r w:rsidRPr="007D7B32">
        <w:tab/>
        <w:t>konstatuje, že dvanáct národních plánů pro oživení a odolnost obsahuje ve svých milnících a cílech reformy právního státu nebo protikorupční reformy; bere na vědomí nedávný případ možného zrušení dvou milníků týkajících se právního státu v jednom členském státě; zdůrazňuje, že je třeba, aby Komise věnovala více pozornosti možnému zrušení milníků a cílů v oblasti právního státu, neboť jsou obzvláště zranitelné vůči svévolným vládním rozhodnutím;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487FB5" w:rsidRPr="007D7B32">
        <w:t>53</w:t>
      </w:r>
      <w:r w:rsidRPr="007D7B32">
        <w:t>.</w:t>
      </w:r>
      <w:r w:rsidRPr="007D7B32">
        <w:tab/>
        <w:t xml:space="preserve">konstatuje, že Komise ověřila přiměřenost kontrolních systémů členských států jako předpoklad pro kladné posouzení plánů pro oživení a odolnost; konstatuje, že jako předpoklad pro první platby byly doplněny dodatečné konkrétní „kontrolní milníky“ do plánů pro oživení a odolnost 16 členských států, kde mezery či nedostatky vyžadovaly dodatečná opatření s cílem zajistit plnou přiměřenost systémů na ochranu finančních zájmů Unie; je znepokojen připomínkou Účetního dvora týkající se přetrvávajících nedostatků v kontrolních systémech členských států, které ohrožují řádné finanční řízení finančních prostředků z Nástroje pro oživení a odolnost, a naléhavě vyzývá Komisi a vnitrostátní orgány, aby je urychleně řešily; vítá, že Účetní dvůr nevznesl žádné otázky </w:t>
      </w:r>
      <w:r w:rsidRPr="007D7B32">
        <w:lastRenderedPageBreak/>
        <w:t>týkající se jejich uspokojivého plnění posuzovaného v průběhu roku 2022; bere na vědomí problémy se spolehlivostí informací poskytnutých členskými státy v prohlášeních řídících subjektů, což vyvolává pochybnosti o možnosti spolehnout se na ně při posuzování milníků a cílů; konstatuje, že Komise provedla 16 auditů systémů v roce 2022 a 14 v roce 2023, včetně toho, zda kontrolují soulad s pravidly Unie a vnitrostátními pravidly, takže do konce roku 2023 byly kontrolní systémy všech členských států alespoň jednou auditovány; chápe, že nařízení o Nástroji pro oživení a odolnost klade hlavní odpovědnost za zajištění dodržování vnitrostátních právních předpisů a právních předpisů Unie na členské státy, je však znepokojen připomínkou Účetního dvora týkající se nedostatku jistoty a odpovědnosti, pokud jde o dodržování předpisů, protože Komise neprovádí audity souladu investičních projektů financovaných z Nástroje pro oživení a odolnost; vyzývá k přiměřenému a rovnému uplatňování článku 22 nařízení o Nástroji pro oživení a odolnost na všechny členské státy a připomíná, že nesplnění milníků nebo cílů souvisejících s kontrolním systémem členského státu může vést k pozastavení celé splátky a všech budoucích splátek;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487FB5" w:rsidRPr="007D7B32">
        <w:t>54</w:t>
      </w:r>
      <w:r w:rsidRPr="007D7B32">
        <w:t>.</w:t>
      </w:r>
      <w:r w:rsidRPr="007D7B32">
        <w:tab/>
        <w:t>připomíná, že nařízení Rady (EU) 2017/1939 („nařízení o Úřadu evropského veřejného žalobce“)</w:t>
      </w:r>
      <w:r w:rsidRPr="007D7B32">
        <w:rPr>
          <w:rStyle w:val="FootnoteReference"/>
        </w:rPr>
        <w:footnoteReference w:id="84"/>
      </w:r>
      <w:r w:rsidRPr="007D7B32">
        <w:t xml:space="preserve"> stanoví, že Úřad evropského veřejného žalobce je příslušný ve vztahu k trestným činům poškozujícím nebo ohrožujícím finanční zájmy Unie, které jsou stanoveny ve směrnici (EU) 2017/1371</w:t>
      </w:r>
      <w:r w:rsidRPr="007D7B32">
        <w:rPr>
          <w:rStyle w:val="FootnoteReference"/>
        </w:rPr>
        <w:footnoteReference w:id="85"/>
      </w:r>
      <w:r w:rsidRPr="007D7B32">
        <w:t>, za podmínek stanovených v nařízení o Úřadu evropského veřejného žalobce a konkrétně v jeho kapitole IV;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F4225B" w:rsidRPr="007D7B32">
        <w:t>55</w:t>
      </w:r>
      <w:r w:rsidRPr="007D7B32">
        <w:t>.</w:t>
      </w:r>
      <w:r w:rsidRPr="007D7B32">
        <w:tab/>
        <w:t>vyjadřuje znepokojení nad případy oznámenými Úřadu evropského veřejného žalobce po prvním roce provádění Nástroje pro oživení a odolnost, konkrétně 15 aktivními případy uvedenými ve výroční zprávě úřadu za rok 2022; vyzývá Komisi, aby spolupracovala s úřadem OLAF a Úřadem evropského veřejného žalobce s cílem identifikovat vzorce podvodů, korupce a praní peněz souvisejících s Nástrojem pro oživení a odolnost, a dále vyzývá Komisi, aby v takových situacích jednala; vyzývá Komisi, aby vyvodila důsledky pro členské státy, v nichž dochází k příliš mnoha případům podvodů;</w:t>
      </w:r>
    </w:p>
    <w:p w:rsidR="00FA2D6B" w:rsidRPr="007D7B32" w:rsidRDefault="00FA2D6B" w:rsidP="005E7441">
      <w:pPr>
        <w:pStyle w:val="NormalHanging12a"/>
      </w:pPr>
      <w:r w:rsidRPr="007D7B32">
        <w:t>25</w:t>
      </w:r>
      <w:r w:rsidR="00F4225B" w:rsidRPr="007D7B32">
        <w:t>6</w:t>
      </w:r>
      <w:r w:rsidRPr="007D7B32">
        <w:t>.</w:t>
      </w:r>
      <w:r w:rsidRPr="007D7B32">
        <w:tab/>
        <w:t>se znepokojením konstatuje, že v jednom z členských států je zpochybňována pravomoc Úřadu evropského veřejného žalobce, pokud jde o vyšetřování 9 případů trestných činů zahrnujících finanční prostředky z Nástroje pro oživení a odolnost; konstatuje, že v jednom z těchto případů byl prostřednictvím předběžné otázky požádán o stanovisko Evropský soudní dvůr;</w:t>
      </w:r>
    </w:p>
    <w:p w:rsidR="00FA2D6B" w:rsidRPr="007D7B32" w:rsidRDefault="00FA2D6B" w:rsidP="005E7441">
      <w:pPr>
        <w:spacing w:after="240"/>
        <w:ind w:left="567" w:hanging="567"/>
        <w:rPr>
          <w:i/>
        </w:rPr>
      </w:pPr>
      <w:r w:rsidRPr="007D7B32">
        <w:rPr>
          <w:i/>
        </w:rPr>
        <w:t>Provádění a dopad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t>25</w:t>
      </w:r>
      <w:r w:rsidR="00F4225B" w:rsidRPr="007D7B32">
        <w:t>7</w:t>
      </w:r>
      <w:r w:rsidRPr="007D7B32">
        <w:t>.</w:t>
      </w:r>
      <w:r w:rsidRPr="007D7B32">
        <w:tab/>
        <w:t xml:space="preserve">konstatuje, že v roce 2022 Komise provedla 13 plateb 11 členským státům v celkové výši 72,2 miliardy EUR v návaznosti na uspokojivé splnění 366 milníků a cílů (328 milníků a 38 cílů); konstatuje, že ke dni zveřejnění druhé zprávy o provádění v září 2023 obdržela Komise 32 žádostí o platbu od 20 členských států a vyplatila celkovou částku 153,4 miliardy EUR (106,3 miliardy EUR v grantech a 47,1 miliardy EUR v </w:t>
      </w:r>
      <w:r w:rsidRPr="007D7B32">
        <w:lastRenderedPageBreak/>
        <w:t>půjčkách);</w:t>
      </w:r>
    </w:p>
    <w:p w:rsidR="00FA2D6B" w:rsidRPr="007D7B32" w:rsidRDefault="00FA2D6B" w:rsidP="005E7441">
      <w:pPr>
        <w:pStyle w:val="NormalHanging12a"/>
      </w:pPr>
      <w:r w:rsidRPr="007D7B32">
        <w:t>25</w:t>
      </w:r>
      <w:r w:rsidR="00F4225B" w:rsidRPr="007D7B32">
        <w:t>8</w:t>
      </w:r>
      <w:r w:rsidRPr="007D7B32">
        <w:t>.</w:t>
      </w:r>
      <w:r w:rsidRPr="007D7B32">
        <w:tab/>
        <w:t xml:space="preserve">konstatuje, že Komise uvádí, že dosažení milníků a cílů je v podstatě na dobré cestě poté, co se první rok fungování Nástroje pro oživení a odolnost zaměřil spíše na nezbytné reformy pro vytvoření rámce pro následné investiční projekty, které budou mít větší dopad; bere na vědomí, že Komise hlásí zpoždění oproti orientačnímu harmonogramu plateb, a to v důsledku procesu revize národních plánů pro oživení a odolnost v souvislosti s plánem </w:t>
      </w:r>
      <w:proofErr w:type="spellStart"/>
      <w:r w:rsidRPr="007D7B32">
        <w:t>REPowerEU</w:t>
      </w:r>
      <w:proofErr w:type="spellEnd"/>
      <w:r w:rsidRPr="007D7B32">
        <w:t xml:space="preserve"> a výzev, s nimiž se členské státy při provádění potýkají, jako jsou problémy se správní kapacitou, překážky v oblasti investic a důsledky ruské útočné války proti Ukrajině, včetně energetické krize, neočekávaných cenových šoků, nedostatku některých surovin a vysoké inflace;</w:t>
      </w:r>
    </w:p>
    <w:p w:rsidR="00FA2D6B" w:rsidRPr="007D7B32" w:rsidRDefault="00FA2D6B" w:rsidP="005E7441">
      <w:pPr>
        <w:pStyle w:val="NormalHanging12a"/>
      </w:pPr>
      <w:r w:rsidRPr="007D7B32">
        <w:t>25</w:t>
      </w:r>
      <w:r w:rsidR="00F4225B" w:rsidRPr="007D7B32">
        <w:t>9</w:t>
      </w:r>
      <w:r w:rsidRPr="007D7B32">
        <w:t>.</w:t>
      </w:r>
      <w:r w:rsidRPr="007D7B32">
        <w:tab/>
        <w:t>konstatuje, že členské státy mohou být administrativně přetíženy tím, že velké objemy finančních prostředků Nástroje pro oživení a odolnost a Fondu soudržnosti se převádějí současně, čímž dochází ke zpoždění provádění a potenciálně k ohrožení transparentnosti; bere na vědomí riziko dvojího financování z Nástroje pro oživení a odolnost a evropských strukturálních a investičních fondů a vybízí Komisi, aby aktivně prováděla kontroly, mimo jiné příslušných databází, a komunikovala s členskými státy o jejich administrativních kapacitách s cílem zajistit, aby k dvojímu financování nedocházelo;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F4225B" w:rsidRPr="007D7B32">
        <w:t>60</w:t>
      </w:r>
      <w:r w:rsidRPr="007D7B32">
        <w:t>.</w:t>
      </w:r>
      <w:r w:rsidRPr="007D7B32">
        <w:tab/>
        <w:t>konstatuje, že několik členských států navrhlo využívat finanční prostředky Nástroje pro oživení a odolnost prostřednictvím finančních nástrojů prováděných EIB a dalšími vnitrostátními investičními bankami s cílem podnítit za určitých podmínek soukromé investice; je znepokojen možným použitím těchto nástrojů s cílem rozšířit používání finančních prostředků Nástroje pro oživení a odolnost na období po roce 2026; připomíná, že Nástroj pro oživení a odolnost je krizovým nástrojem a že finanční prostředky by měly být provedeny v rámci jeho doby trvání;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F4225B" w:rsidRPr="007D7B32">
        <w:t>61</w:t>
      </w:r>
      <w:r w:rsidRPr="007D7B32">
        <w:t>.</w:t>
      </w:r>
      <w:r w:rsidRPr="007D7B32">
        <w:tab/>
        <w:t>konstatuje, že Komise podporuje všechny členské státy při urychlování provádění a revizi jejich plánů, a to i prostřednictvím nástroje technické podpory; zdůrazňuje význam proaktivní úlohy Komise při podpoře členských států, aby se co nejlépe zabránilo zpožděním a problémům s nedostatečným prováděním a zajistilo, aby členské státy chránily finanční zájmy Unie a aby peníze daňových poplatníků EU byly vynakládány odpovídajícím způsobem; zdůrazňuje, že odpovídající zdroje a pozornost by měly být věnovány zejména boji proti závažným nesrovnalostem a dvojímu financování; bere na vědomí obavy, na které byl upozorněn orgán příslušný k udělení absolutoria a jež se týkají správní kapacity členských států čerpat finanční prostředky a provádění kvalitních projektů, zejména ke konci období Nástroje pro oživení a odolnost;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F4225B" w:rsidRPr="007D7B32">
        <w:t>62</w:t>
      </w:r>
      <w:r w:rsidRPr="007D7B32">
        <w:t>.</w:t>
      </w:r>
      <w:r w:rsidRPr="007D7B32">
        <w:tab/>
        <w:t>je znepokojen tím, že podle srovnávacího přehledu Nástroje pro oživení a odolnost vypracovaného Komisí tři členské státy Komisi do konce prosince 2023 nepředložily žádnou žádost o platbu; vyzývá k urychlenému provádění plánů pro oživení a odolnost, včetně Komisí prováděného hodnocení překážek a výsledků; je znepokojen tím, že nedostatečné provádění, pakliže nebude urychleně řešeno, by mohlo vést k platební krizi;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F4225B" w:rsidRPr="007D7B32">
        <w:t>63</w:t>
      </w:r>
      <w:r w:rsidRPr="007D7B32">
        <w:t>.</w:t>
      </w:r>
      <w:r w:rsidRPr="007D7B32">
        <w:tab/>
        <w:t xml:space="preserve">kriticky hodnotí skutečnost, že v rozporu s hlavními cíli nástroje je definice „odolnosti“ nedostatečná a neumožňuje zlepšit připravenost na budoucí krizové situace; konstatuje, že při zdůraznění milníků a cílů je kladen velmi malý důraz na odolnost nebo přidanou </w:t>
      </w:r>
      <w:r w:rsidRPr="007D7B32">
        <w:lastRenderedPageBreak/>
        <w:t>hodnotu při přispívání k odolnosti; naléhavě vyzývá Komisi, aby pro srovnávací přehled Nástroje pro oživení a odolnost vytvořila ukazatel „příspěvek k odolnosti“ a aby do tabulky uvedla dopad v oblasti odolnosti; dále naléhavě vyzývá Komisi, aby při zvažování nových milníků a cílů, které jsou zavedeny do revidovaných národních plánů pro oživení a odolnost, zvážila příspěvek k odolnosti; vybízí Účetní dvůr, aby se v budoucí studii podrobněji zabýval dopadem Nástroje pro oživení a odolnost na odolnost ve všech pilířích;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F4225B" w:rsidRPr="007D7B32">
        <w:t>64</w:t>
      </w:r>
      <w:r w:rsidRPr="007D7B32">
        <w:t>.</w:t>
      </w:r>
      <w:r w:rsidRPr="007D7B32">
        <w:tab/>
        <w:t>zdůrazňuje, že při přezkumu revidovaných národních plánů pro oživení by Komise měla stále pečlivě uplatňovat „pokyny pro hodnocení nástroje“ uvedené v příloze V nařízení o Nástroji pro oživení a odolnost, což vyžaduje, aby Komise posuzovala a ohodnocovala národní plány pro oživení a odolnost podle kritérií relevance, účinnosti, účelnosti a soudržnosti (čl. 19 odst. 3), jakož i pokrytí šesti pilířů, konkrétně a) zelené transformace, b) digitální transformace, c) inteligentního a udržitelného růstu podporujícího začlenění, d) sociální a územní soudržnosti, e) zdravotní a hospodářské, sociální a institucionální odolnosti, f) politik příští generace (článek 3); tvrdí, že se jedná o důležitý proces, který má zabránit revidovaným národním plánům pro oživení, které jsou mnohem slabší než původní plány nebo které již nesplňují kritéria;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F4225B" w:rsidRPr="007D7B32">
        <w:t>65</w:t>
      </w:r>
      <w:r w:rsidRPr="007D7B32">
        <w:t>.</w:t>
      </w:r>
      <w:r w:rsidRPr="007D7B32">
        <w:tab/>
        <w:t>konstatuje, že Nástroj pro oživení a odolnost by měl vytvářet synergie a prováděná opatření by měla vést ke strukturálním reformám, které mají přidanou hodnotu; je znepokojen tím, že některé země přepracovaly staré národní reformy do národních plánů pro oživení a odolnost;</w:t>
      </w:r>
    </w:p>
    <w:p w:rsidR="00FA2D6B" w:rsidRPr="007D7B32" w:rsidRDefault="00FA2D6B" w:rsidP="005E7441">
      <w:pPr>
        <w:pStyle w:val="NormalHanging12a"/>
      </w:pPr>
      <w:r w:rsidRPr="007D7B32">
        <w:t>26</w:t>
      </w:r>
      <w:r w:rsidR="00F4225B" w:rsidRPr="007D7B32">
        <w:t>6</w:t>
      </w:r>
      <w:r w:rsidRPr="007D7B32">
        <w:t>.</w:t>
      </w:r>
      <w:r w:rsidRPr="007D7B32">
        <w:tab/>
        <w:t>zdůrazňuje, že ve všech členských státech by měl existovat lepší přístup ke společné správě, aby byly místní a regionální orgány, organizace občanské společnosti, sociální partneři, akademická obec nebo další příslušné zúčastněné strany odpovídajícím způsobem zapojeny do přípravy a provádění národních plánů pro oživení a odolnost; vyzývá k jejich zapojení do provádění národních plánů pro oživení a odolnost v maximální možné míře podle vnitrostátního legislativního rámce na základě jasných, spravedlivých, transparentních a nepolitických zásad;</w:t>
      </w:r>
    </w:p>
    <w:p w:rsidR="00FA2D6B" w:rsidRPr="007D7B32" w:rsidRDefault="00FA2D6B" w:rsidP="005E7441">
      <w:pPr>
        <w:pStyle w:val="NormalHanging12a"/>
      </w:pPr>
      <w:r w:rsidRPr="007D7B32">
        <w:t>26</w:t>
      </w:r>
      <w:r w:rsidR="00F4225B" w:rsidRPr="007D7B32">
        <w:t>7</w:t>
      </w:r>
      <w:r w:rsidRPr="007D7B32">
        <w:t>.</w:t>
      </w:r>
      <w:r w:rsidRPr="007D7B32">
        <w:tab/>
        <w:t>vyzývá Komisi, aby zajistila, že členské státy budou uplatňovat přístup nulové tolerance vůči korupci a podvodům, včetně zpronevěry, a to bez jakékoli výjimky;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t>26</w:t>
      </w:r>
      <w:r w:rsidR="00F4225B" w:rsidRPr="007D7B32">
        <w:t>8</w:t>
      </w:r>
      <w:r w:rsidRPr="007D7B32">
        <w:t>.</w:t>
      </w:r>
      <w:r w:rsidRPr="007D7B32">
        <w:tab/>
        <w:t>vítá zásadní přínos Nástroje pro oživení a odolnost k zabránění vážnému hospodářskému poklesu a sociální krizi po pandemii COVID-19 a skutečnost, že umožnil bezprecedentní vlnu reforem a investic v celé Unii, které budou mít významný dlouhodobý dopad na hrubý domácí produkt (HDP); připomíná, že evropská přidaná hodnota Nástroje pro oživení a odolnost je již dlouho prokázána tím, že jeho inovativní a flexibilní povaha umožňuje členským státům dosahovat společných politických cílů Unie; konstatuje, že Nástroj pro oživení a odolnost zároveň umožňuje členským státům řešit specifické problémy jednotlivých zemí prostřednictvím návrhu národních plánů pro oživení a odolnost, přičemž jednotný hodnotící rámec je uplatňován stejně pro všechny členské státy a žádosti o platby;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t>26</w:t>
      </w:r>
      <w:r w:rsidR="00F4225B" w:rsidRPr="007D7B32">
        <w:t>9</w:t>
      </w:r>
      <w:r w:rsidRPr="007D7B32">
        <w:t>.</w:t>
      </w:r>
      <w:r w:rsidRPr="007D7B32">
        <w:tab/>
        <w:t>vítá, že reformy a investice navržené členskými státy na podporu ekologické a digitální transformace překročily cíle stanovené v nařízení o Nástroji pro oživení a odolnost, neboť odhadované výdaje na klima činí přibližně 40 % a výdaje na digitální technologie 26 %, zatímco cíle byly stanoveny v nižších procentech, a to 37 %, resp. 20 %;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lastRenderedPageBreak/>
        <w:t>2</w:t>
      </w:r>
      <w:r w:rsidR="00F4225B" w:rsidRPr="007D7B32">
        <w:t>70</w:t>
      </w:r>
      <w:r w:rsidRPr="007D7B32">
        <w:t>.</w:t>
      </w:r>
      <w:r w:rsidRPr="007D7B32">
        <w:tab/>
        <w:t>bere na vědomí pokrok vykázaný v šesti pilířích Nástroje pro oživení a odolnost, a zejména v provádění doporučení pro jednotlivé země, přičemž alespoň určitého pokroku bylo dosaženo u 68 % a podstatného pokroku u 12 % doporučení pro jednotlivé země na období 2019–2020, což svědčí o pobídkách, které Nástroj pro oživení a odolnost poskytuje; konstatuje, že pokrok v provádění doporučení pro jednotlivé země pro rok 2022 byl rovněž značný, přičemž v červenci 2022 bylo dosaženo alespoň určitého pokroku v téměř 52 % doporučení adresovaných členským státům;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F4225B" w:rsidRPr="007D7B32">
        <w:t>71</w:t>
      </w:r>
      <w:r w:rsidRPr="007D7B32">
        <w:t>.</w:t>
      </w:r>
      <w:r w:rsidRPr="007D7B32">
        <w:tab/>
        <w:t>připomíná, že pandemie COVID-19 odhalila strukturální nedostatky systémů zdravotní péče v celé Unii, jako je nedostatečná odolnost a schopnost reagovat na krize; zdůrazňuje, že zdraví je politickou oblastí v rámci jednoho ze šesti pilířů Nástroje pro oživení a odolnost, které umožňují reformy a investice k posílení jejich kapacity, kvality a odolnosti; konstatuje, že 531 milníků a cílů a 223 opatření a 48 % odhadovaného příspěvku na tento pilíř souvisí se zdravotní péčí, lituje však toho, že některé národní plány pro oživení a odolnost mají milníky nebo cíle týkající se zdraví, které nepřispívají k posílení vnitrostátního systému zdravotní péče; konstatuje, že podle odhadů může 45 milionů lidí díky Nástroji pro oživení a odolnost využívat nová nebo modernizovaná zdravotnická zařízení nebo být v těchto zařízeních obslouženo; naléhavě vyzývá Komisi, aby při revizi národních plánů pro oživení a odolnost pokud možno posílila milníky a cíle týkající se připravenosti a odolnosti ve zdravotnictví a aby podávala zprávy orgánu příslušnému k udělení absolutoria;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t>2</w:t>
      </w:r>
      <w:r w:rsidR="00F4225B" w:rsidRPr="007D7B32">
        <w:t>72</w:t>
      </w:r>
      <w:r w:rsidRPr="007D7B32">
        <w:t>.</w:t>
      </w:r>
      <w:r w:rsidRPr="007D7B32">
        <w:tab/>
        <w:t>na základě zvláštní zprávy č. 26/2023 konstatuje, že navzdory krátkému času, který byl k dispozici pro návrh výkonnostního modelu Nástroje pro oživení a odolnost, se Komisi a členským státům podařilo zavést monitorovací systém, včetně IT systému, který umožňuje měřit pokrok v provádění; vítá závazek Komise pracovat na zjištěných problémech a realizovat související doporučení;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F4225B" w:rsidRPr="007D7B32">
        <w:t>73</w:t>
      </w:r>
      <w:r w:rsidRPr="007D7B32">
        <w:t>.</w:t>
      </w:r>
      <w:r w:rsidRPr="007D7B32">
        <w:tab/>
        <w:t>zdůrazňuje, že pouhé dokončení projektů financovaných z fondů Nástroje pro oživení a odolnost nezaručuje pozitivní hospodářský a sociální dopad ani kvalitu a udržitelnost; bere na vědomí připomínky Účetního dvora zdůrazňující některé nedostatky využívání rámce založeného na výkonnosti, zejména při pokusu o kvantifikaci výsledků, neboť milníky a cíle měří spíše výstupy; naléhavě vyzývá Komisi, aby uplatnila získané zkušenosti a připomínky Účetního dvora a aby zajistila, že koncepce budoucích nástrojů založených na výkonnosti bude měřit rovněž výsledky, a nikoli pouze výstupy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t>2</w:t>
      </w:r>
      <w:r w:rsidR="00F4225B" w:rsidRPr="007D7B32">
        <w:t>74</w:t>
      </w:r>
      <w:r w:rsidRPr="007D7B32">
        <w:t>.</w:t>
      </w:r>
      <w:r w:rsidRPr="007D7B32">
        <w:tab/>
        <w:t>vítá značný pokrok, který se projevil ve společných ukazatelích a ve všech pilířích politiky do prosince 2022, jako je například 22 milionů megawattů („</w:t>
      </w:r>
      <w:proofErr w:type="spellStart"/>
      <w:r w:rsidRPr="007D7B32">
        <w:t>MWh</w:t>
      </w:r>
      <w:proofErr w:type="spellEnd"/>
      <w:r w:rsidRPr="007D7B32">
        <w:t>“) dosažených úspor v roční spotřebě energie, 1,43 milionu podniků, kterým byla poskytnuta pomoc buď prostřednictvím peněžní, nebo věcné podpory, 4 miliony vyškolených osob a podpora poskytnutá 4 115 196 mladým lidem ve věku 15–29 let;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F4225B" w:rsidRPr="007D7B32">
        <w:t>75</w:t>
      </w:r>
      <w:r w:rsidRPr="007D7B32">
        <w:t>.</w:t>
      </w:r>
      <w:r w:rsidRPr="007D7B32">
        <w:tab/>
        <w:t xml:space="preserve">připomíná, že dne 15. prosince 2022 přijala Rada prováděcí rozhodnutí o schválení posouzení plánu pro oživení a odolnost Maďarska na základě pozitivního hodnocení ze strany Komise; připomíná, že do národního plánu pro oživení a odolnost bylo doplněno 27 „super milníků“ s nápravnými, auditními a kontrolními opatřeními; konstatuje, že dne 7. prosince 2023 přijala Rada prováděcí rozhodnutí o schválení pozměněného plánu pro oživení a odolnost Maďarska, včetně kapitoly </w:t>
      </w:r>
      <w:proofErr w:type="spellStart"/>
      <w:r w:rsidRPr="007D7B32">
        <w:t>REPowerEU</w:t>
      </w:r>
      <w:proofErr w:type="spellEnd"/>
      <w:r w:rsidRPr="007D7B32">
        <w:t xml:space="preserve">, která Maďarsku umožňuje obdržet 0,9 miliardy EUR jako předběžné financování z fondů </w:t>
      </w:r>
      <w:proofErr w:type="spellStart"/>
      <w:r w:rsidRPr="007D7B32">
        <w:t>REPowerEU</w:t>
      </w:r>
      <w:proofErr w:type="spellEnd"/>
      <w:r w:rsidRPr="007D7B32">
        <w:t xml:space="preserve">; vyjadřuje politování nad tím, že zmíněné předběžné financování nepodléhá probíhajícímu postupu v rámci mechanismu podmíněnosti dodržováním zásad právního </w:t>
      </w:r>
      <w:r w:rsidRPr="007D7B32">
        <w:lastRenderedPageBreak/>
        <w:t>státu;</w:t>
      </w:r>
    </w:p>
    <w:p w:rsidR="00FA2D6B" w:rsidRPr="007D7B32" w:rsidRDefault="00FA2D6B" w:rsidP="005E7441">
      <w:pPr>
        <w:pStyle w:val="NormalHanging12a"/>
      </w:pPr>
      <w:r w:rsidRPr="007D7B32">
        <w:t>27</w:t>
      </w:r>
      <w:r w:rsidR="00F4225B" w:rsidRPr="007D7B32">
        <w:t>6</w:t>
      </w:r>
      <w:r w:rsidRPr="007D7B32">
        <w:t>.</w:t>
      </w:r>
      <w:r w:rsidRPr="007D7B32">
        <w:tab/>
        <w:t xml:space="preserve">konstatuje, že srovnávací přehled Nástroje pro oživení a odolnost poskytuje v reálném čase informace o platbách a pokroku dosaženém členskými státy, jakož i další údaje, ukazatele a tematickou analýzu, a vítá spuštění </w:t>
      </w:r>
      <w:proofErr w:type="spellStart"/>
      <w:r w:rsidRPr="007D7B32">
        <w:t>celounijní</w:t>
      </w:r>
      <w:proofErr w:type="spellEnd"/>
      <w:r w:rsidRPr="007D7B32">
        <w:t xml:space="preserve"> interaktivní mapy, která znázorňuje projekty Nástroje pro oživení a odolnost podle zeměpisné polohy a poskytuje informace o aktuálním stavu; je však znepokojen tím, že Účetní dvůr dospěl k závěru, že předložená výkonnost je nedostatečně transparentní, protože vykazované údaje zahrnují i odhady, a že souhrnné informace nejsou porovnatelné a informace o pokroku v rámci šesti pilířů jsou zavádějící, tj. pokud je opatření přiřazeno k primární a sekundární politické oblasti spadající do téhož pilíře, je příspěvek každého opatření započítán dvakrát; zdůrazňuje, že transparentnost ohledně omezení je nanejvýš důležitá, neboť ovlivňuje (vnímanou) spolehlivost všech předložených informací; vyzývá Komisi, aby okamžitě napravila zjištěné nedostatky a aktivně informovala o omezeních údajů předložených ve srovnávacím přehledu Nástroje pro oživení a odolnost;</w:t>
      </w:r>
    </w:p>
    <w:p w:rsidR="00FA2D6B" w:rsidRPr="007D7B32" w:rsidRDefault="00FA2D6B" w:rsidP="005E7441">
      <w:pPr>
        <w:pStyle w:val="NormalHanging12a"/>
      </w:pPr>
      <w:r w:rsidRPr="007D7B32">
        <w:t>27</w:t>
      </w:r>
      <w:r w:rsidR="00F4225B" w:rsidRPr="007D7B32">
        <w:t>7</w:t>
      </w:r>
      <w:r w:rsidRPr="007D7B32">
        <w:t>.</w:t>
      </w:r>
      <w:r w:rsidRPr="007D7B32">
        <w:tab/>
        <w:t>konstatuje, že mnohé čistě vnitrostátní projekty jsou uvedeny jako přeshraniční projekty, jakmile zahrnují úsporu energie nebo snížení energetické spotřeby; kriticky se staví k nadhodnocení zveřejněného počtu přeshraničních projektů, které je zavádějící;</w:t>
      </w:r>
    </w:p>
    <w:p w:rsidR="00FA2D6B" w:rsidRPr="007D7B32" w:rsidRDefault="00FA2D6B" w:rsidP="005E7441">
      <w:pPr>
        <w:pStyle w:val="NormalHanging12a"/>
      </w:pPr>
      <w:r w:rsidRPr="007D7B32">
        <w:t>27</w:t>
      </w:r>
      <w:r w:rsidR="00F4225B" w:rsidRPr="007D7B32">
        <w:t>8</w:t>
      </w:r>
      <w:r w:rsidRPr="007D7B32">
        <w:t>.</w:t>
      </w:r>
      <w:r w:rsidRPr="007D7B32">
        <w:tab/>
        <w:t>konstatuje, že Účetní dvůr zjistil, že pokud jde o podávání zpráv o společných ukazatelích, vnitrostátní auditní orgány v žádném navštíveném členském státě nekontrolují kvalitu a základní metodiky; je překvapen tím, že v členském státě v případě výdaje v rámci okruhu 3 VFR neexistovala uvedená výsadba stromů, když Účetní dvůr provedl kontrolu na místě; konstatuje, že Komise nevyžaduje podpůrné důkazy nebo vysvětlení k oznámeným údajům, s výjimkou případů, kdy jsou vykazovány odhady; konstatuje, že Účetní dvůr dospěl k závěru, že to představuje riziko pro spolehlivost a srovnatelnost údajů mezi členskými státy; dochází k závěru, že spolehlivost údajů při absenci auditů by mohla ovlivnit informace o výkonnosti vykazované u společných ukazatelů ve větší míře než informace založené na milnících a cílech; domnívá se, že vzhledem k problémům, které Účetní dvůr zjistil ohledně milníků a cílů, je tato situace znepokojivá, a vyzývá Komisi, aby zlepšila svou jistotu, pokud jde o podávání zpráv o společných ukazatelích; upozorňuje na rozdílnou praxi kontrolních orgánů, pokud jde o načasování kontrol plnění cílů a reforem; domnívá se, že tyto kontroly by měly být lépe harmonizovány a měly by zahrnovat povinnou kontrolu spolehlivosti a přesnosti údajů o milnících a cílech předtím, než budou tyto milníky a cíle zahrnuty do žádosti o platbu; poukazuje na rizika přístupu, který využívá převážně kontroly ex post, a vyzývá členské státy, aby se těchto praktik vyvarovaly;</w:t>
      </w:r>
    </w:p>
    <w:p w:rsidR="00FA2D6B" w:rsidRPr="007D7B32" w:rsidRDefault="00FA2D6B" w:rsidP="005E7441">
      <w:pPr>
        <w:spacing w:after="240"/>
        <w:ind w:left="567" w:hanging="567"/>
        <w:rPr>
          <w:i/>
        </w:rPr>
      </w:pPr>
      <w:r w:rsidRPr="007D7B32">
        <w:rPr>
          <w:i/>
        </w:rPr>
        <w:t>Transparentnost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t>27</w:t>
      </w:r>
      <w:r w:rsidR="00F4225B" w:rsidRPr="007D7B32">
        <w:t>9</w:t>
      </w:r>
      <w:r w:rsidRPr="007D7B32">
        <w:t>.</w:t>
      </w:r>
      <w:r w:rsidRPr="007D7B32">
        <w:tab/>
        <w:t>konstatuje, že veřejný ochránce práv uznává, že bylo dosaženo pokroku v oblasti proaktivní transparentnosti, konkrétně prostřednictvím srovnávacího přehledu Nástroje pro oživení a odolnost a zveřejnění 100 největších příjemců; bere však na vědomí body ke zlepšení, na které upozornil veřejný ochránce práv, a podporuje jeho doporučení k zajištění větší transparentnosti a odpovědnosti v souvislosti s Nástrojem pro oživení a odolnost;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F4225B" w:rsidRPr="007D7B32">
        <w:t>80</w:t>
      </w:r>
      <w:r w:rsidRPr="007D7B32">
        <w:t>.</w:t>
      </w:r>
      <w:r w:rsidRPr="007D7B32">
        <w:tab/>
        <w:t xml:space="preserve">konstatuje, že na základě výslovného požadavku Parlamentu vyžaduje pozměněné nařízení o Nástroji pro oživení a odolnost, aby členské státy zveřejňovaly informace o 100 konečných příjemcích, kteří obdrželi nejvyšší částku finančních prostředků z </w:t>
      </w:r>
      <w:r w:rsidRPr="007D7B32">
        <w:lastRenderedPageBreak/>
        <w:t>Nástroje pro oživení a odolnost; vyjadřuje politování nad opožděným zveřejněním seznamů členskými státy a konstatuje, že všechny členské státy zveřejnily požadovaný seznam ve srovnávacím přehledu Nástroje pro oživení a odolnost do prosince 2023; poznamenává, že výše plateb se v jednotlivých členských státech i v rámci jednotlivých zemí značně liší, což lze vysvětlit různorodou povahou národních plánů pro oživení a odolnost; vyjadřuje znepokojení nad výkladem pojmu „konečný příjemce“ v rámci Nástroje pro oživení a odolnost ze strany Komise, neboť koneční příjemci jsou na seznamu často uváděni pouze na úrovni ministerstva, a nad tím, že popisy jsou velmi vágní, přičemž mnoho příkladů se vyskytuje téměř ve všech seznamech poskytnutých členskými státy; opakuje svůj požadavek, aby v seznamu 100 největších konečných příjemců byla uvedena skutečná fyzická osoba nebo subjekt, který je poslední v řetězci převodů peněz; je znepokojen tím, že v opačném případě bude problematické měřit dopad a zaručit viditelnost finančních prostředků Nástroje pro oživení a odolnost pro občany;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F4225B" w:rsidRPr="007D7B32">
        <w:t>81</w:t>
      </w:r>
      <w:r w:rsidRPr="007D7B32">
        <w:t>.</w:t>
      </w:r>
      <w:r w:rsidRPr="007D7B32">
        <w:tab/>
        <w:t>připomíná, že při plnění rozpočtu Unie je klíčová transparentnost a odpovědnost, a zdůrazňuje v tomto kontextu, že je třeba, aby Komise i členské státy vyvinuly další úsilí; vítá další iniciativy Komise zaměřené na zvýšení transparentnosti provádění Nástroje pro oživení a odolnost; konstatuje, že klíčové dokumenty, kterými se řídí provádění, jako jsou národní plány pro oživení a odolnost, operační ujednání, metodiky hodnocení a dokumenty, které podporují nebo obsahují klíčová rozhodnutí týkající se provádění členskými státy, jsou veřejně dostupné a snadno přístupné;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F4225B" w:rsidRPr="007D7B32">
        <w:t>82</w:t>
      </w:r>
      <w:r w:rsidRPr="007D7B32">
        <w:t>.</w:t>
      </w:r>
      <w:r w:rsidRPr="007D7B32">
        <w:tab/>
        <w:t>je znepokojen zprávami Účetního dvora o obtížích s přístupem k údajům z Nástroje pro oživení a odolnost za účelem plnění jeho povinností; naléhavě vyzývá Komisi, aby zajistila plný přístup Účetního dvora k příslušným databázím členských států a Unie; naléhavě vyzývá Komisi, aby zaručila, že údaje v databázi FENIX budou včas aktualizovány pro účely auditu a kontroly; zdůrazňuje, že údaje by měly být přesné a měly by být předávány ve standardizovaném formátu;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F4225B" w:rsidRPr="007D7B32">
        <w:t>83</w:t>
      </w:r>
      <w:r w:rsidRPr="007D7B32">
        <w:t>.</w:t>
      </w:r>
      <w:r w:rsidRPr="007D7B32">
        <w:tab/>
        <w:t>doporučuje, aby při provádění nástrojů založených na výkonnosti byly v budoucnu milníky a cíle včas jasně definovány a propojeny, aby se zabránilo nedostatečnému vyvozování odpovědnosti, a aby bylo možné měřit výstupy a výsledky; doporučuje, aby nástroje založené na výkonnosti od počátku vytvářely jasný a přesný mechanismus ověřování; konstatuje, že to má zásadní význam v souvislosti s transparentností a odpovědností vůči daňovým poplatníkům Unie;</w:t>
      </w:r>
    </w:p>
    <w:p w:rsidR="00FA2D6B" w:rsidRPr="007D7B32" w:rsidRDefault="00FA2D6B" w:rsidP="005E7441">
      <w:pPr>
        <w:pStyle w:val="NormalHanging12a"/>
      </w:pPr>
      <w:r w:rsidRPr="007D7B32">
        <w:t>2</w:t>
      </w:r>
      <w:r w:rsidR="00F4225B" w:rsidRPr="007D7B32">
        <w:t>84</w:t>
      </w:r>
      <w:r w:rsidRPr="007D7B32">
        <w:t>.</w:t>
      </w:r>
      <w:r w:rsidRPr="007D7B32">
        <w:tab/>
        <w:t>je znepokojen, pokud jde o transparentnost a odpovědnost vůči veřejnosti; naléhavě vyzývá Komisi, aby s členskými státy projednala vhodné označování projektů, včetně odkazu na to, že projekt obdržel finanční prostředky z Nástroje na podporu oživení a odolnosti; vyjadřuje politování nad tím, že podle výroční zprávy Účetního dvora za rok 2022 neexistuje ani na úrovni Komise jasný přehled, jaké konkrétní projekty jsou z Nástroje pro oživení a odolnost podporovány; zdůrazňuje, že evropští daňoví poplatníci mají právo vidět, jaké projekty získaly finanční prostředky EU, kde probíhají a jaká je jejich přidaná hodnota; vyzývá Komisi, aby zvýšila viditelnost a trvala na jasném označování projektů, ať už ve formě informačních tabulí na nových nebo renovovaných budovách, sdělení na internetových stránkách, oznámení na konferencích nebo školeních nebo označení na tištěných dokumentech;</w:t>
      </w:r>
    </w:p>
    <w:p w:rsidR="00FA2D6B" w:rsidRPr="007D7B32" w:rsidRDefault="00FA2D6B" w:rsidP="005E7441">
      <w:pPr>
        <w:spacing w:after="240"/>
        <w:ind w:left="567" w:hanging="567"/>
        <w:rPr>
          <w:i/>
        </w:rPr>
      </w:pPr>
      <w:r w:rsidRPr="007D7B32">
        <w:rPr>
          <w:i/>
        </w:rPr>
        <w:t>Doporučení</w:t>
      </w:r>
    </w:p>
    <w:p w:rsidR="00FA2D6B" w:rsidRPr="007D7B32" w:rsidRDefault="00FA2D6B" w:rsidP="005E7441">
      <w:pPr>
        <w:spacing w:after="240"/>
        <w:ind w:left="567" w:hanging="567"/>
      </w:pPr>
      <w:r w:rsidRPr="007D7B32">
        <w:lastRenderedPageBreak/>
        <w:t>2</w:t>
      </w:r>
      <w:r w:rsidR="00F4225B" w:rsidRPr="007D7B32">
        <w:t>85</w:t>
      </w:r>
      <w:r w:rsidRPr="007D7B32">
        <w:t>.</w:t>
      </w:r>
      <w:r w:rsidRPr="007D7B32">
        <w:tab/>
        <w:t>podporuje doporučení Účetního dvora uvedená v jeho výroční zprávě i v souvisejících zvláštních zprávách a vítá, že Komise většinu z nich přijala; vyzývá Komisi, aby je provedla a průběžně informovala orgán příslušný k udělení absolutoria o pokroku při provádění;</w:t>
      </w:r>
    </w:p>
    <w:p w:rsidR="00FA2D6B" w:rsidRPr="007D7B32" w:rsidRDefault="00FA2D6B" w:rsidP="005E7441">
      <w:pPr>
        <w:pStyle w:val="NormalHanging12a"/>
      </w:pPr>
      <w:r w:rsidRPr="007D7B32">
        <w:t>28</w:t>
      </w:r>
      <w:r w:rsidR="00F4225B" w:rsidRPr="007D7B32">
        <w:t>6</w:t>
      </w:r>
      <w:r w:rsidRPr="007D7B32">
        <w:t>.</w:t>
      </w:r>
      <w:r w:rsidRPr="007D7B32">
        <w:tab/>
        <w:t>dále vyzývá Komisi, aby:</w:t>
      </w:r>
    </w:p>
    <w:p w:rsidR="00FA2D6B" w:rsidRPr="007D7B32" w:rsidRDefault="00FA2D6B" w:rsidP="005E7441">
      <w:pPr>
        <w:pStyle w:val="NormalHanging12a"/>
        <w:ind w:left="1134"/>
      </w:pPr>
      <w:r w:rsidRPr="007D7B32">
        <w:t>i)</w:t>
      </w:r>
      <w:r w:rsidRPr="007D7B32">
        <w:tab/>
        <w:t>zlepšila následné monitorování průběžného uspokojivého plnění milníků a cílů, mimo jiné v oblasti právního státu, a důsledně uplatňovala ustanovení Nástroje pro oživení a odolnost a přijaté pokyny s cílem řešit konkrétní případy zrušení za využití jasných finančních opatření, včetně pozastavení plateb a zpětného získání finančních prostředků, pokud dojde ke zrušení milníků a cílů v souladu s nařízením o Nástroji pro oživení a odolnost a příslušnými metodikami;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ii</w:t>
      </w:r>
      <w:proofErr w:type="spellEnd"/>
      <w:r w:rsidRPr="007D7B32">
        <w:t>)</w:t>
      </w:r>
      <w:r w:rsidRPr="007D7B32">
        <w:tab/>
        <w:t>úzce spolupracovala s orgánem příslušným k udělení absolutoria s cílem zmapovat různé možnosti a příslušný právní základ za účelem řešení zrušení milníků po skončení období provádění Nástroje pro oživení a odolnost;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iii</w:t>
      </w:r>
      <w:proofErr w:type="spellEnd"/>
      <w:r w:rsidRPr="007D7B32">
        <w:t>)</w:t>
      </w:r>
      <w:r w:rsidRPr="007D7B32">
        <w:tab/>
        <w:t>při předkládání revize národního plánu pro oživení a odolnost členským státem neustále zlepšovala srozumitelnost opatření a souvisejících milníků a cílů a zajistila, aby plně respektovaly horizontální zásady nařízení;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iv</w:t>
      </w:r>
      <w:proofErr w:type="spellEnd"/>
      <w:r w:rsidRPr="007D7B32">
        <w:t>)</w:t>
      </w:r>
      <w:r w:rsidRPr="007D7B32">
        <w:tab/>
        <w:t>zahrnula jasné mechanismy ověřování do operačního ujednání pro milníky a cíle, aby bylo možné jednoznačně posoudit jejich plnění a lépe načrtnout jeho účel v budoucích nástrojích založených na výkonnosti, a při analýze uspokojivého plnění milníků a cílů zohlednila mechanismus ověřování s cílem přispět k přesnosti měření;</w:t>
      </w:r>
    </w:p>
    <w:p w:rsidR="00FA2D6B" w:rsidRPr="007D7B32" w:rsidRDefault="00FA2D6B" w:rsidP="005E7441">
      <w:pPr>
        <w:pStyle w:val="NormalHanging12a"/>
        <w:ind w:left="1134"/>
      </w:pPr>
      <w:r w:rsidRPr="007D7B32">
        <w:t>v)</w:t>
      </w:r>
      <w:r w:rsidRPr="007D7B32">
        <w:tab/>
        <w:t>nadále prováděla audity systémů členských států s cílem zkontrolovat jejich přiměřenost a získat přiměřenou jistotu ohledně souladu s pravidly Unie a vnitrostátními pravidly, zejména s pravidly pro zadávání veřejných zakázek, a úzce spolupracovala s Účetním dvorem na hledání způsobů, jak odstranit jeho obavy ohledně nedostatku jistoty;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vi</w:t>
      </w:r>
      <w:proofErr w:type="spellEnd"/>
      <w:r w:rsidRPr="007D7B32">
        <w:t>)</w:t>
      </w:r>
      <w:r w:rsidRPr="007D7B32">
        <w:tab/>
        <w:t>se nezabývala pouze přiměřeností uspořádání, ale také skutečným fungováním auditních a kontrolních systémů členských států pro budoucí nástroje založené na výkonnosti;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vii</w:t>
      </w:r>
      <w:proofErr w:type="spellEnd"/>
      <w:r w:rsidRPr="007D7B32">
        <w:t>)</w:t>
      </w:r>
      <w:r w:rsidRPr="007D7B32">
        <w:tab/>
        <w:t>pomohla členským státům provádět projekty Nástroje pro oživení a odolnost podle plánovaného harmonogramu a změnila metodiku kategorizace přeshraničních projektů, tak aby byla zvažována pouze skutečná geografická přeshraniční složka;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viii</w:t>
      </w:r>
      <w:proofErr w:type="spellEnd"/>
      <w:r w:rsidRPr="007D7B32">
        <w:t>)</w:t>
      </w:r>
      <w:r w:rsidRPr="007D7B32">
        <w:tab/>
        <w:t>dále podporovala členské státy při zvyšování jejich správní kapacity, aby mohly zvládnout souběžné čerpání finančních prostředků, a pomáhala jim snižovat zbytečnou administrativní zátěž, zejména pro malé a střední podniky, zjednodušovat výběrová řízení a poskytovat cílenější informace;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ix</w:t>
      </w:r>
      <w:proofErr w:type="spellEnd"/>
      <w:r w:rsidRPr="007D7B32">
        <w:t>)</w:t>
      </w:r>
      <w:r w:rsidRPr="007D7B32">
        <w:tab/>
        <w:t>věnovala zvláštní pozornost probíhajícímu dialogu s členskými státy a pokračovala v něm, tak aby reformy a investice splňovaly cíle nařízení o Nástroji pro oživení a odolnost v oblasti klimatu a plně dodržovaly zásadu „významně nepoškozovat“;</w:t>
      </w:r>
    </w:p>
    <w:p w:rsidR="00FA2D6B" w:rsidRPr="007D7B32" w:rsidRDefault="00FA2D6B" w:rsidP="005E7441">
      <w:pPr>
        <w:pStyle w:val="NormalHanging12a"/>
        <w:ind w:left="1134"/>
      </w:pPr>
      <w:r w:rsidRPr="007D7B32">
        <w:lastRenderedPageBreak/>
        <w:t>x)</w:t>
      </w:r>
      <w:r w:rsidRPr="007D7B32">
        <w:tab/>
        <w:t>řešila nahlášená zpoždění v rané fázi, mimo jiné poskytováním technické pomoci členským státům;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xi</w:t>
      </w:r>
      <w:proofErr w:type="spellEnd"/>
      <w:r w:rsidRPr="007D7B32">
        <w:t>)</w:t>
      </w:r>
      <w:r w:rsidRPr="007D7B32">
        <w:tab/>
        <w:t>pokračovala ve spolupráci s Účetním dvorem s cílem co nejvíce sblížit výklad milníků a cílů;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xii</w:t>
      </w:r>
      <w:proofErr w:type="spellEnd"/>
      <w:r w:rsidRPr="007D7B32">
        <w:t>)</w:t>
      </w:r>
      <w:r w:rsidRPr="007D7B32">
        <w:tab/>
        <w:t xml:space="preserve"> zlepšila transparentnost a prezentaci srovnávacího přehledu Nástroje pro oživení a odolnost odstraněním jakékoli možnosti nesprávně vykládat číselné údaje a přesněji měřila příspěvek k odolnosti v rámci následného hodnocení Nástroje pro oživení a odolnost;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xiii</w:t>
      </w:r>
      <w:proofErr w:type="spellEnd"/>
      <w:r w:rsidRPr="007D7B32">
        <w:t>)</w:t>
      </w:r>
      <w:r w:rsidRPr="007D7B32">
        <w:tab/>
        <w:t>důsledně a přesně uplatňovala ustanovení nařízení o Nástroji pro oživení a odolnost týkající se „konečných příjemců“ a komunikovala s členskými státy ohledně správného uplatňování definice „konečných příjemců“;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xiv</w:t>
      </w:r>
      <w:proofErr w:type="spellEnd"/>
      <w:r w:rsidRPr="007D7B32">
        <w:t>)</w:t>
      </w:r>
      <w:r w:rsidRPr="007D7B32">
        <w:tab/>
        <w:t>umožnila Účetnímu dvoru, úřadu OLAF a Úřadu evropského veřejného žalobce přístup k údajům souvisejícím s Nástrojem pro oživení a odolnost, včetně databáze FENIX, v rámci výkonu jejich příslušných pravomocí;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xv</w:t>
      </w:r>
      <w:proofErr w:type="spellEnd"/>
      <w:r w:rsidRPr="007D7B32">
        <w:t>)</w:t>
      </w:r>
      <w:r w:rsidRPr="007D7B32">
        <w:tab/>
        <w:t>aktivně komunikovala s členskými státy o pravomoci Úřadu evropského veřejného žalobce, pokud jde o trestní případy týkající se finančních prostředků Nástroje pro oživení a odolnost, neboť korupce či podvody využívající finanční prostředky Nástroje pro oživení a odolnost představují trestný čin proti finančním zájmům Evropské unie;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xvi</w:t>
      </w:r>
      <w:proofErr w:type="spellEnd"/>
      <w:r w:rsidRPr="007D7B32">
        <w:t>) aktivněji komunikovala s členskými státy ohledně předcházení podvodům a vybídla je k tomu, aby sladily podávání zpráv o podvodech podle digitálních standardů a aby využívaly systém pro řízení nesrovnalostí;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xvii</w:t>
      </w:r>
      <w:proofErr w:type="spellEnd"/>
      <w:r w:rsidRPr="007D7B32">
        <w:t>)</w:t>
      </w:r>
      <w:r w:rsidRPr="007D7B32">
        <w:tab/>
        <w:t>na souhrnné úrovni podávala úřadu OLAF zprávy o případech podezření na podvod, korupci a střet zájmů zjištěných v jejích vlastních auditech a členskými státy, jak je uvedeno v prohlášeních řídícího subjektu, a aby vyhodnotila obdržené informace a v případě potřeby poskytla členským státům pokyny;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xviii</w:t>
      </w:r>
      <w:proofErr w:type="spellEnd"/>
      <w:r w:rsidRPr="007D7B32">
        <w:t>)</w:t>
      </w:r>
      <w:r w:rsidRPr="007D7B32">
        <w:tab/>
        <w:t>zabývala se interakcí mezi financováním z Fondu soudržnosti a z Nástroje pro oživení a odolnost a zejména těmi požadavky, které mohou usnadnit využití jednoho financování oproti druhému, a pracovala s členskými státy a směrovala je, aby si volily financování podle toho, co je pro daný projekt nejvhodnější a nejúčinnější; aby aktivně prováděla křížové kontroly databází s cílem zajistit, aby nedocházelo k dvojímu financování;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xix</w:t>
      </w:r>
      <w:proofErr w:type="spellEnd"/>
      <w:r w:rsidRPr="007D7B32">
        <w:t>)</w:t>
      </w:r>
      <w:r w:rsidRPr="007D7B32">
        <w:tab/>
        <w:t>vybídla členské státy, aby kladly větší důraz na zahrnutí potřeb místních a regionálních orgánů tím, že bude požadovat, aby členské státy aktivněji pracovaly v rámci přístupu společné správy;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xx</w:t>
      </w:r>
      <w:proofErr w:type="spellEnd"/>
      <w:r w:rsidRPr="007D7B32">
        <w:t>)</w:t>
      </w:r>
      <w:r w:rsidRPr="007D7B32">
        <w:tab/>
        <w:t>měla na paměti cíl odolnosti a oživení, zejména pokud jde o odvětví, která mají zásadní význam v případě krize, jako je zdravotnictví a odvětví zboží;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t>xxi</w:t>
      </w:r>
      <w:proofErr w:type="spellEnd"/>
      <w:r w:rsidRPr="007D7B32">
        <w:t>)</w:t>
      </w:r>
      <w:r w:rsidRPr="007D7B32">
        <w:tab/>
        <w:t>v případě potřeby využila doporučení Účetního dvora z jeho práce na Nástroji pro oživení a odolnost a zkušenosti získané při jeho provádění při navrhování a provádění budoucích nástrojů Unie založených na výkonnosti;</w:t>
      </w:r>
    </w:p>
    <w:p w:rsidR="00FA2D6B" w:rsidRPr="007D7B32" w:rsidRDefault="00FA2D6B" w:rsidP="005E7441">
      <w:pPr>
        <w:pStyle w:val="NormalHanging12a"/>
        <w:ind w:left="1134"/>
      </w:pPr>
      <w:proofErr w:type="spellStart"/>
      <w:r w:rsidRPr="007D7B32">
        <w:lastRenderedPageBreak/>
        <w:t>xxii</w:t>
      </w:r>
      <w:proofErr w:type="spellEnd"/>
      <w:r w:rsidRPr="007D7B32">
        <w:t>)</w:t>
      </w:r>
      <w:r w:rsidRPr="007D7B32">
        <w:tab/>
        <w:t>zajistila srovnatelnou a přiměřenou úroveň přesnosti hodnocení milníků a cílů a nadále zajišťovala rovné zacházení s členskými státy při hodnocení uspokojivého plnění milníků a cílů;</w:t>
      </w:r>
    </w:p>
    <w:p w:rsidR="00FA2D6B" w:rsidRPr="00B23409" w:rsidRDefault="00FA2D6B" w:rsidP="005E7441">
      <w:pPr>
        <w:pStyle w:val="NormalHanging12a"/>
        <w:ind w:left="1134"/>
      </w:pPr>
      <w:proofErr w:type="spellStart"/>
      <w:r w:rsidRPr="007D7B32">
        <w:t>xxiii</w:t>
      </w:r>
      <w:proofErr w:type="spellEnd"/>
      <w:r w:rsidRPr="007D7B32">
        <w:t>)</w:t>
      </w:r>
      <w:r w:rsidRPr="007D7B32">
        <w:tab/>
        <w:t>aktivněji zveřejňovala dokumenty a statistiky o tom, jak vyřizuje žádosti o přístup k dokumentům, neboť tyto informace by pomohly posoudit aktivní přístup orgánů k přístupu k dokumentům; připomíná, že žádost o přístup k určitému dokumentu musí být vyřízena okamžitě</w:t>
      </w:r>
      <w:r w:rsidR="007D7B32" w:rsidRPr="007D7B32">
        <w:t>.</w:t>
      </w:r>
    </w:p>
    <w:p w:rsidR="00FA2D6B" w:rsidRPr="00B23409" w:rsidRDefault="00FA2D6B" w:rsidP="005E7441">
      <w:pPr>
        <w:spacing w:after="240"/>
        <w:ind w:left="1134" w:hanging="567"/>
      </w:pPr>
    </w:p>
    <w:sectPr w:rsidR="00FA2D6B" w:rsidRPr="00B23409" w:rsidSect="00B2340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84C" w:rsidRPr="00B23409" w:rsidRDefault="00AF284C">
      <w:r w:rsidRPr="00B23409">
        <w:separator/>
      </w:r>
    </w:p>
  </w:endnote>
  <w:endnote w:type="continuationSeparator" w:id="0">
    <w:p w:rsidR="00AF284C" w:rsidRPr="00B23409" w:rsidRDefault="00AF284C">
      <w:r w:rsidRPr="00B234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84C" w:rsidRPr="00B23409" w:rsidRDefault="00AF284C" w:rsidP="00423DA5">
    <w:pPr>
      <w:pStyle w:val="EPFooter"/>
    </w:pPr>
    <w:r w:rsidRPr="00B23409">
      <w:t>PE</w:t>
    </w:r>
    <w:r w:rsidRPr="00B23409">
      <w:rPr>
        <w:rStyle w:val="HideTWBExt"/>
      </w:rPr>
      <w:t>&lt;</w:t>
    </w:r>
    <w:proofErr w:type="spellStart"/>
    <w:r w:rsidRPr="00B23409">
      <w:rPr>
        <w:rStyle w:val="HideTWBExt"/>
      </w:rPr>
      <w:t>NoPE</w:t>
    </w:r>
    <w:proofErr w:type="spellEnd"/>
    <w:r w:rsidRPr="00B23409">
      <w:rPr>
        <w:rStyle w:val="HideTWBExt"/>
      </w:rPr>
      <w:t>&gt;</w:t>
    </w:r>
    <w:r w:rsidRPr="00B23409">
      <w:t>753.552</w:t>
    </w:r>
    <w:r w:rsidRPr="00B23409">
      <w:rPr>
        <w:rStyle w:val="HideTWBExt"/>
      </w:rPr>
      <w:t>&lt;/</w:t>
    </w:r>
    <w:proofErr w:type="spellStart"/>
    <w:r w:rsidRPr="00B23409">
      <w:rPr>
        <w:rStyle w:val="HideTWBExt"/>
      </w:rPr>
      <w:t>NoPE</w:t>
    </w:r>
    <w:proofErr w:type="spellEnd"/>
    <w:r w:rsidRPr="00B23409">
      <w:rPr>
        <w:rStyle w:val="HideTWBExt"/>
      </w:rPr>
      <w:t>&gt;&lt;Version&gt;</w:t>
    </w:r>
    <w:r w:rsidRPr="00B23409">
      <w:t>v02-00</w:t>
    </w:r>
    <w:r w:rsidRPr="00B23409">
      <w:rPr>
        <w:rStyle w:val="HideTWBExt"/>
      </w:rPr>
      <w:t>&lt;/</w:t>
    </w:r>
    <w:proofErr w:type="spellStart"/>
    <w:r w:rsidRPr="00B23409">
      <w:rPr>
        <w:rStyle w:val="HideTWBExt"/>
      </w:rPr>
      <w:t>Version</w:t>
    </w:r>
    <w:proofErr w:type="spellEnd"/>
    <w:r w:rsidRPr="00B23409">
      <w:rPr>
        <w:rStyle w:val="HideTWBExt"/>
      </w:rPr>
      <w:t>&gt;</w:t>
    </w:r>
    <w:r w:rsidRPr="00B23409">
      <w:tab/>
    </w:r>
    <w:r w:rsidRPr="00B23409">
      <w:fldChar w:fldCharType="begin"/>
    </w:r>
    <w:r w:rsidRPr="00B23409">
      <w:instrText xml:space="preserve"> PAGE  \* MERGEFORMAT </w:instrText>
    </w:r>
    <w:r w:rsidRPr="00B23409">
      <w:fldChar w:fldCharType="separate"/>
    </w:r>
    <w:r w:rsidRPr="00B23409">
      <w:rPr>
        <w:noProof/>
      </w:rPr>
      <w:t>22</w:t>
    </w:r>
    <w:r w:rsidRPr="00B23409">
      <w:fldChar w:fldCharType="end"/>
    </w:r>
    <w:r w:rsidRPr="00B23409">
      <w:t>/</w:t>
    </w:r>
    <w:fldSimple w:instr=" NUMPAGES  \* MERGEFORMAT ">
      <w:r w:rsidRPr="00B23409">
        <w:rPr>
          <w:noProof/>
        </w:rPr>
        <w:t>22</w:t>
      </w:r>
    </w:fldSimple>
    <w:r w:rsidRPr="00B23409">
      <w:tab/>
    </w:r>
    <w:r w:rsidRPr="00B23409">
      <w:rPr>
        <w:rStyle w:val="HideTWBExt"/>
      </w:rPr>
      <w:t>&lt;PathFdR&gt;</w:t>
    </w:r>
    <w:r w:rsidRPr="00B23409">
      <w:t>RR\1299411CS.docx</w:t>
    </w:r>
    <w:r w:rsidRPr="00B23409">
      <w:rPr>
        <w:rStyle w:val="HideTWBExt"/>
      </w:rPr>
      <w:t>&lt;/</w:t>
    </w:r>
    <w:proofErr w:type="spellStart"/>
    <w:r w:rsidRPr="00B23409">
      <w:rPr>
        <w:rStyle w:val="HideTWBExt"/>
      </w:rPr>
      <w:t>PathFdR</w:t>
    </w:r>
    <w:proofErr w:type="spellEnd"/>
    <w:r w:rsidRPr="00B23409">
      <w:rPr>
        <w:rStyle w:val="HideTWBExt"/>
      </w:rPr>
      <w:t>&gt;</w:t>
    </w:r>
  </w:p>
  <w:p w:rsidR="00AF284C" w:rsidRPr="00B23409" w:rsidRDefault="00AF284C" w:rsidP="00423DA5">
    <w:pPr>
      <w:pStyle w:val="EPFooter2"/>
    </w:pPr>
    <w:r w:rsidRPr="00B23409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84C" w:rsidRPr="00B23409" w:rsidRDefault="00AF284C" w:rsidP="00423DA5">
    <w:pPr>
      <w:pStyle w:val="EPFooter"/>
    </w:pPr>
    <w:r w:rsidRPr="00B23409">
      <w:rPr>
        <w:rStyle w:val="HideTWBExt"/>
      </w:rPr>
      <w:t>&lt;PathFdR&gt;</w:t>
    </w:r>
    <w:r w:rsidRPr="00B23409">
      <w:t>RR\1299411CS.docx</w:t>
    </w:r>
    <w:r w:rsidRPr="00B23409">
      <w:rPr>
        <w:rStyle w:val="HideTWBExt"/>
      </w:rPr>
      <w:t>&lt;/</w:t>
    </w:r>
    <w:proofErr w:type="spellStart"/>
    <w:r w:rsidRPr="00B23409">
      <w:rPr>
        <w:rStyle w:val="HideTWBExt"/>
      </w:rPr>
      <w:t>PathFdR</w:t>
    </w:r>
    <w:proofErr w:type="spellEnd"/>
    <w:r w:rsidRPr="00B23409">
      <w:rPr>
        <w:rStyle w:val="HideTWBExt"/>
      </w:rPr>
      <w:t>&gt;</w:t>
    </w:r>
    <w:r w:rsidRPr="00B23409">
      <w:tab/>
    </w:r>
    <w:r w:rsidRPr="00B23409">
      <w:tab/>
      <w:t>PE</w:t>
    </w:r>
    <w:r w:rsidRPr="00B23409">
      <w:rPr>
        <w:rStyle w:val="HideTWBExt"/>
      </w:rPr>
      <w:t>&lt;</w:t>
    </w:r>
    <w:proofErr w:type="spellStart"/>
    <w:r w:rsidRPr="00B23409">
      <w:rPr>
        <w:rStyle w:val="HideTWBExt"/>
      </w:rPr>
      <w:t>NoPE</w:t>
    </w:r>
    <w:proofErr w:type="spellEnd"/>
    <w:r w:rsidRPr="00B23409">
      <w:rPr>
        <w:rStyle w:val="HideTWBExt"/>
      </w:rPr>
      <w:t>&gt;</w:t>
    </w:r>
    <w:r w:rsidRPr="00B23409">
      <w:t>753.552</w:t>
    </w:r>
    <w:r w:rsidRPr="00B23409">
      <w:rPr>
        <w:rStyle w:val="HideTWBExt"/>
      </w:rPr>
      <w:t>&lt;/</w:t>
    </w:r>
    <w:proofErr w:type="spellStart"/>
    <w:r w:rsidRPr="00B23409">
      <w:rPr>
        <w:rStyle w:val="HideTWBExt"/>
      </w:rPr>
      <w:t>NoPE</w:t>
    </w:r>
    <w:proofErr w:type="spellEnd"/>
    <w:r w:rsidRPr="00B23409">
      <w:rPr>
        <w:rStyle w:val="HideTWBExt"/>
      </w:rPr>
      <w:t>&gt;&lt;Version&gt;</w:t>
    </w:r>
    <w:r w:rsidRPr="00B23409">
      <w:t>v02-00</w:t>
    </w:r>
    <w:r w:rsidRPr="00B23409">
      <w:rPr>
        <w:rStyle w:val="HideTWBExt"/>
      </w:rPr>
      <w:t>&lt;/</w:t>
    </w:r>
    <w:proofErr w:type="spellStart"/>
    <w:r w:rsidRPr="00B23409">
      <w:rPr>
        <w:rStyle w:val="HideTWBExt"/>
      </w:rPr>
      <w:t>Version</w:t>
    </w:r>
    <w:proofErr w:type="spellEnd"/>
    <w:r w:rsidRPr="00B23409">
      <w:rPr>
        <w:rStyle w:val="HideTWBExt"/>
      </w:rPr>
      <w:t>&gt;</w:t>
    </w:r>
  </w:p>
  <w:p w:rsidR="00AF284C" w:rsidRPr="00B23409" w:rsidRDefault="00AF284C" w:rsidP="00423DA5">
    <w:pPr>
      <w:pStyle w:val="EPFooter2"/>
    </w:pPr>
    <w:r w:rsidRPr="00B23409">
      <w:t>CS</w:t>
    </w:r>
    <w:r w:rsidRPr="00B23409">
      <w:tab/>
    </w:r>
    <w:r w:rsidRPr="00B23409">
      <w:rPr>
        <w:b w:val="0"/>
        <w:i/>
        <w:color w:val="C0C0C0"/>
        <w:sz w:val="22"/>
      </w:rPr>
      <w:t>Jednotná v rozmanitosti</w:t>
    </w:r>
    <w:r w:rsidRPr="00B23409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84C" w:rsidRPr="00B23409" w:rsidRDefault="00AF284C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84C" w:rsidRPr="00B23409" w:rsidRDefault="00AF284C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84C" w:rsidRPr="00B23409" w:rsidRDefault="00AF284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84C" w:rsidRPr="00B23409" w:rsidRDefault="00AF284C">
      <w:r w:rsidRPr="00B23409">
        <w:separator/>
      </w:r>
    </w:p>
  </w:footnote>
  <w:footnote w:type="continuationSeparator" w:id="0">
    <w:p w:rsidR="00AF284C" w:rsidRPr="00B23409" w:rsidRDefault="00AF284C">
      <w:r w:rsidRPr="00B23409">
        <w:continuationSeparator/>
      </w:r>
    </w:p>
  </w:footnote>
  <w:footnote w:id="1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45, 24.2.2022.</w:t>
      </w:r>
    </w:p>
  </w:footnote>
  <w:footnote w:id="2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C/2023/2, 12.10.2023.</w:t>
      </w:r>
    </w:p>
  </w:footnote>
  <w:footnote w:id="3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C/2023/103, 4.10.2023.</w:t>
      </w:r>
    </w:p>
  </w:footnote>
  <w:footnote w:id="4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C/2023/112, 12.10.2023.</w:t>
      </w:r>
    </w:p>
  </w:footnote>
  <w:footnote w:id="5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193, 30.7.2018, s. 1.</w:t>
      </w:r>
    </w:p>
  </w:footnote>
  <w:footnote w:id="6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45, 24.2.2022.</w:t>
      </w:r>
    </w:p>
  </w:footnote>
  <w:footnote w:id="7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C/2023/2, 12.10.2023.</w:t>
      </w:r>
    </w:p>
  </w:footnote>
  <w:footnote w:id="8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C/2023/809, 22.11.2023.</w:t>
      </w:r>
    </w:p>
  </w:footnote>
  <w:footnote w:id="9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C/2023/103, 4.10.2023.</w:t>
      </w:r>
    </w:p>
  </w:footnote>
  <w:footnote w:id="10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C/2023/112, 12.10.2023.</w:t>
      </w:r>
    </w:p>
  </w:footnote>
  <w:footnote w:id="11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193, 30.7.2018, s. 1.</w:t>
      </w:r>
    </w:p>
  </w:footnote>
  <w:footnote w:id="12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11, 16.1.2003, s. 1.</w:t>
      </w:r>
    </w:p>
  </w:footnote>
  <w:footnote w:id="13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297, 22.9.2004, s. 6.</w:t>
      </w:r>
    </w:p>
  </w:footnote>
  <w:footnote w:id="14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 50, 15.2.2021, s. 9.</w:t>
      </w:r>
    </w:p>
  </w:footnote>
  <w:footnote w:id="15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45, 24.2.2022.</w:t>
      </w:r>
    </w:p>
  </w:footnote>
  <w:footnote w:id="16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C/2023/2, 12.10.2023.</w:t>
      </w:r>
    </w:p>
  </w:footnote>
  <w:footnote w:id="17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C/2023/811, 22.11.2023.</w:t>
      </w:r>
    </w:p>
  </w:footnote>
  <w:footnote w:id="18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C/2023/103, 4.10.2023.</w:t>
      </w:r>
    </w:p>
  </w:footnote>
  <w:footnote w:id="19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C/2023/112, 12.10.2023.</w:t>
      </w:r>
    </w:p>
  </w:footnote>
  <w:footnote w:id="20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193, 30.7.2018, s. 1.</w:t>
      </w:r>
    </w:p>
  </w:footnote>
  <w:footnote w:id="21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11, 16.1.2003, s. 1.</w:t>
      </w:r>
    </w:p>
  </w:footnote>
  <w:footnote w:id="22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297, 22.9.2004, s. 6.</w:t>
      </w:r>
    </w:p>
  </w:footnote>
  <w:footnote w:id="23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 50, 15.2.2021, s. 9.</w:t>
      </w:r>
    </w:p>
  </w:footnote>
  <w:footnote w:id="24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45, 24.2.2022.</w:t>
      </w:r>
    </w:p>
  </w:footnote>
  <w:footnote w:id="25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C/2023/2, 12.10.2023.</w:t>
      </w:r>
    </w:p>
  </w:footnote>
  <w:footnote w:id="26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C/2023/822, 22.11.2023.</w:t>
      </w:r>
    </w:p>
  </w:footnote>
  <w:footnote w:id="27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C/2023/103, 4.10.2023.</w:t>
      </w:r>
    </w:p>
  </w:footnote>
  <w:footnote w:id="28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C/2023/112, 12.10.2023.</w:t>
      </w:r>
    </w:p>
  </w:footnote>
  <w:footnote w:id="29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193, 30.7.2018, s. 1.</w:t>
      </w:r>
    </w:p>
  </w:footnote>
  <w:footnote w:id="30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11, 16.1.2003, s. 1.</w:t>
      </w:r>
    </w:p>
  </w:footnote>
  <w:footnote w:id="31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297, 22.9.2004, s. 6.</w:t>
      </w:r>
    </w:p>
  </w:footnote>
  <w:footnote w:id="32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 50, 15.2.2021, s. 9.</w:t>
      </w:r>
    </w:p>
  </w:footnote>
  <w:footnote w:id="33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45, 24.2.2022.</w:t>
      </w:r>
    </w:p>
  </w:footnote>
  <w:footnote w:id="34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C/2023/2, 12.10.2023.</w:t>
      </w:r>
    </w:p>
  </w:footnote>
  <w:footnote w:id="35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C/2023/831, 22.11.2023.</w:t>
      </w:r>
    </w:p>
  </w:footnote>
  <w:footnote w:id="36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C/2023/103, 4.10.2023.</w:t>
      </w:r>
    </w:p>
  </w:footnote>
  <w:footnote w:id="37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C/2023/112, 12.10.2023.</w:t>
      </w:r>
    </w:p>
  </w:footnote>
  <w:footnote w:id="38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193, 30.7.2018, s. 1.</w:t>
      </w:r>
    </w:p>
  </w:footnote>
  <w:footnote w:id="39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11, 16.1.2003, s. 1.</w:t>
      </w:r>
    </w:p>
  </w:footnote>
  <w:footnote w:id="40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297, 22.9.2004, s. 6.</w:t>
      </w:r>
    </w:p>
  </w:footnote>
  <w:footnote w:id="41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 50, 15.2.2021, s. 9.</w:t>
      </w:r>
    </w:p>
  </w:footnote>
  <w:footnote w:id="42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45, 24.2.2022.</w:t>
      </w:r>
    </w:p>
  </w:footnote>
  <w:footnote w:id="43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C/2023/2, 12.10.2023.</w:t>
      </w:r>
    </w:p>
  </w:footnote>
  <w:footnote w:id="44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r w:rsidR="00DE6AA8" w:rsidRPr="00C863EC">
        <w:rPr>
          <w:sz w:val="24"/>
          <w:szCs w:val="24"/>
          <w:lang w:val="cs-CZ"/>
        </w:rPr>
        <w:t xml:space="preserve">C, </w:t>
      </w:r>
      <w:r w:rsidRPr="00C863EC">
        <w:rPr>
          <w:sz w:val="24"/>
          <w:szCs w:val="24"/>
          <w:lang w:val="cs-CZ"/>
        </w:rPr>
        <w:t>C/2023/847, 22.11.2023.</w:t>
      </w:r>
    </w:p>
  </w:footnote>
  <w:footnote w:id="45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C/2023/103, 4.10.2023.</w:t>
      </w:r>
    </w:p>
  </w:footnote>
  <w:footnote w:id="46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C/2023/112, 12.10.2023.</w:t>
      </w:r>
    </w:p>
  </w:footnote>
  <w:footnote w:id="47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193, 30.7.2018, s. 1.</w:t>
      </w:r>
    </w:p>
  </w:footnote>
  <w:footnote w:id="48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11, 16.1.2003, s. 1.</w:t>
      </w:r>
    </w:p>
  </w:footnote>
  <w:footnote w:id="49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297, 22.9.2004, s. 6.</w:t>
      </w:r>
    </w:p>
  </w:footnote>
  <w:footnote w:id="50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 50, 15.2.2021, s. 9.</w:t>
      </w:r>
    </w:p>
  </w:footnote>
  <w:footnote w:id="51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45, 24.2.2022.</w:t>
      </w:r>
    </w:p>
  </w:footnote>
  <w:footnote w:id="52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C/2023/2, 12.10.2023.</w:t>
      </w:r>
    </w:p>
  </w:footnote>
  <w:footnote w:id="53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C/2023/850, 22.11.2023.</w:t>
      </w:r>
    </w:p>
  </w:footnote>
  <w:footnote w:id="54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C/2023/103, 4.10.2023.</w:t>
      </w:r>
    </w:p>
  </w:footnote>
  <w:footnote w:id="55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C/2023/112, 12.10.2023.</w:t>
      </w:r>
    </w:p>
  </w:footnote>
  <w:footnote w:id="56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193, 30.7.2018, s. 1.</w:t>
      </w:r>
    </w:p>
  </w:footnote>
  <w:footnote w:id="57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11, 16.1.2003, s. 1.</w:t>
      </w:r>
    </w:p>
  </w:footnote>
  <w:footnote w:id="58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297, 22.9.2004, s. 6.</w:t>
      </w:r>
    </w:p>
  </w:footnote>
  <w:footnote w:id="59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 50, 15.2.2021, s. 9.</w:t>
      </w:r>
    </w:p>
  </w:footnote>
  <w:footnote w:id="60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45, 24.2.2022.</w:t>
      </w:r>
    </w:p>
  </w:footnote>
  <w:footnote w:id="61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C/2023/2, 12.10.2023.</w:t>
      </w:r>
    </w:p>
  </w:footnote>
  <w:footnote w:id="62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C/2023/103, 4.10.2023.</w:t>
      </w:r>
    </w:p>
  </w:footnote>
  <w:footnote w:id="63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C/2023/112, 12.10.2023.</w:t>
      </w:r>
    </w:p>
  </w:footnote>
  <w:footnote w:id="64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193, 30.7.2018, s. 1.</w:t>
      </w:r>
    </w:p>
  </w:footnote>
  <w:footnote w:id="65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11, 16.1.2003, s. 1.</w:t>
      </w:r>
    </w:p>
  </w:footnote>
  <w:footnote w:id="66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C/2023/103, 4.10.2023.</w:t>
      </w:r>
    </w:p>
  </w:footnote>
  <w:footnote w:id="67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 231, 30.6.2021, s. 159.</w:t>
      </w:r>
    </w:p>
  </w:footnote>
  <w:footnote w:id="68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hyperlink r:id="rId1" w:history="1">
        <w:r w:rsidRPr="00C863EC">
          <w:rPr>
            <w:rStyle w:val="Hyperlink"/>
            <w:color w:val="auto"/>
            <w:sz w:val="24"/>
            <w:szCs w:val="24"/>
            <w:lang w:val="cs-CZ"/>
          </w:rPr>
          <w:t>https://www.europarl.europa.eu/RegData/etudes/STUD/</w:t>
        </w:r>
        <w:r w:rsidRPr="00C863EC">
          <w:rPr>
            <w:rStyle w:val="Hyperlink"/>
            <w:color w:val="auto"/>
            <w:sz w:val="24"/>
            <w:szCs w:val="24"/>
            <w:lang w:val="cs-CZ"/>
          </w:rPr>
          <w:br/>
          <w:t>2022/736899/IPOL_STU(2022)736899_EN.pdf</w:t>
        </w:r>
      </w:hyperlink>
    </w:p>
  </w:footnote>
  <w:footnote w:id="69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C, C/2023/103, 4.10.2023.</w:t>
      </w:r>
    </w:p>
  </w:footnote>
  <w:footnote w:id="70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  <w:t>COM(2023)0464.</w:t>
      </w:r>
    </w:p>
  </w:footnote>
  <w:footnote w:id="71">
    <w:p w:rsidR="004457C8" w:rsidRPr="00C863EC" w:rsidRDefault="004457C8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  <w:t>Nařízení Evropského parlamentu a Rady (EU, Euratom) 2020/2223 ze dne 23. prosince 2020, kterým se mění nařízení (EU, Euratom) č. 883/2013, pokud jde o spolupráci s Úřadem evropského veřejného žalobce a účelnost vyšetřování Evropského úřadu pro boj proti podvodům (</w:t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437, 28.12.2020, s. 49).</w:t>
      </w:r>
    </w:p>
  </w:footnote>
  <w:footnote w:id="72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  <w:t>Nařízení Evropského parlamentu a Rady (EU) 2022/869 ze dne 30. května 2022, kterým se stanoví hlavní směry pro transevropské energetické sítě, mění nařízení (ES) č. 715/2009, (EU) 2019/942 a (EU) 2019/943 a směrnice 2009/73/ES a (EU) 2019/944 a zrušuje nařízení (EU) č. 347/2013 (</w:t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>. 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 L 152, 3.6.2022, s. 45).</w:t>
      </w:r>
    </w:p>
  </w:footnote>
  <w:footnote w:id="73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  <w:t>Nařízení Evropského parlamentu a Rady (EU, Euratom) 2018/1046 ze dne 18. července 2018, kterým se stanoví finanční pravidla pro souhrnný rozpočet Unie, mění nařízení (EU) č. 1296/2013, (EU) č. 1301/2013, (EU) č. 1303/2013, (EU) č. 1304/2013, (EU) č. 1309/2013, (EU) č. 1316/2013, (EU) č. 223/2014, (EU) č. 283/2014 a rozhodnutí č. 541/2014/EU a zrušuje nařízení (EU, Euratom) č. 966/2012 (</w:t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193, 30.7.2018, s. 1).</w:t>
      </w:r>
    </w:p>
  </w:footnote>
  <w:footnote w:id="74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shd w:val="clear" w:color="auto" w:fill="FFFFFF"/>
          <w:lang w:val="cs-CZ"/>
        </w:rPr>
        <w:t xml:space="preserve"> </w:t>
      </w:r>
      <w:r w:rsidRPr="00C863EC">
        <w:rPr>
          <w:sz w:val="24"/>
          <w:szCs w:val="24"/>
          <w:shd w:val="clear" w:color="auto" w:fill="FFFFFF"/>
          <w:lang w:val="cs-CZ"/>
        </w:rPr>
        <w:tab/>
        <w:t>Směrnice Evropského parlamentu a Rady (EU) 2017/1371 ze dne 5. července 2017 o boji vedeném trestněprávní cestou proti podvodům poškozujícím finanční zájmy Unie</w:t>
      </w:r>
      <w:r w:rsidRPr="00C863EC">
        <w:rPr>
          <w:sz w:val="24"/>
          <w:szCs w:val="24"/>
          <w:lang w:val="cs-CZ"/>
        </w:rPr>
        <w:t xml:space="preserve"> (</w:t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198, 28.7.2017, s. 29).</w:t>
      </w:r>
    </w:p>
  </w:footnote>
  <w:footnote w:id="75">
    <w:p w:rsidR="00AF284C" w:rsidRPr="00C863EC" w:rsidRDefault="00AF284C" w:rsidP="00C863EC">
      <w:pPr>
        <w:pStyle w:val="CommentText"/>
        <w:ind w:left="567" w:hanging="567"/>
        <w:rPr>
          <w:sz w:val="24"/>
          <w:szCs w:val="24"/>
        </w:rPr>
      </w:pPr>
      <w:r w:rsidRPr="00C863EC">
        <w:rPr>
          <w:rStyle w:val="FootnoteReference"/>
          <w:sz w:val="24"/>
          <w:szCs w:val="24"/>
        </w:rPr>
        <w:footnoteRef/>
      </w:r>
      <w:r w:rsidRPr="00C863EC">
        <w:rPr>
          <w:sz w:val="24"/>
          <w:szCs w:val="24"/>
        </w:rPr>
        <w:t xml:space="preserve"> </w:t>
      </w:r>
      <w:r w:rsidRPr="00C863EC">
        <w:rPr>
          <w:sz w:val="24"/>
          <w:szCs w:val="24"/>
        </w:rPr>
        <w:tab/>
        <w:t>Rozhodnutí Komise ze dne 13.12.2023 o opětovném posouzení z podnětu Komise, pokud jde o plnění podmínek stanovených v článku 4 nařízení (EU, Euratom) 2020/2092 po prováděcím rozhodnutí Rady (EU) 2022/2506 ze dne 15. prosince 2022 o Maďarsku, C(2023)8999.</w:t>
      </w:r>
    </w:p>
  </w:footnote>
  <w:footnote w:id="76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  <w:t>Výdaje v rozpočtu EU na období 2014–2020 související s klimatem – Nejsou tak vysoké, jak jsou vykázány, 30. května 2022.</w:t>
      </w:r>
    </w:p>
  </w:footnote>
  <w:footnote w:id="77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  <w:t>Nařízení Evropského parlamentu a Rady (EU) 2020/2220 ze dne 23. prosince 2020, kterým se stanoví určitá přechodná ustanovení o podpoře z Evropského zemědělského fondu pro rozvoj venkova (EZFRV) a z Evropského zemědělského záručního fondu (EZZF) v letech 2021 a 2022 a kterým se mění nařízení (EU) č. 1305/2013, (EU) č. 1306/2013 a (EU) č. 1307/2013, pokud jde o jejich zdroje a použití v letech 2021 a 2022, a kterým se mění nařízení (EU) č. 1308/2013, pokud jde o zdroje a rozdělení takové podpory v letech 2021 a 2022 (</w:t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437, 28.12.2020, s. 1).</w:t>
      </w:r>
    </w:p>
  </w:footnote>
  <w:footnote w:id="78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</w:r>
      <w:hyperlink r:id="rId2" w:history="1">
        <w:r w:rsidRPr="00C863EC">
          <w:rPr>
            <w:rStyle w:val="Hyperlink"/>
            <w:color w:val="auto"/>
            <w:sz w:val="24"/>
            <w:szCs w:val="24"/>
            <w:lang w:val="cs-CZ"/>
          </w:rPr>
          <w:t>https://www.eca.europa.eu/ECAPublications/AR-2022/AR-2022_CS.pdf</w:t>
        </w:r>
      </w:hyperlink>
    </w:p>
  </w:footnote>
  <w:footnote w:id="79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  <w:t>Zvláštní zpráva Evropského účetního dvora 23/2020 „Evropský úřad pro výběr personálu: je načase přizpůsobit výběr měnícím se náborovým potřebám.“</w:t>
      </w:r>
    </w:p>
  </w:footnote>
  <w:footnote w:id="80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  <w:t>Přijaté texty, P9_TA(2023)0306.</w:t>
      </w:r>
    </w:p>
  </w:footnote>
  <w:footnote w:id="81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shd w:val="clear" w:color="auto" w:fill="FFFFFF"/>
          <w:lang w:val="cs-CZ"/>
        </w:rPr>
        <w:t xml:space="preserve"> </w:t>
      </w:r>
      <w:r w:rsidRPr="00C863EC">
        <w:rPr>
          <w:sz w:val="24"/>
          <w:szCs w:val="24"/>
          <w:shd w:val="clear" w:color="auto" w:fill="FFFFFF"/>
          <w:lang w:val="cs-CZ"/>
        </w:rPr>
        <w:tab/>
        <w:t>Nařízení Evropského parlamentu a Rady (ES) č. 1049/2001 ze dne 30. května 2001 o přístupu veřejnosti k dokumentům Evropského parlamentu, Rady a Komise (</w:t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145, 31.5.2001, s. 43).</w:t>
      </w:r>
    </w:p>
  </w:footnote>
  <w:footnote w:id="82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b/>
          <w:sz w:val="24"/>
          <w:szCs w:val="24"/>
          <w:shd w:val="clear" w:color="auto" w:fill="FFFFFF"/>
          <w:lang w:val="cs-CZ"/>
        </w:rPr>
        <w:t xml:space="preserve"> </w:t>
      </w:r>
      <w:r w:rsidRPr="00C863EC">
        <w:rPr>
          <w:b/>
          <w:sz w:val="24"/>
          <w:szCs w:val="24"/>
          <w:shd w:val="clear" w:color="auto" w:fill="FFFFFF"/>
          <w:lang w:val="cs-CZ"/>
        </w:rPr>
        <w:tab/>
      </w:r>
      <w:r w:rsidRPr="00C863EC">
        <w:rPr>
          <w:sz w:val="24"/>
          <w:szCs w:val="24"/>
          <w:shd w:val="clear" w:color="auto" w:fill="FFFFFF"/>
          <w:lang w:val="cs-CZ"/>
        </w:rPr>
        <w:t>Nařízení Evropského parlamentu a Rady (EU) 2021/241 ze dne 12. února 2021, kterým se zřizuje Nástroj pro oživení a odolnost</w:t>
      </w:r>
      <w:r w:rsidRPr="00C863EC">
        <w:rPr>
          <w:sz w:val="24"/>
          <w:szCs w:val="24"/>
          <w:lang w:val="cs-CZ"/>
        </w:rPr>
        <w:t xml:space="preserve"> (</w:t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 57, 18.2.2021, s. 17).</w:t>
      </w:r>
    </w:p>
  </w:footnote>
  <w:footnote w:id="83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  <w:t xml:space="preserve">Nařízení Evropského parlamentu a Rady (EU) 2023/435 ze dne 27. února 2023, kterým se mění nařízení (EU) 2021/241, pokud jde o kapitoly </w:t>
      </w:r>
      <w:proofErr w:type="spellStart"/>
      <w:r w:rsidRPr="00C863EC">
        <w:rPr>
          <w:sz w:val="24"/>
          <w:szCs w:val="24"/>
          <w:lang w:val="cs-CZ"/>
        </w:rPr>
        <w:t>REPowerEU</w:t>
      </w:r>
      <w:proofErr w:type="spellEnd"/>
      <w:r w:rsidRPr="00C863EC">
        <w:rPr>
          <w:sz w:val="24"/>
          <w:szCs w:val="24"/>
          <w:lang w:val="cs-CZ"/>
        </w:rPr>
        <w:t xml:space="preserve"> v plánech pro oživení a odolnost, a nařízení (EU) č. 1303/2013, (EU) 2021/1060 a (EU) 2021/1755 a směrnice 2003/87/ES (</w:t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63, 28.2.2023, s. 1).</w:t>
      </w:r>
    </w:p>
  </w:footnote>
  <w:footnote w:id="84">
    <w:p w:rsidR="00AF284C" w:rsidRPr="00C863EC" w:rsidRDefault="00AF284C" w:rsidP="00C863EC">
      <w:pPr>
        <w:pStyle w:val="FootnoteText"/>
        <w:ind w:left="567" w:hanging="567"/>
        <w:rPr>
          <w:b/>
          <w:bCs/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  <w:t>Nařízení Rady (EU) 2017/1939 ze dne 12. října 2017, kterým se provádí posílená spolupráce za účelem zřízení Úřadu evropského veřejného žalobce (</w:t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283, 31.10.2017, s. 1).</w:t>
      </w:r>
    </w:p>
  </w:footnote>
  <w:footnote w:id="85">
    <w:p w:rsidR="00AF284C" w:rsidRPr="00C863EC" w:rsidRDefault="00AF284C" w:rsidP="00C863EC">
      <w:pPr>
        <w:pStyle w:val="FootnoteText"/>
        <w:ind w:left="567" w:hanging="567"/>
        <w:rPr>
          <w:sz w:val="24"/>
          <w:szCs w:val="24"/>
          <w:lang w:val="cs-CZ"/>
        </w:rPr>
      </w:pPr>
      <w:r w:rsidRPr="00C863EC">
        <w:rPr>
          <w:rStyle w:val="FootnoteReference"/>
          <w:sz w:val="24"/>
          <w:szCs w:val="24"/>
          <w:lang w:val="cs-CZ"/>
        </w:rPr>
        <w:footnoteRef/>
      </w:r>
      <w:r w:rsidRPr="00C863EC">
        <w:rPr>
          <w:sz w:val="24"/>
          <w:szCs w:val="24"/>
          <w:lang w:val="cs-CZ"/>
        </w:rPr>
        <w:t xml:space="preserve"> </w:t>
      </w:r>
      <w:r w:rsidRPr="00C863EC">
        <w:rPr>
          <w:sz w:val="24"/>
          <w:szCs w:val="24"/>
          <w:lang w:val="cs-CZ"/>
        </w:rPr>
        <w:tab/>
        <w:t>Směrnice Evropského parlamentu a Rady (EU) 2017/1371 ze dne 5. července 2017 o boji vedeném trestněprávní cestou proti podvodům poškozujícím finanční zájmy Unie (</w:t>
      </w:r>
      <w:proofErr w:type="spellStart"/>
      <w:r w:rsidRPr="00C863EC">
        <w:rPr>
          <w:sz w:val="24"/>
          <w:szCs w:val="24"/>
          <w:lang w:val="cs-CZ"/>
        </w:rPr>
        <w:t>Úř</w:t>
      </w:r>
      <w:proofErr w:type="spellEnd"/>
      <w:r w:rsidRPr="00C863EC">
        <w:rPr>
          <w:sz w:val="24"/>
          <w:szCs w:val="24"/>
          <w:lang w:val="cs-CZ"/>
        </w:rPr>
        <w:t xml:space="preserve">. </w:t>
      </w:r>
      <w:proofErr w:type="spellStart"/>
      <w:r w:rsidRPr="00C863EC">
        <w:rPr>
          <w:sz w:val="24"/>
          <w:szCs w:val="24"/>
          <w:lang w:val="cs-CZ"/>
        </w:rPr>
        <w:t>věst</w:t>
      </w:r>
      <w:proofErr w:type="spellEnd"/>
      <w:r w:rsidRPr="00C863EC">
        <w:rPr>
          <w:sz w:val="24"/>
          <w:szCs w:val="24"/>
          <w:lang w:val="cs-CZ"/>
        </w:rPr>
        <w:t>. L 198, 28.7.2017, s. 29).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84C" w:rsidRPr="00B23409" w:rsidRDefault="00AF284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84C" w:rsidRPr="00B23409" w:rsidRDefault="00AF284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284C" w:rsidRPr="00B23409" w:rsidRDefault="00AF28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82462AB"/>
    <w:multiLevelType w:val="hybridMultilevel"/>
    <w:tmpl w:val="87EA7F96"/>
    <w:lvl w:ilvl="0" w:tplc="5CDA6DD2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811240C"/>
    <w:multiLevelType w:val="hybridMultilevel"/>
    <w:tmpl w:val="56349D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069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C32E3D"/>
    <w:multiLevelType w:val="hybridMultilevel"/>
    <w:tmpl w:val="429CE098"/>
    <w:lvl w:ilvl="0" w:tplc="08090019">
      <w:start w:val="1"/>
      <w:numFmt w:val="lowerLetter"/>
      <w:lvlText w:val="%1."/>
      <w:lvlJc w:val="left"/>
      <w:pPr>
        <w:ind w:left="501" w:hanging="360"/>
      </w:pPr>
    </w:lvl>
    <w:lvl w:ilvl="1" w:tplc="08090019" w:tentative="1">
      <w:start w:val="1"/>
      <w:numFmt w:val="lowerLetter"/>
      <w:lvlText w:val="%2."/>
      <w:lvlJc w:val="left"/>
      <w:pPr>
        <w:ind w:left="1221" w:hanging="360"/>
      </w:pPr>
    </w:lvl>
    <w:lvl w:ilvl="2" w:tplc="0809001B" w:tentative="1">
      <w:start w:val="1"/>
      <w:numFmt w:val="lowerRoman"/>
      <w:lvlText w:val="%3."/>
      <w:lvlJc w:val="right"/>
      <w:pPr>
        <w:ind w:left="1941" w:hanging="180"/>
      </w:pPr>
    </w:lvl>
    <w:lvl w:ilvl="3" w:tplc="0809000F" w:tentative="1">
      <w:start w:val="1"/>
      <w:numFmt w:val="decimal"/>
      <w:lvlText w:val="%4."/>
      <w:lvlJc w:val="left"/>
      <w:pPr>
        <w:ind w:left="2661" w:hanging="360"/>
      </w:pPr>
    </w:lvl>
    <w:lvl w:ilvl="4" w:tplc="08090019" w:tentative="1">
      <w:start w:val="1"/>
      <w:numFmt w:val="lowerLetter"/>
      <w:lvlText w:val="%5."/>
      <w:lvlJc w:val="left"/>
      <w:pPr>
        <w:ind w:left="3381" w:hanging="360"/>
      </w:pPr>
    </w:lvl>
    <w:lvl w:ilvl="5" w:tplc="0809001B" w:tentative="1">
      <w:start w:val="1"/>
      <w:numFmt w:val="lowerRoman"/>
      <w:lvlText w:val="%6."/>
      <w:lvlJc w:val="right"/>
      <w:pPr>
        <w:ind w:left="4101" w:hanging="180"/>
      </w:pPr>
    </w:lvl>
    <w:lvl w:ilvl="6" w:tplc="0809000F" w:tentative="1">
      <w:start w:val="1"/>
      <w:numFmt w:val="decimal"/>
      <w:lvlText w:val="%7."/>
      <w:lvlJc w:val="left"/>
      <w:pPr>
        <w:ind w:left="4821" w:hanging="360"/>
      </w:pPr>
    </w:lvl>
    <w:lvl w:ilvl="7" w:tplc="08090019" w:tentative="1">
      <w:start w:val="1"/>
      <w:numFmt w:val="lowerLetter"/>
      <w:lvlText w:val="%8."/>
      <w:lvlJc w:val="left"/>
      <w:pPr>
        <w:ind w:left="5541" w:hanging="360"/>
      </w:pPr>
    </w:lvl>
    <w:lvl w:ilvl="8" w:tplc="0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5" w15:restartNumberingAfterBreak="0">
    <w:nsid w:val="5AAE7D49"/>
    <w:multiLevelType w:val="hybridMultilevel"/>
    <w:tmpl w:val="98D4AAEE"/>
    <w:lvl w:ilvl="0" w:tplc="17C2B5C8">
      <w:start w:val="1"/>
      <w:numFmt w:val="decimal"/>
      <w:pStyle w:val="PageHeadingNoLead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FA358F5"/>
    <w:multiLevelType w:val="hybridMultilevel"/>
    <w:tmpl w:val="B2AC1DC2"/>
    <w:lvl w:ilvl="0" w:tplc="DCD2EC52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3"/>
  </w:num>
  <w:num w:numId="45">
    <w:abstractNumId w:val="15"/>
  </w:num>
  <w:num w:numId="46">
    <w:abstractNumId w:val="14"/>
  </w:num>
  <w:num w:numId="47">
    <w:abstractNumId w:val="12"/>
  </w:num>
  <w:num w:numId="48">
    <w:abstractNumId w:val="16"/>
  </w:num>
  <w:num w:numId="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39/2024"/>
    <w:docVar w:name="dvlangue" w:val="CS"/>
    <w:docVar w:name="dvnumam" w:val="0"/>
    <w:docVar w:name="dvpe" w:val="753.552"/>
    <w:docVar w:name="dvrapporteur" w:val="Zpravodajka: "/>
    <w:docVar w:name="dvtitre" w:val="1. Rozhodnutí Evropského parlamentu ze dne.... 2024 k udělení absolutoria za plnění souhrnného rozpočtu Evropské unie na rozpočtový rok 2022, oddíl III – Komise a výkonné agentury(2023/2129(DEC))"/>
  </w:docVars>
  <w:rsids>
    <w:rsidRoot w:val="00CB7CB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3DA5"/>
    <w:rsid w:val="004457C8"/>
    <w:rsid w:val="00471C19"/>
    <w:rsid w:val="004867E3"/>
    <w:rsid w:val="00487FB5"/>
    <w:rsid w:val="00494A28"/>
    <w:rsid w:val="004C0004"/>
    <w:rsid w:val="004C5D52"/>
    <w:rsid w:val="0050519A"/>
    <w:rsid w:val="005072A1"/>
    <w:rsid w:val="00514517"/>
    <w:rsid w:val="00532512"/>
    <w:rsid w:val="00545827"/>
    <w:rsid w:val="00560270"/>
    <w:rsid w:val="005C2568"/>
    <w:rsid w:val="005E7441"/>
    <w:rsid w:val="006037C0"/>
    <w:rsid w:val="00607DE8"/>
    <w:rsid w:val="006631B6"/>
    <w:rsid w:val="00680577"/>
    <w:rsid w:val="006B01DD"/>
    <w:rsid w:val="006F73D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6122"/>
    <w:rsid w:val="007D7B32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382E"/>
    <w:rsid w:val="00981893"/>
    <w:rsid w:val="00A1687D"/>
    <w:rsid w:val="00A43E52"/>
    <w:rsid w:val="00A4678D"/>
    <w:rsid w:val="00A778C7"/>
    <w:rsid w:val="00AB441E"/>
    <w:rsid w:val="00AB6293"/>
    <w:rsid w:val="00AE0928"/>
    <w:rsid w:val="00AF284C"/>
    <w:rsid w:val="00AF3B82"/>
    <w:rsid w:val="00B12E95"/>
    <w:rsid w:val="00B22876"/>
    <w:rsid w:val="00B23409"/>
    <w:rsid w:val="00B558F0"/>
    <w:rsid w:val="00B90D3B"/>
    <w:rsid w:val="00BD48FE"/>
    <w:rsid w:val="00BD7BD8"/>
    <w:rsid w:val="00BE6ADC"/>
    <w:rsid w:val="00C05BFE"/>
    <w:rsid w:val="00C23CD4"/>
    <w:rsid w:val="00C61C0C"/>
    <w:rsid w:val="00C863EC"/>
    <w:rsid w:val="00C941CB"/>
    <w:rsid w:val="00CB7CB5"/>
    <w:rsid w:val="00CC2357"/>
    <w:rsid w:val="00CF071A"/>
    <w:rsid w:val="00D058B8"/>
    <w:rsid w:val="00D56C11"/>
    <w:rsid w:val="00D834A0"/>
    <w:rsid w:val="00D872DF"/>
    <w:rsid w:val="00D91E21"/>
    <w:rsid w:val="00DA7FCD"/>
    <w:rsid w:val="00DE6AA8"/>
    <w:rsid w:val="00E365E1"/>
    <w:rsid w:val="00E820A4"/>
    <w:rsid w:val="00EB006A"/>
    <w:rsid w:val="00EB4772"/>
    <w:rsid w:val="00EC63EA"/>
    <w:rsid w:val="00ED169E"/>
    <w:rsid w:val="00ED4235"/>
    <w:rsid w:val="00F04346"/>
    <w:rsid w:val="00F075DC"/>
    <w:rsid w:val="00F149E9"/>
    <w:rsid w:val="00F35DA0"/>
    <w:rsid w:val="00F4225B"/>
    <w:rsid w:val="00F5134D"/>
    <w:rsid w:val="00F74202"/>
    <w:rsid w:val="00F87713"/>
    <w:rsid w:val="00FA2D6B"/>
    <w:rsid w:val="00FA5FC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F34118"/>
  <w15:chartTrackingRefBased/>
  <w15:docId w15:val="{3E2226F2-40AF-4BB7-81E4-C708E5AF1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uiPriority="1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A2D6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A2D6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FA2D6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A2D6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A2D6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A2D6B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FA2D6B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2D6B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FA2D6B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FA2D6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A2D6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FA2D6B"/>
    <w:pPr>
      <w:spacing w:after="240"/>
    </w:pPr>
  </w:style>
  <w:style w:type="paragraph" w:customStyle="1" w:styleId="TOCPage">
    <w:name w:val="TOC Page"/>
    <w:basedOn w:val="Normal"/>
    <w:next w:val="TOC1"/>
    <w:rsid w:val="00FA2D6B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FA2D6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A2D6B"/>
    <w:rPr>
      <w:b/>
    </w:rPr>
  </w:style>
  <w:style w:type="paragraph" w:customStyle="1" w:styleId="NormalHanging12a">
    <w:name w:val="NormalHanging12a"/>
    <w:basedOn w:val="Normal"/>
    <w:link w:val="NormalHanging12aChar"/>
    <w:rsid w:val="00FA2D6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A2D6B"/>
    <w:pPr>
      <w:spacing w:after="480"/>
      <w:ind w:left="1417"/>
    </w:pPr>
  </w:style>
  <w:style w:type="paragraph" w:customStyle="1" w:styleId="CoverNormal">
    <w:name w:val="CoverNormal"/>
    <w:basedOn w:val="Normal"/>
    <w:rsid w:val="00FA2D6B"/>
    <w:pPr>
      <w:ind w:left="1418"/>
    </w:pPr>
  </w:style>
  <w:style w:type="paragraph" w:customStyle="1" w:styleId="CoverReference">
    <w:name w:val="CoverReference"/>
    <w:basedOn w:val="Normal"/>
    <w:rsid w:val="00FA2D6B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FA2D6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A2D6B"/>
    <w:pPr>
      <w:spacing w:before="240" w:after="1200"/>
    </w:pPr>
  </w:style>
  <w:style w:type="paragraph" w:customStyle="1" w:styleId="EPComma">
    <w:name w:val="EPComma"/>
    <w:basedOn w:val="Normal"/>
    <w:rsid w:val="00FA2D6B"/>
    <w:pPr>
      <w:spacing w:before="480" w:after="240"/>
    </w:pPr>
  </w:style>
  <w:style w:type="paragraph" w:customStyle="1" w:styleId="PageSubHeading">
    <w:name w:val="PageSubHeading"/>
    <w:basedOn w:val="Normal"/>
    <w:rsid w:val="00FA2D6B"/>
    <w:rPr>
      <w:b/>
    </w:rPr>
  </w:style>
  <w:style w:type="paragraph" w:customStyle="1" w:styleId="EPBody">
    <w:name w:val="EPBody"/>
    <w:basedOn w:val="Normal"/>
    <w:rsid w:val="00FA2D6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A2D6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rsid w:val="00FA2D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A2D6B"/>
    <w:rPr>
      <w:sz w:val="24"/>
      <w:lang w:val="cs-CZ"/>
    </w:rPr>
  </w:style>
  <w:style w:type="paragraph" w:customStyle="1" w:styleId="PageHeadingNoLeader">
    <w:name w:val="PageHeadingNoLeader"/>
    <w:basedOn w:val="PageHeading"/>
    <w:qFormat/>
    <w:rsid w:val="00FA2D6B"/>
    <w:pPr>
      <w:numPr>
        <w:numId w:val="45"/>
      </w:numPr>
    </w:pPr>
  </w:style>
  <w:style w:type="character" w:customStyle="1" w:styleId="NormalHanging12aChar">
    <w:name w:val="NormalHanging12a Char"/>
    <w:basedOn w:val="DefaultParagraphFont"/>
    <w:link w:val="NormalHanging12a"/>
    <w:locked/>
    <w:rsid w:val="00FA2D6B"/>
    <w:rPr>
      <w:sz w:val="24"/>
      <w:lang w:val="cs-CZ"/>
    </w:rPr>
  </w:style>
  <w:style w:type="paragraph" w:styleId="BalloonText">
    <w:name w:val="Balloon Text"/>
    <w:basedOn w:val="Normal"/>
    <w:link w:val="BalloonTextChar"/>
    <w:unhideWhenUsed/>
    <w:rsid w:val="00FA2D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A2D6B"/>
    <w:rPr>
      <w:rFonts w:ascii="Segoe UI" w:hAnsi="Segoe UI" w:cs="Segoe UI"/>
      <w:sz w:val="18"/>
      <w:szCs w:val="18"/>
      <w:lang w:val="cs-CZ"/>
    </w:rPr>
  </w:style>
  <w:style w:type="character" w:styleId="Hyperlink">
    <w:name w:val="Hyperlink"/>
    <w:basedOn w:val="DefaultParagraphFont"/>
    <w:uiPriority w:val="99"/>
    <w:rsid w:val="00FA2D6B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FA2D6B"/>
    <w:pPr>
      <w:spacing w:after="480"/>
    </w:pPr>
  </w:style>
  <w:style w:type="paragraph" w:customStyle="1" w:styleId="NormalBoldCenter">
    <w:name w:val="NormalBoldCenter"/>
    <w:basedOn w:val="Normal"/>
    <w:rsid w:val="00FA2D6B"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FA2D6B"/>
    <w:pPr>
      <w:autoSpaceDE w:val="0"/>
      <w:autoSpaceDN w:val="0"/>
    </w:pPr>
    <w:rPr>
      <w:sz w:val="22"/>
      <w:szCs w:val="22"/>
      <w:lang w:eastAsia="en-US"/>
    </w:rPr>
  </w:style>
  <w:style w:type="paragraph" w:customStyle="1" w:styleId="paragraph">
    <w:name w:val="paragraph"/>
    <w:basedOn w:val="Normal"/>
    <w:rsid w:val="00FA2D6B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FA2D6B"/>
  </w:style>
  <w:style w:type="paragraph" w:styleId="Title">
    <w:name w:val="Title"/>
    <w:basedOn w:val="Normal"/>
    <w:link w:val="TitleChar"/>
    <w:uiPriority w:val="1"/>
    <w:qFormat/>
    <w:rsid w:val="00FA2D6B"/>
    <w:pPr>
      <w:autoSpaceDE w:val="0"/>
      <w:autoSpaceDN w:val="0"/>
      <w:ind w:left="100"/>
    </w:pPr>
    <w:rPr>
      <w:b/>
      <w:bCs/>
      <w:szCs w:val="24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FA2D6B"/>
    <w:rPr>
      <w:b/>
      <w:bCs/>
      <w:sz w:val="24"/>
      <w:szCs w:val="24"/>
      <w:lang w:val="cs-CZ" w:eastAsia="en-US"/>
    </w:rPr>
  </w:style>
  <w:style w:type="character" w:styleId="CommentReference">
    <w:name w:val="annotation reference"/>
    <w:basedOn w:val="DefaultParagraphFont"/>
    <w:rsid w:val="00FA2D6B"/>
    <w:rPr>
      <w:sz w:val="16"/>
      <w:szCs w:val="16"/>
    </w:rPr>
  </w:style>
  <w:style w:type="paragraph" w:styleId="CommentText">
    <w:name w:val="annotation text"/>
    <w:basedOn w:val="Normal"/>
    <w:link w:val="CommentTextChar"/>
    <w:rsid w:val="00FA2D6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A2D6B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A2D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A2D6B"/>
    <w:rPr>
      <w:b/>
      <w:bCs/>
      <w:lang w:val="cs-CZ"/>
    </w:rPr>
  </w:style>
  <w:style w:type="paragraph" w:customStyle="1" w:styleId="oj-doc-ti">
    <w:name w:val="oj-doc-ti"/>
    <w:basedOn w:val="Normal"/>
    <w:rsid w:val="00FA2D6B"/>
    <w:pPr>
      <w:widowControl/>
      <w:spacing w:before="100" w:beforeAutospacing="1" w:after="100" w:afterAutospacing="1"/>
    </w:pPr>
    <w:rPr>
      <w:szCs w:val="24"/>
    </w:rPr>
  </w:style>
  <w:style w:type="paragraph" w:styleId="EndnoteText">
    <w:name w:val="endnote text"/>
    <w:basedOn w:val="Normal"/>
    <w:link w:val="EndnoteTextChar"/>
    <w:rsid w:val="00FA2D6B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FA2D6B"/>
    <w:rPr>
      <w:lang w:val="cs-CZ"/>
    </w:rPr>
  </w:style>
  <w:style w:type="character" w:styleId="EndnoteReference">
    <w:name w:val="endnote reference"/>
    <w:basedOn w:val="DefaultParagraphFont"/>
    <w:rsid w:val="00FA2D6B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FA2D6B"/>
    <w:rPr>
      <w:i/>
      <w:iCs/>
    </w:rPr>
  </w:style>
  <w:style w:type="paragraph" w:styleId="Revision">
    <w:name w:val="Revision"/>
    <w:hidden/>
    <w:uiPriority w:val="99"/>
    <w:semiHidden/>
    <w:rsid w:val="00FA2D6B"/>
    <w:rPr>
      <w:sz w:val="24"/>
      <w:lang w:val="cs-CZ"/>
    </w:rPr>
  </w:style>
  <w:style w:type="character" w:styleId="FollowedHyperlink">
    <w:name w:val="FollowedHyperlink"/>
    <w:basedOn w:val="DefaultParagraphFont"/>
    <w:rsid w:val="00FA2D6B"/>
    <w:rPr>
      <w:color w:val="954F72" w:themeColor="followedHyperlink"/>
      <w:u w:val="single"/>
    </w:rPr>
  </w:style>
  <w:style w:type="paragraph" w:customStyle="1" w:styleId="LetterSalutation">
    <w:name w:val="LetterSalutation"/>
    <w:basedOn w:val="Normal"/>
    <w:rsid w:val="00FA2D6B"/>
    <w:pPr>
      <w:spacing w:before="600" w:after="360"/>
    </w:pPr>
  </w:style>
  <w:style w:type="character" w:customStyle="1" w:styleId="Normal12HangingChar">
    <w:name w:val="Normal12Hanging Char"/>
    <w:link w:val="Normal12Hanging"/>
    <w:locked/>
    <w:rsid w:val="00FA2D6B"/>
    <w:rPr>
      <w:sz w:val="24"/>
    </w:rPr>
  </w:style>
  <w:style w:type="paragraph" w:customStyle="1" w:styleId="Normal12Hanging">
    <w:name w:val="Normal12Hanging"/>
    <w:basedOn w:val="Normal"/>
    <w:link w:val="Normal12HangingChar"/>
    <w:rsid w:val="00FA2D6B"/>
    <w:pPr>
      <w:spacing w:after="240"/>
      <w:ind w:left="567" w:hanging="567"/>
    </w:pPr>
    <w:rPr>
      <w:lang w:val="en-GB"/>
    </w:rPr>
  </w:style>
  <w:style w:type="paragraph" w:customStyle="1" w:styleId="PageHeadingNotTOC">
    <w:name w:val="PageHeadingNotTOC"/>
    <w:basedOn w:val="Normal"/>
    <w:rsid w:val="00FA2D6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FA2D6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A2D6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A2D6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A2D6B"/>
    <w:pPr>
      <w:spacing w:before="120" w:after="120"/>
    </w:pPr>
    <w:rPr>
      <w:snapToGrid w:val="0"/>
      <w:sz w:val="16"/>
      <w:lang w:eastAsia="en-US"/>
    </w:rPr>
  </w:style>
  <w:style w:type="paragraph" w:customStyle="1" w:styleId="LetterSubject">
    <w:name w:val="LetterSubject"/>
    <w:basedOn w:val="Normal"/>
    <w:rsid w:val="00FA2D6B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FA2D6B"/>
    <w:pPr>
      <w:spacing w:before="1320"/>
    </w:pPr>
  </w:style>
  <w:style w:type="paragraph" w:customStyle="1" w:styleId="Normal12">
    <w:name w:val="Normal12"/>
    <w:basedOn w:val="Normal"/>
    <w:qFormat/>
    <w:rsid w:val="00FA2D6B"/>
    <w:pPr>
      <w:snapToGrid w:val="0"/>
      <w:spacing w:after="240"/>
    </w:pPr>
    <w:rPr>
      <w:lang w:bidi="en-GB"/>
    </w:rPr>
  </w:style>
  <w:style w:type="paragraph" w:customStyle="1" w:styleId="Action">
    <w:name w:val="Action"/>
    <w:basedOn w:val="Normal"/>
    <w:rsid w:val="00FA2D6B"/>
    <w:pPr>
      <w:tabs>
        <w:tab w:val="left" w:pos="357"/>
      </w:tabs>
      <w:spacing w:after="240"/>
      <w:ind w:left="357" w:hanging="357"/>
    </w:pPr>
  </w:style>
  <w:style w:type="paragraph" w:styleId="Footer">
    <w:name w:val="footer"/>
    <w:basedOn w:val="Normal"/>
    <w:link w:val="FooterChar"/>
    <w:rsid w:val="00FA2D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A2D6B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eca.europa.eu/ECAPublications/AR-2022/AR-2022_CS.pdf" TargetMode="External"/><Relationship Id="rId1" Type="http://schemas.openxmlformats.org/officeDocument/2006/relationships/hyperlink" Target="https://www.europarl.europa.eu/RegData/etudes/STUD/2022/736899/IPOL_STU(2022)736899_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4A8CD-0D90-4C90-A164-F692A5708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81</Pages>
  <Words>36014</Words>
  <Characters>205284</Characters>
  <Application>Microsoft Office Word</Application>
  <DocSecurity>0</DocSecurity>
  <Lines>1710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Karina Pesa</cp:lastModifiedBy>
  <cp:revision>3</cp:revision>
  <cp:lastPrinted>2004-11-19T15:42:00Z</cp:lastPrinted>
  <dcterms:created xsi:type="dcterms:W3CDTF">2024-05-23T08:56:00Z</dcterms:created>
  <dcterms:modified xsi:type="dcterms:W3CDTF">2024-10-21T13:10:00Z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P9_TA(2024)0228_</vt:lpwstr>
  </property>
  <property fmtid="{D5CDD505-2E9C-101B-9397-08002B2CF9AE}" pid="4" name="&lt;Type&gt;">
    <vt:lpwstr>RR</vt:lpwstr>
  </property>
</Properties>
</file>